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214"/>
        <w:gridCol w:w="1110"/>
        <w:gridCol w:w="1109"/>
        <w:gridCol w:w="1109"/>
        <w:gridCol w:w="972"/>
        <w:gridCol w:w="1247"/>
        <w:gridCol w:w="696"/>
        <w:gridCol w:w="284"/>
        <w:gridCol w:w="1763"/>
      </w:tblGrid>
      <w:tr w:rsidR="00D341A9" w:rsidRPr="00D341A9" w14:paraId="1F428A4E" w14:textId="77777777" w:rsidTr="003E63BA">
        <w:trPr>
          <w:cantSplit/>
          <w:trHeight w:val="1079"/>
          <w:jc w:val="right"/>
        </w:trPr>
        <w:tc>
          <w:tcPr>
            <w:tcW w:w="1241" w:type="dxa"/>
          </w:tcPr>
          <w:p w14:paraId="7E3580ED" w14:textId="77777777" w:rsidR="00D341A9" w:rsidRPr="00D341A9" w:rsidRDefault="00D341A9" w:rsidP="00D341A9">
            <w:pPr>
              <w:keepNext/>
              <w:spacing w:before="40" w:after="0" w:line="240" w:lineRule="auto"/>
              <w:jc w:val="left"/>
              <w:outlineLvl w:val="1"/>
              <w:rPr>
                <w:rFonts w:ascii="SimHei" w:eastAsia="SimHei" w:hAnsi="SimHei" w:cs="Times New Roman"/>
                <w:sz w:val="32"/>
                <w:szCs w:val="32"/>
                <w:lang w:val="en-GB"/>
              </w:rPr>
            </w:pPr>
            <w:bookmarkStart w:id="0" w:name="_GoBack"/>
            <w:bookmarkEnd w:id="0"/>
            <w:r w:rsidRPr="00D341A9">
              <w:rPr>
                <w:rFonts w:ascii="SimHei" w:eastAsia="SimHei" w:hAnsi="SimHei" w:cs="Arial" w:hint="eastAsia"/>
                <w:b/>
                <w:noProof/>
                <w:sz w:val="32"/>
                <w:szCs w:val="32"/>
                <w:lang w:val="en-GB"/>
              </w:rPr>
              <w:t>联合国</w:t>
            </w:r>
          </w:p>
        </w:tc>
        <w:tc>
          <w:tcPr>
            <w:tcW w:w="1135" w:type="dxa"/>
            <w:tcBorders>
              <w:left w:val="nil"/>
            </w:tcBorders>
          </w:tcPr>
          <w:p w14:paraId="65A002E0" w14:textId="77777777" w:rsidR="00D341A9" w:rsidRPr="00D341A9" w:rsidRDefault="00D341A9" w:rsidP="00D341A9">
            <w:pPr>
              <w:spacing w:after="0" w:line="240" w:lineRule="auto"/>
              <w:jc w:val="center"/>
              <w:rPr>
                <w:rFonts w:ascii="Times New Roman" w:eastAsia="MS Mincho" w:hAnsi="Times New Roman" w:cs="Times New Roman"/>
                <w:sz w:val="20"/>
                <w:szCs w:val="20"/>
                <w:lang w:val="en-GB" w:eastAsia="en-US"/>
              </w:rPr>
            </w:pPr>
            <w:r w:rsidRPr="00D341A9">
              <w:rPr>
                <w:rFonts w:ascii="Times New Roman" w:eastAsia="MS Mincho" w:hAnsi="Times New Roman" w:cs="Times New Roman"/>
                <w:noProof/>
                <w:sz w:val="20"/>
                <w:szCs w:val="20"/>
              </w:rPr>
              <w:drawing>
                <wp:inline distT="0" distB="0" distL="0" distR="0" wp14:anchorId="27E92346" wp14:editId="35FAEF40">
                  <wp:extent cx="591820" cy="553085"/>
                  <wp:effectExtent l="0" t="0" r="0" b="0"/>
                  <wp:docPr id="9"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 cy="553085"/>
                          </a:xfrm>
                          <a:prstGeom prst="rect">
                            <a:avLst/>
                          </a:prstGeom>
                          <a:noFill/>
                          <a:ln>
                            <a:noFill/>
                          </a:ln>
                        </pic:spPr>
                      </pic:pic>
                    </a:graphicData>
                  </a:graphic>
                </wp:inline>
              </w:drawing>
            </w:r>
          </w:p>
        </w:tc>
        <w:tc>
          <w:tcPr>
            <w:tcW w:w="1134" w:type="dxa"/>
            <w:tcBorders>
              <w:left w:val="nil"/>
            </w:tcBorders>
          </w:tcPr>
          <w:p w14:paraId="469B321A" w14:textId="77777777" w:rsidR="00D341A9" w:rsidRPr="00D341A9" w:rsidRDefault="00D341A9" w:rsidP="00D341A9">
            <w:pPr>
              <w:spacing w:after="0" w:line="240" w:lineRule="auto"/>
              <w:jc w:val="center"/>
              <w:rPr>
                <w:rFonts w:ascii="Times New Roman" w:eastAsia="MS Mincho" w:hAnsi="Times New Roman" w:cs="Times New Roman"/>
                <w:sz w:val="20"/>
                <w:szCs w:val="20"/>
                <w:lang w:val="en-GB" w:eastAsia="en-US"/>
              </w:rPr>
            </w:pPr>
            <w:r w:rsidRPr="00D341A9">
              <w:rPr>
                <w:rFonts w:ascii="Calibri" w:eastAsia="MS Mincho" w:hAnsi="Calibri" w:cs="Times New Roman"/>
                <w:noProof/>
                <w:sz w:val="22"/>
                <w:szCs w:val="22"/>
              </w:rPr>
              <w:drawing>
                <wp:inline distT="0" distB="0" distL="0" distR="0" wp14:anchorId="76B93447" wp14:editId="3A177351">
                  <wp:extent cx="560705" cy="629920"/>
                  <wp:effectExtent l="0" t="0" r="0" b="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134" w:type="dxa"/>
            <w:tcBorders>
              <w:left w:val="nil"/>
            </w:tcBorders>
          </w:tcPr>
          <w:p w14:paraId="4ADDEA68" w14:textId="77777777" w:rsidR="00D341A9" w:rsidRPr="00D341A9" w:rsidRDefault="00D341A9" w:rsidP="00D341A9">
            <w:pPr>
              <w:spacing w:after="0" w:line="240" w:lineRule="auto"/>
              <w:jc w:val="left"/>
              <w:rPr>
                <w:rFonts w:ascii="Times New Roman" w:eastAsia="MS Mincho" w:hAnsi="Times New Roman" w:cs="Times New Roman"/>
                <w:sz w:val="20"/>
                <w:szCs w:val="20"/>
                <w:lang w:val="en-GB" w:eastAsia="en-US"/>
              </w:rPr>
            </w:pPr>
            <w:r w:rsidRPr="00D341A9">
              <w:rPr>
                <w:rFonts w:ascii="Times New Roman" w:eastAsia="MS Mincho" w:hAnsi="Times New Roman" w:cs="Times New Roman"/>
                <w:noProof/>
                <w:sz w:val="20"/>
                <w:szCs w:val="20"/>
              </w:rPr>
              <w:drawing>
                <wp:inline distT="0" distB="0" distL="0" distR="0" wp14:anchorId="30AFB714" wp14:editId="600F4D22">
                  <wp:extent cx="637540" cy="491490"/>
                  <wp:effectExtent l="0" t="0" r="0" b="3810"/>
                  <wp:docPr id="13"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993" w:type="dxa"/>
            <w:tcBorders>
              <w:left w:val="nil"/>
            </w:tcBorders>
          </w:tcPr>
          <w:p w14:paraId="3E768540" w14:textId="77777777" w:rsidR="00D341A9" w:rsidRPr="00D341A9" w:rsidRDefault="00D341A9" w:rsidP="00D341A9">
            <w:pPr>
              <w:spacing w:after="0" w:line="240" w:lineRule="auto"/>
              <w:jc w:val="right"/>
              <w:rPr>
                <w:rFonts w:ascii="Times New Roman" w:eastAsia="MS Mincho" w:hAnsi="Times New Roman" w:cs="Times New Roman"/>
                <w:sz w:val="20"/>
                <w:szCs w:val="20"/>
                <w:lang w:val="en-GB" w:eastAsia="en-US"/>
              </w:rPr>
            </w:pPr>
            <w:r w:rsidRPr="00D341A9">
              <w:rPr>
                <w:rFonts w:ascii="Times New Roman" w:eastAsia="MS Mincho" w:hAnsi="Times New Roman" w:cs="Times New Roman"/>
                <w:noProof/>
                <w:sz w:val="20"/>
                <w:szCs w:val="20"/>
              </w:rPr>
              <w:drawing>
                <wp:inline distT="0" distB="0" distL="0" distR="0" wp14:anchorId="460F0D82" wp14:editId="4A860D3E">
                  <wp:extent cx="545465" cy="545465"/>
                  <wp:effectExtent l="0" t="0" r="6985" b="6985"/>
                  <wp:docPr id="14" name="Picture 6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c>
          <w:tcPr>
            <w:tcW w:w="1275" w:type="dxa"/>
            <w:tcBorders>
              <w:left w:val="nil"/>
            </w:tcBorders>
          </w:tcPr>
          <w:p w14:paraId="63E2D08C" w14:textId="77777777" w:rsidR="00D341A9" w:rsidRPr="00D341A9" w:rsidRDefault="00D341A9" w:rsidP="00D341A9">
            <w:pPr>
              <w:tabs>
                <w:tab w:val="left" w:pos="1247"/>
                <w:tab w:val="left" w:pos="1814"/>
                <w:tab w:val="left" w:pos="2381"/>
                <w:tab w:val="left" w:pos="2948"/>
                <w:tab w:val="left" w:pos="3515"/>
              </w:tabs>
              <w:spacing w:after="0" w:line="240" w:lineRule="auto"/>
              <w:jc w:val="left"/>
              <w:rPr>
                <w:rFonts w:ascii="SimHei" w:eastAsia="SimHei" w:hAnsi="SimHei" w:cs="Times New Roman"/>
                <w:b/>
                <w:sz w:val="24"/>
                <w:szCs w:val="24"/>
                <w:lang w:val="en-GB"/>
              </w:rPr>
            </w:pPr>
            <w:r w:rsidRPr="00D341A9">
              <w:rPr>
                <w:rFonts w:ascii="SimHei" w:eastAsia="SimHei" w:hAnsi="SimHei" w:cs="Times New Roman" w:hint="eastAsia"/>
                <w:b/>
                <w:sz w:val="24"/>
                <w:szCs w:val="24"/>
                <w:lang w:val="en-GB"/>
              </w:rPr>
              <w:t>联合国</w:t>
            </w:r>
          </w:p>
          <w:p w14:paraId="0F678512" w14:textId="77777777" w:rsidR="00D341A9" w:rsidRPr="00D341A9" w:rsidRDefault="00D341A9" w:rsidP="00D341A9">
            <w:pPr>
              <w:tabs>
                <w:tab w:val="left" w:pos="1247"/>
                <w:tab w:val="left" w:pos="1814"/>
                <w:tab w:val="left" w:pos="2381"/>
                <w:tab w:val="left" w:pos="2948"/>
                <w:tab w:val="left" w:pos="3515"/>
              </w:tabs>
              <w:spacing w:after="0" w:line="240" w:lineRule="auto"/>
              <w:jc w:val="left"/>
              <w:rPr>
                <w:rFonts w:ascii="SimHei" w:eastAsia="SimHei" w:hAnsi="SimHei" w:cs="Times New Roman"/>
                <w:b/>
                <w:sz w:val="24"/>
                <w:szCs w:val="24"/>
              </w:rPr>
            </w:pPr>
            <w:r w:rsidRPr="00D341A9">
              <w:rPr>
                <w:rFonts w:ascii="SimHei" w:eastAsia="SimHei" w:hAnsi="SimHei" w:cs="Times New Roman" w:hint="eastAsia"/>
                <w:b/>
                <w:sz w:val="24"/>
                <w:szCs w:val="24"/>
                <w:lang w:val="en-GB"/>
              </w:rPr>
              <w:t>粮食及</w:t>
            </w:r>
          </w:p>
          <w:p w14:paraId="1168C0D5" w14:textId="77777777" w:rsidR="00D341A9" w:rsidRPr="00D341A9" w:rsidRDefault="00D341A9" w:rsidP="00D341A9">
            <w:pPr>
              <w:spacing w:after="0" w:line="240" w:lineRule="auto"/>
              <w:jc w:val="left"/>
              <w:rPr>
                <w:rFonts w:ascii="Times New Roman" w:eastAsia="MS Mincho" w:hAnsi="Times New Roman" w:cs="Times New Roman"/>
                <w:sz w:val="20"/>
                <w:szCs w:val="20"/>
                <w:lang w:val="en-GB"/>
              </w:rPr>
            </w:pPr>
            <w:r w:rsidRPr="00D341A9">
              <w:rPr>
                <w:rFonts w:ascii="SimHei" w:eastAsia="SimHei" w:hAnsi="SimHei" w:cs="Times New Roman" w:hint="eastAsia"/>
                <w:b/>
                <w:sz w:val="24"/>
                <w:szCs w:val="24"/>
                <w:lang w:val="en-GB"/>
              </w:rPr>
              <w:t>农业组织</w:t>
            </w:r>
          </w:p>
        </w:tc>
        <w:tc>
          <w:tcPr>
            <w:tcW w:w="709" w:type="dxa"/>
            <w:tcBorders>
              <w:left w:val="nil"/>
            </w:tcBorders>
          </w:tcPr>
          <w:p w14:paraId="7ABA752E" w14:textId="77777777" w:rsidR="00D341A9" w:rsidRPr="00D341A9" w:rsidRDefault="00D341A9" w:rsidP="00D341A9">
            <w:pPr>
              <w:spacing w:after="0" w:line="240" w:lineRule="auto"/>
              <w:jc w:val="center"/>
              <w:rPr>
                <w:rFonts w:ascii="Times New Roman" w:eastAsia="MS Mincho" w:hAnsi="Times New Roman" w:cs="Times New Roman"/>
                <w:sz w:val="20"/>
                <w:szCs w:val="20"/>
                <w:lang w:val="en-GB" w:eastAsia="en-US"/>
              </w:rPr>
            </w:pPr>
            <w:r w:rsidRPr="00D341A9">
              <w:rPr>
                <w:rFonts w:ascii="Times New Roman" w:eastAsia="MS Mincho" w:hAnsi="Times New Roman" w:cs="Times New Roman"/>
                <w:noProof/>
                <w:sz w:val="20"/>
                <w:szCs w:val="20"/>
              </w:rPr>
              <w:drawing>
                <wp:inline distT="0" distB="0" distL="0" distR="0" wp14:anchorId="13B6D546" wp14:editId="6820986C">
                  <wp:extent cx="322580" cy="637540"/>
                  <wp:effectExtent l="0" t="0" r="1270" b="0"/>
                  <wp:docPr id="15"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285" w:type="dxa"/>
          </w:tcPr>
          <w:p w14:paraId="5E2E62B1" w14:textId="77777777" w:rsidR="00D341A9" w:rsidRPr="00D341A9" w:rsidRDefault="00D341A9" w:rsidP="00D341A9">
            <w:pPr>
              <w:spacing w:after="0" w:line="240" w:lineRule="auto"/>
              <w:jc w:val="center"/>
              <w:rPr>
                <w:rFonts w:ascii="Times New Roman" w:eastAsia="MS Mincho" w:hAnsi="Times New Roman" w:cs="Times New Roman"/>
                <w:sz w:val="20"/>
                <w:szCs w:val="20"/>
                <w:lang w:val="en-GB" w:eastAsia="en-US"/>
              </w:rPr>
            </w:pPr>
          </w:p>
        </w:tc>
        <w:tc>
          <w:tcPr>
            <w:tcW w:w="1806" w:type="dxa"/>
          </w:tcPr>
          <w:p w14:paraId="348CF93E" w14:textId="77777777" w:rsidR="00D341A9" w:rsidRPr="00D341A9" w:rsidRDefault="00D341A9" w:rsidP="00D341A9">
            <w:pPr>
              <w:keepNext/>
              <w:spacing w:before="40" w:after="0" w:line="240" w:lineRule="auto"/>
              <w:jc w:val="right"/>
              <w:outlineLvl w:val="1"/>
              <w:rPr>
                <w:rFonts w:ascii="Arial" w:eastAsia="MS Mincho" w:hAnsi="Arial" w:cs="Arial"/>
                <w:b/>
                <w:sz w:val="64"/>
                <w:szCs w:val="64"/>
                <w:lang w:val="en-GB" w:eastAsia="en-US"/>
              </w:rPr>
            </w:pPr>
            <w:r w:rsidRPr="00D341A9">
              <w:rPr>
                <w:rFonts w:ascii="Arial" w:eastAsia="MS Mincho" w:hAnsi="Arial" w:cs="Arial"/>
                <w:b/>
                <w:sz w:val="64"/>
                <w:szCs w:val="64"/>
                <w:lang w:val="en-GB" w:eastAsia="en-US"/>
              </w:rPr>
              <w:t>BES</w:t>
            </w:r>
          </w:p>
        </w:tc>
      </w:tr>
      <w:tr w:rsidR="00D341A9" w:rsidRPr="00D341A9" w14:paraId="4F3ED574" w14:textId="77777777" w:rsidTr="003E63BA">
        <w:trPr>
          <w:cantSplit/>
          <w:trHeight w:val="282"/>
          <w:jc w:val="right"/>
        </w:trPr>
        <w:tc>
          <w:tcPr>
            <w:tcW w:w="1241" w:type="dxa"/>
            <w:tcBorders>
              <w:bottom w:val="single" w:sz="2" w:space="0" w:color="auto"/>
            </w:tcBorders>
          </w:tcPr>
          <w:p w14:paraId="56C09073" w14:textId="77777777" w:rsidR="00D341A9" w:rsidRPr="00D341A9" w:rsidRDefault="00D341A9" w:rsidP="00D341A9">
            <w:pPr>
              <w:spacing w:after="0" w:line="240" w:lineRule="auto"/>
              <w:jc w:val="left"/>
              <w:rPr>
                <w:rFonts w:ascii="Times New Roman" w:eastAsia="MS Mincho" w:hAnsi="Times New Roman" w:cs="Times New Roman"/>
                <w:noProof/>
                <w:sz w:val="20"/>
                <w:szCs w:val="20"/>
                <w:lang w:val="en-GB" w:eastAsia="en-US"/>
              </w:rPr>
            </w:pPr>
          </w:p>
        </w:tc>
        <w:tc>
          <w:tcPr>
            <w:tcW w:w="6665" w:type="dxa"/>
            <w:gridSpan w:val="7"/>
            <w:tcBorders>
              <w:bottom w:val="single" w:sz="2" w:space="0" w:color="auto"/>
            </w:tcBorders>
          </w:tcPr>
          <w:p w14:paraId="34727BDF" w14:textId="77777777" w:rsidR="00D341A9" w:rsidRPr="00D341A9" w:rsidRDefault="00D341A9" w:rsidP="00D341A9">
            <w:pPr>
              <w:spacing w:after="0" w:line="240" w:lineRule="auto"/>
              <w:jc w:val="left"/>
              <w:rPr>
                <w:rFonts w:ascii="Univers" w:eastAsia="MS Mincho" w:hAnsi="Univers" w:cs="Times New Roman"/>
                <w:b/>
                <w:sz w:val="24"/>
                <w:szCs w:val="20"/>
                <w:lang w:val="en-GB" w:eastAsia="en-US"/>
              </w:rPr>
            </w:pPr>
          </w:p>
        </w:tc>
        <w:tc>
          <w:tcPr>
            <w:tcW w:w="1806" w:type="dxa"/>
            <w:tcBorders>
              <w:bottom w:val="single" w:sz="2" w:space="0" w:color="auto"/>
            </w:tcBorders>
          </w:tcPr>
          <w:p w14:paraId="2706E9AA" w14:textId="50DC519A" w:rsidR="00D341A9" w:rsidRPr="00D341A9" w:rsidRDefault="00D341A9" w:rsidP="00D341A9">
            <w:pPr>
              <w:spacing w:after="0" w:line="240" w:lineRule="auto"/>
              <w:jc w:val="left"/>
              <w:rPr>
                <w:rFonts w:ascii="Times New Roman" w:eastAsiaTheme="minorEastAsia" w:hAnsi="Times New Roman" w:cs="Times New Roman"/>
                <w:b/>
                <w:sz w:val="24"/>
                <w:szCs w:val="24"/>
                <w:lang w:val="en-GB"/>
              </w:rPr>
            </w:pPr>
            <w:r w:rsidRPr="00D341A9">
              <w:rPr>
                <w:rFonts w:ascii="Times New Roman" w:eastAsia="MS Mincho" w:hAnsi="Times New Roman" w:cs="Times New Roman"/>
                <w:b/>
                <w:sz w:val="28"/>
                <w:szCs w:val="28"/>
                <w:lang w:val="en-GB" w:eastAsia="en-US"/>
              </w:rPr>
              <w:t>IPBES</w:t>
            </w:r>
            <w:r w:rsidRPr="00D341A9">
              <w:rPr>
                <w:rFonts w:ascii="Times New Roman" w:eastAsia="MS Mincho" w:hAnsi="Times New Roman" w:cs="Times New Roman"/>
                <w:sz w:val="20"/>
                <w:szCs w:val="20"/>
                <w:lang w:val="en-GB" w:eastAsia="en-US"/>
              </w:rPr>
              <w:t>/6/</w:t>
            </w:r>
            <w:r>
              <w:rPr>
                <w:rFonts w:ascii="Times New Roman" w:eastAsia="MS Mincho" w:hAnsi="Times New Roman" w:cs="Times New Roman"/>
                <w:sz w:val="20"/>
                <w:szCs w:val="20"/>
                <w:lang w:val="en-GB" w:eastAsia="en-US"/>
              </w:rPr>
              <w:t>8</w:t>
            </w:r>
          </w:p>
        </w:tc>
      </w:tr>
      <w:tr w:rsidR="00D341A9" w:rsidRPr="00D341A9" w14:paraId="0C843753" w14:textId="77777777" w:rsidTr="003E63BA">
        <w:trPr>
          <w:cantSplit/>
          <w:trHeight w:val="1433"/>
          <w:jc w:val="right"/>
        </w:trPr>
        <w:tc>
          <w:tcPr>
            <w:tcW w:w="2376" w:type="dxa"/>
            <w:gridSpan w:val="2"/>
            <w:tcBorders>
              <w:top w:val="single" w:sz="2" w:space="0" w:color="auto"/>
              <w:bottom w:val="single" w:sz="24" w:space="0" w:color="auto"/>
            </w:tcBorders>
          </w:tcPr>
          <w:p w14:paraId="388FB3E9" w14:textId="77777777" w:rsidR="00D341A9" w:rsidRPr="00D341A9" w:rsidRDefault="00D341A9" w:rsidP="00D341A9">
            <w:pPr>
              <w:spacing w:before="240" w:after="240" w:line="240" w:lineRule="auto"/>
              <w:jc w:val="left"/>
              <w:rPr>
                <w:rFonts w:ascii="Arial" w:eastAsia="MS Mincho" w:hAnsi="Arial" w:cs="Arial"/>
                <w:b/>
                <w:sz w:val="28"/>
                <w:szCs w:val="28"/>
                <w:lang w:val="en-GB" w:eastAsia="en-US"/>
              </w:rPr>
            </w:pPr>
            <w:r w:rsidRPr="00D341A9">
              <w:rPr>
                <w:rFonts w:ascii="Arial" w:eastAsia="MS Mincho" w:hAnsi="Arial" w:cs="Arial"/>
                <w:b/>
                <w:noProof/>
                <w:sz w:val="28"/>
                <w:szCs w:val="28"/>
              </w:rPr>
              <w:drawing>
                <wp:inline distT="0" distB="0" distL="0" distR="0" wp14:anchorId="458457B4" wp14:editId="01256086">
                  <wp:extent cx="1111406" cy="519379"/>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0" w:type="dxa"/>
            <w:gridSpan w:val="6"/>
            <w:tcBorders>
              <w:top w:val="single" w:sz="2" w:space="0" w:color="auto"/>
              <w:bottom w:val="single" w:sz="24" w:space="0" w:color="auto"/>
            </w:tcBorders>
          </w:tcPr>
          <w:p w14:paraId="7BF5B347" w14:textId="77777777" w:rsidR="00D341A9" w:rsidRPr="00D341A9" w:rsidRDefault="00D341A9" w:rsidP="00F13C4C">
            <w:pPr>
              <w:snapToGrid w:val="0"/>
              <w:spacing w:before="120" w:line="240" w:lineRule="auto"/>
              <w:jc w:val="left"/>
              <w:rPr>
                <w:rFonts w:ascii="SimHei" w:eastAsia="SimHei" w:hAnsi="SimHei" w:cs="Times New Roman"/>
                <w:b/>
                <w:sz w:val="28"/>
                <w:szCs w:val="28"/>
                <w:lang w:val="en-GB"/>
              </w:rPr>
            </w:pPr>
            <w:r w:rsidRPr="00D341A9">
              <w:rPr>
                <w:rFonts w:ascii="SimHei" w:eastAsia="SimHei" w:hAnsi="SimHei" w:cs="Times New Roman"/>
                <w:b/>
                <w:sz w:val="28"/>
                <w:szCs w:val="28"/>
                <w:lang w:val="en-GB"/>
              </w:rPr>
              <w:t>生物多样性和生态系统服务</w:t>
            </w:r>
          </w:p>
          <w:p w14:paraId="1BEBAF7E" w14:textId="77777777" w:rsidR="00D341A9" w:rsidRPr="00D341A9" w:rsidRDefault="00D341A9" w:rsidP="00F13C4C">
            <w:pPr>
              <w:snapToGrid w:val="0"/>
              <w:spacing w:before="120" w:line="240" w:lineRule="auto"/>
              <w:jc w:val="left"/>
              <w:rPr>
                <w:rFonts w:ascii="Arial" w:eastAsia="MS Mincho" w:hAnsi="Arial" w:cs="Arial"/>
                <w:b/>
                <w:sz w:val="28"/>
                <w:szCs w:val="28"/>
                <w:lang w:val="en-GB"/>
              </w:rPr>
            </w:pPr>
            <w:r w:rsidRPr="00D341A9">
              <w:rPr>
                <w:rFonts w:ascii="SimHei" w:eastAsia="SimHei" w:hAnsi="SimHei" w:cs="Times New Roman"/>
                <w:b/>
                <w:sz w:val="28"/>
                <w:szCs w:val="28"/>
                <w:lang w:val="en-GB"/>
              </w:rPr>
              <w:t>政府间科学政策平台</w:t>
            </w:r>
          </w:p>
        </w:tc>
        <w:tc>
          <w:tcPr>
            <w:tcW w:w="1806" w:type="dxa"/>
            <w:tcBorders>
              <w:top w:val="single" w:sz="2" w:space="0" w:color="auto"/>
              <w:bottom w:val="single" w:sz="24" w:space="0" w:color="auto"/>
            </w:tcBorders>
          </w:tcPr>
          <w:p w14:paraId="755727BE" w14:textId="77777777" w:rsidR="00D341A9" w:rsidRDefault="00D341A9" w:rsidP="008A62D9">
            <w:pPr>
              <w:pStyle w:val="Normal-pool"/>
              <w:spacing w:before="120"/>
            </w:pPr>
            <w:r w:rsidRPr="006D125A">
              <w:t>Distr.: General</w:t>
            </w:r>
            <w:r w:rsidRPr="006D125A">
              <w:br/>
            </w:r>
            <w:r w:rsidRPr="00D27057">
              <w:t>4 December 2017</w:t>
            </w:r>
          </w:p>
          <w:p w14:paraId="39429EFC" w14:textId="77777777" w:rsidR="008A62D9" w:rsidRPr="006D125A" w:rsidRDefault="008A62D9" w:rsidP="008A62D9">
            <w:pPr>
              <w:pStyle w:val="Normal-pool"/>
            </w:pPr>
          </w:p>
          <w:p w14:paraId="15E64C3A" w14:textId="77777777" w:rsidR="00D341A9" w:rsidRPr="00D341A9" w:rsidRDefault="00D341A9" w:rsidP="00D341A9">
            <w:pPr>
              <w:spacing w:after="0" w:line="240" w:lineRule="auto"/>
              <w:jc w:val="left"/>
              <w:rPr>
                <w:rFonts w:ascii="Times New Roman" w:eastAsiaTheme="minorEastAsia" w:hAnsi="Times New Roman" w:cs="Times New Roman"/>
                <w:sz w:val="20"/>
                <w:szCs w:val="20"/>
                <w:lang w:val="en-GB"/>
              </w:rPr>
            </w:pPr>
            <w:r w:rsidRPr="00D341A9">
              <w:rPr>
                <w:rFonts w:ascii="Times New Roman" w:eastAsiaTheme="minorEastAsia" w:hAnsi="Times New Roman" w:cs="Times New Roman" w:hint="eastAsia"/>
                <w:sz w:val="20"/>
                <w:szCs w:val="20"/>
                <w:lang w:val="en-GB"/>
              </w:rPr>
              <w:t>Chinese</w:t>
            </w:r>
          </w:p>
          <w:p w14:paraId="3F070CD6" w14:textId="77777777" w:rsidR="00D341A9" w:rsidRPr="00D341A9" w:rsidRDefault="00D341A9" w:rsidP="00D341A9">
            <w:pPr>
              <w:spacing w:after="0" w:line="240" w:lineRule="auto"/>
              <w:jc w:val="left"/>
              <w:rPr>
                <w:rFonts w:ascii="Times New Roman" w:eastAsia="MS Mincho" w:hAnsi="Times New Roman" w:cs="Times New Roman"/>
                <w:sz w:val="20"/>
                <w:szCs w:val="20"/>
                <w:lang w:val="en-GB" w:eastAsia="en-US"/>
              </w:rPr>
            </w:pPr>
            <w:r w:rsidRPr="00D341A9">
              <w:rPr>
                <w:rFonts w:ascii="Times New Roman" w:eastAsia="MS Mincho" w:hAnsi="Times New Roman" w:cs="Times New Roman"/>
                <w:sz w:val="20"/>
                <w:szCs w:val="20"/>
                <w:lang w:val="en-GB" w:eastAsia="en-US"/>
              </w:rPr>
              <w:t>Original: English</w:t>
            </w:r>
          </w:p>
        </w:tc>
      </w:tr>
    </w:tbl>
    <w:p w14:paraId="474B2CDD" w14:textId="77777777" w:rsidR="00D341A9" w:rsidRPr="00D341A9" w:rsidRDefault="00D341A9" w:rsidP="00D87F54">
      <w:pPr>
        <w:tabs>
          <w:tab w:val="left" w:pos="1247"/>
          <w:tab w:val="left" w:pos="1814"/>
          <w:tab w:val="left" w:pos="2381"/>
          <w:tab w:val="left" w:pos="2948"/>
          <w:tab w:val="left" w:pos="3515"/>
        </w:tabs>
        <w:suppressAutoHyphens/>
        <w:spacing w:after="0" w:line="240" w:lineRule="auto"/>
        <w:ind w:left="1" w:right="3402" w:firstLine="2"/>
        <w:jc w:val="left"/>
        <w:rPr>
          <w:rFonts w:ascii="SimHei" w:eastAsia="SimHei" w:hAnsi="SimHei" w:cs="Times New Roman"/>
          <w:b/>
          <w:sz w:val="24"/>
          <w:szCs w:val="24"/>
          <w:lang w:val="en-GB"/>
        </w:rPr>
      </w:pPr>
      <w:r w:rsidRPr="00D341A9">
        <w:rPr>
          <w:rFonts w:ascii="SimHei" w:eastAsia="SimHei" w:hAnsi="SimHei" w:cs="Times New Roman"/>
          <w:b/>
          <w:sz w:val="24"/>
          <w:szCs w:val="24"/>
          <w:lang w:val="en-GB"/>
        </w:rPr>
        <w:t>生物多样性和生态系统服务政府间</w:t>
      </w:r>
    </w:p>
    <w:p w14:paraId="2A04FF97" w14:textId="77777777" w:rsidR="00D341A9" w:rsidRPr="00D341A9" w:rsidRDefault="00D341A9" w:rsidP="00D87F54">
      <w:pPr>
        <w:tabs>
          <w:tab w:val="left" w:pos="1247"/>
          <w:tab w:val="left" w:pos="1814"/>
          <w:tab w:val="left" w:pos="2381"/>
          <w:tab w:val="left" w:pos="2948"/>
          <w:tab w:val="left" w:pos="3515"/>
        </w:tabs>
        <w:suppressAutoHyphens/>
        <w:spacing w:after="0" w:line="240" w:lineRule="auto"/>
        <w:ind w:right="3402" w:firstLine="2"/>
        <w:jc w:val="left"/>
        <w:rPr>
          <w:rFonts w:ascii="SimHei" w:eastAsia="SimHei" w:hAnsi="SimHei" w:cs="Times New Roman"/>
          <w:b/>
          <w:sz w:val="24"/>
          <w:szCs w:val="24"/>
          <w:lang w:val="en-GB"/>
        </w:rPr>
      </w:pPr>
      <w:r w:rsidRPr="00D341A9">
        <w:rPr>
          <w:rFonts w:ascii="SimHei" w:eastAsia="SimHei" w:hAnsi="SimHei" w:cs="Times New Roman"/>
          <w:b/>
          <w:sz w:val="24"/>
          <w:szCs w:val="24"/>
          <w:lang w:val="en-GB"/>
        </w:rPr>
        <w:t>科学政策平台全体会议</w:t>
      </w:r>
    </w:p>
    <w:p w14:paraId="1CCE0D83" w14:textId="77777777" w:rsidR="00D341A9" w:rsidRPr="00D341A9" w:rsidRDefault="00D341A9" w:rsidP="00D87F54">
      <w:pPr>
        <w:tabs>
          <w:tab w:val="left" w:pos="1247"/>
          <w:tab w:val="left" w:pos="1814"/>
          <w:tab w:val="left" w:pos="2381"/>
          <w:tab w:val="left" w:pos="2948"/>
          <w:tab w:val="left" w:pos="3515"/>
        </w:tabs>
        <w:suppressAutoHyphens/>
        <w:spacing w:after="0" w:line="240" w:lineRule="auto"/>
        <w:ind w:right="3402" w:firstLine="2"/>
        <w:jc w:val="left"/>
        <w:rPr>
          <w:rFonts w:ascii="SimHei" w:eastAsia="SimHei" w:hAnsi="SimHei" w:cs="Times New Roman"/>
          <w:b/>
          <w:sz w:val="24"/>
          <w:szCs w:val="24"/>
          <w:lang w:val="en-GB"/>
        </w:rPr>
      </w:pPr>
      <w:r w:rsidRPr="00D341A9">
        <w:rPr>
          <w:rFonts w:ascii="SimHei" w:eastAsia="SimHei" w:hAnsi="SimHei" w:cs="Times New Roman" w:hint="eastAsia"/>
          <w:b/>
          <w:sz w:val="24"/>
          <w:szCs w:val="24"/>
          <w:lang w:val="en-GB"/>
        </w:rPr>
        <w:t>第六届会议</w:t>
      </w:r>
    </w:p>
    <w:p w14:paraId="58132CAF" w14:textId="227581E9" w:rsidR="007F3540" w:rsidRPr="00D341A9" w:rsidRDefault="007E2B3C" w:rsidP="00D87F54">
      <w:pPr>
        <w:pStyle w:val="AATitle"/>
        <w:tabs>
          <w:tab w:val="left" w:pos="4253"/>
        </w:tabs>
        <w:ind w:right="4585" w:firstLine="2"/>
        <w:rPr>
          <w:b w:val="0"/>
          <w:sz w:val="24"/>
          <w:szCs w:val="24"/>
          <w:lang w:eastAsia="zh-CN"/>
        </w:rPr>
      </w:pPr>
      <w:r w:rsidRPr="00D341A9">
        <w:rPr>
          <w:b w:val="0"/>
          <w:sz w:val="24"/>
          <w:szCs w:val="24"/>
          <w:lang w:val="zh-CN" w:eastAsia="zh-CN"/>
        </w:rPr>
        <w:t>2018</w:t>
      </w:r>
      <w:r w:rsidRPr="00D341A9">
        <w:rPr>
          <w:b w:val="0"/>
          <w:sz w:val="24"/>
          <w:szCs w:val="24"/>
          <w:lang w:val="zh-CN" w:eastAsia="zh-CN"/>
        </w:rPr>
        <w:t>年</w:t>
      </w:r>
      <w:r w:rsidRPr="00D341A9">
        <w:rPr>
          <w:b w:val="0"/>
          <w:sz w:val="24"/>
          <w:szCs w:val="24"/>
          <w:lang w:val="zh-CN" w:eastAsia="zh-CN"/>
        </w:rPr>
        <w:t>3</w:t>
      </w:r>
      <w:r w:rsidRPr="00D341A9">
        <w:rPr>
          <w:b w:val="0"/>
          <w:sz w:val="24"/>
          <w:szCs w:val="24"/>
          <w:lang w:val="zh-CN" w:eastAsia="zh-CN"/>
        </w:rPr>
        <w:t>月</w:t>
      </w:r>
      <w:r w:rsidRPr="00D341A9">
        <w:rPr>
          <w:b w:val="0"/>
          <w:sz w:val="24"/>
          <w:szCs w:val="24"/>
          <w:lang w:val="zh-CN" w:eastAsia="zh-CN"/>
        </w:rPr>
        <w:t>1</w:t>
      </w:r>
      <w:r w:rsidR="00206FA9">
        <w:rPr>
          <w:b w:val="0"/>
          <w:sz w:val="24"/>
          <w:szCs w:val="24"/>
          <w:lang w:val="en-US" w:eastAsia="zh-CN"/>
        </w:rPr>
        <w:t>8</w:t>
      </w:r>
      <w:r w:rsidRPr="00D341A9">
        <w:rPr>
          <w:b w:val="0"/>
          <w:sz w:val="24"/>
          <w:szCs w:val="24"/>
          <w:lang w:val="zh-CN" w:eastAsia="zh-CN"/>
        </w:rPr>
        <w:t>日至</w:t>
      </w:r>
      <w:r w:rsidRPr="00D341A9">
        <w:rPr>
          <w:b w:val="0"/>
          <w:sz w:val="24"/>
          <w:szCs w:val="24"/>
          <w:lang w:val="zh-CN" w:eastAsia="zh-CN"/>
        </w:rPr>
        <w:t>24</w:t>
      </w:r>
      <w:r w:rsidRPr="00D341A9">
        <w:rPr>
          <w:b w:val="0"/>
          <w:sz w:val="24"/>
          <w:szCs w:val="24"/>
          <w:lang w:val="zh-CN" w:eastAsia="zh-CN"/>
        </w:rPr>
        <w:t>日，哥伦比亚麦德林</w:t>
      </w:r>
    </w:p>
    <w:p w14:paraId="4DD5DF6D" w14:textId="77777777" w:rsidR="00075479" w:rsidRPr="00D341A9" w:rsidRDefault="00075479" w:rsidP="00D87F54">
      <w:pPr>
        <w:pStyle w:val="AgendaItemTitle"/>
        <w:ind w:firstLine="2"/>
        <w:rPr>
          <w:b w:val="0"/>
          <w:sz w:val="24"/>
          <w:szCs w:val="24"/>
          <w:lang w:eastAsia="zh-CN"/>
        </w:rPr>
      </w:pPr>
      <w:r w:rsidRPr="00D341A9">
        <w:rPr>
          <w:b w:val="0"/>
          <w:sz w:val="24"/>
          <w:szCs w:val="24"/>
          <w:lang w:val="zh-CN" w:eastAsia="zh-CN"/>
        </w:rPr>
        <w:t>临时议程</w:t>
      </w:r>
      <w:r w:rsidRPr="00D341A9">
        <w:rPr>
          <w:rStyle w:val="FootnoteReference"/>
          <w:b w:val="0"/>
          <w:sz w:val="24"/>
          <w:szCs w:val="24"/>
          <w:lang w:val="zh-CN" w:eastAsia="zh-CN"/>
        </w:rPr>
        <w:footnoteReference w:customMarkFollows="1" w:id="1"/>
        <w:t>*</w:t>
      </w:r>
      <w:r w:rsidRPr="00D341A9">
        <w:rPr>
          <w:b w:val="0"/>
          <w:sz w:val="24"/>
          <w:szCs w:val="24"/>
          <w:lang w:val="zh-CN" w:eastAsia="zh-CN"/>
        </w:rPr>
        <w:t>项目</w:t>
      </w:r>
      <w:r w:rsidRPr="00D341A9">
        <w:rPr>
          <w:b w:val="0"/>
          <w:sz w:val="24"/>
          <w:szCs w:val="24"/>
          <w:lang w:val="zh-CN" w:eastAsia="zh-CN"/>
        </w:rPr>
        <w:t>8</w:t>
      </w:r>
    </w:p>
    <w:p w14:paraId="428BA866" w14:textId="41A8567A" w:rsidR="00075479" w:rsidRPr="00D341A9" w:rsidRDefault="00075479" w:rsidP="00D87F54">
      <w:pPr>
        <w:pStyle w:val="AATitle2"/>
        <w:ind w:left="1" w:right="4301" w:firstLine="2"/>
        <w:rPr>
          <w:rFonts w:ascii="SimHei" w:eastAsia="SimHei" w:hAnsi="SimHei"/>
          <w:sz w:val="24"/>
          <w:szCs w:val="24"/>
          <w:lang w:eastAsia="zh-CN"/>
        </w:rPr>
      </w:pPr>
      <w:r w:rsidRPr="00D341A9">
        <w:rPr>
          <w:rFonts w:ascii="SimHei" w:eastAsia="SimHei" w:hAnsi="SimHei"/>
          <w:sz w:val="24"/>
          <w:szCs w:val="24"/>
          <w:lang w:val="zh-CN" w:eastAsia="zh-CN"/>
        </w:rPr>
        <w:t>待开展的评估：野生物种可持续利用的专题评估</w:t>
      </w:r>
      <w:r w:rsidR="004B73E2">
        <w:rPr>
          <w:rFonts w:ascii="SimHei" w:eastAsia="SimHei" w:hAnsi="SimHei" w:hint="eastAsia"/>
          <w:sz w:val="24"/>
          <w:szCs w:val="24"/>
          <w:lang w:val="zh-CN" w:eastAsia="zh-CN"/>
        </w:rPr>
        <w:t>、</w:t>
      </w:r>
      <w:r w:rsidRPr="00D341A9">
        <w:rPr>
          <w:rFonts w:ascii="SimHei" w:eastAsia="SimHei" w:hAnsi="SimHei"/>
          <w:sz w:val="24"/>
          <w:szCs w:val="24"/>
          <w:lang w:val="zh-CN" w:eastAsia="zh-CN"/>
        </w:rPr>
        <w:t>自然及其惠益所具多重价值之多元概念化的方法评估以及外来入侵物种的专题评估</w:t>
      </w:r>
    </w:p>
    <w:p w14:paraId="02C81E4F" w14:textId="13A307DA" w:rsidR="00075479" w:rsidRPr="007B7AE1" w:rsidRDefault="00075479" w:rsidP="00C21D6F">
      <w:pPr>
        <w:pStyle w:val="BBTitle"/>
        <w:ind w:right="193"/>
        <w:rPr>
          <w:rFonts w:ascii="SimHei" w:eastAsia="SimHei" w:hAnsi="SimHei"/>
          <w:sz w:val="32"/>
          <w:szCs w:val="32"/>
          <w:lang w:eastAsia="zh-CN"/>
        </w:rPr>
      </w:pPr>
      <w:r w:rsidRPr="007B7AE1">
        <w:rPr>
          <w:rFonts w:ascii="SimHei" w:eastAsia="SimHei" w:hAnsi="SimHei"/>
          <w:sz w:val="32"/>
          <w:szCs w:val="32"/>
          <w:lang w:val="zh-CN" w:eastAsia="zh-CN"/>
        </w:rPr>
        <w:t>待开展的评估：野生物种可持续利用的专题评估；自然及其惠益所具多重价值之多元概念化的方法评估；以及外来入侵物种的专题评估</w:t>
      </w:r>
    </w:p>
    <w:p w14:paraId="523F7A97" w14:textId="7070F415" w:rsidR="00075479" w:rsidRPr="00D341A9" w:rsidRDefault="00075479" w:rsidP="00D341A9">
      <w:pPr>
        <w:pStyle w:val="CH2"/>
        <w:spacing w:before="120" w:after="240"/>
        <w:ind w:left="1253" w:right="288" w:hanging="1253"/>
        <w:rPr>
          <w:rFonts w:ascii="SimHei" w:eastAsia="SimHei" w:hAnsi="SimHei"/>
        </w:rPr>
      </w:pPr>
      <w:r w:rsidRPr="00D341A9">
        <w:rPr>
          <w:rFonts w:ascii="SimHei" w:eastAsia="SimHei" w:hAnsi="SimHei"/>
          <w:lang w:val="zh-CN" w:eastAsia="zh-CN"/>
        </w:rPr>
        <w:tab/>
      </w:r>
      <w:r w:rsidRPr="00D341A9">
        <w:rPr>
          <w:rFonts w:ascii="SimHei" w:eastAsia="SimHei" w:hAnsi="SimHei"/>
          <w:lang w:val="zh-CN" w:eastAsia="zh-CN"/>
        </w:rPr>
        <w:tab/>
      </w:r>
      <w:proofErr w:type="spellStart"/>
      <w:r w:rsidRPr="00D341A9">
        <w:rPr>
          <w:rFonts w:ascii="SimHei" w:eastAsia="SimHei" w:hAnsi="SimHei"/>
          <w:lang w:val="zh-CN"/>
        </w:rPr>
        <w:t>秘书处的说明</w:t>
      </w:r>
      <w:proofErr w:type="spellEnd"/>
    </w:p>
    <w:p w14:paraId="684ECE0B" w14:textId="77777777" w:rsidR="00075479" w:rsidRPr="00D341A9" w:rsidRDefault="00075479" w:rsidP="00D341A9">
      <w:pPr>
        <w:spacing w:line="240" w:lineRule="auto"/>
        <w:ind w:left="1260"/>
        <w:rPr>
          <w:rFonts w:ascii="SimHei" w:eastAsia="SimHei" w:hAnsi="SimHei" w:cs="Times New Roman"/>
          <w:b/>
          <w:sz w:val="28"/>
          <w:szCs w:val="28"/>
        </w:rPr>
      </w:pPr>
      <w:r w:rsidRPr="00D341A9">
        <w:rPr>
          <w:rFonts w:ascii="SimHei" w:eastAsia="SimHei" w:hAnsi="SimHei"/>
          <w:b/>
          <w:sz w:val="28"/>
          <w:szCs w:val="28"/>
          <w:lang w:val="zh-CN"/>
        </w:rPr>
        <w:t>导言</w:t>
      </w:r>
    </w:p>
    <w:p w14:paraId="32436F03" w14:textId="5F6C598B" w:rsidR="00075479" w:rsidRPr="007B7AE1" w:rsidRDefault="00075479" w:rsidP="00D341A9">
      <w:pPr>
        <w:pStyle w:val="Normalnumber"/>
        <w:numPr>
          <w:ilvl w:val="0"/>
          <w:numId w:val="17"/>
        </w:numPr>
        <w:tabs>
          <w:tab w:val="clear" w:pos="1247"/>
          <w:tab w:val="clear" w:pos="1871"/>
          <w:tab w:val="clear" w:pos="2495"/>
        </w:tabs>
        <w:ind w:left="1247" w:firstLine="0"/>
        <w:jc w:val="both"/>
        <w:rPr>
          <w:sz w:val="24"/>
          <w:szCs w:val="24"/>
          <w:lang w:eastAsia="zh-CN"/>
        </w:rPr>
      </w:pPr>
      <w:r w:rsidRPr="007B7AE1">
        <w:rPr>
          <w:sz w:val="24"/>
          <w:szCs w:val="24"/>
          <w:lang w:val="zh-CN" w:eastAsia="zh-CN"/>
        </w:rPr>
        <w:t>在</w:t>
      </w:r>
      <w:r w:rsidRPr="007B7AE1">
        <w:rPr>
          <w:sz w:val="24"/>
          <w:szCs w:val="24"/>
          <w:lang w:val="zh-CN" w:eastAsia="zh-CN"/>
        </w:rPr>
        <w:t xml:space="preserve"> IPBES-4/1</w:t>
      </w:r>
      <w:r w:rsidRPr="007B7AE1">
        <w:rPr>
          <w:sz w:val="24"/>
          <w:szCs w:val="24"/>
          <w:lang w:val="zh-CN" w:eastAsia="zh-CN"/>
        </w:rPr>
        <w:t>号决定中，生物多样性和生态系统服务政府间科学政策平台（生物多样性平台）全体会议</w:t>
      </w:r>
      <w:r w:rsidR="004E47A3" w:rsidRPr="007B7AE1">
        <w:rPr>
          <w:sz w:val="24"/>
          <w:szCs w:val="24"/>
          <w:lang w:val="zh-CN" w:eastAsia="zh-CN"/>
        </w:rPr>
        <w:t>核</w:t>
      </w:r>
      <w:r w:rsidRPr="007B7AE1">
        <w:rPr>
          <w:sz w:val="24"/>
          <w:szCs w:val="24"/>
          <w:lang w:val="zh-CN" w:eastAsia="zh-CN"/>
        </w:rPr>
        <w:t>准了外来入侵物种及其控制的专题评估交付品</w:t>
      </w:r>
      <w:r w:rsidRPr="007B7AE1">
        <w:rPr>
          <w:sz w:val="24"/>
          <w:szCs w:val="24"/>
          <w:lang w:val="zh-CN" w:eastAsia="zh-CN"/>
        </w:rPr>
        <w:t>3(b)(</w:t>
      </w:r>
      <w:r w:rsidRPr="007B7AE1">
        <w:rPr>
          <w:sz w:val="24"/>
          <w:szCs w:val="24"/>
          <w:lang w:val="zh-CN" w:eastAsia="zh-CN"/>
        </w:rPr>
        <w:t>二</w:t>
      </w:r>
      <w:r w:rsidRPr="007B7AE1">
        <w:rPr>
          <w:sz w:val="24"/>
          <w:szCs w:val="24"/>
          <w:lang w:val="zh-CN" w:eastAsia="zh-CN"/>
        </w:rPr>
        <w:t>)</w:t>
      </w:r>
      <w:r w:rsidRPr="007B7AE1">
        <w:rPr>
          <w:sz w:val="24"/>
          <w:szCs w:val="24"/>
          <w:lang w:val="zh-CN" w:eastAsia="zh-CN"/>
        </w:rPr>
        <w:t>的范围界定报告（转载于背景文件</w:t>
      </w:r>
      <w:r w:rsidRPr="007B7AE1">
        <w:rPr>
          <w:sz w:val="24"/>
          <w:szCs w:val="24"/>
          <w:lang w:val="zh-CN" w:eastAsia="zh-CN"/>
        </w:rPr>
        <w:t>IPBES/6/INF/10</w:t>
      </w:r>
      <w:r w:rsidRPr="007B7AE1">
        <w:rPr>
          <w:sz w:val="24"/>
          <w:szCs w:val="24"/>
          <w:lang w:val="zh-CN" w:eastAsia="zh-CN"/>
        </w:rPr>
        <w:t>），以及自然及其惠益所具多重价值之多元概念化的方法评估交付品</w:t>
      </w:r>
      <w:r w:rsidRPr="007B7AE1">
        <w:rPr>
          <w:sz w:val="24"/>
          <w:szCs w:val="24"/>
          <w:lang w:val="zh-CN" w:eastAsia="zh-CN"/>
        </w:rPr>
        <w:t>3(d)</w:t>
      </w:r>
      <w:r w:rsidRPr="007B7AE1">
        <w:rPr>
          <w:sz w:val="24"/>
          <w:szCs w:val="24"/>
          <w:lang w:val="zh-CN" w:eastAsia="zh-CN"/>
        </w:rPr>
        <w:t>的范围界定修订报告（转载于背景文件</w:t>
      </w:r>
      <w:r w:rsidRPr="007B7AE1">
        <w:rPr>
          <w:sz w:val="24"/>
          <w:szCs w:val="24"/>
          <w:lang w:val="zh-CN" w:eastAsia="zh-CN"/>
        </w:rPr>
        <w:t>IPBES/6/INF/9</w:t>
      </w:r>
      <w:r w:rsidRPr="007B7AE1">
        <w:rPr>
          <w:sz w:val="24"/>
          <w:szCs w:val="24"/>
          <w:lang w:val="zh-CN" w:eastAsia="zh-CN"/>
        </w:rPr>
        <w:t>）。</w:t>
      </w:r>
    </w:p>
    <w:p w14:paraId="600698F5" w14:textId="11059B31" w:rsidR="00075479" w:rsidRPr="007B7AE1" w:rsidRDefault="00075479" w:rsidP="00FC4EF8">
      <w:pPr>
        <w:pStyle w:val="Normalnumber"/>
        <w:numPr>
          <w:ilvl w:val="0"/>
          <w:numId w:val="17"/>
        </w:numPr>
        <w:tabs>
          <w:tab w:val="clear" w:pos="624"/>
          <w:tab w:val="clear" w:pos="1871"/>
          <w:tab w:val="clear" w:pos="2495"/>
          <w:tab w:val="num" w:pos="720"/>
          <w:tab w:val="left" w:pos="1814"/>
          <w:tab w:val="left" w:pos="2381"/>
          <w:tab w:val="left" w:pos="2948"/>
          <w:tab w:val="left" w:pos="3515"/>
        </w:tabs>
        <w:ind w:left="1247" w:firstLine="0"/>
        <w:jc w:val="both"/>
        <w:rPr>
          <w:sz w:val="24"/>
          <w:szCs w:val="24"/>
          <w:lang w:eastAsia="zh-CN"/>
        </w:rPr>
      </w:pPr>
      <w:r w:rsidRPr="007B7AE1">
        <w:rPr>
          <w:sz w:val="24"/>
          <w:szCs w:val="24"/>
          <w:lang w:val="zh-CN" w:eastAsia="zh-CN"/>
        </w:rPr>
        <w:t>在</w:t>
      </w:r>
      <w:r w:rsidRPr="007B7AE1">
        <w:rPr>
          <w:sz w:val="24"/>
          <w:szCs w:val="24"/>
          <w:lang w:val="zh-CN" w:eastAsia="zh-CN"/>
        </w:rPr>
        <w:t xml:space="preserve"> IPBES-5/1</w:t>
      </w:r>
      <w:r w:rsidRPr="007B7AE1">
        <w:rPr>
          <w:sz w:val="24"/>
          <w:szCs w:val="24"/>
          <w:lang w:val="zh-CN" w:eastAsia="zh-CN"/>
        </w:rPr>
        <w:t>号决定中，全体会议</w:t>
      </w:r>
      <w:r w:rsidR="005E23BC" w:rsidRPr="007B7AE1">
        <w:rPr>
          <w:sz w:val="24"/>
          <w:szCs w:val="24"/>
          <w:lang w:val="zh-CN" w:eastAsia="zh-CN"/>
        </w:rPr>
        <w:t>核</w:t>
      </w:r>
      <w:r w:rsidRPr="007B7AE1">
        <w:rPr>
          <w:sz w:val="24"/>
          <w:szCs w:val="24"/>
          <w:lang w:val="zh-CN" w:eastAsia="zh-CN"/>
        </w:rPr>
        <w:t>准了野生物种可持续利用的专题评估交付品</w:t>
      </w:r>
      <w:r w:rsidRPr="007B7AE1">
        <w:rPr>
          <w:sz w:val="24"/>
          <w:szCs w:val="24"/>
          <w:lang w:val="zh-CN" w:eastAsia="zh-CN"/>
        </w:rPr>
        <w:t>3(b)(</w:t>
      </w:r>
      <w:r w:rsidRPr="007B7AE1">
        <w:rPr>
          <w:sz w:val="24"/>
          <w:szCs w:val="24"/>
          <w:lang w:val="zh-CN" w:eastAsia="zh-CN"/>
        </w:rPr>
        <w:t>三</w:t>
      </w:r>
      <w:r w:rsidRPr="007B7AE1">
        <w:rPr>
          <w:sz w:val="24"/>
          <w:szCs w:val="24"/>
          <w:lang w:val="zh-CN" w:eastAsia="zh-CN"/>
        </w:rPr>
        <w:t>)</w:t>
      </w:r>
      <w:r w:rsidRPr="007B7AE1">
        <w:rPr>
          <w:sz w:val="24"/>
          <w:szCs w:val="24"/>
          <w:lang w:val="zh-CN" w:eastAsia="zh-CN"/>
        </w:rPr>
        <w:t>的范围界定报告（转载于背景文件</w:t>
      </w:r>
      <w:r w:rsidRPr="007B7AE1">
        <w:rPr>
          <w:sz w:val="24"/>
          <w:szCs w:val="24"/>
          <w:lang w:val="zh-CN" w:eastAsia="zh-CN"/>
        </w:rPr>
        <w:t>IPBES/6/INF/</w:t>
      </w:r>
      <w:r w:rsidR="00206FA9">
        <w:rPr>
          <w:sz w:val="24"/>
          <w:szCs w:val="24"/>
          <w:lang w:val="en-US" w:eastAsia="zh-CN"/>
        </w:rPr>
        <w:t>8</w:t>
      </w:r>
      <w:r w:rsidRPr="007B7AE1">
        <w:rPr>
          <w:sz w:val="24"/>
          <w:szCs w:val="24"/>
          <w:lang w:val="zh-CN" w:eastAsia="zh-CN"/>
        </w:rPr>
        <w:t>）。在同一决定中，全体会议请多学科专家小组与主席团磋商，在生物多样性平台其他评估的主要科学结果基础上，评价是否有必要对已经核准的范围界定报告进行任何修改，如需大幅改动请向全体会议报告。</w:t>
      </w:r>
      <w:bookmarkStart w:id="1" w:name="_Hlk499657637"/>
      <w:bookmarkEnd w:id="1"/>
    </w:p>
    <w:p w14:paraId="7826EB28" w14:textId="5F590555" w:rsidR="00075479" w:rsidRPr="00D341A9" w:rsidRDefault="00075479" w:rsidP="00D341A9">
      <w:pPr>
        <w:pStyle w:val="Normalnumber"/>
        <w:numPr>
          <w:ilvl w:val="0"/>
          <w:numId w:val="17"/>
        </w:numPr>
        <w:tabs>
          <w:tab w:val="clear" w:pos="624"/>
          <w:tab w:val="clear" w:pos="1871"/>
          <w:tab w:val="clear" w:pos="2495"/>
          <w:tab w:val="num" w:pos="720"/>
          <w:tab w:val="left" w:pos="1814"/>
          <w:tab w:val="left" w:pos="2381"/>
          <w:tab w:val="left" w:pos="2948"/>
          <w:tab w:val="left" w:pos="3515"/>
        </w:tabs>
        <w:ind w:left="1247" w:firstLine="0"/>
        <w:jc w:val="both"/>
        <w:rPr>
          <w:sz w:val="24"/>
          <w:szCs w:val="24"/>
          <w:lang w:eastAsia="zh-CN"/>
        </w:rPr>
      </w:pPr>
      <w:r w:rsidRPr="007B7AE1">
        <w:rPr>
          <w:sz w:val="24"/>
          <w:szCs w:val="24"/>
          <w:lang w:val="zh-CN" w:eastAsia="zh-CN"/>
        </w:rPr>
        <w:t>此外，在关于财政和预算安排的</w:t>
      </w:r>
      <w:r w:rsidRPr="007B7AE1">
        <w:rPr>
          <w:sz w:val="24"/>
          <w:szCs w:val="24"/>
          <w:lang w:val="zh-CN" w:eastAsia="zh-CN"/>
        </w:rPr>
        <w:t>IPBES-5/6</w:t>
      </w:r>
      <w:r w:rsidRPr="007B7AE1">
        <w:rPr>
          <w:sz w:val="24"/>
          <w:szCs w:val="24"/>
          <w:lang w:val="zh-CN" w:eastAsia="zh-CN"/>
        </w:rPr>
        <w:t>号决定第</w:t>
      </w:r>
      <w:r w:rsidRPr="007B7AE1">
        <w:rPr>
          <w:sz w:val="24"/>
          <w:szCs w:val="24"/>
          <w:lang w:val="zh-CN" w:eastAsia="zh-CN"/>
        </w:rPr>
        <w:t>5</w:t>
      </w:r>
      <w:r w:rsidRPr="007B7AE1">
        <w:rPr>
          <w:sz w:val="24"/>
          <w:szCs w:val="24"/>
          <w:lang w:val="zh-CN" w:eastAsia="zh-CN"/>
        </w:rPr>
        <w:t>段，全体会议决定在其第六届会议上，在具备足够资金的前提下，审议上文第</w:t>
      </w:r>
      <w:r w:rsidRPr="007B7AE1">
        <w:rPr>
          <w:sz w:val="24"/>
          <w:szCs w:val="24"/>
          <w:lang w:val="zh-CN" w:eastAsia="zh-CN"/>
        </w:rPr>
        <w:t>1</w:t>
      </w:r>
      <w:r w:rsidRPr="007B7AE1">
        <w:rPr>
          <w:sz w:val="24"/>
          <w:szCs w:val="24"/>
          <w:lang w:val="zh-CN" w:eastAsia="zh-CN"/>
        </w:rPr>
        <w:t>和第</w:t>
      </w:r>
      <w:r w:rsidRPr="007B7AE1">
        <w:rPr>
          <w:sz w:val="24"/>
          <w:szCs w:val="24"/>
          <w:lang w:val="zh-CN" w:eastAsia="zh-CN"/>
        </w:rPr>
        <w:t>2</w:t>
      </w:r>
      <w:r w:rsidRPr="007B7AE1">
        <w:rPr>
          <w:sz w:val="24"/>
          <w:szCs w:val="24"/>
          <w:lang w:val="zh-CN" w:eastAsia="zh-CN"/>
        </w:rPr>
        <w:t>段提及的三项评估，在本文件中称为</w:t>
      </w:r>
      <w:r w:rsidR="001F583B" w:rsidRPr="007B7AE1">
        <w:rPr>
          <w:sz w:val="24"/>
          <w:szCs w:val="24"/>
          <w:lang w:val="zh-CN" w:eastAsia="zh-CN"/>
        </w:rPr>
        <w:t>三项</w:t>
      </w:r>
      <w:r w:rsidRPr="007B7AE1">
        <w:rPr>
          <w:sz w:val="24"/>
          <w:szCs w:val="24"/>
          <w:lang w:val="zh-CN" w:eastAsia="zh-CN"/>
        </w:rPr>
        <w:t>待开展的评估。</w:t>
      </w:r>
    </w:p>
    <w:p w14:paraId="08185CEA" w14:textId="4A77634E" w:rsidR="00075479" w:rsidRPr="007332FD" w:rsidRDefault="00075479" w:rsidP="00D341A9">
      <w:pPr>
        <w:pStyle w:val="Normalnumber"/>
        <w:numPr>
          <w:ilvl w:val="0"/>
          <w:numId w:val="17"/>
        </w:numPr>
        <w:tabs>
          <w:tab w:val="clear" w:pos="624"/>
          <w:tab w:val="clear" w:pos="1871"/>
          <w:tab w:val="clear" w:pos="2495"/>
          <w:tab w:val="num" w:pos="720"/>
          <w:tab w:val="left" w:pos="1814"/>
          <w:tab w:val="left" w:pos="2381"/>
          <w:tab w:val="left" w:pos="2948"/>
          <w:tab w:val="left" w:pos="3515"/>
        </w:tabs>
        <w:ind w:left="1247" w:firstLine="0"/>
        <w:jc w:val="both"/>
        <w:rPr>
          <w:sz w:val="24"/>
          <w:szCs w:val="24"/>
          <w:lang w:eastAsia="zh-CN"/>
        </w:rPr>
      </w:pPr>
      <w:r w:rsidRPr="007332FD">
        <w:rPr>
          <w:sz w:val="24"/>
          <w:szCs w:val="24"/>
          <w:lang w:val="zh-CN" w:eastAsia="zh-CN"/>
        </w:rPr>
        <w:t>按照上述决定，本说明第一节</w:t>
      </w:r>
      <w:r w:rsidRPr="007332FD">
        <w:rPr>
          <w:sz w:val="24"/>
          <w:szCs w:val="24"/>
          <w:lang w:val="zh-CN" w:eastAsia="zh-CN"/>
        </w:rPr>
        <w:t>A</w:t>
      </w:r>
      <w:r w:rsidRPr="007332FD">
        <w:rPr>
          <w:sz w:val="24"/>
          <w:szCs w:val="24"/>
          <w:lang w:val="zh-CN" w:eastAsia="zh-CN"/>
        </w:rPr>
        <w:t>分节载有多学科专家小组和主席团关于</w:t>
      </w:r>
      <w:r w:rsidR="001F583B" w:rsidRPr="007332FD">
        <w:rPr>
          <w:sz w:val="24"/>
          <w:szCs w:val="24"/>
          <w:lang w:val="zh-CN" w:eastAsia="zh-CN"/>
        </w:rPr>
        <w:t>是否有必要</w:t>
      </w:r>
      <w:r w:rsidRPr="007332FD">
        <w:rPr>
          <w:sz w:val="24"/>
          <w:szCs w:val="24"/>
          <w:lang w:val="zh-CN" w:eastAsia="zh-CN"/>
        </w:rPr>
        <w:t>在生物多样性平台其他评估的主要科学结果基础上，对已经核准的三项待开展的评估的范围界定报告进行任何修改的建议。</w:t>
      </w:r>
      <w:r w:rsidRPr="007332FD">
        <w:rPr>
          <w:sz w:val="24"/>
          <w:szCs w:val="24"/>
          <w:lang w:val="zh-CN" w:eastAsia="zh-CN"/>
        </w:rPr>
        <w:t>B</w:t>
      </w:r>
      <w:r w:rsidRPr="007332FD">
        <w:rPr>
          <w:sz w:val="24"/>
          <w:szCs w:val="24"/>
          <w:lang w:val="zh-CN" w:eastAsia="zh-CN"/>
        </w:rPr>
        <w:t>分节建议对三份范围</w:t>
      </w:r>
      <w:r w:rsidRPr="007332FD">
        <w:rPr>
          <w:sz w:val="24"/>
          <w:szCs w:val="24"/>
          <w:lang w:val="zh-CN" w:eastAsia="zh-CN"/>
        </w:rPr>
        <w:lastRenderedPageBreak/>
        <w:t>界定报告中</w:t>
      </w:r>
      <w:r w:rsidR="001F583B" w:rsidRPr="007332FD">
        <w:rPr>
          <w:sz w:val="24"/>
          <w:szCs w:val="24"/>
          <w:lang w:val="zh-CN" w:eastAsia="zh-CN"/>
        </w:rPr>
        <w:t>介绍</w:t>
      </w:r>
      <w:r w:rsidRPr="007332FD">
        <w:rPr>
          <w:sz w:val="24"/>
          <w:szCs w:val="24"/>
          <w:lang w:val="zh-CN" w:eastAsia="zh-CN"/>
        </w:rPr>
        <w:t>的方法进行一些修改，并说明</w:t>
      </w:r>
      <w:r w:rsidR="001F583B" w:rsidRPr="007332FD">
        <w:rPr>
          <w:sz w:val="24"/>
          <w:szCs w:val="24"/>
          <w:lang w:val="zh-CN" w:eastAsia="zh-CN"/>
        </w:rPr>
        <w:t>其</w:t>
      </w:r>
      <w:r w:rsidRPr="007332FD">
        <w:rPr>
          <w:sz w:val="24"/>
          <w:szCs w:val="24"/>
          <w:lang w:val="zh-CN" w:eastAsia="zh-CN"/>
        </w:rPr>
        <w:t>对每项评估的费用的影响。三项待开展的评估</w:t>
      </w:r>
      <w:r w:rsidR="001F583B" w:rsidRPr="007332FD">
        <w:rPr>
          <w:sz w:val="24"/>
          <w:szCs w:val="24"/>
          <w:lang w:val="zh-CN" w:eastAsia="zh-CN"/>
        </w:rPr>
        <w:t>各自</w:t>
      </w:r>
      <w:r w:rsidRPr="007332FD">
        <w:rPr>
          <w:sz w:val="24"/>
          <w:szCs w:val="24"/>
          <w:lang w:val="zh-CN" w:eastAsia="zh-CN"/>
        </w:rPr>
        <w:t>经修订的</w:t>
      </w:r>
      <w:r w:rsidR="005E23BC" w:rsidRPr="007332FD">
        <w:rPr>
          <w:sz w:val="24"/>
          <w:szCs w:val="24"/>
          <w:lang w:val="zh-CN" w:eastAsia="zh-CN"/>
        </w:rPr>
        <w:t>建议</w:t>
      </w:r>
      <w:r w:rsidRPr="007332FD">
        <w:rPr>
          <w:sz w:val="24"/>
          <w:szCs w:val="24"/>
          <w:lang w:val="zh-CN" w:eastAsia="zh-CN"/>
        </w:rPr>
        <w:t>总费用载于本说明附件。</w:t>
      </w:r>
    </w:p>
    <w:p w14:paraId="29B12865" w14:textId="7D1B1E6C" w:rsidR="00075479" w:rsidRPr="007332FD" w:rsidRDefault="00075479" w:rsidP="00D341A9">
      <w:pPr>
        <w:pStyle w:val="Normalnumber"/>
        <w:numPr>
          <w:ilvl w:val="0"/>
          <w:numId w:val="17"/>
        </w:numPr>
        <w:tabs>
          <w:tab w:val="clear" w:pos="1247"/>
          <w:tab w:val="clear" w:pos="1871"/>
          <w:tab w:val="clear" w:pos="2495"/>
        </w:tabs>
        <w:ind w:left="1247" w:firstLine="0"/>
        <w:jc w:val="both"/>
        <w:rPr>
          <w:sz w:val="24"/>
          <w:szCs w:val="24"/>
          <w:lang w:eastAsia="zh-CN"/>
        </w:rPr>
      </w:pPr>
      <w:r w:rsidRPr="007332FD">
        <w:rPr>
          <w:sz w:val="24"/>
          <w:szCs w:val="24"/>
          <w:lang w:val="zh-CN" w:eastAsia="zh-CN"/>
        </w:rPr>
        <w:t>第二节载列多学科专家小组和主席团就三项待开展的评估可能的启动顺序提出的进一步建议。</w:t>
      </w:r>
    </w:p>
    <w:p w14:paraId="0C6764B0" w14:textId="32A9BFAF" w:rsidR="00075479" w:rsidRPr="00D341A9" w:rsidRDefault="00075479" w:rsidP="00D341A9">
      <w:pPr>
        <w:pStyle w:val="Normalnumber"/>
        <w:numPr>
          <w:ilvl w:val="0"/>
          <w:numId w:val="17"/>
        </w:numPr>
        <w:tabs>
          <w:tab w:val="clear" w:pos="624"/>
          <w:tab w:val="clear" w:pos="1871"/>
          <w:tab w:val="clear" w:pos="2495"/>
          <w:tab w:val="num" w:pos="720"/>
          <w:tab w:val="left" w:pos="1814"/>
          <w:tab w:val="left" w:pos="2381"/>
          <w:tab w:val="left" w:pos="2948"/>
          <w:tab w:val="left" w:pos="3515"/>
        </w:tabs>
        <w:ind w:left="1247" w:firstLine="0"/>
        <w:jc w:val="both"/>
        <w:rPr>
          <w:sz w:val="24"/>
          <w:szCs w:val="24"/>
          <w:lang w:eastAsia="zh-CN"/>
        </w:rPr>
      </w:pPr>
      <w:r w:rsidRPr="007332FD">
        <w:rPr>
          <w:sz w:val="24"/>
          <w:szCs w:val="24"/>
          <w:lang w:val="zh-CN" w:eastAsia="zh-CN"/>
        </w:rPr>
        <w:t>第三节</w:t>
      </w:r>
      <w:r w:rsidR="001F583B" w:rsidRPr="007332FD">
        <w:rPr>
          <w:sz w:val="24"/>
          <w:szCs w:val="24"/>
          <w:lang w:val="zh-CN" w:eastAsia="zh-CN"/>
        </w:rPr>
        <w:t>就</w:t>
      </w:r>
      <w:r w:rsidRPr="007332FD">
        <w:rPr>
          <w:sz w:val="24"/>
          <w:szCs w:val="24"/>
          <w:lang w:val="zh-CN" w:eastAsia="zh-CN"/>
        </w:rPr>
        <w:t>全体会议不妨采取的行动</w:t>
      </w:r>
      <w:r w:rsidR="001F583B" w:rsidRPr="007332FD">
        <w:rPr>
          <w:sz w:val="24"/>
          <w:szCs w:val="24"/>
          <w:lang w:val="zh-CN" w:eastAsia="zh-CN"/>
        </w:rPr>
        <w:t>提出建议</w:t>
      </w:r>
      <w:r w:rsidRPr="00D341A9">
        <w:rPr>
          <w:sz w:val="24"/>
          <w:szCs w:val="24"/>
          <w:lang w:val="zh-CN" w:eastAsia="zh-CN"/>
        </w:rPr>
        <w:t>。</w:t>
      </w:r>
    </w:p>
    <w:p w14:paraId="758E7E0A" w14:textId="72D8F1CD" w:rsidR="00075479" w:rsidRPr="00D341A9" w:rsidRDefault="00D341A9" w:rsidP="00A2135D">
      <w:pPr>
        <w:pStyle w:val="CH1"/>
        <w:ind w:hanging="887"/>
        <w:rPr>
          <w:rFonts w:ascii="SimHei" w:eastAsia="SimHei" w:hAnsi="SimHei"/>
        </w:rPr>
      </w:pPr>
      <w:bookmarkStart w:id="2" w:name="_Hlk499658600"/>
      <w:r w:rsidRPr="00D341A9">
        <w:rPr>
          <w:rFonts w:ascii="SimHei" w:eastAsia="SimHei" w:hAnsi="SimHei" w:hint="eastAsia"/>
          <w:lang w:val="zh-CN" w:eastAsia="zh-CN"/>
        </w:rPr>
        <w:tab/>
      </w:r>
      <w:r w:rsidR="00075479" w:rsidRPr="00D341A9">
        <w:rPr>
          <w:rFonts w:ascii="SimHei" w:eastAsia="SimHei" w:hAnsi="SimHei"/>
          <w:lang w:val="zh-CN"/>
        </w:rPr>
        <w:t>一</w:t>
      </w:r>
      <w:r w:rsidRPr="00D341A9">
        <w:rPr>
          <w:rFonts w:ascii="SimHei" w:eastAsia="SimHei" w:hAnsi="SimHei" w:hint="eastAsia"/>
          <w:lang w:val="zh-CN"/>
        </w:rPr>
        <w:t>、</w:t>
      </w:r>
      <w:r w:rsidR="00075479" w:rsidRPr="00D341A9">
        <w:rPr>
          <w:rFonts w:ascii="SimHei" w:eastAsia="SimHei" w:hAnsi="SimHei"/>
          <w:lang w:val="zh-CN"/>
        </w:rPr>
        <w:tab/>
      </w:r>
      <w:proofErr w:type="spellStart"/>
      <w:r w:rsidR="00075479" w:rsidRPr="00D341A9">
        <w:rPr>
          <w:rFonts w:ascii="SimHei" w:eastAsia="SimHei" w:hAnsi="SimHei"/>
          <w:lang w:val="zh-CN"/>
        </w:rPr>
        <w:t>范围界定报告</w:t>
      </w:r>
      <w:proofErr w:type="spellEnd"/>
    </w:p>
    <w:p w14:paraId="7686381F" w14:textId="658C09DB" w:rsidR="00075479" w:rsidRPr="00D341A9" w:rsidRDefault="001F583B" w:rsidP="00D341A9">
      <w:pPr>
        <w:pStyle w:val="Normalnumber"/>
        <w:numPr>
          <w:ilvl w:val="0"/>
          <w:numId w:val="17"/>
        </w:numPr>
        <w:tabs>
          <w:tab w:val="clear" w:pos="624"/>
          <w:tab w:val="clear" w:pos="1871"/>
          <w:tab w:val="clear" w:pos="2495"/>
          <w:tab w:val="num" w:pos="720"/>
          <w:tab w:val="left" w:pos="1814"/>
          <w:tab w:val="left" w:pos="2381"/>
          <w:tab w:val="left" w:pos="2948"/>
          <w:tab w:val="left" w:pos="3515"/>
        </w:tabs>
        <w:ind w:left="1253" w:firstLine="0"/>
        <w:jc w:val="both"/>
        <w:rPr>
          <w:sz w:val="24"/>
          <w:szCs w:val="24"/>
          <w:lang w:eastAsia="zh-CN"/>
        </w:rPr>
      </w:pPr>
      <w:r w:rsidRPr="007332FD">
        <w:rPr>
          <w:sz w:val="24"/>
          <w:szCs w:val="24"/>
          <w:lang w:val="zh-CN" w:eastAsia="zh-CN"/>
        </w:rPr>
        <w:t>应</w:t>
      </w:r>
      <w:r w:rsidR="00075479" w:rsidRPr="007332FD">
        <w:rPr>
          <w:sz w:val="24"/>
          <w:szCs w:val="24"/>
          <w:lang w:val="zh-CN" w:eastAsia="zh-CN"/>
        </w:rPr>
        <w:t>全体会议</w:t>
      </w:r>
      <w:r w:rsidRPr="007332FD">
        <w:rPr>
          <w:sz w:val="24"/>
          <w:szCs w:val="24"/>
          <w:lang w:val="zh-CN" w:eastAsia="zh-CN"/>
        </w:rPr>
        <w:t>关于</w:t>
      </w:r>
      <w:r w:rsidR="00075479" w:rsidRPr="007332FD">
        <w:rPr>
          <w:sz w:val="24"/>
          <w:szCs w:val="24"/>
          <w:lang w:val="zh-CN" w:eastAsia="zh-CN"/>
        </w:rPr>
        <w:t>在</w:t>
      </w:r>
      <w:r w:rsidR="00075479" w:rsidRPr="007332FD">
        <w:rPr>
          <w:sz w:val="24"/>
          <w:szCs w:val="24"/>
          <w:lang w:val="zh-CN" w:eastAsia="zh-CN"/>
        </w:rPr>
        <w:t>2017</w:t>
      </w:r>
      <w:r w:rsidR="00075479" w:rsidRPr="007332FD">
        <w:rPr>
          <w:sz w:val="24"/>
          <w:szCs w:val="24"/>
          <w:lang w:val="zh-CN" w:eastAsia="zh-CN"/>
        </w:rPr>
        <w:t>年</w:t>
      </w:r>
      <w:r w:rsidR="00075479" w:rsidRPr="007332FD">
        <w:rPr>
          <w:sz w:val="24"/>
          <w:szCs w:val="24"/>
          <w:lang w:val="zh-CN" w:eastAsia="zh-CN"/>
        </w:rPr>
        <w:t>10</w:t>
      </w:r>
      <w:r w:rsidR="00075479" w:rsidRPr="007332FD">
        <w:rPr>
          <w:sz w:val="24"/>
          <w:szCs w:val="24"/>
          <w:lang w:val="zh-CN" w:eastAsia="zh-CN"/>
        </w:rPr>
        <w:t>月</w:t>
      </w:r>
      <w:r w:rsidRPr="007332FD">
        <w:rPr>
          <w:sz w:val="24"/>
          <w:szCs w:val="24"/>
          <w:lang w:val="zh-CN" w:eastAsia="zh-CN"/>
        </w:rPr>
        <w:t>的第十次会议上评价是否有必要对</w:t>
      </w:r>
      <w:r w:rsidR="00075479" w:rsidRPr="007332FD">
        <w:rPr>
          <w:sz w:val="24"/>
          <w:szCs w:val="24"/>
          <w:lang w:val="zh-CN" w:eastAsia="zh-CN"/>
        </w:rPr>
        <w:t>三份范围界定报告进行修改的要求，多学科专家小组和主席团提出</w:t>
      </w:r>
      <w:r w:rsidRPr="007332FD">
        <w:rPr>
          <w:sz w:val="24"/>
          <w:szCs w:val="24"/>
          <w:lang w:val="zh-CN" w:eastAsia="zh-CN"/>
        </w:rPr>
        <w:t>下文</w:t>
      </w:r>
      <w:r w:rsidRPr="007332FD">
        <w:rPr>
          <w:sz w:val="24"/>
          <w:szCs w:val="24"/>
          <w:lang w:val="zh-CN" w:eastAsia="zh-CN"/>
        </w:rPr>
        <w:t>A</w:t>
      </w:r>
      <w:r w:rsidRPr="007332FD">
        <w:rPr>
          <w:sz w:val="24"/>
          <w:szCs w:val="24"/>
          <w:lang w:val="zh-CN" w:eastAsia="zh-CN"/>
        </w:rPr>
        <w:t>和</w:t>
      </w:r>
      <w:r w:rsidRPr="007332FD">
        <w:rPr>
          <w:sz w:val="24"/>
          <w:szCs w:val="24"/>
          <w:lang w:val="zh-CN" w:eastAsia="zh-CN"/>
        </w:rPr>
        <w:t>B</w:t>
      </w:r>
      <w:r w:rsidRPr="007332FD">
        <w:rPr>
          <w:sz w:val="24"/>
          <w:szCs w:val="24"/>
          <w:lang w:val="zh-CN" w:eastAsia="zh-CN"/>
        </w:rPr>
        <w:t>分节所载的各项</w:t>
      </w:r>
      <w:r w:rsidR="00075479" w:rsidRPr="007332FD">
        <w:rPr>
          <w:sz w:val="24"/>
          <w:szCs w:val="24"/>
          <w:lang w:val="zh-CN" w:eastAsia="zh-CN"/>
        </w:rPr>
        <w:t>建议</w:t>
      </w:r>
      <w:r w:rsidR="00075479" w:rsidRPr="00D341A9">
        <w:rPr>
          <w:sz w:val="24"/>
          <w:szCs w:val="24"/>
          <w:lang w:val="zh-CN" w:eastAsia="zh-CN"/>
        </w:rPr>
        <w:t>。</w:t>
      </w:r>
    </w:p>
    <w:p w14:paraId="1623EC15" w14:textId="3EC2BC9F" w:rsidR="00075479" w:rsidRPr="00D341A9" w:rsidRDefault="00D341A9" w:rsidP="008D7FE9">
      <w:pPr>
        <w:pStyle w:val="CH2"/>
        <w:jc w:val="both"/>
        <w:outlineLvl w:val="0"/>
        <w:rPr>
          <w:rFonts w:eastAsia="MS Mincho"/>
        </w:rPr>
      </w:pPr>
      <w:bookmarkStart w:id="3" w:name="_Hlk499884919"/>
      <w:r w:rsidRPr="00D341A9">
        <w:rPr>
          <w:rFonts w:hint="eastAsia"/>
          <w:lang w:val="zh-CN" w:eastAsia="zh-CN"/>
        </w:rPr>
        <w:tab/>
      </w:r>
      <w:r w:rsidR="00075479" w:rsidRPr="00D341A9">
        <w:rPr>
          <w:lang w:val="zh-CN"/>
        </w:rPr>
        <w:t>A.</w:t>
      </w:r>
      <w:r w:rsidR="00075479" w:rsidRPr="00D341A9">
        <w:rPr>
          <w:lang w:val="zh-CN"/>
        </w:rPr>
        <w:tab/>
      </w:r>
      <w:proofErr w:type="spellStart"/>
      <w:r w:rsidR="00075479" w:rsidRPr="00D341A9">
        <w:rPr>
          <w:rFonts w:ascii="SimHei" w:eastAsia="SimHei" w:hAnsi="SimHei"/>
          <w:lang w:val="zh-CN"/>
        </w:rPr>
        <w:t>总体范围</w:t>
      </w:r>
      <w:bookmarkEnd w:id="2"/>
      <w:proofErr w:type="spellEnd"/>
    </w:p>
    <w:p w14:paraId="7B24ADFA" w14:textId="77777777" w:rsidR="00075479" w:rsidRPr="00D341A9" w:rsidRDefault="00075479" w:rsidP="00D341A9">
      <w:pPr>
        <w:pStyle w:val="Normalnumber"/>
        <w:numPr>
          <w:ilvl w:val="0"/>
          <w:numId w:val="17"/>
        </w:numPr>
        <w:tabs>
          <w:tab w:val="clear" w:pos="624"/>
          <w:tab w:val="clear" w:pos="1871"/>
          <w:tab w:val="clear" w:pos="2495"/>
          <w:tab w:val="num" w:pos="720"/>
          <w:tab w:val="left" w:pos="1814"/>
          <w:tab w:val="left" w:pos="2381"/>
          <w:tab w:val="left" w:pos="2948"/>
          <w:tab w:val="left" w:pos="3515"/>
        </w:tabs>
        <w:ind w:left="1253" w:firstLine="0"/>
        <w:jc w:val="both"/>
        <w:rPr>
          <w:sz w:val="24"/>
          <w:szCs w:val="24"/>
          <w:lang w:eastAsia="zh-CN"/>
        </w:rPr>
      </w:pPr>
      <w:bookmarkStart w:id="4" w:name="_Hlk499885067"/>
      <w:bookmarkEnd w:id="3"/>
      <w:r w:rsidRPr="00D341A9">
        <w:rPr>
          <w:sz w:val="24"/>
          <w:szCs w:val="24"/>
          <w:lang w:val="zh-CN" w:eastAsia="zh-CN"/>
        </w:rPr>
        <w:t>关于三项待开展的评估的总体范围，多学科专家小组的结论是，不需要根据生物多样性平台其他评估的主要科学结果进行修改。</w:t>
      </w:r>
      <w:bookmarkStart w:id="5" w:name="_Hlk499885341"/>
      <w:bookmarkEnd w:id="5"/>
    </w:p>
    <w:bookmarkEnd w:id="4"/>
    <w:p w14:paraId="4933538B" w14:textId="4FCAFA46" w:rsidR="00075479" w:rsidRPr="00D341A9" w:rsidRDefault="00D341A9" w:rsidP="008D7FE9">
      <w:pPr>
        <w:pStyle w:val="CH2"/>
        <w:jc w:val="both"/>
        <w:outlineLvl w:val="0"/>
        <w:rPr>
          <w:rFonts w:eastAsia="MS Mincho"/>
          <w:b w:val="0"/>
        </w:rPr>
      </w:pPr>
      <w:r w:rsidRPr="00D341A9">
        <w:rPr>
          <w:rFonts w:hint="eastAsia"/>
          <w:lang w:val="zh-CN" w:eastAsia="zh-CN"/>
        </w:rPr>
        <w:tab/>
      </w:r>
      <w:r w:rsidR="00887131" w:rsidRPr="00D341A9">
        <w:rPr>
          <w:lang w:val="zh-CN"/>
        </w:rPr>
        <w:t>B.</w:t>
      </w:r>
      <w:r w:rsidR="00887131" w:rsidRPr="00D341A9">
        <w:rPr>
          <w:lang w:val="zh-CN"/>
        </w:rPr>
        <w:tab/>
      </w:r>
      <w:proofErr w:type="spellStart"/>
      <w:r w:rsidR="00887131" w:rsidRPr="00D341A9">
        <w:rPr>
          <w:rFonts w:ascii="SimHei" w:eastAsia="SimHei" w:hAnsi="SimHei"/>
          <w:lang w:val="zh-CN"/>
        </w:rPr>
        <w:t>方法和费用估算</w:t>
      </w:r>
      <w:proofErr w:type="spellEnd"/>
    </w:p>
    <w:p w14:paraId="5118E1EC" w14:textId="7F1EB18C" w:rsidR="00075479" w:rsidRPr="00ED7A27" w:rsidRDefault="00075479" w:rsidP="00D341A9">
      <w:pPr>
        <w:numPr>
          <w:ilvl w:val="0"/>
          <w:numId w:val="17"/>
        </w:numPr>
        <w:tabs>
          <w:tab w:val="num" w:pos="720"/>
          <w:tab w:val="left" w:pos="1247"/>
          <w:tab w:val="left" w:pos="1814"/>
          <w:tab w:val="left" w:pos="2381"/>
          <w:tab w:val="left" w:pos="2948"/>
          <w:tab w:val="left" w:pos="3515"/>
        </w:tabs>
        <w:spacing w:line="240" w:lineRule="auto"/>
        <w:ind w:left="1247" w:firstLine="0"/>
        <w:rPr>
          <w:rFonts w:ascii="Times New Roman" w:eastAsia="SimSun" w:hAnsi="Times New Roman" w:cs="Times New Roman"/>
          <w:sz w:val="24"/>
          <w:szCs w:val="24"/>
        </w:rPr>
      </w:pPr>
      <w:r w:rsidRPr="00ED7A27">
        <w:rPr>
          <w:rFonts w:ascii="Times New Roman" w:eastAsia="SimSun" w:hAnsi="Times New Roman" w:cs="Times New Roman"/>
          <w:sz w:val="24"/>
          <w:szCs w:val="24"/>
          <w:lang w:val="zh-CN"/>
        </w:rPr>
        <w:t>根据从正在进行和已完成的各项评估吸取的经验教训以及根据生物多样性平台的内部审查结论（载于背景文件</w:t>
      </w:r>
      <w:r w:rsidRPr="00ED7A27">
        <w:rPr>
          <w:rFonts w:ascii="Times New Roman" w:eastAsia="SimSun" w:hAnsi="Times New Roman" w:cs="Times New Roman"/>
          <w:sz w:val="24"/>
          <w:szCs w:val="24"/>
          <w:lang w:val="zh-CN"/>
        </w:rPr>
        <w:t>IPBES/6/INF/32</w:t>
      </w:r>
      <w:r w:rsidRPr="00ED7A27">
        <w:rPr>
          <w:rFonts w:ascii="Times New Roman" w:eastAsia="SimSun" w:hAnsi="Times New Roman" w:cs="Times New Roman"/>
          <w:sz w:val="24"/>
          <w:szCs w:val="24"/>
          <w:lang w:val="zh-CN"/>
        </w:rPr>
        <w:t>），多学科专家小组和主席团建议对范围界定报告中介绍的方法作出以下修改，这将使每项评估的总费用从</w:t>
      </w:r>
      <w:r w:rsidRPr="00ED7A27">
        <w:rPr>
          <w:rFonts w:ascii="Times New Roman" w:eastAsia="SimSun" w:hAnsi="Times New Roman" w:cs="Times New Roman"/>
          <w:sz w:val="24"/>
          <w:szCs w:val="24"/>
          <w:lang w:val="zh-CN"/>
        </w:rPr>
        <w:t>997 000</w:t>
      </w:r>
      <w:r w:rsidRPr="00ED7A27">
        <w:rPr>
          <w:rFonts w:ascii="Times New Roman" w:eastAsia="SimSun" w:hAnsi="Times New Roman" w:cs="Times New Roman"/>
          <w:sz w:val="24"/>
          <w:szCs w:val="24"/>
          <w:lang w:val="zh-CN"/>
        </w:rPr>
        <w:t>美元增加到</w:t>
      </w:r>
      <w:r w:rsidRPr="00ED7A27">
        <w:rPr>
          <w:rFonts w:ascii="Times New Roman" w:eastAsia="SimSun" w:hAnsi="Times New Roman" w:cs="Times New Roman"/>
          <w:sz w:val="24"/>
          <w:szCs w:val="24"/>
          <w:lang w:val="zh-CN"/>
        </w:rPr>
        <w:t>1 445 000</w:t>
      </w:r>
      <w:r w:rsidRPr="00ED7A27">
        <w:rPr>
          <w:rFonts w:ascii="Times New Roman" w:eastAsia="SimSun" w:hAnsi="Times New Roman" w:cs="Times New Roman"/>
          <w:sz w:val="24"/>
          <w:szCs w:val="24"/>
          <w:lang w:val="zh-CN"/>
        </w:rPr>
        <w:t>美元：</w:t>
      </w:r>
    </w:p>
    <w:p w14:paraId="42A00030" w14:textId="7058443E" w:rsidR="00075479" w:rsidRPr="00ED7A27" w:rsidRDefault="001F583B" w:rsidP="00D341A9">
      <w:pPr>
        <w:pStyle w:val="Normalnumber"/>
        <w:numPr>
          <w:ilvl w:val="0"/>
          <w:numId w:val="20"/>
        </w:numPr>
        <w:tabs>
          <w:tab w:val="clear" w:pos="1135"/>
          <w:tab w:val="clear" w:pos="1247"/>
          <w:tab w:val="clear" w:pos="1871"/>
          <w:tab w:val="clear" w:pos="2495"/>
        </w:tabs>
        <w:ind w:left="1247" w:firstLine="624"/>
        <w:jc w:val="both"/>
        <w:rPr>
          <w:sz w:val="24"/>
          <w:szCs w:val="24"/>
          <w:lang w:eastAsia="zh-CN"/>
        </w:rPr>
      </w:pPr>
      <w:r w:rsidRPr="00ED7A27">
        <w:rPr>
          <w:sz w:val="24"/>
          <w:szCs w:val="24"/>
          <w:lang w:val="zh-CN" w:eastAsia="zh-CN"/>
        </w:rPr>
        <w:t>每</w:t>
      </w:r>
      <w:r w:rsidR="00075479" w:rsidRPr="00ED7A27">
        <w:rPr>
          <w:sz w:val="24"/>
          <w:szCs w:val="24"/>
          <w:lang w:val="zh-CN" w:eastAsia="zh-CN"/>
        </w:rPr>
        <w:t>章的主要作者人数从</w:t>
      </w:r>
      <w:r w:rsidR="00075479" w:rsidRPr="00ED7A27">
        <w:rPr>
          <w:sz w:val="24"/>
          <w:szCs w:val="24"/>
          <w:lang w:val="zh-CN" w:eastAsia="zh-CN"/>
        </w:rPr>
        <w:t>6</w:t>
      </w:r>
      <w:r w:rsidR="00075479" w:rsidRPr="00ED7A27">
        <w:rPr>
          <w:sz w:val="24"/>
          <w:szCs w:val="24"/>
          <w:lang w:val="zh-CN" w:eastAsia="zh-CN"/>
        </w:rPr>
        <w:t>人增加到</w:t>
      </w:r>
      <w:r w:rsidR="00075479" w:rsidRPr="00ED7A27">
        <w:rPr>
          <w:sz w:val="24"/>
          <w:szCs w:val="24"/>
          <w:lang w:val="zh-CN" w:eastAsia="zh-CN"/>
        </w:rPr>
        <w:t>8</w:t>
      </w:r>
      <w:r w:rsidR="00C34786" w:rsidRPr="00ED7A27">
        <w:rPr>
          <w:sz w:val="24"/>
          <w:szCs w:val="24"/>
          <w:lang w:val="zh-CN" w:eastAsia="zh-CN"/>
        </w:rPr>
        <w:t>人，从而使每</w:t>
      </w:r>
      <w:r w:rsidR="00075479" w:rsidRPr="00ED7A27">
        <w:rPr>
          <w:sz w:val="24"/>
          <w:szCs w:val="24"/>
          <w:lang w:val="zh-CN" w:eastAsia="zh-CN"/>
        </w:rPr>
        <w:t>章的专家总数达到</w:t>
      </w:r>
      <w:r w:rsidR="00075479" w:rsidRPr="00ED7A27">
        <w:rPr>
          <w:sz w:val="24"/>
          <w:szCs w:val="24"/>
          <w:lang w:val="zh-CN" w:eastAsia="zh-CN"/>
        </w:rPr>
        <w:t>12</w:t>
      </w:r>
      <w:r w:rsidR="00075479" w:rsidRPr="00ED7A27">
        <w:rPr>
          <w:sz w:val="24"/>
          <w:szCs w:val="24"/>
          <w:lang w:val="zh-CN" w:eastAsia="zh-CN"/>
        </w:rPr>
        <w:t>人，包括</w:t>
      </w:r>
      <w:r w:rsidR="00076E4C" w:rsidRPr="00ED7A27">
        <w:rPr>
          <w:sz w:val="24"/>
          <w:szCs w:val="24"/>
          <w:lang w:val="zh-CN" w:eastAsia="zh-CN"/>
        </w:rPr>
        <w:t>8</w:t>
      </w:r>
      <w:r w:rsidRPr="00ED7A27">
        <w:rPr>
          <w:sz w:val="24"/>
          <w:szCs w:val="24"/>
          <w:lang w:val="zh-CN" w:eastAsia="zh-CN"/>
        </w:rPr>
        <w:t>名</w:t>
      </w:r>
      <w:r w:rsidR="00075479" w:rsidRPr="00ED7A27">
        <w:rPr>
          <w:sz w:val="24"/>
          <w:szCs w:val="24"/>
          <w:lang w:val="zh-CN" w:eastAsia="zh-CN"/>
        </w:rPr>
        <w:t>主要作者、</w:t>
      </w:r>
      <w:r w:rsidR="00076E4C" w:rsidRPr="00ED7A27">
        <w:rPr>
          <w:sz w:val="24"/>
          <w:szCs w:val="24"/>
          <w:lang w:val="zh-CN" w:eastAsia="zh-CN"/>
        </w:rPr>
        <w:t>2</w:t>
      </w:r>
      <w:r w:rsidRPr="00ED7A27">
        <w:rPr>
          <w:sz w:val="24"/>
          <w:szCs w:val="24"/>
          <w:lang w:val="zh-CN" w:eastAsia="zh-CN"/>
        </w:rPr>
        <w:t>名</w:t>
      </w:r>
      <w:r w:rsidR="00075479" w:rsidRPr="00ED7A27">
        <w:rPr>
          <w:sz w:val="24"/>
          <w:szCs w:val="24"/>
          <w:lang w:val="zh-CN" w:eastAsia="zh-CN"/>
        </w:rPr>
        <w:t>承担协调工作的主要作者以及</w:t>
      </w:r>
      <w:r w:rsidR="00076E4C" w:rsidRPr="00ED7A27">
        <w:rPr>
          <w:sz w:val="24"/>
          <w:szCs w:val="24"/>
          <w:lang w:val="zh-CN" w:eastAsia="zh-CN"/>
        </w:rPr>
        <w:t>2</w:t>
      </w:r>
      <w:r w:rsidR="008D7FE9" w:rsidRPr="00ED7A27">
        <w:rPr>
          <w:sz w:val="24"/>
          <w:szCs w:val="24"/>
          <w:lang w:val="zh-CN" w:eastAsia="zh-CN"/>
        </w:rPr>
        <w:t>名编审。每</w:t>
      </w:r>
      <w:r w:rsidR="00075479" w:rsidRPr="00ED7A27">
        <w:rPr>
          <w:sz w:val="24"/>
          <w:szCs w:val="24"/>
          <w:lang w:val="zh-CN" w:eastAsia="zh-CN"/>
        </w:rPr>
        <w:t>章承担协调作用的主要作者及编审人数保持不变。增加人数将使各章的专门知识和观点具有充分多样性，并且可以更好地</w:t>
      </w:r>
      <w:r w:rsidR="008D7FE9" w:rsidRPr="00ED7A27">
        <w:rPr>
          <w:sz w:val="24"/>
          <w:szCs w:val="24"/>
          <w:lang w:val="zh-CN" w:eastAsia="zh-CN"/>
        </w:rPr>
        <w:t>在专家之间</w:t>
      </w:r>
      <w:r w:rsidR="00075479" w:rsidRPr="00ED7A27">
        <w:rPr>
          <w:sz w:val="24"/>
          <w:szCs w:val="24"/>
          <w:lang w:val="zh-CN" w:eastAsia="zh-CN"/>
        </w:rPr>
        <w:t>分配工作量。</w:t>
      </w:r>
      <w:r w:rsidR="008D7FE9" w:rsidRPr="00ED7A27">
        <w:rPr>
          <w:sz w:val="24"/>
          <w:szCs w:val="24"/>
          <w:lang w:val="zh-CN" w:eastAsia="zh-CN"/>
        </w:rPr>
        <w:t>这一人数</w:t>
      </w:r>
      <w:r w:rsidR="00075479" w:rsidRPr="00ED7A27">
        <w:rPr>
          <w:sz w:val="24"/>
          <w:szCs w:val="24"/>
          <w:lang w:val="zh-CN" w:eastAsia="zh-CN"/>
        </w:rPr>
        <w:t>与土地退化和恢复评估相似；</w:t>
      </w:r>
    </w:p>
    <w:p w14:paraId="0F340908" w14:textId="1E5159A5" w:rsidR="00075479" w:rsidRPr="00ED7A27" w:rsidRDefault="00075479" w:rsidP="00D341A9">
      <w:pPr>
        <w:pStyle w:val="Normalnumber"/>
        <w:numPr>
          <w:ilvl w:val="0"/>
          <w:numId w:val="20"/>
        </w:numPr>
        <w:tabs>
          <w:tab w:val="clear" w:pos="1135"/>
          <w:tab w:val="clear" w:pos="1247"/>
          <w:tab w:val="clear" w:pos="1871"/>
          <w:tab w:val="clear" w:pos="2495"/>
        </w:tabs>
        <w:ind w:left="1247" w:firstLine="624"/>
        <w:jc w:val="both"/>
        <w:rPr>
          <w:sz w:val="24"/>
          <w:szCs w:val="24"/>
          <w:lang w:eastAsia="zh-CN"/>
        </w:rPr>
      </w:pPr>
      <w:r w:rsidRPr="00ED7A27">
        <w:rPr>
          <w:sz w:val="24"/>
          <w:szCs w:val="24"/>
          <w:lang w:val="zh-CN" w:eastAsia="zh-CN"/>
        </w:rPr>
        <w:t>召开三次（而非仅</w:t>
      </w:r>
      <w:r w:rsidR="008D7FE9" w:rsidRPr="00ED7A27">
        <w:rPr>
          <w:sz w:val="24"/>
          <w:szCs w:val="24"/>
          <w:lang w:val="zh-CN" w:eastAsia="zh-CN"/>
        </w:rPr>
        <w:t>召开</w:t>
      </w:r>
      <w:r w:rsidRPr="00ED7A27">
        <w:rPr>
          <w:sz w:val="24"/>
          <w:szCs w:val="24"/>
          <w:lang w:val="zh-CN" w:eastAsia="zh-CN"/>
        </w:rPr>
        <w:t>两次）具有包容性并且有主要作者参与的作者会议：这被视为一项关键的成功标准，目的是确保主要作者在三年进程期间充分融入和参与；</w:t>
      </w:r>
    </w:p>
    <w:p w14:paraId="5A4B3858" w14:textId="6434B1DB" w:rsidR="00075479" w:rsidRPr="00ED7A27" w:rsidRDefault="00075479" w:rsidP="00D341A9">
      <w:pPr>
        <w:pStyle w:val="Normalnumber"/>
        <w:numPr>
          <w:ilvl w:val="0"/>
          <w:numId w:val="20"/>
        </w:numPr>
        <w:tabs>
          <w:tab w:val="clear" w:pos="1135"/>
          <w:tab w:val="clear" w:pos="1247"/>
          <w:tab w:val="clear" w:pos="1871"/>
          <w:tab w:val="clear" w:pos="2495"/>
        </w:tabs>
        <w:ind w:left="1247" w:firstLine="624"/>
        <w:jc w:val="both"/>
        <w:rPr>
          <w:sz w:val="24"/>
          <w:szCs w:val="24"/>
          <w:lang w:eastAsia="zh-CN"/>
        </w:rPr>
      </w:pPr>
      <w:r w:rsidRPr="00ED7A27">
        <w:rPr>
          <w:sz w:val="24"/>
          <w:szCs w:val="24"/>
          <w:lang w:val="zh-CN" w:eastAsia="zh-CN"/>
        </w:rPr>
        <w:t>增加技术支助单位的规模，使其至少包括两名技术和方案工作人员以及一名半职行政工作人员，而非以前提出的一名技术工作人员。根据吸取的经验教训，这是</w:t>
      </w:r>
      <w:r w:rsidR="008D7FE9" w:rsidRPr="00ED7A27">
        <w:rPr>
          <w:sz w:val="24"/>
          <w:szCs w:val="24"/>
          <w:lang w:val="zh-CN" w:eastAsia="zh-CN"/>
        </w:rPr>
        <w:t>处理</w:t>
      </w:r>
      <w:r w:rsidRPr="00ED7A27">
        <w:rPr>
          <w:sz w:val="24"/>
          <w:szCs w:val="24"/>
          <w:lang w:val="zh-CN" w:eastAsia="zh-CN"/>
        </w:rPr>
        <w:t>与协调评估交付有关的繁重工作量所必需的，而且与为生物多样性平台区域评估设立的技术支助单位的规模相似；</w:t>
      </w:r>
    </w:p>
    <w:p w14:paraId="12BD69E7" w14:textId="520685AF" w:rsidR="00075479" w:rsidRPr="00ED7A27" w:rsidRDefault="008D7FE9" w:rsidP="00D341A9">
      <w:pPr>
        <w:pStyle w:val="Normalnumber"/>
        <w:numPr>
          <w:ilvl w:val="0"/>
          <w:numId w:val="20"/>
        </w:numPr>
        <w:tabs>
          <w:tab w:val="clear" w:pos="1135"/>
          <w:tab w:val="clear" w:pos="1247"/>
          <w:tab w:val="clear" w:pos="1871"/>
          <w:tab w:val="clear" w:pos="2495"/>
        </w:tabs>
        <w:ind w:left="1247" w:firstLine="624"/>
        <w:jc w:val="both"/>
        <w:rPr>
          <w:sz w:val="24"/>
          <w:szCs w:val="24"/>
          <w:lang w:eastAsia="zh-CN"/>
        </w:rPr>
      </w:pPr>
      <w:r w:rsidRPr="00ED7A27">
        <w:rPr>
          <w:sz w:val="24"/>
          <w:szCs w:val="24"/>
          <w:lang w:val="zh-CN" w:eastAsia="zh-CN"/>
        </w:rPr>
        <w:t>基于</w:t>
      </w:r>
      <w:r w:rsidR="00075479" w:rsidRPr="00ED7A27">
        <w:rPr>
          <w:sz w:val="24"/>
          <w:szCs w:val="24"/>
          <w:lang w:val="zh-CN" w:eastAsia="zh-CN"/>
        </w:rPr>
        <w:t>四项区域评估以及土地退化和恢复评估的</w:t>
      </w:r>
      <w:r w:rsidRPr="00ED7A27">
        <w:rPr>
          <w:sz w:val="24"/>
          <w:szCs w:val="24"/>
          <w:lang w:val="zh-CN" w:eastAsia="zh-CN"/>
        </w:rPr>
        <w:t>交流</w:t>
      </w:r>
      <w:r w:rsidR="00075479" w:rsidRPr="00ED7A27">
        <w:rPr>
          <w:sz w:val="24"/>
          <w:szCs w:val="24"/>
          <w:lang w:val="zh-CN" w:eastAsia="zh-CN"/>
        </w:rPr>
        <w:t>费用，增加评估报告的设计、印刷、外联和传播预算。</w:t>
      </w:r>
    </w:p>
    <w:p w14:paraId="079485E8" w14:textId="053EEC26" w:rsidR="00075479" w:rsidRPr="00ED7A27" w:rsidRDefault="00075479" w:rsidP="00D341A9">
      <w:pPr>
        <w:numPr>
          <w:ilvl w:val="0"/>
          <w:numId w:val="17"/>
        </w:numPr>
        <w:tabs>
          <w:tab w:val="num" w:pos="720"/>
          <w:tab w:val="left" w:pos="1247"/>
          <w:tab w:val="left" w:pos="1814"/>
          <w:tab w:val="left" w:pos="2381"/>
          <w:tab w:val="left" w:pos="2948"/>
          <w:tab w:val="left" w:pos="3515"/>
        </w:tabs>
        <w:spacing w:line="240" w:lineRule="auto"/>
        <w:ind w:left="1247" w:firstLine="0"/>
        <w:rPr>
          <w:rFonts w:ascii="Times New Roman" w:eastAsia="SimSun" w:hAnsi="Times New Roman" w:cs="Times New Roman"/>
          <w:sz w:val="24"/>
          <w:szCs w:val="24"/>
        </w:rPr>
      </w:pPr>
      <w:r w:rsidRPr="00ED7A27">
        <w:rPr>
          <w:rFonts w:ascii="Times New Roman" w:eastAsia="SimSun" w:hAnsi="Times New Roman" w:cs="Times New Roman"/>
          <w:sz w:val="24"/>
          <w:szCs w:val="24"/>
          <w:lang w:val="zh-CN"/>
        </w:rPr>
        <w:t>本说明的附件介绍了适用于三项待开展评估的一般性预算。一般性预算基于上文提及的考虑因素，具体如下：</w:t>
      </w:r>
    </w:p>
    <w:p w14:paraId="67E1D797" w14:textId="77777777" w:rsidR="00075479" w:rsidRPr="00D341A9" w:rsidRDefault="00075479" w:rsidP="00D341A9">
      <w:pPr>
        <w:pStyle w:val="Normalnumber"/>
        <w:numPr>
          <w:ilvl w:val="0"/>
          <w:numId w:val="21"/>
        </w:numPr>
        <w:tabs>
          <w:tab w:val="clear" w:pos="1247"/>
          <w:tab w:val="clear" w:pos="1758"/>
          <w:tab w:val="clear" w:pos="1871"/>
          <w:tab w:val="clear" w:pos="2495"/>
        </w:tabs>
        <w:ind w:left="1247" w:firstLine="624"/>
        <w:jc w:val="both"/>
        <w:rPr>
          <w:sz w:val="24"/>
          <w:szCs w:val="24"/>
        </w:rPr>
      </w:pPr>
      <w:proofErr w:type="spellStart"/>
      <w:r w:rsidRPr="00ED7A27">
        <w:rPr>
          <w:sz w:val="24"/>
          <w:szCs w:val="24"/>
          <w:lang w:val="zh-CN"/>
        </w:rPr>
        <w:t>每项评估均历时三年</w:t>
      </w:r>
      <w:proofErr w:type="spellEnd"/>
      <w:r w:rsidRPr="00D341A9">
        <w:rPr>
          <w:sz w:val="24"/>
          <w:szCs w:val="24"/>
          <w:lang w:val="zh-CN"/>
        </w:rPr>
        <w:t>；</w:t>
      </w:r>
    </w:p>
    <w:p w14:paraId="5E18B28A" w14:textId="0D8B289B" w:rsidR="00075479" w:rsidRPr="00D341A9" w:rsidRDefault="008D7FE9" w:rsidP="00D341A9">
      <w:pPr>
        <w:pStyle w:val="Normalnumber"/>
        <w:numPr>
          <w:ilvl w:val="0"/>
          <w:numId w:val="21"/>
        </w:numPr>
        <w:tabs>
          <w:tab w:val="clear" w:pos="1247"/>
          <w:tab w:val="clear" w:pos="1758"/>
          <w:tab w:val="clear" w:pos="1871"/>
          <w:tab w:val="clear" w:pos="2495"/>
        </w:tabs>
        <w:ind w:left="1247" w:firstLine="624"/>
        <w:jc w:val="both"/>
        <w:rPr>
          <w:sz w:val="24"/>
          <w:szCs w:val="24"/>
          <w:lang w:eastAsia="zh-CN"/>
        </w:rPr>
      </w:pPr>
      <w:r>
        <w:rPr>
          <w:rFonts w:hint="eastAsia"/>
          <w:sz w:val="24"/>
          <w:szCs w:val="24"/>
          <w:lang w:val="zh-CN" w:eastAsia="zh-CN"/>
        </w:rPr>
        <w:t>每项</w:t>
      </w:r>
      <w:r w:rsidR="00075479" w:rsidRPr="00D341A9">
        <w:rPr>
          <w:sz w:val="24"/>
          <w:szCs w:val="24"/>
          <w:lang w:val="zh-CN" w:eastAsia="zh-CN"/>
        </w:rPr>
        <w:t>评估</w:t>
      </w:r>
      <w:r>
        <w:rPr>
          <w:rFonts w:hint="eastAsia"/>
          <w:sz w:val="24"/>
          <w:szCs w:val="24"/>
          <w:lang w:val="zh-CN" w:eastAsia="zh-CN"/>
        </w:rPr>
        <w:t>均</w:t>
      </w:r>
      <w:r w:rsidR="00075479" w:rsidRPr="00D341A9">
        <w:rPr>
          <w:sz w:val="24"/>
          <w:szCs w:val="24"/>
          <w:lang w:val="zh-CN" w:eastAsia="zh-CN"/>
        </w:rPr>
        <w:t>包括三次具有充分包容性的作者会议，主要作者将出席每次会议；</w:t>
      </w:r>
    </w:p>
    <w:p w14:paraId="74864D8B" w14:textId="59F61763" w:rsidR="00075479" w:rsidRPr="00D341A9" w:rsidRDefault="00075479" w:rsidP="00D341A9">
      <w:pPr>
        <w:pStyle w:val="Normalnumber"/>
        <w:numPr>
          <w:ilvl w:val="0"/>
          <w:numId w:val="21"/>
        </w:numPr>
        <w:tabs>
          <w:tab w:val="clear" w:pos="1247"/>
          <w:tab w:val="clear" w:pos="1758"/>
          <w:tab w:val="clear" w:pos="1871"/>
          <w:tab w:val="clear" w:pos="2495"/>
        </w:tabs>
        <w:ind w:left="1247" w:firstLine="624"/>
        <w:jc w:val="both"/>
        <w:rPr>
          <w:sz w:val="24"/>
          <w:szCs w:val="24"/>
          <w:lang w:eastAsia="zh-CN"/>
        </w:rPr>
      </w:pPr>
      <w:r w:rsidRPr="00D341A9">
        <w:rPr>
          <w:sz w:val="24"/>
          <w:szCs w:val="24"/>
          <w:lang w:val="zh-CN" w:eastAsia="zh-CN"/>
        </w:rPr>
        <w:t>每项评估包括总计</w:t>
      </w:r>
      <w:r w:rsidRPr="00D341A9">
        <w:rPr>
          <w:sz w:val="24"/>
          <w:szCs w:val="24"/>
          <w:lang w:val="zh-CN" w:eastAsia="zh-CN"/>
        </w:rPr>
        <w:t>74</w:t>
      </w:r>
      <w:r w:rsidR="008D7FE9">
        <w:rPr>
          <w:rFonts w:hint="eastAsia"/>
          <w:sz w:val="24"/>
          <w:szCs w:val="24"/>
          <w:lang w:val="zh-CN" w:eastAsia="zh-CN"/>
        </w:rPr>
        <w:t>名</w:t>
      </w:r>
      <w:r w:rsidRPr="00D341A9">
        <w:rPr>
          <w:sz w:val="24"/>
          <w:szCs w:val="24"/>
          <w:lang w:val="zh-CN" w:eastAsia="zh-CN"/>
        </w:rPr>
        <w:t>专家（</w:t>
      </w:r>
      <w:r w:rsidRPr="00D341A9">
        <w:rPr>
          <w:sz w:val="24"/>
          <w:szCs w:val="24"/>
          <w:lang w:val="zh-CN" w:eastAsia="zh-CN"/>
        </w:rPr>
        <w:t>2</w:t>
      </w:r>
      <w:r w:rsidR="008D7FE9">
        <w:rPr>
          <w:rFonts w:hint="eastAsia"/>
          <w:sz w:val="24"/>
          <w:szCs w:val="24"/>
          <w:lang w:val="zh-CN" w:eastAsia="zh-CN"/>
        </w:rPr>
        <w:t>名</w:t>
      </w:r>
      <w:r w:rsidRPr="00D341A9">
        <w:rPr>
          <w:sz w:val="24"/>
          <w:szCs w:val="24"/>
          <w:lang w:val="zh-CN" w:eastAsia="zh-CN"/>
        </w:rPr>
        <w:t>共同主席、</w:t>
      </w:r>
      <w:r w:rsidRPr="00D341A9">
        <w:rPr>
          <w:sz w:val="24"/>
          <w:szCs w:val="24"/>
          <w:lang w:val="zh-CN" w:eastAsia="zh-CN"/>
        </w:rPr>
        <w:t>12</w:t>
      </w:r>
      <w:r w:rsidR="008D7FE9">
        <w:rPr>
          <w:rFonts w:hint="eastAsia"/>
          <w:sz w:val="24"/>
          <w:szCs w:val="24"/>
          <w:lang w:val="zh-CN" w:eastAsia="zh-CN"/>
        </w:rPr>
        <w:t>名</w:t>
      </w:r>
      <w:r w:rsidRPr="00D341A9">
        <w:rPr>
          <w:sz w:val="24"/>
          <w:szCs w:val="24"/>
          <w:lang w:val="zh-CN" w:eastAsia="zh-CN"/>
        </w:rPr>
        <w:t>承担协调工作的主要作者、</w:t>
      </w:r>
      <w:r w:rsidRPr="00D341A9">
        <w:rPr>
          <w:sz w:val="24"/>
          <w:szCs w:val="24"/>
          <w:lang w:val="zh-CN" w:eastAsia="zh-CN"/>
        </w:rPr>
        <w:t>48</w:t>
      </w:r>
      <w:r w:rsidR="008D7FE9">
        <w:rPr>
          <w:rFonts w:hint="eastAsia"/>
          <w:sz w:val="24"/>
          <w:szCs w:val="24"/>
          <w:lang w:val="zh-CN" w:eastAsia="zh-CN"/>
        </w:rPr>
        <w:t>名</w:t>
      </w:r>
      <w:r w:rsidRPr="00D341A9">
        <w:rPr>
          <w:sz w:val="24"/>
          <w:szCs w:val="24"/>
          <w:lang w:val="zh-CN" w:eastAsia="zh-CN"/>
        </w:rPr>
        <w:t>主要作者和</w:t>
      </w:r>
      <w:r w:rsidRPr="00D341A9">
        <w:rPr>
          <w:sz w:val="24"/>
          <w:szCs w:val="24"/>
          <w:lang w:val="zh-CN" w:eastAsia="zh-CN"/>
        </w:rPr>
        <w:t>12</w:t>
      </w:r>
      <w:r w:rsidR="008D7FE9">
        <w:rPr>
          <w:rFonts w:hint="eastAsia"/>
          <w:sz w:val="24"/>
          <w:szCs w:val="24"/>
          <w:lang w:val="zh-CN" w:eastAsia="zh-CN"/>
        </w:rPr>
        <w:t>名</w:t>
      </w:r>
      <w:r w:rsidR="008D7FE9">
        <w:rPr>
          <w:sz w:val="24"/>
          <w:szCs w:val="24"/>
          <w:lang w:val="zh-CN" w:eastAsia="zh-CN"/>
        </w:rPr>
        <w:t>编审）或每</w:t>
      </w:r>
      <w:r w:rsidRPr="00D341A9">
        <w:rPr>
          <w:sz w:val="24"/>
          <w:szCs w:val="24"/>
          <w:lang w:val="zh-CN" w:eastAsia="zh-CN"/>
        </w:rPr>
        <w:t>章大约</w:t>
      </w:r>
      <w:r w:rsidRPr="00D341A9">
        <w:rPr>
          <w:sz w:val="24"/>
          <w:szCs w:val="24"/>
          <w:lang w:val="zh-CN" w:eastAsia="zh-CN"/>
        </w:rPr>
        <w:t>10</w:t>
      </w:r>
      <w:r w:rsidR="008D7FE9">
        <w:rPr>
          <w:rFonts w:hint="eastAsia"/>
          <w:sz w:val="24"/>
          <w:szCs w:val="24"/>
          <w:lang w:val="zh-CN" w:eastAsia="zh-CN"/>
        </w:rPr>
        <w:t>名</w:t>
      </w:r>
      <w:r w:rsidRPr="00D341A9">
        <w:rPr>
          <w:sz w:val="24"/>
          <w:szCs w:val="24"/>
          <w:lang w:val="zh-CN" w:eastAsia="zh-CN"/>
        </w:rPr>
        <w:t>专家，信托基金将支助</w:t>
      </w:r>
      <w:r w:rsidRPr="00D341A9">
        <w:rPr>
          <w:sz w:val="24"/>
          <w:szCs w:val="24"/>
          <w:lang w:val="zh-CN" w:eastAsia="zh-CN"/>
        </w:rPr>
        <w:t>75%</w:t>
      </w:r>
      <w:r w:rsidRPr="00D341A9">
        <w:rPr>
          <w:sz w:val="24"/>
          <w:szCs w:val="24"/>
          <w:lang w:val="zh-CN" w:eastAsia="zh-CN"/>
        </w:rPr>
        <w:t>的费用；</w:t>
      </w:r>
    </w:p>
    <w:p w14:paraId="5F59BF89" w14:textId="3BBA65C6" w:rsidR="00075479" w:rsidRPr="00D341A9" w:rsidRDefault="00075479" w:rsidP="00D341A9">
      <w:pPr>
        <w:pStyle w:val="Normalnumber"/>
        <w:numPr>
          <w:ilvl w:val="0"/>
          <w:numId w:val="21"/>
        </w:numPr>
        <w:tabs>
          <w:tab w:val="clear" w:pos="1247"/>
          <w:tab w:val="clear" w:pos="1758"/>
          <w:tab w:val="clear" w:pos="1871"/>
          <w:tab w:val="clear" w:pos="2495"/>
        </w:tabs>
        <w:ind w:left="1247" w:firstLine="624"/>
        <w:jc w:val="both"/>
        <w:rPr>
          <w:sz w:val="24"/>
          <w:szCs w:val="24"/>
          <w:lang w:eastAsia="zh-CN"/>
        </w:rPr>
      </w:pPr>
      <w:r w:rsidRPr="00D341A9">
        <w:rPr>
          <w:sz w:val="24"/>
          <w:szCs w:val="24"/>
          <w:lang w:val="zh-CN" w:eastAsia="zh-CN"/>
        </w:rPr>
        <w:lastRenderedPageBreak/>
        <w:t>每项评估都有一个技术支助</w:t>
      </w:r>
      <w:r w:rsidR="006D1961">
        <w:rPr>
          <w:rFonts w:hint="eastAsia"/>
          <w:sz w:val="24"/>
          <w:szCs w:val="24"/>
          <w:lang w:val="zh-CN" w:eastAsia="zh-CN"/>
        </w:rPr>
        <w:t>小组</w:t>
      </w:r>
      <w:r w:rsidRPr="00D341A9">
        <w:rPr>
          <w:sz w:val="24"/>
          <w:szCs w:val="24"/>
          <w:lang w:val="zh-CN" w:eastAsia="zh-CN"/>
        </w:rPr>
        <w:t>，包括两名技术和方案工作人员和一名半职行政干事，信托基金承担</w:t>
      </w:r>
      <w:r w:rsidRPr="00D341A9">
        <w:rPr>
          <w:sz w:val="24"/>
          <w:szCs w:val="24"/>
          <w:lang w:val="zh-CN" w:eastAsia="zh-CN"/>
        </w:rPr>
        <w:t>50%</w:t>
      </w:r>
      <w:r w:rsidRPr="00D341A9">
        <w:rPr>
          <w:sz w:val="24"/>
          <w:szCs w:val="24"/>
          <w:lang w:val="zh-CN" w:eastAsia="zh-CN"/>
        </w:rPr>
        <w:t>的支助费用，东道机构</w:t>
      </w:r>
      <w:r w:rsidR="008D7FE9" w:rsidRPr="00D341A9">
        <w:rPr>
          <w:sz w:val="24"/>
          <w:szCs w:val="24"/>
          <w:lang w:val="zh-CN" w:eastAsia="zh-CN"/>
        </w:rPr>
        <w:t>提供相</w:t>
      </w:r>
      <w:r w:rsidR="006D1961">
        <w:rPr>
          <w:rFonts w:hint="eastAsia"/>
          <w:sz w:val="24"/>
          <w:szCs w:val="24"/>
          <w:lang w:val="zh-CN" w:eastAsia="zh-CN"/>
        </w:rPr>
        <w:t>同</w:t>
      </w:r>
      <w:r w:rsidR="008D7FE9" w:rsidRPr="00D341A9">
        <w:rPr>
          <w:sz w:val="24"/>
          <w:szCs w:val="24"/>
          <w:lang w:val="zh-CN" w:eastAsia="zh-CN"/>
        </w:rPr>
        <w:t>数额</w:t>
      </w:r>
      <w:r w:rsidR="008D7FE9">
        <w:rPr>
          <w:rFonts w:hint="eastAsia"/>
          <w:sz w:val="24"/>
          <w:szCs w:val="24"/>
          <w:lang w:val="zh-CN" w:eastAsia="zh-CN"/>
        </w:rPr>
        <w:t>，作为</w:t>
      </w:r>
      <w:r w:rsidRPr="00D341A9">
        <w:rPr>
          <w:sz w:val="24"/>
          <w:szCs w:val="24"/>
          <w:lang w:val="zh-CN" w:eastAsia="zh-CN"/>
        </w:rPr>
        <w:t>向生物多样性平台提供</w:t>
      </w:r>
      <w:r w:rsidR="008D7FE9">
        <w:rPr>
          <w:rFonts w:hint="eastAsia"/>
          <w:sz w:val="24"/>
          <w:szCs w:val="24"/>
          <w:lang w:val="zh-CN" w:eastAsia="zh-CN"/>
        </w:rPr>
        <w:t>的</w:t>
      </w:r>
      <w:r w:rsidRPr="00D341A9">
        <w:rPr>
          <w:sz w:val="24"/>
          <w:szCs w:val="24"/>
          <w:lang w:val="zh-CN" w:eastAsia="zh-CN"/>
        </w:rPr>
        <w:t>实物支助；</w:t>
      </w:r>
    </w:p>
    <w:p w14:paraId="1115D64B" w14:textId="20145D42" w:rsidR="00075479" w:rsidRPr="00D341A9" w:rsidRDefault="00075479" w:rsidP="00D341A9">
      <w:pPr>
        <w:pStyle w:val="Normalnumber"/>
        <w:numPr>
          <w:ilvl w:val="0"/>
          <w:numId w:val="21"/>
        </w:numPr>
        <w:tabs>
          <w:tab w:val="clear" w:pos="1247"/>
          <w:tab w:val="clear" w:pos="1758"/>
          <w:tab w:val="clear" w:pos="1871"/>
          <w:tab w:val="clear" w:pos="2495"/>
        </w:tabs>
        <w:ind w:left="1247" w:firstLine="624"/>
        <w:jc w:val="both"/>
        <w:rPr>
          <w:sz w:val="24"/>
          <w:szCs w:val="24"/>
          <w:lang w:eastAsia="zh-CN"/>
        </w:rPr>
      </w:pPr>
      <w:r w:rsidRPr="00D341A9">
        <w:rPr>
          <w:sz w:val="24"/>
          <w:szCs w:val="24"/>
          <w:lang w:val="zh-CN" w:eastAsia="zh-CN"/>
        </w:rPr>
        <w:t>每项评估的</w:t>
      </w:r>
      <w:r w:rsidR="008D7FE9">
        <w:rPr>
          <w:rFonts w:hint="eastAsia"/>
          <w:sz w:val="24"/>
          <w:szCs w:val="24"/>
          <w:lang w:val="zh-CN" w:eastAsia="zh-CN"/>
        </w:rPr>
        <w:t>交流</w:t>
      </w:r>
      <w:r w:rsidRPr="00D341A9">
        <w:rPr>
          <w:sz w:val="24"/>
          <w:szCs w:val="24"/>
          <w:lang w:val="zh-CN" w:eastAsia="zh-CN"/>
        </w:rPr>
        <w:t>预算涵盖评估报告的设计、印刷、外联和传播活动。</w:t>
      </w:r>
    </w:p>
    <w:p w14:paraId="0DCAC7D4" w14:textId="76D968E6" w:rsidR="00075479" w:rsidRPr="00D341A9" w:rsidRDefault="00D341A9" w:rsidP="00ED7A27">
      <w:pPr>
        <w:pStyle w:val="CH1"/>
        <w:tabs>
          <w:tab w:val="clear" w:pos="1814"/>
          <w:tab w:val="clear" w:pos="2381"/>
          <w:tab w:val="clear" w:pos="2948"/>
          <w:tab w:val="clear" w:pos="3515"/>
          <w:tab w:val="clear" w:pos="4082"/>
          <w:tab w:val="left" w:pos="1871"/>
          <w:tab w:val="left" w:pos="2495"/>
        </w:tabs>
        <w:ind w:left="426" w:right="289" w:hanging="426"/>
        <w:rPr>
          <w:rFonts w:ascii="SimHei" w:eastAsia="SimHei" w:hAnsi="SimHei"/>
        </w:rPr>
      </w:pPr>
      <w:r w:rsidRPr="00D341A9">
        <w:rPr>
          <w:rFonts w:ascii="SimHei" w:eastAsia="SimHei" w:hAnsi="SimHei" w:hint="eastAsia"/>
          <w:lang w:val="zh-CN" w:eastAsia="zh-CN"/>
        </w:rPr>
        <w:tab/>
      </w:r>
      <w:r w:rsidR="00075479" w:rsidRPr="00D341A9">
        <w:rPr>
          <w:rFonts w:ascii="SimHei" w:eastAsia="SimHei" w:hAnsi="SimHei"/>
          <w:lang w:val="zh-CN"/>
        </w:rPr>
        <w:t>二</w:t>
      </w:r>
      <w:r w:rsidRPr="00D341A9">
        <w:rPr>
          <w:rFonts w:ascii="SimHei" w:eastAsia="SimHei" w:hAnsi="SimHei" w:hint="eastAsia"/>
          <w:lang w:val="zh-CN"/>
        </w:rPr>
        <w:t>、</w:t>
      </w:r>
      <w:r w:rsidR="00075479" w:rsidRPr="00D341A9">
        <w:rPr>
          <w:rFonts w:ascii="SimHei" w:eastAsia="SimHei" w:hAnsi="SimHei"/>
          <w:lang w:val="zh-CN"/>
        </w:rPr>
        <w:tab/>
      </w:r>
      <w:proofErr w:type="spellStart"/>
      <w:r w:rsidR="00075479" w:rsidRPr="00D341A9">
        <w:rPr>
          <w:rFonts w:ascii="SimHei" w:eastAsia="SimHei" w:hAnsi="SimHei"/>
          <w:lang w:val="zh-CN"/>
        </w:rPr>
        <w:t>启动顺序</w:t>
      </w:r>
      <w:proofErr w:type="spellEnd"/>
    </w:p>
    <w:p w14:paraId="3760B58E" w14:textId="558FA398" w:rsidR="00075479" w:rsidRPr="00D341A9" w:rsidRDefault="00075479" w:rsidP="00D341A9">
      <w:pPr>
        <w:pStyle w:val="Normalnumber"/>
        <w:numPr>
          <w:ilvl w:val="0"/>
          <w:numId w:val="17"/>
        </w:numPr>
        <w:tabs>
          <w:tab w:val="clear" w:pos="624"/>
          <w:tab w:val="clear" w:pos="1871"/>
          <w:tab w:val="clear" w:pos="2495"/>
          <w:tab w:val="num" w:pos="720"/>
          <w:tab w:val="left" w:pos="1814"/>
          <w:tab w:val="left" w:pos="2381"/>
          <w:tab w:val="left" w:pos="2948"/>
          <w:tab w:val="left" w:pos="3515"/>
        </w:tabs>
        <w:ind w:left="1247" w:firstLine="0"/>
        <w:jc w:val="both"/>
        <w:rPr>
          <w:sz w:val="24"/>
          <w:szCs w:val="24"/>
          <w:lang w:eastAsia="zh-CN"/>
        </w:rPr>
      </w:pPr>
      <w:r w:rsidRPr="00D341A9">
        <w:rPr>
          <w:sz w:val="24"/>
          <w:szCs w:val="24"/>
          <w:lang w:val="zh-CN" w:eastAsia="zh-CN"/>
        </w:rPr>
        <w:t>多学科专家小组和主席团还建议，如果全体会议决定启动所有三项待开展的评估，则不妨按以下顺序错开启动时间：在</w:t>
      </w:r>
      <w:r w:rsidRPr="00D341A9">
        <w:rPr>
          <w:sz w:val="24"/>
          <w:szCs w:val="24"/>
          <w:lang w:val="zh-CN" w:eastAsia="zh-CN"/>
        </w:rPr>
        <w:t>2018</w:t>
      </w:r>
      <w:r w:rsidRPr="00D341A9">
        <w:rPr>
          <w:sz w:val="24"/>
          <w:szCs w:val="24"/>
          <w:lang w:val="zh-CN" w:eastAsia="zh-CN"/>
        </w:rPr>
        <w:t>年全体会议第六届会议上启动两项评估，在</w:t>
      </w:r>
      <w:r w:rsidRPr="00D341A9">
        <w:rPr>
          <w:sz w:val="24"/>
          <w:szCs w:val="24"/>
          <w:lang w:val="zh-CN" w:eastAsia="zh-CN"/>
        </w:rPr>
        <w:t>2019</w:t>
      </w:r>
      <w:r w:rsidRPr="00D341A9">
        <w:rPr>
          <w:sz w:val="24"/>
          <w:szCs w:val="24"/>
          <w:lang w:val="zh-CN" w:eastAsia="zh-CN"/>
        </w:rPr>
        <w:t>年第七届会议上启动另一项评估。这一建议的目的是避免同时进行三项评估，同时考虑到内部审查的结论（</w:t>
      </w:r>
      <w:r w:rsidRPr="00D341A9">
        <w:rPr>
          <w:sz w:val="24"/>
          <w:szCs w:val="24"/>
          <w:lang w:val="zh-CN" w:eastAsia="zh-CN"/>
        </w:rPr>
        <w:t>IPBES/6/INF/32</w:t>
      </w:r>
      <w:r w:rsidR="00D341A9" w:rsidRPr="00D341A9">
        <w:rPr>
          <w:rFonts w:hint="eastAsia"/>
          <w:sz w:val="24"/>
          <w:szCs w:val="24"/>
          <w:lang w:val="zh-CN" w:eastAsia="zh-CN"/>
        </w:rPr>
        <w:t>）</w:t>
      </w:r>
      <w:r w:rsidRPr="00D341A9">
        <w:rPr>
          <w:sz w:val="24"/>
          <w:szCs w:val="24"/>
          <w:lang w:val="zh-CN" w:eastAsia="zh-CN"/>
        </w:rPr>
        <w:t>，以及鉴于将向全体会议第七届会议提交全球评估。</w:t>
      </w:r>
      <w:bookmarkStart w:id="6" w:name="_Hlk499887067"/>
      <w:bookmarkEnd w:id="6"/>
    </w:p>
    <w:p w14:paraId="1421E281" w14:textId="708FD29A" w:rsidR="00075479" w:rsidRPr="00D341A9" w:rsidRDefault="00D341A9" w:rsidP="00ED7A27">
      <w:pPr>
        <w:pStyle w:val="CH1"/>
        <w:tabs>
          <w:tab w:val="clear" w:pos="851"/>
          <w:tab w:val="clear" w:pos="1814"/>
          <w:tab w:val="clear" w:pos="2381"/>
          <w:tab w:val="clear" w:pos="2948"/>
          <w:tab w:val="clear" w:pos="3515"/>
          <w:tab w:val="clear" w:pos="4082"/>
          <w:tab w:val="left" w:pos="1871"/>
          <w:tab w:val="left" w:pos="2495"/>
        </w:tabs>
        <w:ind w:left="426" w:right="289" w:hanging="624"/>
        <w:rPr>
          <w:rFonts w:ascii="SimHei" w:eastAsia="SimHei" w:hAnsi="SimHei"/>
          <w:b w:val="0"/>
          <w:lang w:eastAsia="zh-CN"/>
        </w:rPr>
      </w:pPr>
      <w:r w:rsidRPr="00D341A9">
        <w:rPr>
          <w:rFonts w:ascii="SimHei" w:eastAsia="SimHei" w:hAnsi="SimHei" w:hint="eastAsia"/>
          <w:lang w:val="zh-CN" w:eastAsia="zh-CN"/>
        </w:rPr>
        <w:tab/>
      </w:r>
      <w:r w:rsidR="00075479" w:rsidRPr="00D341A9">
        <w:rPr>
          <w:rFonts w:ascii="SimHei" w:eastAsia="SimHei" w:hAnsi="SimHei"/>
          <w:lang w:val="zh-CN" w:eastAsia="zh-CN"/>
        </w:rPr>
        <w:t>三</w:t>
      </w:r>
      <w:r w:rsidRPr="00D341A9">
        <w:rPr>
          <w:rFonts w:ascii="SimHei" w:eastAsia="SimHei" w:hAnsi="SimHei" w:hint="eastAsia"/>
          <w:lang w:val="zh-CN" w:eastAsia="zh-CN"/>
        </w:rPr>
        <w:t>、</w:t>
      </w:r>
      <w:r w:rsidR="00075479" w:rsidRPr="00D341A9">
        <w:rPr>
          <w:rFonts w:ascii="SimHei" w:eastAsia="SimHei" w:hAnsi="SimHei"/>
          <w:lang w:val="zh-CN" w:eastAsia="zh-CN"/>
        </w:rPr>
        <w:tab/>
        <w:t>建议全体会议采取的行动</w:t>
      </w:r>
    </w:p>
    <w:p w14:paraId="72FB2123" w14:textId="1E9EFF3D" w:rsidR="00075479" w:rsidRPr="00D341A9" w:rsidRDefault="00075479" w:rsidP="00D341A9">
      <w:pPr>
        <w:numPr>
          <w:ilvl w:val="0"/>
          <w:numId w:val="17"/>
        </w:numPr>
        <w:tabs>
          <w:tab w:val="num" w:pos="720"/>
          <w:tab w:val="left" w:pos="1247"/>
          <w:tab w:val="left" w:pos="1814"/>
          <w:tab w:val="left" w:pos="2381"/>
          <w:tab w:val="left" w:pos="2948"/>
          <w:tab w:val="left" w:pos="3515"/>
        </w:tabs>
        <w:spacing w:line="240" w:lineRule="auto"/>
        <w:ind w:left="1247" w:firstLine="0"/>
        <w:rPr>
          <w:rFonts w:ascii="Times New Roman" w:eastAsia="SimSun" w:hAnsi="Times New Roman" w:cs="Times New Roman"/>
          <w:sz w:val="24"/>
          <w:szCs w:val="24"/>
        </w:rPr>
      </w:pPr>
      <w:r w:rsidRPr="00D341A9">
        <w:rPr>
          <w:rFonts w:ascii="Times New Roman" w:eastAsia="SimSun" w:hAnsi="Times New Roman" w:cs="Times New Roman"/>
          <w:sz w:val="24"/>
          <w:szCs w:val="24"/>
          <w:lang w:val="zh-CN"/>
        </w:rPr>
        <w:t>全体会议不妨考虑多学科专家小组和主席团的建议：</w:t>
      </w:r>
    </w:p>
    <w:p w14:paraId="27333759" w14:textId="54B2826D" w:rsidR="00075479" w:rsidRPr="00D341A9" w:rsidRDefault="00075479" w:rsidP="00D341A9">
      <w:pPr>
        <w:pStyle w:val="Normalnumber"/>
        <w:numPr>
          <w:ilvl w:val="0"/>
          <w:numId w:val="22"/>
        </w:numPr>
        <w:tabs>
          <w:tab w:val="clear" w:pos="1247"/>
          <w:tab w:val="clear" w:pos="1758"/>
          <w:tab w:val="clear" w:pos="1871"/>
          <w:tab w:val="clear" w:pos="2495"/>
        </w:tabs>
        <w:ind w:left="1247" w:firstLine="624"/>
        <w:jc w:val="both"/>
        <w:rPr>
          <w:sz w:val="24"/>
          <w:szCs w:val="24"/>
          <w:lang w:eastAsia="zh-CN"/>
        </w:rPr>
      </w:pPr>
      <w:r w:rsidRPr="00D341A9">
        <w:rPr>
          <w:sz w:val="24"/>
          <w:szCs w:val="24"/>
          <w:lang w:val="zh-CN" w:eastAsia="zh-CN"/>
        </w:rPr>
        <w:t>不修改三项待开展的评估的范围；</w:t>
      </w:r>
    </w:p>
    <w:p w14:paraId="72DF2014" w14:textId="77777777" w:rsidR="00075479" w:rsidRPr="00D341A9" w:rsidRDefault="00075479" w:rsidP="00D341A9">
      <w:pPr>
        <w:pStyle w:val="Normalnumber"/>
        <w:numPr>
          <w:ilvl w:val="0"/>
          <w:numId w:val="22"/>
        </w:numPr>
        <w:tabs>
          <w:tab w:val="clear" w:pos="1247"/>
          <w:tab w:val="clear" w:pos="1758"/>
          <w:tab w:val="clear" w:pos="1871"/>
          <w:tab w:val="clear" w:pos="2495"/>
        </w:tabs>
        <w:ind w:left="1247" w:firstLine="624"/>
        <w:jc w:val="both"/>
        <w:rPr>
          <w:sz w:val="24"/>
          <w:szCs w:val="24"/>
          <w:lang w:eastAsia="zh-CN"/>
        </w:rPr>
      </w:pPr>
      <w:r w:rsidRPr="00D341A9">
        <w:rPr>
          <w:sz w:val="24"/>
          <w:szCs w:val="24"/>
          <w:lang w:val="zh-CN" w:eastAsia="zh-CN"/>
        </w:rPr>
        <w:t>根据本届全体会议议程项目</w:t>
      </w:r>
      <w:r w:rsidRPr="00D341A9">
        <w:rPr>
          <w:sz w:val="24"/>
          <w:szCs w:val="24"/>
          <w:lang w:val="zh-CN" w:eastAsia="zh-CN"/>
        </w:rPr>
        <w:t>9</w:t>
      </w:r>
      <w:r w:rsidRPr="00D341A9">
        <w:rPr>
          <w:sz w:val="24"/>
          <w:szCs w:val="24"/>
          <w:lang w:val="zh-CN" w:eastAsia="zh-CN"/>
        </w:rPr>
        <w:t>之下的预算讨论情况，修订每项待开展的评估的费用；</w:t>
      </w:r>
    </w:p>
    <w:p w14:paraId="74DE9BCB" w14:textId="77777777" w:rsidR="00075479" w:rsidRPr="00D341A9" w:rsidRDefault="00075479" w:rsidP="00D341A9">
      <w:pPr>
        <w:pStyle w:val="Normalnumber"/>
        <w:numPr>
          <w:ilvl w:val="0"/>
          <w:numId w:val="22"/>
        </w:numPr>
        <w:tabs>
          <w:tab w:val="clear" w:pos="1247"/>
          <w:tab w:val="clear" w:pos="1758"/>
          <w:tab w:val="clear" w:pos="1871"/>
          <w:tab w:val="clear" w:pos="2495"/>
        </w:tabs>
        <w:ind w:left="1247" w:firstLine="624"/>
        <w:jc w:val="both"/>
        <w:rPr>
          <w:sz w:val="24"/>
          <w:szCs w:val="24"/>
          <w:lang w:eastAsia="zh-CN"/>
        </w:rPr>
      </w:pPr>
      <w:r w:rsidRPr="00D341A9">
        <w:rPr>
          <w:sz w:val="24"/>
          <w:szCs w:val="24"/>
          <w:lang w:val="zh-CN" w:eastAsia="zh-CN"/>
        </w:rPr>
        <w:t>考虑错开三项待开展的评估的启动时间，</w:t>
      </w:r>
      <w:r w:rsidRPr="00D341A9">
        <w:rPr>
          <w:sz w:val="24"/>
          <w:szCs w:val="24"/>
          <w:lang w:val="zh-CN" w:eastAsia="zh-CN"/>
        </w:rPr>
        <w:t>2018</w:t>
      </w:r>
      <w:r w:rsidRPr="00D341A9">
        <w:rPr>
          <w:sz w:val="24"/>
          <w:szCs w:val="24"/>
          <w:lang w:val="zh-CN" w:eastAsia="zh-CN"/>
        </w:rPr>
        <w:t>年启动两项，随后在</w:t>
      </w:r>
      <w:r w:rsidRPr="00D341A9">
        <w:rPr>
          <w:sz w:val="24"/>
          <w:szCs w:val="24"/>
          <w:lang w:val="zh-CN" w:eastAsia="zh-CN"/>
        </w:rPr>
        <w:t>2019</w:t>
      </w:r>
      <w:r w:rsidRPr="00D341A9">
        <w:rPr>
          <w:sz w:val="24"/>
          <w:szCs w:val="24"/>
          <w:lang w:val="zh-CN" w:eastAsia="zh-CN"/>
        </w:rPr>
        <w:t>年启动另一项。</w:t>
      </w:r>
    </w:p>
    <w:p w14:paraId="55F872A9" w14:textId="77777777" w:rsidR="00075479" w:rsidRPr="003C23BD" w:rsidRDefault="00075479" w:rsidP="00D341A9">
      <w:pPr>
        <w:pStyle w:val="AnnexTitle"/>
        <w:rPr>
          <w:rFonts w:ascii="SimHei" w:eastAsia="SimHei" w:hAnsi="SimHei"/>
          <w:w w:val="103"/>
          <w:sz w:val="32"/>
          <w:szCs w:val="32"/>
        </w:rPr>
      </w:pPr>
      <w:proofErr w:type="spellStart"/>
      <w:r w:rsidRPr="003C23BD">
        <w:rPr>
          <w:rFonts w:ascii="SimHei" w:eastAsia="SimHei" w:hAnsi="SimHei"/>
          <w:sz w:val="32"/>
          <w:szCs w:val="32"/>
          <w:lang w:val="zh-CN"/>
        </w:rPr>
        <w:lastRenderedPageBreak/>
        <w:t>附件</w:t>
      </w:r>
      <w:bookmarkStart w:id="7" w:name="_Hlk499716434"/>
      <w:proofErr w:type="spellEnd"/>
    </w:p>
    <w:p w14:paraId="375398E2" w14:textId="77777777" w:rsidR="00075479" w:rsidRPr="00D341A9" w:rsidRDefault="00075479" w:rsidP="006C1C69">
      <w:pPr>
        <w:pStyle w:val="ZZAnxtitle"/>
        <w:ind w:left="1253"/>
        <w:rPr>
          <w:rFonts w:ascii="SimHei" w:eastAsia="SimHei" w:hAnsi="SimHei"/>
        </w:rPr>
      </w:pPr>
      <w:proofErr w:type="spellStart"/>
      <w:r w:rsidRPr="00D341A9">
        <w:rPr>
          <w:rFonts w:ascii="SimHei" w:eastAsia="SimHei" w:hAnsi="SimHei"/>
          <w:lang w:val="zh-CN"/>
        </w:rPr>
        <w:t>评估费用估算</w:t>
      </w:r>
      <w:proofErr w:type="spellEnd"/>
    </w:p>
    <w:tbl>
      <w:tblPr>
        <w:tblW w:w="96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776"/>
        <w:gridCol w:w="4019"/>
        <w:gridCol w:w="2186"/>
      </w:tblGrid>
      <w:tr w:rsidR="00075479" w:rsidRPr="00E57E2E" w14:paraId="3866874F" w14:textId="77777777" w:rsidTr="006D6515">
        <w:trPr>
          <w:trHeight w:val="256"/>
          <w:tblHeader/>
        </w:trPr>
        <w:tc>
          <w:tcPr>
            <w:tcW w:w="694" w:type="dxa"/>
            <w:shd w:val="clear" w:color="auto" w:fill="auto"/>
            <w:vAlign w:val="bottom"/>
          </w:tcPr>
          <w:bookmarkEnd w:id="7"/>
          <w:p w14:paraId="1D1CE7A0" w14:textId="77777777" w:rsidR="00075479" w:rsidRPr="00E57E2E" w:rsidRDefault="00075479" w:rsidP="00E57E2E">
            <w:pPr>
              <w:keepNext/>
              <w:keepLines/>
              <w:tabs>
                <w:tab w:val="left" w:pos="1247"/>
                <w:tab w:val="left" w:pos="1814"/>
                <w:tab w:val="left" w:pos="2381"/>
                <w:tab w:val="left" w:pos="2948"/>
                <w:tab w:val="left" w:pos="3515"/>
              </w:tabs>
              <w:spacing w:after="0" w:line="240" w:lineRule="auto"/>
              <w:ind w:rightChars="-59" w:right="-124"/>
              <w:jc w:val="center"/>
              <w:rPr>
                <w:rFonts w:ascii="Times New Roman" w:eastAsia="KaiTi" w:hAnsi="Times New Roman" w:cs="Times New Roman"/>
                <w:b/>
                <w:i/>
                <w:sz w:val="20"/>
                <w:szCs w:val="20"/>
              </w:rPr>
            </w:pPr>
            <w:r w:rsidRPr="00E57E2E">
              <w:rPr>
                <w:rFonts w:ascii="Times New Roman" w:eastAsia="KaiTi" w:hAnsi="Times New Roman" w:cs="Times New Roman"/>
                <w:b/>
                <w:sz w:val="20"/>
                <w:szCs w:val="20"/>
                <w:lang w:val="zh-CN"/>
              </w:rPr>
              <w:t>年份</w:t>
            </w:r>
          </w:p>
        </w:tc>
        <w:tc>
          <w:tcPr>
            <w:tcW w:w="2776" w:type="dxa"/>
            <w:shd w:val="clear" w:color="auto" w:fill="auto"/>
            <w:vAlign w:val="bottom"/>
          </w:tcPr>
          <w:p w14:paraId="78EEB093" w14:textId="77777777" w:rsidR="00075479" w:rsidRPr="00E57E2E" w:rsidRDefault="00075479" w:rsidP="00E57E2E">
            <w:pPr>
              <w:keepNext/>
              <w:keepLines/>
              <w:tabs>
                <w:tab w:val="left" w:pos="1247"/>
                <w:tab w:val="left" w:pos="1814"/>
                <w:tab w:val="left" w:pos="2381"/>
                <w:tab w:val="left" w:pos="2948"/>
                <w:tab w:val="left" w:pos="3515"/>
              </w:tabs>
              <w:spacing w:after="0" w:line="240" w:lineRule="auto"/>
              <w:jc w:val="center"/>
              <w:rPr>
                <w:rFonts w:ascii="Times New Roman" w:eastAsia="KaiTi" w:hAnsi="Times New Roman" w:cs="Times New Roman"/>
                <w:b/>
                <w:i/>
                <w:sz w:val="20"/>
                <w:szCs w:val="20"/>
              </w:rPr>
            </w:pPr>
            <w:r w:rsidRPr="00E57E2E">
              <w:rPr>
                <w:rFonts w:ascii="Times New Roman" w:eastAsia="KaiTi" w:hAnsi="Times New Roman" w:cs="Times New Roman"/>
                <w:b/>
                <w:sz w:val="20"/>
                <w:szCs w:val="20"/>
                <w:lang w:val="zh-CN"/>
              </w:rPr>
              <w:t>费用项目</w:t>
            </w:r>
          </w:p>
        </w:tc>
        <w:tc>
          <w:tcPr>
            <w:tcW w:w="4019" w:type="dxa"/>
            <w:shd w:val="clear" w:color="auto" w:fill="auto"/>
            <w:vAlign w:val="bottom"/>
          </w:tcPr>
          <w:p w14:paraId="77F8F43B" w14:textId="77777777" w:rsidR="00075479" w:rsidRPr="00E57E2E" w:rsidRDefault="00075479" w:rsidP="00E57E2E">
            <w:pPr>
              <w:keepNext/>
              <w:keepLines/>
              <w:tabs>
                <w:tab w:val="left" w:pos="1247"/>
                <w:tab w:val="left" w:pos="1814"/>
                <w:tab w:val="left" w:pos="2381"/>
                <w:tab w:val="left" w:pos="2948"/>
                <w:tab w:val="left" w:pos="3515"/>
              </w:tabs>
              <w:spacing w:after="0" w:line="240" w:lineRule="auto"/>
              <w:jc w:val="center"/>
              <w:rPr>
                <w:rFonts w:ascii="Times New Roman" w:eastAsia="KaiTi" w:hAnsi="Times New Roman" w:cs="Times New Roman"/>
                <w:b/>
                <w:i/>
                <w:sz w:val="20"/>
                <w:szCs w:val="20"/>
              </w:rPr>
            </w:pPr>
            <w:r w:rsidRPr="00E57E2E">
              <w:rPr>
                <w:rFonts w:ascii="Times New Roman" w:eastAsia="KaiTi" w:hAnsi="Times New Roman" w:cs="Times New Roman"/>
                <w:b/>
                <w:sz w:val="20"/>
                <w:szCs w:val="20"/>
                <w:lang w:val="zh-CN"/>
              </w:rPr>
              <w:t>假设</w:t>
            </w:r>
          </w:p>
        </w:tc>
        <w:tc>
          <w:tcPr>
            <w:tcW w:w="2186" w:type="dxa"/>
            <w:shd w:val="clear" w:color="auto" w:fill="auto"/>
            <w:vAlign w:val="bottom"/>
          </w:tcPr>
          <w:p w14:paraId="24BE6CF4" w14:textId="0CF0E297" w:rsidR="00075479" w:rsidRPr="00E57E2E" w:rsidRDefault="00075479" w:rsidP="00E57E2E">
            <w:pPr>
              <w:keepNext/>
              <w:keepLines/>
              <w:tabs>
                <w:tab w:val="left" w:pos="1247"/>
                <w:tab w:val="left" w:pos="1814"/>
                <w:tab w:val="left" w:pos="2381"/>
                <w:tab w:val="left" w:pos="2948"/>
                <w:tab w:val="left" w:pos="3515"/>
              </w:tabs>
              <w:spacing w:after="0" w:line="240" w:lineRule="auto"/>
              <w:jc w:val="center"/>
              <w:rPr>
                <w:rFonts w:ascii="Times New Roman" w:eastAsia="KaiTi" w:hAnsi="Times New Roman" w:cs="Times New Roman"/>
                <w:b/>
                <w:i/>
                <w:sz w:val="20"/>
                <w:szCs w:val="20"/>
              </w:rPr>
            </w:pPr>
            <w:r w:rsidRPr="00E57E2E">
              <w:rPr>
                <w:rFonts w:ascii="Times New Roman" w:eastAsia="KaiTi" w:hAnsi="Times New Roman" w:cs="Times New Roman"/>
                <w:b/>
                <w:sz w:val="20"/>
                <w:szCs w:val="20"/>
                <w:lang w:val="zh-CN"/>
              </w:rPr>
              <w:t>估计</w:t>
            </w:r>
            <w:r w:rsidR="00D341A9" w:rsidRPr="00E57E2E">
              <w:rPr>
                <w:rFonts w:ascii="Times New Roman" w:eastAsia="KaiTi" w:hAnsi="Times New Roman" w:cs="Times New Roman"/>
                <w:b/>
                <w:sz w:val="20"/>
                <w:szCs w:val="20"/>
                <w:lang w:val="zh-CN"/>
              </w:rPr>
              <w:t>费用</w:t>
            </w:r>
            <w:r w:rsidRPr="00E57E2E">
              <w:rPr>
                <w:rFonts w:ascii="Times New Roman" w:eastAsia="KaiTi" w:hAnsi="Times New Roman" w:cs="Times New Roman"/>
                <w:b/>
                <w:sz w:val="20"/>
                <w:szCs w:val="20"/>
                <w:lang w:val="zh-CN"/>
              </w:rPr>
              <w:t>（美元）</w:t>
            </w:r>
          </w:p>
        </w:tc>
      </w:tr>
      <w:tr w:rsidR="00075479" w:rsidRPr="00E57E2E" w14:paraId="3313AFCC" w14:textId="77777777" w:rsidTr="006D6515">
        <w:trPr>
          <w:trHeight w:val="256"/>
        </w:trPr>
        <w:tc>
          <w:tcPr>
            <w:tcW w:w="694" w:type="dxa"/>
            <w:vMerge w:val="restart"/>
            <w:shd w:val="clear" w:color="auto" w:fill="auto"/>
          </w:tcPr>
          <w:p w14:paraId="1617E34A" w14:textId="77777777" w:rsidR="00AC3B14" w:rsidRDefault="00AC3B14"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zh-CN"/>
              </w:rPr>
            </w:pPr>
          </w:p>
          <w:p w14:paraId="32903A15" w14:textId="77777777" w:rsidR="00AC3B14" w:rsidRDefault="00AC3B14"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zh-CN"/>
              </w:rPr>
            </w:pPr>
          </w:p>
          <w:p w14:paraId="2D35EA30" w14:textId="77777777" w:rsidR="00AC3B14" w:rsidRDefault="00AC3B14"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zh-CN"/>
              </w:rPr>
            </w:pPr>
          </w:p>
          <w:p w14:paraId="407298A2" w14:textId="77777777" w:rsidR="00AC3B14" w:rsidRDefault="00AC3B14"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zh-CN"/>
              </w:rPr>
            </w:pPr>
          </w:p>
          <w:p w14:paraId="01BA4635" w14:textId="77777777" w:rsidR="00AC3B14" w:rsidRDefault="00AC3B14"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zh-CN"/>
              </w:rPr>
            </w:pPr>
          </w:p>
          <w:p w14:paraId="4689B647" w14:textId="620F5845" w:rsidR="00E5398E" w:rsidRPr="00E57E2E" w:rsidRDefault="00075479"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zh-CN"/>
              </w:rPr>
            </w:pPr>
            <w:r w:rsidRPr="00E57E2E">
              <w:rPr>
                <w:rFonts w:ascii="Times New Roman" w:eastAsia="SimSun" w:hAnsi="Times New Roman" w:cs="Times New Roman"/>
                <w:sz w:val="20"/>
                <w:szCs w:val="20"/>
                <w:lang w:val="zh-CN"/>
              </w:rPr>
              <w:t>第</w:t>
            </w:r>
          </w:p>
          <w:p w14:paraId="009585B1" w14:textId="77777777" w:rsidR="00E5398E" w:rsidRPr="00E57E2E" w:rsidRDefault="00075479"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zh-CN"/>
              </w:rPr>
            </w:pPr>
            <w:r w:rsidRPr="00E57E2E">
              <w:rPr>
                <w:rFonts w:ascii="Times New Roman" w:eastAsia="SimSun" w:hAnsi="Times New Roman" w:cs="Times New Roman"/>
                <w:sz w:val="20"/>
                <w:szCs w:val="20"/>
                <w:lang w:val="zh-CN"/>
              </w:rPr>
              <w:t>1</w:t>
            </w:r>
          </w:p>
          <w:p w14:paraId="5061C428" w14:textId="1136DBA8" w:rsidR="00075479" w:rsidRPr="00E57E2E" w:rsidRDefault="00075479"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年</w:t>
            </w:r>
          </w:p>
        </w:tc>
        <w:tc>
          <w:tcPr>
            <w:tcW w:w="2776" w:type="dxa"/>
            <w:vMerge w:val="restart"/>
            <w:shd w:val="clear" w:color="auto" w:fill="auto"/>
          </w:tcPr>
          <w:p w14:paraId="51AEFFEE" w14:textId="239E93C3" w:rsidR="00075479" w:rsidRPr="00E57E2E" w:rsidRDefault="00075479" w:rsidP="00E57E2E">
            <w:pPr>
              <w:tabs>
                <w:tab w:val="left" w:pos="1247"/>
                <w:tab w:val="left" w:pos="1814"/>
                <w:tab w:val="left" w:pos="2381"/>
                <w:tab w:val="left" w:pos="2948"/>
                <w:tab w:val="left" w:pos="3515"/>
              </w:tabs>
              <w:spacing w:after="0" w:line="240" w:lineRule="auto"/>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管理委员会会议（</w:t>
            </w:r>
            <w:r w:rsidR="0044236F" w:rsidRPr="00E57E2E">
              <w:rPr>
                <w:rFonts w:ascii="Times New Roman" w:eastAsia="SimSun" w:hAnsi="Times New Roman" w:cs="Times New Roman"/>
                <w:sz w:val="20"/>
                <w:szCs w:val="20"/>
                <w:lang w:val="zh-CN"/>
              </w:rPr>
              <w:t>2</w:t>
            </w:r>
            <w:r w:rsidR="008D7FE9" w:rsidRPr="00E57E2E">
              <w:rPr>
                <w:rFonts w:ascii="Times New Roman" w:eastAsia="SimSun" w:hAnsi="Times New Roman" w:cs="Times New Roman"/>
                <w:sz w:val="20"/>
                <w:szCs w:val="20"/>
                <w:lang w:val="zh-CN"/>
              </w:rPr>
              <w:t>名</w:t>
            </w:r>
            <w:r w:rsidRPr="00E57E2E">
              <w:rPr>
                <w:rFonts w:ascii="Times New Roman" w:eastAsia="SimSun" w:hAnsi="Times New Roman" w:cs="Times New Roman"/>
                <w:sz w:val="20"/>
                <w:szCs w:val="20"/>
                <w:lang w:val="zh-CN"/>
              </w:rPr>
              <w:t>共同主席、秘书处成员，包括技术支助</w:t>
            </w:r>
            <w:r w:rsidR="008767B4" w:rsidRPr="00E57E2E">
              <w:rPr>
                <w:rFonts w:ascii="Times New Roman" w:eastAsia="SimSun" w:hAnsi="Times New Roman" w:cs="Times New Roman"/>
                <w:sz w:val="20"/>
                <w:szCs w:val="20"/>
                <w:lang w:val="zh-CN"/>
              </w:rPr>
              <w:t>小组</w:t>
            </w:r>
            <w:r w:rsidRPr="00E57E2E">
              <w:rPr>
                <w:rFonts w:ascii="Times New Roman" w:eastAsia="SimSun" w:hAnsi="Times New Roman" w:cs="Times New Roman"/>
                <w:sz w:val="20"/>
                <w:szCs w:val="20"/>
                <w:lang w:val="zh-CN"/>
              </w:rPr>
              <w:t>、多学科专家小组和主席团）</w:t>
            </w:r>
          </w:p>
        </w:tc>
        <w:tc>
          <w:tcPr>
            <w:tcW w:w="4019" w:type="dxa"/>
            <w:shd w:val="clear" w:color="auto" w:fill="auto"/>
          </w:tcPr>
          <w:p w14:paraId="419D3FA7" w14:textId="7F4835D1" w:rsidR="00075479" w:rsidRPr="00E57E2E" w:rsidRDefault="008D7FE9" w:rsidP="00E57E2E">
            <w:pPr>
              <w:pStyle w:val="CommentText"/>
              <w:rPr>
                <w:rFonts w:eastAsia="SimSun" w:cs="Times New Roman"/>
                <w:snapToGrid w:val="0"/>
                <w:u w:val="single"/>
              </w:rPr>
            </w:pPr>
            <w:r w:rsidRPr="00E57E2E">
              <w:rPr>
                <w:rFonts w:eastAsia="SimSun" w:cs="Times New Roman"/>
                <w:lang w:val="zh-CN"/>
              </w:rPr>
              <w:t>会场费用</w:t>
            </w:r>
            <w:r w:rsidR="00075479" w:rsidRPr="00E57E2E">
              <w:rPr>
                <w:rFonts w:eastAsia="SimSun" w:cs="Times New Roman"/>
                <w:lang w:val="zh-CN"/>
              </w:rPr>
              <w:t xml:space="preserve"> (1/2</w:t>
            </w:r>
            <w:r w:rsidR="00075479" w:rsidRPr="00E57E2E">
              <w:rPr>
                <w:rFonts w:eastAsia="SimSun" w:cs="Times New Roman"/>
                <w:lang w:val="zh-CN"/>
              </w:rPr>
              <w:t>周，</w:t>
            </w:r>
            <w:r w:rsidR="00075479" w:rsidRPr="00E57E2E">
              <w:rPr>
                <w:rFonts w:eastAsia="SimSun" w:cs="Times New Roman"/>
                <w:lang w:val="zh-CN"/>
              </w:rPr>
              <w:t>6</w:t>
            </w:r>
            <w:r w:rsidR="00075479" w:rsidRPr="00E57E2E">
              <w:rPr>
                <w:rFonts w:eastAsia="SimSun" w:cs="Times New Roman"/>
                <w:lang w:val="zh-CN"/>
              </w:rPr>
              <w:t>位与会者，地点波恩</w:t>
            </w:r>
            <w:r w:rsidR="00075479" w:rsidRPr="00E57E2E">
              <w:rPr>
                <w:rFonts w:eastAsia="SimSun" w:cs="Times New Roman"/>
                <w:lang w:val="zh-CN"/>
              </w:rPr>
              <w:t>)</w:t>
            </w:r>
          </w:p>
        </w:tc>
        <w:tc>
          <w:tcPr>
            <w:tcW w:w="2186" w:type="dxa"/>
            <w:shd w:val="clear" w:color="auto" w:fill="auto"/>
          </w:tcPr>
          <w:p w14:paraId="489FBC9D" w14:textId="77777777" w:rsidR="00075479" w:rsidRPr="00E57E2E" w:rsidRDefault="00075479" w:rsidP="006D6515">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0</w:t>
            </w:r>
          </w:p>
        </w:tc>
      </w:tr>
      <w:tr w:rsidR="00075479" w:rsidRPr="00E57E2E" w14:paraId="015BB1BC" w14:textId="77777777" w:rsidTr="006D6515">
        <w:trPr>
          <w:trHeight w:val="188"/>
        </w:trPr>
        <w:tc>
          <w:tcPr>
            <w:tcW w:w="694" w:type="dxa"/>
            <w:vMerge/>
            <w:shd w:val="clear" w:color="auto" w:fill="auto"/>
            <w:vAlign w:val="center"/>
          </w:tcPr>
          <w:p w14:paraId="154BFA02" w14:textId="77777777" w:rsidR="00075479" w:rsidRPr="00E57E2E" w:rsidRDefault="00075479"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en-GB"/>
              </w:rPr>
            </w:pPr>
          </w:p>
        </w:tc>
        <w:tc>
          <w:tcPr>
            <w:tcW w:w="2776" w:type="dxa"/>
            <w:vMerge/>
            <w:shd w:val="clear" w:color="auto" w:fill="auto"/>
          </w:tcPr>
          <w:p w14:paraId="1EC2CA7D" w14:textId="77777777" w:rsidR="00075479" w:rsidRPr="00E57E2E" w:rsidRDefault="00075479" w:rsidP="00E57E2E">
            <w:pPr>
              <w:tabs>
                <w:tab w:val="left" w:pos="1247"/>
                <w:tab w:val="left" w:pos="1814"/>
                <w:tab w:val="left" w:pos="2381"/>
                <w:tab w:val="left" w:pos="2948"/>
                <w:tab w:val="left" w:pos="3515"/>
              </w:tabs>
              <w:spacing w:after="0" w:line="240" w:lineRule="auto"/>
              <w:rPr>
                <w:rFonts w:ascii="Times New Roman" w:eastAsia="SimSun" w:hAnsi="Times New Roman" w:cs="Times New Roman"/>
                <w:sz w:val="20"/>
                <w:szCs w:val="20"/>
                <w:lang w:val="en-GB"/>
              </w:rPr>
            </w:pPr>
          </w:p>
        </w:tc>
        <w:tc>
          <w:tcPr>
            <w:tcW w:w="4019" w:type="dxa"/>
            <w:shd w:val="clear" w:color="auto" w:fill="auto"/>
          </w:tcPr>
          <w:p w14:paraId="31DED3E2" w14:textId="77777777" w:rsidR="00075479" w:rsidRPr="00E57E2E" w:rsidRDefault="00075479" w:rsidP="00E57E2E">
            <w:pPr>
              <w:tabs>
                <w:tab w:val="left" w:pos="1247"/>
                <w:tab w:val="left" w:pos="1814"/>
                <w:tab w:val="left" w:pos="2381"/>
                <w:tab w:val="left" w:pos="2948"/>
                <w:tab w:val="left" w:pos="3515"/>
              </w:tabs>
              <w:spacing w:after="0" w:line="240" w:lineRule="auto"/>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4</w:t>
            </w:r>
            <w:r w:rsidRPr="00E57E2E">
              <w:rPr>
                <w:rFonts w:ascii="Times New Roman" w:eastAsia="SimSun" w:hAnsi="Times New Roman" w:cs="Times New Roman"/>
                <w:sz w:val="20"/>
                <w:szCs w:val="20"/>
                <w:lang w:val="zh-CN"/>
              </w:rPr>
              <w:t>名受支助与会者的差旅和每日生活津贴（</w:t>
            </w:r>
            <w:r w:rsidRPr="00E57E2E">
              <w:rPr>
                <w:rFonts w:ascii="Times New Roman" w:eastAsia="SimSun" w:hAnsi="Times New Roman" w:cs="Times New Roman"/>
                <w:sz w:val="20"/>
                <w:szCs w:val="20"/>
                <w:lang w:val="zh-CN"/>
              </w:rPr>
              <w:t>4×3 750</w:t>
            </w:r>
            <w:r w:rsidRPr="00E57E2E">
              <w:rPr>
                <w:rFonts w:ascii="Times New Roman" w:eastAsia="SimSun" w:hAnsi="Times New Roman" w:cs="Times New Roman"/>
                <w:sz w:val="20"/>
                <w:szCs w:val="20"/>
                <w:lang w:val="zh-CN"/>
              </w:rPr>
              <w:t>美元）</w:t>
            </w:r>
          </w:p>
        </w:tc>
        <w:tc>
          <w:tcPr>
            <w:tcW w:w="2186" w:type="dxa"/>
            <w:shd w:val="clear" w:color="auto" w:fill="auto"/>
          </w:tcPr>
          <w:p w14:paraId="4C7360F7" w14:textId="77777777" w:rsidR="00075479" w:rsidRPr="00E57E2E" w:rsidRDefault="00075479" w:rsidP="006D6515">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15 000</w:t>
            </w:r>
          </w:p>
        </w:tc>
      </w:tr>
      <w:tr w:rsidR="00075479" w:rsidRPr="00E57E2E" w14:paraId="22B5AB3A" w14:textId="77777777" w:rsidTr="006D6515">
        <w:trPr>
          <w:trHeight w:val="422"/>
        </w:trPr>
        <w:tc>
          <w:tcPr>
            <w:tcW w:w="694" w:type="dxa"/>
            <w:vMerge/>
            <w:shd w:val="clear" w:color="auto" w:fill="auto"/>
          </w:tcPr>
          <w:p w14:paraId="35BE3025" w14:textId="77777777" w:rsidR="00075479" w:rsidRPr="00E57E2E" w:rsidRDefault="00075479"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en-GB"/>
              </w:rPr>
            </w:pPr>
          </w:p>
        </w:tc>
        <w:tc>
          <w:tcPr>
            <w:tcW w:w="2776" w:type="dxa"/>
            <w:vMerge w:val="restart"/>
            <w:shd w:val="clear" w:color="auto" w:fill="auto"/>
          </w:tcPr>
          <w:p w14:paraId="5C49D3C8" w14:textId="77777777" w:rsidR="00075479" w:rsidRPr="00E57E2E" w:rsidRDefault="00075479" w:rsidP="00E57E2E">
            <w:pPr>
              <w:tabs>
                <w:tab w:val="left" w:pos="1247"/>
                <w:tab w:val="left" w:pos="1814"/>
                <w:tab w:val="left" w:pos="2381"/>
                <w:tab w:val="left" w:pos="2948"/>
                <w:tab w:val="left" w:pos="3515"/>
              </w:tabs>
              <w:spacing w:after="0" w:line="240" w:lineRule="auto"/>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第一次作者会议（</w:t>
            </w:r>
            <w:r w:rsidRPr="00E57E2E">
              <w:rPr>
                <w:rFonts w:ascii="Times New Roman" w:eastAsia="SimSun" w:hAnsi="Times New Roman" w:cs="Times New Roman"/>
                <w:sz w:val="20"/>
                <w:szCs w:val="20"/>
                <w:lang w:val="zh-CN"/>
              </w:rPr>
              <w:t>2</w:t>
            </w:r>
            <w:r w:rsidRPr="00E57E2E">
              <w:rPr>
                <w:rFonts w:ascii="Times New Roman" w:eastAsia="SimSun" w:hAnsi="Times New Roman" w:cs="Times New Roman"/>
                <w:sz w:val="20"/>
                <w:szCs w:val="20"/>
                <w:lang w:val="zh-CN"/>
              </w:rPr>
              <w:t>名共同主席、</w:t>
            </w:r>
            <w:r w:rsidRPr="00E57E2E">
              <w:rPr>
                <w:rFonts w:ascii="Times New Roman" w:eastAsia="SimSun" w:hAnsi="Times New Roman" w:cs="Times New Roman"/>
                <w:sz w:val="20"/>
                <w:szCs w:val="20"/>
                <w:lang w:val="zh-CN"/>
              </w:rPr>
              <w:t>12</w:t>
            </w:r>
            <w:r w:rsidRPr="00E57E2E">
              <w:rPr>
                <w:rFonts w:ascii="Times New Roman" w:eastAsia="SimSun" w:hAnsi="Times New Roman" w:cs="Times New Roman"/>
                <w:sz w:val="20"/>
                <w:szCs w:val="20"/>
                <w:lang w:val="zh-CN"/>
              </w:rPr>
              <w:t>名承担协调工作的主要作者、</w:t>
            </w:r>
            <w:r w:rsidRPr="00E57E2E">
              <w:rPr>
                <w:rFonts w:ascii="Times New Roman" w:eastAsia="SimSun" w:hAnsi="Times New Roman" w:cs="Times New Roman"/>
                <w:sz w:val="20"/>
                <w:szCs w:val="20"/>
                <w:lang w:val="zh-CN"/>
              </w:rPr>
              <w:t>48</w:t>
            </w:r>
            <w:r w:rsidRPr="00E57E2E">
              <w:rPr>
                <w:rFonts w:ascii="Times New Roman" w:eastAsia="SimSun" w:hAnsi="Times New Roman" w:cs="Times New Roman"/>
                <w:sz w:val="20"/>
                <w:szCs w:val="20"/>
                <w:lang w:val="zh-CN"/>
              </w:rPr>
              <w:t>名主要作者、</w:t>
            </w:r>
            <w:r w:rsidRPr="00E57E2E">
              <w:rPr>
                <w:rFonts w:ascii="Times New Roman" w:eastAsia="SimSun" w:hAnsi="Times New Roman" w:cs="Times New Roman"/>
                <w:sz w:val="20"/>
                <w:szCs w:val="20"/>
                <w:lang w:val="zh-CN"/>
              </w:rPr>
              <w:t>6</w:t>
            </w:r>
            <w:r w:rsidRPr="00E57E2E">
              <w:rPr>
                <w:rFonts w:ascii="Times New Roman" w:eastAsia="SimSun" w:hAnsi="Times New Roman" w:cs="Times New Roman"/>
                <w:sz w:val="20"/>
                <w:szCs w:val="20"/>
                <w:lang w:val="zh-CN"/>
              </w:rPr>
              <w:t>名多学科专家小组和主席团成员）</w:t>
            </w:r>
          </w:p>
        </w:tc>
        <w:tc>
          <w:tcPr>
            <w:tcW w:w="4019" w:type="dxa"/>
            <w:shd w:val="clear" w:color="auto" w:fill="auto"/>
          </w:tcPr>
          <w:p w14:paraId="174E8AE2" w14:textId="314C7E52" w:rsidR="00075479" w:rsidRPr="00E57E2E" w:rsidRDefault="008D7FE9" w:rsidP="00E57E2E">
            <w:pPr>
              <w:tabs>
                <w:tab w:val="left" w:pos="1247"/>
                <w:tab w:val="left" w:pos="1814"/>
                <w:tab w:val="left" w:pos="2381"/>
                <w:tab w:val="left" w:pos="2948"/>
                <w:tab w:val="left" w:pos="3515"/>
              </w:tabs>
              <w:spacing w:after="0" w:line="240" w:lineRule="auto"/>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会场费用</w:t>
            </w:r>
            <w:r w:rsidR="00075479" w:rsidRPr="00E57E2E">
              <w:rPr>
                <w:rFonts w:ascii="Times New Roman" w:eastAsia="SimSun" w:hAnsi="Times New Roman" w:cs="Times New Roman"/>
                <w:sz w:val="20"/>
                <w:szCs w:val="20"/>
                <w:lang w:val="zh-CN"/>
              </w:rPr>
              <w:t xml:space="preserve"> (</w:t>
            </w:r>
            <w:r w:rsidR="00075479" w:rsidRPr="00E57E2E">
              <w:rPr>
                <w:rFonts w:ascii="Times New Roman" w:eastAsia="SimSun" w:hAnsi="Times New Roman" w:cs="Times New Roman"/>
                <w:sz w:val="20"/>
                <w:szCs w:val="20"/>
                <w:lang w:val="zh-CN"/>
              </w:rPr>
              <w:t>相当于</w:t>
            </w:r>
            <w:r w:rsidR="00075479" w:rsidRPr="00E57E2E">
              <w:rPr>
                <w:rFonts w:ascii="Times New Roman" w:eastAsia="SimSun" w:hAnsi="Times New Roman" w:cs="Times New Roman"/>
                <w:sz w:val="20"/>
                <w:szCs w:val="20"/>
                <w:lang w:val="zh-CN"/>
              </w:rPr>
              <w:t>75%</w:t>
            </w:r>
            <w:r w:rsidR="00075479" w:rsidRPr="00E57E2E">
              <w:rPr>
                <w:rFonts w:ascii="Times New Roman" w:eastAsia="SimSun" w:hAnsi="Times New Roman" w:cs="Times New Roman"/>
                <w:sz w:val="20"/>
                <w:szCs w:val="20"/>
                <w:lang w:val="zh-CN"/>
              </w:rPr>
              <w:t>，辅以</w:t>
            </w:r>
            <w:r w:rsidR="00075479" w:rsidRPr="00E57E2E">
              <w:rPr>
                <w:rFonts w:ascii="Times New Roman" w:eastAsia="SimSun" w:hAnsi="Times New Roman" w:cs="Times New Roman"/>
                <w:sz w:val="20"/>
                <w:szCs w:val="20"/>
                <w:lang w:val="zh-CN"/>
              </w:rPr>
              <w:t>25%</w:t>
            </w:r>
            <w:r w:rsidR="00075479" w:rsidRPr="00E57E2E">
              <w:rPr>
                <w:rFonts w:ascii="Times New Roman" w:eastAsia="SimSun" w:hAnsi="Times New Roman" w:cs="Times New Roman"/>
                <w:sz w:val="20"/>
                <w:szCs w:val="20"/>
                <w:lang w:val="zh-CN"/>
              </w:rPr>
              <w:t>实物形式；</w:t>
            </w:r>
            <w:r w:rsidR="00075479" w:rsidRPr="00E57E2E">
              <w:rPr>
                <w:rFonts w:ascii="Times New Roman" w:eastAsia="SimSun" w:hAnsi="Times New Roman" w:cs="Times New Roman"/>
                <w:sz w:val="20"/>
                <w:szCs w:val="20"/>
                <w:lang w:val="zh-CN"/>
              </w:rPr>
              <w:t>68</w:t>
            </w:r>
            <w:r w:rsidR="00075479" w:rsidRPr="00E57E2E">
              <w:rPr>
                <w:rFonts w:ascii="Times New Roman" w:eastAsia="SimSun" w:hAnsi="Times New Roman" w:cs="Times New Roman"/>
                <w:sz w:val="20"/>
                <w:szCs w:val="20"/>
                <w:lang w:val="zh-CN"/>
              </w:rPr>
              <w:t>名与会者）</w:t>
            </w:r>
          </w:p>
        </w:tc>
        <w:tc>
          <w:tcPr>
            <w:tcW w:w="2186" w:type="dxa"/>
            <w:shd w:val="clear" w:color="auto" w:fill="auto"/>
          </w:tcPr>
          <w:p w14:paraId="3B32B0CE" w14:textId="77777777" w:rsidR="00075479" w:rsidRPr="00E57E2E" w:rsidRDefault="00075479" w:rsidP="006D6515">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18 750</w:t>
            </w:r>
          </w:p>
        </w:tc>
      </w:tr>
      <w:tr w:rsidR="00075479" w:rsidRPr="00E57E2E" w14:paraId="17930BFD" w14:textId="77777777" w:rsidTr="006D6515">
        <w:trPr>
          <w:trHeight w:val="129"/>
        </w:trPr>
        <w:tc>
          <w:tcPr>
            <w:tcW w:w="694" w:type="dxa"/>
            <w:vMerge/>
            <w:shd w:val="clear" w:color="auto" w:fill="auto"/>
            <w:vAlign w:val="center"/>
          </w:tcPr>
          <w:p w14:paraId="2E768220" w14:textId="77777777" w:rsidR="00075479" w:rsidRPr="00E57E2E" w:rsidRDefault="00075479"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en-GB"/>
              </w:rPr>
            </w:pPr>
          </w:p>
        </w:tc>
        <w:tc>
          <w:tcPr>
            <w:tcW w:w="2776" w:type="dxa"/>
            <w:vMerge/>
            <w:shd w:val="clear" w:color="auto" w:fill="auto"/>
          </w:tcPr>
          <w:p w14:paraId="136AC5FE" w14:textId="77777777" w:rsidR="00075479" w:rsidRPr="00E57E2E" w:rsidRDefault="00075479" w:rsidP="00E57E2E">
            <w:pPr>
              <w:tabs>
                <w:tab w:val="left" w:pos="1247"/>
                <w:tab w:val="left" w:pos="1814"/>
                <w:tab w:val="left" w:pos="2381"/>
                <w:tab w:val="left" w:pos="2948"/>
                <w:tab w:val="left" w:pos="3515"/>
              </w:tabs>
              <w:spacing w:after="0" w:line="240" w:lineRule="auto"/>
              <w:rPr>
                <w:rFonts w:ascii="Times New Roman" w:eastAsia="SimSun" w:hAnsi="Times New Roman" w:cs="Times New Roman"/>
                <w:sz w:val="20"/>
                <w:szCs w:val="20"/>
                <w:lang w:val="en-GB"/>
              </w:rPr>
            </w:pPr>
          </w:p>
        </w:tc>
        <w:tc>
          <w:tcPr>
            <w:tcW w:w="4019" w:type="dxa"/>
            <w:shd w:val="clear" w:color="auto" w:fill="auto"/>
          </w:tcPr>
          <w:p w14:paraId="023A55E1" w14:textId="18C13C55" w:rsidR="00075479" w:rsidRPr="00E57E2E" w:rsidRDefault="00075479" w:rsidP="00E57E2E">
            <w:pPr>
              <w:tabs>
                <w:tab w:val="left" w:pos="1247"/>
                <w:tab w:val="left" w:pos="1814"/>
                <w:tab w:val="left" w:pos="2381"/>
                <w:tab w:val="left" w:pos="2948"/>
                <w:tab w:val="left" w:pos="3515"/>
              </w:tabs>
              <w:spacing w:after="0" w:line="240" w:lineRule="auto"/>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51</w:t>
            </w:r>
            <w:r w:rsidRPr="00E57E2E">
              <w:rPr>
                <w:rFonts w:ascii="Times New Roman" w:eastAsia="SimSun" w:hAnsi="Times New Roman" w:cs="Times New Roman"/>
                <w:sz w:val="20"/>
                <w:szCs w:val="20"/>
                <w:lang w:val="zh-CN"/>
              </w:rPr>
              <w:t>名受支助与会者的差旅和每日生活津贴（</w:t>
            </w:r>
            <w:r w:rsidRPr="00E57E2E">
              <w:rPr>
                <w:rFonts w:ascii="Times New Roman" w:eastAsia="SimSun" w:hAnsi="Times New Roman" w:cs="Times New Roman"/>
                <w:sz w:val="20"/>
                <w:szCs w:val="20"/>
                <w:lang w:val="zh-CN"/>
              </w:rPr>
              <w:t>51×3 750</w:t>
            </w:r>
            <w:r w:rsidRPr="00E57E2E">
              <w:rPr>
                <w:rFonts w:ascii="Times New Roman" w:eastAsia="SimSun" w:hAnsi="Times New Roman" w:cs="Times New Roman"/>
                <w:sz w:val="20"/>
                <w:szCs w:val="20"/>
                <w:lang w:val="zh-CN"/>
              </w:rPr>
              <w:t>美元）</w:t>
            </w:r>
          </w:p>
        </w:tc>
        <w:tc>
          <w:tcPr>
            <w:tcW w:w="2186" w:type="dxa"/>
            <w:shd w:val="clear" w:color="auto" w:fill="auto"/>
          </w:tcPr>
          <w:p w14:paraId="12FD397C" w14:textId="77777777" w:rsidR="00075479" w:rsidRPr="00E57E2E" w:rsidRDefault="00075479" w:rsidP="006D6515">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191 250</w:t>
            </w:r>
          </w:p>
        </w:tc>
      </w:tr>
      <w:tr w:rsidR="00075479" w:rsidRPr="00E57E2E" w14:paraId="6FF4332C" w14:textId="77777777" w:rsidTr="006D6515">
        <w:trPr>
          <w:trHeight w:val="455"/>
        </w:trPr>
        <w:tc>
          <w:tcPr>
            <w:tcW w:w="694" w:type="dxa"/>
            <w:vMerge/>
            <w:shd w:val="clear" w:color="auto" w:fill="auto"/>
          </w:tcPr>
          <w:p w14:paraId="7F3FAD64" w14:textId="77777777" w:rsidR="00075479" w:rsidRPr="00E57E2E" w:rsidRDefault="00075479"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en-GB"/>
              </w:rPr>
            </w:pPr>
          </w:p>
        </w:tc>
        <w:tc>
          <w:tcPr>
            <w:tcW w:w="2776" w:type="dxa"/>
            <w:shd w:val="clear" w:color="auto" w:fill="auto"/>
          </w:tcPr>
          <w:p w14:paraId="48EBD648" w14:textId="15976082" w:rsidR="00075479" w:rsidRPr="00E57E2E" w:rsidRDefault="00075479" w:rsidP="00E57E2E">
            <w:pPr>
              <w:tabs>
                <w:tab w:val="left" w:pos="1247"/>
                <w:tab w:val="left" w:pos="1814"/>
                <w:tab w:val="left" w:pos="2381"/>
                <w:tab w:val="left" w:pos="2948"/>
                <w:tab w:val="left" w:pos="3515"/>
              </w:tabs>
              <w:spacing w:after="0" w:line="240" w:lineRule="auto"/>
              <w:rPr>
                <w:rFonts w:ascii="Times New Roman" w:eastAsia="SimSun" w:hAnsi="Times New Roman" w:cs="Times New Roman"/>
                <w:b/>
                <w:sz w:val="20"/>
                <w:szCs w:val="20"/>
              </w:rPr>
            </w:pPr>
            <w:r w:rsidRPr="00E57E2E">
              <w:rPr>
                <w:rFonts w:ascii="Times New Roman" w:eastAsia="SimSun" w:hAnsi="Times New Roman" w:cs="Times New Roman"/>
                <w:sz w:val="20"/>
                <w:szCs w:val="20"/>
                <w:lang w:val="zh-CN"/>
              </w:rPr>
              <w:t>技术支助</w:t>
            </w:r>
            <w:r w:rsidR="0044236F" w:rsidRPr="00E57E2E">
              <w:rPr>
                <w:rFonts w:ascii="Times New Roman" w:eastAsia="SimSun" w:hAnsi="Times New Roman" w:cs="Times New Roman"/>
                <w:sz w:val="20"/>
                <w:szCs w:val="20"/>
                <w:lang w:val="zh-CN"/>
              </w:rPr>
              <w:t>小组</w:t>
            </w:r>
          </w:p>
        </w:tc>
        <w:tc>
          <w:tcPr>
            <w:tcW w:w="4019" w:type="dxa"/>
            <w:shd w:val="clear" w:color="auto" w:fill="auto"/>
          </w:tcPr>
          <w:p w14:paraId="1A8852DD" w14:textId="10FF913B" w:rsidR="00075479" w:rsidRPr="00E57E2E" w:rsidRDefault="00075479" w:rsidP="00E57E2E">
            <w:pPr>
              <w:tabs>
                <w:tab w:val="left" w:pos="1247"/>
                <w:tab w:val="left" w:pos="1814"/>
                <w:tab w:val="left" w:pos="2381"/>
                <w:tab w:val="left" w:pos="2948"/>
                <w:tab w:val="left" w:pos="3515"/>
              </w:tabs>
              <w:spacing w:after="0" w:line="240" w:lineRule="auto"/>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相当于</w:t>
            </w:r>
            <w:r w:rsidR="008767B4" w:rsidRPr="00E57E2E">
              <w:rPr>
                <w:rFonts w:ascii="Times New Roman" w:eastAsia="SimSun" w:hAnsi="Times New Roman" w:cs="Times New Roman"/>
                <w:sz w:val="20"/>
                <w:szCs w:val="20"/>
                <w:lang w:val="zh-CN"/>
              </w:rPr>
              <w:t>1</w:t>
            </w:r>
            <w:r w:rsidRPr="00E57E2E">
              <w:rPr>
                <w:rFonts w:ascii="Times New Roman" w:eastAsia="SimSun" w:hAnsi="Times New Roman" w:cs="Times New Roman"/>
                <w:sz w:val="20"/>
                <w:szCs w:val="20"/>
                <w:lang w:val="zh-CN"/>
              </w:rPr>
              <w:t>名全职等效专业岗位及</w:t>
            </w:r>
            <w:r w:rsidR="008767B4" w:rsidRPr="00E57E2E">
              <w:rPr>
                <w:rFonts w:ascii="Times New Roman" w:eastAsia="SimSun" w:hAnsi="Times New Roman" w:cs="Times New Roman"/>
                <w:sz w:val="20"/>
                <w:szCs w:val="20"/>
                <w:lang w:val="zh-CN"/>
              </w:rPr>
              <w:t>1</w:t>
            </w:r>
            <w:r w:rsidRPr="00E57E2E">
              <w:rPr>
                <w:rFonts w:ascii="Times New Roman" w:eastAsia="SimSun" w:hAnsi="Times New Roman" w:cs="Times New Roman"/>
                <w:sz w:val="20"/>
                <w:szCs w:val="20"/>
                <w:lang w:val="zh-CN"/>
              </w:rPr>
              <w:t>名半职行政助理的费用，包括差旅和间接费用（以同等价值的实物匹配）</w:t>
            </w:r>
          </w:p>
        </w:tc>
        <w:tc>
          <w:tcPr>
            <w:tcW w:w="2186" w:type="dxa"/>
            <w:shd w:val="clear" w:color="auto" w:fill="auto"/>
          </w:tcPr>
          <w:p w14:paraId="7ADF9F6E" w14:textId="77777777" w:rsidR="00075479" w:rsidRPr="00E57E2E" w:rsidRDefault="00075479" w:rsidP="006D6515">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b/>
                <w:sz w:val="20"/>
                <w:szCs w:val="20"/>
              </w:rPr>
            </w:pPr>
            <w:r w:rsidRPr="00E57E2E">
              <w:rPr>
                <w:rFonts w:ascii="Times New Roman" w:eastAsia="SimSun" w:hAnsi="Times New Roman" w:cs="Times New Roman"/>
                <w:sz w:val="20"/>
                <w:szCs w:val="20"/>
                <w:lang w:val="zh-CN"/>
              </w:rPr>
              <w:t>150 000</w:t>
            </w:r>
          </w:p>
        </w:tc>
      </w:tr>
      <w:tr w:rsidR="00075479" w:rsidRPr="00E57E2E" w14:paraId="436C9D6E" w14:textId="77777777" w:rsidTr="006D6515">
        <w:trPr>
          <w:trHeight w:val="272"/>
        </w:trPr>
        <w:tc>
          <w:tcPr>
            <w:tcW w:w="694" w:type="dxa"/>
            <w:shd w:val="clear" w:color="auto" w:fill="auto"/>
          </w:tcPr>
          <w:p w14:paraId="065C14B3" w14:textId="77777777" w:rsidR="00075479" w:rsidRPr="00E57E2E" w:rsidRDefault="00075479"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en-GB"/>
              </w:rPr>
            </w:pPr>
          </w:p>
        </w:tc>
        <w:tc>
          <w:tcPr>
            <w:tcW w:w="2776" w:type="dxa"/>
            <w:shd w:val="clear" w:color="auto" w:fill="auto"/>
          </w:tcPr>
          <w:p w14:paraId="1592D84B" w14:textId="77777777" w:rsidR="00075479" w:rsidRPr="00E57E2E" w:rsidRDefault="00075479" w:rsidP="00E57E2E">
            <w:pPr>
              <w:keepNext/>
              <w:keepLines/>
              <w:tabs>
                <w:tab w:val="left" w:pos="1247"/>
                <w:tab w:val="left" w:pos="1814"/>
                <w:tab w:val="left" w:pos="2381"/>
                <w:tab w:val="left" w:pos="2948"/>
                <w:tab w:val="left" w:pos="3515"/>
              </w:tabs>
              <w:spacing w:after="0" w:line="240" w:lineRule="auto"/>
              <w:rPr>
                <w:rFonts w:ascii="Times New Roman" w:eastAsia="SimHei" w:hAnsi="Times New Roman" w:cs="Times New Roman"/>
                <w:b/>
                <w:sz w:val="20"/>
                <w:szCs w:val="20"/>
              </w:rPr>
            </w:pPr>
            <w:r w:rsidRPr="00E57E2E">
              <w:rPr>
                <w:rFonts w:ascii="Times New Roman" w:eastAsia="SimHei" w:hAnsi="Times New Roman" w:cs="Times New Roman"/>
                <w:b/>
                <w:sz w:val="20"/>
                <w:szCs w:val="20"/>
                <w:lang w:val="zh-CN"/>
              </w:rPr>
              <w:t>第</w:t>
            </w:r>
            <w:r w:rsidRPr="00E57E2E">
              <w:rPr>
                <w:rFonts w:ascii="Times New Roman" w:eastAsia="SimHei" w:hAnsi="Times New Roman" w:cs="Times New Roman"/>
                <w:b/>
                <w:sz w:val="20"/>
                <w:szCs w:val="20"/>
                <w:lang w:val="zh-CN"/>
              </w:rPr>
              <w:t>1</w:t>
            </w:r>
            <w:r w:rsidRPr="00E57E2E">
              <w:rPr>
                <w:rFonts w:ascii="Times New Roman" w:eastAsia="SimHei" w:hAnsi="Times New Roman" w:cs="Times New Roman"/>
                <w:b/>
                <w:sz w:val="20"/>
                <w:szCs w:val="20"/>
                <w:lang w:val="zh-CN"/>
              </w:rPr>
              <w:t>年共计：</w:t>
            </w:r>
          </w:p>
        </w:tc>
        <w:tc>
          <w:tcPr>
            <w:tcW w:w="4019" w:type="dxa"/>
            <w:shd w:val="clear" w:color="auto" w:fill="auto"/>
          </w:tcPr>
          <w:p w14:paraId="3D8070BD" w14:textId="77777777" w:rsidR="00075479" w:rsidRPr="00E57E2E" w:rsidRDefault="00075479" w:rsidP="00E57E2E">
            <w:pPr>
              <w:tabs>
                <w:tab w:val="left" w:pos="1247"/>
                <w:tab w:val="left" w:pos="1814"/>
                <w:tab w:val="left" w:pos="2381"/>
                <w:tab w:val="left" w:pos="2948"/>
                <w:tab w:val="left" w:pos="3515"/>
              </w:tabs>
              <w:spacing w:after="0" w:line="240" w:lineRule="auto"/>
              <w:rPr>
                <w:rFonts w:ascii="Times New Roman" w:eastAsia="SimHei" w:hAnsi="Times New Roman" w:cs="Times New Roman"/>
                <w:b/>
                <w:sz w:val="20"/>
                <w:szCs w:val="20"/>
                <w:lang w:val="en-GB"/>
              </w:rPr>
            </w:pPr>
          </w:p>
        </w:tc>
        <w:tc>
          <w:tcPr>
            <w:tcW w:w="2186" w:type="dxa"/>
            <w:shd w:val="clear" w:color="auto" w:fill="auto"/>
          </w:tcPr>
          <w:p w14:paraId="0371E50C" w14:textId="77777777" w:rsidR="00075479" w:rsidRPr="00E57E2E" w:rsidRDefault="00075479" w:rsidP="006D6515">
            <w:pPr>
              <w:tabs>
                <w:tab w:val="left" w:pos="1247"/>
                <w:tab w:val="left" w:pos="1814"/>
                <w:tab w:val="left" w:pos="2381"/>
                <w:tab w:val="left" w:pos="2948"/>
                <w:tab w:val="left" w:pos="3515"/>
              </w:tabs>
              <w:spacing w:after="0" w:line="240" w:lineRule="auto"/>
              <w:jc w:val="center"/>
              <w:rPr>
                <w:rFonts w:ascii="Times New Roman" w:eastAsia="SimHei" w:hAnsi="Times New Roman" w:cs="Times New Roman"/>
                <w:b/>
                <w:sz w:val="20"/>
                <w:szCs w:val="20"/>
              </w:rPr>
            </w:pPr>
            <w:r w:rsidRPr="00E57E2E">
              <w:rPr>
                <w:rFonts w:ascii="Times New Roman" w:eastAsia="SimHei" w:hAnsi="Times New Roman" w:cs="Times New Roman"/>
                <w:b/>
                <w:sz w:val="20"/>
                <w:szCs w:val="20"/>
                <w:lang w:val="zh-CN"/>
              </w:rPr>
              <w:t>375 000</w:t>
            </w:r>
          </w:p>
        </w:tc>
      </w:tr>
      <w:tr w:rsidR="00075479" w:rsidRPr="00E57E2E" w14:paraId="62D7225A" w14:textId="77777777" w:rsidTr="006D6515">
        <w:trPr>
          <w:trHeight w:val="519"/>
        </w:trPr>
        <w:tc>
          <w:tcPr>
            <w:tcW w:w="694" w:type="dxa"/>
            <w:vMerge w:val="restart"/>
            <w:shd w:val="clear" w:color="auto" w:fill="auto"/>
          </w:tcPr>
          <w:p w14:paraId="27D9A5EB" w14:textId="77777777" w:rsidR="00627950" w:rsidRDefault="00627950"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zh-CN"/>
              </w:rPr>
            </w:pPr>
          </w:p>
          <w:p w14:paraId="6BE4E5CB" w14:textId="77777777" w:rsidR="00627950" w:rsidRDefault="00627950"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zh-CN"/>
              </w:rPr>
            </w:pPr>
          </w:p>
          <w:p w14:paraId="254C17C6" w14:textId="77777777" w:rsidR="00627950" w:rsidRDefault="00627950"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zh-CN"/>
              </w:rPr>
            </w:pPr>
          </w:p>
          <w:p w14:paraId="7F49F36E" w14:textId="4805E5C2" w:rsidR="006D6515" w:rsidRPr="00E57E2E" w:rsidRDefault="00075479"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zh-CN"/>
              </w:rPr>
            </w:pPr>
            <w:r w:rsidRPr="00E57E2E">
              <w:rPr>
                <w:rFonts w:ascii="Times New Roman" w:eastAsia="SimSun" w:hAnsi="Times New Roman" w:cs="Times New Roman"/>
                <w:sz w:val="20"/>
                <w:szCs w:val="20"/>
                <w:lang w:val="zh-CN"/>
              </w:rPr>
              <w:t>第</w:t>
            </w:r>
          </w:p>
          <w:p w14:paraId="65F3DFBA" w14:textId="77777777" w:rsidR="006D6515" w:rsidRPr="00E57E2E" w:rsidRDefault="00075479"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zh-CN"/>
              </w:rPr>
            </w:pPr>
            <w:r w:rsidRPr="00E57E2E">
              <w:rPr>
                <w:rFonts w:ascii="Times New Roman" w:eastAsia="SimSun" w:hAnsi="Times New Roman" w:cs="Times New Roman"/>
                <w:sz w:val="20"/>
                <w:szCs w:val="20"/>
                <w:lang w:val="zh-CN"/>
              </w:rPr>
              <w:t>2</w:t>
            </w:r>
          </w:p>
          <w:p w14:paraId="38E054E9" w14:textId="2638A3E2" w:rsidR="00075479" w:rsidRPr="00E57E2E" w:rsidRDefault="00075479"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年</w:t>
            </w:r>
          </w:p>
        </w:tc>
        <w:tc>
          <w:tcPr>
            <w:tcW w:w="2776" w:type="dxa"/>
            <w:vMerge w:val="restart"/>
            <w:shd w:val="clear" w:color="auto" w:fill="auto"/>
          </w:tcPr>
          <w:p w14:paraId="11264138" w14:textId="77777777" w:rsidR="00075479" w:rsidRPr="00E57E2E" w:rsidRDefault="00075479" w:rsidP="00E57E2E">
            <w:pPr>
              <w:keepNext/>
              <w:keepLines/>
              <w:tabs>
                <w:tab w:val="left" w:pos="1247"/>
                <w:tab w:val="left" w:pos="1814"/>
                <w:tab w:val="left" w:pos="2381"/>
                <w:tab w:val="left" w:pos="2948"/>
                <w:tab w:val="left" w:pos="3515"/>
              </w:tabs>
              <w:spacing w:after="0" w:line="240" w:lineRule="auto"/>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第二次作者会议（</w:t>
            </w:r>
            <w:r w:rsidRPr="00E57E2E">
              <w:rPr>
                <w:rFonts w:ascii="Times New Roman" w:eastAsia="SimSun" w:hAnsi="Times New Roman" w:cs="Times New Roman"/>
                <w:sz w:val="20"/>
                <w:szCs w:val="20"/>
                <w:lang w:val="zh-CN"/>
              </w:rPr>
              <w:t>2</w:t>
            </w:r>
            <w:r w:rsidRPr="00E57E2E">
              <w:rPr>
                <w:rFonts w:ascii="Times New Roman" w:eastAsia="SimSun" w:hAnsi="Times New Roman" w:cs="Times New Roman"/>
                <w:sz w:val="20"/>
                <w:szCs w:val="20"/>
                <w:lang w:val="zh-CN"/>
              </w:rPr>
              <w:t>名共同主席、</w:t>
            </w:r>
            <w:r w:rsidRPr="00E57E2E">
              <w:rPr>
                <w:rFonts w:ascii="Times New Roman" w:eastAsia="SimSun" w:hAnsi="Times New Roman" w:cs="Times New Roman"/>
                <w:sz w:val="20"/>
                <w:szCs w:val="20"/>
                <w:lang w:val="zh-CN"/>
              </w:rPr>
              <w:t>12</w:t>
            </w:r>
            <w:r w:rsidRPr="00E57E2E">
              <w:rPr>
                <w:rFonts w:ascii="Times New Roman" w:eastAsia="SimSun" w:hAnsi="Times New Roman" w:cs="Times New Roman"/>
                <w:sz w:val="20"/>
                <w:szCs w:val="20"/>
                <w:lang w:val="zh-CN"/>
              </w:rPr>
              <w:t>名承担协调工作的主要作者、</w:t>
            </w:r>
            <w:r w:rsidRPr="00E57E2E">
              <w:rPr>
                <w:rFonts w:ascii="Times New Roman" w:eastAsia="SimSun" w:hAnsi="Times New Roman" w:cs="Times New Roman"/>
                <w:sz w:val="20"/>
                <w:szCs w:val="20"/>
                <w:lang w:val="zh-CN"/>
              </w:rPr>
              <w:t>48</w:t>
            </w:r>
            <w:r w:rsidRPr="00E57E2E">
              <w:rPr>
                <w:rFonts w:ascii="Times New Roman" w:eastAsia="SimSun" w:hAnsi="Times New Roman" w:cs="Times New Roman"/>
                <w:sz w:val="20"/>
                <w:szCs w:val="20"/>
                <w:lang w:val="zh-CN"/>
              </w:rPr>
              <w:t>名主要作者、</w:t>
            </w:r>
            <w:r w:rsidRPr="00E57E2E">
              <w:rPr>
                <w:rFonts w:ascii="Times New Roman" w:eastAsia="SimSun" w:hAnsi="Times New Roman" w:cs="Times New Roman"/>
                <w:sz w:val="20"/>
                <w:szCs w:val="20"/>
                <w:lang w:val="zh-CN"/>
              </w:rPr>
              <w:t>12</w:t>
            </w:r>
            <w:r w:rsidRPr="00E57E2E">
              <w:rPr>
                <w:rFonts w:ascii="Times New Roman" w:eastAsia="SimSun" w:hAnsi="Times New Roman" w:cs="Times New Roman"/>
                <w:sz w:val="20"/>
                <w:szCs w:val="20"/>
                <w:lang w:val="zh-CN"/>
              </w:rPr>
              <w:t>名编审和</w:t>
            </w:r>
            <w:r w:rsidRPr="00E57E2E">
              <w:rPr>
                <w:rFonts w:ascii="Times New Roman" w:eastAsia="SimSun" w:hAnsi="Times New Roman" w:cs="Times New Roman"/>
                <w:sz w:val="20"/>
                <w:szCs w:val="20"/>
                <w:lang w:val="zh-CN"/>
              </w:rPr>
              <w:t>6</w:t>
            </w:r>
            <w:r w:rsidRPr="00E57E2E">
              <w:rPr>
                <w:rFonts w:ascii="Times New Roman" w:eastAsia="SimSun" w:hAnsi="Times New Roman" w:cs="Times New Roman"/>
                <w:sz w:val="20"/>
                <w:szCs w:val="20"/>
                <w:lang w:val="zh-CN"/>
              </w:rPr>
              <w:t>名多学科专家小组和主席团成员）</w:t>
            </w:r>
          </w:p>
        </w:tc>
        <w:tc>
          <w:tcPr>
            <w:tcW w:w="4019" w:type="dxa"/>
            <w:shd w:val="clear" w:color="auto" w:fill="auto"/>
          </w:tcPr>
          <w:p w14:paraId="03A0BB44" w14:textId="5A1B4A5F" w:rsidR="00075479" w:rsidRPr="00E57E2E" w:rsidRDefault="008D7FE9" w:rsidP="00E57E2E">
            <w:pPr>
              <w:tabs>
                <w:tab w:val="left" w:pos="1247"/>
                <w:tab w:val="left" w:pos="1814"/>
                <w:tab w:val="left" w:pos="2381"/>
                <w:tab w:val="left" w:pos="2948"/>
                <w:tab w:val="left" w:pos="3515"/>
              </w:tabs>
              <w:spacing w:after="0" w:line="240" w:lineRule="auto"/>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会场费用</w:t>
            </w:r>
            <w:r w:rsidR="00075479" w:rsidRPr="00E57E2E">
              <w:rPr>
                <w:rFonts w:ascii="Times New Roman" w:eastAsia="SimSun" w:hAnsi="Times New Roman" w:cs="Times New Roman"/>
                <w:sz w:val="20"/>
                <w:szCs w:val="20"/>
                <w:lang w:val="zh-CN"/>
              </w:rPr>
              <w:t xml:space="preserve"> (</w:t>
            </w:r>
            <w:r w:rsidR="00075479" w:rsidRPr="00E57E2E">
              <w:rPr>
                <w:rFonts w:ascii="Times New Roman" w:eastAsia="SimSun" w:hAnsi="Times New Roman" w:cs="Times New Roman"/>
                <w:sz w:val="20"/>
                <w:szCs w:val="20"/>
                <w:lang w:val="zh-CN"/>
              </w:rPr>
              <w:t>相当于</w:t>
            </w:r>
            <w:r w:rsidR="00075479" w:rsidRPr="00E57E2E">
              <w:rPr>
                <w:rFonts w:ascii="Times New Roman" w:eastAsia="SimSun" w:hAnsi="Times New Roman" w:cs="Times New Roman"/>
                <w:sz w:val="20"/>
                <w:szCs w:val="20"/>
                <w:lang w:val="zh-CN"/>
              </w:rPr>
              <w:t>75%</w:t>
            </w:r>
            <w:r w:rsidR="00075479" w:rsidRPr="00E57E2E">
              <w:rPr>
                <w:rFonts w:ascii="Times New Roman" w:eastAsia="SimSun" w:hAnsi="Times New Roman" w:cs="Times New Roman"/>
                <w:sz w:val="20"/>
                <w:szCs w:val="20"/>
                <w:lang w:val="zh-CN"/>
              </w:rPr>
              <w:t>，辅以</w:t>
            </w:r>
            <w:r w:rsidR="00075479" w:rsidRPr="00E57E2E">
              <w:rPr>
                <w:rFonts w:ascii="Times New Roman" w:eastAsia="SimSun" w:hAnsi="Times New Roman" w:cs="Times New Roman"/>
                <w:sz w:val="20"/>
                <w:szCs w:val="20"/>
                <w:lang w:val="zh-CN"/>
              </w:rPr>
              <w:t>25%</w:t>
            </w:r>
            <w:r w:rsidR="00075479" w:rsidRPr="00E57E2E">
              <w:rPr>
                <w:rFonts w:ascii="Times New Roman" w:eastAsia="SimSun" w:hAnsi="Times New Roman" w:cs="Times New Roman"/>
                <w:sz w:val="20"/>
                <w:szCs w:val="20"/>
                <w:lang w:val="zh-CN"/>
              </w:rPr>
              <w:t>实物形式；</w:t>
            </w:r>
            <w:r w:rsidR="00075479" w:rsidRPr="00E57E2E">
              <w:rPr>
                <w:rFonts w:ascii="Times New Roman" w:eastAsia="SimSun" w:hAnsi="Times New Roman" w:cs="Times New Roman"/>
                <w:sz w:val="20"/>
                <w:szCs w:val="20"/>
                <w:lang w:val="zh-CN"/>
              </w:rPr>
              <w:t>80</w:t>
            </w:r>
            <w:r w:rsidR="00075479" w:rsidRPr="00E57E2E">
              <w:rPr>
                <w:rFonts w:ascii="Times New Roman" w:eastAsia="SimSun" w:hAnsi="Times New Roman" w:cs="Times New Roman"/>
                <w:sz w:val="20"/>
                <w:szCs w:val="20"/>
                <w:lang w:val="zh-CN"/>
              </w:rPr>
              <w:t>名与会者）</w:t>
            </w:r>
          </w:p>
        </w:tc>
        <w:tc>
          <w:tcPr>
            <w:tcW w:w="2186" w:type="dxa"/>
            <w:shd w:val="clear" w:color="auto" w:fill="auto"/>
          </w:tcPr>
          <w:p w14:paraId="483CE2D7" w14:textId="77777777" w:rsidR="00075479" w:rsidRPr="00E57E2E" w:rsidRDefault="00075479" w:rsidP="006D6515">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20 000</w:t>
            </w:r>
          </w:p>
        </w:tc>
      </w:tr>
      <w:tr w:rsidR="00075479" w:rsidRPr="00E57E2E" w14:paraId="6E7651E8" w14:textId="77777777" w:rsidTr="006D6515">
        <w:trPr>
          <w:trHeight w:val="63"/>
        </w:trPr>
        <w:tc>
          <w:tcPr>
            <w:tcW w:w="694" w:type="dxa"/>
            <w:vMerge/>
            <w:shd w:val="clear" w:color="auto" w:fill="auto"/>
            <w:vAlign w:val="center"/>
          </w:tcPr>
          <w:p w14:paraId="724DC523" w14:textId="77777777" w:rsidR="00075479" w:rsidRPr="00E57E2E" w:rsidRDefault="00075479"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en-GB"/>
              </w:rPr>
            </w:pPr>
          </w:p>
        </w:tc>
        <w:tc>
          <w:tcPr>
            <w:tcW w:w="2776" w:type="dxa"/>
            <w:vMerge/>
            <w:shd w:val="clear" w:color="auto" w:fill="auto"/>
          </w:tcPr>
          <w:p w14:paraId="2C90C5E1" w14:textId="77777777" w:rsidR="00075479" w:rsidRPr="00E57E2E" w:rsidRDefault="00075479" w:rsidP="00E57E2E">
            <w:pPr>
              <w:tabs>
                <w:tab w:val="left" w:pos="1247"/>
                <w:tab w:val="left" w:pos="1814"/>
                <w:tab w:val="left" w:pos="2381"/>
                <w:tab w:val="left" w:pos="2948"/>
                <w:tab w:val="left" w:pos="3515"/>
              </w:tabs>
              <w:spacing w:after="0" w:line="240" w:lineRule="auto"/>
              <w:rPr>
                <w:rFonts w:ascii="Times New Roman" w:eastAsia="SimSun" w:hAnsi="Times New Roman" w:cs="Times New Roman"/>
                <w:sz w:val="20"/>
                <w:szCs w:val="20"/>
                <w:lang w:val="en-GB"/>
              </w:rPr>
            </w:pPr>
          </w:p>
        </w:tc>
        <w:tc>
          <w:tcPr>
            <w:tcW w:w="4019" w:type="dxa"/>
            <w:shd w:val="clear" w:color="auto" w:fill="auto"/>
          </w:tcPr>
          <w:p w14:paraId="49040D73" w14:textId="77777777" w:rsidR="00075479" w:rsidRPr="00E57E2E" w:rsidRDefault="00075479" w:rsidP="00E57E2E">
            <w:pPr>
              <w:tabs>
                <w:tab w:val="left" w:pos="1247"/>
                <w:tab w:val="left" w:pos="1814"/>
                <w:tab w:val="left" w:pos="2381"/>
                <w:tab w:val="left" w:pos="2948"/>
                <w:tab w:val="left" w:pos="3515"/>
              </w:tabs>
              <w:spacing w:after="0" w:line="240" w:lineRule="auto"/>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60</w:t>
            </w:r>
            <w:r w:rsidRPr="00E57E2E">
              <w:rPr>
                <w:rFonts w:ascii="Times New Roman" w:eastAsia="SimSun" w:hAnsi="Times New Roman" w:cs="Times New Roman"/>
                <w:sz w:val="20"/>
                <w:szCs w:val="20"/>
                <w:lang w:val="zh-CN"/>
              </w:rPr>
              <w:t>名受支助与会者的差旅和每日生活津贴（</w:t>
            </w:r>
            <w:r w:rsidRPr="00E57E2E">
              <w:rPr>
                <w:rFonts w:ascii="Times New Roman" w:eastAsia="SimSun" w:hAnsi="Times New Roman" w:cs="Times New Roman"/>
                <w:sz w:val="20"/>
                <w:szCs w:val="20"/>
                <w:lang w:val="zh-CN"/>
              </w:rPr>
              <w:t>60×3 750</w:t>
            </w:r>
            <w:r w:rsidRPr="00E57E2E">
              <w:rPr>
                <w:rFonts w:ascii="Times New Roman" w:eastAsia="SimSun" w:hAnsi="Times New Roman" w:cs="Times New Roman"/>
                <w:sz w:val="20"/>
                <w:szCs w:val="20"/>
                <w:lang w:val="zh-CN"/>
              </w:rPr>
              <w:t>美元）</w:t>
            </w:r>
          </w:p>
        </w:tc>
        <w:tc>
          <w:tcPr>
            <w:tcW w:w="2186" w:type="dxa"/>
            <w:shd w:val="clear" w:color="auto" w:fill="auto"/>
          </w:tcPr>
          <w:p w14:paraId="3B84BDE8" w14:textId="77777777" w:rsidR="00075479" w:rsidRPr="00E57E2E" w:rsidRDefault="00075479" w:rsidP="006D6515">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225 000</w:t>
            </w:r>
          </w:p>
        </w:tc>
      </w:tr>
      <w:tr w:rsidR="00075479" w:rsidRPr="00E57E2E" w14:paraId="7F31EF40" w14:textId="77777777" w:rsidTr="006D6515">
        <w:trPr>
          <w:trHeight w:val="139"/>
        </w:trPr>
        <w:tc>
          <w:tcPr>
            <w:tcW w:w="694" w:type="dxa"/>
            <w:vMerge/>
            <w:shd w:val="clear" w:color="auto" w:fill="auto"/>
            <w:vAlign w:val="center"/>
          </w:tcPr>
          <w:p w14:paraId="4C312F4F" w14:textId="77777777" w:rsidR="00075479" w:rsidRPr="00E57E2E" w:rsidRDefault="00075479"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en-GB"/>
              </w:rPr>
            </w:pPr>
          </w:p>
        </w:tc>
        <w:tc>
          <w:tcPr>
            <w:tcW w:w="2776" w:type="dxa"/>
            <w:shd w:val="clear" w:color="auto" w:fill="auto"/>
          </w:tcPr>
          <w:p w14:paraId="15F0D79F" w14:textId="377347F2" w:rsidR="00075479" w:rsidRPr="00E57E2E" w:rsidRDefault="00075479" w:rsidP="00E57E2E">
            <w:pPr>
              <w:tabs>
                <w:tab w:val="left" w:pos="1247"/>
                <w:tab w:val="left" w:pos="1814"/>
                <w:tab w:val="left" w:pos="2381"/>
                <w:tab w:val="left" w:pos="2948"/>
                <w:tab w:val="left" w:pos="3515"/>
              </w:tabs>
              <w:spacing w:after="0" w:line="240" w:lineRule="auto"/>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技术支助</w:t>
            </w:r>
            <w:r w:rsidR="008767B4" w:rsidRPr="00E57E2E">
              <w:rPr>
                <w:rFonts w:ascii="Times New Roman" w:eastAsia="SimSun" w:hAnsi="Times New Roman" w:cs="Times New Roman"/>
                <w:sz w:val="20"/>
                <w:szCs w:val="20"/>
                <w:lang w:val="zh-CN"/>
              </w:rPr>
              <w:t>小组</w:t>
            </w:r>
          </w:p>
        </w:tc>
        <w:tc>
          <w:tcPr>
            <w:tcW w:w="4019" w:type="dxa"/>
            <w:shd w:val="clear" w:color="auto" w:fill="auto"/>
          </w:tcPr>
          <w:p w14:paraId="538CB425" w14:textId="6245FC6A" w:rsidR="00075479" w:rsidRPr="00E57E2E" w:rsidRDefault="00075479" w:rsidP="00E57E2E">
            <w:pPr>
              <w:tabs>
                <w:tab w:val="left" w:pos="1247"/>
                <w:tab w:val="left" w:pos="1814"/>
                <w:tab w:val="left" w:pos="2381"/>
                <w:tab w:val="left" w:pos="2948"/>
                <w:tab w:val="left" w:pos="3515"/>
              </w:tabs>
              <w:spacing w:after="0" w:line="240" w:lineRule="auto"/>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相当于</w:t>
            </w:r>
            <w:r w:rsidR="008767B4" w:rsidRPr="00E57E2E">
              <w:rPr>
                <w:rFonts w:ascii="Times New Roman" w:eastAsia="SimSun" w:hAnsi="Times New Roman" w:cs="Times New Roman"/>
                <w:sz w:val="20"/>
                <w:szCs w:val="20"/>
                <w:lang w:val="zh-CN"/>
              </w:rPr>
              <w:t>1</w:t>
            </w:r>
            <w:r w:rsidRPr="00E57E2E">
              <w:rPr>
                <w:rFonts w:ascii="Times New Roman" w:eastAsia="SimSun" w:hAnsi="Times New Roman" w:cs="Times New Roman"/>
                <w:sz w:val="20"/>
                <w:szCs w:val="20"/>
                <w:lang w:val="zh-CN"/>
              </w:rPr>
              <w:t>名全职等效专业岗位及</w:t>
            </w:r>
            <w:r w:rsidR="008767B4" w:rsidRPr="00E57E2E">
              <w:rPr>
                <w:rFonts w:ascii="Times New Roman" w:eastAsia="SimSun" w:hAnsi="Times New Roman" w:cs="Times New Roman"/>
                <w:sz w:val="20"/>
                <w:szCs w:val="20"/>
                <w:lang w:val="zh-CN"/>
              </w:rPr>
              <w:t>1</w:t>
            </w:r>
            <w:r w:rsidRPr="00E57E2E">
              <w:rPr>
                <w:rFonts w:ascii="Times New Roman" w:eastAsia="SimSun" w:hAnsi="Times New Roman" w:cs="Times New Roman"/>
                <w:sz w:val="20"/>
                <w:szCs w:val="20"/>
                <w:lang w:val="zh-CN"/>
              </w:rPr>
              <w:t>名半职行政助理的费用，包括差旅和间接费用（以同等价值的实物匹配）</w:t>
            </w:r>
          </w:p>
        </w:tc>
        <w:tc>
          <w:tcPr>
            <w:tcW w:w="2186" w:type="dxa"/>
            <w:shd w:val="clear" w:color="auto" w:fill="auto"/>
          </w:tcPr>
          <w:p w14:paraId="57E7D0EC" w14:textId="77777777" w:rsidR="00075479" w:rsidRPr="00E57E2E" w:rsidRDefault="00075479" w:rsidP="006D6515">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150 000</w:t>
            </w:r>
          </w:p>
          <w:p w14:paraId="7346D3A2" w14:textId="77777777" w:rsidR="00075479" w:rsidRPr="00E57E2E" w:rsidRDefault="00075479" w:rsidP="006D6515">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en-GB"/>
              </w:rPr>
            </w:pPr>
          </w:p>
        </w:tc>
      </w:tr>
      <w:tr w:rsidR="00075479" w:rsidRPr="00E57E2E" w14:paraId="353CF60B" w14:textId="77777777" w:rsidTr="006D6515">
        <w:trPr>
          <w:trHeight w:val="139"/>
        </w:trPr>
        <w:tc>
          <w:tcPr>
            <w:tcW w:w="694" w:type="dxa"/>
            <w:vMerge/>
            <w:shd w:val="clear" w:color="auto" w:fill="auto"/>
            <w:vAlign w:val="center"/>
          </w:tcPr>
          <w:p w14:paraId="39B45EC4" w14:textId="77777777" w:rsidR="00075479" w:rsidRPr="00E57E2E" w:rsidRDefault="00075479"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en-GB"/>
              </w:rPr>
            </w:pPr>
          </w:p>
        </w:tc>
        <w:tc>
          <w:tcPr>
            <w:tcW w:w="2776" w:type="dxa"/>
            <w:shd w:val="clear" w:color="auto" w:fill="auto"/>
          </w:tcPr>
          <w:p w14:paraId="57A44A10" w14:textId="77777777" w:rsidR="00075479" w:rsidRPr="00E57E2E" w:rsidRDefault="00075479" w:rsidP="00E57E2E">
            <w:pPr>
              <w:keepNext/>
              <w:keepLines/>
              <w:tabs>
                <w:tab w:val="left" w:pos="1247"/>
                <w:tab w:val="left" w:pos="1814"/>
                <w:tab w:val="left" w:pos="2381"/>
                <w:tab w:val="left" w:pos="2948"/>
                <w:tab w:val="left" w:pos="3515"/>
              </w:tabs>
              <w:spacing w:after="0" w:line="240" w:lineRule="auto"/>
              <w:rPr>
                <w:rFonts w:ascii="Times New Roman" w:eastAsia="SimHei" w:hAnsi="Times New Roman" w:cs="Times New Roman"/>
                <w:b/>
                <w:sz w:val="20"/>
                <w:szCs w:val="20"/>
                <w:lang w:val="zh-CN"/>
              </w:rPr>
            </w:pPr>
            <w:r w:rsidRPr="00E57E2E">
              <w:rPr>
                <w:rFonts w:ascii="Times New Roman" w:eastAsia="SimHei" w:hAnsi="Times New Roman" w:cs="Times New Roman"/>
                <w:b/>
                <w:sz w:val="20"/>
                <w:szCs w:val="20"/>
                <w:lang w:val="zh-CN"/>
              </w:rPr>
              <w:t>第</w:t>
            </w:r>
            <w:r w:rsidRPr="00E57E2E">
              <w:rPr>
                <w:rFonts w:ascii="Times New Roman" w:eastAsia="SimHei" w:hAnsi="Times New Roman" w:cs="Times New Roman"/>
                <w:b/>
                <w:sz w:val="20"/>
                <w:szCs w:val="20"/>
                <w:lang w:val="zh-CN"/>
              </w:rPr>
              <w:t>2</w:t>
            </w:r>
            <w:r w:rsidRPr="00E57E2E">
              <w:rPr>
                <w:rFonts w:ascii="Times New Roman" w:eastAsia="SimHei" w:hAnsi="Times New Roman" w:cs="Times New Roman"/>
                <w:b/>
                <w:sz w:val="20"/>
                <w:szCs w:val="20"/>
                <w:lang w:val="zh-CN"/>
              </w:rPr>
              <w:t>年共计：</w:t>
            </w:r>
          </w:p>
        </w:tc>
        <w:tc>
          <w:tcPr>
            <w:tcW w:w="4019" w:type="dxa"/>
            <w:shd w:val="clear" w:color="auto" w:fill="auto"/>
          </w:tcPr>
          <w:p w14:paraId="54BA1EE1" w14:textId="77777777" w:rsidR="00075479" w:rsidRPr="00E57E2E" w:rsidRDefault="00075479" w:rsidP="00E57E2E">
            <w:pPr>
              <w:keepNext/>
              <w:keepLines/>
              <w:tabs>
                <w:tab w:val="left" w:pos="1247"/>
                <w:tab w:val="left" w:pos="1814"/>
                <w:tab w:val="left" w:pos="2381"/>
                <w:tab w:val="left" w:pos="2948"/>
                <w:tab w:val="left" w:pos="3515"/>
              </w:tabs>
              <w:spacing w:after="0" w:line="240" w:lineRule="auto"/>
              <w:rPr>
                <w:rFonts w:ascii="Times New Roman" w:eastAsia="SimHei" w:hAnsi="Times New Roman" w:cs="Times New Roman"/>
                <w:b/>
                <w:sz w:val="20"/>
                <w:szCs w:val="20"/>
                <w:lang w:val="zh-CN"/>
              </w:rPr>
            </w:pPr>
          </w:p>
        </w:tc>
        <w:tc>
          <w:tcPr>
            <w:tcW w:w="2186" w:type="dxa"/>
            <w:shd w:val="clear" w:color="auto" w:fill="auto"/>
          </w:tcPr>
          <w:p w14:paraId="033F7A21" w14:textId="77777777" w:rsidR="00075479" w:rsidRPr="00E57E2E" w:rsidRDefault="00075479" w:rsidP="006D6515">
            <w:pPr>
              <w:keepNext/>
              <w:keepLines/>
              <w:tabs>
                <w:tab w:val="left" w:pos="1247"/>
                <w:tab w:val="left" w:pos="1814"/>
                <w:tab w:val="left" w:pos="2381"/>
                <w:tab w:val="left" w:pos="2948"/>
                <w:tab w:val="left" w:pos="3515"/>
              </w:tabs>
              <w:spacing w:after="0" w:line="240" w:lineRule="auto"/>
              <w:jc w:val="center"/>
              <w:rPr>
                <w:rFonts w:ascii="Times New Roman" w:eastAsia="SimHei" w:hAnsi="Times New Roman" w:cs="Times New Roman"/>
                <w:b/>
                <w:sz w:val="20"/>
                <w:szCs w:val="20"/>
                <w:lang w:val="zh-CN"/>
              </w:rPr>
            </w:pPr>
            <w:r w:rsidRPr="00E57E2E">
              <w:rPr>
                <w:rFonts w:ascii="Times New Roman" w:eastAsia="SimHei" w:hAnsi="Times New Roman" w:cs="Times New Roman"/>
                <w:b/>
                <w:sz w:val="20"/>
                <w:szCs w:val="20"/>
                <w:lang w:val="zh-CN"/>
              </w:rPr>
              <w:t>395 000</w:t>
            </w:r>
          </w:p>
        </w:tc>
      </w:tr>
      <w:tr w:rsidR="00075479" w:rsidRPr="00E57E2E" w14:paraId="59A0F2F6" w14:textId="77777777" w:rsidTr="006D6515">
        <w:trPr>
          <w:trHeight w:val="139"/>
        </w:trPr>
        <w:tc>
          <w:tcPr>
            <w:tcW w:w="694" w:type="dxa"/>
            <w:vMerge w:val="restart"/>
            <w:shd w:val="clear" w:color="auto" w:fill="auto"/>
            <w:vAlign w:val="center"/>
          </w:tcPr>
          <w:p w14:paraId="01239E59" w14:textId="77777777" w:rsidR="006D6515" w:rsidRPr="00E57E2E" w:rsidRDefault="00075479"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zh-CN"/>
              </w:rPr>
            </w:pPr>
            <w:r w:rsidRPr="00E57E2E">
              <w:rPr>
                <w:rFonts w:ascii="Times New Roman" w:eastAsia="SimSun" w:hAnsi="Times New Roman" w:cs="Times New Roman"/>
                <w:sz w:val="20"/>
                <w:szCs w:val="20"/>
                <w:lang w:val="zh-CN"/>
              </w:rPr>
              <w:t>第</w:t>
            </w:r>
          </w:p>
          <w:p w14:paraId="0ED1057C" w14:textId="77777777" w:rsidR="006D6515" w:rsidRPr="00E57E2E" w:rsidRDefault="00075479"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zh-CN"/>
              </w:rPr>
            </w:pPr>
            <w:r w:rsidRPr="00E57E2E">
              <w:rPr>
                <w:rFonts w:ascii="Times New Roman" w:eastAsia="SimSun" w:hAnsi="Times New Roman" w:cs="Times New Roman"/>
                <w:sz w:val="20"/>
                <w:szCs w:val="20"/>
                <w:lang w:val="zh-CN"/>
              </w:rPr>
              <w:t>3</w:t>
            </w:r>
          </w:p>
          <w:p w14:paraId="7EB7C45C" w14:textId="2E2CFC1F" w:rsidR="00075479" w:rsidRPr="00E57E2E" w:rsidRDefault="00075479"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年</w:t>
            </w:r>
          </w:p>
        </w:tc>
        <w:tc>
          <w:tcPr>
            <w:tcW w:w="2776" w:type="dxa"/>
            <w:vMerge w:val="restart"/>
            <w:shd w:val="clear" w:color="auto" w:fill="auto"/>
          </w:tcPr>
          <w:p w14:paraId="6AF4EF63" w14:textId="77777777" w:rsidR="00075479" w:rsidRPr="00E57E2E" w:rsidRDefault="00075479" w:rsidP="00E57E2E">
            <w:pPr>
              <w:keepNext/>
              <w:keepLines/>
              <w:tabs>
                <w:tab w:val="left" w:pos="1247"/>
                <w:tab w:val="left" w:pos="1814"/>
                <w:tab w:val="left" w:pos="2381"/>
                <w:tab w:val="left" w:pos="2948"/>
                <w:tab w:val="left" w:pos="3515"/>
              </w:tabs>
              <w:spacing w:after="0" w:line="240" w:lineRule="auto"/>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第三次作者会议（</w:t>
            </w:r>
            <w:r w:rsidRPr="00E57E2E">
              <w:rPr>
                <w:rFonts w:ascii="Times New Roman" w:eastAsia="SimSun" w:hAnsi="Times New Roman" w:cs="Times New Roman"/>
                <w:sz w:val="20"/>
                <w:szCs w:val="20"/>
                <w:lang w:val="zh-CN"/>
              </w:rPr>
              <w:t>2</w:t>
            </w:r>
            <w:r w:rsidRPr="00E57E2E">
              <w:rPr>
                <w:rFonts w:ascii="Times New Roman" w:eastAsia="SimSun" w:hAnsi="Times New Roman" w:cs="Times New Roman"/>
                <w:sz w:val="20"/>
                <w:szCs w:val="20"/>
                <w:lang w:val="zh-CN"/>
              </w:rPr>
              <w:t>名共同主席、</w:t>
            </w:r>
            <w:r w:rsidRPr="00E57E2E">
              <w:rPr>
                <w:rFonts w:ascii="Times New Roman" w:eastAsia="SimSun" w:hAnsi="Times New Roman" w:cs="Times New Roman"/>
                <w:sz w:val="20"/>
                <w:szCs w:val="20"/>
                <w:lang w:val="zh-CN"/>
              </w:rPr>
              <w:t>12</w:t>
            </w:r>
            <w:r w:rsidRPr="00E57E2E">
              <w:rPr>
                <w:rFonts w:ascii="Times New Roman" w:eastAsia="SimSun" w:hAnsi="Times New Roman" w:cs="Times New Roman"/>
                <w:sz w:val="20"/>
                <w:szCs w:val="20"/>
                <w:lang w:val="zh-CN"/>
              </w:rPr>
              <w:t>名承担协调工作的主要作者、</w:t>
            </w:r>
            <w:r w:rsidRPr="00E57E2E">
              <w:rPr>
                <w:rFonts w:ascii="Times New Roman" w:eastAsia="SimSun" w:hAnsi="Times New Roman" w:cs="Times New Roman"/>
                <w:sz w:val="20"/>
                <w:szCs w:val="20"/>
                <w:lang w:val="zh-CN"/>
              </w:rPr>
              <w:t>48</w:t>
            </w:r>
            <w:r w:rsidRPr="00E57E2E">
              <w:rPr>
                <w:rFonts w:ascii="Times New Roman" w:eastAsia="SimSun" w:hAnsi="Times New Roman" w:cs="Times New Roman"/>
                <w:sz w:val="20"/>
                <w:szCs w:val="20"/>
                <w:lang w:val="zh-CN"/>
              </w:rPr>
              <w:t>名主要作者、</w:t>
            </w:r>
            <w:r w:rsidRPr="00E57E2E">
              <w:rPr>
                <w:rFonts w:ascii="Times New Roman" w:eastAsia="SimSun" w:hAnsi="Times New Roman" w:cs="Times New Roman"/>
                <w:sz w:val="20"/>
                <w:szCs w:val="20"/>
                <w:lang w:val="zh-CN"/>
              </w:rPr>
              <w:t>12</w:t>
            </w:r>
            <w:r w:rsidRPr="00E57E2E">
              <w:rPr>
                <w:rFonts w:ascii="Times New Roman" w:eastAsia="SimSun" w:hAnsi="Times New Roman" w:cs="Times New Roman"/>
                <w:sz w:val="20"/>
                <w:szCs w:val="20"/>
                <w:lang w:val="zh-CN"/>
              </w:rPr>
              <w:t>名编审和</w:t>
            </w:r>
            <w:r w:rsidRPr="00E57E2E">
              <w:rPr>
                <w:rFonts w:ascii="Times New Roman" w:eastAsia="SimSun" w:hAnsi="Times New Roman" w:cs="Times New Roman"/>
                <w:sz w:val="20"/>
                <w:szCs w:val="20"/>
                <w:lang w:val="zh-CN"/>
              </w:rPr>
              <w:t>6</w:t>
            </w:r>
            <w:r w:rsidRPr="00E57E2E">
              <w:rPr>
                <w:rFonts w:ascii="Times New Roman" w:eastAsia="SimSun" w:hAnsi="Times New Roman" w:cs="Times New Roman"/>
                <w:sz w:val="20"/>
                <w:szCs w:val="20"/>
                <w:lang w:val="zh-CN"/>
              </w:rPr>
              <w:t>名多学科专家小组和主席团成员）</w:t>
            </w:r>
          </w:p>
        </w:tc>
        <w:tc>
          <w:tcPr>
            <w:tcW w:w="4019" w:type="dxa"/>
            <w:shd w:val="clear" w:color="auto" w:fill="auto"/>
          </w:tcPr>
          <w:p w14:paraId="51908D71" w14:textId="174C8374" w:rsidR="00075479" w:rsidRPr="00E57E2E" w:rsidRDefault="008D7FE9" w:rsidP="00E57E2E">
            <w:pPr>
              <w:keepNext/>
              <w:keepLines/>
              <w:tabs>
                <w:tab w:val="left" w:pos="1247"/>
                <w:tab w:val="left" w:pos="1814"/>
                <w:tab w:val="left" w:pos="2381"/>
                <w:tab w:val="left" w:pos="2948"/>
                <w:tab w:val="left" w:pos="3515"/>
              </w:tabs>
              <w:spacing w:after="0" w:line="240" w:lineRule="auto"/>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会场费用</w:t>
            </w:r>
            <w:r w:rsidR="00075479" w:rsidRPr="00E57E2E">
              <w:rPr>
                <w:rFonts w:ascii="Times New Roman" w:eastAsia="SimSun" w:hAnsi="Times New Roman" w:cs="Times New Roman"/>
                <w:sz w:val="20"/>
                <w:szCs w:val="20"/>
                <w:lang w:val="zh-CN"/>
              </w:rPr>
              <w:t xml:space="preserve"> (</w:t>
            </w:r>
            <w:r w:rsidR="00075479" w:rsidRPr="00E57E2E">
              <w:rPr>
                <w:rFonts w:ascii="Times New Roman" w:eastAsia="SimSun" w:hAnsi="Times New Roman" w:cs="Times New Roman"/>
                <w:sz w:val="20"/>
                <w:szCs w:val="20"/>
                <w:lang w:val="zh-CN"/>
              </w:rPr>
              <w:t>相当于</w:t>
            </w:r>
            <w:r w:rsidR="00075479" w:rsidRPr="00E57E2E">
              <w:rPr>
                <w:rFonts w:ascii="Times New Roman" w:eastAsia="SimSun" w:hAnsi="Times New Roman" w:cs="Times New Roman"/>
                <w:sz w:val="20"/>
                <w:szCs w:val="20"/>
                <w:lang w:val="zh-CN"/>
              </w:rPr>
              <w:t>75%</w:t>
            </w:r>
            <w:r w:rsidR="00075479" w:rsidRPr="00E57E2E">
              <w:rPr>
                <w:rFonts w:ascii="Times New Roman" w:eastAsia="SimSun" w:hAnsi="Times New Roman" w:cs="Times New Roman"/>
                <w:sz w:val="20"/>
                <w:szCs w:val="20"/>
                <w:lang w:val="zh-CN"/>
              </w:rPr>
              <w:t>，辅以</w:t>
            </w:r>
            <w:r w:rsidR="00075479" w:rsidRPr="00E57E2E">
              <w:rPr>
                <w:rFonts w:ascii="Times New Roman" w:eastAsia="SimSun" w:hAnsi="Times New Roman" w:cs="Times New Roman"/>
                <w:sz w:val="20"/>
                <w:szCs w:val="20"/>
                <w:lang w:val="zh-CN"/>
              </w:rPr>
              <w:t>25%</w:t>
            </w:r>
            <w:r w:rsidR="00075479" w:rsidRPr="00E57E2E">
              <w:rPr>
                <w:rFonts w:ascii="Times New Roman" w:eastAsia="SimSun" w:hAnsi="Times New Roman" w:cs="Times New Roman"/>
                <w:sz w:val="20"/>
                <w:szCs w:val="20"/>
                <w:lang w:val="zh-CN"/>
              </w:rPr>
              <w:t>实物形式；</w:t>
            </w:r>
            <w:r w:rsidR="00075479" w:rsidRPr="00E57E2E">
              <w:rPr>
                <w:rFonts w:ascii="Times New Roman" w:eastAsia="SimSun" w:hAnsi="Times New Roman" w:cs="Times New Roman"/>
                <w:sz w:val="20"/>
                <w:szCs w:val="20"/>
                <w:lang w:val="zh-CN"/>
              </w:rPr>
              <w:t>80</w:t>
            </w:r>
            <w:r w:rsidR="00075479" w:rsidRPr="00E57E2E">
              <w:rPr>
                <w:rFonts w:ascii="Times New Roman" w:eastAsia="SimSun" w:hAnsi="Times New Roman" w:cs="Times New Roman"/>
                <w:sz w:val="20"/>
                <w:szCs w:val="20"/>
                <w:lang w:val="zh-CN"/>
              </w:rPr>
              <w:t>名与会者）</w:t>
            </w:r>
          </w:p>
        </w:tc>
        <w:tc>
          <w:tcPr>
            <w:tcW w:w="2186" w:type="dxa"/>
            <w:shd w:val="clear" w:color="auto" w:fill="auto"/>
          </w:tcPr>
          <w:p w14:paraId="318F1838" w14:textId="77777777" w:rsidR="00075479" w:rsidRPr="00E57E2E" w:rsidRDefault="00075479" w:rsidP="006D6515">
            <w:pPr>
              <w:keepNext/>
              <w:keepLines/>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20 000</w:t>
            </w:r>
          </w:p>
        </w:tc>
      </w:tr>
      <w:tr w:rsidR="00075479" w:rsidRPr="00E57E2E" w14:paraId="25EF258B" w14:textId="77777777" w:rsidTr="006D6515">
        <w:trPr>
          <w:trHeight w:val="139"/>
        </w:trPr>
        <w:tc>
          <w:tcPr>
            <w:tcW w:w="694" w:type="dxa"/>
            <w:vMerge/>
            <w:shd w:val="clear" w:color="auto" w:fill="auto"/>
            <w:vAlign w:val="center"/>
          </w:tcPr>
          <w:p w14:paraId="0E95A04F" w14:textId="77777777" w:rsidR="00075479" w:rsidRPr="00E57E2E" w:rsidRDefault="00075479"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en-GB"/>
              </w:rPr>
            </w:pPr>
          </w:p>
        </w:tc>
        <w:tc>
          <w:tcPr>
            <w:tcW w:w="2776" w:type="dxa"/>
            <w:vMerge/>
            <w:shd w:val="clear" w:color="auto" w:fill="auto"/>
          </w:tcPr>
          <w:p w14:paraId="1D33C17B" w14:textId="77777777" w:rsidR="00075479" w:rsidRPr="00E57E2E" w:rsidRDefault="00075479" w:rsidP="00E57E2E">
            <w:pPr>
              <w:keepNext/>
              <w:keepLines/>
              <w:tabs>
                <w:tab w:val="left" w:pos="1247"/>
                <w:tab w:val="left" w:pos="1814"/>
                <w:tab w:val="left" w:pos="2381"/>
                <w:tab w:val="left" w:pos="2948"/>
                <w:tab w:val="left" w:pos="3515"/>
              </w:tabs>
              <w:spacing w:after="0" w:line="240" w:lineRule="auto"/>
              <w:rPr>
                <w:rFonts w:ascii="Times New Roman" w:eastAsia="SimSun" w:hAnsi="Times New Roman" w:cs="Times New Roman"/>
                <w:sz w:val="20"/>
                <w:szCs w:val="20"/>
                <w:lang w:val="en-GB"/>
              </w:rPr>
            </w:pPr>
          </w:p>
        </w:tc>
        <w:tc>
          <w:tcPr>
            <w:tcW w:w="4019" w:type="dxa"/>
            <w:shd w:val="clear" w:color="auto" w:fill="auto"/>
          </w:tcPr>
          <w:p w14:paraId="659249CC" w14:textId="77777777" w:rsidR="00075479" w:rsidRPr="00E57E2E" w:rsidRDefault="00075479" w:rsidP="00E57E2E">
            <w:pPr>
              <w:keepNext/>
              <w:keepLines/>
              <w:tabs>
                <w:tab w:val="left" w:pos="1247"/>
                <w:tab w:val="left" w:pos="1814"/>
                <w:tab w:val="left" w:pos="2381"/>
                <w:tab w:val="left" w:pos="2948"/>
                <w:tab w:val="left" w:pos="3515"/>
              </w:tabs>
              <w:spacing w:after="0" w:line="240" w:lineRule="auto"/>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60</w:t>
            </w:r>
            <w:r w:rsidRPr="00E57E2E">
              <w:rPr>
                <w:rFonts w:ascii="Times New Roman" w:eastAsia="SimSun" w:hAnsi="Times New Roman" w:cs="Times New Roman"/>
                <w:sz w:val="20"/>
                <w:szCs w:val="20"/>
                <w:lang w:val="zh-CN"/>
              </w:rPr>
              <w:t>名受支助与会者的差旅和每日生活津贴（</w:t>
            </w:r>
            <w:r w:rsidRPr="00E57E2E">
              <w:rPr>
                <w:rFonts w:ascii="Times New Roman" w:eastAsia="SimSun" w:hAnsi="Times New Roman" w:cs="Times New Roman"/>
                <w:sz w:val="20"/>
                <w:szCs w:val="20"/>
                <w:lang w:val="zh-CN"/>
              </w:rPr>
              <w:t>60×3 750</w:t>
            </w:r>
            <w:r w:rsidRPr="00E57E2E">
              <w:rPr>
                <w:rFonts w:ascii="Times New Roman" w:eastAsia="SimSun" w:hAnsi="Times New Roman" w:cs="Times New Roman"/>
                <w:sz w:val="20"/>
                <w:szCs w:val="20"/>
                <w:lang w:val="zh-CN"/>
              </w:rPr>
              <w:t>美元）</w:t>
            </w:r>
          </w:p>
        </w:tc>
        <w:tc>
          <w:tcPr>
            <w:tcW w:w="2186" w:type="dxa"/>
            <w:shd w:val="clear" w:color="auto" w:fill="auto"/>
          </w:tcPr>
          <w:p w14:paraId="38260734" w14:textId="77777777" w:rsidR="00075479" w:rsidRPr="00E57E2E" w:rsidRDefault="00075479" w:rsidP="006D6515">
            <w:pPr>
              <w:keepNext/>
              <w:keepLines/>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225 000</w:t>
            </w:r>
          </w:p>
        </w:tc>
      </w:tr>
      <w:tr w:rsidR="00075479" w:rsidRPr="00E57E2E" w14:paraId="189EEDDA" w14:textId="77777777" w:rsidTr="006D6515">
        <w:trPr>
          <w:trHeight w:val="139"/>
        </w:trPr>
        <w:tc>
          <w:tcPr>
            <w:tcW w:w="694" w:type="dxa"/>
            <w:vMerge/>
            <w:shd w:val="clear" w:color="auto" w:fill="auto"/>
            <w:vAlign w:val="center"/>
          </w:tcPr>
          <w:p w14:paraId="627FFC31" w14:textId="77777777" w:rsidR="00075479" w:rsidRPr="00E57E2E" w:rsidRDefault="00075479"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en-GB"/>
              </w:rPr>
            </w:pPr>
          </w:p>
        </w:tc>
        <w:tc>
          <w:tcPr>
            <w:tcW w:w="2776" w:type="dxa"/>
            <w:shd w:val="clear" w:color="auto" w:fill="auto"/>
          </w:tcPr>
          <w:p w14:paraId="62FAD491" w14:textId="31F1668B" w:rsidR="00075479" w:rsidRPr="00E57E2E" w:rsidRDefault="00075479" w:rsidP="00E57E2E">
            <w:pPr>
              <w:keepNext/>
              <w:keepLines/>
              <w:tabs>
                <w:tab w:val="left" w:pos="1247"/>
                <w:tab w:val="left" w:pos="1814"/>
                <w:tab w:val="left" w:pos="2381"/>
                <w:tab w:val="left" w:pos="2948"/>
                <w:tab w:val="left" w:pos="3515"/>
              </w:tabs>
              <w:spacing w:after="0" w:line="240" w:lineRule="auto"/>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技术支助</w:t>
            </w:r>
            <w:r w:rsidR="00536279" w:rsidRPr="00E57E2E">
              <w:rPr>
                <w:rFonts w:ascii="Times New Roman" w:eastAsia="SimSun" w:hAnsi="Times New Roman" w:cs="Times New Roman"/>
                <w:sz w:val="20"/>
                <w:szCs w:val="20"/>
                <w:lang w:val="zh-CN"/>
              </w:rPr>
              <w:t>小组</w:t>
            </w:r>
            <w:r w:rsidRPr="00E57E2E">
              <w:rPr>
                <w:rFonts w:ascii="Times New Roman" w:eastAsia="SimSun" w:hAnsi="Times New Roman" w:cs="Times New Roman"/>
                <w:sz w:val="20"/>
                <w:szCs w:val="20"/>
                <w:lang w:val="zh-CN"/>
              </w:rPr>
              <w:t>（包括在全体会议上</w:t>
            </w:r>
            <w:r w:rsidR="008D7FE9" w:rsidRPr="00E57E2E">
              <w:rPr>
                <w:rFonts w:ascii="Times New Roman" w:eastAsia="SimSun" w:hAnsi="Times New Roman" w:cs="Times New Roman"/>
                <w:sz w:val="20"/>
                <w:szCs w:val="20"/>
                <w:lang w:val="zh-CN"/>
              </w:rPr>
              <w:t>发布</w:t>
            </w:r>
            <w:r w:rsidRPr="00E57E2E">
              <w:rPr>
                <w:rFonts w:ascii="Times New Roman" w:eastAsia="SimSun" w:hAnsi="Times New Roman" w:cs="Times New Roman"/>
                <w:sz w:val="20"/>
                <w:szCs w:val="20"/>
                <w:lang w:val="zh-CN"/>
              </w:rPr>
              <w:t>评估报告之后的</w:t>
            </w:r>
            <w:r w:rsidRPr="00E57E2E">
              <w:rPr>
                <w:rFonts w:ascii="Times New Roman" w:eastAsia="SimSun" w:hAnsi="Times New Roman" w:cs="Times New Roman"/>
                <w:sz w:val="20"/>
                <w:szCs w:val="20"/>
                <w:lang w:val="zh-CN"/>
              </w:rPr>
              <w:t>3</w:t>
            </w:r>
            <w:r w:rsidRPr="00E57E2E">
              <w:rPr>
                <w:rFonts w:ascii="Times New Roman" w:eastAsia="SimSun" w:hAnsi="Times New Roman" w:cs="Times New Roman"/>
                <w:sz w:val="20"/>
                <w:szCs w:val="20"/>
                <w:lang w:val="zh-CN"/>
              </w:rPr>
              <w:t>个月）</w:t>
            </w:r>
          </w:p>
        </w:tc>
        <w:tc>
          <w:tcPr>
            <w:tcW w:w="4019" w:type="dxa"/>
            <w:shd w:val="clear" w:color="auto" w:fill="auto"/>
          </w:tcPr>
          <w:p w14:paraId="4BB9A6AD" w14:textId="7EEFC1B0" w:rsidR="00075479" w:rsidRPr="00E57E2E" w:rsidRDefault="00075479" w:rsidP="00E57E2E">
            <w:pPr>
              <w:tabs>
                <w:tab w:val="left" w:pos="1247"/>
                <w:tab w:val="left" w:pos="1814"/>
                <w:tab w:val="left" w:pos="2381"/>
                <w:tab w:val="left" w:pos="2948"/>
                <w:tab w:val="left" w:pos="3515"/>
              </w:tabs>
              <w:spacing w:after="0" w:line="240" w:lineRule="auto"/>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相当于</w:t>
            </w:r>
            <w:r w:rsidR="00017213" w:rsidRPr="00E57E2E">
              <w:rPr>
                <w:rFonts w:ascii="Times New Roman" w:eastAsia="SimSun" w:hAnsi="Times New Roman" w:cs="Times New Roman"/>
                <w:sz w:val="20"/>
                <w:szCs w:val="20"/>
                <w:lang w:val="zh-CN"/>
              </w:rPr>
              <w:t>1</w:t>
            </w:r>
            <w:r w:rsidRPr="00E57E2E">
              <w:rPr>
                <w:rFonts w:ascii="Times New Roman" w:eastAsia="SimSun" w:hAnsi="Times New Roman" w:cs="Times New Roman"/>
                <w:sz w:val="20"/>
                <w:szCs w:val="20"/>
                <w:lang w:val="zh-CN"/>
              </w:rPr>
              <w:t>名全职等效专业岗位及</w:t>
            </w:r>
            <w:r w:rsidR="00017213" w:rsidRPr="00E57E2E">
              <w:rPr>
                <w:rFonts w:ascii="Times New Roman" w:eastAsia="SimSun" w:hAnsi="Times New Roman" w:cs="Times New Roman"/>
                <w:sz w:val="20"/>
                <w:szCs w:val="20"/>
                <w:lang w:val="zh-CN"/>
              </w:rPr>
              <w:t>1</w:t>
            </w:r>
            <w:r w:rsidRPr="00E57E2E">
              <w:rPr>
                <w:rFonts w:ascii="Times New Roman" w:eastAsia="SimSun" w:hAnsi="Times New Roman" w:cs="Times New Roman"/>
                <w:sz w:val="20"/>
                <w:szCs w:val="20"/>
                <w:lang w:val="zh-CN"/>
              </w:rPr>
              <w:t>名半职行政助理的费用，包括差旅和间接费用（以同等价值的实物匹配）</w:t>
            </w:r>
          </w:p>
        </w:tc>
        <w:tc>
          <w:tcPr>
            <w:tcW w:w="2186" w:type="dxa"/>
            <w:shd w:val="clear" w:color="auto" w:fill="auto"/>
          </w:tcPr>
          <w:p w14:paraId="2C3C192F" w14:textId="77777777" w:rsidR="00075479" w:rsidRPr="00E57E2E" w:rsidRDefault="00075479" w:rsidP="006D6515">
            <w:pPr>
              <w:keepNext/>
              <w:keepLines/>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187 500</w:t>
            </w:r>
          </w:p>
        </w:tc>
      </w:tr>
      <w:tr w:rsidR="00075479" w:rsidRPr="00E57E2E" w14:paraId="24ECB73B" w14:textId="77777777" w:rsidTr="006D6515">
        <w:trPr>
          <w:trHeight w:val="139"/>
        </w:trPr>
        <w:tc>
          <w:tcPr>
            <w:tcW w:w="694" w:type="dxa"/>
            <w:shd w:val="clear" w:color="auto" w:fill="auto"/>
            <w:vAlign w:val="center"/>
          </w:tcPr>
          <w:p w14:paraId="24178C81" w14:textId="77777777" w:rsidR="00075479" w:rsidRPr="00E57E2E" w:rsidRDefault="00075479"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en-GB"/>
              </w:rPr>
            </w:pPr>
          </w:p>
        </w:tc>
        <w:tc>
          <w:tcPr>
            <w:tcW w:w="2776" w:type="dxa"/>
            <w:shd w:val="clear" w:color="auto" w:fill="auto"/>
          </w:tcPr>
          <w:p w14:paraId="3675EF34" w14:textId="77777777" w:rsidR="00075479" w:rsidRPr="00E57E2E" w:rsidRDefault="00075479" w:rsidP="00E57E2E">
            <w:pPr>
              <w:keepNext/>
              <w:keepLines/>
              <w:tabs>
                <w:tab w:val="left" w:pos="1247"/>
                <w:tab w:val="left" w:pos="1814"/>
                <w:tab w:val="left" w:pos="2381"/>
                <w:tab w:val="left" w:pos="2948"/>
                <w:tab w:val="left" w:pos="3515"/>
              </w:tabs>
              <w:spacing w:after="0" w:line="240" w:lineRule="auto"/>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8</w:t>
            </w:r>
            <w:r w:rsidRPr="00E57E2E">
              <w:rPr>
                <w:rFonts w:ascii="Times New Roman" w:eastAsia="SimSun" w:hAnsi="Times New Roman" w:cs="Times New Roman"/>
                <w:sz w:val="20"/>
                <w:szCs w:val="20"/>
                <w:lang w:val="zh-CN"/>
              </w:rPr>
              <w:t>名专家，包括</w:t>
            </w:r>
            <w:r w:rsidRPr="00E57E2E">
              <w:rPr>
                <w:rFonts w:ascii="Times New Roman" w:eastAsia="SimSun" w:hAnsi="Times New Roman" w:cs="Times New Roman"/>
                <w:sz w:val="20"/>
                <w:szCs w:val="20"/>
                <w:lang w:val="zh-CN"/>
              </w:rPr>
              <w:t>2</w:t>
            </w:r>
            <w:r w:rsidRPr="00E57E2E">
              <w:rPr>
                <w:rFonts w:ascii="Times New Roman" w:eastAsia="SimSun" w:hAnsi="Times New Roman" w:cs="Times New Roman"/>
                <w:sz w:val="20"/>
                <w:szCs w:val="20"/>
                <w:lang w:val="zh-CN"/>
              </w:rPr>
              <w:t>名共同主席和</w:t>
            </w:r>
            <w:r w:rsidRPr="00E57E2E">
              <w:rPr>
                <w:rFonts w:ascii="Times New Roman" w:eastAsia="SimSun" w:hAnsi="Times New Roman" w:cs="Times New Roman"/>
                <w:sz w:val="20"/>
                <w:szCs w:val="20"/>
                <w:lang w:val="zh-CN"/>
              </w:rPr>
              <w:t>6</w:t>
            </w:r>
            <w:r w:rsidRPr="00E57E2E">
              <w:rPr>
                <w:rFonts w:ascii="Times New Roman" w:eastAsia="SimSun" w:hAnsi="Times New Roman" w:cs="Times New Roman"/>
                <w:sz w:val="20"/>
                <w:szCs w:val="20"/>
                <w:lang w:val="zh-CN"/>
              </w:rPr>
              <w:t>名承担协调工作的主要作者或主要作者出席全体会议第八届会议</w:t>
            </w:r>
          </w:p>
        </w:tc>
        <w:tc>
          <w:tcPr>
            <w:tcW w:w="4019" w:type="dxa"/>
            <w:shd w:val="clear" w:color="auto" w:fill="auto"/>
          </w:tcPr>
          <w:p w14:paraId="27C40A55" w14:textId="0F4ABC3E" w:rsidR="00075479" w:rsidRPr="00E57E2E" w:rsidRDefault="00075479" w:rsidP="00E57E2E">
            <w:pPr>
              <w:tabs>
                <w:tab w:val="left" w:pos="1247"/>
                <w:tab w:val="left" w:pos="1814"/>
                <w:tab w:val="left" w:pos="2381"/>
                <w:tab w:val="left" w:pos="2948"/>
                <w:tab w:val="left" w:pos="3515"/>
              </w:tabs>
              <w:spacing w:after="0" w:line="240" w:lineRule="auto"/>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6</w:t>
            </w:r>
            <w:r w:rsidRPr="00E57E2E">
              <w:rPr>
                <w:rFonts w:ascii="Times New Roman" w:eastAsia="SimSun" w:hAnsi="Times New Roman" w:cs="Times New Roman"/>
                <w:sz w:val="20"/>
                <w:szCs w:val="20"/>
                <w:lang w:val="zh-CN"/>
              </w:rPr>
              <w:t>名受支助与会者的差旅和每日生活津贴（</w:t>
            </w:r>
            <w:r w:rsidRPr="00E57E2E">
              <w:rPr>
                <w:rFonts w:ascii="Times New Roman" w:eastAsia="SimSun" w:hAnsi="Times New Roman" w:cs="Times New Roman"/>
                <w:sz w:val="20"/>
                <w:szCs w:val="20"/>
                <w:lang w:val="zh-CN"/>
              </w:rPr>
              <w:t>6×3 750</w:t>
            </w:r>
            <w:r w:rsidRPr="00E57E2E">
              <w:rPr>
                <w:rFonts w:ascii="Times New Roman" w:eastAsia="SimSun" w:hAnsi="Times New Roman" w:cs="Times New Roman"/>
                <w:sz w:val="20"/>
                <w:szCs w:val="20"/>
                <w:lang w:val="zh-CN"/>
              </w:rPr>
              <w:t>美元）</w:t>
            </w:r>
          </w:p>
        </w:tc>
        <w:tc>
          <w:tcPr>
            <w:tcW w:w="2186" w:type="dxa"/>
            <w:shd w:val="clear" w:color="auto" w:fill="auto"/>
          </w:tcPr>
          <w:p w14:paraId="26CD16B4" w14:textId="77777777" w:rsidR="00075479" w:rsidRPr="00E57E2E" w:rsidRDefault="00075479" w:rsidP="006D6515">
            <w:pPr>
              <w:keepNext/>
              <w:keepLines/>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22 500</w:t>
            </w:r>
          </w:p>
        </w:tc>
      </w:tr>
      <w:tr w:rsidR="00075479" w:rsidRPr="00E57E2E" w14:paraId="04C12BF7" w14:textId="77777777" w:rsidTr="006D6515">
        <w:trPr>
          <w:trHeight w:val="139"/>
        </w:trPr>
        <w:tc>
          <w:tcPr>
            <w:tcW w:w="694" w:type="dxa"/>
            <w:shd w:val="clear" w:color="auto" w:fill="auto"/>
            <w:vAlign w:val="center"/>
          </w:tcPr>
          <w:p w14:paraId="283E22FC" w14:textId="77777777" w:rsidR="00075479" w:rsidRPr="00E57E2E" w:rsidRDefault="00075479"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en-GB"/>
              </w:rPr>
            </w:pPr>
          </w:p>
        </w:tc>
        <w:tc>
          <w:tcPr>
            <w:tcW w:w="2776" w:type="dxa"/>
            <w:shd w:val="clear" w:color="auto" w:fill="auto"/>
          </w:tcPr>
          <w:p w14:paraId="72D0DB23" w14:textId="41243F0F" w:rsidR="00075479" w:rsidRPr="00E57E2E" w:rsidRDefault="00075479" w:rsidP="00E57E2E">
            <w:pPr>
              <w:keepNext/>
              <w:keepLines/>
              <w:tabs>
                <w:tab w:val="left" w:pos="1247"/>
                <w:tab w:val="left" w:pos="1814"/>
                <w:tab w:val="left" w:pos="2381"/>
                <w:tab w:val="left" w:pos="2948"/>
                <w:tab w:val="left" w:pos="3515"/>
              </w:tabs>
              <w:spacing w:after="0" w:line="240" w:lineRule="auto"/>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设计、排版、传播和外联</w:t>
            </w:r>
          </w:p>
        </w:tc>
        <w:tc>
          <w:tcPr>
            <w:tcW w:w="4019" w:type="dxa"/>
            <w:shd w:val="clear" w:color="auto" w:fill="auto"/>
          </w:tcPr>
          <w:p w14:paraId="5173B364" w14:textId="2BB048E2" w:rsidR="00075479" w:rsidRPr="00E57E2E" w:rsidRDefault="00075479" w:rsidP="00E57E2E">
            <w:pPr>
              <w:keepNext/>
              <w:keepLines/>
              <w:tabs>
                <w:tab w:val="left" w:pos="1247"/>
                <w:tab w:val="left" w:pos="1814"/>
                <w:tab w:val="left" w:pos="2381"/>
                <w:tab w:val="left" w:pos="2948"/>
                <w:tab w:val="left" w:pos="3515"/>
              </w:tabs>
              <w:spacing w:after="0" w:line="240" w:lineRule="auto"/>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包括以下活动：评估报告（包括其技术图表）的设计和排版、制作宣传推广视频、公共关系支持、</w:t>
            </w:r>
            <w:r w:rsidR="008D7FE9" w:rsidRPr="00E57E2E">
              <w:rPr>
                <w:rFonts w:ascii="Times New Roman" w:eastAsia="SimSun" w:hAnsi="Times New Roman" w:cs="Times New Roman"/>
                <w:sz w:val="20"/>
                <w:szCs w:val="20"/>
                <w:lang w:val="zh-CN"/>
              </w:rPr>
              <w:t>发布</w:t>
            </w:r>
            <w:r w:rsidRPr="00E57E2E">
              <w:rPr>
                <w:rFonts w:ascii="Times New Roman" w:eastAsia="SimSun" w:hAnsi="Times New Roman" w:cs="Times New Roman"/>
                <w:sz w:val="20"/>
                <w:szCs w:val="20"/>
                <w:lang w:val="zh-CN"/>
              </w:rPr>
              <w:t>活动、印刷决策者摘要和评估报告以及后续的分发</w:t>
            </w:r>
          </w:p>
        </w:tc>
        <w:tc>
          <w:tcPr>
            <w:tcW w:w="2186" w:type="dxa"/>
            <w:shd w:val="clear" w:color="auto" w:fill="auto"/>
          </w:tcPr>
          <w:p w14:paraId="5EB5EFE6" w14:textId="77777777" w:rsidR="00075479" w:rsidRPr="00E57E2E" w:rsidRDefault="00075479" w:rsidP="006D6515">
            <w:pPr>
              <w:keepNext/>
              <w:keepLines/>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rPr>
            </w:pPr>
            <w:r w:rsidRPr="00E57E2E">
              <w:rPr>
                <w:rFonts w:ascii="Times New Roman" w:eastAsia="SimSun" w:hAnsi="Times New Roman" w:cs="Times New Roman"/>
                <w:sz w:val="20"/>
                <w:szCs w:val="20"/>
                <w:lang w:val="zh-CN"/>
              </w:rPr>
              <w:t>220 000</w:t>
            </w:r>
          </w:p>
        </w:tc>
      </w:tr>
      <w:tr w:rsidR="00075479" w:rsidRPr="00E57E2E" w14:paraId="1055B05C" w14:textId="77777777" w:rsidTr="006D6515">
        <w:trPr>
          <w:trHeight w:val="352"/>
        </w:trPr>
        <w:tc>
          <w:tcPr>
            <w:tcW w:w="694" w:type="dxa"/>
            <w:shd w:val="clear" w:color="auto" w:fill="auto"/>
          </w:tcPr>
          <w:p w14:paraId="01C05B4E" w14:textId="77777777" w:rsidR="00075479" w:rsidRPr="00E57E2E" w:rsidRDefault="00075479"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sz w:val="20"/>
                <w:szCs w:val="20"/>
                <w:lang w:val="en-GB"/>
              </w:rPr>
            </w:pPr>
          </w:p>
        </w:tc>
        <w:tc>
          <w:tcPr>
            <w:tcW w:w="2776" w:type="dxa"/>
            <w:shd w:val="clear" w:color="auto" w:fill="auto"/>
          </w:tcPr>
          <w:p w14:paraId="4B7B7822" w14:textId="77777777" w:rsidR="00075479" w:rsidRPr="00E57E2E" w:rsidRDefault="00075479" w:rsidP="00E57E2E">
            <w:pPr>
              <w:keepNext/>
              <w:keepLines/>
              <w:tabs>
                <w:tab w:val="left" w:pos="1247"/>
                <w:tab w:val="left" w:pos="1814"/>
                <w:tab w:val="left" w:pos="2381"/>
                <w:tab w:val="left" w:pos="2948"/>
                <w:tab w:val="left" w:pos="3515"/>
              </w:tabs>
              <w:spacing w:after="0" w:line="240" w:lineRule="auto"/>
              <w:rPr>
                <w:rFonts w:ascii="Times New Roman" w:eastAsia="SimHei" w:hAnsi="Times New Roman" w:cs="Times New Roman"/>
                <w:b/>
                <w:sz w:val="20"/>
                <w:szCs w:val="20"/>
                <w:lang w:val="zh-CN"/>
              </w:rPr>
            </w:pPr>
            <w:r w:rsidRPr="00E57E2E">
              <w:rPr>
                <w:rFonts w:ascii="Times New Roman" w:eastAsia="SimHei" w:hAnsi="Times New Roman" w:cs="Times New Roman"/>
                <w:b/>
                <w:sz w:val="20"/>
                <w:szCs w:val="20"/>
                <w:lang w:val="zh-CN"/>
              </w:rPr>
              <w:t>第</w:t>
            </w:r>
            <w:r w:rsidRPr="00E57E2E">
              <w:rPr>
                <w:rFonts w:ascii="Times New Roman" w:eastAsia="SimHei" w:hAnsi="Times New Roman" w:cs="Times New Roman"/>
                <w:b/>
                <w:sz w:val="20"/>
                <w:szCs w:val="20"/>
                <w:lang w:val="zh-CN"/>
              </w:rPr>
              <w:t>3</w:t>
            </w:r>
            <w:r w:rsidRPr="00E57E2E">
              <w:rPr>
                <w:rFonts w:ascii="Times New Roman" w:eastAsia="SimHei" w:hAnsi="Times New Roman" w:cs="Times New Roman"/>
                <w:b/>
                <w:sz w:val="20"/>
                <w:szCs w:val="20"/>
                <w:lang w:val="zh-CN"/>
              </w:rPr>
              <w:t>年共计：</w:t>
            </w:r>
          </w:p>
        </w:tc>
        <w:tc>
          <w:tcPr>
            <w:tcW w:w="4019" w:type="dxa"/>
            <w:shd w:val="clear" w:color="auto" w:fill="auto"/>
          </w:tcPr>
          <w:p w14:paraId="5ABC7E0E" w14:textId="77777777" w:rsidR="00075479" w:rsidRPr="00E57E2E" w:rsidRDefault="00075479" w:rsidP="00E57E2E">
            <w:pPr>
              <w:keepNext/>
              <w:keepLines/>
              <w:tabs>
                <w:tab w:val="left" w:pos="1247"/>
                <w:tab w:val="left" w:pos="1814"/>
                <w:tab w:val="left" w:pos="2381"/>
                <w:tab w:val="left" w:pos="2948"/>
                <w:tab w:val="left" w:pos="3515"/>
              </w:tabs>
              <w:spacing w:after="0" w:line="240" w:lineRule="auto"/>
              <w:rPr>
                <w:rFonts w:ascii="Times New Roman" w:eastAsia="SimHei" w:hAnsi="Times New Roman" w:cs="Times New Roman"/>
                <w:b/>
                <w:sz w:val="20"/>
                <w:szCs w:val="20"/>
                <w:lang w:val="zh-CN"/>
              </w:rPr>
            </w:pPr>
          </w:p>
        </w:tc>
        <w:tc>
          <w:tcPr>
            <w:tcW w:w="2186" w:type="dxa"/>
            <w:shd w:val="clear" w:color="auto" w:fill="auto"/>
          </w:tcPr>
          <w:p w14:paraId="0C3CB76E" w14:textId="77777777" w:rsidR="00075479" w:rsidRPr="00E57E2E" w:rsidRDefault="00075479" w:rsidP="006D6515">
            <w:pPr>
              <w:keepNext/>
              <w:keepLines/>
              <w:tabs>
                <w:tab w:val="left" w:pos="1247"/>
                <w:tab w:val="left" w:pos="1814"/>
                <w:tab w:val="left" w:pos="2381"/>
                <w:tab w:val="left" w:pos="2948"/>
                <w:tab w:val="left" w:pos="3515"/>
              </w:tabs>
              <w:spacing w:after="0" w:line="240" w:lineRule="auto"/>
              <w:jc w:val="center"/>
              <w:rPr>
                <w:rFonts w:ascii="Times New Roman" w:eastAsia="SimHei" w:hAnsi="Times New Roman" w:cs="Times New Roman"/>
                <w:b/>
                <w:sz w:val="20"/>
                <w:szCs w:val="20"/>
                <w:lang w:val="zh-CN"/>
              </w:rPr>
            </w:pPr>
            <w:r w:rsidRPr="00E57E2E">
              <w:rPr>
                <w:rFonts w:ascii="Times New Roman" w:eastAsia="SimHei" w:hAnsi="Times New Roman" w:cs="Times New Roman"/>
                <w:b/>
                <w:sz w:val="20"/>
                <w:szCs w:val="20"/>
                <w:lang w:val="zh-CN"/>
              </w:rPr>
              <w:t>675 000</w:t>
            </w:r>
          </w:p>
        </w:tc>
      </w:tr>
      <w:tr w:rsidR="00075479" w:rsidRPr="00E57E2E" w14:paraId="0583A44E" w14:textId="77777777" w:rsidTr="006D6515">
        <w:trPr>
          <w:trHeight w:val="352"/>
        </w:trPr>
        <w:tc>
          <w:tcPr>
            <w:tcW w:w="694" w:type="dxa"/>
            <w:shd w:val="clear" w:color="auto" w:fill="auto"/>
          </w:tcPr>
          <w:p w14:paraId="425B7225" w14:textId="77777777" w:rsidR="00075479" w:rsidRPr="00E57E2E" w:rsidRDefault="00075479" w:rsidP="00E57E2E">
            <w:pPr>
              <w:tabs>
                <w:tab w:val="left" w:pos="1247"/>
                <w:tab w:val="left" w:pos="1814"/>
                <w:tab w:val="left" w:pos="2381"/>
                <w:tab w:val="left" w:pos="2948"/>
                <w:tab w:val="left" w:pos="3515"/>
              </w:tabs>
              <w:spacing w:after="0" w:line="240" w:lineRule="auto"/>
              <w:jc w:val="center"/>
              <w:rPr>
                <w:rFonts w:ascii="Times New Roman" w:eastAsia="SimSun" w:hAnsi="Times New Roman" w:cs="Times New Roman"/>
                <w:b/>
                <w:sz w:val="20"/>
                <w:szCs w:val="20"/>
                <w:lang w:val="en-GB"/>
              </w:rPr>
            </w:pPr>
          </w:p>
        </w:tc>
        <w:tc>
          <w:tcPr>
            <w:tcW w:w="2776" w:type="dxa"/>
            <w:shd w:val="clear" w:color="auto" w:fill="auto"/>
          </w:tcPr>
          <w:p w14:paraId="4936BC2C" w14:textId="77777777" w:rsidR="00075479" w:rsidRPr="00E57E2E" w:rsidRDefault="00075479" w:rsidP="00E57E2E">
            <w:pPr>
              <w:keepNext/>
              <w:keepLines/>
              <w:tabs>
                <w:tab w:val="left" w:pos="1247"/>
                <w:tab w:val="left" w:pos="1814"/>
                <w:tab w:val="left" w:pos="2381"/>
                <w:tab w:val="left" w:pos="2948"/>
                <w:tab w:val="left" w:pos="3515"/>
              </w:tabs>
              <w:spacing w:after="0" w:line="240" w:lineRule="auto"/>
              <w:rPr>
                <w:rFonts w:ascii="Times New Roman" w:eastAsia="SimHei" w:hAnsi="Times New Roman" w:cs="Times New Roman"/>
                <w:b/>
                <w:sz w:val="20"/>
                <w:szCs w:val="20"/>
                <w:lang w:val="zh-CN"/>
              </w:rPr>
            </w:pPr>
            <w:r w:rsidRPr="00E57E2E">
              <w:rPr>
                <w:rFonts w:ascii="Times New Roman" w:eastAsia="SimHei" w:hAnsi="Times New Roman" w:cs="Times New Roman"/>
                <w:b/>
                <w:sz w:val="20"/>
                <w:szCs w:val="20"/>
                <w:lang w:val="zh-CN"/>
              </w:rPr>
              <w:t>总计</w:t>
            </w:r>
            <w:r w:rsidRPr="00E57E2E">
              <w:rPr>
                <w:rFonts w:ascii="Times New Roman" w:eastAsia="SimHei" w:hAnsi="Times New Roman" w:cs="Times New Roman"/>
                <w:b/>
                <w:sz w:val="20"/>
                <w:szCs w:val="20"/>
                <w:lang w:val="zh-CN"/>
              </w:rPr>
              <w:t>:</w:t>
            </w:r>
          </w:p>
        </w:tc>
        <w:tc>
          <w:tcPr>
            <w:tcW w:w="4019" w:type="dxa"/>
            <w:shd w:val="clear" w:color="auto" w:fill="auto"/>
          </w:tcPr>
          <w:p w14:paraId="53DDCFCE" w14:textId="77777777" w:rsidR="00075479" w:rsidRPr="00E57E2E" w:rsidRDefault="00075479" w:rsidP="00E57E2E">
            <w:pPr>
              <w:tabs>
                <w:tab w:val="left" w:pos="1247"/>
                <w:tab w:val="left" w:pos="1814"/>
                <w:tab w:val="left" w:pos="2381"/>
                <w:tab w:val="left" w:pos="2948"/>
                <w:tab w:val="left" w:pos="3515"/>
              </w:tabs>
              <w:spacing w:after="0" w:line="240" w:lineRule="auto"/>
              <w:rPr>
                <w:rFonts w:ascii="Times New Roman" w:eastAsia="SimHei" w:hAnsi="Times New Roman" w:cs="Times New Roman"/>
                <w:b/>
                <w:sz w:val="20"/>
                <w:szCs w:val="20"/>
                <w:lang w:val="zh-CN"/>
              </w:rPr>
            </w:pPr>
          </w:p>
        </w:tc>
        <w:tc>
          <w:tcPr>
            <w:tcW w:w="2186" w:type="dxa"/>
            <w:shd w:val="clear" w:color="auto" w:fill="auto"/>
          </w:tcPr>
          <w:p w14:paraId="7F79FA48" w14:textId="77777777" w:rsidR="00075479" w:rsidRPr="00E57E2E" w:rsidRDefault="00075479" w:rsidP="006D6515">
            <w:pPr>
              <w:tabs>
                <w:tab w:val="left" w:pos="1247"/>
                <w:tab w:val="left" w:pos="1814"/>
                <w:tab w:val="left" w:pos="2381"/>
                <w:tab w:val="left" w:pos="2948"/>
                <w:tab w:val="left" w:pos="3515"/>
              </w:tabs>
              <w:spacing w:after="0" w:line="240" w:lineRule="auto"/>
              <w:jc w:val="center"/>
              <w:rPr>
                <w:rFonts w:ascii="Times New Roman" w:eastAsia="SimHei" w:hAnsi="Times New Roman" w:cs="Times New Roman"/>
                <w:b/>
                <w:sz w:val="20"/>
                <w:szCs w:val="20"/>
                <w:lang w:val="zh-CN"/>
              </w:rPr>
            </w:pPr>
            <w:r w:rsidRPr="00E57E2E">
              <w:rPr>
                <w:rFonts w:ascii="Times New Roman" w:eastAsia="SimHei" w:hAnsi="Times New Roman" w:cs="Times New Roman"/>
                <w:b/>
                <w:sz w:val="20"/>
                <w:szCs w:val="20"/>
                <w:lang w:val="zh-CN"/>
              </w:rPr>
              <w:t>1 445 000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009"/>
        <w:gridCol w:w="2009"/>
        <w:gridCol w:w="2009"/>
        <w:gridCol w:w="2010"/>
      </w:tblGrid>
      <w:tr w:rsidR="002A626D" w14:paraId="07351B0F" w14:textId="77777777" w:rsidTr="002A626D">
        <w:tc>
          <w:tcPr>
            <w:tcW w:w="2009" w:type="dxa"/>
          </w:tcPr>
          <w:p w14:paraId="74826309" w14:textId="77777777" w:rsidR="002A626D" w:rsidRDefault="002A626D" w:rsidP="00D341A9">
            <w:pPr>
              <w:pStyle w:val="Normal-pool"/>
              <w:spacing w:before="200"/>
              <w:rPr>
                <w:lang w:eastAsia="ja-JP"/>
              </w:rPr>
            </w:pPr>
          </w:p>
        </w:tc>
        <w:tc>
          <w:tcPr>
            <w:tcW w:w="2009" w:type="dxa"/>
          </w:tcPr>
          <w:p w14:paraId="491E3D37" w14:textId="77777777" w:rsidR="002A626D" w:rsidRDefault="002A626D" w:rsidP="00D341A9">
            <w:pPr>
              <w:pStyle w:val="Normal-pool"/>
              <w:spacing w:before="200"/>
              <w:rPr>
                <w:lang w:eastAsia="ja-JP"/>
              </w:rPr>
            </w:pPr>
          </w:p>
        </w:tc>
        <w:tc>
          <w:tcPr>
            <w:tcW w:w="2009" w:type="dxa"/>
            <w:tcBorders>
              <w:bottom w:val="single" w:sz="4" w:space="0" w:color="auto"/>
            </w:tcBorders>
          </w:tcPr>
          <w:p w14:paraId="3D02BB99" w14:textId="77777777" w:rsidR="002A626D" w:rsidRDefault="002A626D" w:rsidP="00D341A9">
            <w:pPr>
              <w:pStyle w:val="Normal-pool"/>
              <w:spacing w:before="200"/>
              <w:rPr>
                <w:lang w:eastAsia="ja-JP"/>
              </w:rPr>
            </w:pPr>
          </w:p>
          <w:p w14:paraId="281F4504" w14:textId="77777777" w:rsidR="00CC3A3C" w:rsidRDefault="00CC3A3C" w:rsidP="00D341A9">
            <w:pPr>
              <w:pStyle w:val="Normal-pool"/>
              <w:spacing w:before="200"/>
              <w:rPr>
                <w:lang w:eastAsia="ja-JP"/>
              </w:rPr>
            </w:pPr>
          </w:p>
        </w:tc>
        <w:tc>
          <w:tcPr>
            <w:tcW w:w="2009" w:type="dxa"/>
          </w:tcPr>
          <w:p w14:paraId="52A782B8" w14:textId="77777777" w:rsidR="002A626D" w:rsidRDefault="002A626D" w:rsidP="00D341A9">
            <w:pPr>
              <w:pStyle w:val="Normal-pool"/>
              <w:spacing w:before="200"/>
              <w:rPr>
                <w:lang w:eastAsia="ja-JP"/>
              </w:rPr>
            </w:pPr>
          </w:p>
        </w:tc>
        <w:tc>
          <w:tcPr>
            <w:tcW w:w="2010" w:type="dxa"/>
          </w:tcPr>
          <w:p w14:paraId="7F4EA5A1" w14:textId="77777777" w:rsidR="002A626D" w:rsidRDefault="002A626D" w:rsidP="00D341A9">
            <w:pPr>
              <w:pStyle w:val="Normal-pool"/>
              <w:spacing w:before="200"/>
              <w:rPr>
                <w:lang w:eastAsia="ja-JP"/>
              </w:rPr>
            </w:pPr>
          </w:p>
        </w:tc>
      </w:tr>
    </w:tbl>
    <w:p w14:paraId="1933063D" w14:textId="77777777" w:rsidR="002A626D" w:rsidRPr="00D07CC3" w:rsidRDefault="002A626D" w:rsidP="00D341A9">
      <w:pPr>
        <w:pStyle w:val="Normal-pool"/>
        <w:rPr>
          <w:lang w:eastAsia="ja-JP"/>
        </w:rPr>
      </w:pPr>
    </w:p>
    <w:sectPr w:rsidR="002A626D" w:rsidRPr="00D07CC3" w:rsidSect="00000A56">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907" w:right="994" w:bottom="1411" w:left="1411" w:header="533" w:footer="979"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E72D5" w14:textId="77777777" w:rsidR="008B6F95" w:rsidRDefault="008B6F95">
      <w:r>
        <w:separator/>
      </w:r>
    </w:p>
  </w:endnote>
  <w:endnote w:type="continuationSeparator" w:id="0">
    <w:p w14:paraId="24DCD416" w14:textId="77777777" w:rsidR="008B6F95" w:rsidRDefault="008B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A3D9" w14:textId="4888EB01" w:rsidR="00C60881" w:rsidRPr="007D549A" w:rsidRDefault="00C60881" w:rsidP="003B1F39">
    <w:pPr>
      <w:pStyle w:val="Footer-pool"/>
      <w:rPr>
        <w:b w:val="0"/>
        <w:sz w:val="20"/>
      </w:rPr>
    </w:pPr>
    <w:r w:rsidRPr="007D549A">
      <w:rPr>
        <w:rStyle w:val="PageNumber"/>
        <w:b/>
        <w:sz w:val="20"/>
      </w:rPr>
      <w:fldChar w:fldCharType="begin"/>
    </w:r>
    <w:r w:rsidRPr="007D549A">
      <w:rPr>
        <w:rStyle w:val="PageNumber"/>
        <w:b/>
        <w:sz w:val="20"/>
      </w:rPr>
      <w:instrText xml:space="preserve"> PAGE </w:instrText>
    </w:r>
    <w:r w:rsidRPr="007D549A">
      <w:rPr>
        <w:rStyle w:val="PageNumber"/>
        <w:b/>
        <w:sz w:val="20"/>
      </w:rPr>
      <w:fldChar w:fldCharType="separate"/>
    </w:r>
    <w:r w:rsidR="00A3603E">
      <w:rPr>
        <w:rStyle w:val="PageNumber"/>
        <w:b/>
        <w:noProof/>
        <w:sz w:val="20"/>
      </w:rPr>
      <w:t>2</w:t>
    </w:r>
    <w:r w:rsidRPr="007D549A">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5BDE" w14:textId="3D2E16B3" w:rsidR="00C60881" w:rsidRPr="007D549A" w:rsidRDefault="00C60881" w:rsidP="003B1F39">
    <w:pPr>
      <w:pStyle w:val="Footer-pool"/>
      <w:jc w:val="right"/>
      <w:rPr>
        <w:b w:val="0"/>
        <w:sz w:val="20"/>
      </w:rPr>
    </w:pPr>
    <w:r w:rsidRPr="007D549A">
      <w:rPr>
        <w:rStyle w:val="PageNumber"/>
        <w:b/>
        <w:sz w:val="20"/>
      </w:rPr>
      <w:fldChar w:fldCharType="begin"/>
    </w:r>
    <w:r w:rsidRPr="007D549A">
      <w:rPr>
        <w:rStyle w:val="PageNumber"/>
        <w:b/>
        <w:sz w:val="20"/>
      </w:rPr>
      <w:instrText xml:space="preserve"> PAGE </w:instrText>
    </w:r>
    <w:r w:rsidRPr="007D549A">
      <w:rPr>
        <w:rStyle w:val="PageNumber"/>
        <w:b/>
        <w:sz w:val="20"/>
      </w:rPr>
      <w:fldChar w:fldCharType="separate"/>
    </w:r>
    <w:r w:rsidR="00A3603E">
      <w:rPr>
        <w:rStyle w:val="PageNumber"/>
        <w:b/>
        <w:noProof/>
        <w:sz w:val="20"/>
      </w:rPr>
      <w:t>3</w:t>
    </w:r>
    <w:r w:rsidRPr="007D549A">
      <w:rPr>
        <w:rStyle w:val="PageNumbe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41007902"/>
      <w:docPartObj>
        <w:docPartGallery w:val="Page Numbers (Bottom of Page)"/>
        <w:docPartUnique/>
      </w:docPartObj>
    </w:sdtPr>
    <w:sdtEndPr>
      <w:rPr>
        <w:b/>
        <w:noProof/>
      </w:rPr>
    </w:sdtEndPr>
    <w:sdtContent>
      <w:p w14:paraId="5997F3B3" w14:textId="0E3A2D2B" w:rsidR="00C60881" w:rsidRPr="00007A65" w:rsidRDefault="00D341A9" w:rsidP="00D07CC3">
        <w:pPr>
          <w:pStyle w:val="Normal-pool"/>
          <w:rPr>
            <w:b/>
            <w:sz w:val="18"/>
            <w:szCs w:val="18"/>
          </w:rPr>
        </w:pPr>
        <w:r w:rsidRPr="00007A65">
          <w:rPr>
            <w:b/>
            <w:lang w:val="zh-CN"/>
          </w:rPr>
          <w:t>K1709128</w:t>
        </w:r>
        <w:r w:rsidRPr="00007A65">
          <w:rPr>
            <w:b/>
            <w:lang w:val="zh-CN"/>
          </w:rPr>
          <w:tab/>
        </w:r>
        <w:r w:rsidR="00F13C4C">
          <w:rPr>
            <w:b/>
            <w:lang w:val="en-US"/>
          </w:rPr>
          <w:t>24</w:t>
        </w:r>
        <w:r w:rsidR="00206FA9">
          <w:rPr>
            <w:b/>
            <w:lang w:val="en-US"/>
          </w:rPr>
          <w:t>0118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348E8" w14:textId="77777777" w:rsidR="008B6F95" w:rsidRPr="00887131" w:rsidRDefault="008B6F95" w:rsidP="00887131">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887131">
        <w:rPr>
          <w:sz w:val="18"/>
          <w:szCs w:val="18"/>
        </w:rPr>
        <w:separator/>
      </w:r>
    </w:p>
  </w:footnote>
  <w:footnote w:type="continuationSeparator" w:id="0">
    <w:p w14:paraId="1BD745AD" w14:textId="77777777" w:rsidR="008B6F95" w:rsidRDefault="008B6F95">
      <w:r>
        <w:continuationSeparator/>
      </w:r>
    </w:p>
  </w:footnote>
  <w:footnote w:id="1">
    <w:p w14:paraId="20E934D6" w14:textId="6723BA35" w:rsidR="00075479" w:rsidRPr="007B7AE1" w:rsidRDefault="00075479" w:rsidP="00CA038C">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7B7AE1">
        <w:rPr>
          <w:lang w:val="zh-CN"/>
        </w:rPr>
        <w:t>* IPBES/6/1</w:t>
      </w:r>
      <w:r w:rsidR="00D341A9" w:rsidRPr="007B7AE1">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2678" w14:textId="1C4265FD" w:rsidR="00C60881" w:rsidRPr="00007A65" w:rsidRDefault="00C60881" w:rsidP="003B1F39">
    <w:pPr>
      <w:pStyle w:val="Header-pool"/>
      <w:rPr>
        <w:sz w:val="20"/>
      </w:rPr>
    </w:pPr>
    <w:r w:rsidRPr="00007A65">
      <w:rPr>
        <w:sz w:val="20"/>
      </w:rPr>
      <w:t>IPBES/6/</w:t>
    </w:r>
    <w:r w:rsidR="00FD69E2" w:rsidRPr="00007A65">
      <w:rPr>
        <w:sz w:val="20"/>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82A5" w14:textId="3A4F59A0" w:rsidR="00C60881" w:rsidRPr="007D549A" w:rsidRDefault="00C60881" w:rsidP="003B1F39">
    <w:pPr>
      <w:pStyle w:val="Header-pool"/>
      <w:jc w:val="right"/>
      <w:rPr>
        <w:sz w:val="20"/>
      </w:rPr>
    </w:pPr>
    <w:r w:rsidRPr="007D549A">
      <w:rPr>
        <w:sz w:val="20"/>
      </w:rPr>
      <w:t>IPBES/6/</w:t>
    </w:r>
    <w:r w:rsidR="00FD69E2" w:rsidRPr="007D549A">
      <w:rPr>
        <w:sz w:val="20"/>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186A" w14:textId="7E04E141" w:rsidR="00C60881" w:rsidRPr="00FD69E2" w:rsidRDefault="00C60881" w:rsidP="00FD69E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3E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2073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DE56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DEE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4A7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6206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E5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42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204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663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C2013"/>
    <w:multiLevelType w:val="hybridMultilevel"/>
    <w:tmpl w:val="16AADF38"/>
    <w:lvl w:ilvl="0" w:tplc="E4402EA8">
      <w:start w:val="1"/>
      <w:numFmt w:val="decimal"/>
      <w:lvlText w:val="%1."/>
      <w:lvlJc w:val="left"/>
      <w:pPr>
        <w:ind w:left="4951"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5307" w:hanging="180"/>
      </w:pPr>
    </w:lvl>
    <w:lvl w:ilvl="3" w:tplc="0409000F" w:tentative="1">
      <w:start w:val="1"/>
      <w:numFmt w:val="decimal"/>
      <w:lvlText w:val="%4."/>
      <w:lvlJc w:val="left"/>
      <w:pPr>
        <w:ind w:left="6027" w:hanging="360"/>
      </w:pPr>
    </w:lvl>
    <w:lvl w:ilvl="4" w:tplc="04090019" w:tentative="1">
      <w:start w:val="1"/>
      <w:numFmt w:val="lowerLetter"/>
      <w:lvlText w:val="%5."/>
      <w:lvlJc w:val="left"/>
      <w:pPr>
        <w:ind w:left="6747" w:hanging="360"/>
      </w:pPr>
    </w:lvl>
    <w:lvl w:ilvl="5" w:tplc="0409001B" w:tentative="1">
      <w:start w:val="1"/>
      <w:numFmt w:val="lowerRoman"/>
      <w:lvlText w:val="%6."/>
      <w:lvlJc w:val="right"/>
      <w:pPr>
        <w:ind w:left="7467" w:hanging="180"/>
      </w:pPr>
    </w:lvl>
    <w:lvl w:ilvl="6" w:tplc="0409000F" w:tentative="1">
      <w:start w:val="1"/>
      <w:numFmt w:val="decimal"/>
      <w:lvlText w:val="%7."/>
      <w:lvlJc w:val="left"/>
      <w:pPr>
        <w:ind w:left="8187" w:hanging="360"/>
      </w:pPr>
    </w:lvl>
    <w:lvl w:ilvl="7" w:tplc="04090019" w:tentative="1">
      <w:start w:val="1"/>
      <w:numFmt w:val="lowerLetter"/>
      <w:lvlText w:val="%8."/>
      <w:lvlJc w:val="left"/>
      <w:pPr>
        <w:ind w:left="8907" w:hanging="360"/>
      </w:pPr>
    </w:lvl>
    <w:lvl w:ilvl="8" w:tplc="0409001B" w:tentative="1">
      <w:start w:val="1"/>
      <w:numFmt w:val="lowerRoman"/>
      <w:lvlText w:val="%9."/>
      <w:lvlJc w:val="right"/>
      <w:pPr>
        <w:ind w:left="9627" w:hanging="180"/>
      </w:pPr>
    </w:lvl>
  </w:abstractNum>
  <w:abstractNum w:abstractNumId="11"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4" w15:restartNumberingAfterBreak="0">
    <w:nsid w:val="41191FC7"/>
    <w:multiLevelType w:val="multilevel"/>
    <w:tmpl w:val="77C425A4"/>
    <w:lvl w:ilvl="0">
      <w:start w:val="1"/>
      <w:numFmt w:val="lowerLetter"/>
      <w:lvlText w:val="(%1)"/>
      <w:lvlJc w:val="left"/>
      <w:pPr>
        <w:tabs>
          <w:tab w:val="num" w:pos="1758"/>
        </w:tabs>
        <w:ind w:left="1871" w:firstLine="0"/>
      </w:pPr>
      <w:rPr>
        <w:rFonts w:hint="default"/>
      </w:rPr>
    </w:lvl>
    <w:lvl w:ilvl="1">
      <w:start w:val="1"/>
      <w:numFmt w:val="lowerLetter"/>
      <w:lvlText w:val="(%2)"/>
      <w:lvlJc w:val="left"/>
      <w:pPr>
        <w:tabs>
          <w:tab w:val="num" w:pos="1758"/>
        </w:tabs>
        <w:ind w:left="1871" w:firstLine="567"/>
      </w:pPr>
      <w:rPr>
        <w:rFonts w:hint="default"/>
      </w:rPr>
    </w:lvl>
    <w:lvl w:ilvl="2">
      <w:start w:val="1"/>
      <w:numFmt w:val="lowerRoman"/>
      <w:lvlText w:val="(%3)"/>
      <w:lvlJc w:val="left"/>
      <w:pPr>
        <w:tabs>
          <w:tab w:val="num" w:pos="1758"/>
        </w:tabs>
        <w:ind w:left="3572" w:hanging="567"/>
      </w:pPr>
      <w:rPr>
        <w:rFonts w:hint="default"/>
      </w:rPr>
    </w:lvl>
    <w:lvl w:ilvl="3">
      <w:start w:val="1"/>
      <w:numFmt w:val="lowerLetter"/>
      <w:lvlText w:val="%4."/>
      <w:lvlJc w:val="left"/>
      <w:pPr>
        <w:tabs>
          <w:tab w:val="num" w:pos="1758"/>
        </w:tabs>
        <w:ind w:left="4139" w:hanging="567"/>
      </w:pPr>
      <w:rPr>
        <w:rFonts w:hint="default"/>
      </w:rPr>
    </w:lvl>
    <w:lvl w:ilvl="4">
      <w:start w:val="1"/>
      <w:numFmt w:val="lowerRoman"/>
      <w:lvlText w:val="%5."/>
      <w:lvlJc w:val="left"/>
      <w:pPr>
        <w:tabs>
          <w:tab w:val="num" w:pos="1758"/>
        </w:tabs>
        <w:ind w:left="4706" w:hanging="567"/>
      </w:pPr>
      <w:rPr>
        <w:rFonts w:hint="default"/>
      </w:rPr>
    </w:lvl>
    <w:lvl w:ilvl="5">
      <w:start w:val="1"/>
      <w:numFmt w:val="lowerRoman"/>
      <w:lvlText w:val="%6."/>
      <w:lvlJc w:val="right"/>
      <w:pPr>
        <w:tabs>
          <w:tab w:val="num" w:pos="8459"/>
        </w:tabs>
        <w:ind w:left="8459" w:hanging="180"/>
      </w:pPr>
      <w:rPr>
        <w:rFonts w:hint="default"/>
      </w:rPr>
    </w:lvl>
    <w:lvl w:ilvl="6">
      <w:start w:val="1"/>
      <w:numFmt w:val="decimal"/>
      <w:lvlText w:val="%7."/>
      <w:lvlJc w:val="left"/>
      <w:pPr>
        <w:tabs>
          <w:tab w:val="num" w:pos="9179"/>
        </w:tabs>
        <w:ind w:left="9179" w:hanging="360"/>
      </w:pPr>
      <w:rPr>
        <w:rFonts w:hint="default"/>
      </w:rPr>
    </w:lvl>
    <w:lvl w:ilvl="7">
      <w:start w:val="1"/>
      <w:numFmt w:val="lowerLetter"/>
      <w:lvlText w:val="%8."/>
      <w:lvlJc w:val="left"/>
      <w:pPr>
        <w:tabs>
          <w:tab w:val="num" w:pos="9899"/>
        </w:tabs>
        <w:ind w:left="9899" w:hanging="360"/>
      </w:pPr>
      <w:rPr>
        <w:rFonts w:hint="default"/>
      </w:rPr>
    </w:lvl>
    <w:lvl w:ilvl="8">
      <w:start w:val="1"/>
      <w:numFmt w:val="lowerRoman"/>
      <w:lvlText w:val="%9."/>
      <w:lvlJc w:val="right"/>
      <w:pPr>
        <w:tabs>
          <w:tab w:val="num" w:pos="10619"/>
        </w:tabs>
        <w:ind w:left="10619" w:hanging="180"/>
      </w:pPr>
      <w:rPr>
        <w:rFonts w:hint="default"/>
      </w:rPr>
    </w:lvl>
  </w:abstractNum>
  <w:abstractNum w:abstractNumId="15" w15:restartNumberingAfterBreak="0">
    <w:nsid w:val="464E5946"/>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6" w15:restartNumberingAfterBreak="0">
    <w:nsid w:val="52A66A9D"/>
    <w:multiLevelType w:val="multilevel"/>
    <w:tmpl w:val="D07A6E4C"/>
    <w:styleLink w:val="Normallist"/>
    <w:lvl w:ilvl="0">
      <w:start w:val="1"/>
      <w:numFmt w:val="decimal"/>
      <w:pStyle w:val="Normalnumber"/>
      <w:lvlText w:val="%1."/>
      <w:lvlJc w:val="left"/>
      <w:pPr>
        <w:tabs>
          <w:tab w:val="num" w:pos="1758"/>
        </w:tabs>
        <w:ind w:left="1871" w:firstLine="0"/>
      </w:pPr>
      <w:rPr>
        <w:rFonts w:hint="default"/>
      </w:rPr>
    </w:lvl>
    <w:lvl w:ilvl="1">
      <w:start w:val="1"/>
      <w:numFmt w:val="lowerLetter"/>
      <w:lvlText w:val="(%2)"/>
      <w:lvlJc w:val="left"/>
      <w:pPr>
        <w:tabs>
          <w:tab w:val="num" w:pos="1758"/>
        </w:tabs>
        <w:ind w:left="1871" w:firstLine="567"/>
      </w:pPr>
      <w:rPr>
        <w:rFonts w:hint="default"/>
      </w:rPr>
    </w:lvl>
    <w:lvl w:ilvl="2">
      <w:start w:val="1"/>
      <w:numFmt w:val="lowerRoman"/>
      <w:lvlText w:val="(%3)"/>
      <w:lvlJc w:val="left"/>
      <w:pPr>
        <w:tabs>
          <w:tab w:val="num" w:pos="1758"/>
        </w:tabs>
        <w:ind w:left="3572" w:hanging="567"/>
      </w:pPr>
      <w:rPr>
        <w:rFonts w:hint="default"/>
      </w:rPr>
    </w:lvl>
    <w:lvl w:ilvl="3">
      <w:start w:val="1"/>
      <w:numFmt w:val="lowerLetter"/>
      <w:lvlText w:val="%4."/>
      <w:lvlJc w:val="left"/>
      <w:pPr>
        <w:tabs>
          <w:tab w:val="num" w:pos="1758"/>
        </w:tabs>
        <w:ind w:left="4139" w:hanging="567"/>
      </w:pPr>
      <w:rPr>
        <w:rFonts w:hint="default"/>
      </w:rPr>
    </w:lvl>
    <w:lvl w:ilvl="4">
      <w:start w:val="1"/>
      <w:numFmt w:val="lowerRoman"/>
      <w:lvlText w:val="%5."/>
      <w:lvlJc w:val="left"/>
      <w:pPr>
        <w:tabs>
          <w:tab w:val="num" w:pos="1758"/>
        </w:tabs>
        <w:ind w:left="4706" w:hanging="567"/>
      </w:pPr>
      <w:rPr>
        <w:rFonts w:hint="default"/>
      </w:rPr>
    </w:lvl>
    <w:lvl w:ilvl="5">
      <w:start w:val="1"/>
      <w:numFmt w:val="lowerRoman"/>
      <w:lvlText w:val="%6."/>
      <w:lvlJc w:val="right"/>
      <w:pPr>
        <w:tabs>
          <w:tab w:val="num" w:pos="8459"/>
        </w:tabs>
        <w:ind w:left="8459" w:hanging="180"/>
      </w:pPr>
      <w:rPr>
        <w:rFonts w:hint="default"/>
      </w:rPr>
    </w:lvl>
    <w:lvl w:ilvl="6">
      <w:start w:val="1"/>
      <w:numFmt w:val="decimal"/>
      <w:lvlText w:val="%7."/>
      <w:lvlJc w:val="left"/>
      <w:pPr>
        <w:tabs>
          <w:tab w:val="num" w:pos="9179"/>
        </w:tabs>
        <w:ind w:left="9179" w:hanging="360"/>
      </w:pPr>
      <w:rPr>
        <w:rFonts w:hint="default"/>
      </w:rPr>
    </w:lvl>
    <w:lvl w:ilvl="7">
      <w:start w:val="1"/>
      <w:numFmt w:val="lowerLetter"/>
      <w:lvlText w:val="%8."/>
      <w:lvlJc w:val="left"/>
      <w:pPr>
        <w:tabs>
          <w:tab w:val="num" w:pos="9899"/>
        </w:tabs>
        <w:ind w:left="9899" w:hanging="360"/>
      </w:pPr>
      <w:rPr>
        <w:rFonts w:hint="default"/>
      </w:rPr>
    </w:lvl>
    <w:lvl w:ilvl="8">
      <w:start w:val="1"/>
      <w:numFmt w:val="lowerRoman"/>
      <w:lvlText w:val="%9."/>
      <w:lvlJc w:val="right"/>
      <w:pPr>
        <w:tabs>
          <w:tab w:val="num" w:pos="10619"/>
        </w:tabs>
        <w:ind w:left="10619" w:hanging="180"/>
      </w:pPr>
      <w:rPr>
        <w:rFonts w:hint="default"/>
      </w:rPr>
    </w:lvl>
  </w:abstractNum>
  <w:abstractNum w:abstractNumId="17"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8" w15:restartNumberingAfterBreak="0">
    <w:nsid w:val="5C6F541E"/>
    <w:multiLevelType w:val="multilevel"/>
    <w:tmpl w:val="710C7A06"/>
    <w:lvl w:ilvl="0">
      <w:start w:val="1"/>
      <w:numFmt w:val="lowerLetter"/>
      <w:lvlText w:val="(%1)"/>
      <w:lvlJc w:val="left"/>
      <w:pPr>
        <w:tabs>
          <w:tab w:val="num" w:pos="1758"/>
        </w:tabs>
        <w:ind w:left="1871" w:firstLine="0"/>
      </w:pPr>
      <w:rPr>
        <w:rFonts w:hint="default"/>
      </w:rPr>
    </w:lvl>
    <w:lvl w:ilvl="1">
      <w:start w:val="1"/>
      <w:numFmt w:val="lowerLetter"/>
      <w:lvlText w:val="(%2)"/>
      <w:lvlJc w:val="left"/>
      <w:pPr>
        <w:tabs>
          <w:tab w:val="num" w:pos="1758"/>
        </w:tabs>
        <w:ind w:left="1871" w:firstLine="567"/>
      </w:pPr>
      <w:rPr>
        <w:rFonts w:hint="default"/>
      </w:rPr>
    </w:lvl>
    <w:lvl w:ilvl="2">
      <w:start w:val="1"/>
      <w:numFmt w:val="lowerRoman"/>
      <w:lvlText w:val="(%3)"/>
      <w:lvlJc w:val="left"/>
      <w:pPr>
        <w:tabs>
          <w:tab w:val="num" w:pos="1758"/>
        </w:tabs>
        <w:ind w:left="3572" w:hanging="567"/>
      </w:pPr>
      <w:rPr>
        <w:rFonts w:hint="default"/>
      </w:rPr>
    </w:lvl>
    <w:lvl w:ilvl="3">
      <w:start w:val="1"/>
      <w:numFmt w:val="lowerLetter"/>
      <w:lvlText w:val="%4."/>
      <w:lvlJc w:val="left"/>
      <w:pPr>
        <w:tabs>
          <w:tab w:val="num" w:pos="1758"/>
        </w:tabs>
        <w:ind w:left="4139" w:hanging="567"/>
      </w:pPr>
      <w:rPr>
        <w:rFonts w:hint="default"/>
      </w:rPr>
    </w:lvl>
    <w:lvl w:ilvl="4">
      <w:start w:val="1"/>
      <w:numFmt w:val="lowerRoman"/>
      <w:lvlText w:val="%5."/>
      <w:lvlJc w:val="left"/>
      <w:pPr>
        <w:tabs>
          <w:tab w:val="num" w:pos="1758"/>
        </w:tabs>
        <w:ind w:left="4706" w:hanging="567"/>
      </w:pPr>
      <w:rPr>
        <w:rFonts w:hint="default"/>
      </w:rPr>
    </w:lvl>
    <w:lvl w:ilvl="5">
      <w:start w:val="1"/>
      <w:numFmt w:val="lowerRoman"/>
      <w:lvlText w:val="%6."/>
      <w:lvlJc w:val="right"/>
      <w:pPr>
        <w:tabs>
          <w:tab w:val="num" w:pos="8459"/>
        </w:tabs>
        <w:ind w:left="8459" w:hanging="180"/>
      </w:pPr>
      <w:rPr>
        <w:rFonts w:hint="default"/>
      </w:rPr>
    </w:lvl>
    <w:lvl w:ilvl="6">
      <w:start w:val="1"/>
      <w:numFmt w:val="decimal"/>
      <w:lvlText w:val="%7."/>
      <w:lvlJc w:val="left"/>
      <w:pPr>
        <w:tabs>
          <w:tab w:val="num" w:pos="9179"/>
        </w:tabs>
        <w:ind w:left="9179" w:hanging="360"/>
      </w:pPr>
      <w:rPr>
        <w:rFonts w:hint="default"/>
      </w:rPr>
    </w:lvl>
    <w:lvl w:ilvl="7">
      <w:start w:val="1"/>
      <w:numFmt w:val="lowerLetter"/>
      <w:lvlText w:val="%8."/>
      <w:lvlJc w:val="left"/>
      <w:pPr>
        <w:tabs>
          <w:tab w:val="num" w:pos="9899"/>
        </w:tabs>
        <w:ind w:left="9899" w:hanging="360"/>
      </w:pPr>
      <w:rPr>
        <w:rFonts w:hint="default"/>
      </w:rPr>
    </w:lvl>
    <w:lvl w:ilvl="8">
      <w:start w:val="1"/>
      <w:numFmt w:val="lowerRoman"/>
      <w:lvlText w:val="%9."/>
      <w:lvlJc w:val="right"/>
      <w:pPr>
        <w:tabs>
          <w:tab w:val="num" w:pos="10619"/>
        </w:tabs>
        <w:ind w:left="10619" w:hanging="180"/>
      </w:pPr>
      <w:rPr>
        <w:rFonts w:hint="default"/>
      </w:rPr>
    </w:lvl>
  </w:abstractNum>
  <w:abstractNum w:abstractNumId="19"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CC6EF8"/>
    <w:multiLevelType w:val="multilevel"/>
    <w:tmpl w:val="EE8C1E04"/>
    <w:lvl w:ilvl="0">
      <w:start w:val="1"/>
      <w:numFmt w:val="lowerLetter"/>
      <w:lvlText w:val="(%1)"/>
      <w:lvlJc w:val="left"/>
      <w:pPr>
        <w:tabs>
          <w:tab w:val="num" w:pos="1135"/>
        </w:tabs>
        <w:ind w:left="1248" w:firstLine="0"/>
      </w:pPr>
      <w:rPr>
        <w:rFonts w:hint="default"/>
      </w:rPr>
    </w:lvl>
    <w:lvl w:ilvl="1">
      <w:start w:val="1"/>
      <w:numFmt w:val="lowerLetter"/>
      <w:lvlText w:val="(%2)"/>
      <w:lvlJc w:val="left"/>
      <w:pPr>
        <w:tabs>
          <w:tab w:val="num" w:pos="1135"/>
        </w:tabs>
        <w:ind w:left="1248" w:firstLine="567"/>
      </w:pPr>
      <w:rPr>
        <w:rFonts w:hint="default"/>
      </w:rPr>
    </w:lvl>
    <w:lvl w:ilvl="2">
      <w:start w:val="1"/>
      <w:numFmt w:val="lowerRoman"/>
      <w:lvlText w:val="(%3)"/>
      <w:lvlJc w:val="left"/>
      <w:pPr>
        <w:tabs>
          <w:tab w:val="num" w:pos="1135"/>
        </w:tabs>
        <w:ind w:left="2949" w:hanging="567"/>
      </w:pPr>
      <w:rPr>
        <w:rFonts w:hint="default"/>
      </w:rPr>
    </w:lvl>
    <w:lvl w:ilvl="3">
      <w:start w:val="1"/>
      <w:numFmt w:val="lowerLetter"/>
      <w:lvlText w:val="%4."/>
      <w:lvlJc w:val="left"/>
      <w:pPr>
        <w:tabs>
          <w:tab w:val="num" w:pos="1135"/>
        </w:tabs>
        <w:ind w:left="3516" w:hanging="567"/>
      </w:pPr>
      <w:rPr>
        <w:rFonts w:hint="default"/>
      </w:rPr>
    </w:lvl>
    <w:lvl w:ilvl="4">
      <w:start w:val="1"/>
      <w:numFmt w:val="lowerRoman"/>
      <w:lvlText w:val="%5."/>
      <w:lvlJc w:val="left"/>
      <w:pPr>
        <w:tabs>
          <w:tab w:val="num" w:pos="1135"/>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21" w15:restartNumberingAfterBreak="0">
    <w:nsid w:val="73E32D1C"/>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12"/>
  </w:num>
  <w:num w:numId="2">
    <w:abstractNumId w:val="13"/>
  </w:num>
  <w:num w:numId="3">
    <w:abstractNumId w:val="16"/>
    <w:lvlOverride w:ilvl="0">
      <w:lvl w:ilvl="0">
        <w:start w:val="1"/>
        <w:numFmt w:val="decimal"/>
        <w:pStyle w:val="Normalnumber"/>
        <w:lvlText w:val="%1."/>
        <w:lvlJc w:val="left"/>
        <w:pPr>
          <w:tabs>
            <w:tab w:val="num" w:pos="1758"/>
          </w:tabs>
          <w:ind w:left="1871" w:firstLine="0"/>
        </w:pPr>
        <w:rPr>
          <w:rFonts w:hint="default"/>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
    <w:abstractNumId w:val="17"/>
  </w:num>
  <w:num w:numId="16">
    <w:abstractNumId w:val="19"/>
  </w:num>
  <w:num w:numId="17">
    <w:abstractNumId w:val="10"/>
    <w:lvlOverride w:ilvl="0">
      <w:lvl w:ilvl="0" w:tplc="E4402EA8">
        <w:start w:val="1"/>
        <w:numFmt w:val="decimal"/>
        <w:lvlText w:val="%1."/>
        <w:lvlJc w:val="left"/>
        <w:pPr>
          <w:ind w:left="4951" w:hanging="720"/>
        </w:pPr>
        <w:rPr>
          <w:rFonts w:hint="default"/>
        </w:rPr>
      </w:lvl>
    </w:lvlOverride>
  </w:num>
  <w:num w:numId="18">
    <w:abstractNumId w:val="21"/>
  </w:num>
  <w:num w:numId="19">
    <w:abstractNumId w:val="15"/>
  </w:num>
  <w:num w:numId="20">
    <w:abstractNumId w:val="20"/>
  </w:num>
  <w:num w:numId="21">
    <w:abstractNumId w:val="14"/>
  </w:num>
  <w:num w:numId="22">
    <w:abstractNumId w:val="18"/>
  </w:num>
  <w:num w:numId="2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activeWritingStyle w:appName="MSWord" w:lang="zh-CN" w:vendorID="64" w:dllVersion="5" w:nlCheck="1" w:checkStyle="1"/>
  <w:activeWritingStyle w:appName="MSWord" w:lang="en-GB" w:vendorID="64" w:dllVersion="6" w:nlCheck="1" w:checkStyle="1"/>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revisionView w:markup="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A"/>
    <w:rsid w:val="00000A56"/>
    <w:rsid w:val="00007A65"/>
    <w:rsid w:val="00010869"/>
    <w:rsid w:val="000149E6"/>
    <w:rsid w:val="00017213"/>
    <w:rsid w:val="000247B0"/>
    <w:rsid w:val="00024C14"/>
    <w:rsid w:val="00026997"/>
    <w:rsid w:val="00033C5F"/>
    <w:rsid w:val="00033E0B"/>
    <w:rsid w:val="00035EDE"/>
    <w:rsid w:val="0004026E"/>
    <w:rsid w:val="00044E5A"/>
    <w:rsid w:val="0004540A"/>
    <w:rsid w:val="000509B4"/>
    <w:rsid w:val="00053769"/>
    <w:rsid w:val="0006035B"/>
    <w:rsid w:val="00061444"/>
    <w:rsid w:val="00061E92"/>
    <w:rsid w:val="0006430A"/>
    <w:rsid w:val="00071886"/>
    <w:rsid w:val="000742BC"/>
    <w:rsid w:val="00075479"/>
    <w:rsid w:val="00076E4C"/>
    <w:rsid w:val="00082A0C"/>
    <w:rsid w:val="00083504"/>
    <w:rsid w:val="000904EF"/>
    <w:rsid w:val="0009640C"/>
    <w:rsid w:val="000B22A2"/>
    <w:rsid w:val="000C2A52"/>
    <w:rsid w:val="000D33C0"/>
    <w:rsid w:val="000D6941"/>
    <w:rsid w:val="000F6B5C"/>
    <w:rsid w:val="001202E3"/>
    <w:rsid w:val="00123699"/>
    <w:rsid w:val="001238B1"/>
    <w:rsid w:val="0013059D"/>
    <w:rsid w:val="00141A55"/>
    <w:rsid w:val="001446A3"/>
    <w:rsid w:val="00155395"/>
    <w:rsid w:val="001565C0"/>
    <w:rsid w:val="00160D74"/>
    <w:rsid w:val="00167D02"/>
    <w:rsid w:val="001717B7"/>
    <w:rsid w:val="00181EC8"/>
    <w:rsid w:val="00184349"/>
    <w:rsid w:val="00195F33"/>
    <w:rsid w:val="001B1617"/>
    <w:rsid w:val="001B504B"/>
    <w:rsid w:val="001B68AD"/>
    <w:rsid w:val="001B6CA5"/>
    <w:rsid w:val="001D3874"/>
    <w:rsid w:val="001D7E75"/>
    <w:rsid w:val="001E56D2"/>
    <w:rsid w:val="001E7D56"/>
    <w:rsid w:val="001F583B"/>
    <w:rsid w:val="001F75DE"/>
    <w:rsid w:val="002003B9"/>
    <w:rsid w:val="00200D58"/>
    <w:rsid w:val="002013BE"/>
    <w:rsid w:val="00203460"/>
    <w:rsid w:val="002063A4"/>
    <w:rsid w:val="00206FA9"/>
    <w:rsid w:val="0021145B"/>
    <w:rsid w:val="00213A77"/>
    <w:rsid w:val="00243D36"/>
    <w:rsid w:val="00247707"/>
    <w:rsid w:val="002512CA"/>
    <w:rsid w:val="0026018E"/>
    <w:rsid w:val="002647C2"/>
    <w:rsid w:val="00285344"/>
    <w:rsid w:val="00286740"/>
    <w:rsid w:val="00286D0C"/>
    <w:rsid w:val="002929D8"/>
    <w:rsid w:val="002A237D"/>
    <w:rsid w:val="002A4C53"/>
    <w:rsid w:val="002A626D"/>
    <w:rsid w:val="002B0672"/>
    <w:rsid w:val="002B247F"/>
    <w:rsid w:val="002B2C59"/>
    <w:rsid w:val="002C145D"/>
    <w:rsid w:val="002C2C3E"/>
    <w:rsid w:val="002C533E"/>
    <w:rsid w:val="002D027F"/>
    <w:rsid w:val="002D290C"/>
    <w:rsid w:val="002D7A85"/>
    <w:rsid w:val="002D7B60"/>
    <w:rsid w:val="002F4761"/>
    <w:rsid w:val="002F5C79"/>
    <w:rsid w:val="003019E2"/>
    <w:rsid w:val="003065E6"/>
    <w:rsid w:val="0031413F"/>
    <w:rsid w:val="003148BB"/>
    <w:rsid w:val="003178B3"/>
    <w:rsid w:val="00317976"/>
    <w:rsid w:val="00324C29"/>
    <w:rsid w:val="00351B05"/>
    <w:rsid w:val="00355EA9"/>
    <w:rsid w:val="003578DE"/>
    <w:rsid w:val="00380C52"/>
    <w:rsid w:val="00385868"/>
    <w:rsid w:val="00396257"/>
    <w:rsid w:val="00397EB8"/>
    <w:rsid w:val="003A4FD0"/>
    <w:rsid w:val="003A69D1"/>
    <w:rsid w:val="003A7705"/>
    <w:rsid w:val="003A77F1"/>
    <w:rsid w:val="003B1545"/>
    <w:rsid w:val="003B1F39"/>
    <w:rsid w:val="003C23BD"/>
    <w:rsid w:val="003C409D"/>
    <w:rsid w:val="003C5BA6"/>
    <w:rsid w:val="003D50CB"/>
    <w:rsid w:val="003F0E85"/>
    <w:rsid w:val="003F1D30"/>
    <w:rsid w:val="003F7440"/>
    <w:rsid w:val="0041081A"/>
    <w:rsid w:val="00410C55"/>
    <w:rsid w:val="00416854"/>
    <w:rsid w:val="00417725"/>
    <w:rsid w:val="00425C1A"/>
    <w:rsid w:val="00437F26"/>
    <w:rsid w:val="0044236F"/>
    <w:rsid w:val="00444097"/>
    <w:rsid w:val="00445487"/>
    <w:rsid w:val="004456DC"/>
    <w:rsid w:val="00447AB9"/>
    <w:rsid w:val="00454769"/>
    <w:rsid w:val="00455480"/>
    <w:rsid w:val="004618B7"/>
    <w:rsid w:val="00466991"/>
    <w:rsid w:val="0047064C"/>
    <w:rsid w:val="00485185"/>
    <w:rsid w:val="004A42E1"/>
    <w:rsid w:val="004B162C"/>
    <w:rsid w:val="004B73E2"/>
    <w:rsid w:val="004C3DBE"/>
    <w:rsid w:val="004C5C96"/>
    <w:rsid w:val="004D06A4"/>
    <w:rsid w:val="004E47A3"/>
    <w:rsid w:val="004F1A81"/>
    <w:rsid w:val="00517861"/>
    <w:rsid w:val="005218D9"/>
    <w:rsid w:val="00533551"/>
    <w:rsid w:val="00536186"/>
    <w:rsid w:val="00536279"/>
    <w:rsid w:val="00544CBB"/>
    <w:rsid w:val="00563378"/>
    <w:rsid w:val="00565B7F"/>
    <w:rsid w:val="0057315F"/>
    <w:rsid w:val="005754A9"/>
    <w:rsid w:val="00576104"/>
    <w:rsid w:val="005C67C8"/>
    <w:rsid w:val="005D0249"/>
    <w:rsid w:val="005D6E8C"/>
    <w:rsid w:val="005E23BC"/>
    <w:rsid w:val="005F100C"/>
    <w:rsid w:val="005F68DA"/>
    <w:rsid w:val="00606059"/>
    <w:rsid w:val="0060773B"/>
    <w:rsid w:val="006157B5"/>
    <w:rsid w:val="00626FC6"/>
    <w:rsid w:val="00627950"/>
    <w:rsid w:val="006303B4"/>
    <w:rsid w:val="00633D3D"/>
    <w:rsid w:val="00641703"/>
    <w:rsid w:val="006431A6"/>
    <w:rsid w:val="0064357C"/>
    <w:rsid w:val="00643D35"/>
    <w:rsid w:val="006459F6"/>
    <w:rsid w:val="006501AD"/>
    <w:rsid w:val="00651BFA"/>
    <w:rsid w:val="00654475"/>
    <w:rsid w:val="006576F9"/>
    <w:rsid w:val="006600AD"/>
    <w:rsid w:val="00665A4B"/>
    <w:rsid w:val="00677EAE"/>
    <w:rsid w:val="00692E2A"/>
    <w:rsid w:val="006A76F2"/>
    <w:rsid w:val="006B0E1A"/>
    <w:rsid w:val="006B503A"/>
    <w:rsid w:val="006C1C69"/>
    <w:rsid w:val="006D125A"/>
    <w:rsid w:val="006D1961"/>
    <w:rsid w:val="006D6515"/>
    <w:rsid w:val="006D7EFB"/>
    <w:rsid w:val="006E6672"/>
    <w:rsid w:val="006E6722"/>
    <w:rsid w:val="007027B9"/>
    <w:rsid w:val="00714E08"/>
    <w:rsid w:val="00715E88"/>
    <w:rsid w:val="0071625A"/>
    <w:rsid w:val="007332FD"/>
    <w:rsid w:val="00734CAA"/>
    <w:rsid w:val="0075533C"/>
    <w:rsid w:val="00757581"/>
    <w:rsid w:val="007611A0"/>
    <w:rsid w:val="007617A1"/>
    <w:rsid w:val="00796D3F"/>
    <w:rsid w:val="007A0807"/>
    <w:rsid w:val="007A0F62"/>
    <w:rsid w:val="007A1683"/>
    <w:rsid w:val="007A5C12"/>
    <w:rsid w:val="007A7CB0"/>
    <w:rsid w:val="007B68A3"/>
    <w:rsid w:val="007B7AE1"/>
    <w:rsid w:val="007C2541"/>
    <w:rsid w:val="007D549A"/>
    <w:rsid w:val="007D66A8"/>
    <w:rsid w:val="007D7AC3"/>
    <w:rsid w:val="007E003F"/>
    <w:rsid w:val="007E2B3C"/>
    <w:rsid w:val="007F3540"/>
    <w:rsid w:val="007F6126"/>
    <w:rsid w:val="008034CE"/>
    <w:rsid w:val="00804545"/>
    <w:rsid w:val="00805F75"/>
    <w:rsid w:val="00815B30"/>
    <w:rsid w:val="008164F2"/>
    <w:rsid w:val="00821395"/>
    <w:rsid w:val="00830E26"/>
    <w:rsid w:val="00843576"/>
    <w:rsid w:val="00843B64"/>
    <w:rsid w:val="00844743"/>
    <w:rsid w:val="00844BD5"/>
    <w:rsid w:val="008478FC"/>
    <w:rsid w:val="00860C0C"/>
    <w:rsid w:val="00867BFF"/>
    <w:rsid w:val="008767B4"/>
    <w:rsid w:val="008829D3"/>
    <w:rsid w:val="0088480A"/>
    <w:rsid w:val="0088677E"/>
    <w:rsid w:val="00887131"/>
    <w:rsid w:val="0088757A"/>
    <w:rsid w:val="008957DD"/>
    <w:rsid w:val="00897D98"/>
    <w:rsid w:val="008A62D9"/>
    <w:rsid w:val="008A6DF2"/>
    <w:rsid w:val="008A7807"/>
    <w:rsid w:val="008B4CC9"/>
    <w:rsid w:val="008B6F95"/>
    <w:rsid w:val="008C00D6"/>
    <w:rsid w:val="008D7C99"/>
    <w:rsid w:val="008D7FE9"/>
    <w:rsid w:val="008E0FCB"/>
    <w:rsid w:val="00903A86"/>
    <w:rsid w:val="0092178C"/>
    <w:rsid w:val="00930B88"/>
    <w:rsid w:val="009379B9"/>
    <w:rsid w:val="00940DCC"/>
    <w:rsid w:val="0094179A"/>
    <w:rsid w:val="0094459E"/>
    <w:rsid w:val="00944DBC"/>
    <w:rsid w:val="0094617E"/>
    <w:rsid w:val="00950977"/>
    <w:rsid w:val="00951A7B"/>
    <w:rsid w:val="009527C6"/>
    <w:rsid w:val="009564A6"/>
    <w:rsid w:val="00967621"/>
    <w:rsid w:val="00967E6A"/>
    <w:rsid w:val="00984A20"/>
    <w:rsid w:val="00985ADF"/>
    <w:rsid w:val="009A1772"/>
    <w:rsid w:val="009B0662"/>
    <w:rsid w:val="009B4A0F"/>
    <w:rsid w:val="009C11D2"/>
    <w:rsid w:val="009C1575"/>
    <w:rsid w:val="009C6C70"/>
    <w:rsid w:val="009D0B63"/>
    <w:rsid w:val="009E307E"/>
    <w:rsid w:val="009E78C3"/>
    <w:rsid w:val="00A07870"/>
    <w:rsid w:val="00A07F19"/>
    <w:rsid w:val="00A1348D"/>
    <w:rsid w:val="00A2135D"/>
    <w:rsid w:val="00A232EE"/>
    <w:rsid w:val="00A2631B"/>
    <w:rsid w:val="00A27C49"/>
    <w:rsid w:val="00A35431"/>
    <w:rsid w:val="00A3603E"/>
    <w:rsid w:val="00A4175F"/>
    <w:rsid w:val="00A44411"/>
    <w:rsid w:val="00A469FA"/>
    <w:rsid w:val="00A55B01"/>
    <w:rsid w:val="00A55E48"/>
    <w:rsid w:val="00A56B5B"/>
    <w:rsid w:val="00A603FF"/>
    <w:rsid w:val="00A657DD"/>
    <w:rsid w:val="00A666A6"/>
    <w:rsid w:val="00A675FD"/>
    <w:rsid w:val="00A72437"/>
    <w:rsid w:val="00A80611"/>
    <w:rsid w:val="00A87BC7"/>
    <w:rsid w:val="00AA0C30"/>
    <w:rsid w:val="00AB5340"/>
    <w:rsid w:val="00AC0A89"/>
    <w:rsid w:val="00AC3B14"/>
    <w:rsid w:val="00AC7C96"/>
    <w:rsid w:val="00AD71F4"/>
    <w:rsid w:val="00AE237D"/>
    <w:rsid w:val="00AE502A"/>
    <w:rsid w:val="00AF0CC1"/>
    <w:rsid w:val="00AF7C07"/>
    <w:rsid w:val="00B22C93"/>
    <w:rsid w:val="00B27589"/>
    <w:rsid w:val="00B34DB0"/>
    <w:rsid w:val="00B405B7"/>
    <w:rsid w:val="00B420CD"/>
    <w:rsid w:val="00B42549"/>
    <w:rsid w:val="00B52222"/>
    <w:rsid w:val="00B54FE7"/>
    <w:rsid w:val="00B66901"/>
    <w:rsid w:val="00B71E6D"/>
    <w:rsid w:val="00B72070"/>
    <w:rsid w:val="00B73D09"/>
    <w:rsid w:val="00B75656"/>
    <w:rsid w:val="00B779E1"/>
    <w:rsid w:val="00B91EE1"/>
    <w:rsid w:val="00B97281"/>
    <w:rsid w:val="00BA0090"/>
    <w:rsid w:val="00BA1A67"/>
    <w:rsid w:val="00BA7797"/>
    <w:rsid w:val="00BE0AFD"/>
    <w:rsid w:val="00BE2C7C"/>
    <w:rsid w:val="00BE5B5F"/>
    <w:rsid w:val="00C03545"/>
    <w:rsid w:val="00C04705"/>
    <w:rsid w:val="00C21D6F"/>
    <w:rsid w:val="00C26F55"/>
    <w:rsid w:val="00C30C63"/>
    <w:rsid w:val="00C34786"/>
    <w:rsid w:val="00C36B8B"/>
    <w:rsid w:val="00C415C1"/>
    <w:rsid w:val="00C47DBF"/>
    <w:rsid w:val="00C552FF"/>
    <w:rsid w:val="00C558DA"/>
    <w:rsid w:val="00C55AF3"/>
    <w:rsid w:val="00C60881"/>
    <w:rsid w:val="00C70845"/>
    <w:rsid w:val="00C84759"/>
    <w:rsid w:val="00C96840"/>
    <w:rsid w:val="00CA038C"/>
    <w:rsid w:val="00CA6C7F"/>
    <w:rsid w:val="00CC0230"/>
    <w:rsid w:val="00CC10A6"/>
    <w:rsid w:val="00CC20CF"/>
    <w:rsid w:val="00CC3A3C"/>
    <w:rsid w:val="00CD5EB8"/>
    <w:rsid w:val="00CD7044"/>
    <w:rsid w:val="00CE08B9"/>
    <w:rsid w:val="00CE524C"/>
    <w:rsid w:val="00CF141F"/>
    <w:rsid w:val="00CF4777"/>
    <w:rsid w:val="00D067BB"/>
    <w:rsid w:val="00D07CC3"/>
    <w:rsid w:val="00D1352A"/>
    <w:rsid w:val="00D169AF"/>
    <w:rsid w:val="00D25249"/>
    <w:rsid w:val="00D27057"/>
    <w:rsid w:val="00D33031"/>
    <w:rsid w:val="00D33D5C"/>
    <w:rsid w:val="00D341A9"/>
    <w:rsid w:val="00D44172"/>
    <w:rsid w:val="00D62DAC"/>
    <w:rsid w:val="00D63B8C"/>
    <w:rsid w:val="00D739CC"/>
    <w:rsid w:val="00D8093D"/>
    <w:rsid w:val="00D8108C"/>
    <w:rsid w:val="00D842AE"/>
    <w:rsid w:val="00D87566"/>
    <w:rsid w:val="00D87F54"/>
    <w:rsid w:val="00D9211C"/>
    <w:rsid w:val="00D92DE0"/>
    <w:rsid w:val="00D92FEF"/>
    <w:rsid w:val="00D93A0F"/>
    <w:rsid w:val="00D95B49"/>
    <w:rsid w:val="00DA1BCA"/>
    <w:rsid w:val="00DA7476"/>
    <w:rsid w:val="00DC45C7"/>
    <w:rsid w:val="00DC46FF"/>
    <w:rsid w:val="00DC5254"/>
    <w:rsid w:val="00DD1A4F"/>
    <w:rsid w:val="00DD2838"/>
    <w:rsid w:val="00DD3107"/>
    <w:rsid w:val="00DD4C79"/>
    <w:rsid w:val="00DD7C2C"/>
    <w:rsid w:val="00DF05AB"/>
    <w:rsid w:val="00E0342F"/>
    <w:rsid w:val="00E03D71"/>
    <w:rsid w:val="00E06797"/>
    <w:rsid w:val="00E1265B"/>
    <w:rsid w:val="00E13B48"/>
    <w:rsid w:val="00E1404F"/>
    <w:rsid w:val="00E21C83"/>
    <w:rsid w:val="00E2437D"/>
    <w:rsid w:val="00E24ADA"/>
    <w:rsid w:val="00E32F59"/>
    <w:rsid w:val="00E33E3F"/>
    <w:rsid w:val="00E44A5A"/>
    <w:rsid w:val="00E46D9A"/>
    <w:rsid w:val="00E5398E"/>
    <w:rsid w:val="00E565FF"/>
    <w:rsid w:val="00E57E2E"/>
    <w:rsid w:val="00E65388"/>
    <w:rsid w:val="00E83AFD"/>
    <w:rsid w:val="00E85B7D"/>
    <w:rsid w:val="00E9121B"/>
    <w:rsid w:val="00E96540"/>
    <w:rsid w:val="00EA0AE2"/>
    <w:rsid w:val="00EA39E5"/>
    <w:rsid w:val="00EA5E72"/>
    <w:rsid w:val="00EB563C"/>
    <w:rsid w:val="00EC5A46"/>
    <w:rsid w:val="00EC63E2"/>
    <w:rsid w:val="00ED7A27"/>
    <w:rsid w:val="00EE7A32"/>
    <w:rsid w:val="00EF22B3"/>
    <w:rsid w:val="00F02B81"/>
    <w:rsid w:val="00F03B69"/>
    <w:rsid w:val="00F05656"/>
    <w:rsid w:val="00F07A50"/>
    <w:rsid w:val="00F113DA"/>
    <w:rsid w:val="00F13C4C"/>
    <w:rsid w:val="00F16A14"/>
    <w:rsid w:val="00F21C7C"/>
    <w:rsid w:val="00F24AB6"/>
    <w:rsid w:val="00F37DC8"/>
    <w:rsid w:val="00F439B3"/>
    <w:rsid w:val="00F45904"/>
    <w:rsid w:val="00F55490"/>
    <w:rsid w:val="00F62D01"/>
    <w:rsid w:val="00F650C3"/>
    <w:rsid w:val="00F65D85"/>
    <w:rsid w:val="00F8091E"/>
    <w:rsid w:val="00F8615C"/>
    <w:rsid w:val="00F9152B"/>
    <w:rsid w:val="00F94214"/>
    <w:rsid w:val="00F969E5"/>
    <w:rsid w:val="00FA3208"/>
    <w:rsid w:val="00FA3E48"/>
    <w:rsid w:val="00FA5BA4"/>
    <w:rsid w:val="00FA6BB0"/>
    <w:rsid w:val="00FB5686"/>
    <w:rsid w:val="00FC4EF8"/>
    <w:rsid w:val="00FD5860"/>
    <w:rsid w:val="00FD69E2"/>
    <w:rsid w:val="00FE352D"/>
    <w:rsid w:val="00FE40EB"/>
    <w:rsid w:val="00FE4B31"/>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A5B5922"/>
  <w15:docId w15:val="{16DCDFDE-6964-4A2F-ADE6-105BF9C1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5479"/>
    <w:pPr>
      <w:spacing w:after="120" w:line="280" w:lineRule="exact"/>
      <w:jc w:val="both"/>
    </w:pPr>
    <w:rPr>
      <w:rFonts w:asciiTheme="minorHAnsi" w:eastAsiaTheme="minorHAnsi" w:hAnsiTheme="minorHAnsi" w:cstheme="minorBidi"/>
      <w:sz w:val="21"/>
      <w:szCs w:val="10"/>
      <w:lang w:val="en-US" w:eastAsia="zh-CN"/>
    </w:rPr>
  </w:style>
  <w:style w:type="paragraph" w:styleId="Heading1">
    <w:name w:val="heading 1"/>
    <w:basedOn w:val="Normal"/>
    <w:next w:val="Normalnumber"/>
    <w:qFormat/>
    <w:rsid w:val="000D6941"/>
    <w:pPr>
      <w:keepNext/>
      <w:tabs>
        <w:tab w:val="left" w:pos="1247"/>
        <w:tab w:val="left" w:pos="1814"/>
      </w:tabs>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style>
  <w:style w:type="character" w:styleId="FootnoteReference">
    <w:name w:val="footnote reference"/>
    <w:aliases w:val="16 Point,Superscript 6 Point,number,SUPERS,Footnote Reference Superscript,ftref,(Ref. de nota al pie)"/>
    <w:basedOn w:val="DefaultParagraphFont"/>
    <w:uiPriority w:val="99"/>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
    <w:link w:val="FootnoteTextChar"/>
    <w:rsid w:val="000D6941"/>
    <w:pPr>
      <w:spacing w:before="20" w:after="0" w:line="210" w:lineRule="exact"/>
      <w:ind w:left="475" w:hanging="475"/>
      <w:jc w:val="left"/>
    </w:pPr>
    <w:rPr>
      <w:noProof/>
      <w:spacing w:val="5"/>
      <w:w w:val="104"/>
      <w:kern w:val="14"/>
      <w:sz w:val="18"/>
      <w:szCs w:val="20"/>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FD69E2"/>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link w:val="HeaderChar"/>
    <w:uiPriority w:val="99"/>
    <w:rsid w:val="000D6941"/>
    <w:pPr>
      <w:pBdr>
        <w:bottom w:val="single" w:sz="4" w:space="1" w:color="auto"/>
      </w:pBdr>
      <w:tabs>
        <w:tab w:val="center" w:pos="4536"/>
        <w:tab w:val="right" w:pos="9072"/>
      </w:tabs>
    </w:pPr>
    <w:rPr>
      <w:rFonts w:eastAsia="PMingLiU"/>
      <w:b/>
      <w:noProof/>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2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024C14"/>
    <w:pPr>
      <w:numPr>
        <w:numId w:val="3"/>
      </w:numPr>
      <w:tabs>
        <w:tab w:val="clear" w:pos="1814"/>
        <w:tab w:val="clear" w:pos="2381"/>
        <w:tab w:val="clear" w:pos="2948"/>
        <w:tab w:val="clear" w:pos="3515"/>
        <w:tab w:val="clear" w:pos="4082"/>
        <w:tab w:val="left" w:pos="624"/>
        <w:tab w:val="left" w:pos="1871"/>
        <w:tab w:val="left" w:pos="2495"/>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1B6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B6CA5"/>
    <w:rPr>
      <w:rFonts w:ascii="Segoe UI" w:eastAsia="MS Mincho" w:hAnsi="Segoe UI" w:cs="Segoe UI"/>
      <w:sz w:val="18"/>
      <w:szCs w:val="18"/>
    </w:rPr>
  </w:style>
  <w:style w:type="character" w:customStyle="1" w:styleId="Normal-poolChar">
    <w:name w:val="Normal-pool Char"/>
    <w:link w:val="Normal-pool"/>
    <w:rsid w:val="007E2B3C"/>
    <w:rPr>
      <w:lang w:val="en-GB"/>
    </w:rPr>
  </w:style>
  <w:style w:type="character" w:customStyle="1" w:styleId="CH2Char">
    <w:name w:val="CH2 Char"/>
    <w:link w:val="CH2"/>
    <w:rsid w:val="00BE0AFD"/>
    <w:rPr>
      <w:b/>
      <w:sz w:val="24"/>
      <w:szCs w:val="24"/>
      <w:lang w:val="en-GB"/>
    </w:rPr>
  </w:style>
  <w:style w:type="character" w:styleId="CommentReference">
    <w:name w:val="annotation reference"/>
    <w:rsid w:val="00BE0AFD"/>
    <w:rPr>
      <w:rFonts w:ascii="Times New Roman" w:eastAsia="SimSun" w:hAnsi="Times New Roman"/>
      <w:sz w:val="6"/>
      <w:szCs w:val="16"/>
    </w:rPr>
  </w:style>
  <w:style w:type="paragraph" w:styleId="CommentText">
    <w:name w:val="annotation text"/>
    <w:basedOn w:val="Normal"/>
    <w:link w:val="CommentTextChar"/>
    <w:uiPriority w:val="99"/>
    <w:rsid w:val="00BE0AFD"/>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uiPriority w:val="99"/>
    <w:rsid w:val="00BE0AFD"/>
    <w:rPr>
      <w:rFonts w:eastAsia="MS Mincho"/>
      <w:lang w:val="en-GB"/>
    </w:rPr>
  </w:style>
  <w:style w:type="character" w:customStyle="1" w:styleId="HeaderChar">
    <w:name w:val="Header Char"/>
    <w:link w:val="Header"/>
    <w:uiPriority w:val="99"/>
    <w:rsid w:val="00BE0AFD"/>
    <w:rPr>
      <w:rFonts w:ascii="Calibri" w:eastAsia="MS Mincho" w:hAnsi="Calibri"/>
      <w:b/>
      <w:sz w:val="18"/>
      <w:szCs w:val="22"/>
    </w:rPr>
  </w:style>
  <w:style w:type="character" w:customStyle="1" w:styleId="FooterChar">
    <w:name w:val="Footer Char"/>
    <w:link w:val="Footer"/>
    <w:uiPriority w:val="99"/>
    <w:rsid w:val="00BE0AFD"/>
    <w:rPr>
      <w:rFonts w:ascii="Calibri" w:eastAsia="MS Mincho" w:hAnsi="Calibri"/>
      <w:sz w:val="18"/>
      <w:szCs w:val="22"/>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uiPriority w:val="99"/>
    <w:rsid w:val="00BE0AFD"/>
    <w:rPr>
      <w:sz w:val="18"/>
      <w:lang w:val="fr-FR"/>
    </w:rPr>
  </w:style>
  <w:style w:type="table" w:styleId="TableGrid">
    <w:name w:val="Table Grid"/>
    <w:basedOn w:val="TableNormal"/>
    <w:rsid w:val="00D0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umberChar">
    <w:name w:val="Normal_number Char"/>
    <w:link w:val="Normalnumber"/>
    <w:uiPriority w:val="99"/>
    <w:rsid w:val="00075479"/>
    <w:rPr>
      <w:lang w:val="en-GB"/>
    </w:rPr>
  </w:style>
  <w:style w:type="paragraph" w:styleId="ListParagraph">
    <w:name w:val="List Paragraph"/>
    <w:basedOn w:val="Normal"/>
    <w:link w:val="ListParagraphChar"/>
    <w:uiPriority w:val="34"/>
    <w:qFormat/>
    <w:rsid w:val="00075479"/>
    <w:pPr>
      <w:spacing w:line="360" w:lineRule="auto"/>
      <w:ind w:left="720"/>
      <w:contextualSpacing/>
    </w:pPr>
    <w:rPr>
      <w:rFonts w:eastAsiaTheme="minorEastAsia"/>
    </w:rPr>
  </w:style>
  <w:style w:type="character" w:customStyle="1" w:styleId="ListParagraphChar">
    <w:name w:val="List Paragraph Char"/>
    <w:basedOn w:val="DefaultParagraphFont"/>
    <w:link w:val="ListParagraph"/>
    <w:uiPriority w:val="34"/>
    <w:rsid w:val="00075479"/>
    <w:rPr>
      <w:rFonts w:asciiTheme="minorHAnsi" w:eastAsiaTheme="minorEastAsia" w:hAnsiTheme="minorHAnsi" w:cstheme="minorBidi"/>
      <w:sz w:val="22"/>
      <w:szCs w:val="22"/>
    </w:rPr>
  </w:style>
  <w:style w:type="paragraph" w:customStyle="1" w:styleId="AnnexTitle">
    <w:name w:val="Annex Title"/>
    <w:basedOn w:val="Normal-pool"/>
    <w:qFormat/>
    <w:rsid w:val="00075479"/>
    <w:pPr>
      <w:pageBreakBefore/>
      <w:tabs>
        <w:tab w:val="clear" w:pos="4082"/>
      </w:tabs>
    </w:pPr>
    <w:rPr>
      <w:b/>
      <w:bCs/>
      <w:sz w:val="28"/>
      <w:szCs w:val="22"/>
    </w:rPr>
  </w:style>
  <w:style w:type="paragraph" w:styleId="Title">
    <w:name w:val="Title"/>
    <w:basedOn w:val="BBTitle"/>
    <w:next w:val="Normal"/>
    <w:link w:val="TitleChar"/>
    <w:qFormat/>
    <w:rsid w:val="00075479"/>
    <w:pPr>
      <w:tabs>
        <w:tab w:val="clear" w:pos="4082"/>
      </w:tabs>
    </w:pPr>
    <w:rPr>
      <w:lang w:val="en-US"/>
    </w:rPr>
  </w:style>
  <w:style w:type="character" w:customStyle="1" w:styleId="TitleChar">
    <w:name w:val="Title Char"/>
    <w:basedOn w:val="DefaultParagraphFont"/>
    <w:link w:val="Title"/>
    <w:rsid w:val="00075479"/>
    <w:rPr>
      <w:b/>
      <w:sz w:val="28"/>
      <w:szCs w:val="28"/>
    </w:rPr>
  </w:style>
  <w:style w:type="paragraph" w:customStyle="1" w:styleId="AgendaItemTitle">
    <w:name w:val="AgendaItem_Title"/>
    <w:basedOn w:val="Normal-pool"/>
    <w:qFormat/>
    <w:rsid w:val="00075479"/>
    <w:pPr>
      <w:keepNext/>
      <w:keepLines/>
      <w:tabs>
        <w:tab w:val="clear" w:pos="4082"/>
      </w:tabs>
      <w:suppressAutoHyphens/>
      <w:ind w:right="3402"/>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2F87-90AF-4329-A196-05D6B740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2819</Words>
  <Characters>509</Characters>
  <Application>Microsoft Office Word</Application>
  <DocSecurity>0</DocSecurity>
  <Lines>4</Lines>
  <Paragraphs>6</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NATIONS UNIES</vt:lpstr>
      <vt:lpstr>NATIONS UNIES</vt:lpstr>
    </vt:vector>
  </TitlesOfParts>
  <Company>unon</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 ( IPBES Secretariat )</cp:lastModifiedBy>
  <cp:revision>2</cp:revision>
  <cp:lastPrinted>2017-12-21T06:14:00Z</cp:lastPrinted>
  <dcterms:created xsi:type="dcterms:W3CDTF">2018-01-29T11:18:00Z</dcterms:created>
  <dcterms:modified xsi:type="dcterms:W3CDTF">2018-01-29T11:18:00Z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12/19/2017 2:19:28 PM</vt:lpwstr>
  </property>
  <property fmtid="{D5CDD505-2E9C-101B-9397-08002B2CF9AE}" pid="5" name="OriginalDocID">
    <vt:lpwstr>9d8eae43-db04-48bd-a1a0-08b303befc45</vt:lpwstr>
  </property>
</Properties>
</file>