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204AD7" w:rsidRPr="00440196" w14:paraId="56C20446" w14:textId="77777777" w:rsidTr="001238FA">
        <w:trPr>
          <w:cantSplit/>
          <w:trHeight w:val="1079"/>
          <w:jc w:val="right"/>
        </w:trPr>
        <w:tc>
          <w:tcPr>
            <w:tcW w:w="1526" w:type="dxa"/>
          </w:tcPr>
          <w:p w14:paraId="1D3C9FC8" w14:textId="77777777" w:rsidR="00204AD7" w:rsidRPr="00647316" w:rsidRDefault="00204AD7" w:rsidP="00160BD4">
            <w:pPr>
              <w:pStyle w:val="Caption"/>
              <w:rPr>
                <w:b/>
                <w:sz w:val="27"/>
              </w:rPr>
            </w:pPr>
            <w:r w:rsidRPr="00647316">
              <w:rPr>
                <w:b/>
                <w:sz w:val="27"/>
              </w:rPr>
              <w:t xml:space="preserve">UNITED </w:t>
            </w:r>
            <w:r w:rsidRPr="00647316">
              <w:rPr>
                <w:b/>
                <w:sz w:val="27"/>
              </w:rPr>
              <w:br/>
              <w:t>NATIONS</w:t>
            </w:r>
          </w:p>
        </w:tc>
        <w:tc>
          <w:tcPr>
            <w:tcW w:w="992" w:type="dxa"/>
            <w:gridSpan w:val="2"/>
            <w:tcBorders>
              <w:left w:val="nil"/>
            </w:tcBorders>
            <w:vAlign w:val="center"/>
          </w:tcPr>
          <w:p w14:paraId="39CA73EE" w14:textId="77777777" w:rsidR="00204AD7" w:rsidRPr="00440196" w:rsidRDefault="00204AD7" w:rsidP="001238FA">
            <w:pPr>
              <w:ind w:left="-108"/>
              <w:jc w:val="center"/>
            </w:pPr>
            <w:r w:rsidRPr="00440196">
              <w:rPr>
                <w:noProof/>
                <w:lang w:val="en-US"/>
              </w:rPr>
              <w:drawing>
                <wp:inline distT="0" distB="0" distL="0" distR="0" wp14:anchorId="296F0AC2" wp14:editId="23FC9091">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6CE34C0" w14:textId="77777777" w:rsidR="00204AD7" w:rsidRPr="00440196" w:rsidRDefault="00204AD7" w:rsidP="001238FA">
            <w:pPr>
              <w:ind w:left="-108"/>
              <w:jc w:val="center"/>
            </w:pPr>
            <w:r w:rsidRPr="00440196">
              <w:rPr>
                <w:noProof/>
                <w:lang w:val="en-US"/>
              </w:rPr>
              <w:drawing>
                <wp:inline distT="0" distB="0" distL="0" distR="0" wp14:anchorId="2B42C738" wp14:editId="3BE18031">
                  <wp:extent cx="468455" cy="492369"/>
                  <wp:effectExtent l="0" t="0" r="8255" b="3175"/>
                  <wp:docPr id="7" name="Picture 7"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4FCA6192" w14:textId="77777777" w:rsidR="00204AD7" w:rsidRPr="00440196" w:rsidRDefault="00204AD7" w:rsidP="001238FA">
            <w:pPr>
              <w:ind w:left="-108"/>
              <w:jc w:val="center"/>
            </w:pPr>
            <w:r w:rsidRPr="00440196">
              <w:rPr>
                <w:noProof/>
                <w:lang w:val="en-US"/>
              </w:rPr>
              <w:drawing>
                <wp:inline distT="0" distB="0" distL="0" distR="0" wp14:anchorId="54FFB144" wp14:editId="704052E5">
                  <wp:extent cx="574431" cy="475392"/>
                  <wp:effectExtent l="0" t="0" r="0" b="127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220E043E" w14:textId="77777777" w:rsidR="00204AD7" w:rsidRPr="00440196" w:rsidRDefault="00204AD7" w:rsidP="001238FA">
            <w:pPr>
              <w:ind w:left="-108"/>
            </w:pPr>
            <w:r w:rsidRPr="00440196">
              <w:rPr>
                <w:noProof/>
                <w:lang w:val="en-US"/>
              </w:rPr>
              <w:drawing>
                <wp:inline distT="0" distB="0" distL="0" distR="0" wp14:anchorId="6EB9092F" wp14:editId="4BA242CA">
                  <wp:extent cx="1518138" cy="527539"/>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0EC58F13" w14:textId="77777777" w:rsidR="00204AD7" w:rsidRPr="00440196" w:rsidRDefault="00204AD7" w:rsidP="001238FA">
            <w:pPr>
              <w:jc w:val="center"/>
            </w:pPr>
            <w:r w:rsidRPr="00440196">
              <w:rPr>
                <w:noProof/>
                <w:lang w:val="en-US"/>
              </w:rPr>
              <w:drawing>
                <wp:inline distT="0" distB="0" distL="0" distR="0" wp14:anchorId="2AE91CD2" wp14:editId="4C036B2C">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C0E897E" w14:textId="77777777" w:rsidR="00204AD7" w:rsidRPr="00440196" w:rsidRDefault="00204AD7" w:rsidP="001238FA">
            <w:pPr>
              <w:jc w:val="center"/>
            </w:pPr>
          </w:p>
        </w:tc>
        <w:tc>
          <w:tcPr>
            <w:tcW w:w="1666" w:type="dxa"/>
          </w:tcPr>
          <w:p w14:paraId="64BD8C73" w14:textId="77777777" w:rsidR="00204AD7" w:rsidRPr="00440196" w:rsidRDefault="00204AD7" w:rsidP="001238FA">
            <w:pPr>
              <w:keepNext/>
              <w:spacing w:before="40"/>
              <w:jc w:val="right"/>
              <w:outlineLvl w:val="1"/>
              <w:rPr>
                <w:rFonts w:ascii="Arial" w:hAnsi="Arial" w:cs="Arial"/>
                <w:b/>
                <w:sz w:val="64"/>
                <w:szCs w:val="64"/>
              </w:rPr>
            </w:pPr>
            <w:r w:rsidRPr="00440196">
              <w:rPr>
                <w:rFonts w:ascii="Arial" w:hAnsi="Arial" w:cs="Arial"/>
                <w:b/>
                <w:sz w:val="64"/>
                <w:szCs w:val="64"/>
              </w:rPr>
              <w:t>BES</w:t>
            </w:r>
          </w:p>
        </w:tc>
      </w:tr>
      <w:tr w:rsidR="00204AD7" w:rsidRPr="00440196" w14:paraId="42185D50" w14:textId="77777777" w:rsidTr="001238FA">
        <w:trPr>
          <w:cantSplit/>
          <w:trHeight w:val="282"/>
          <w:jc w:val="right"/>
        </w:trPr>
        <w:tc>
          <w:tcPr>
            <w:tcW w:w="1526" w:type="dxa"/>
            <w:tcBorders>
              <w:bottom w:val="single" w:sz="2" w:space="0" w:color="auto"/>
            </w:tcBorders>
          </w:tcPr>
          <w:p w14:paraId="6C2ACBDE" w14:textId="77777777" w:rsidR="00204AD7" w:rsidRPr="00440196" w:rsidRDefault="00204AD7" w:rsidP="001238FA">
            <w:pPr>
              <w:rPr>
                <w:noProof/>
              </w:rPr>
            </w:pPr>
          </w:p>
        </w:tc>
        <w:tc>
          <w:tcPr>
            <w:tcW w:w="5953" w:type="dxa"/>
            <w:gridSpan w:val="6"/>
            <w:tcBorders>
              <w:bottom w:val="single" w:sz="2" w:space="0" w:color="auto"/>
            </w:tcBorders>
          </w:tcPr>
          <w:p w14:paraId="40DBE6B4" w14:textId="77777777" w:rsidR="00204AD7" w:rsidRPr="00440196" w:rsidRDefault="00204AD7" w:rsidP="001238FA">
            <w:pPr>
              <w:rPr>
                <w:rFonts w:eastAsia="Times New Roman"/>
                <w:b/>
                <w:sz w:val="24"/>
                <w:szCs w:val="24"/>
              </w:rPr>
            </w:pPr>
          </w:p>
        </w:tc>
        <w:tc>
          <w:tcPr>
            <w:tcW w:w="2233" w:type="dxa"/>
            <w:gridSpan w:val="2"/>
            <w:tcBorders>
              <w:bottom w:val="single" w:sz="2" w:space="0" w:color="auto"/>
            </w:tcBorders>
          </w:tcPr>
          <w:p w14:paraId="4F2E6653" w14:textId="342EE795" w:rsidR="00204AD7" w:rsidRPr="00440196" w:rsidRDefault="00204AD7" w:rsidP="00204AD7">
            <w:pPr>
              <w:rPr>
                <w:b/>
                <w:sz w:val="24"/>
                <w:szCs w:val="24"/>
                <w:lang w:eastAsia="zh-CN"/>
              </w:rPr>
            </w:pPr>
            <w:r w:rsidRPr="00440196">
              <w:rPr>
                <w:rFonts w:eastAsia="Times New Roman"/>
                <w:b/>
                <w:sz w:val="24"/>
                <w:szCs w:val="24"/>
              </w:rPr>
              <w:t>IPBES</w:t>
            </w:r>
            <w:r w:rsidRPr="00440196">
              <w:rPr>
                <w:rFonts w:eastAsia="Times New Roman"/>
              </w:rPr>
              <w:t>/5/</w:t>
            </w:r>
            <w:r w:rsidR="00555D37" w:rsidRPr="007831BB">
              <w:rPr>
                <w:lang w:eastAsia="zh-CN"/>
              </w:rPr>
              <w:t>15</w:t>
            </w:r>
          </w:p>
        </w:tc>
      </w:tr>
      <w:tr w:rsidR="00204AD7" w:rsidRPr="00440196" w14:paraId="4F8481A9" w14:textId="77777777" w:rsidTr="001238FA">
        <w:trPr>
          <w:cantSplit/>
          <w:trHeight w:val="1433"/>
          <w:jc w:val="right"/>
        </w:trPr>
        <w:tc>
          <w:tcPr>
            <w:tcW w:w="2009" w:type="dxa"/>
            <w:gridSpan w:val="2"/>
            <w:tcBorders>
              <w:top w:val="single" w:sz="2" w:space="0" w:color="auto"/>
              <w:bottom w:val="single" w:sz="24" w:space="0" w:color="auto"/>
            </w:tcBorders>
          </w:tcPr>
          <w:p w14:paraId="3BC093C4" w14:textId="77777777" w:rsidR="00204AD7" w:rsidRPr="00440196" w:rsidRDefault="00204AD7" w:rsidP="001238FA">
            <w:pPr>
              <w:spacing w:before="240" w:after="240"/>
              <w:rPr>
                <w:rFonts w:ascii="Arial" w:hAnsi="Arial" w:cs="Arial"/>
                <w:b/>
                <w:sz w:val="28"/>
                <w:szCs w:val="28"/>
              </w:rPr>
            </w:pPr>
            <w:r w:rsidRPr="00440196">
              <w:rPr>
                <w:rFonts w:ascii="Arial" w:hAnsi="Arial" w:cs="Arial"/>
                <w:b/>
                <w:noProof/>
                <w:sz w:val="28"/>
                <w:szCs w:val="28"/>
                <w:lang w:val="en-US"/>
              </w:rPr>
              <w:drawing>
                <wp:inline distT="0" distB="0" distL="0" distR="0" wp14:anchorId="3A334A61" wp14:editId="5CB94B72">
                  <wp:extent cx="1111406" cy="519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65F1878A" w14:textId="77777777" w:rsidR="00204AD7" w:rsidRPr="007831BB" w:rsidRDefault="00204AD7" w:rsidP="001238FA">
            <w:pPr>
              <w:widowControl w:val="0"/>
              <w:tabs>
                <w:tab w:val="left" w:pos="6480"/>
                <w:tab w:val="left" w:pos="7200"/>
              </w:tabs>
              <w:spacing w:before="120" w:after="120"/>
              <w:rPr>
                <w:rFonts w:eastAsia="Times New Roman"/>
              </w:rPr>
            </w:pPr>
            <w:r w:rsidRPr="001B4189">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7DE9A1F4" w14:textId="2C47E3FE" w:rsidR="00204AD7" w:rsidRPr="007831BB" w:rsidRDefault="00204AD7" w:rsidP="001238FA">
            <w:pPr>
              <w:widowControl w:val="0"/>
              <w:tabs>
                <w:tab w:val="left" w:pos="6480"/>
                <w:tab w:val="left" w:pos="7200"/>
              </w:tabs>
              <w:spacing w:before="120" w:after="120"/>
              <w:rPr>
                <w:lang w:eastAsia="zh-CN"/>
              </w:rPr>
            </w:pPr>
            <w:r w:rsidRPr="00440196">
              <w:rPr>
                <w:rFonts w:eastAsia="Times New Roman"/>
              </w:rPr>
              <w:t xml:space="preserve">Distr.: </w:t>
            </w:r>
            <w:r w:rsidR="006E4FFC" w:rsidRPr="00440196">
              <w:rPr>
                <w:lang w:eastAsia="zh-CN"/>
              </w:rPr>
              <w:t>General</w:t>
            </w:r>
            <w:r w:rsidRPr="00440196">
              <w:rPr>
                <w:rFonts w:eastAsia="Times New Roman"/>
              </w:rPr>
              <w:br/>
            </w:r>
            <w:r w:rsidR="00160BD4">
              <w:rPr>
                <w:lang w:eastAsia="zh-CN"/>
              </w:rPr>
              <w:t>11</w:t>
            </w:r>
            <w:r w:rsidR="00160BD4" w:rsidRPr="00440196">
              <w:rPr>
                <w:lang w:eastAsia="zh-CN"/>
              </w:rPr>
              <w:t xml:space="preserve"> </w:t>
            </w:r>
            <w:r w:rsidR="006E4FFC" w:rsidRPr="00440196">
              <w:rPr>
                <w:lang w:eastAsia="zh-CN"/>
              </w:rPr>
              <w:t>April</w:t>
            </w:r>
            <w:r w:rsidRPr="00440196">
              <w:rPr>
                <w:lang w:eastAsia="zh-CN"/>
              </w:rPr>
              <w:t xml:space="preserve"> </w:t>
            </w:r>
            <w:r w:rsidRPr="00440196">
              <w:rPr>
                <w:rFonts w:eastAsia="Times New Roman"/>
              </w:rPr>
              <w:t>201</w:t>
            </w:r>
            <w:r w:rsidRPr="00440196">
              <w:rPr>
                <w:lang w:eastAsia="zh-CN"/>
              </w:rPr>
              <w:t>7</w:t>
            </w:r>
          </w:p>
          <w:p w14:paraId="06F71244" w14:textId="77777777" w:rsidR="00204AD7" w:rsidRPr="00440196" w:rsidRDefault="00204AD7" w:rsidP="001238FA">
            <w:pPr>
              <w:spacing w:before="120" w:after="120"/>
            </w:pPr>
            <w:r w:rsidRPr="00440196">
              <w:rPr>
                <w:rFonts w:eastAsia="Times New Roman"/>
              </w:rPr>
              <w:t>Original: English</w:t>
            </w:r>
          </w:p>
        </w:tc>
      </w:tr>
    </w:tbl>
    <w:p w14:paraId="4B071892" w14:textId="77777777" w:rsidR="00F00269" w:rsidRPr="00440196" w:rsidRDefault="00F00269" w:rsidP="00F00269">
      <w:pPr>
        <w:pStyle w:val="AATitle"/>
        <w:rPr>
          <w:lang w:val="en-GB"/>
        </w:rPr>
      </w:pPr>
      <w:r w:rsidRPr="00440196">
        <w:rPr>
          <w:lang w:val="en-GB"/>
        </w:rPr>
        <w:t>Plenary of the Intergovernmental Science-Policy</w:t>
      </w:r>
      <w:r w:rsidRPr="00440196">
        <w:rPr>
          <w:lang w:val="en-GB"/>
        </w:rPr>
        <w:br/>
        <w:t>Platform on Biodiversity and Ecosystem Services</w:t>
      </w:r>
    </w:p>
    <w:p w14:paraId="6A46872E" w14:textId="5ED466CE" w:rsidR="00F00269" w:rsidRPr="00440196" w:rsidRDefault="00F00269" w:rsidP="00F00269">
      <w:pPr>
        <w:pStyle w:val="AATitle"/>
        <w:rPr>
          <w:lang w:val="en-GB"/>
        </w:rPr>
      </w:pPr>
      <w:r w:rsidRPr="00440196">
        <w:rPr>
          <w:lang w:val="en-GB"/>
        </w:rPr>
        <w:t>F</w:t>
      </w:r>
      <w:r w:rsidR="005901FC" w:rsidRPr="00440196">
        <w:rPr>
          <w:lang w:val="en-GB"/>
        </w:rPr>
        <w:t>ifth</w:t>
      </w:r>
      <w:r w:rsidRPr="00440196">
        <w:rPr>
          <w:lang w:val="en-GB"/>
        </w:rPr>
        <w:t xml:space="preserve"> session</w:t>
      </w:r>
    </w:p>
    <w:p w14:paraId="2EBCF05D" w14:textId="0E1A6A3A" w:rsidR="00F00269" w:rsidRPr="00440196" w:rsidRDefault="005901FC" w:rsidP="00F00269">
      <w:pPr>
        <w:pStyle w:val="AATitle"/>
        <w:keepNext w:val="0"/>
        <w:keepLines w:val="0"/>
        <w:rPr>
          <w:b w:val="0"/>
          <w:lang w:val="en-GB"/>
        </w:rPr>
      </w:pPr>
      <w:r w:rsidRPr="00440196">
        <w:rPr>
          <w:b w:val="0"/>
          <w:lang w:val="en-GB"/>
        </w:rPr>
        <w:t>Bonn, Germany</w:t>
      </w:r>
      <w:r w:rsidR="009730E9" w:rsidRPr="00440196">
        <w:rPr>
          <w:b w:val="0"/>
          <w:lang w:val="en-GB"/>
        </w:rPr>
        <w:t>, 7–</w:t>
      </w:r>
      <w:r w:rsidRPr="00440196">
        <w:rPr>
          <w:b w:val="0"/>
          <w:lang w:val="en-GB"/>
        </w:rPr>
        <w:t>10 March 2017</w:t>
      </w:r>
    </w:p>
    <w:p w14:paraId="215DF4E8" w14:textId="455AB2D9" w:rsidR="00F00269" w:rsidRPr="00440196" w:rsidRDefault="000250EB" w:rsidP="00F00269">
      <w:pPr>
        <w:pStyle w:val="BBTitle"/>
        <w:keepNext w:val="0"/>
        <w:keepLines w:val="0"/>
        <w:rPr>
          <w:lang w:val="en-GB"/>
        </w:rPr>
      </w:pPr>
      <w:r>
        <w:rPr>
          <w:lang w:val="en-GB"/>
        </w:rPr>
        <w:t>R</w:t>
      </w:r>
      <w:r w:rsidR="00F00269" w:rsidRPr="00440196">
        <w:rPr>
          <w:lang w:val="en-GB"/>
        </w:rPr>
        <w:t>eport of the Plenary of the Intergovernmental Science</w:t>
      </w:r>
      <w:r w:rsidR="00F00269" w:rsidRPr="00440196">
        <w:rPr>
          <w:lang w:val="en-GB"/>
        </w:rPr>
        <w:noBreakHyphen/>
        <w:t xml:space="preserve">Policy Platform on Biodiversity and Ecosystem Services on the work of its </w:t>
      </w:r>
      <w:r w:rsidR="005901FC" w:rsidRPr="00440196">
        <w:rPr>
          <w:lang w:val="en-GB"/>
        </w:rPr>
        <w:t>fifth</w:t>
      </w:r>
      <w:r w:rsidR="00F00269" w:rsidRPr="00440196">
        <w:rPr>
          <w:lang w:val="en-GB"/>
        </w:rPr>
        <w:t xml:space="preserve"> session</w:t>
      </w:r>
    </w:p>
    <w:p w14:paraId="2C8928F2" w14:textId="77777777" w:rsidR="00B47AE3" w:rsidRPr="00440196" w:rsidRDefault="00B47AE3" w:rsidP="00B47AE3">
      <w:pPr>
        <w:pStyle w:val="CH1"/>
        <w:keepNext w:val="0"/>
        <w:keepLines w:val="0"/>
        <w:rPr>
          <w:lang w:val="en-GB"/>
        </w:rPr>
      </w:pPr>
      <w:r w:rsidRPr="00440196">
        <w:rPr>
          <w:lang w:val="en-GB"/>
        </w:rPr>
        <w:tab/>
        <w:t>I.</w:t>
      </w:r>
      <w:r w:rsidRPr="00440196">
        <w:rPr>
          <w:lang w:val="en-GB"/>
        </w:rPr>
        <w:tab/>
        <w:t>Opening of the session</w:t>
      </w:r>
    </w:p>
    <w:p w14:paraId="24F49C64" w14:textId="277A4D39" w:rsidR="00B47AE3" w:rsidRPr="00440196" w:rsidRDefault="00B47AE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The </w:t>
      </w:r>
      <w:r w:rsidR="005901FC" w:rsidRPr="00440196">
        <w:rPr>
          <w:lang w:val="en-GB"/>
        </w:rPr>
        <w:t>fifth</w:t>
      </w:r>
      <w:r w:rsidRPr="00440196">
        <w:rPr>
          <w:lang w:val="en-GB"/>
        </w:rPr>
        <w:t xml:space="preserve"> session of the Plenary of the Intergovernmental Science-Policy Platform on Biodiversity and Ecosystem Services</w:t>
      </w:r>
      <w:r w:rsidR="00E63789">
        <w:rPr>
          <w:lang w:val="en-GB"/>
        </w:rPr>
        <w:t xml:space="preserve"> (IPBES)</w:t>
      </w:r>
      <w:r w:rsidRPr="00440196">
        <w:rPr>
          <w:lang w:val="en-GB"/>
        </w:rPr>
        <w:t xml:space="preserve"> was held in </w:t>
      </w:r>
      <w:r w:rsidR="005901FC" w:rsidRPr="00440196">
        <w:rPr>
          <w:lang w:val="en-GB"/>
        </w:rPr>
        <w:t xml:space="preserve">Bonn, Germany, </w:t>
      </w:r>
      <w:r w:rsidRPr="00440196">
        <w:rPr>
          <w:lang w:val="en-GB"/>
        </w:rPr>
        <w:t xml:space="preserve">from </w:t>
      </w:r>
      <w:r w:rsidR="005901FC" w:rsidRPr="00440196">
        <w:rPr>
          <w:lang w:val="en-GB"/>
        </w:rPr>
        <w:t>7</w:t>
      </w:r>
      <w:r w:rsidRPr="00440196">
        <w:rPr>
          <w:lang w:val="en-GB"/>
        </w:rPr>
        <w:t xml:space="preserve"> to </w:t>
      </w:r>
      <w:r w:rsidR="005901FC" w:rsidRPr="00440196">
        <w:rPr>
          <w:lang w:val="en-GB"/>
        </w:rPr>
        <w:t>10 March 2017</w:t>
      </w:r>
      <w:r w:rsidRPr="00440196">
        <w:rPr>
          <w:lang w:val="en-GB"/>
        </w:rPr>
        <w:t>.</w:t>
      </w:r>
      <w:r w:rsidR="008A1C6D">
        <w:rPr>
          <w:lang w:val="en-GB"/>
        </w:rPr>
        <w:t xml:space="preserve"> Regional consultation meetings were held on 6 March 2017 as well as in the morning of each day during the session. </w:t>
      </w:r>
    </w:p>
    <w:p w14:paraId="7C1B0C25" w14:textId="383C4F8B" w:rsidR="000C6468" w:rsidRPr="00440196" w:rsidRDefault="00B47AE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The session was opened at 10 a.m. on </w:t>
      </w:r>
      <w:r w:rsidR="000C6468" w:rsidRPr="00440196">
        <w:rPr>
          <w:lang w:val="en-GB"/>
        </w:rPr>
        <w:t>7 March 2017</w:t>
      </w:r>
      <w:r w:rsidRPr="00440196">
        <w:rPr>
          <w:lang w:val="en-GB"/>
        </w:rPr>
        <w:t xml:space="preserve"> b</w:t>
      </w:r>
      <w:r w:rsidR="00B743A5" w:rsidRPr="00440196">
        <w:rPr>
          <w:lang w:val="en-GB"/>
        </w:rPr>
        <w:t xml:space="preserve">y </w:t>
      </w:r>
      <w:r w:rsidR="00B743A5" w:rsidRPr="004178FF">
        <w:rPr>
          <w:lang w:val="en-GB"/>
        </w:rPr>
        <w:t xml:space="preserve">the Chair of </w:t>
      </w:r>
      <w:r w:rsidR="00E63789" w:rsidRPr="004178FF">
        <w:rPr>
          <w:lang w:val="en-GB"/>
        </w:rPr>
        <w:t>IPBES</w:t>
      </w:r>
      <w:r w:rsidR="00B743A5" w:rsidRPr="004178FF">
        <w:rPr>
          <w:lang w:val="en-GB"/>
        </w:rPr>
        <w:t xml:space="preserve">, </w:t>
      </w:r>
      <w:proofErr w:type="spellStart"/>
      <w:r w:rsidR="000C6468" w:rsidRPr="00160BD4">
        <w:rPr>
          <w:lang w:val="en-GB"/>
        </w:rPr>
        <w:t>Mr.</w:t>
      </w:r>
      <w:proofErr w:type="spellEnd"/>
      <w:r w:rsidR="000C6468" w:rsidRPr="00160BD4">
        <w:rPr>
          <w:lang w:val="en-GB"/>
        </w:rPr>
        <w:t xml:space="preserve"> Robert </w:t>
      </w:r>
      <w:r w:rsidR="000250EB" w:rsidRPr="00160BD4">
        <w:rPr>
          <w:lang w:val="en-GB"/>
        </w:rPr>
        <w:t xml:space="preserve">T. </w:t>
      </w:r>
      <w:r w:rsidR="000C6468" w:rsidRPr="00160BD4">
        <w:rPr>
          <w:lang w:val="en-GB"/>
        </w:rPr>
        <w:t>Watson</w:t>
      </w:r>
      <w:r w:rsidR="00D05220" w:rsidRPr="004178FF">
        <w:rPr>
          <w:lang w:val="en-GB"/>
        </w:rPr>
        <w:t>, with the viewing of a video presentation on the role of</w:t>
      </w:r>
      <w:r w:rsidR="00200A18" w:rsidRPr="004178FF">
        <w:rPr>
          <w:lang w:val="en-GB"/>
        </w:rPr>
        <w:t xml:space="preserve"> IPBES</w:t>
      </w:r>
      <w:r w:rsidR="007C2E55" w:rsidRPr="004178FF">
        <w:rPr>
          <w:lang w:val="en-GB"/>
        </w:rPr>
        <w:t xml:space="preserve">, its achievements </w:t>
      </w:r>
      <w:r w:rsidR="00200A18" w:rsidRPr="004178FF">
        <w:rPr>
          <w:lang w:val="en-GB"/>
        </w:rPr>
        <w:t>to date</w:t>
      </w:r>
      <w:r w:rsidR="007C2E55" w:rsidRPr="004178FF">
        <w:rPr>
          <w:lang w:val="en-GB"/>
        </w:rPr>
        <w:t xml:space="preserve"> and potential next steps</w:t>
      </w:r>
      <w:r w:rsidRPr="004178FF">
        <w:rPr>
          <w:lang w:val="en-GB"/>
        </w:rPr>
        <w:t xml:space="preserve">. </w:t>
      </w:r>
      <w:r w:rsidR="00DE2B4C" w:rsidRPr="004178FF">
        <w:rPr>
          <w:lang w:val="en-GB"/>
        </w:rPr>
        <w:t>Opening</w:t>
      </w:r>
      <w:r w:rsidRPr="004178FF">
        <w:rPr>
          <w:lang w:val="en-GB"/>
        </w:rPr>
        <w:t xml:space="preserve"> remarks were made</w:t>
      </w:r>
      <w:r w:rsidRPr="00440196">
        <w:rPr>
          <w:lang w:val="en-GB"/>
        </w:rPr>
        <w:t xml:space="preserve"> by </w:t>
      </w:r>
      <w:proofErr w:type="spellStart"/>
      <w:r w:rsidRPr="00440196">
        <w:rPr>
          <w:lang w:val="en-GB"/>
        </w:rPr>
        <w:t>Mr.</w:t>
      </w:r>
      <w:proofErr w:type="spellEnd"/>
      <w:r w:rsidRPr="00440196">
        <w:rPr>
          <w:lang w:val="en-GB"/>
        </w:rPr>
        <w:t xml:space="preserve"> </w:t>
      </w:r>
      <w:r w:rsidR="000C6468" w:rsidRPr="00440196">
        <w:rPr>
          <w:lang w:val="en-GB"/>
        </w:rPr>
        <w:t xml:space="preserve">Watson; </w:t>
      </w:r>
      <w:proofErr w:type="spellStart"/>
      <w:r w:rsidRPr="00440196">
        <w:rPr>
          <w:lang w:val="en-GB"/>
        </w:rPr>
        <w:t>Ms.</w:t>
      </w:r>
      <w:proofErr w:type="spellEnd"/>
      <w:r w:rsidR="005A4A3A" w:rsidRPr="00440196">
        <w:rPr>
          <w:lang w:val="en-GB"/>
        </w:rPr>
        <w:t> </w:t>
      </w:r>
      <w:r w:rsidRPr="00440196">
        <w:rPr>
          <w:lang w:val="en-GB"/>
        </w:rPr>
        <w:t xml:space="preserve">Anne </w:t>
      </w:r>
      <w:proofErr w:type="spellStart"/>
      <w:r w:rsidRPr="00440196">
        <w:rPr>
          <w:lang w:val="en-GB"/>
        </w:rPr>
        <w:t>Larigauderie</w:t>
      </w:r>
      <w:proofErr w:type="spellEnd"/>
      <w:r w:rsidRPr="00440196">
        <w:rPr>
          <w:lang w:val="en-GB"/>
        </w:rPr>
        <w:t xml:space="preserve">, </w:t>
      </w:r>
      <w:r w:rsidR="00200A18">
        <w:rPr>
          <w:lang w:val="en-GB"/>
        </w:rPr>
        <w:t xml:space="preserve">IPBES </w:t>
      </w:r>
      <w:r w:rsidRPr="00440196">
        <w:rPr>
          <w:lang w:val="en-GB"/>
        </w:rPr>
        <w:t>Executive Secretary</w:t>
      </w:r>
      <w:r w:rsidR="000C6468" w:rsidRPr="00440196">
        <w:rPr>
          <w:lang w:val="en-GB"/>
        </w:rPr>
        <w:t xml:space="preserve">; </w:t>
      </w:r>
      <w:proofErr w:type="spellStart"/>
      <w:r w:rsidR="000C6468" w:rsidRPr="00440196">
        <w:rPr>
          <w:lang w:val="en-GB"/>
        </w:rPr>
        <w:t>Mr.</w:t>
      </w:r>
      <w:proofErr w:type="spellEnd"/>
      <w:r w:rsidR="000C6468" w:rsidRPr="00440196">
        <w:rPr>
          <w:lang w:val="en-GB"/>
        </w:rPr>
        <w:t xml:space="preserve"> </w:t>
      </w:r>
      <w:proofErr w:type="spellStart"/>
      <w:r w:rsidR="000C6468" w:rsidRPr="00440196">
        <w:rPr>
          <w:lang w:val="en-GB"/>
        </w:rPr>
        <w:t>Edoardo</w:t>
      </w:r>
      <w:proofErr w:type="spellEnd"/>
      <w:r w:rsidR="000C6468" w:rsidRPr="00440196">
        <w:rPr>
          <w:lang w:val="en-GB"/>
        </w:rPr>
        <w:t xml:space="preserve"> </w:t>
      </w:r>
      <w:proofErr w:type="spellStart"/>
      <w:r w:rsidR="000C6468" w:rsidRPr="00440196">
        <w:rPr>
          <w:lang w:val="en-GB"/>
        </w:rPr>
        <w:t>Zandri</w:t>
      </w:r>
      <w:proofErr w:type="spellEnd"/>
      <w:r w:rsidR="000C6468" w:rsidRPr="00440196">
        <w:rPr>
          <w:lang w:val="en-GB"/>
        </w:rPr>
        <w:t xml:space="preserve">, Chief, Scientific Assessment Branch, United Nations Environment Programme (UNEP); </w:t>
      </w:r>
      <w:proofErr w:type="spellStart"/>
      <w:r w:rsidR="000C6468" w:rsidRPr="00440196">
        <w:rPr>
          <w:lang w:val="en-GB"/>
        </w:rPr>
        <w:t>Ms.</w:t>
      </w:r>
      <w:proofErr w:type="spellEnd"/>
      <w:r w:rsidR="000C6468" w:rsidRPr="00440196">
        <w:rPr>
          <w:lang w:val="en-GB"/>
        </w:rPr>
        <w:t xml:space="preserve"> Chr</w:t>
      </w:r>
      <w:r w:rsidR="00243F30" w:rsidRPr="00440196">
        <w:rPr>
          <w:lang w:val="en-GB"/>
        </w:rPr>
        <w:t>istiane Paulus, Deputy Director</w:t>
      </w:r>
      <w:r w:rsidR="00243F30" w:rsidRPr="00440196">
        <w:rPr>
          <w:lang w:val="en-GB"/>
        </w:rPr>
        <w:noBreakHyphen/>
      </w:r>
      <w:r w:rsidR="000C6468" w:rsidRPr="00440196">
        <w:rPr>
          <w:lang w:val="en-GB"/>
        </w:rPr>
        <w:t xml:space="preserve">General for Nature Conservation and Sustainable Development, Federal Ministry for the Environment, Nature Conservation, Building and Nuclear Safety of Germany; and </w:t>
      </w:r>
      <w:proofErr w:type="spellStart"/>
      <w:r w:rsidR="000C6468" w:rsidRPr="00440196">
        <w:rPr>
          <w:lang w:val="en-GB"/>
        </w:rPr>
        <w:t>Mr</w:t>
      </w:r>
      <w:bookmarkStart w:id="0" w:name="_GoBack"/>
      <w:bookmarkEnd w:id="0"/>
      <w:r w:rsidR="000C6468" w:rsidRPr="00440196">
        <w:rPr>
          <w:lang w:val="en-GB"/>
        </w:rPr>
        <w:t>.</w:t>
      </w:r>
      <w:proofErr w:type="spellEnd"/>
      <w:r w:rsidR="000C6468" w:rsidRPr="00440196">
        <w:rPr>
          <w:lang w:val="en-GB"/>
        </w:rPr>
        <w:t xml:space="preserve"> </w:t>
      </w:r>
      <w:proofErr w:type="spellStart"/>
      <w:r w:rsidR="000C6468" w:rsidRPr="00440196">
        <w:rPr>
          <w:lang w:val="en-GB"/>
        </w:rPr>
        <w:t>Reinha</w:t>
      </w:r>
      <w:r w:rsidR="00C66CAB" w:rsidRPr="00440196">
        <w:rPr>
          <w:lang w:val="en-GB"/>
        </w:rPr>
        <w:t>rd</w:t>
      </w:r>
      <w:proofErr w:type="spellEnd"/>
      <w:r w:rsidR="00C66CAB" w:rsidRPr="00440196">
        <w:rPr>
          <w:lang w:val="en-GB"/>
        </w:rPr>
        <w:t xml:space="preserve"> </w:t>
      </w:r>
      <w:proofErr w:type="spellStart"/>
      <w:r w:rsidR="00C66CAB" w:rsidRPr="00440196">
        <w:rPr>
          <w:lang w:val="en-GB"/>
        </w:rPr>
        <w:t>Limbach</w:t>
      </w:r>
      <w:proofErr w:type="spellEnd"/>
      <w:r w:rsidR="00C66CAB" w:rsidRPr="00440196">
        <w:rPr>
          <w:lang w:val="en-GB"/>
        </w:rPr>
        <w:t xml:space="preserve">, Deputy </w:t>
      </w:r>
      <w:r w:rsidR="00703F2D" w:rsidRPr="00440196">
        <w:rPr>
          <w:lang w:val="en-GB"/>
        </w:rPr>
        <w:t xml:space="preserve">Lord </w:t>
      </w:r>
      <w:r w:rsidR="00C66CAB" w:rsidRPr="00440196">
        <w:rPr>
          <w:lang w:val="en-GB"/>
        </w:rPr>
        <w:t xml:space="preserve">Mayor of </w:t>
      </w:r>
      <w:r w:rsidR="000C6468" w:rsidRPr="00440196">
        <w:rPr>
          <w:lang w:val="en-GB"/>
        </w:rPr>
        <w:t>Bonn.</w:t>
      </w:r>
      <w:r w:rsidRPr="00440196">
        <w:rPr>
          <w:lang w:val="en-GB"/>
        </w:rPr>
        <w:t xml:space="preserve"> </w:t>
      </w:r>
    </w:p>
    <w:p w14:paraId="23A4B634" w14:textId="64BF821D" w:rsidR="000C6468" w:rsidRPr="00440196" w:rsidRDefault="000C6468"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Keynote addresses were then delivered by </w:t>
      </w:r>
      <w:proofErr w:type="spellStart"/>
      <w:r w:rsidRPr="00440196">
        <w:rPr>
          <w:lang w:val="en-GB"/>
        </w:rPr>
        <w:t>M</w:t>
      </w:r>
      <w:r w:rsidR="007D4135" w:rsidRPr="00440196">
        <w:rPr>
          <w:lang w:val="en-GB"/>
        </w:rPr>
        <w:t>r</w:t>
      </w:r>
      <w:r w:rsidRPr="00440196">
        <w:rPr>
          <w:lang w:val="en-GB"/>
        </w:rPr>
        <w:t>.</w:t>
      </w:r>
      <w:proofErr w:type="spellEnd"/>
      <w:r w:rsidRPr="00440196">
        <w:rPr>
          <w:lang w:val="en-GB"/>
        </w:rPr>
        <w:t xml:space="preserve"> Richard </w:t>
      </w:r>
      <w:proofErr w:type="spellStart"/>
      <w:r w:rsidRPr="00440196">
        <w:rPr>
          <w:lang w:val="en-GB"/>
        </w:rPr>
        <w:t>Kinley</w:t>
      </w:r>
      <w:proofErr w:type="spellEnd"/>
      <w:r w:rsidRPr="00440196">
        <w:rPr>
          <w:lang w:val="en-GB"/>
        </w:rPr>
        <w:t>, Deputy Executive Secretary of the United Nations Framework Convention on Climate Change</w:t>
      </w:r>
      <w:r w:rsidR="00C82A90" w:rsidRPr="00440196">
        <w:rPr>
          <w:lang w:val="en-GB"/>
        </w:rPr>
        <w:t xml:space="preserve">, and </w:t>
      </w:r>
      <w:proofErr w:type="spellStart"/>
      <w:r w:rsidR="00C82A90" w:rsidRPr="00440196">
        <w:rPr>
          <w:lang w:val="en-GB"/>
        </w:rPr>
        <w:t>Mr.</w:t>
      </w:r>
      <w:proofErr w:type="spellEnd"/>
      <w:r w:rsidR="00C82A90" w:rsidRPr="00440196">
        <w:rPr>
          <w:lang w:val="en-GB"/>
        </w:rPr>
        <w:t xml:space="preserve"> G</w:t>
      </w:r>
      <w:r w:rsidR="001B1EB6" w:rsidRPr="00440196">
        <w:rPr>
          <w:lang w:val="en-GB"/>
        </w:rPr>
        <w:t xml:space="preserve">uy </w:t>
      </w:r>
      <w:proofErr w:type="spellStart"/>
      <w:r w:rsidR="001B1EB6" w:rsidRPr="00440196">
        <w:rPr>
          <w:lang w:val="en-GB"/>
        </w:rPr>
        <w:t>Midgley</w:t>
      </w:r>
      <w:proofErr w:type="spellEnd"/>
      <w:r w:rsidR="001B1EB6" w:rsidRPr="00440196">
        <w:rPr>
          <w:lang w:val="en-GB"/>
        </w:rPr>
        <w:t>, Professor, Stellenbos</w:t>
      </w:r>
      <w:r w:rsidR="00C82A90" w:rsidRPr="00440196">
        <w:rPr>
          <w:lang w:val="en-GB"/>
        </w:rPr>
        <w:t>ch University</w:t>
      </w:r>
      <w:r w:rsidR="007F4A98" w:rsidRPr="00440196">
        <w:rPr>
          <w:lang w:val="en-GB"/>
        </w:rPr>
        <w:t>, on the relationship between biodiversity and climate change</w:t>
      </w:r>
      <w:r w:rsidR="00C82A90" w:rsidRPr="00440196">
        <w:rPr>
          <w:lang w:val="en-GB"/>
        </w:rPr>
        <w:t>.</w:t>
      </w:r>
      <w:r w:rsidRPr="00440196">
        <w:rPr>
          <w:lang w:val="en-GB"/>
        </w:rPr>
        <w:t xml:space="preserve"> </w:t>
      </w:r>
    </w:p>
    <w:p w14:paraId="7220273E" w14:textId="2E207731" w:rsidR="00725AFD" w:rsidRPr="003B01C5" w:rsidRDefault="00E25C6C" w:rsidP="00493D36">
      <w:pPr>
        <w:pStyle w:val="Normalnumber"/>
        <w:numPr>
          <w:ilvl w:val="0"/>
          <w:numId w:val="5"/>
        </w:numPr>
        <w:tabs>
          <w:tab w:val="clear" w:pos="1247"/>
          <w:tab w:val="clear" w:pos="1814"/>
          <w:tab w:val="clear" w:pos="2381"/>
          <w:tab w:val="clear" w:pos="2948"/>
          <w:tab w:val="clear" w:pos="3515"/>
          <w:tab w:val="clear" w:pos="4082"/>
        </w:tabs>
        <w:rPr>
          <w:lang w:val="en-GB"/>
        </w:rPr>
      </w:pPr>
      <w:r w:rsidRPr="00440196">
        <w:rPr>
          <w:lang w:val="en-GB"/>
        </w:rPr>
        <w:t xml:space="preserve">In his remarks </w:t>
      </w:r>
      <w:proofErr w:type="spellStart"/>
      <w:r w:rsidR="00244D5A" w:rsidRPr="00440196">
        <w:rPr>
          <w:lang w:val="en-GB"/>
        </w:rPr>
        <w:t>Mr.</w:t>
      </w:r>
      <w:proofErr w:type="spellEnd"/>
      <w:r w:rsidR="00244D5A" w:rsidRPr="00440196">
        <w:rPr>
          <w:lang w:val="en-GB"/>
        </w:rPr>
        <w:t xml:space="preserve"> Watson said </w:t>
      </w:r>
      <w:r w:rsidR="00561998" w:rsidRPr="00440196">
        <w:rPr>
          <w:lang w:val="en-GB"/>
        </w:rPr>
        <w:t xml:space="preserve">that the goal </w:t>
      </w:r>
      <w:r w:rsidR="007C2E55">
        <w:rPr>
          <w:lang w:val="en-GB"/>
        </w:rPr>
        <w:t xml:space="preserve">of IPBES </w:t>
      </w:r>
      <w:r w:rsidR="00561998" w:rsidRPr="00440196">
        <w:rPr>
          <w:lang w:val="en-GB"/>
        </w:rPr>
        <w:t xml:space="preserve">was to strengthen the science-policy interface and that </w:t>
      </w:r>
      <w:r w:rsidR="007C2E55">
        <w:rPr>
          <w:lang w:val="en-GB"/>
        </w:rPr>
        <w:t>a major</w:t>
      </w:r>
      <w:r w:rsidR="007C2E55" w:rsidRPr="00440196">
        <w:rPr>
          <w:lang w:val="en-GB"/>
        </w:rPr>
        <w:t xml:space="preserve"> </w:t>
      </w:r>
      <w:r w:rsidR="00561998" w:rsidRPr="00440196">
        <w:rPr>
          <w:lang w:val="en-GB"/>
        </w:rPr>
        <w:t xml:space="preserve">challenge in achieving </w:t>
      </w:r>
      <w:r w:rsidR="00E832C0" w:rsidRPr="00440196">
        <w:rPr>
          <w:lang w:val="en-GB"/>
        </w:rPr>
        <w:t>that goal</w:t>
      </w:r>
      <w:r w:rsidR="00561998" w:rsidRPr="00440196">
        <w:rPr>
          <w:lang w:val="en-GB"/>
        </w:rPr>
        <w:t xml:space="preserve"> was to convince decision makers in all spheres that the loss of biodiversity posed as great a threat to human well-being as did climate change</w:t>
      </w:r>
      <w:r w:rsidR="00E143EB" w:rsidRPr="00440196">
        <w:rPr>
          <w:lang w:val="en-GB"/>
        </w:rPr>
        <w:t>.</w:t>
      </w:r>
      <w:r w:rsidR="00E832C0" w:rsidRPr="00440196">
        <w:rPr>
          <w:lang w:val="en-GB"/>
        </w:rPr>
        <w:t xml:space="preserve"> </w:t>
      </w:r>
      <w:r w:rsidR="007C2E55">
        <w:rPr>
          <w:lang w:val="en-GB"/>
        </w:rPr>
        <w:t>IPBES</w:t>
      </w:r>
      <w:r w:rsidR="00E832C0" w:rsidRPr="00440196">
        <w:rPr>
          <w:lang w:val="en-GB"/>
        </w:rPr>
        <w:t xml:space="preserve"> had already made significant progress in strengthening the science-policy interface through its capacity-building activities and the </w:t>
      </w:r>
      <w:r w:rsidR="00493D36">
        <w:rPr>
          <w:lang w:val="en-GB"/>
        </w:rPr>
        <w:t>approval</w:t>
      </w:r>
      <w:r w:rsidR="00493D36" w:rsidRPr="00440196">
        <w:rPr>
          <w:lang w:val="en-GB"/>
        </w:rPr>
        <w:t xml:space="preserve"> </w:t>
      </w:r>
      <w:r w:rsidR="00E832C0" w:rsidRPr="00440196">
        <w:rPr>
          <w:lang w:val="en-GB"/>
        </w:rPr>
        <w:t>of its first two major assessments. The endorsement and use of the</w:t>
      </w:r>
      <w:r w:rsidR="00493D36">
        <w:rPr>
          <w:lang w:val="en-GB"/>
        </w:rPr>
        <w:t xml:space="preserve"> key messages of the</w:t>
      </w:r>
      <w:r w:rsidR="00E832C0" w:rsidRPr="00440196">
        <w:rPr>
          <w:lang w:val="en-GB"/>
        </w:rPr>
        <w:t xml:space="preserve"> assessment on pollination</w:t>
      </w:r>
      <w:r w:rsidR="00493D36">
        <w:rPr>
          <w:lang w:val="en-GB"/>
        </w:rPr>
        <w:t xml:space="preserve">, </w:t>
      </w:r>
      <w:r w:rsidR="00E832C0" w:rsidRPr="00440196">
        <w:rPr>
          <w:lang w:val="en-GB"/>
        </w:rPr>
        <w:t>pollinators</w:t>
      </w:r>
      <w:r w:rsidR="00493D36" w:rsidRPr="00493D36">
        <w:rPr>
          <w:lang w:val="en-GB"/>
        </w:rPr>
        <w:t xml:space="preserve"> and food production</w:t>
      </w:r>
      <w:r w:rsidR="00E832C0" w:rsidRPr="00440196">
        <w:rPr>
          <w:lang w:val="en-GB"/>
        </w:rPr>
        <w:t xml:space="preserve"> by the Conference of the Parties to the Convention on Biological Diversity at its thirteenth meeting, as well as the establishment of the coalition of the willing to protect pollinators, showed that </w:t>
      </w:r>
      <w:r w:rsidR="00493D36">
        <w:rPr>
          <w:lang w:val="en-GB"/>
        </w:rPr>
        <w:t>IPBES</w:t>
      </w:r>
      <w:r w:rsidR="00E832C0" w:rsidRPr="00440196">
        <w:rPr>
          <w:lang w:val="en-GB"/>
        </w:rPr>
        <w:t xml:space="preserve"> had an imp</w:t>
      </w:r>
      <w:r w:rsidR="00AB53DC" w:rsidRPr="00440196">
        <w:rPr>
          <w:lang w:val="en-GB"/>
        </w:rPr>
        <w:t>o</w:t>
      </w:r>
      <w:r w:rsidR="00E832C0" w:rsidRPr="00440196">
        <w:rPr>
          <w:lang w:val="en-GB"/>
        </w:rPr>
        <w:t>rtant role to play in provid</w:t>
      </w:r>
      <w:r w:rsidR="00DE5C6A" w:rsidRPr="00440196">
        <w:rPr>
          <w:lang w:val="en-GB"/>
        </w:rPr>
        <w:t>i</w:t>
      </w:r>
      <w:r w:rsidR="00E832C0" w:rsidRPr="00440196">
        <w:rPr>
          <w:lang w:val="en-GB"/>
        </w:rPr>
        <w:t xml:space="preserve">ng transparent and credible </w:t>
      </w:r>
      <w:r w:rsidR="00085F45" w:rsidRPr="00440196">
        <w:rPr>
          <w:lang w:val="en-GB"/>
        </w:rPr>
        <w:t>knowledge</w:t>
      </w:r>
      <w:r w:rsidR="00E832C0" w:rsidRPr="00440196">
        <w:rPr>
          <w:lang w:val="en-GB"/>
        </w:rPr>
        <w:t xml:space="preserve"> and evidence. Other assessments under way</w:t>
      </w:r>
      <w:r w:rsidR="00AB53DC" w:rsidRPr="00440196">
        <w:rPr>
          <w:lang w:val="en-GB"/>
        </w:rPr>
        <w:t xml:space="preserve"> would further strengthen the science-policy interface by assessing interactions with climate change and progress towards the achievement of the Aichi </w:t>
      </w:r>
      <w:r w:rsidR="00AD7845">
        <w:rPr>
          <w:lang w:val="en-GB"/>
        </w:rPr>
        <w:t xml:space="preserve">Biodiversity </w:t>
      </w:r>
      <w:r w:rsidR="00AB53DC" w:rsidRPr="00440196">
        <w:rPr>
          <w:lang w:val="en-GB"/>
        </w:rPr>
        <w:t>Targets and setting trends reg</w:t>
      </w:r>
      <w:r w:rsidR="00F51565" w:rsidRPr="00440196">
        <w:rPr>
          <w:lang w:val="en-GB"/>
        </w:rPr>
        <w:t>a</w:t>
      </w:r>
      <w:r w:rsidR="00AB53DC" w:rsidRPr="00440196">
        <w:rPr>
          <w:lang w:val="en-GB"/>
        </w:rPr>
        <w:t>rding the viability of the Sustainable Development Goals relating to food, water and energy security and human health.</w:t>
      </w:r>
      <w:r w:rsidR="00F51565" w:rsidRPr="00440196">
        <w:rPr>
          <w:lang w:val="en-GB"/>
        </w:rPr>
        <w:t xml:space="preserve"> They would </w:t>
      </w:r>
      <w:r w:rsidR="00810546" w:rsidRPr="00440196">
        <w:rPr>
          <w:lang w:val="en-GB"/>
        </w:rPr>
        <w:t xml:space="preserve">also </w:t>
      </w:r>
      <w:r w:rsidR="00F51565" w:rsidRPr="00440196">
        <w:rPr>
          <w:lang w:val="en-GB"/>
        </w:rPr>
        <w:t xml:space="preserve">show what must be made clear to decision makers: that a failure to address climate change and biodiversity </w:t>
      </w:r>
      <w:r w:rsidR="00FE0866">
        <w:rPr>
          <w:lang w:val="en-GB"/>
        </w:rPr>
        <w:t xml:space="preserve">together </w:t>
      </w:r>
      <w:r w:rsidR="00F51565" w:rsidRPr="00440196">
        <w:rPr>
          <w:lang w:val="en-GB"/>
        </w:rPr>
        <w:t xml:space="preserve">would make the Sustainable Development Goals impossible to achieve. While </w:t>
      </w:r>
      <w:r w:rsidR="00493D36">
        <w:rPr>
          <w:lang w:val="en-GB"/>
        </w:rPr>
        <w:t>IPBES’</w:t>
      </w:r>
      <w:r w:rsidR="00F51565" w:rsidRPr="00440196">
        <w:rPr>
          <w:lang w:val="en-GB"/>
        </w:rPr>
        <w:t xml:space="preserve"> </w:t>
      </w:r>
      <w:r w:rsidR="00C808B0" w:rsidRPr="00440196">
        <w:rPr>
          <w:lang w:val="en-GB"/>
        </w:rPr>
        <w:t xml:space="preserve">first published </w:t>
      </w:r>
      <w:r w:rsidR="00F51565" w:rsidRPr="00440196">
        <w:rPr>
          <w:lang w:val="en-GB"/>
        </w:rPr>
        <w:t>assessments were having the desired impact</w:t>
      </w:r>
      <w:r w:rsidR="00493D36">
        <w:rPr>
          <w:lang w:val="en-GB"/>
        </w:rPr>
        <w:t>,</w:t>
      </w:r>
      <w:r w:rsidR="00F51565" w:rsidRPr="00440196">
        <w:rPr>
          <w:lang w:val="en-GB"/>
        </w:rPr>
        <w:t xml:space="preserve"> </w:t>
      </w:r>
      <w:r w:rsidR="00FE0866">
        <w:rPr>
          <w:lang w:val="en-GB"/>
        </w:rPr>
        <w:t xml:space="preserve">their </w:t>
      </w:r>
      <w:r w:rsidR="00493D36">
        <w:rPr>
          <w:lang w:val="en-GB"/>
        </w:rPr>
        <w:t xml:space="preserve">drafts </w:t>
      </w:r>
      <w:r w:rsidR="00F51565" w:rsidRPr="00440196">
        <w:rPr>
          <w:lang w:val="en-GB"/>
        </w:rPr>
        <w:t xml:space="preserve">had been reviewed by only a few Governments, and it was critical for more </w:t>
      </w:r>
      <w:r w:rsidR="00FE0866">
        <w:rPr>
          <w:lang w:val="en-GB"/>
        </w:rPr>
        <w:t>m</w:t>
      </w:r>
      <w:r w:rsidR="00FE0866" w:rsidRPr="00440196">
        <w:rPr>
          <w:lang w:val="en-GB"/>
        </w:rPr>
        <w:t>ember</w:t>
      </w:r>
      <w:r w:rsidR="00FE0866">
        <w:rPr>
          <w:lang w:val="en-GB"/>
        </w:rPr>
        <w:t>s</w:t>
      </w:r>
      <w:r w:rsidR="00FE0866" w:rsidRPr="00440196">
        <w:rPr>
          <w:lang w:val="en-GB"/>
        </w:rPr>
        <w:t xml:space="preserve"> </w:t>
      </w:r>
      <w:r w:rsidR="00F51565" w:rsidRPr="00440196">
        <w:rPr>
          <w:lang w:val="en-GB"/>
        </w:rPr>
        <w:t>to become more deeply involved</w:t>
      </w:r>
      <w:r w:rsidR="008F3E46" w:rsidRPr="00440196">
        <w:rPr>
          <w:lang w:val="en-GB"/>
        </w:rPr>
        <w:t xml:space="preserve"> in the preparation of future assessments</w:t>
      </w:r>
      <w:r w:rsidR="00F51565" w:rsidRPr="00440196">
        <w:rPr>
          <w:lang w:val="en-GB"/>
        </w:rPr>
        <w:t xml:space="preserve">. </w:t>
      </w:r>
      <w:r w:rsidR="00237C63">
        <w:rPr>
          <w:lang w:val="en-GB"/>
        </w:rPr>
        <w:t>In o</w:t>
      </w:r>
      <w:r w:rsidR="00F51565" w:rsidRPr="00440196">
        <w:rPr>
          <w:lang w:val="en-GB"/>
        </w:rPr>
        <w:t>utlining the issues on the agenda for the current meeting, h</w:t>
      </w:r>
      <w:r w:rsidR="0088498A" w:rsidRPr="00440196">
        <w:rPr>
          <w:lang w:val="en-GB"/>
        </w:rPr>
        <w:t>e expressed confidence that the</w:t>
      </w:r>
      <w:r w:rsidR="00F51565" w:rsidRPr="00440196">
        <w:rPr>
          <w:lang w:val="en-GB"/>
        </w:rPr>
        <w:t xml:space="preserve"> members </w:t>
      </w:r>
      <w:r w:rsidR="0097410F" w:rsidRPr="003B01C5">
        <w:rPr>
          <w:lang w:val="en-GB"/>
        </w:rPr>
        <w:t xml:space="preserve">of </w:t>
      </w:r>
      <w:r w:rsidR="00493D36" w:rsidRPr="00160BD4">
        <w:rPr>
          <w:lang w:val="en-GB"/>
        </w:rPr>
        <w:t>IPBES</w:t>
      </w:r>
      <w:r w:rsidR="00546539" w:rsidRPr="00160BD4">
        <w:rPr>
          <w:b/>
          <w:lang w:val="en-GB"/>
        </w:rPr>
        <w:t xml:space="preserve"> </w:t>
      </w:r>
      <w:r w:rsidR="00F51565" w:rsidRPr="003B01C5">
        <w:rPr>
          <w:lang w:val="en-GB"/>
        </w:rPr>
        <w:t>would address them in the congenial manner that had characterized their work to date.</w:t>
      </w:r>
      <w:r w:rsidR="001B4189" w:rsidRPr="003B01C5">
        <w:rPr>
          <w:lang w:val="en-GB"/>
        </w:rPr>
        <w:t xml:space="preserve"> </w:t>
      </w:r>
    </w:p>
    <w:p w14:paraId="568E7234" w14:textId="675095D0" w:rsidR="00725AFD" w:rsidRPr="00440196" w:rsidRDefault="00BA7883" w:rsidP="00493D36">
      <w:pPr>
        <w:pStyle w:val="Normalnumber"/>
        <w:numPr>
          <w:ilvl w:val="0"/>
          <w:numId w:val="5"/>
        </w:numPr>
        <w:tabs>
          <w:tab w:val="clear" w:pos="1247"/>
          <w:tab w:val="clear" w:pos="1814"/>
          <w:tab w:val="clear" w:pos="2381"/>
          <w:tab w:val="clear" w:pos="2948"/>
          <w:tab w:val="clear" w:pos="3515"/>
          <w:tab w:val="clear" w:pos="4082"/>
        </w:tabs>
        <w:rPr>
          <w:lang w:val="en-GB"/>
        </w:rPr>
      </w:pPr>
      <w:r w:rsidRPr="00440196">
        <w:rPr>
          <w:lang w:val="en-GB"/>
        </w:rPr>
        <w:t>Noting that the current mee</w:t>
      </w:r>
      <w:r w:rsidR="00802B9E" w:rsidRPr="00440196">
        <w:rPr>
          <w:lang w:val="en-GB"/>
        </w:rPr>
        <w:t>ting would involve more than 645 participants from 121</w:t>
      </w:r>
      <w:r w:rsidRPr="00440196">
        <w:rPr>
          <w:lang w:val="en-GB"/>
        </w:rPr>
        <w:t xml:space="preserve"> countries, including 99 of the 126 </w:t>
      </w:r>
      <w:r w:rsidR="000C3A57">
        <w:rPr>
          <w:lang w:val="en-GB"/>
        </w:rPr>
        <w:t>m</w:t>
      </w:r>
      <w:r w:rsidRPr="00440196">
        <w:rPr>
          <w:lang w:val="en-GB"/>
        </w:rPr>
        <w:t>ember</w:t>
      </w:r>
      <w:r w:rsidR="00FE0866">
        <w:rPr>
          <w:lang w:val="en-GB"/>
        </w:rPr>
        <w:t>s</w:t>
      </w:r>
      <w:r w:rsidRPr="00440196">
        <w:rPr>
          <w:lang w:val="en-GB"/>
        </w:rPr>
        <w:t xml:space="preserve"> of </w:t>
      </w:r>
      <w:r w:rsidR="00FE0866">
        <w:rPr>
          <w:lang w:val="en-GB"/>
        </w:rPr>
        <w:t>IPBES</w:t>
      </w:r>
      <w:r w:rsidRPr="00440196">
        <w:rPr>
          <w:lang w:val="en-GB"/>
        </w:rPr>
        <w:t xml:space="preserve">, </w:t>
      </w:r>
      <w:proofErr w:type="spellStart"/>
      <w:r w:rsidRPr="00440196">
        <w:rPr>
          <w:lang w:val="en-GB"/>
        </w:rPr>
        <w:t>Ms.</w:t>
      </w:r>
      <w:proofErr w:type="spellEnd"/>
      <w:r w:rsidRPr="00440196">
        <w:rPr>
          <w:lang w:val="en-GB"/>
        </w:rPr>
        <w:t xml:space="preserve"> </w:t>
      </w:r>
      <w:proofErr w:type="spellStart"/>
      <w:r w:rsidRPr="00440196">
        <w:rPr>
          <w:lang w:val="en-GB"/>
        </w:rPr>
        <w:t>Larigauderie</w:t>
      </w:r>
      <w:proofErr w:type="spellEnd"/>
      <w:r w:rsidRPr="00440196">
        <w:rPr>
          <w:lang w:val="en-GB"/>
        </w:rPr>
        <w:t xml:space="preserve"> outlined activities that had taken place </w:t>
      </w:r>
      <w:r w:rsidRPr="00440196">
        <w:rPr>
          <w:lang w:val="en-GB"/>
        </w:rPr>
        <w:lastRenderedPageBreak/>
        <w:t xml:space="preserve">in 2016, the third year of </w:t>
      </w:r>
      <w:r w:rsidR="00493D36">
        <w:rPr>
          <w:lang w:val="en-GB"/>
        </w:rPr>
        <w:t>IPBES’</w:t>
      </w:r>
      <w:r w:rsidRPr="00440196">
        <w:rPr>
          <w:lang w:val="en-GB"/>
        </w:rPr>
        <w:t xml:space="preserve"> </w:t>
      </w:r>
      <w:r w:rsidR="000C3A57">
        <w:rPr>
          <w:lang w:val="en-GB"/>
        </w:rPr>
        <w:t>first</w:t>
      </w:r>
      <w:r w:rsidR="000C3A57" w:rsidRPr="00440196">
        <w:rPr>
          <w:lang w:val="en-GB"/>
        </w:rPr>
        <w:t xml:space="preserve"> </w:t>
      </w:r>
      <w:r w:rsidRPr="00440196">
        <w:rPr>
          <w:lang w:val="en-GB"/>
        </w:rPr>
        <w:t>work programme. More than 20 meetings had been held around the world, and more than 900 experts were actively contributing time and ideas representing a</w:t>
      </w:r>
      <w:r w:rsidR="000C3A57">
        <w:rPr>
          <w:lang w:val="en-GB"/>
        </w:rPr>
        <w:t>n in-kind</w:t>
      </w:r>
      <w:r w:rsidRPr="00440196">
        <w:rPr>
          <w:lang w:val="en-GB"/>
        </w:rPr>
        <w:t xml:space="preserve"> contribution of at least $14 million since 2014. Work on the global assessment to be released in 2019, in time for the review of the Aichi Targets under the Convention on Biological Diversity, had begun; good progress </w:t>
      </w:r>
      <w:r w:rsidR="00E94B1F" w:rsidRPr="00440196">
        <w:rPr>
          <w:lang w:val="en-GB"/>
        </w:rPr>
        <w:t>had been</w:t>
      </w:r>
      <w:r w:rsidRPr="00440196">
        <w:rPr>
          <w:lang w:val="en-GB"/>
        </w:rPr>
        <w:t xml:space="preserve"> made on the four regional assessments </w:t>
      </w:r>
      <w:r w:rsidR="008B0AE2" w:rsidRPr="00440196">
        <w:rPr>
          <w:lang w:val="en-GB"/>
        </w:rPr>
        <w:t>and on the</w:t>
      </w:r>
      <w:r w:rsidRPr="00440196">
        <w:rPr>
          <w:lang w:val="en-GB"/>
        </w:rPr>
        <w:t xml:space="preserve"> land degradation</w:t>
      </w:r>
      <w:r w:rsidR="008B0AE2" w:rsidRPr="00440196">
        <w:rPr>
          <w:lang w:val="en-GB"/>
        </w:rPr>
        <w:t xml:space="preserve"> and restoration assessment</w:t>
      </w:r>
      <w:r w:rsidRPr="00440196">
        <w:rPr>
          <w:lang w:val="en-GB"/>
        </w:rPr>
        <w:t xml:space="preserve">; </w:t>
      </w:r>
      <w:r w:rsidR="008B0AE2" w:rsidRPr="00440196">
        <w:rPr>
          <w:lang w:val="en-GB"/>
        </w:rPr>
        <w:t xml:space="preserve">innovative </w:t>
      </w:r>
      <w:r w:rsidRPr="00440196">
        <w:rPr>
          <w:lang w:val="en-GB"/>
        </w:rPr>
        <w:t xml:space="preserve">work on </w:t>
      </w:r>
      <w:r w:rsidR="00493D36" w:rsidRPr="00493D36">
        <w:rPr>
          <w:lang w:val="en-GB"/>
        </w:rPr>
        <w:t>scenario analysis and modelling of biodiversity and ecosystem services</w:t>
      </w:r>
      <w:r w:rsidRPr="00440196">
        <w:rPr>
          <w:lang w:val="en-GB"/>
        </w:rPr>
        <w:t xml:space="preserve"> and </w:t>
      </w:r>
      <w:r w:rsidR="00493D36">
        <w:rPr>
          <w:lang w:val="en-GB"/>
        </w:rPr>
        <w:t xml:space="preserve">the diverse conceptualization of multiple </w:t>
      </w:r>
      <w:r w:rsidRPr="00440196">
        <w:rPr>
          <w:lang w:val="en-GB"/>
        </w:rPr>
        <w:t xml:space="preserve">values </w:t>
      </w:r>
      <w:r w:rsidR="00947AEA" w:rsidRPr="00440196">
        <w:rPr>
          <w:lang w:val="en-GB"/>
        </w:rPr>
        <w:t>was continuing</w:t>
      </w:r>
      <w:r w:rsidRPr="00440196">
        <w:rPr>
          <w:lang w:val="en-GB"/>
        </w:rPr>
        <w:t xml:space="preserve">; and the assessments of pollination and </w:t>
      </w:r>
      <w:r w:rsidR="000C3A57">
        <w:rPr>
          <w:lang w:val="en-GB"/>
        </w:rPr>
        <w:t xml:space="preserve">of </w:t>
      </w:r>
      <w:r w:rsidRPr="00440196">
        <w:rPr>
          <w:lang w:val="en-GB"/>
        </w:rPr>
        <w:t>scenarios</w:t>
      </w:r>
      <w:r w:rsidR="00493D36">
        <w:rPr>
          <w:lang w:val="en-GB"/>
        </w:rPr>
        <w:t xml:space="preserve"> and models</w:t>
      </w:r>
      <w:r w:rsidRPr="00440196">
        <w:rPr>
          <w:lang w:val="en-GB"/>
        </w:rPr>
        <w:t xml:space="preserve"> were being disseminated and used by Governments, entities such as the Convention on Biological Diversity and the Food and Agriculture Organization of the United Nations</w:t>
      </w:r>
      <w:r w:rsidR="00493D36">
        <w:rPr>
          <w:lang w:val="en-GB"/>
        </w:rPr>
        <w:t xml:space="preserve"> (FAO)</w:t>
      </w:r>
      <w:r w:rsidRPr="00440196">
        <w:rPr>
          <w:lang w:val="en-GB"/>
        </w:rPr>
        <w:t xml:space="preserve"> and the scientific community, including as a basis for policy-making. New technical support units </w:t>
      </w:r>
      <w:r w:rsidR="00947AEA" w:rsidRPr="00440196">
        <w:rPr>
          <w:lang w:val="en-GB"/>
        </w:rPr>
        <w:t>had been</w:t>
      </w:r>
      <w:r w:rsidRPr="00440196">
        <w:rPr>
          <w:lang w:val="en-GB"/>
        </w:rPr>
        <w:t xml:space="preserve"> established, through in-kind support provide</w:t>
      </w:r>
      <w:r w:rsidR="006D7CC6" w:rsidRPr="00440196">
        <w:rPr>
          <w:lang w:val="en-GB"/>
        </w:rPr>
        <w:t>d</w:t>
      </w:r>
      <w:r w:rsidRPr="00440196">
        <w:rPr>
          <w:lang w:val="en-GB"/>
        </w:rPr>
        <w:t xml:space="preserve"> by the</w:t>
      </w:r>
      <w:r w:rsidR="00947AEA" w:rsidRPr="00440196">
        <w:rPr>
          <w:lang w:val="en-GB"/>
        </w:rPr>
        <w:t>ir</w:t>
      </w:r>
      <w:r w:rsidR="00ED78F0" w:rsidRPr="00440196">
        <w:rPr>
          <w:lang w:val="en-GB"/>
        </w:rPr>
        <w:t xml:space="preserve"> hosts, in Mexico and</w:t>
      </w:r>
      <w:r w:rsidRPr="00440196">
        <w:rPr>
          <w:lang w:val="en-GB"/>
        </w:rPr>
        <w:t xml:space="preserve"> the Netherlands and </w:t>
      </w:r>
      <w:r w:rsidR="00593444" w:rsidRPr="00440196">
        <w:rPr>
          <w:lang w:val="en-GB"/>
        </w:rPr>
        <w:t xml:space="preserve">at </w:t>
      </w:r>
      <w:r w:rsidRPr="00440196">
        <w:rPr>
          <w:lang w:val="en-GB"/>
        </w:rPr>
        <w:t xml:space="preserve">the </w:t>
      </w:r>
      <w:r w:rsidR="00947AEA" w:rsidRPr="00440196">
        <w:rPr>
          <w:lang w:val="en-GB"/>
        </w:rPr>
        <w:t>UNEP</w:t>
      </w:r>
      <w:r w:rsidRPr="00440196">
        <w:rPr>
          <w:lang w:val="en-GB"/>
        </w:rPr>
        <w:t xml:space="preserve"> World Conservation Monitoring Centre</w:t>
      </w:r>
      <w:r w:rsidR="00F200B0" w:rsidRPr="00440196">
        <w:rPr>
          <w:lang w:val="en-GB"/>
        </w:rPr>
        <w:t xml:space="preserve">, and since 2016 the Platform had also been receiving support from </w:t>
      </w:r>
      <w:r w:rsidR="00511EA8" w:rsidRPr="00440196">
        <w:rPr>
          <w:lang w:val="en-GB"/>
        </w:rPr>
        <w:t>the International Union for Conservation of Nature (</w:t>
      </w:r>
      <w:r w:rsidR="00F200B0" w:rsidRPr="00440196">
        <w:rPr>
          <w:lang w:val="en-GB"/>
        </w:rPr>
        <w:t>IUCN</w:t>
      </w:r>
      <w:r w:rsidR="00511EA8" w:rsidRPr="00440196">
        <w:rPr>
          <w:lang w:val="en-GB"/>
        </w:rPr>
        <w:t>)</w:t>
      </w:r>
      <w:r w:rsidR="006D7CC6" w:rsidRPr="00440196">
        <w:rPr>
          <w:lang w:val="en-GB"/>
        </w:rPr>
        <w:t xml:space="preserve">, which came in addition to technical support units established in 2014 and 2015 in </w:t>
      </w:r>
      <w:r w:rsidR="006D7CC6" w:rsidRPr="00440196">
        <w:rPr>
          <w:rFonts w:eastAsia="ヒラギノ角ゴ Pro W3"/>
          <w:color w:val="000000"/>
          <w:lang w:val="en-GB"/>
        </w:rPr>
        <w:t xml:space="preserve">South Africa, Colombia, Japan, Switzerland, Norway, the Netherlands, the Republic of Korea and at the </w:t>
      </w:r>
      <w:r w:rsidR="006D7CC6" w:rsidRPr="00440196">
        <w:rPr>
          <w:lang w:val="en-GB"/>
        </w:rPr>
        <w:t>United Nations Educational, Scientific and Cultural Organization (UNESCO)</w:t>
      </w:r>
      <w:r w:rsidR="006D7CC6" w:rsidRPr="00440196">
        <w:rPr>
          <w:rFonts w:eastAsia="ヒラギノ角ゴ Pro W3"/>
          <w:color w:val="000000"/>
          <w:lang w:val="en-GB"/>
        </w:rPr>
        <w:t xml:space="preserve">. Furthermore, </w:t>
      </w:r>
      <w:r w:rsidR="00A51C1A">
        <w:rPr>
          <w:rFonts w:eastAsia="ヒラギノ角ゴ Pro W3"/>
          <w:color w:val="000000"/>
          <w:lang w:val="en-GB"/>
        </w:rPr>
        <w:t>IPBES</w:t>
      </w:r>
      <w:r w:rsidR="00F75264" w:rsidRPr="00440196">
        <w:rPr>
          <w:lang w:val="en-GB"/>
        </w:rPr>
        <w:t xml:space="preserve"> had continued to receive support from FAO, the United Nations Development Programme, </w:t>
      </w:r>
      <w:r w:rsidR="0067265D" w:rsidRPr="00440196">
        <w:rPr>
          <w:lang w:val="en-GB"/>
        </w:rPr>
        <w:t>UNESCO</w:t>
      </w:r>
      <w:r w:rsidR="00F75264" w:rsidRPr="00440196">
        <w:rPr>
          <w:lang w:val="en-GB"/>
        </w:rPr>
        <w:t xml:space="preserve"> and UNEP</w:t>
      </w:r>
      <w:r w:rsidRPr="00440196">
        <w:rPr>
          <w:lang w:val="en-GB"/>
        </w:rPr>
        <w:t xml:space="preserve">. </w:t>
      </w:r>
      <w:r w:rsidR="00237C63">
        <w:rPr>
          <w:lang w:val="en-GB"/>
        </w:rPr>
        <w:t>In o</w:t>
      </w:r>
      <w:r w:rsidR="00C65429" w:rsidRPr="00440196">
        <w:rPr>
          <w:lang w:val="en-GB"/>
        </w:rPr>
        <w:t>utlining</w:t>
      </w:r>
      <w:r w:rsidRPr="00440196">
        <w:rPr>
          <w:lang w:val="en-GB"/>
        </w:rPr>
        <w:t xml:space="preserve"> the agenda for the current meeting she said that the Plenary would consider an approach to working with indigenous and local knowledge; terms of reference for </w:t>
      </w:r>
      <w:r w:rsidR="00A51C1A">
        <w:rPr>
          <w:lang w:val="en-GB"/>
        </w:rPr>
        <w:t>a</w:t>
      </w:r>
      <w:r w:rsidRPr="00440196">
        <w:rPr>
          <w:lang w:val="en-GB"/>
        </w:rPr>
        <w:t xml:space="preserve"> review of </w:t>
      </w:r>
      <w:r w:rsidR="00A51C1A">
        <w:rPr>
          <w:lang w:val="en-GB"/>
        </w:rPr>
        <w:t>IPBES</w:t>
      </w:r>
      <w:r w:rsidRPr="00440196">
        <w:rPr>
          <w:lang w:val="en-GB"/>
        </w:rPr>
        <w:t xml:space="preserve">; the possibility of </w:t>
      </w:r>
      <w:r w:rsidR="00A51C1A">
        <w:rPr>
          <w:lang w:val="en-GB"/>
        </w:rPr>
        <w:t xml:space="preserve">launching pending </w:t>
      </w:r>
      <w:r w:rsidRPr="00440196">
        <w:rPr>
          <w:lang w:val="en-GB"/>
        </w:rPr>
        <w:t xml:space="preserve">assessments; </w:t>
      </w:r>
      <w:r w:rsidR="00AF1E55" w:rsidRPr="00440196">
        <w:rPr>
          <w:lang w:val="en-GB"/>
        </w:rPr>
        <w:t xml:space="preserve">and </w:t>
      </w:r>
      <w:r w:rsidRPr="00440196">
        <w:rPr>
          <w:lang w:val="en-GB"/>
        </w:rPr>
        <w:t xml:space="preserve">a process for </w:t>
      </w:r>
      <w:r w:rsidR="00A51C1A">
        <w:rPr>
          <w:lang w:val="en-GB"/>
        </w:rPr>
        <w:t>developing</w:t>
      </w:r>
      <w:r w:rsidR="00A51C1A" w:rsidRPr="00440196">
        <w:rPr>
          <w:lang w:val="en-GB"/>
        </w:rPr>
        <w:t xml:space="preserve"> </w:t>
      </w:r>
      <w:r w:rsidRPr="00440196">
        <w:rPr>
          <w:lang w:val="en-GB"/>
        </w:rPr>
        <w:t xml:space="preserve">a second </w:t>
      </w:r>
      <w:r w:rsidR="00200A18">
        <w:rPr>
          <w:lang w:val="en-GB"/>
        </w:rPr>
        <w:t xml:space="preserve">IPBES </w:t>
      </w:r>
      <w:r w:rsidRPr="00440196">
        <w:rPr>
          <w:lang w:val="en-GB"/>
        </w:rPr>
        <w:t xml:space="preserve">work programme for ; as well as a prototype </w:t>
      </w:r>
      <w:r w:rsidR="00A51C1A">
        <w:rPr>
          <w:lang w:val="en-GB"/>
        </w:rPr>
        <w:t>online catalogue of</w:t>
      </w:r>
      <w:r w:rsidRPr="00440196">
        <w:rPr>
          <w:lang w:val="en-GB"/>
        </w:rPr>
        <w:t xml:space="preserve"> policy support</w:t>
      </w:r>
      <w:r w:rsidR="00A51C1A">
        <w:rPr>
          <w:lang w:val="en-GB"/>
        </w:rPr>
        <w:t xml:space="preserve"> tools and methodologies</w:t>
      </w:r>
      <w:r w:rsidRPr="00440196">
        <w:rPr>
          <w:lang w:val="en-GB"/>
        </w:rPr>
        <w:t>; a rolling plan for capacity-building; progress in a number of areas, including communication and collaboration with stakeholders. In closing she thanked the German Government for its unfailing support and wished the meeting participants a fruitful meeting.</w:t>
      </w:r>
    </w:p>
    <w:p w14:paraId="21E0FBCB" w14:textId="35934D4F" w:rsidR="00427699" w:rsidRPr="00440196" w:rsidRDefault="00427699" w:rsidP="00427699">
      <w:pPr>
        <w:pStyle w:val="Normalnumber"/>
        <w:numPr>
          <w:ilvl w:val="0"/>
          <w:numId w:val="5"/>
        </w:numPr>
        <w:tabs>
          <w:tab w:val="clear" w:pos="567"/>
        </w:tabs>
        <w:rPr>
          <w:lang w:val="en-GB"/>
        </w:rPr>
      </w:pPr>
      <w:proofErr w:type="spellStart"/>
      <w:r w:rsidRPr="00440196">
        <w:rPr>
          <w:lang w:val="en-GB"/>
        </w:rPr>
        <w:t>Mr.</w:t>
      </w:r>
      <w:proofErr w:type="spellEnd"/>
      <w:r w:rsidRPr="00440196">
        <w:rPr>
          <w:lang w:val="en-GB"/>
        </w:rPr>
        <w:t xml:space="preserve"> </w:t>
      </w:r>
      <w:proofErr w:type="spellStart"/>
      <w:r w:rsidRPr="00440196">
        <w:rPr>
          <w:lang w:val="en-GB"/>
        </w:rPr>
        <w:t>Zandri</w:t>
      </w:r>
      <w:proofErr w:type="spellEnd"/>
      <w:r w:rsidRPr="00440196">
        <w:rPr>
          <w:lang w:val="en-GB"/>
        </w:rPr>
        <w:t xml:space="preserve">, speaking on behalf of </w:t>
      </w:r>
      <w:r w:rsidR="00020B93" w:rsidRPr="00440196">
        <w:rPr>
          <w:lang w:val="en-GB"/>
        </w:rPr>
        <w:t xml:space="preserve">FAO, UNDP, UNEP and UNESCO, </w:t>
      </w:r>
      <w:r w:rsidRPr="00440196">
        <w:rPr>
          <w:lang w:val="en-GB"/>
        </w:rPr>
        <w:t xml:space="preserve">said that decisions aimed at meeting global and national commitments to conserve and sustainably use biodiversity had to be based on the best available scientific information and traditional knowledge. The four bodies for which he spoke remained committed to helping </w:t>
      </w:r>
      <w:r w:rsidR="00A51C1A">
        <w:rPr>
          <w:lang w:val="en-GB"/>
        </w:rPr>
        <w:t>IPBES</w:t>
      </w:r>
      <w:r w:rsidRPr="00440196">
        <w:rPr>
          <w:lang w:val="en-GB"/>
        </w:rPr>
        <w:t xml:space="preserve"> </w:t>
      </w:r>
      <w:r w:rsidR="00744575" w:rsidRPr="00440196">
        <w:rPr>
          <w:lang w:val="en-GB"/>
        </w:rPr>
        <w:t>to assess</w:t>
      </w:r>
      <w:r w:rsidRPr="00440196">
        <w:rPr>
          <w:lang w:val="en-GB"/>
        </w:rPr>
        <w:t xml:space="preserve"> such information. While the first deliverables of a maturing </w:t>
      </w:r>
      <w:r w:rsidR="00CF5B61">
        <w:rPr>
          <w:lang w:val="en-GB"/>
        </w:rPr>
        <w:t>IPBES</w:t>
      </w:r>
      <w:r w:rsidR="00CF5B61" w:rsidRPr="00440196">
        <w:rPr>
          <w:lang w:val="en-GB"/>
        </w:rPr>
        <w:t xml:space="preserve"> </w:t>
      </w:r>
      <w:r w:rsidRPr="00440196">
        <w:rPr>
          <w:lang w:val="en-GB"/>
        </w:rPr>
        <w:t>had already been completed and progress had been made at the regional level, at the current meeting decisions would have to be made on providing the knowledge base for such critical matters as invasive alien species</w:t>
      </w:r>
      <w:r w:rsidR="00AE41DE" w:rsidRPr="00440196">
        <w:rPr>
          <w:lang w:val="en-GB"/>
        </w:rPr>
        <w:t>,</w:t>
      </w:r>
      <w:r w:rsidRPr="00440196">
        <w:rPr>
          <w:lang w:val="en-GB"/>
        </w:rPr>
        <w:t xml:space="preserve"> the diverse conceptualization of the multiple values of nature and its benefits</w:t>
      </w:r>
      <w:r w:rsidR="00AE41DE" w:rsidRPr="00440196">
        <w:rPr>
          <w:lang w:val="en-GB"/>
        </w:rPr>
        <w:t>,</w:t>
      </w:r>
      <w:r w:rsidRPr="00440196">
        <w:rPr>
          <w:lang w:val="en-GB"/>
        </w:rPr>
        <w:t xml:space="preserve"> marine living resources and terrestrial ecosystems, including in the context of efforts to implement the Sustainable Development Goals. In doing so the Plenary should ensure that </w:t>
      </w:r>
      <w:r w:rsidR="00A51C1A">
        <w:rPr>
          <w:lang w:val="en-GB"/>
        </w:rPr>
        <w:t>IPBES</w:t>
      </w:r>
      <w:r w:rsidR="00A51C1A" w:rsidRPr="00440196">
        <w:rPr>
          <w:lang w:val="en-GB"/>
        </w:rPr>
        <w:t xml:space="preserve"> </w:t>
      </w:r>
      <w:r w:rsidRPr="00440196">
        <w:rPr>
          <w:lang w:val="en-GB"/>
        </w:rPr>
        <w:t>products contributed to and benefitted from synergies with other processes such as the Global Environment Outlook and the Environment Live data platform. It also needed to decide on what role it wished to play in mainstreaming biodiversity into other areas such as agriculture, forestry, fisheries and tourism and reaching out to those beyond the traditional biodiversity and ecosystem services community, strengthening cross-</w:t>
      </w:r>
      <w:proofErr w:type="spellStart"/>
      <w:r w:rsidRPr="00440196">
        <w:rPr>
          <w:lang w:val="en-GB"/>
        </w:rPr>
        <w:t>sectoral</w:t>
      </w:r>
      <w:proofErr w:type="spellEnd"/>
      <w:r w:rsidRPr="00440196">
        <w:rPr>
          <w:lang w:val="en-GB"/>
        </w:rPr>
        <w:t xml:space="preserve"> partnerships while maintaining </w:t>
      </w:r>
      <w:proofErr w:type="spellStart"/>
      <w:r w:rsidR="00E64FEA">
        <w:rPr>
          <w:lang w:val="en-GB"/>
        </w:rPr>
        <w:t>IPBES’</w:t>
      </w:r>
      <w:r w:rsidRPr="00440196">
        <w:rPr>
          <w:lang w:val="en-GB"/>
        </w:rPr>
        <w:t>independence</w:t>
      </w:r>
      <w:proofErr w:type="spellEnd"/>
      <w:r w:rsidRPr="00440196">
        <w:rPr>
          <w:lang w:val="en-GB"/>
        </w:rPr>
        <w:t xml:space="preserve">. While existing partnerships were effectively implementing the current work programme there was plenty of room to consolidate them and to develop new ones in areas such as agriculture, trade, development, transport, energy, water and others. FAO, UNDP, UNEP and UNESCO welcomed </w:t>
      </w:r>
      <w:r w:rsidR="00A51C1A">
        <w:rPr>
          <w:lang w:val="en-GB"/>
        </w:rPr>
        <w:t>IPBES’</w:t>
      </w:r>
      <w:r w:rsidRPr="00440196">
        <w:rPr>
          <w:lang w:val="en-GB"/>
        </w:rPr>
        <w:t xml:space="preserve"> increased focus on capacity-building and its strengthened communications capacity, and they looked forward to </w:t>
      </w:r>
      <w:r w:rsidR="00343526">
        <w:rPr>
          <w:lang w:val="en-GB"/>
        </w:rPr>
        <w:t xml:space="preserve">the </w:t>
      </w:r>
      <w:r w:rsidRPr="00440196">
        <w:rPr>
          <w:lang w:val="en-GB"/>
        </w:rPr>
        <w:t>implementation of the stakeholder enga</w:t>
      </w:r>
      <w:r w:rsidR="009D6A1B" w:rsidRPr="00440196">
        <w:rPr>
          <w:lang w:val="en-GB"/>
        </w:rPr>
        <w:t>gement strategy, all of which was</w:t>
      </w:r>
      <w:r w:rsidRPr="00440196">
        <w:rPr>
          <w:lang w:val="en-GB"/>
        </w:rPr>
        <w:t xml:space="preserve"> </w:t>
      </w:r>
      <w:proofErr w:type="gramStart"/>
      <w:r w:rsidRPr="00440196">
        <w:rPr>
          <w:lang w:val="en-GB"/>
        </w:rPr>
        <w:t>key</w:t>
      </w:r>
      <w:proofErr w:type="gramEnd"/>
      <w:r w:rsidRPr="00440196">
        <w:rPr>
          <w:lang w:val="en-GB"/>
        </w:rPr>
        <w:t xml:space="preserve"> to facilitating contributions to </w:t>
      </w:r>
      <w:r w:rsidR="00A51C1A">
        <w:rPr>
          <w:lang w:val="en-GB"/>
        </w:rPr>
        <w:t>IPBES</w:t>
      </w:r>
      <w:r w:rsidRPr="00440196">
        <w:rPr>
          <w:lang w:val="en-GB"/>
        </w:rPr>
        <w:t xml:space="preserve"> and the increased uptake of its products. In the implementation of the current work programme and the development of a new one in difficult financial times, it was important for </w:t>
      </w:r>
      <w:r w:rsidR="00A51C1A">
        <w:rPr>
          <w:lang w:val="en-GB"/>
        </w:rPr>
        <w:t>IPBES</w:t>
      </w:r>
      <w:r w:rsidRPr="00440196">
        <w:rPr>
          <w:lang w:val="en-GB"/>
        </w:rPr>
        <w:t xml:space="preserve"> to build on its achievements and to make the most of in-kind contributions in order to retain its ambition to make a real difference in the world. In closing he expressed thanks to the members of the Bureau, the Multidisciplinary Expert Panel and the secretariat, the growing list of authors, reviewers and other experts and Governments and other stakeholders for the critical support that they provided in many different forms, including not least financial, and pledged the continuing support of the United Nations family for </w:t>
      </w:r>
      <w:r w:rsidR="00A51C1A">
        <w:rPr>
          <w:lang w:val="en-GB"/>
        </w:rPr>
        <w:t>IPBES</w:t>
      </w:r>
      <w:r w:rsidRPr="00440196">
        <w:rPr>
          <w:lang w:val="en-GB"/>
        </w:rPr>
        <w:t xml:space="preserve"> and its members in the months and years to come.</w:t>
      </w:r>
    </w:p>
    <w:p w14:paraId="3A7DF09B" w14:textId="4E7387B1" w:rsidR="005F12DA" w:rsidRPr="00440196" w:rsidRDefault="005F12DA" w:rsidP="005F12DA">
      <w:pPr>
        <w:pStyle w:val="Normalnumber"/>
        <w:numPr>
          <w:ilvl w:val="0"/>
          <w:numId w:val="5"/>
        </w:numPr>
        <w:tabs>
          <w:tab w:val="clear" w:pos="567"/>
          <w:tab w:val="clear" w:pos="1247"/>
          <w:tab w:val="clear" w:pos="1814"/>
          <w:tab w:val="clear" w:pos="2381"/>
          <w:tab w:val="clear" w:pos="2948"/>
          <w:tab w:val="clear" w:pos="3515"/>
          <w:tab w:val="clear" w:pos="4082"/>
        </w:tabs>
        <w:rPr>
          <w:lang w:val="en-GB"/>
        </w:rPr>
      </w:pPr>
      <w:r w:rsidRPr="00440196">
        <w:rPr>
          <w:lang w:val="en-GB"/>
        </w:rPr>
        <w:t xml:space="preserve">In her remarks </w:t>
      </w:r>
      <w:proofErr w:type="spellStart"/>
      <w:r w:rsidRPr="00440196">
        <w:rPr>
          <w:lang w:val="en-GB"/>
        </w:rPr>
        <w:t>Ms.</w:t>
      </w:r>
      <w:proofErr w:type="spellEnd"/>
      <w:r w:rsidRPr="00440196">
        <w:rPr>
          <w:lang w:val="en-GB"/>
        </w:rPr>
        <w:t xml:space="preserve"> Paulus said that the German Government was honoured to host the </w:t>
      </w:r>
      <w:r w:rsidR="00A51C1A">
        <w:rPr>
          <w:lang w:val="en-GB"/>
        </w:rPr>
        <w:t xml:space="preserve">fifth </w:t>
      </w:r>
      <w:r w:rsidRPr="00440196">
        <w:rPr>
          <w:lang w:val="en-GB"/>
        </w:rPr>
        <w:t>session of the Plenary and remained strongly committe</w:t>
      </w:r>
      <w:r w:rsidR="002E7003">
        <w:rPr>
          <w:lang w:val="en-GB"/>
        </w:rPr>
        <w:t>d</w:t>
      </w:r>
      <w:r w:rsidRPr="00440196">
        <w:rPr>
          <w:lang w:val="en-GB"/>
        </w:rPr>
        <w:t xml:space="preserve"> to the work of </w:t>
      </w:r>
      <w:r w:rsidR="00A51C1A">
        <w:rPr>
          <w:lang w:val="en-GB"/>
        </w:rPr>
        <w:t>IPBES</w:t>
      </w:r>
      <w:r w:rsidRPr="00440196">
        <w:rPr>
          <w:lang w:val="en-GB"/>
        </w:rPr>
        <w:t xml:space="preserve">. </w:t>
      </w:r>
      <w:r w:rsidR="00A51C1A">
        <w:rPr>
          <w:lang w:val="en-GB"/>
        </w:rPr>
        <w:t>IPBES</w:t>
      </w:r>
      <w:r w:rsidRPr="00440196">
        <w:rPr>
          <w:lang w:val="en-GB"/>
        </w:rPr>
        <w:t>, she said, had made a strong entry onto the global scientific stage with</w:t>
      </w:r>
      <w:r w:rsidR="00A17AC1" w:rsidRPr="00440196">
        <w:rPr>
          <w:lang w:val="en-GB"/>
        </w:rPr>
        <w:t xml:space="preserve"> the swift </w:t>
      </w:r>
      <w:r w:rsidR="00A51C1A">
        <w:rPr>
          <w:lang w:val="en-GB"/>
        </w:rPr>
        <w:t>approval</w:t>
      </w:r>
      <w:r w:rsidR="00A51C1A" w:rsidRPr="00440196">
        <w:rPr>
          <w:lang w:val="en-GB"/>
        </w:rPr>
        <w:t xml:space="preserve"> </w:t>
      </w:r>
      <w:r w:rsidR="00A17AC1" w:rsidRPr="00440196">
        <w:rPr>
          <w:lang w:val="en-GB"/>
        </w:rPr>
        <w:t>of two high</w:t>
      </w:r>
      <w:r w:rsidR="00A17AC1" w:rsidRPr="00440196">
        <w:rPr>
          <w:lang w:val="en-GB"/>
        </w:rPr>
        <w:noBreakHyphen/>
      </w:r>
      <w:r w:rsidRPr="00440196">
        <w:rPr>
          <w:lang w:val="en-GB"/>
        </w:rPr>
        <w:t>quality, comprehensive, global scientific assessments that were key to the implementation of national biodiversity strategies and instrumental in the implementation of the Strategic Plan</w:t>
      </w:r>
      <w:r w:rsidR="00A51C1A">
        <w:rPr>
          <w:lang w:val="en-GB"/>
        </w:rPr>
        <w:t xml:space="preserve"> for Biodiversity 2011</w:t>
      </w:r>
      <w:r w:rsidR="00F101A4">
        <w:rPr>
          <w:lang w:val="en-GB"/>
        </w:rPr>
        <w:t>–</w:t>
      </w:r>
      <w:r w:rsidR="00A51C1A">
        <w:rPr>
          <w:lang w:val="en-GB"/>
        </w:rPr>
        <w:t>2020</w:t>
      </w:r>
      <w:r w:rsidR="00480E01">
        <w:rPr>
          <w:lang w:val="en-GB"/>
        </w:rPr>
        <w:t>,</w:t>
      </w:r>
      <w:r w:rsidR="00A51C1A">
        <w:rPr>
          <w:lang w:val="en-GB"/>
        </w:rPr>
        <w:t xml:space="preserve"> the </w:t>
      </w:r>
      <w:r w:rsidRPr="00440196">
        <w:rPr>
          <w:lang w:val="en-GB"/>
        </w:rPr>
        <w:t xml:space="preserve">Aichi Biodiversity Targets and many of the Sustainable Development Goals. </w:t>
      </w:r>
      <w:r w:rsidR="009F3098">
        <w:rPr>
          <w:lang w:val="en-GB"/>
        </w:rPr>
        <w:t>IPBES</w:t>
      </w:r>
      <w:r w:rsidR="009F3098" w:rsidRPr="00440196">
        <w:rPr>
          <w:lang w:val="en-GB"/>
        </w:rPr>
        <w:t xml:space="preserve"> </w:t>
      </w:r>
      <w:r w:rsidRPr="00440196">
        <w:rPr>
          <w:lang w:val="en-GB"/>
        </w:rPr>
        <w:t xml:space="preserve">assessments would also contribute to the work under the Convention on Biological Diversity after 2020, to which end the </w:t>
      </w:r>
      <w:r w:rsidR="009F3098">
        <w:rPr>
          <w:lang w:val="en-GB"/>
        </w:rPr>
        <w:t xml:space="preserve">IPBES </w:t>
      </w:r>
      <w:r w:rsidR="00275C14" w:rsidRPr="00440196">
        <w:rPr>
          <w:lang w:val="en-GB"/>
        </w:rPr>
        <w:t xml:space="preserve">regional assessments </w:t>
      </w:r>
      <w:r w:rsidR="009F3098">
        <w:rPr>
          <w:lang w:val="en-GB"/>
        </w:rPr>
        <w:t>and</w:t>
      </w:r>
      <w:r w:rsidRPr="00440196">
        <w:rPr>
          <w:lang w:val="en-GB"/>
        </w:rPr>
        <w:t xml:space="preserve"> global assessment o</w:t>
      </w:r>
      <w:r w:rsidR="009F3098">
        <w:rPr>
          <w:lang w:val="en-GB"/>
        </w:rPr>
        <w:t>f</w:t>
      </w:r>
      <w:r w:rsidRPr="00440196">
        <w:rPr>
          <w:lang w:val="en-GB"/>
        </w:rPr>
        <w:t xml:space="preserve"> biodiversity and ecosystem services were eagerly awaited. A first step in implementing the recommendations of </w:t>
      </w:r>
      <w:r w:rsidR="009F3098">
        <w:rPr>
          <w:lang w:val="en-GB"/>
        </w:rPr>
        <w:t>IPBES’</w:t>
      </w:r>
      <w:r w:rsidRPr="00440196">
        <w:rPr>
          <w:lang w:val="en-GB"/>
        </w:rPr>
        <w:t xml:space="preserve"> </w:t>
      </w:r>
      <w:r w:rsidR="000C3A57">
        <w:rPr>
          <w:lang w:val="en-GB"/>
        </w:rPr>
        <w:t>approved</w:t>
      </w:r>
      <w:r w:rsidR="000C3A57" w:rsidRPr="00440196">
        <w:rPr>
          <w:lang w:val="en-GB"/>
        </w:rPr>
        <w:t xml:space="preserve"> </w:t>
      </w:r>
      <w:r w:rsidRPr="00440196">
        <w:rPr>
          <w:lang w:val="en-GB"/>
        </w:rPr>
        <w:t xml:space="preserve">assessments </w:t>
      </w:r>
      <w:r w:rsidR="005A7715" w:rsidRPr="00440196">
        <w:rPr>
          <w:lang w:val="en-GB"/>
        </w:rPr>
        <w:t>had been</w:t>
      </w:r>
      <w:r w:rsidRPr="00440196">
        <w:rPr>
          <w:lang w:val="en-GB"/>
        </w:rPr>
        <w:t xml:space="preserve"> taken with the establishment of a coalition of the willing on </w:t>
      </w:r>
      <w:r w:rsidRPr="00440196">
        <w:rPr>
          <w:lang w:val="en-GB"/>
        </w:rPr>
        <w:lastRenderedPageBreak/>
        <w:t>pollinators at the thirteenth meeting of the Conference of the Parties to the Convention on Biological Diversity, which saw 13 countries committing to a number of steps to protect pollinators based on the recommendations set out in the assessment of pollinators</w:t>
      </w:r>
      <w:r w:rsidR="000C3A57">
        <w:rPr>
          <w:lang w:val="en-GB"/>
        </w:rPr>
        <w:t>, pollination and food production</w:t>
      </w:r>
      <w:r w:rsidRPr="00440196">
        <w:rPr>
          <w:lang w:val="en-GB"/>
        </w:rPr>
        <w:t xml:space="preserve">. The coalition, she said, was open to all, and she urged others to join. The current meeting would see a beginning to the development of </w:t>
      </w:r>
      <w:r w:rsidR="009F3098">
        <w:rPr>
          <w:lang w:val="en-GB"/>
        </w:rPr>
        <w:t>IPBES’</w:t>
      </w:r>
      <w:r w:rsidRPr="00440196">
        <w:rPr>
          <w:lang w:val="en-GB"/>
        </w:rPr>
        <w:t xml:space="preserve"> second work programme, which must both build on experience to date and take into account financial limitations while being sufficiently flexible to facilitate post-2020 work under the Convention on Biological Diversity and to address new and emerging issues. Germany was greatly concerned about </w:t>
      </w:r>
      <w:r w:rsidR="009F3098">
        <w:rPr>
          <w:lang w:val="en-GB"/>
        </w:rPr>
        <w:t>IPBES’</w:t>
      </w:r>
      <w:r w:rsidRPr="00440196">
        <w:rPr>
          <w:lang w:val="en-GB"/>
        </w:rPr>
        <w:t xml:space="preserve"> financial situation, as committed funds were insufficient to cover even </w:t>
      </w:r>
      <w:proofErr w:type="spellStart"/>
      <w:r w:rsidR="009F3098">
        <w:rPr>
          <w:lang w:val="en-GB"/>
        </w:rPr>
        <w:t>ongoing</w:t>
      </w:r>
      <w:proofErr w:type="spellEnd"/>
      <w:r w:rsidRPr="00440196">
        <w:rPr>
          <w:lang w:val="en-GB"/>
        </w:rPr>
        <w:t xml:space="preserve"> assessments. </w:t>
      </w:r>
      <w:r w:rsidR="002E7003">
        <w:rPr>
          <w:lang w:val="en-GB"/>
        </w:rPr>
        <w:t>She</w:t>
      </w:r>
      <w:r w:rsidRPr="00440196">
        <w:rPr>
          <w:lang w:val="en-GB"/>
        </w:rPr>
        <w:t xml:space="preserve"> therefore urged all to acknowledge the value of </w:t>
      </w:r>
      <w:r w:rsidR="009F3098">
        <w:rPr>
          <w:lang w:val="en-GB"/>
        </w:rPr>
        <w:t>IPBES</w:t>
      </w:r>
      <w:r w:rsidR="000C3A57">
        <w:rPr>
          <w:lang w:val="en-GB"/>
        </w:rPr>
        <w:t xml:space="preserve"> </w:t>
      </w:r>
      <w:r w:rsidRPr="00440196">
        <w:rPr>
          <w:lang w:val="en-GB"/>
        </w:rPr>
        <w:t xml:space="preserve">by supporting it financially. In that </w:t>
      </w:r>
      <w:r w:rsidR="009F3098" w:rsidRPr="00440196">
        <w:rPr>
          <w:lang w:val="en-GB"/>
        </w:rPr>
        <w:t>spirit,</w:t>
      </w:r>
      <w:r w:rsidRPr="00440196">
        <w:rPr>
          <w:lang w:val="en-GB"/>
        </w:rPr>
        <w:t xml:space="preserve"> she was pleased to announce that her Government would continue its active support for </w:t>
      </w:r>
      <w:r w:rsidR="009F3098">
        <w:rPr>
          <w:lang w:val="en-GB"/>
        </w:rPr>
        <w:t>IPBES</w:t>
      </w:r>
      <w:r w:rsidRPr="00440196">
        <w:rPr>
          <w:lang w:val="en-GB"/>
        </w:rPr>
        <w:t xml:space="preserve"> with a contribution of $1.</w:t>
      </w:r>
      <w:r w:rsidR="009F3098" w:rsidRPr="00440196">
        <w:rPr>
          <w:lang w:val="en-GB"/>
        </w:rPr>
        <w:t>1</w:t>
      </w:r>
      <w:r w:rsidR="009F3098">
        <w:rPr>
          <w:lang w:val="en-GB"/>
        </w:rPr>
        <w:t> </w:t>
      </w:r>
      <w:r w:rsidRPr="00440196">
        <w:rPr>
          <w:lang w:val="en-GB"/>
        </w:rPr>
        <w:t xml:space="preserve">million in 2017. </w:t>
      </w:r>
      <w:r w:rsidR="009F3098">
        <w:rPr>
          <w:lang w:val="en-GB"/>
        </w:rPr>
        <w:t>IPBES</w:t>
      </w:r>
      <w:r w:rsidRPr="00440196">
        <w:rPr>
          <w:lang w:val="en-GB"/>
        </w:rPr>
        <w:t>, she concluded, was maintaining valuable momentum, and she urged its members to adopt decisions at the current meeting that would enable it to achieve its full potential.</w:t>
      </w:r>
    </w:p>
    <w:p w14:paraId="28366027" w14:textId="5A6E4677" w:rsidR="00725AFD" w:rsidRPr="00440196" w:rsidRDefault="00034C5A" w:rsidP="00B47AE3">
      <w:pPr>
        <w:pStyle w:val="Normalnumber"/>
        <w:numPr>
          <w:ilvl w:val="0"/>
          <w:numId w:val="5"/>
        </w:numPr>
        <w:tabs>
          <w:tab w:val="clear" w:pos="567"/>
          <w:tab w:val="clear" w:pos="1247"/>
          <w:tab w:val="clear" w:pos="1814"/>
          <w:tab w:val="clear" w:pos="2381"/>
          <w:tab w:val="clear" w:pos="2948"/>
          <w:tab w:val="clear" w:pos="3515"/>
          <w:tab w:val="clear" w:pos="4082"/>
        </w:tabs>
        <w:rPr>
          <w:lang w:val="en-GB"/>
        </w:rPr>
      </w:pPr>
      <w:r w:rsidRPr="00440196">
        <w:rPr>
          <w:lang w:val="en-GB"/>
        </w:rPr>
        <w:t xml:space="preserve">In his remarks </w:t>
      </w:r>
      <w:proofErr w:type="spellStart"/>
      <w:r w:rsidRPr="00440196">
        <w:rPr>
          <w:lang w:val="en-GB"/>
        </w:rPr>
        <w:t>Mr.</w:t>
      </w:r>
      <w:proofErr w:type="spellEnd"/>
      <w:r w:rsidRPr="00440196">
        <w:rPr>
          <w:lang w:val="en-GB"/>
        </w:rPr>
        <w:t xml:space="preserve"> </w:t>
      </w:r>
      <w:proofErr w:type="spellStart"/>
      <w:r w:rsidRPr="00440196">
        <w:rPr>
          <w:lang w:val="en-GB"/>
        </w:rPr>
        <w:t>Limbach</w:t>
      </w:r>
      <w:proofErr w:type="spellEnd"/>
      <w:r w:rsidRPr="00440196">
        <w:rPr>
          <w:lang w:val="en-GB"/>
        </w:rPr>
        <w:t xml:space="preserve"> welcomed the meeting participants to his city, saying that Bonn was proud to host the </w:t>
      </w:r>
      <w:r w:rsidR="009F3098">
        <w:rPr>
          <w:lang w:val="en-GB"/>
        </w:rPr>
        <w:t>secretariat of IPBES</w:t>
      </w:r>
      <w:r w:rsidRPr="00440196">
        <w:rPr>
          <w:lang w:val="en-GB"/>
        </w:rPr>
        <w:t xml:space="preserve">, which he described as part of a true powerhouse of sustainability comprising 19 United Nations organizations based in Bonn and supported by </w:t>
      </w:r>
      <w:r w:rsidR="00A64099">
        <w:rPr>
          <w:lang w:val="en-GB"/>
        </w:rPr>
        <w:t>G</w:t>
      </w:r>
      <w:r w:rsidRPr="00440196">
        <w:rPr>
          <w:lang w:val="en-GB"/>
        </w:rPr>
        <w:t xml:space="preserve">overnments, development partners, business, non-governmental organizations and others, including not least the city of Bonn itself. </w:t>
      </w:r>
      <w:r w:rsidR="0006232F">
        <w:rPr>
          <w:lang w:val="en-GB"/>
        </w:rPr>
        <w:t>IPBES</w:t>
      </w:r>
      <w:r w:rsidRPr="00440196">
        <w:rPr>
          <w:lang w:val="en-GB"/>
        </w:rPr>
        <w:t>, he said, provided indispensable scientifically sound and broad</w:t>
      </w:r>
      <w:r w:rsidRPr="00440196">
        <w:rPr>
          <w:lang w:val="en-GB"/>
        </w:rPr>
        <w:noBreakHyphen/>
        <w:t xml:space="preserve">based evidence that contributed to the credibility of decision makers around the world. It provided an interface between science and policy, striving to place biodiversity firmly at the heart of sustainable development. To continue to succeed it needed to build bridges between various agendas, such as those for biodiversity and climate change. The building of such bridges would be one of the challenges for the </w:t>
      </w:r>
      <w:r w:rsidR="0006232F">
        <w:rPr>
          <w:lang w:val="en-GB"/>
        </w:rPr>
        <w:t>g</w:t>
      </w:r>
      <w:r w:rsidRPr="00440196">
        <w:rPr>
          <w:lang w:val="en-GB"/>
        </w:rPr>
        <w:t xml:space="preserve">lobal </w:t>
      </w:r>
      <w:r w:rsidR="0006232F">
        <w:rPr>
          <w:lang w:val="en-GB"/>
        </w:rPr>
        <w:t>a</w:t>
      </w:r>
      <w:r w:rsidRPr="00440196">
        <w:rPr>
          <w:lang w:val="en-GB"/>
        </w:rPr>
        <w:t>ssessment o</w:t>
      </w:r>
      <w:r w:rsidR="0006232F">
        <w:rPr>
          <w:lang w:val="en-GB"/>
        </w:rPr>
        <w:t>f</w:t>
      </w:r>
      <w:r w:rsidRPr="00440196">
        <w:rPr>
          <w:lang w:val="en-GB"/>
        </w:rPr>
        <w:t xml:space="preserve"> </w:t>
      </w:r>
      <w:r w:rsidR="0006232F">
        <w:rPr>
          <w:lang w:val="en-GB"/>
        </w:rPr>
        <w:t>b</w:t>
      </w:r>
      <w:r w:rsidRPr="00440196">
        <w:rPr>
          <w:lang w:val="en-GB"/>
        </w:rPr>
        <w:t xml:space="preserve">iodiversity and </w:t>
      </w:r>
      <w:r w:rsidR="0006232F">
        <w:rPr>
          <w:lang w:val="en-GB"/>
        </w:rPr>
        <w:t>e</w:t>
      </w:r>
      <w:r w:rsidRPr="00440196">
        <w:rPr>
          <w:lang w:val="en-GB"/>
        </w:rPr>
        <w:t xml:space="preserve">cosystem </w:t>
      </w:r>
      <w:r w:rsidR="0006232F">
        <w:rPr>
          <w:lang w:val="en-GB"/>
        </w:rPr>
        <w:t>s</w:t>
      </w:r>
      <w:r w:rsidRPr="00440196">
        <w:rPr>
          <w:lang w:val="en-GB"/>
        </w:rPr>
        <w:t xml:space="preserve">ervices to be completed in 2019, which would provide </w:t>
      </w:r>
      <w:r w:rsidR="0006232F">
        <w:rPr>
          <w:lang w:val="en-GB"/>
        </w:rPr>
        <w:t>information</w:t>
      </w:r>
      <w:r w:rsidR="0006232F" w:rsidRPr="00440196">
        <w:rPr>
          <w:lang w:val="en-GB"/>
        </w:rPr>
        <w:t xml:space="preserve"> </w:t>
      </w:r>
      <w:r w:rsidRPr="00440196">
        <w:rPr>
          <w:lang w:val="en-GB"/>
        </w:rPr>
        <w:t>and policy options relevant to the</w:t>
      </w:r>
      <w:r w:rsidR="0006232F">
        <w:rPr>
          <w:lang w:val="en-GB"/>
        </w:rPr>
        <w:t xml:space="preserve"> implementation of the</w:t>
      </w:r>
      <w:r w:rsidRPr="00440196">
        <w:rPr>
          <w:lang w:val="en-GB"/>
        </w:rPr>
        <w:t xml:space="preserve"> 2030 Agenda </w:t>
      </w:r>
      <w:r w:rsidR="00EB51DE" w:rsidRPr="00440196">
        <w:rPr>
          <w:lang w:val="en-GB"/>
        </w:rPr>
        <w:t>for</w:t>
      </w:r>
      <w:r w:rsidRPr="00440196">
        <w:rPr>
          <w:lang w:val="en-GB"/>
        </w:rPr>
        <w:t xml:space="preserve"> Sustainable Development and</w:t>
      </w:r>
      <w:r w:rsidR="0006232F">
        <w:rPr>
          <w:lang w:val="en-GB"/>
        </w:rPr>
        <w:t xml:space="preserve"> the achievement of</w:t>
      </w:r>
      <w:r w:rsidRPr="00440196">
        <w:rPr>
          <w:lang w:val="en-GB"/>
        </w:rPr>
        <w:t xml:space="preserve"> its Sustainable Development Goals. Bonn, he said, was a great platform for debate and cooperation in the field of sustainability, where global agendas were brought together at all levels. One example was BION, the Bonn Science Network, a group of more than 40 organizations active in interdisciplinary biodiversity research. Another was Bonn’s longstanding engagement with the biodiversity programme of ICLEI Local Governments for Sustainability, </w:t>
      </w:r>
      <w:r w:rsidR="00EB51DE" w:rsidRPr="00440196">
        <w:rPr>
          <w:lang w:val="en-GB"/>
        </w:rPr>
        <w:t xml:space="preserve">which had its world headquarters in Bonn and </w:t>
      </w:r>
      <w:r w:rsidR="00A64099">
        <w:rPr>
          <w:lang w:val="en-GB"/>
        </w:rPr>
        <w:t xml:space="preserve">for </w:t>
      </w:r>
      <w:r w:rsidRPr="00440196">
        <w:rPr>
          <w:lang w:val="en-GB"/>
        </w:rPr>
        <w:t xml:space="preserve">which the </w:t>
      </w:r>
      <w:r w:rsidR="002545A0" w:rsidRPr="00440196">
        <w:rPr>
          <w:lang w:val="en-GB"/>
        </w:rPr>
        <w:t xml:space="preserve">Lord </w:t>
      </w:r>
      <w:r w:rsidRPr="00440196">
        <w:rPr>
          <w:lang w:val="en-GB"/>
        </w:rPr>
        <w:t xml:space="preserve">Mayor of Bonn currently served as First Vice-President. In 2017 Bonn would host the twenty-third </w:t>
      </w:r>
      <w:r w:rsidR="0006232F">
        <w:rPr>
          <w:lang w:val="en-GB"/>
        </w:rPr>
        <w:t>session</w:t>
      </w:r>
      <w:r w:rsidR="0006232F" w:rsidRPr="00440196">
        <w:rPr>
          <w:lang w:val="en-GB"/>
        </w:rPr>
        <w:t xml:space="preserve"> </w:t>
      </w:r>
      <w:r w:rsidRPr="00440196">
        <w:rPr>
          <w:lang w:val="en-GB"/>
        </w:rPr>
        <w:t xml:space="preserve">of the Conference of the Parties to the United Nations Framework Convention on Climate Change, which would be a good occasion to highlight the </w:t>
      </w:r>
      <w:r w:rsidR="0006232F">
        <w:rPr>
          <w:lang w:val="en-GB"/>
        </w:rPr>
        <w:t>links</w:t>
      </w:r>
      <w:r w:rsidR="0006232F" w:rsidRPr="00440196">
        <w:rPr>
          <w:lang w:val="en-GB"/>
        </w:rPr>
        <w:t xml:space="preserve"> </w:t>
      </w:r>
      <w:r w:rsidRPr="00440196">
        <w:rPr>
          <w:lang w:val="en-GB"/>
        </w:rPr>
        <w:t xml:space="preserve">between </w:t>
      </w:r>
      <w:r w:rsidR="0006232F">
        <w:rPr>
          <w:lang w:val="en-GB"/>
        </w:rPr>
        <w:t xml:space="preserve">relevant </w:t>
      </w:r>
      <w:r w:rsidRPr="00440196">
        <w:rPr>
          <w:lang w:val="en-GB"/>
        </w:rPr>
        <w:t xml:space="preserve">issues and organizations, the object of increasing focus since the adoption of the Paris Agreement on climate change and the 2030 Agenda. Bonn, he said, was the perfect place to catalyse </w:t>
      </w:r>
      <w:r w:rsidR="0006232F">
        <w:rPr>
          <w:lang w:val="en-GB"/>
        </w:rPr>
        <w:t>cooperation</w:t>
      </w:r>
      <w:r w:rsidRPr="00440196">
        <w:rPr>
          <w:lang w:val="en-GB"/>
        </w:rPr>
        <w:t>, and he expressed confidence that the current meeting would yield a fruitful exchange of knowledge, a true interface between issues, structures and policy-making leading to further scientific excellence.</w:t>
      </w:r>
    </w:p>
    <w:p w14:paraId="0B938DE8" w14:textId="50661F6A" w:rsidR="00725AFD" w:rsidRPr="00440196" w:rsidRDefault="00725AFD" w:rsidP="00B47AE3">
      <w:pPr>
        <w:pStyle w:val="Normalnumber"/>
        <w:numPr>
          <w:ilvl w:val="0"/>
          <w:numId w:val="5"/>
        </w:numPr>
        <w:tabs>
          <w:tab w:val="clear" w:pos="567"/>
          <w:tab w:val="clear" w:pos="1247"/>
          <w:tab w:val="clear" w:pos="1814"/>
          <w:tab w:val="clear" w:pos="2381"/>
          <w:tab w:val="clear" w:pos="2948"/>
          <w:tab w:val="clear" w:pos="3515"/>
          <w:tab w:val="clear" w:pos="4082"/>
        </w:tabs>
        <w:rPr>
          <w:lang w:val="en-GB"/>
        </w:rPr>
      </w:pPr>
      <w:r w:rsidRPr="00440196">
        <w:rPr>
          <w:lang w:val="en-GB"/>
        </w:rPr>
        <w:t xml:space="preserve">In his keynote address </w:t>
      </w:r>
      <w:proofErr w:type="spellStart"/>
      <w:r w:rsidRPr="00440196">
        <w:rPr>
          <w:lang w:val="en-GB"/>
        </w:rPr>
        <w:t>Mr.</w:t>
      </w:r>
      <w:proofErr w:type="spellEnd"/>
      <w:r w:rsidRPr="00440196">
        <w:rPr>
          <w:lang w:val="en-GB"/>
        </w:rPr>
        <w:t xml:space="preserve"> </w:t>
      </w:r>
      <w:proofErr w:type="spellStart"/>
      <w:r w:rsidRPr="00440196">
        <w:rPr>
          <w:lang w:val="en-GB"/>
        </w:rPr>
        <w:t>Kinley</w:t>
      </w:r>
      <w:proofErr w:type="spellEnd"/>
      <w:r w:rsidRPr="00440196">
        <w:rPr>
          <w:lang w:val="en-GB"/>
        </w:rPr>
        <w:t xml:space="preserve"> </w:t>
      </w:r>
      <w:r w:rsidR="003F2049" w:rsidRPr="00440196">
        <w:rPr>
          <w:lang w:val="en-GB"/>
        </w:rPr>
        <w:t xml:space="preserve">said that there was a strong link between the biodiversity and climate change communities, and he outlined </w:t>
      </w:r>
      <w:r w:rsidR="00710020" w:rsidRPr="00440196">
        <w:rPr>
          <w:lang w:val="en-GB"/>
        </w:rPr>
        <w:t>development</w:t>
      </w:r>
      <w:r w:rsidR="00245497" w:rsidRPr="00440196">
        <w:rPr>
          <w:lang w:val="en-GB"/>
        </w:rPr>
        <w:t>s</w:t>
      </w:r>
      <w:r w:rsidR="00710020" w:rsidRPr="00440196">
        <w:rPr>
          <w:lang w:val="en-GB"/>
        </w:rPr>
        <w:t xml:space="preserve"> in respect of climate change and </w:t>
      </w:r>
      <w:r w:rsidR="003F2049" w:rsidRPr="00440196">
        <w:rPr>
          <w:lang w:val="en-GB"/>
        </w:rPr>
        <w:t xml:space="preserve">ways in which </w:t>
      </w:r>
      <w:r w:rsidR="00710020" w:rsidRPr="00440196">
        <w:rPr>
          <w:lang w:val="en-GB"/>
        </w:rPr>
        <w:t>that link</w:t>
      </w:r>
      <w:r w:rsidR="003F2049" w:rsidRPr="00440196">
        <w:rPr>
          <w:lang w:val="en-GB"/>
        </w:rPr>
        <w:t xml:space="preserve"> could be enhanced.</w:t>
      </w:r>
      <w:r w:rsidR="00435090" w:rsidRPr="00440196">
        <w:rPr>
          <w:lang w:val="en-GB"/>
        </w:rPr>
        <w:t xml:space="preserve"> Credible and reliable science, and therefore the role of the </w:t>
      </w:r>
      <w:r w:rsidR="0006232F">
        <w:rPr>
          <w:lang w:val="en-GB"/>
        </w:rPr>
        <w:t>IPBES</w:t>
      </w:r>
      <w:r w:rsidR="00435090" w:rsidRPr="00440196">
        <w:rPr>
          <w:lang w:val="en-GB"/>
        </w:rPr>
        <w:t xml:space="preserve">, was critical, and he urged the members of </w:t>
      </w:r>
      <w:r w:rsidR="0006232F">
        <w:rPr>
          <w:lang w:val="en-GB"/>
        </w:rPr>
        <w:t>IPBES</w:t>
      </w:r>
      <w:r w:rsidR="00435090" w:rsidRPr="00440196">
        <w:rPr>
          <w:lang w:val="en-GB"/>
        </w:rPr>
        <w:t xml:space="preserve"> to be resolute in fulfilling their mandate and enabling Governments to make decisions in the interests of their citizens and the planet.</w:t>
      </w:r>
      <w:r w:rsidR="00697CC3" w:rsidRPr="00440196">
        <w:rPr>
          <w:lang w:val="en-GB"/>
        </w:rPr>
        <w:t xml:space="preserve"> The rapid entry into force of the Paris Agreement and its ratification by 133 countries were very encouraging and the global direction seemed clear and irreversible. </w:t>
      </w:r>
      <w:r w:rsidR="00B9552C" w:rsidRPr="00440196">
        <w:rPr>
          <w:lang w:val="en-GB"/>
        </w:rPr>
        <w:t>Limiting global average temperature increase to 1.5</w:t>
      </w:r>
      <w:r w:rsidR="004153C8">
        <w:rPr>
          <w:lang w:val="en-GB"/>
        </w:rPr>
        <w:t> </w:t>
      </w:r>
      <w:r w:rsidR="00B9552C" w:rsidRPr="00440196">
        <w:rPr>
          <w:lang w:val="en-GB"/>
        </w:rPr>
        <w:t>degrees Celsius would require reducing emissions and building resilience, which could in turn minimize biodiversity loss. For Governments to successfully implement th</w:t>
      </w:r>
      <w:r w:rsidR="00C92BE0" w:rsidRPr="00440196">
        <w:rPr>
          <w:lang w:val="en-GB"/>
        </w:rPr>
        <w:t>e</w:t>
      </w:r>
      <w:r w:rsidR="00B9552C" w:rsidRPr="00440196">
        <w:rPr>
          <w:lang w:val="en-GB"/>
        </w:rPr>
        <w:t xml:space="preserve">ir climate change action plans at the national level they must integrate them fully into national development and investment planning, including plans to achieve the Sustainable Development Goals. The biodiversity community needed to involve itself in such efforts, because they afforded the opportunity to more strongly integrate biodiversity objectives and priorities into national policies, ensuring that climate change policies and investments supported biodiversity objectives. Governments would soon begin the process of developing new nationally determined contributions, which were to be complete as early as 2020. </w:t>
      </w:r>
      <w:r w:rsidR="0006232F">
        <w:rPr>
          <w:lang w:val="en-GB"/>
        </w:rPr>
        <w:t>IPBES’</w:t>
      </w:r>
      <w:r w:rsidR="00B9552C" w:rsidRPr="00440196">
        <w:rPr>
          <w:lang w:val="en-GB"/>
        </w:rPr>
        <w:t xml:space="preserve"> global assessment due in 2019 could make a significant contribution to decision-making on those contributions and to the low-carbon development strategies that the</w:t>
      </w:r>
      <w:r w:rsidR="00597069" w:rsidRPr="00440196">
        <w:rPr>
          <w:lang w:val="en-GB"/>
        </w:rPr>
        <w:t>y</w:t>
      </w:r>
      <w:r w:rsidR="00B9552C" w:rsidRPr="00440196">
        <w:rPr>
          <w:lang w:val="en-GB"/>
        </w:rPr>
        <w:t xml:space="preserve"> would require, and the better </w:t>
      </w:r>
      <w:r w:rsidR="0006232F">
        <w:rPr>
          <w:lang w:val="en-GB"/>
        </w:rPr>
        <w:t>IPBES’</w:t>
      </w:r>
      <w:r w:rsidR="00B9552C" w:rsidRPr="00440196">
        <w:rPr>
          <w:lang w:val="en-GB"/>
        </w:rPr>
        <w:t xml:space="preserve"> evidence the more ambitious they would be. A failur</w:t>
      </w:r>
      <w:r w:rsidR="00C1393B" w:rsidRPr="00440196">
        <w:rPr>
          <w:lang w:val="en-GB"/>
        </w:rPr>
        <w:t>e</w:t>
      </w:r>
      <w:r w:rsidR="00B9552C" w:rsidRPr="00440196">
        <w:rPr>
          <w:lang w:val="en-GB"/>
        </w:rPr>
        <w:t xml:space="preserve"> of ambition would </w:t>
      </w:r>
      <w:r w:rsidR="00700193" w:rsidRPr="00440196">
        <w:rPr>
          <w:lang w:val="en-GB"/>
        </w:rPr>
        <w:t>have</w:t>
      </w:r>
      <w:r w:rsidR="00B9552C" w:rsidRPr="00440196">
        <w:rPr>
          <w:lang w:val="en-GB"/>
        </w:rPr>
        <w:t xml:space="preserve"> serious consequences, including </w:t>
      </w:r>
      <w:r w:rsidR="00B9552C" w:rsidRPr="00440196">
        <w:rPr>
          <w:rFonts w:eastAsia="Arial Unicode MS"/>
          <w:color w:val="000000"/>
          <w:u w:color="000000"/>
          <w:lang w:val="en-GB"/>
        </w:rPr>
        <w:t>accelerated rates of species loss</w:t>
      </w:r>
      <w:r w:rsidR="00806E28" w:rsidRPr="00440196">
        <w:rPr>
          <w:rFonts w:eastAsia="Arial Unicode MS"/>
          <w:color w:val="000000"/>
          <w:u w:color="000000"/>
          <w:lang w:val="en-GB"/>
        </w:rPr>
        <w:t>,</w:t>
      </w:r>
      <w:r w:rsidR="00B9552C" w:rsidRPr="00440196">
        <w:rPr>
          <w:rFonts w:eastAsia="Arial Unicode MS"/>
          <w:color w:val="000000"/>
          <w:u w:color="000000"/>
          <w:lang w:val="en-GB"/>
        </w:rPr>
        <w:t xml:space="preserve"> severe weather events, climate variability</w:t>
      </w:r>
      <w:r w:rsidR="00806E28" w:rsidRPr="00440196">
        <w:rPr>
          <w:rFonts w:eastAsia="Arial Unicode MS"/>
          <w:color w:val="000000"/>
          <w:u w:color="000000"/>
          <w:lang w:val="en-GB"/>
        </w:rPr>
        <w:t>, land degradation</w:t>
      </w:r>
      <w:r w:rsidR="00B9552C" w:rsidRPr="00440196">
        <w:rPr>
          <w:rFonts w:eastAsia="Arial Unicode MS"/>
          <w:color w:val="000000"/>
          <w:u w:color="000000"/>
          <w:lang w:val="en-GB"/>
        </w:rPr>
        <w:t xml:space="preserve"> and ocean acidification</w:t>
      </w:r>
      <w:r w:rsidR="00D4561F" w:rsidRPr="00440196">
        <w:rPr>
          <w:rFonts w:eastAsia="Arial Unicode MS"/>
          <w:color w:val="000000"/>
          <w:u w:color="000000"/>
          <w:lang w:val="en-GB"/>
        </w:rPr>
        <w:t xml:space="preserve">. The ambition could be achieved, however, by maximizing synergies arising from healthy soils, forests, </w:t>
      </w:r>
      <w:proofErr w:type="spellStart"/>
      <w:r w:rsidR="00D4561F" w:rsidRPr="00440196">
        <w:rPr>
          <w:rFonts w:eastAsia="Arial Unicode MS"/>
          <w:color w:val="000000"/>
          <w:u w:color="000000"/>
          <w:lang w:val="en-GB"/>
        </w:rPr>
        <w:t>peatlands</w:t>
      </w:r>
      <w:proofErr w:type="spellEnd"/>
      <w:r w:rsidR="00D4561F" w:rsidRPr="00440196">
        <w:rPr>
          <w:rFonts w:eastAsia="Arial Unicode MS"/>
          <w:color w:val="000000"/>
          <w:u w:color="000000"/>
          <w:lang w:val="en-GB"/>
        </w:rPr>
        <w:t xml:space="preserve">, oceans and wetlands, including mangroves, salt marshes and </w:t>
      </w:r>
      <w:proofErr w:type="spellStart"/>
      <w:r w:rsidR="00D4561F" w:rsidRPr="00440196">
        <w:rPr>
          <w:rFonts w:eastAsia="Arial Unicode MS"/>
          <w:color w:val="000000"/>
          <w:u w:color="000000"/>
          <w:lang w:val="en-GB"/>
        </w:rPr>
        <w:t>seagrasses</w:t>
      </w:r>
      <w:proofErr w:type="spellEnd"/>
      <w:r w:rsidR="00D4561F" w:rsidRPr="00440196">
        <w:rPr>
          <w:rFonts w:eastAsia="Arial Unicode MS"/>
          <w:color w:val="000000"/>
          <w:u w:color="000000"/>
          <w:lang w:val="en-GB"/>
        </w:rPr>
        <w:t>, all of which played powerful roles in absorbing and storing carbon and thus preventing climate change.</w:t>
      </w:r>
      <w:r w:rsidR="00B9552C" w:rsidRPr="00440196">
        <w:rPr>
          <w:rFonts w:eastAsia="Arial Unicode MS"/>
          <w:color w:val="000000"/>
          <w:u w:color="000000"/>
          <w:lang w:val="en-GB"/>
        </w:rPr>
        <w:t xml:space="preserve"> </w:t>
      </w:r>
      <w:r w:rsidR="004B4047" w:rsidRPr="00440196">
        <w:rPr>
          <w:rFonts w:eastAsia="Arial Unicode MS"/>
          <w:color w:val="000000"/>
          <w:u w:color="000000"/>
          <w:lang w:val="en-GB"/>
        </w:rPr>
        <w:t xml:space="preserve">Mangroves, salt marshes and </w:t>
      </w:r>
      <w:proofErr w:type="spellStart"/>
      <w:r w:rsidR="004B4047" w:rsidRPr="00440196">
        <w:rPr>
          <w:rFonts w:eastAsia="Arial Unicode MS"/>
          <w:color w:val="000000"/>
          <w:u w:color="000000"/>
          <w:lang w:val="en-GB"/>
        </w:rPr>
        <w:t>seagrasses</w:t>
      </w:r>
      <w:proofErr w:type="spellEnd"/>
      <w:r w:rsidR="004B4047" w:rsidRPr="00440196">
        <w:rPr>
          <w:rFonts w:eastAsia="Arial Unicode MS"/>
          <w:color w:val="000000"/>
          <w:u w:color="000000"/>
          <w:lang w:val="en-GB"/>
        </w:rPr>
        <w:t xml:space="preserve"> captured up to 70 per cent of the carbon currently in the oceans and absorbed half of the </w:t>
      </w:r>
      <w:proofErr w:type="spellStart"/>
      <w:r w:rsidR="004B4047" w:rsidRPr="00440196">
        <w:rPr>
          <w:rFonts w:eastAsia="Arial Unicode MS"/>
          <w:color w:val="000000"/>
          <w:u w:color="000000"/>
          <w:lang w:val="en-GB"/>
        </w:rPr>
        <w:t>worlds</w:t>
      </w:r>
      <w:proofErr w:type="spellEnd"/>
      <w:r w:rsidR="004B4047" w:rsidRPr="00440196">
        <w:rPr>
          <w:rFonts w:eastAsia="Arial Unicode MS"/>
          <w:color w:val="000000"/>
          <w:u w:color="000000"/>
          <w:lang w:val="en-GB"/>
        </w:rPr>
        <w:t xml:space="preserve"> transport emissions, and sustainable land management could trap fully half of the emissions that needed to be cut by 2030, yet </w:t>
      </w:r>
      <w:r w:rsidR="004153C8">
        <w:rPr>
          <w:rFonts w:eastAsia="Arial Unicode MS"/>
          <w:color w:val="000000"/>
          <w:u w:color="000000"/>
          <w:lang w:val="en-GB"/>
        </w:rPr>
        <w:br/>
      </w:r>
      <w:r w:rsidR="004B4047" w:rsidRPr="00440196">
        <w:rPr>
          <w:rFonts w:eastAsia="Arial Unicode MS"/>
          <w:color w:val="000000"/>
          <w:u w:color="000000"/>
          <w:lang w:val="en-GB"/>
        </w:rPr>
        <w:lastRenderedPageBreak/>
        <w:t xml:space="preserve">cost-effective and </w:t>
      </w:r>
      <w:r w:rsidR="002E7582" w:rsidRPr="00440196">
        <w:rPr>
          <w:rFonts w:eastAsia="Arial Unicode MS"/>
          <w:color w:val="000000"/>
          <w:u w:color="000000"/>
          <w:lang w:val="en-GB"/>
        </w:rPr>
        <w:t>nature</w:t>
      </w:r>
      <w:r w:rsidR="004B4047" w:rsidRPr="00440196">
        <w:rPr>
          <w:rFonts w:eastAsia="Arial Unicode MS"/>
          <w:color w:val="000000"/>
          <w:u w:color="000000"/>
          <w:lang w:val="en-GB"/>
        </w:rPr>
        <w:t xml:space="preserve">-based actions were often overlooked. The challenge was how to bring such solutions to bear, how to bring them into national policy-making. </w:t>
      </w:r>
      <w:r w:rsidR="0006232F">
        <w:rPr>
          <w:rFonts w:eastAsia="Arial Unicode MS"/>
          <w:color w:val="000000"/>
          <w:u w:color="000000"/>
          <w:lang w:val="en-GB"/>
        </w:rPr>
        <w:t>IPBES</w:t>
      </w:r>
      <w:r w:rsidR="004B4047" w:rsidRPr="00440196">
        <w:rPr>
          <w:rFonts w:eastAsia="Arial Unicode MS"/>
          <w:color w:val="000000"/>
          <w:u w:color="000000"/>
          <w:lang w:val="en-GB"/>
        </w:rPr>
        <w:t xml:space="preserve">, along with fully engaging in national initiatives to internalize the Sustainable Development Goals and the Paris Agreement, would play a crucial role. Sound science was important, and </w:t>
      </w:r>
      <w:r w:rsidR="0006232F">
        <w:rPr>
          <w:rFonts w:eastAsia="Arial Unicode MS"/>
          <w:color w:val="000000"/>
          <w:u w:color="000000"/>
          <w:lang w:val="en-GB"/>
        </w:rPr>
        <w:t>IPBES</w:t>
      </w:r>
      <w:r w:rsidR="004B4047" w:rsidRPr="00440196">
        <w:rPr>
          <w:rFonts w:eastAsia="Arial Unicode MS"/>
          <w:color w:val="000000"/>
          <w:u w:color="000000"/>
          <w:lang w:val="en-GB"/>
        </w:rPr>
        <w:t xml:space="preserve"> would help the world to understand the vital role of nature in development and contribute to the nature-based solutions that were needed to deliver a truly sustainable and climate-safe future.</w:t>
      </w:r>
    </w:p>
    <w:p w14:paraId="63B23403" w14:textId="0A32110E" w:rsidR="00245497" w:rsidRPr="00440196" w:rsidRDefault="00245497" w:rsidP="00245497">
      <w:pPr>
        <w:pStyle w:val="Normalnumber"/>
        <w:numPr>
          <w:ilvl w:val="0"/>
          <w:numId w:val="5"/>
        </w:numPr>
        <w:tabs>
          <w:tab w:val="clear" w:pos="567"/>
        </w:tabs>
        <w:rPr>
          <w:lang w:val="en-GB"/>
        </w:rPr>
      </w:pPr>
      <w:r w:rsidRPr="00440196">
        <w:rPr>
          <w:lang w:val="en-GB"/>
        </w:rPr>
        <w:t xml:space="preserve">Using slides to illustrate his </w:t>
      </w:r>
      <w:r w:rsidR="008231DE" w:rsidRPr="00440196">
        <w:rPr>
          <w:lang w:val="en-GB"/>
        </w:rPr>
        <w:t>remarks</w:t>
      </w:r>
      <w:r w:rsidRPr="00440196">
        <w:rPr>
          <w:lang w:val="en-GB"/>
        </w:rPr>
        <w:t xml:space="preserve">, </w:t>
      </w:r>
      <w:proofErr w:type="spellStart"/>
      <w:r w:rsidRPr="00440196">
        <w:rPr>
          <w:lang w:val="en-GB"/>
        </w:rPr>
        <w:t>Mr.</w:t>
      </w:r>
      <w:proofErr w:type="spellEnd"/>
      <w:r w:rsidRPr="00440196">
        <w:rPr>
          <w:lang w:val="en-GB"/>
        </w:rPr>
        <w:t xml:space="preserve"> </w:t>
      </w:r>
      <w:proofErr w:type="spellStart"/>
      <w:r w:rsidRPr="00440196">
        <w:rPr>
          <w:lang w:val="en-GB"/>
        </w:rPr>
        <w:t>Midgley</w:t>
      </w:r>
      <w:proofErr w:type="spellEnd"/>
      <w:r w:rsidRPr="00440196">
        <w:rPr>
          <w:lang w:val="en-GB"/>
        </w:rPr>
        <w:t xml:space="preserve"> spoke of the contributions of biodiversity to mitigating climate change and of some potential negative consequences for biodiversity of doing so. Starting with good news, he said that global carbon emissions had increased only slightly over the previous three years during a period of economic growth. The scenarios for the future, however, were still sobering, and it was believed that current nationally determined contributions under the Paris Agreement would be inadequate to limit global average temperature increases to 2 degrees Celsius and would be more likely to lead to increases</w:t>
      </w:r>
      <w:r w:rsidR="00594B27" w:rsidRPr="00440196">
        <w:rPr>
          <w:lang w:val="en-GB"/>
        </w:rPr>
        <w:t xml:space="preserve"> of</w:t>
      </w:r>
      <w:r w:rsidRPr="00440196">
        <w:rPr>
          <w:lang w:val="en-GB"/>
        </w:rPr>
        <w:t xml:space="preserve"> around 3 degrees Celsius. </w:t>
      </w:r>
    </w:p>
    <w:p w14:paraId="46823CFE" w14:textId="6ADF50BE" w:rsidR="00245497" w:rsidRPr="00440196" w:rsidRDefault="00245497" w:rsidP="00245497">
      <w:pPr>
        <w:pStyle w:val="Normalnumber"/>
        <w:numPr>
          <w:ilvl w:val="0"/>
          <w:numId w:val="5"/>
        </w:numPr>
        <w:tabs>
          <w:tab w:val="clear" w:pos="567"/>
        </w:tabs>
        <w:rPr>
          <w:lang w:val="en-GB"/>
        </w:rPr>
      </w:pPr>
      <w:r w:rsidRPr="00440196">
        <w:rPr>
          <w:lang w:val="en-GB"/>
        </w:rPr>
        <w:t xml:space="preserve">Biodiversity conservation efforts could help to fill that gap, however, and thus </w:t>
      </w:r>
      <w:r w:rsidR="0006232F">
        <w:rPr>
          <w:lang w:val="en-GB"/>
        </w:rPr>
        <w:t>IPBES</w:t>
      </w:r>
      <w:r w:rsidRPr="00440196">
        <w:rPr>
          <w:lang w:val="en-GB"/>
        </w:rPr>
        <w:t xml:space="preserve"> had a critical role to play in providing the scientific underpinning for such efforts. To illustrate the potential and need for ecosystem approaches to mitigation he showed that the oceans and land had acted as sinks, each on its own absorbing more than 25 per cent of the carbon that humans had released through burning fossil fuels and land use changes. The effectiveness of these natural mechanisms could be reduced, however, through further stresses: thus research had shown that the operation of the land sink was significantly impaired under hot, dry conditions such as those caused by El Niño, a hint that further warming could further impair the land sink.</w:t>
      </w:r>
    </w:p>
    <w:p w14:paraId="0D6AB751" w14:textId="4564E72D" w:rsidR="00245497" w:rsidRPr="00440196" w:rsidRDefault="00245497" w:rsidP="00245497">
      <w:pPr>
        <w:pStyle w:val="Normalnumber"/>
        <w:numPr>
          <w:ilvl w:val="0"/>
          <w:numId w:val="5"/>
        </w:numPr>
        <w:tabs>
          <w:tab w:val="clear" w:pos="567"/>
        </w:tabs>
        <w:rPr>
          <w:lang w:val="en-GB"/>
        </w:rPr>
      </w:pPr>
      <w:r w:rsidRPr="00440196">
        <w:rPr>
          <w:lang w:val="en-GB"/>
        </w:rPr>
        <w:t>Options for reducing emissions included reducing deforestation and forest degradation; increasing carbon sequestration through ecosystem restoration such as reforestation</w:t>
      </w:r>
      <w:r w:rsidR="00107105" w:rsidRPr="00440196">
        <w:rPr>
          <w:lang w:val="en-GB"/>
        </w:rPr>
        <w:t xml:space="preserve">; </w:t>
      </w:r>
      <w:r w:rsidRPr="00440196">
        <w:rPr>
          <w:lang w:val="en-GB"/>
        </w:rPr>
        <w:t>afforestation; and the use of biofuels and bioenergy coupled with carbon capture and storage.</w:t>
      </w:r>
      <w:r w:rsidR="00107105" w:rsidRPr="00440196">
        <w:rPr>
          <w:lang w:val="en-GB"/>
        </w:rPr>
        <w:t xml:space="preserve"> Each of these options </w:t>
      </w:r>
      <w:r w:rsidR="00187021" w:rsidRPr="00440196">
        <w:rPr>
          <w:lang w:val="en-GB"/>
        </w:rPr>
        <w:t>wa</w:t>
      </w:r>
      <w:r w:rsidR="00107105" w:rsidRPr="00440196">
        <w:rPr>
          <w:lang w:val="en-GB"/>
        </w:rPr>
        <w:t>s associated with both opportunity and risk.</w:t>
      </w:r>
    </w:p>
    <w:p w14:paraId="52074623" w14:textId="5D5E9832" w:rsidR="00245497" w:rsidRPr="00440196" w:rsidRDefault="00245497" w:rsidP="00245497">
      <w:pPr>
        <w:pStyle w:val="Normalnumber"/>
        <w:numPr>
          <w:ilvl w:val="0"/>
          <w:numId w:val="5"/>
        </w:numPr>
        <w:tabs>
          <w:tab w:val="clear" w:pos="567"/>
        </w:tabs>
        <w:rPr>
          <w:lang w:val="en-GB"/>
        </w:rPr>
      </w:pPr>
      <w:r w:rsidRPr="00440196">
        <w:rPr>
          <w:lang w:val="en-GB"/>
        </w:rPr>
        <w:t xml:space="preserve">Reducing deforestation and forest degradation was the subject of much activity under the </w:t>
      </w:r>
      <w:r w:rsidR="0006232F">
        <w:rPr>
          <w:lang w:val="en-GB"/>
        </w:rPr>
        <w:t xml:space="preserve">United Nations </w:t>
      </w:r>
      <w:r w:rsidRPr="00440196">
        <w:rPr>
          <w:lang w:val="en-GB"/>
        </w:rPr>
        <w:t xml:space="preserve">Framework Convention on Climate Change and promised major benefits ranging from 2 to 5 </w:t>
      </w:r>
      <w:proofErr w:type="spellStart"/>
      <w:r w:rsidRPr="00440196">
        <w:rPr>
          <w:lang w:val="en-GB"/>
        </w:rPr>
        <w:t>gigatonnes</w:t>
      </w:r>
      <w:proofErr w:type="spellEnd"/>
      <w:r w:rsidRPr="00440196">
        <w:rPr>
          <w:lang w:val="en-GB"/>
        </w:rPr>
        <w:t xml:space="preserve"> of carbon sequestration annually in</w:t>
      </w:r>
      <w:r w:rsidR="00505DCA" w:rsidRPr="00440196">
        <w:rPr>
          <w:lang w:val="en-GB"/>
        </w:rPr>
        <w:t xml:space="preserve"> the case of deforestation and from .</w:t>
      </w:r>
      <w:r w:rsidRPr="00440196">
        <w:rPr>
          <w:lang w:val="en-GB"/>
        </w:rPr>
        <w:t>3</w:t>
      </w:r>
      <w:r w:rsidR="00505DCA" w:rsidRPr="00440196">
        <w:rPr>
          <w:lang w:val="en-GB"/>
        </w:rPr>
        <w:t xml:space="preserve"> to </w:t>
      </w:r>
      <w:r w:rsidRPr="00440196">
        <w:rPr>
          <w:lang w:val="en-GB"/>
        </w:rPr>
        <w:t>1.7</w:t>
      </w:r>
      <w:r w:rsidR="004153C8">
        <w:rPr>
          <w:lang w:val="en-GB"/>
        </w:rPr>
        <w:t> </w:t>
      </w:r>
      <w:proofErr w:type="spellStart"/>
      <w:r w:rsidRPr="00440196">
        <w:rPr>
          <w:lang w:val="en-GB"/>
        </w:rPr>
        <w:t>gigatonnes</w:t>
      </w:r>
      <w:proofErr w:type="spellEnd"/>
      <w:r w:rsidRPr="00440196">
        <w:rPr>
          <w:lang w:val="en-GB"/>
        </w:rPr>
        <w:t xml:space="preserve"> for degradation. Reforestation could be done on many scales, including globally, on up to two billion hectares of land, with </w:t>
      </w:r>
      <w:r w:rsidR="00824FB1" w:rsidRPr="00440196">
        <w:rPr>
          <w:lang w:val="en-GB"/>
        </w:rPr>
        <w:t xml:space="preserve">the </w:t>
      </w:r>
      <w:r w:rsidRPr="00440196">
        <w:rPr>
          <w:lang w:val="en-GB"/>
        </w:rPr>
        <w:t xml:space="preserve">potential for sequestering 4 </w:t>
      </w:r>
      <w:proofErr w:type="spellStart"/>
      <w:r w:rsidRPr="00440196">
        <w:rPr>
          <w:lang w:val="en-GB"/>
        </w:rPr>
        <w:t>gigatonnes</w:t>
      </w:r>
      <w:proofErr w:type="spellEnd"/>
      <w:r w:rsidRPr="00440196">
        <w:rPr>
          <w:lang w:val="en-GB"/>
        </w:rPr>
        <w:t xml:space="preserve"> of CO</w:t>
      </w:r>
      <w:r w:rsidRPr="00440196">
        <w:rPr>
          <w:vertAlign w:val="subscript"/>
          <w:lang w:val="en-GB"/>
        </w:rPr>
        <w:t>2</w:t>
      </w:r>
      <w:r w:rsidRPr="00440196">
        <w:rPr>
          <w:lang w:val="en-GB"/>
        </w:rPr>
        <w:t xml:space="preserve"> per year. Restoration of other ecosystems could result in carbon sequestration as well; wetlands could serve as substantial carbon stores and provided enormous ecosystem services, including livelihoods and jobs, and a plant that played a key role in ecosystem restoration turned out to have the capacity to store large amounts of carbon. </w:t>
      </w:r>
      <w:r w:rsidR="00C56374" w:rsidRPr="00440196">
        <w:rPr>
          <w:lang w:val="en-GB"/>
        </w:rPr>
        <w:t xml:space="preserve">Other plants might have the same capacity. </w:t>
      </w:r>
      <w:r w:rsidRPr="00440196">
        <w:rPr>
          <w:lang w:val="en-GB"/>
        </w:rPr>
        <w:t xml:space="preserve">Ecosystem restoration could also be practiced on abandoned agricultural lands, again offering extensive </w:t>
      </w:r>
      <w:r w:rsidR="00107105" w:rsidRPr="00440196">
        <w:rPr>
          <w:lang w:val="en-GB"/>
        </w:rPr>
        <w:t>co-</w:t>
      </w:r>
      <w:r w:rsidRPr="00440196">
        <w:rPr>
          <w:lang w:val="en-GB"/>
        </w:rPr>
        <w:t>benefits in terms of biodiversity</w:t>
      </w:r>
      <w:r w:rsidR="00107105" w:rsidRPr="00440196">
        <w:rPr>
          <w:lang w:val="en-GB"/>
        </w:rPr>
        <w:t xml:space="preserve"> </w:t>
      </w:r>
      <w:r w:rsidR="005F343B" w:rsidRPr="00440196">
        <w:rPr>
          <w:lang w:val="en-GB"/>
        </w:rPr>
        <w:t>and</w:t>
      </w:r>
      <w:r w:rsidR="00107105" w:rsidRPr="00440196">
        <w:rPr>
          <w:lang w:val="en-GB"/>
        </w:rPr>
        <w:t xml:space="preserve"> mitigation objectives</w:t>
      </w:r>
      <w:r w:rsidRPr="00440196">
        <w:rPr>
          <w:lang w:val="en-GB"/>
        </w:rPr>
        <w:t>.</w:t>
      </w:r>
    </w:p>
    <w:p w14:paraId="7C1A90E4" w14:textId="3CDF7761" w:rsidR="00245497" w:rsidRPr="00440196" w:rsidRDefault="00245497" w:rsidP="00245497">
      <w:pPr>
        <w:pStyle w:val="Normalnumber"/>
        <w:numPr>
          <w:ilvl w:val="0"/>
          <w:numId w:val="5"/>
        </w:numPr>
        <w:tabs>
          <w:tab w:val="clear" w:pos="567"/>
        </w:tabs>
        <w:rPr>
          <w:lang w:val="en-GB"/>
        </w:rPr>
      </w:pPr>
      <w:r w:rsidRPr="00440196">
        <w:rPr>
          <w:lang w:val="en-GB"/>
        </w:rPr>
        <w:t xml:space="preserve">These approaches did carry risks, however, which varied from approach to approach. Afforestation, for example, was typically targeted at areas considered to be of marginal utility, but some </w:t>
      </w:r>
      <w:r w:rsidR="0006232F">
        <w:rPr>
          <w:lang w:val="en-GB"/>
        </w:rPr>
        <w:t>of th</w:t>
      </w:r>
      <w:r w:rsidR="00B33B06">
        <w:rPr>
          <w:lang w:val="en-GB"/>
        </w:rPr>
        <w:t>o</w:t>
      </w:r>
      <w:r w:rsidR="0006232F">
        <w:rPr>
          <w:lang w:val="en-GB"/>
        </w:rPr>
        <w:t>se</w:t>
      </w:r>
      <w:r w:rsidR="0006232F" w:rsidRPr="00440196">
        <w:rPr>
          <w:lang w:val="en-GB"/>
        </w:rPr>
        <w:t xml:space="preserve"> </w:t>
      </w:r>
      <w:r w:rsidRPr="00440196">
        <w:rPr>
          <w:lang w:val="en-GB"/>
        </w:rPr>
        <w:t xml:space="preserve">areas, such as </w:t>
      </w:r>
      <w:r w:rsidR="00C30AE5" w:rsidRPr="00440196">
        <w:rPr>
          <w:lang w:val="en-GB"/>
        </w:rPr>
        <w:t xml:space="preserve">ancient </w:t>
      </w:r>
      <w:r w:rsidRPr="00440196">
        <w:rPr>
          <w:lang w:val="en-GB"/>
        </w:rPr>
        <w:t>grasslands in Madagascar, were in fact of significant ecological value, already serving as substantial carbon stor</w:t>
      </w:r>
      <w:r w:rsidR="00B33B06">
        <w:rPr>
          <w:lang w:val="en-GB"/>
        </w:rPr>
        <w:t>es</w:t>
      </w:r>
      <w:r w:rsidRPr="00440196">
        <w:rPr>
          <w:lang w:val="en-GB"/>
        </w:rPr>
        <w:t xml:space="preserve"> and endowed with considerable biodiversity. There was always the risk, therefore, that the wrong land would be targeted, with negative consequences for both climate change and biodiversity.</w:t>
      </w:r>
      <w:r w:rsidR="00B22E2E" w:rsidRPr="00440196">
        <w:rPr>
          <w:lang w:val="en-GB"/>
        </w:rPr>
        <w:t xml:space="preserve"> The use of biofuels</w:t>
      </w:r>
      <w:r w:rsidRPr="00440196">
        <w:rPr>
          <w:lang w:val="en-GB"/>
        </w:rPr>
        <w:t xml:space="preserve"> could result in the conversion of natural ecosystems to croplands on a large scale, with obvious implications for biodiversity. Research showed that reforestation and afforestation</w:t>
      </w:r>
      <w:r w:rsidR="00107105" w:rsidRPr="00440196">
        <w:rPr>
          <w:lang w:val="en-GB"/>
        </w:rPr>
        <w:t>, appropriately deployed,</w:t>
      </w:r>
      <w:r w:rsidRPr="00440196">
        <w:rPr>
          <w:lang w:val="en-GB"/>
        </w:rPr>
        <w:t xml:space="preserve"> could exceed the carbon sequestration benefits of biofuels. Thus, very careful decision-making was needed before any mitigation strategy was employed, and conservation science had a critical role to play in assessing the risks to underpin </w:t>
      </w:r>
      <w:r w:rsidR="00107105" w:rsidRPr="00440196">
        <w:rPr>
          <w:lang w:val="en-GB"/>
        </w:rPr>
        <w:t xml:space="preserve">that </w:t>
      </w:r>
      <w:r w:rsidRPr="00440196">
        <w:rPr>
          <w:lang w:val="en-GB"/>
        </w:rPr>
        <w:t>decision-making.</w:t>
      </w:r>
    </w:p>
    <w:p w14:paraId="40D3CAD6" w14:textId="36F198F6" w:rsidR="00725AFD" w:rsidRPr="00440196" w:rsidRDefault="00245497" w:rsidP="00B22E2E">
      <w:pPr>
        <w:pStyle w:val="Normalnumber"/>
        <w:numPr>
          <w:ilvl w:val="0"/>
          <w:numId w:val="5"/>
        </w:numPr>
        <w:tabs>
          <w:tab w:val="clear" w:pos="567"/>
        </w:tabs>
        <w:rPr>
          <w:lang w:val="en-GB"/>
        </w:rPr>
      </w:pPr>
      <w:r w:rsidRPr="00440196">
        <w:rPr>
          <w:lang w:val="en-GB"/>
        </w:rPr>
        <w:t>In conclusion he said that global CO</w:t>
      </w:r>
      <w:r w:rsidRPr="00440196">
        <w:rPr>
          <w:vertAlign w:val="subscript"/>
          <w:lang w:val="en-GB"/>
        </w:rPr>
        <w:t>2</w:t>
      </w:r>
      <w:r w:rsidRPr="00440196">
        <w:rPr>
          <w:lang w:val="en-GB"/>
        </w:rPr>
        <w:t xml:space="preserve"> emissions had stabilized </w:t>
      </w:r>
      <w:r w:rsidR="00107105" w:rsidRPr="00440196">
        <w:rPr>
          <w:lang w:val="en-GB"/>
        </w:rPr>
        <w:t xml:space="preserve">for the time being, </w:t>
      </w:r>
      <w:r w:rsidRPr="00440196">
        <w:rPr>
          <w:lang w:val="en-GB"/>
        </w:rPr>
        <w:t xml:space="preserve">but significant efforts in renewables and land-based approaches would be needed along with other actions to maintain that trend and strengthen it to achieve the 2 degree global goal; that the land sink would play </w:t>
      </w:r>
      <w:r w:rsidR="00964D37" w:rsidRPr="00440196">
        <w:rPr>
          <w:lang w:val="en-GB"/>
        </w:rPr>
        <w:t xml:space="preserve">a </w:t>
      </w:r>
      <w:r w:rsidRPr="00440196">
        <w:rPr>
          <w:lang w:val="en-GB"/>
        </w:rPr>
        <w:t xml:space="preserve">significant role in mitigating warming, while ecosystem approaches would be critical to maintaining and enhancing the land sink; that afforestation and biofuels might be necessary </w:t>
      </w:r>
      <w:r w:rsidR="00313D20" w:rsidRPr="00440196">
        <w:rPr>
          <w:lang w:val="en-GB"/>
        </w:rPr>
        <w:t>but</w:t>
      </w:r>
      <w:r w:rsidRPr="00440196">
        <w:rPr>
          <w:lang w:val="en-GB"/>
        </w:rPr>
        <w:t xml:space="preserve"> could have significant implications for biodiversity and should be carefully considered and employed; and that conservation-related analytical efforts informed by expanding databases and tools played an increasingly important role in informing sustainable efforts to achieve the 2 degree goal and needed to be intensified to reduce the uncertainties.</w:t>
      </w:r>
    </w:p>
    <w:p w14:paraId="58375AAA" w14:textId="1B0980DA" w:rsidR="004F7F13" w:rsidRPr="00440196" w:rsidRDefault="004F7F13" w:rsidP="00B22E2E">
      <w:pPr>
        <w:pStyle w:val="Normalnumber"/>
        <w:numPr>
          <w:ilvl w:val="0"/>
          <w:numId w:val="5"/>
        </w:numPr>
        <w:tabs>
          <w:tab w:val="clear" w:pos="567"/>
        </w:tabs>
        <w:rPr>
          <w:lang w:val="en-GB"/>
        </w:rPr>
      </w:pPr>
      <w:r w:rsidRPr="00440196">
        <w:rPr>
          <w:lang w:val="en-GB"/>
        </w:rPr>
        <w:t>Following his presentation, in response to a question about the extent of blue carbon sinks, he said th</w:t>
      </w:r>
      <w:r w:rsidR="00651FC1" w:rsidRPr="00440196">
        <w:rPr>
          <w:lang w:val="en-GB"/>
        </w:rPr>
        <w:t xml:space="preserve">at </w:t>
      </w:r>
      <w:r w:rsidR="00107105" w:rsidRPr="00440196">
        <w:rPr>
          <w:lang w:val="en-GB"/>
        </w:rPr>
        <w:t>co</w:t>
      </w:r>
      <w:r w:rsidR="006424F8" w:rsidRPr="00440196">
        <w:rPr>
          <w:lang w:val="en-GB"/>
        </w:rPr>
        <w:t>astal an</w:t>
      </w:r>
      <w:r w:rsidR="00107105" w:rsidRPr="00440196">
        <w:rPr>
          <w:lang w:val="en-GB"/>
        </w:rPr>
        <w:t xml:space="preserve">d many other </w:t>
      </w:r>
      <w:r w:rsidR="006424F8" w:rsidRPr="00440196">
        <w:rPr>
          <w:lang w:val="en-GB"/>
        </w:rPr>
        <w:t xml:space="preserve">terrestrial </w:t>
      </w:r>
      <w:r w:rsidR="00651FC1" w:rsidRPr="00440196">
        <w:rPr>
          <w:lang w:val="en-GB"/>
        </w:rPr>
        <w:t xml:space="preserve">ecosystems such as </w:t>
      </w:r>
      <w:proofErr w:type="spellStart"/>
      <w:r w:rsidR="00651FC1" w:rsidRPr="00440196">
        <w:rPr>
          <w:lang w:val="en-GB"/>
        </w:rPr>
        <w:t>peat</w:t>
      </w:r>
      <w:r w:rsidRPr="00440196">
        <w:rPr>
          <w:lang w:val="en-GB"/>
        </w:rPr>
        <w:t>lands</w:t>
      </w:r>
      <w:proofErr w:type="spellEnd"/>
      <w:r w:rsidRPr="00440196">
        <w:rPr>
          <w:lang w:val="en-GB"/>
        </w:rPr>
        <w:t xml:space="preserve"> and grasslands appeared to offer significant carbon storage capabilities</w:t>
      </w:r>
      <w:r w:rsidR="00514308" w:rsidRPr="00440196">
        <w:rPr>
          <w:lang w:val="en-GB"/>
        </w:rPr>
        <w:t>,</w:t>
      </w:r>
      <w:r w:rsidRPr="00440196">
        <w:rPr>
          <w:lang w:val="en-GB"/>
        </w:rPr>
        <w:t xml:space="preserve"> that more were being discovered </w:t>
      </w:r>
      <w:r w:rsidR="009A40DF" w:rsidRPr="00440196">
        <w:rPr>
          <w:lang w:val="en-GB"/>
        </w:rPr>
        <w:t>all the</w:t>
      </w:r>
      <w:r w:rsidR="00514308" w:rsidRPr="00440196">
        <w:rPr>
          <w:lang w:val="en-GB"/>
        </w:rPr>
        <w:t xml:space="preserve"> time</w:t>
      </w:r>
      <w:r w:rsidRPr="00440196">
        <w:rPr>
          <w:lang w:val="en-GB"/>
        </w:rPr>
        <w:t xml:space="preserve"> </w:t>
      </w:r>
      <w:r w:rsidR="009A40DF" w:rsidRPr="00440196">
        <w:rPr>
          <w:lang w:val="en-GB"/>
        </w:rPr>
        <w:t xml:space="preserve">and that </w:t>
      </w:r>
      <w:r w:rsidRPr="00440196">
        <w:rPr>
          <w:lang w:val="en-GB"/>
        </w:rPr>
        <w:t xml:space="preserve">science </w:t>
      </w:r>
      <w:r w:rsidR="002259BF" w:rsidRPr="00440196">
        <w:rPr>
          <w:lang w:val="en-GB"/>
        </w:rPr>
        <w:t>had an important role to play</w:t>
      </w:r>
      <w:r w:rsidRPr="00440196">
        <w:rPr>
          <w:lang w:val="en-GB"/>
        </w:rPr>
        <w:t xml:space="preserve"> in continuing to identify such ecosystems. In response to a question about how to inspire the </w:t>
      </w:r>
      <w:r w:rsidR="00085F45" w:rsidRPr="00440196">
        <w:rPr>
          <w:lang w:val="en-GB"/>
        </w:rPr>
        <w:t>biodiversity</w:t>
      </w:r>
      <w:r w:rsidRPr="00440196">
        <w:rPr>
          <w:lang w:val="en-GB"/>
        </w:rPr>
        <w:t xml:space="preserve"> and climate change communities to join forces to mobilize their respective scientific communities to work together, he said that the role of science in charting a path was of increasing importance </w:t>
      </w:r>
      <w:r w:rsidR="00834034" w:rsidRPr="00440196">
        <w:rPr>
          <w:lang w:val="en-GB"/>
        </w:rPr>
        <w:t>because</w:t>
      </w:r>
      <w:r w:rsidRPr="00440196">
        <w:rPr>
          <w:lang w:val="en-GB"/>
        </w:rPr>
        <w:t xml:space="preserve"> the margin for error appeared to be narrowing; while the technology existed it was not cheap, but the cost of failure had to be made clear. </w:t>
      </w:r>
      <w:r w:rsidR="0006232F">
        <w:rPr>
          <w:lang w:val="en-GB"/>
        </w:rPr>
        <w:t>I</w:t>
      </w:r>
      <w:r w:rsidR="005458B1" w:rsidRPr="00440196">
        <w:rPr>
          <w:lang w:val="en-GB"/>
        </w:rPr>
        <w:t>n response to the latter question</w:t>
      </w:r>
      <w:r w:rsidR="0006232F">
        <w:rPr>
          <w:lang w:val="en-GB"/>
        </w:rPr>
        <w:t>, the Chair added</w:t>
      </w:r>
      <w:r w:rsidR="005458B1" w:rsidRPr="00440196">
        <w:rPr>
          <w:lang w:val="en-GB"/>
        </w:rPr>
        <w:t xml:space="preserve"> </w:t>
      </w:r>
      <w:r w:rsidRPr="00440196">
        <w:rPr>
          <w:lang w:val="en-GB"/>
        </w:rPr>
        <w:t xml:space="preserve">that one way to catalyse cooperation between the two communities was to involve the same experts in both </w:t>
      </w:r>
      <w:r w:rsidR="0006232F">
        <w:rPr>
          <w:lang w:val="en-GB"/>
        </w:rPr>
        <w:t>IPBES</w:t>
      </w:r>
      <w:r w:rsidR="0006232F" w:rsidRPr="00440196">
        <w:rPr>
          <w:lang w:val="en-GB"/>
        </w:rPr>
        <w:t xml:space="preserve"> </w:t>
      </w:r>
      <w:r w:rsidRPr="00440196">
        <w:rPr>
          <w:lang w:val="en-GB"/>
        </w:rPr>
        <w:t xml:space="preserve">assessments and work under the Intergovernmental Panel on Climate Change, </w:t>
      </w:r>
      <w:r w:rsidR="00F807E8" w:rsidRPr="00440196">
        <w:rPr>
          <w:lang w:val="en-GB"/>
        </w:rPr>
        <w:t xml:space="preserve">both formally and informally, </w:t>
      </w:r>
      <w:r w:rsidRPr="00440196">
        <w:rPr>
          <w:lang w:val="en-GB"/>
        </w:rPr>
        <w:t>as had already</w:t>
      </w:r>
      <w:r w:rsidR="00514308" w:rsidRPr="00440196">
        <w:rPr>
          <w:lang w:val="en-GB"/>
        </w:rPr>
        <w:t xml:space="preserve"> been done in a number of cases</w:t>
      </w:r>
      <w:r w:rsidRPr="00440196">
        <w:rPr>
          <w:lang w:val="en-GB"/>
        </w:rPr>
        <w:t>.</w:t>
      </w:r>
    </w:p>
    <w:p w14:paraId="62B6047C" w14:textId="26BBE194" w:rsidR="00B47AE3" w:rsidRPr="00440196" w:rsidRDefault="00B47AE3" w:rsidP="00B22E2E">
      <w:pPr>
        <w:pStyle w:val="Normalnumber"/>
        <w:numPr>
          <w:ilvl w:val="0"/>
          <w:numId w:val="5"/>
        </w:numPr>
        <w:tabs>
          <w:tab w:val="clear" w:pos="567"/>
        </w:tabs>
        <w:rPr>
          <w:lang w:val="en-GB"/>
        </w:rPr>
      </w:pPr>
      <w:r w:rsidRPr="00440196">
        <w:rPr>
          <w:lang w:val="en-GB"/>
        </w:rPr>
        <w:t xml:space="preserve">Following those remarks, representatives speaking on behalf of regional groups, </w:t>
      </w:r>
      <w:r w:rsidR="00A64099">
        <w:rPr>
          <w:lang w:val="en-GB"/>
        </w:rPr>
        <w:t>m</w:t>
      </w:r>
      <w:r w:rsidRPr="00440196">
        <w:rPr>
          <w:lang w:val="en-GB"/>
        </w:rPr>
        <w:t>ember</w:t>
      </w:r>
      <w:r w:rsidR="00A64099">
        <w:rPr>
          <w:lang w:val="en-GB"/>
        </w:rPr>
        <w:t>s</w:t>
      </w:r>
      <w:r w:rsidRPr="00440196">
        <w:rPr>
          <w:lang w:val="en-GB"/>
        </w:rPr>
        <w:t xml:space="preserve"> and stakeholders who had met in preparation for the current meeting made general statements in which they spoke of the progress of </w:t>
      </w:r>
      <w:r w:rsidR="0006232F">
        <w:rPr>
          <w:lang w:val="en-GB"/>
        </w:rPr>
        <w:t>IPBES</w:t>
      </w:r>
      <w:r w:rsidRPr="00440196">
        <w:rPr>
          <w:lang w:val="en-GB"/>
        </w:rPr>
        <w:t xml:space="preserve"> to date, the activities in support of </w:t>
      </w:r>
      <w:r w:rsidR="00CF19AF">
        <w:rPr>
          <w:lang w:val="en-GB"/>
        </w:rPr>
        <w:t>IPBES</w:t>
      </w:r>
      <w:r w:rsidRPr="00440196">
        <w:rPr>
          <w:lang w:val="en-GB"/>
        </w:rPr>
        <w:t xml:space="preserve"> </w:t>
      </w:r>
      <w:r w:rsidR="00B313AF" w:rsidRPr="00440196">
        <w:rPr>
          <w:lang w:val="en-GB"/>
        </w:rPr>
        <w:t xml:space="preserve">of those </w:t>
      </w:r>
      <w:r w:rsidR="0018248D" w:rsidRPr="00440196">
        <w:rPr>
          <w:lang w:val="en-GB"/>
        </w:rPr>
        <w:t>for whom</w:t>
      </w:r>
      <w:r w:rsidR="00B313AF" w:rsidRPr="00440196">
        <w:rPr>
          <w:lang w:val="en-GB"/>
        </w:rPr>
        <w:t xml:space="preserve"> they spoke </w:t>
      </w:r>
      <w:r w:rsidRPr="00440196">
        <w:rPr>
          <w:lang w:val="en-GB"/>
        </w:rPr>
        <w:t xml:space="preserve">and their expectations for the current session and the future </w:t>
      </w:r>
      <w:r w:rsidR="00FA6DF9" w:rsidRPr="00440196">
        <w:rPr>
          <w:lang w:val="en-GB"/>
        </w:rPr>
        <w:t>work</w:t>
      </w:r>
      <w:r w:rsidRPr="00440196">
        <w:rPr>
          <w:lang w:val="en-GB"/>
        </w:rPr>
        <w:t xml:space="preserve"> of </w:t>
      </w:r>
      <w:r w:rsidR="00A64099">
        <w:rPr>
          <w:lang w:val="en-GB"/>
        </w:rPr>
        <w:t>IPBES</w:t>
      </w:r>
      <w:r w:rsidRPr="00440196">
        <w:rPr>
          <w:lang w:val="en-GB"/>
        </w:rPr>
        <w:t>.</w:t>
      </w:r>
      <w:r w:rsidR="005B251A" w:rsidRPr="00440196">
        <w:rPr>
          <w:lang w:val="en-GB"/>
        </w:rPr>
        <w:t xml:space="preserve"> </w:t>
      </w:r>
      <w:r w:rsidR="00A27328" w:rsidRPr="00440196">
        <w:rPr>
          <w:lang w:val="en-GB"/>
        </w:rPr>
        <w:t>In addition,</w:t>
      </w:r>
      <w:r w:rsidR="005B251A" w:rsidRPr="00440196">
        <w:rPr>
          <w:lang w:val="en-GB"/>
        </w:rPr>
        <w:t xml:space="preserve"> representatives of Mexico and of the</w:t>
      </w:r>
      <w:r w:rsidR="00CF19AF">
        <w:rPr>
          <w:lang w:val="en-GB"/>
        </w:rPr>
        <w:t xml:space="preserve"> secretariat of the</w:t>
      </w:r>
      <w:r w:rsidR="005B251A" w:rsidRPr="00440196">
        <w:rPr>
          <w:lang w:val="en-GB"/>
        </w:rPr>
        <w:t xml:space="preserve"> Convention on Biological Diversity reported on the thirteenth meeting of the Conference of the Parties to the Convention, which </w:t>
      </w:r>
      <w:r w:rsidR="00A33E7F" w:rsidRPr="00440196">
        <w:rPr>
          <w:lang w:val="en-GB"/>
        </w:rPr>
        <w:t>had taken</w:t>
      </w:r>
      <w:r w:rsidR="005B251A" w:rsidRPr="00440196">
        <w:rPr>
          <w:lang w:val="en-GB"/>
        </w:rPr>
        <w:t xml:space="preserve"> place in</w:t>
      </w:r>
      <w:r w:rsidR="005B55EB" w:rsidRPr="00440196">
        <w:rPr>
          <w:lang w:val="en-GB"/>
        </w:rPr>
        <w:t xml:space="preserve"> Cancun, Mexico, </w:t>
      </w:r>
      <w:r w:rsidR="00183ECA" w:rsidRPr="00440196">
        <w:rPr>
          <w:lang w:val="en-GB"/>
        </w:rPr>
        <w:t>from 4 to 17 December 2016</w:t>
      </w:r>
      <w:r w:rsidR="00213E07" w:rsidRPr="00440196">
        <w:rPr>
          <w:lang w:val="en-GB"/>
        </w:rPr>
        <w:t xml:space="preserve">, in particular with regard to matters of relevance to </w:t>
      </w:r>
      <w:r w:rsidR="00CF19AF">
        <w:rPr>
          <w:lang w:val="en-GB"/>
        </w:rPr>
        <w:t>IPBES</w:t>
      </w:r>
      <w:r w:rsidR="005B251A" w:rsidRPr="00440196">
        <w:rPr>
          <w:lang w:val="en-GB"/>
        </w:rPr>
        <w:t>.</w:t>
      </w:r>
    </w:p>
    <w:p w14:paraId="7BD7043A" w14:textId="77777777" w:rsidR="00B47AE3" w:rsidRPr="00440196" w:rsidRDefault="00B47AE3" w:rsidP="00B47AE3">
      <w:pPr>
        <w:pStyle w:val="CH1"/>
        <w:keepNext w:val="0"/>
        <w:keepLines w:val="0"/>
        <w:rPr>
          <w:lang w:val="en-GB"/>
        </w:rPr>
      </w:pPr>
      <w:r w:rsidRPr="00440196">
        <w:rPr>
          <w:lang w:val="en-GB"/>
        </w:rPr>
        <w:tab/>
        <w:t>II.</w:t>
      </w:r>
      <w:r w:rsidRPr="00440196">
        <w:rPr>
          <w:lang w:val="en-GB"/>
        </w:rPr>
        <w:tab/>
        <w:t>Organizational matters</w:t>
      </w:r>
    </w:p>
    <w:p w14:paraId="02CA1697" w14:textId="77777777" w:rsidR="00B47AE3" w:rsidRPr="00440196" w:rsidRDefault="00B47AE3" w:rsidP="00B47AE3">
      <w:pPr>
        <w:pStyle w:val="CH2"/>
        <w:keepNext w:val="0"/>
        <w:keepLines w:val="0"/>
        <w:rPr>
          <w:lang w:val="en-GB"/>
        </w:rPr>
      </w:pPr>
      <w:r w:rsidRPr="00440196">
        <w:rPr>
          <w:lang w:val="en-GB"/>
        </w:rPr>
        <w:tab/>
        <w:t>A.</w:t>
      </w:r>
      <w:r w:rsidRPr="00440196">
        <w:rPr>
          <w:lang w:val="en-GB"/>
        </w:rPr>
        <w:tab/>
        <w:t>Adoption of the agenda and organization of work</w:t>
      </w:r>
    </w:p>
    <w:p w14:paraId="1DD15987" w14:textId="2142B1B4" w:rsidR="00B47AE3" w:rsidRPr="00440196" w:rsidRDefault="00B47AE3" w:rsidP="00B22E2E">
      <w:pPr>
        <w:pStyle w:val="Normalnumber"/>
        <w:numPr>
          <w:ilvl w:val="0"/>
          <w:numId w:val="5"/>
        </w:numPr>
        <w:tabs>
          <w:tab w:val="clear" w:pos="567"/>
        </w:tabs>
        <w:rPr>
          <w:lang w:val="en-GB"/>
        </w:rPr>
      </w:pPr>
      <w:r w:rsidRPr="00440196">
        <w:rPr>
          <w:lang w:val="en-GB"/>
        </w:rPr>
        <w:t>The Plenary adopted the following agenda on the basis of</w:t>
      </w:r>
      <w:r w:rsidR="00597A84" w:rsidRPr="00440196">
        <w:rPr>
          <w:lang w:val="en-GB"/>
        </w:rPr>
        <w:t xml:space="preserve"> the provisional agenda (IPBES/5</w:t>
      </w:r>
      <w:r w:rsidRPr="00440196">
        <w:rPr>
          <w:lang w:val="en-GB"/>
        </w:rPr>
        <w:t>/1</w:t>
      </w:r>
      <w:r w:rsidR="00597A84" w:rsidRPr="00440196">
        <w:rPr>
          <w:lang w:val="en-GB"/>
        </w:rPr>
        <w:t>/Rev.1</w:t>
      </w:r>
      <w:r w:rsidRPr="00440196">
        <w:rPr>
          <w:lang w:val="en-GB"/>
        </w:rPr>
        <w:t>).</w:t>
      </w:r>
    </w:p>
    <w:p w14:paraId="03644C24" w14:textId="77777777" w:rsidR="00B47AE3" w:rsidRPr="00440196" w:rsidRDefault="00B47AE3"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1.</w:t>
      </w:r>
      <w:r w:rsidRPr="00440196">
        <w:rPr>
          <w:lang w:val="en-GB"/>
        </w:rPr>
        <w:tab/>
        <w:t>Opening of the session.</w:t>
      </w:r>
    </w:p>
    <w:p w14:paraId="39C9BF1F" w14:textId="77777777" w:rsidR="00B47AE3" w:rsidRPr="00440196" w:rsidRDefault="00B47AE3"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2.</w:t>
      </w:r>
      <w:r w:rsidRPr="00440196">
        <w:rPr>
          <w:lang w:val="en-GB"/>
        </w:rPr>
        <w:tab/>
        <w:t>Organizational matters:</w:t>
      </w:r>
    </w:p>
    <w:p w14:paraId="0BB5CB07" w14:textId="77777777"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(a)</w:t>
      </w:r>
      <w:r w:rsidRPr="00440196">
        <w:rPr>
          <w:lang w:val="en-GB"/>
        </w:rPr>
        <w:tab/>
        <w:t>Adoption of the agenda and organization of work;</w:t>
      </w:r>
    </w:p>
    <w:p w14:paraId="583A78F3" w14:textId="77777777"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(b)</w:t>
      </w:r>
      <w:r w:rsidRPr="00440196">
        <w:rPr>
          <w:lang w:val="en-GB"/>
        </w:rPr>
        <w:tab/>
        <w:t>Status of the membership of the Platform;</w:t>
      </w:r>
    </w:p>
    <w:p w14:paraId="563EDEF6" w14:textId="6118413B"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(c)</w:t>
      </w:r>
      <w:r w:rsidRPr="00440196">
        <w:rPr>
          <w:lang w:val="en-GB"/>
        </w:rPr>
        <w:tab/>
      </w:r>
      <w:r w:rsidR="00FC45D5" w:rsidRPr="00440196">
        <w:rPr>
          <w:lang w:val="en-GB"/>
        </w:rPr>
        <w:t>Election of alternate members of the Multidisciplinary Expert Panel</w:t>
      </w:r>
      <w:r w:rsidRPr="00440196">
        <w:rPr>
          <w:lang w:val="en-GB"/>
        </w:rPr>
        <w:t>.</w:t>
      </w:r>
    </w:p>
    <w:p w14:paraId="44FC77A8" w14:textId="1BE791E9" w:rsidR="00B47AE3" w:rsidRPr="00440196" w:rsidRDefault="00B47AE3"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3.</w:t>
      </w:r>
      <w:r w:rsidRPr="00440196">
        <w:rPr>
          <w:lang w:val="en-GB"/>
        </w:rPr>
        <w:tab/>
      </w:r>
      <w:r w:rsidR="000D74EB" w:rsidRPr="00440196">
        <w:rPr>
          <w:lang w:val="en-GB"/>
        </w:rPr>
        <w:t>Admission of observers to the fifth session of the Platform</w:t>
      </w:r>
      <w:r w:rsidRPr="00440196">
        <w:rPr>
          <w:lang w:val="en-GB"/>
        </w:rPr>
        <w:t>.</w:t>
      </w:r>
    </w:p>
    <w:p w14:paraId="7A8B71B6" w14:textId="5FA0C2D5" w:rsidR="00FC45D5" w:rsidRPr="00440196" w:rsidRDefault="00FC45D5"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4.</w:t>
      </w:r>
      <w:r w:rsidRPr="00440196">
        <w:rPr>
          <w:lang w:val="en-GB"/>
        </w:rPr>
        <w:tab/>
        <w:t>Credentials of representatives.</w:t>
      </w:r>
    </w:p>
    <w:p w14:paraId="24873E47" w14:textId="743A6D46" w:rsidR="00B47AE3" w:rsidRPr="00440196" w:rsidRDefault="00D62BDE"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5</w:t>
      </w:r>
      <w:r w:rsidR="00B47AE3" w:rsidRPr="00440196">
        <w:rPr>
          <w:lang w:val="en-GB"/>
        </w:rPr>
        <w:t>.</w:t>
      </w:r>
      <w:r w:rsidR="00B47AE3" w:rsidRPr="00440196">
        <w:rPr>
          <w:lang w:val="en-GB"/>
        </w:rPr>
        <w:tab/>
        <w:t xml:space="preserve">Report of the Executive Secretary on the implementation of the work programme </w:t>
      </w:r>
      <w:r w:rsidR="00B47AE3" w:rsidRPr="00440196">
        <w:rPr>
          <w:lang w:val="en-GB"/>
        </w:rPr>
        <w:br/>
        <w:t>2014–2018.</w:t>
      </w:r>
    </w:p>
    <w:p w14:paraId="736CDFE3" w14:textId="14CA4DDC" w:rsidR="00B47AE3" w:rsidRPr="00440196" w:rsidRDefault="00676A85"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6</w:t>
      </w:r>
      <w:r w:rsidR="00B47AE3" w:rsidRPr="00440196">
        <w:rPr>
          <w:lang w:val="en-GB"/>
        </w:rPr>
        <w:t>.</w:t>
      </w:r>
      <w:r w:rsidR="00B47AE3" w:rsidRPr="00440196">
        <w:rPr>
          <w:lang w:val="en-GB"/>
        </w:rPr>
        <w:tab/>
        <w:t>Work programme of the Platform:</w:t>
      </w:r>
    </w:p>
    <w:p w14:paraId="32D60D37" w14:textId="6D8F7EC5"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(a)</w:t>
      </w:r>
      <w:r w:rsidRPr="00440196">
        <w:rPr>
          <w:lang w:val="en-GB"/>
        </w:rPr>
        <w:tab/>
      </w:r>
      <w:r w:rsidR="00676A85" w:rsidRPr="00440196">
        <w:rPr>
          <w:lang w:val="en-GB"/>
        </w:rPr>
        <w:t>Capacity-building</w:t>
      </w:r>
      <w:r w:rsidRPr="00440196">
        <w:rPr>
          <w:lang w:val="en-GB"/>
        </w:rPr>
        <w:t xml:space="preserve">; </w:t>
      </w:r>
    </w:p>
    <w:p w14:paraId="58C5B34C" w14:textId="4DC10BC6"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(b)</w:t>
      </w:r>
      <w:r w:rsidRPr="00440196">
        <w:rPr>
          <w:lang w:val="en-GB"/>
        </w:rPr>
        <w:tab/>
      </w:r>
      <w:r w:rsidR="00676A85" w:rsidRPr="00440196">
        <w:rPr>
          <w:lang w:val="en-GB"/>
        </w:rPr>
        <w:t>Indigenous and local knowledge systems</w:t>
      </w:r>
      <w:r w:rsidRPr="00440196">
        <w:rPr>
          <w:lang w:val="en-GB"/>
        </w:rPr>
        <w:t>;</w:t>
      </w:r>
    </w:p>
    <w:p w14:paraId="337C4CEB" w14:textId="474AC4B8"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(c)</w:t>
      </w:r>
      <w:r w:rsidRPr="00440196">
        <w:rPr>
          <w:lang w:val="en-GB"/>
        </w:rPr>
        <w:tab/>
      </w:r>
      <w:r w:rsidR="00676A85" w:rsidRPr="00440196">
        <w:rPr>
          <w:lang w:val="en-GB"/>
        </w:rPr>
        <w:t>Knowledge and data</w:t>
      </w:r>
      <w:r w:rsidRPr="00440196">
        <w:rPr>
          <w:lang w:val="en-GB"/>
        </w:rPr>
        <w:t>;</w:t>
      </w:r>
    </w:p>
    <w:p w14:paraId="429F92D6" w14:textId="3E204ADA"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(d)</w:t>
      </w:r>
      <w:r w:rsidRPr="00440196">
        <w:rPr>
          <w:lang w:val="en-GB"/>
        </w:rPr>
        <w:tab/>
      </w:r>
      <w:r w:rsidR="00676A85" w:rsidRPr="00440196">
        <w:rPr>
          <w:lang w:val="en-GB"/>
        </w:rPr>
        <w:t>Methodological assessment regarding the diverse conceptualization of multiple values of nature and its benefits</w:t>
      </w:r>
      <w:r w:rsidRPr="00440196">
        <w:rPr>
          <w:lang w:val="en-GB"/>
        </w:rPr>
        <w:t xml:space="preserve">; </w:t>
      </w:r>
    </w:p>
    <w:p w14:paraId="7ED0EFCF" w14:textId="39A9358F"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(e)</w:t>
      </w:r>
      <w:r w:rsidRPr="00440196">
        <w:rPr>
          <w:lang w:val="en-GB"/>
        </w:rPr>
        <w:tab/>
      </w:r>
      <w:r w:rsidR="00676A85" w:rsidRPr="00440196">
        <w:rPr>
          <w:lang w:val="en-GB"/>
        </w:rPr>
        <w:t>Thematic assessment on invasive alien species</w:t>
      </w:r>
      <w:r w:rsidRPr="00440196">
        <w:rPr>
          <w:lang w:val="en-GB"/>
        </w:rPr>
        <w:t>;</w:t>
      </w:r>
    </w:p>
    <w:p w14:paraId="308CD0C3" w14:textId="4969A776"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(f)</w:t>
      </w:r>
      <w:r w:rsidRPr="00440196">
        <w:rPr>
          <w:lang w:val="en-GB"/>
        </w:rPr>
        <w:tab/>
      </w:r>
      <w:r w:rsidR="00676A85" w:rsidRPr="00440196">
        <w:rPr>
          <w:lang w:val="en-GB"/>
        </w:rPr>
        <w:t>Thematic assessment on the sustainable use of biodiversity</w:t>
      </w:r>
      <w:r w:rsidRPr="00440196">
        <w:rPr>
          <w:lang w:val="en-GB"/>
        </w:rPr>
        <w:t>;</w:t>
      </w:r>
    </w:p>
    <w:p w14:paraId="2531865C" w14:textId="4C27F7C7"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(g)</w:t>
      </w:r>
      <w:r w:rsidRPr="00440196">
        <w:rPr>
          <w:lang w:val="en-GB"/>
        </w:rPr>
        <w:tab/>
      </w:r>
      <w:r w:rsidR="00676A85" w:rsidRPr="00440196">
        <w:rPr>
          <w:lang w:val="en-GB"/>
        </w:rPr>
        <w:t>Policy support tools and methodologies</w:t>
      </w:r>
      <w:r w:rsidRPr="00440196">
        <w:rPr>
          <w:lang w:val="en-GB"/>
        </w:rPr>
        <w:t>;</w:t>
      </w:r>
    </w:p>
    <w:p w14:paraId="20C162D3" w14:textId="5BCD1158"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(h)</w:t>
      </w:r>
      <w:r w:rsidRPr="00440196">
        <w:rPr>
          <w:lang w:val="en-GB"/>
        </w:rPr>
        <w:tab/>
      </w:r>
      <w:r w:rsidR="00676A85" w:rsidRPr="00440196">
        <w:rPr>
          <w:lang w:val="en-GB"/>
        </w:rPr>
        <w:t>Communication, stakeholder engagement and strategic partnerships.</w:t>
      </w:r>
    </w:p>
    <w:p w14:paraId="49DA4889" w14:textId="77777777" w:rsidR="00676A85" w:rsidRPr="00440196" w:rsidRDefault="00676A85"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7</w:t>
      </w:r>
      <w:r w:rsidR="00B47AE3" w:rsidRPr="00440196">
        <w:rPr>
          <w:lang w:val="en-GB"/>
        </w:rPr>
        <w:t>.</w:t>
      </w:r>
      <w:r w:rsidR="00B47AE3" w:rsidRPr="00440196">
        <w:rPr>
          <w:lang w:val="en-GB"/>
        </w:rPr>
        <w:tab/>
        <w:t xml:space="preserve">Financial and budgetary arrangements for the Platform: </w:t>
      </w:r>
    </w:p>
    <w:p w14:paraId="2C17D08D" w14:textId="7969B629" w:rsidR="00676A85" w:rsidRPr="00440196" w:rsidRDefault="00676A85"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(a)</w:t>
      </w:r>
      <w:r w:rsidRPr="00440196">
        <w:rPr>
          <w:lang w:val="en-GB"/>
        </w:rPr>
        <w:tab/>
      </w:r>
      <w:r w:rsidR="00895368" w:rsidRPr="00440196">
        <w:rPr>
          <w:lang w:val="en-GB"/>
        </w:rPr>
        <w:t>B</w:t>
      </w:r>
      <w:r w:rsidR="00B47AE3" w:rsidRPr="00440196">
        <w:rPr>
          <w:lang w:val="en-GB"/>
        </w:rPr>
        <w:t>udget and expenditure for</w:t>
      </w:r>
      <w:r w:rsidRPr="00440196">
        <w:rPr>
          <w:lang w:val="en-GB"/>
        </w:rPr>
        <w:t xml:space="preserve"> the period 2014–2018;</w:t>
      </w:r>
    </w:p>
    <w:p w14:paraId="35F8EC6E" w14:textId="0B0147E0" w:rsidR="00B47AE3" w:rsidRPr="00440196" w:rsidRDefault="00676A85"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(b)</w:t>
      </w:r>
      <w:r w:rsidRPr="00440196">
        <w:rPr>
          <w:lang w:val="en-GB"/>
        </w:rPr>
        <w:tab/>
        <w:t>Trust Fund.</w:t>
      </w:r>
    </w:p>
    <w:p w14:paraId="025C01CC" w14:textId="708D782B" w:rsidR="0086003B" w:rsidRPr="00440196" w:rsidRDefault="0086003B"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8.</w:t>
      </w:r>
      <w:r w:rsidRPr="00440196">
        <w:rPr>
          <w:lang w:val="en-GB"/>
        </w:rPr>
        <w:tab/>
        <w:t>Review of the Platform.</w:t>
      </w:r>
    </w:p>
    <w:p w14:paraId="2992FF25" w14:textId="5EF2AF6D" w:rsidR="00B47AE3" w:rsidRPr="00440196" w:rsidRDefault="0086003B" w:rsidP="00125411">
      <w:pPr>
        <w:pStyle w:val="Normalnumber"/>
        <w:tabs>
          <w:tab w:val="clear" w:pos="1247"/>
          <w:tab w:val="clear" w:pos="1814"/>
          <w:tab w:val="clear" w:pos="2381"/>
          <w:tab w:val="clear" w:pos="2948"/>
          <w:tab w:val="clear" w:pos="3515"/>
          <w:tab w:val="clear" w:pos="4082"/>
        </w:tabs>
        <w:spacing w:after="112"/>
        <w:ind w:left="2495" w:hanging="624"/>
        <w:rPr>
          <w:lang w:val="en-GB"/>
        </w:rPr>
      </w:pPr>
      <w:r w:rsidRPr="00440196">
        <w:rPr>
          <w:lang w:val="en-GB"/>
        </w:rPr>
        <w:t>9</w:t>
      </w:r>
      <w:r w:rsidR="00B47AE3" w:rsidRPr="00440196">
        <w:rPr>
          <w:lang w:val="en-GB"/>
        </w:rPr>
        <w:t>.</w:t>
      </w:r>
      <w:r w:rsidR="00B47AE3" w:rsidRPr="00440196">
        <w:rPr>
          <w:lang w:val="en-GB"/>
        </w:rPr>
        <w:tab/>
      </w:r>
      <w:r w:rsidRPr="00440196">
        <w:rPr>
          <w:lang w:val="en-GB"/>
        </w:rPr>
        <w:t>Planning for future sessions of the Plenary</w:t>
      </w:r>
      <w:r w:rsidR="00B47AE3" w:rsidRPr="00440196">
        <w:rPr>
          <w:lang w:val="en-GB"/>
        </w:rPr>
        <w:t xml:space="preserve">: </w:t>
      </w:r>
    </w:p>
    <w:p w14:paraId="0752F75A" w14:textId="11667513"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(a)</w:t>
      </w:r>
      <w:r w:rsidRPr="00440196">
        <w:rPr>
          <w:lang w:val="en-GB"/>
        </w:rPr>
        <w:tab/>
      </w:r>
      <w:r w:rsidR="0086003B" w:rsidRPr="00440196">
        <w:rPr>
          <w:lang w:val="en-GB"/>
        </w:rPr>
        <w:t>Provisional agenda, organization of work, date</w:t>
      </w:r>
      <w:r w:rsidR="00C05C56">
        <w:rPr>
          <w:lang w:val="en-GB"/>
        </w:rPr>
        <w:t>s</w:t>
      </w:r>
      <w:r w:rsidR="0086003B" w:rsidRPr="00440196">
        <w:rPr>
          <w:lang w:val="en-GB"/>
        </w:rPr>
        <w:t xml:space="preserve"> and venue</w:t>
      </w:r>
      <w:r w:rsidR="00C05C56">
        <w:rPr>
          <w:lang w:val="en-GB"/>
        </w:rPr>
        <w:t>s</w:t>
      </w:r>
      <w:r w:rsidR="0086003B" w:rsidRPr="00440196">
        <w:rPr>
          <w:lang w:val="en-GB"/>
        </w:rPr>
        <w:t xml:space="preserve"> of the sixth and seventh sessions of the Plenary</w:t>
      </w:r>
      <w:r w:rsidRPr="00440196">
        <w:rPr>
          <w:lang w:val="en-GB"/>
        </w:rPr>
        <w:t xml:space="preserve">; </w:t>
      </w:r>
    </w:p>
    <w:p w14:paraId="233DD72F" w14:textId="0A6F611F" w:rsidR="00B47AE3" w:rsidRPr="00440196" w:rsidRDefault="00B47AE3" w:rsidP="00125411">
      <w:pPr>
        <w:pStyle w:val="Normalnumber"/>
        <w:tabs>
          <w:tab w:val="clear" w:pos="1247"/>
          <w:tab w:val="clear" w:pos="1814"/>
          <w:tab w:val="clear" w:pos="2381"/>
          <w:tab w:val="clear" w:pos="2948"/>
          <w:tab w:val="clear" w:pos="3515"/>
          <w:tab w:val="clear" w:pos="4082"/>
          <w:tab w:val="left" w:pos="624"/>
        </w:tabs>
        <w:spacing w:after="112"/>
        <w:ind w:left="3119" w:hanging="624"/>
        <w:rPr>
          <w:lang w:val="en-GB"/>
        </w:rPr>
      </w:pPr>
      <w:r w:rsidRPr="00440196">
        <w:rPr>
          <w:lang w:val="en-GB"/>
        </w:rPr>
        <w:t>(b)</w:t>
      </w:r>
      <w:r w:rsidRPr="00440196">
        <w:rPr>
          <w:lang w:val="en-GB"/>
        </w:rPr>
        <w:tab/>
      </w:r>
      <w:r w:rsidR="0086003B" w:rsidRPr="00440196">
        <w:rPr>
          <w:lang w:val="en-GB"/>
        </w:rPr>
        <w:t>Process for the development of a second work programme for the Platform.</w:t>
      </w:r>
    </w:p>
    <w:p w14:paraId="1674E817" w14:textId="4EA5CE2C" w:rsidR="00B47AE3" w:rsidRPr="00440196" w:rsidRDefault="0086003B" w:rsidP="00B47AE3">
      <w:pPr>
        <w:pStyle w:val="Normalnumber"/>
        <w:tabs>
          <w:tab w:val="clear" w:pos="1247"/>
          <w:tab w:val="clear" w:pos="1814"/>
          <w:tab w:val="clear" w:pos="2381"/>
          <w:tab w:val="clear" w:pos="2948"/>
          <w:tab w:val="clear" w:pos="3515"/>
          <w:tab w:val="clear" w:pos="4082"/>
        </w:tabs>
        <w:ind w:left="2495" w:hanging="624"/>
        <w:rPr>
          <w:lang w:val="en-GB"/>
        </w:rPr>
      </w:pPr>
      <w:r w:rsidRPr="00440196">
        <w:rPr>
          <w:lang w:val="en-GB"/>
        </w:rPr>
        <w:t>10</w:t>
      </w:r>
      <w:r w:rsidR="00B47AE3" w:rsidRPr="00440196">
        <w:rPr>
          <w:lang w:val="en-GB"/>
        </w:rPr>
        <w:t>.</w:t>
      </w:r>
      <w:r w:rsidR="00B47AE3" w:rsidRPr="00440196">
        <w:rPr>
          <w:lang w:val="en-GB"/>
        </w:rPr>
        <w:tab/>
      </w:r>
      <w:r w:rsidRPr="00440196">
        <w:rPr>
          <w:lang w:val="en-GB"/>
        </w:rPr>
        <w:t>Institutional arrangements: United Nations collaborative partnership arrangements for the work of the Platform and its secretariat</w:t>
      </w:r>
      <w:r w:rsidR="00B47AE3" w:rsidRPr="00440196">
        <w:rPr>
          <w:lang w:val="en-GB"/>
        </w:rPr>
        <w:t>.</w:t>
      </w:r>
    </w:p>
    <w:p w14:paraId="7B776AB0" w14:textId="2D4D6E93" w:rsidR="00B47AE3" w:rsidRPr="00440196" w:rsidRDefault="00B47AE3" w:rsidP="00B47AE3">
      <w:pPr>
        <w:pStyle w:val="Normalnumber"/>
        <w:tabs>
          <w:tab w:val="clear" w:pos="1247"/>
          <w:tab w:val="clear" w:pos="1814"/>
          <w:tab w:val="clear" w:pos="2381"/>
          <w:tab w:val="clear" w:pos="2948"/>
          <w:tab w:val="clear" w:pos="3515"/>
          <w:tab w:val="clear" w:pos="4082"/>
        </w:tabs>
        <w:ind w:left="2495" w:hanging="624"/>
        <w:rPr>
          <w:lang w:val="en-GB"/>
        </w:rPr>
      </w:pPr>
      <w:r w:rsidRPr="00440196">
        <w:rPr>
          <w:lang w:val="en-GB"/>
        </w:rPr>
        <w:t>11.</w:t>
      </w:r>
      <w:r w:rsidRPr="00440196">
        <w:rPr>
          <w:lang w:val="en-GB"/>
        </w:rPr>
        <w:tab/>
        <w:t xml:space="preserve">Adoption of </w:t>
      </w:r>
      <w:r w:rsidR="0086003B" w:rsidRPr="00440196">
        <w:rPr>
          <w:lang w:val="en-GB"/>
        </w:rPr>
        <w:t xml:space="preserve">the </w:t>
      </w:r>
      <w:r w:rsidRPr="00440196">
        <w:rPr>
          <w:lang w:val="en-GB"/>
        </w:rPr>
        <w:t>decisions and report of the session.</w:t>
      </w:r>
    </w:p>
    <w:p w14:paraId="2F44DB66" w14:textId="77777777" w:rsidR="00B47AE3" w:rsidRPr="00440196" w:rsidRDefault="00B47AE3" w:rsidP="00B47AE3">
      <w:pPr>
        <w:pStyle w:val="Normalnumber"/>
        <w:tabs>
          <w:tab w:val="clear" w:pos="1247"/>
          <w:tab w:val="clear" w:pos="1814"/>
          <w:tab w:val="clear" w:pos="2381"/>
          <w:tab w:val="clear" w:pos="2948"/>
          <w:tab w:val="clear" w:pos="3515"/>
          <w:tab w:val="clear" w:pos="4082"/>
        </w:tabs>
        <w:ind w:left="2495" w:hanging="624"/>
        <w:rPr>
          <w:lang w:val="en-GB"/>
        </w:rPr>
      </w:pPr>
      <w:r w:rsidRPr="00440196">
        <w:rPr>
          <w:lang w:val="en-GB"/>
        </w:rPr>
        <w:t>12.</w:t>
      </w:r>
      <w:r w:rsidRPr="00440196">
        <w:rPr>
          <w:lang w:val="en-GB"/>
        </w:rPr>
        <w:tab/>
        <w:t>Closure of the session.</w:t>
      </w:r>
    </w:p>
    <w:p w14:paraId="7FA19C76" w14:textId="77777777" w:rsidR="00B47AE3" w:rsidRPr="00440196" w:rsidRDefault="00B47AE3" w:rsidP="00B47AE3">
      <w:pPr>
        <w:pStyle w:val="CH2"/>
        <w:keepNext w:val="0"/>
        <w:keepLines w:val="0"/>
        <w:rPr>
          <w:lang w:val="en-GB"/>
        </w:rPr>
      </w:pPr>
      <w:r w:rsidRPr="00440196">
        <w:rPr>
          <w:lang w:val="en-GB"/>
        </w:rPr>
        <w:tab/>
        <w:t>B.</w:t>
      </w:r>
      <w:r w:rsidRPr="00440196">
        <w:rPr>
          <w:lang w:val="en-GB"/>
        </w:rPr>
        <w:tab/>
        <w:t>Status of the membership of the Platform</w:t>
      </w:r>
    </w:p>
    <w:p w14:paraId="75FC54D9" w14:textId="03ADCBA9" w:rsidR="00B47AE3" w:rsidRPr="00440196" w:rsidRDefault="00B47AE3" w:rsidP="00B22E2E">
      <w:pPr>
        <w:pStyle w:val="Normalnumber"/>
        <w:numPr>
          <w:ilvl w:val="0"/>
          <w:numId w:val="5"/>
        </w:numPr>
        <w:tabs>
          <w:tab w:val="clear" w:pos="567"/>
        </w:tabs>
        <w:rPr>
          <w:lang w:val="en-GB"/>
        </w:rPr>
      </w:pPr>
      <w:r w:rsidRPr="00440196">
        <w:rPr>
          <w:lang w:val="en-GB"/>
        </w:rPr>
        <w:t xml:space="preserve">The Chair reported that </w:t>
      </w:r>
      <w:r w:rsidR="00CA4666" w:rsidRPr="00440196">
        <w:rPr>
          <w:lang w:val="en-GB"/>
        </w:rPr>
        <w:t>Estonia and Romania</w:t>
      </w:r>
      <w:r w:rsidRPr="00440196">
        <w:rPr>
          <w:lang w:val="en-GB"/>
        </w:rPr>
        <w:t xml:space="preserve"> had joined </w:t>
      </w:r>
      <w:r w:rsidR="00DD7C51">
        <w:rPr>
          <w:lang w:val="en-GB"/>
        </w:rPr>
        <w:t>IPBES</w:t>
      </w:r>
      <w:r w:rsidRPr="00440196">
        <w:rPr>
          <w:lang w:val="en-GB"/>
        </w:rPr>
        <w:t xml:space="preserve"> since the </w:t>
      </w:r>
      <w:r w:rsidR="00CA4666" w:rsidRPr="00440196">
        <w:rPr>
          <w:lang w:val="en-GB"/>
        </w:rPr>
        <w:t>fourth</w:t>
      </w:r>
      <w:r w:rsidRPr="00440196">
        <w:rPr>
          <w:lang w:val="en-GB"/>
        </w:rPr>
        <w:t xml:space="preserve"> session of the Plenary. </w:t>
      </w:r>
      <w:r w:rsidR="00DD7C51">
        <w:rPr>
          <w:lang w:val="en-GB"/>
        </w:rPr>
        <w:t>IPBES</w:t>
      </w:r>
      <w:r w:rsidR="00CA4666" w:rsidRPr="00440196">
        <w:rPr>
          <w:lang w:val="en-GB"/>
        </w:rPr>
        <w:t xml:space="preserve"> thus had the following 126</w:t>
      </w:r>
      <w:r w:rsidRPr="00440196">
        <w:rPr>
          <w:lang w:val="en-GB"/>
        </w:rPr>
        <w:t xml:space="preserve"> </w:t>
      </w:r>
      <w:r w:rsidR="00A64099">
        <w:rPr>
          <w:lang w:val="en-GB"/>
        </w:rPr>
        <w:t>m</w:t>
      </w:r>
      <w:r w:rsidRPr="00440196">
        <w:rPr>
          <w:lang w:val="en-GB"/>
        </w:rPr>
        <w:t>ember</w:t>
      </w:r>
      <w:r w:rsidR="00FE0866">
        <w:rPr>
          <w:lang w:val="en-GB"/>
        </w:rPr>
        <w:t>s</w:t>
      </w:r>
      <w:r w:rsidRPr="00440196">
        <w:rPr>
          <w:lang w:val="en-GB"/>
        </w:rPr>
        <w:t>: Afghanistan, Albania, Algeria, Andorra, Antigua and Barbuda, Argentina, Australia, Austria, Azerbaijan, Bahrain, Bangladesh, Belarus, Belgium, Benin, Bhutan, Bolivia (</w:t>
      </w:r>
      <w:proofErr w:type="spellStart"/>
      <w:r w:rsidRPr="00440196">
        <w:rPr>
          <w:lang w:val="en-GB"/>
        </w:rPr>
        <w:t>Plurinational</w:t>
      </w:r>
      <w:proofErr w:type="spellEnd"/>
      <w:r w:rsidRPr="00440196">
        <w:rPr>
          <w:lang w:val="en-GB"/>
        </w:rPr>
        <w:t xml:space="preserve"> State of), Bosnia and Herzegovina, Botswana, Brazil, Burkina Faso, Burundi, Cambodia, Cameroon, Canada, Central African Republic, Chad, Chile, China, Colombia, Comoros, Congo, Costa Rica, Côte d’Ivoire, Croatia, Cuba, Czech Republic, Democratic Republic of the Congo, Denmark, Dominican Republic, Ecuador, Egypt, El Salvador, </w:t>
      </w:r>
      <w:r w:rsidR="00CA4666" w:rsidRPr="00440196">
        <w:rPr>
          <w:lang w:val="en-GB"/>
        </w:rPr>
        <w:t xml:space="preserve">Estonia, </w:t>
      </w:r>
      <w:r w:rsidRPr="00440196">
        <w:rPr>
          <w:lang w:val="en-GB"/>
        </w:rPr>
        <w:t xml:space="preserve">Ethiopia, Fiji, Finland, France, Gabon, Georgia, Germany, Ghana, Greece, Grenada, Guatemala, Guinea-Bissau, Guyana, Honduras, Hungary, India, Indonesia, Iran (Islamic Republic of), Iraq, Ireland, Israel, Japan, Kenya, Kyrgyzstan, Latvia, Liberia, Libya, Lithuania, Luxembourg, Madagascar, Malawi, Malaysia, Maldives, Mali, Mauritania, Mexico, Monaco, Montenegro, Morocco, Nepal, Netherlands, New Zealand, Nicaragua, Niger, Nigeria, Norway, Pakistan, Panama, Peru, Philippines, Portugal, Republic of Korea, Republic of Moldova, </w:t>
      </w:r>
      <w:r w:rsidR="00CA4666" w:rsidRPr="00440196">
        <w:rPr>
          <w:lang w:val="en-GB"/>
        </w:rPr>
        <w:t xml:space="preserve">Romania, </w:t>
      </w:r>
      <w:r w:rsidRPr="00440196">
        <w:rPr>
          <w:lang w:val="en-GB"/>
        </w:rPr>
        <w:t>Russian Federation, Saint Kitts and Nevis, Saint Lucia, Saudi Arabia, Senegal, Slovakia, South Africa, Spain, Sri Lanka, Sudan, Swaziland, Sweden, Switzerland, Tajikistan, Thailand, Togo, Trinidad and Tobago, Tunisia, Turkey, Uganda, United Arab Emirates, United Kingdom of Great</w:t>
      </w:r>
      <w:r w:rsidR="005A4A3A" w:rsidRPr="00440196">
        <w:rPr>
          <w:lang w:val="en-GB"/>
        </w:rPr>
        <w:t> </w:t>
      </w:r>
      <w:r w:rsidRPr="00440196">
        <w:rPr>
          <w:lang w:val="en-GB"/>
        </w:rPr>
        <w:t>Britain and Northern Ireland, United</w:t>
      </w:r>
      <w:r w:rsidR="004153C8">
        <w:rPr>
          <w:lang w:val="en-GB"/>
        </w:rPr>
        <w:t> </w:t>
      </w:r>
      <w:r w:rsidRPr="00440196">
        <w:rPr>
          <w:lang w:val="en-GB"/>
        </w:rPr>
        <w:t>Republic of Tanzania, United States of America, Uruguay, Viet Nam, Yemen, Zambia and Zimbabwe.</w:t>
      </w:r>
    </w:p>
    <w:p w14:paraId="785B8B76" w14:textId="27D11E93" w:rsidR="00852279" w:rsidRPr="00440196" w:rsidRDefault="000A53CE" w:rsidP="00852279">
      <w:pPr>
        <w:pStyle w:val="Normalnumber"/>
        <w:numPr>
          <w:ilvl w:val="0"/>
          <w:numId w:val="5"/>
        </w:numPr>
        <w:tabs>
          <w:tab w:val="clear" w:pos="567"/>
        </w:tabs>
        <w:rPr>
          <w:lang w:val="en-GB"/>
        </w:rPr>
      </w:pPr>
      <w:r w:rsidRPr="00440196">
        <w:rPr>
          <w:lang w:val="en-GB"/>
        </w:rPr>
        <w:t xml:space="preserve">Also under the item the representative of Slovakia, speaking on behalf of the member States of the European Union that were members of </w:t>
      </w:r>
      <w:r w:rsidR="00DD7C51">
        <w:rPr>
          <w:lang w:val="en-GB"/>
        </w:rPr>
        <w:t>IPBES</w:t>
      </w:r>
      <w:r w:rsidRPr="00440196">
        <w:rPr>
          <w:lang w:val="en-GB"/>
        </w:rPr>
        <w:t xml:space="preserve">, </w:t>
      </w:r>
      <w:r w:rsidR="00484582" w:rsidRPr="00440196">
        <w:rPr>
          <w:lang w:val="en-GB"/>
        </w:rPr>
        <w:t xml:space="preserve">introduced a proposal (IPBES/5/INF/27) relating to the </w:t>
      </w:r>
      <w:r w:rsidR="00DD7C51">
        <w:rPr>
          <w:lang w:val="en-GB"/>
        </w:rPr>
        <w:t>participation</w:t>
      </w:r>
      <w:r w:rsidR="00DD7C51" w:rsidRPr="00440196">
        <w:rPr>
          <w:lang w:val="en-GB"/>
        </w:rPr>
        <w:t xml:space="preserve"> </w:t>
      </w:r>
      <w:r w:rsidR="00484582" w:rsidRPr="00440196">
        <w:rPr>
          <w:lang w:val="en-GB"/>
        </w:rPr>
        <w:t>of the European Unio</w:t>
      </w:r>
      <w:r w:rsidR="00E94FF5" w:rsidRPr="00440196">
        <w:rPr>
          <w:lang w:val="en-GB"/>
        </w:rPr>
        <w:t xml:space="preserve">n </w:t>
      </w:r>
      <w:r w:rsidR="00DD7C51">
        <w:rPr>
          <w:lang w:val="en-GB"/>
        </w:rPr>
        <w:t>in</w:t>
      </w:r>
      <w:r w:rsidR="00852279" w:rsidRPr="00440196">
        <w:rPr>
          <w:lang w:val="en-GB"/>
        </w:rPr>
        <w:t xml:space="preserve"> </w:t>
      </w:r>
      <w:r w:rsidR="00DD7C51">
        <w:rPr>
          <w:lang w:val="en-GB"/>
        </w:rPr>
        <w:t>IPBES</w:t>
      </w:r>
      <w:r w:rsidR="00852279" w:rsidRPr="00440196">
        <w:rPr>
          <w:lang w:val="en-GB"/>
        </w:rPr>
        <w:t xml:space="preserve">. Recalling that </w:t>
      </w:r>
      <w:r w:rsidR="00DD7C51" w:rsidRPr="0067579E">
        <w:rPr>
          <w:lang w:val="en-GB"/>
        </w:rPr>
        <w:t>paragraph 2 of Rule 5</w:t>
      </w:r>
      <w:r w:rsidR="00852279" w:rsidRPr="0067579E">
        <w:rPr>
          <w:lang w:val="en-GB"/>
        </w:rPr>
        <w:t xml:space="preserve"> of the rules of procedure </w:t>
      </w:r>
      <w:r w:rsidR="00DD7C51" w:rsidRPr="0067579E">
        <w:rPr>
          <w:lang w:val="en-GB"/>
        </w:rPr>
        <w:t xml:space="preserve">for the Plenary of </w:t>
      </w:r>
      <w:r w:rsidR="00E95F23">
        <w:rPr>
          <w:lang w:val="en-GB"/>
        </w:rPr>
        <w:t>IPBES (decisions IPBES-1/1, annex I, and IPBES-</w:t>
      </w:r>
      <w:r w:rsidR="006F1703">
        <w:rPr>
          <w:lang w:val="en-GB"/>
        </w:rPr>
        <w:t>2/1</w:t>
      </w:r>
      <w:r w:rsidR="00E95F23">
        <w:rPr>
          <w:lang w:val="en-GB"/>
        </w:rPr>
        <w:t>)</w:t>
      </w:r>
      <w:r w:rsidR="00DD7C51">
        <w:rPr>
          <w:lang w:val="en-GB"/>
        </w:rPr>
        <w:t xml:space="preserve"> </w:t>
      </w:r>
      <w:r w:rsidR="00793DDF">
        <w:rPr>
          <w:lang w:val="en-GB"/>
        </w:rPr>
        <w:t>was</w:t>
      </w:r>
      <w:r w:rsidR="00793DDF" w:rsidRPr="00440196">
        <w:rPr>
          <w:lang w:val="en-GB"/>
        </w:rPr>
        <w:t xml:space="preserve"> </w:t>
      </w:r>
      <w:r w:rsidR="00852279" w:rsidRPr="00440196">
        <w:rPr>
          <w:lang w:val="en-GB"/>
        </w:rPr>
        <w:t xml:space="preserve">enclosed in square brackets, reflecting a continuing lack of consensus regarding whether regional economic integration organizations should be permitted to be members of </w:t>
      </w:r>
      <w:r w:rsidR="00DD7C51">
        <w:rPr>
          <w:lang w:val="en-GB"/>
        </w:rPr>
        <w:t>IPBES</w:t>
      </w:r>
      <w:r w:rsidR="00852279" w:rsidRPr="00440196">
        <w:rPr>
          <w:lang w:val="en-GB"/>
        </w:rPr>
        <w:t xml:space="preserve">, he proposed that pending the achievement of </w:t>
      </w:r>
      <w:r w:rsidR="00085F45" w:rsidRPr="00440196">
        <w:rPr>
          <w:lang w:val="en-GB"/>
        </w:rPr>
        <w:t>consensus</w:t>
      </w:r>
      <w:r w:rsidR="00852279" w:rsidRPr="00440196">
        <w:rPr>
          <w:lang w:val="en-GB"/>
        </w:rPr>
        <w:t xml:space="preserve"> on that question the European Union be granted enhanced observer status, including the right to speak in turn, the right to respond, the right to make proposals, </w:t>
      </w:r>
      <w:r w:rsidR="0060376C" w:rsidRPr="00440196">
        <w:rPr>
          <w:lang w:val="en-GB"/>
        </w:rPr>
        <w:t xml:space="preserve">and </w:t>
      </w:r>
      <w:r w:rsidR="00852279" w:rsidRPr="00440196">
        <w:rPr>
          <w:lang w:val="en-GB"/>
        </w:rPr>
        <w:t xml:space="preserve">the right </w:t>
      </w:r>
      <w:r w:rsidR="005F7AF0" w:rsidRPr="00440196">
        <w:rPr>
          <w:lang w:val="en-GB"/>
        </w:rPr>
        <w:t>to speak on and support, financially and otherwise, the implementation of the work</w:t>
      </w:r>
      <w:r w:rsidR="00D958BA" w:rsidRPr="00440196">
        <w:rPr>
          <w:lang w:val="en-GB"/>
        </w:rPr>
        <w:t xml:space="preserve"> programme</w:t>
      </w:r>
      <w:r w:rsidR="00852279" w:rsidRPr="00440196">
        <w:rPr>
          <w:lang w:val="en-GB"/>
        </w:rPr>
        <w:t xml:space="preserve">. </w:t>
      </w:r>
      <w:r w:rsidR="005F7AF0" w:rsidRPr="00440196">
        <w:rPr>
          <w:lang w:val="en-GB"/>
        </w:rPr>
        <w:t xml:space="preserve">Such status would not confer the right to vote or to be represented on the Bureau. </w:t>
      </w:r>
      <w:r w:rsidR="00852279" w:rsidRPr="00440196">
        <w:rPr>
          <w:lang w:val="en-GB"/>
        </w:rPr>
        <w:t xml:space="preserve">It was proposed that the enhanced </w:t>
      </w:r>
      <w:r w:rsidR="00666E11" w:rsidRPr="00440196">
        <w:rPr>
          <w:lang w:val="en-GB"/>
        </w:rPr>
        <w:t xml:space="preserve">observer </w:t>
      </w:r>
      <w:r w:rsidR="00852279" w:rsidRPr="00440196">
        <w:rPr>
          <w:lang w:val="en-GB"/>
        </w:rPr>
        <w:t>status be conferred by means of a decision without effecting any change in the rules of procedure.</w:t>
      </w:r>
    </w:p>
    <w:p w14:paraId="0E3D25C6" w14:textId="21409016" w:rsidR="006B1862" w:rsidRPr="00440196" w:rsidRDefault="00852279" w:rsidP="00852279">
      <w:pPr>
        <w:pStyle w:val="Normalnumber"/>
        <w:numPr>
          <w:ilvl w:val="0"/>
          <w:numId w:val="5"/>
        </w:numPr>
        <w:tabs>
          <w:tab w:val="clear" w:pos="567"/>
        </w:tabs>
        <w:rPr>
          <w:lang w:val="en-GB"/>
        </w:rPr>
      </w:pPr>
      <w:r w:rsidRPr="00440196">
        <w:rPr>
          <w:lang w:val="en-GB"/>
        </w:rPr>
        <w:t>Several representatives exp</w:t>
      </w:r>
      <w:r w:rsidR="008C560C" w:rsidRPr="00440196">
        <w:rPr>
          <w:lang w:val="en-GB"/>
        </w:rPr>
        <w:t>ressed support for the proposal</w:t>
      </w:r>
      <w:r w:rsidRPr="00440196">
        <w:rPr>
          <w:lang w:val="en-GB"/>
        </w:rPr>
        <w:t xml:space="preserve"> but two, speaking on behalf of the countries of their regions, expressed the desire for more information on </w:t>
      </w:r>
      <w:r w:rsidR="000077FB" w:rsidRPr="00440196">
        <w:rPr>
          <w:lang w:val="en-GB"/>
        </w:rPr>
        <w:t>its</w:t>
      </w:r>
      <w:r w:rsidRPr="00440196">
        <w:rPr>
          <w:lang w:val="en-GB"/>
        </w:rPr>
        <w:t xml:space="preserve"> potential ramifications</w:t>
      </w:r>
      <w:r w:rsidR="000077FB" w:rsidRPr="00440196">
        <w:rPr>
          <w:lang w:val="en-GB"/>
        </w:rPr>
        <w:t xml:space="preserve">, </w:t>
      </w:r>
      <w:r w:rsidRPr="00440196">
        <w:rPr>
          <w:lang w:val="en-GB"/>
        </w:rPr>
        <w:t xml:space="preserve">including with regard to </w:t>
      </w:r>
      <w:r w:rsidR="000077FB" w:rsidRPr="00440196">
        <w:rPr>
          <w:lang w:val="en-GB"/>
        </w:rPr>
        <w:t>the establishment of</w:t>
      </w:r>
      <w:r w:rsidRPr="00440196">
        <w:rPr>
          <w:lang w:val="en-GB"/>
        </w:rPr>
        <w:t xml:space="preserve"> a precedent, the treatment of other regional economic integration organizations or similarly situated entities, and the rules of procedure.</w:t>
      </w:r>
    </w:p>
    <w:p w14:paraId="01B03C91" w14:textId="37C195B5" w:rsidR="000A53CE" w:rsidRPr="00440196" w:rsidRDefault="006B1862" w:rsidP="007831BB">
      <w:pPr>
        <w:pStyle w:val="Normalnumber"/>
        <w:numPr>
          <w:ilvl w:val="0"/>
          <w:numId w:val="5"/>
        </w:numPr>
        <w:tabs>
          <w:tab w:val="clear" w:pos="567"/>
        </w:tabs>
        <w:rPr>
          <w:lang w:val="en-GB"/>
        </w:rPr>
      </w:pPr>
      <w:r w:rsidRPr="007831BB">
        <w:rPr>
          <w:lang w:val="en-GB"/>
        </w:rPr>
        <w:t xml:space="preserve">It was agreed that interested </w:t>
      </w:r>
      <w:r w:rsidR="003E19D0">
        <w:rPr>
          <w:lang w:val="en-GB"/>
        </w:rPr>
        <w:t>members</w:t>
      </w:r>
      <w:r w:rsidR="003E19D0" w:rsidRPr="007831BB">
        <w:rPr>
          <w:lang w:val="en-GB"/>
        </w:rPr>
        <w:t xml:space="preserve"> </w:t>
      </w:r>
      <w:r w:rsidRPr="007831BB">
        <w:rPr>
          <w:lang w:val="en-GB"/>
        </w:rPr>
        <w:t>would undertake informal consultations with the European Union</w:t>
      </w:r>
      <w:r w:rsidR="00A53C43" w:rsidRPr="007831BB">
        <w:rPr>
          <w:lang w:val="en-GB"/>
        </w:rPr>
        <w:t xml:space="preserve">, with the assistance of the </w:t>
      </w:r>
      <w:r w:rsidR="003E19D0">
        <w:rPr>
          <w:lang w:val="en-GB"/>
        </w:rPr>
        <w:t>Senior</w:t>
      </w:r>
      <w:r w:rsidR="003E19D0" w:rsidRPr="007831BB">
        <w:rPr>
          <w:lang w:val="en-GB"/>
        </w:rPr>
        <w:t xml:space="preserve"> </w:t>
      </w:r>
      <w:r w:rsidR="00A53C43" w:rsidRPr="007831BB">
        <w:rPr>
          <w:lang w:val="en-GB"/>
        </w:rPr>
        <w:t>Legal Officer</w:t>
      </w:r>
      <w:r w:rsidR="003E19D0">
        <w:rPr>
          <w:lang w:val="en-GB"/>
        </w:rPr>
        <w:t xml:space="preserve"> supporting the secretariat</w:t>
      </w:r>
      <w:r w:rsidR="0084478D" w:rsidRPr="00440196">
        <w:rPr>
          <w:lang w:val="en-GB"/>
        </w:rPr>
        <w:t xml:space="preserve">, and subsequently that the matter would be further discussed in </w:t>
      </w:r>
      <w:r w:rsidR="00645053">
        <w:rPr>
          <w:lang w:val="en-GB"/>
        </w:rPr>
        <w:t xml:space="preserve">a friends of the chair group facilitated by </w:t>
      </w:r>
      <w:proofErr w:type="spellStart"/>
      <w:r w:rsidR="00645053">
        <w:rPr>
          <w:lang w:val="en-GB"/>
        </w:rPr>
        <w:t>Mr.</w:t>
      </w:r>
      <w:proofErr w:type="spellEnd"/>
      <w:r w:rsidR="00645053">
        <w:rPr>
          <w:lang w:val="en-GB"/>
        </w:rPr>
        <w:t xml:space="preserve"> </w:t>
      </w:r>
      <w:proofErr w:type="spellStart"/>
      <w:r w:rsidR="00645053" w:rsidRPr="00604AE8">
        <w:rPr>
          <w:bCs/>
          <w:lang w:val="en-GB"/>
        </w:rPr>
        <w:t>Fundisile</w:t>
      </w:r>
      <w:proofErr w:type="spellEnd"/>
      <w:r w:rsidR="00645053" w:rsidRPr="00604AE8">
        <w:rPr>
          <w:bCs/>
          <w:lang w:val="en-GB"/>
        </w:rPr>
        <w:t xml:space="preserve"> </w:t>
      </w:r>
      <w:proofErr w:type="spellStart"/>
      <w:r w:rsidR="00645053" w:rsidRPr="00604AE8">
        <w:rPr>
          <w:bCs/>
          <w:lang w:val="en-GB"/>
        </w:rPr>
        <w:t>Mketeni</w:t>
      </w:r>
      <w:proofErr w:type="spellEnd"/>
      <w:r w:rsidR="00645053" w:rsidRPr="00604AE8">
        <w:rPr>
          <w:bCs/>
          <w:lang w:val="en-GB"/>
        </w:rPr>
        <w:t xml:space="preserve"> (South Africa)</w:t>
      </w:r>
      <w:r w:rsidR="00645053">
        <w:rPr>
          <w:bCs/>
          <w:lang w:val="en-GB"/>
        </w:rPr>
        <w:t xml:space="preserve"> and </w:t>
      </w:r>
      <w:r w:rsidR="00005CEB">
        <w:rPr>
          <w:bCs/>
          <w:lang w:val="en-GB"/>
        </w:rPr>
        <w:t xml:space="preserve">then </w:t>
      </w:r>
      <w:r w:rsidR="003E19D0">
        <w:rPr>
          <w:bCs/>
          <w:lang w:val="en-GB"/>
        </w:rPr>
        <w:t xml:space="preserve">in </w:t>
      </w:r>
      <w:r w:rsidR="0084478D" w:rsidRPr="00440196">
        <w:rPr>
          <w:lang w:val="en-GB"/>
        </w:rPr>
        <w:t xml:space="preserve">the contact group established as </w:t>
      </w:r>
      <w:r w:rsidR="0084478D" w:rsidRPr="00964A01">
        <w:rPr>
          <w:lang w:val="en-US"/>
        </w:rPr>
        <w:t xml:space="preserve">described in </w:t>
      </w:r>
      <w:r w:rsidR="0062533F" w:rsidRPr="00BA330E">
        <w:rPr>
          <w:lang w:val="en-GB"/>
        </w:rPr>
        <w:t>paragraph</w:t>
      </w:r>
      <w:r w:rsidR="0084478D" w:rsidRPr="00BA330E">
        <w:rPr>
          <w:lang w:val="en-GB"/>
        </w:rPr>
        <w:t xml:space="preserve"> </w:t>
      </w:r>
      <w:r w:rsidR="00683BDA" w:rsidRPr="00BA330E">
        <w:rPr>
          <w:lang w:val="en-GB"/>
        </w:rPr>
        <w:t xml:space="preserve">63 </w:t>
      </w:r>
      <w:r w:rsidR="0062533F" w:rsidRPr="00BA330E">
        <w:rPr>
          <w:lang w:val="en-GB"/>
        </w:rPr>
        <w:t>below</w:t>
      </w:r>
      <w:r w:rsidR="0084478D" w:rsidRPr="00964A01">
        <w:rPr>
          <w:lang w:val="en-US"/>
        </w:rPr>
        <w:t>. Following the</w:t>
      </w:r>
      <w:r w:rsidR="0084478D" w:rsidRPr="00440196">
        <w:rPr>
          <w:lang w:val="en-GB"/>
        </w:rPr>
        <w:t xml:space="preserve"> work of the contact group</w:t>
      </w:r>
      <w:r w:rsidR="0059359C">
        <w:rPr>
          <w:lang w:val="en-GB"/>
        </w:rPr>
        <w:t>,</w:t>
      </w:r>
      <w:r w:rsidR="0084478D" w:rsidRPr="00440196">
        <w:rPr>
          <w:lang w:val="en-GB"/>
        </w:rPr>
        <w:t xml:space="preserve"> </w:t>
      </w:r>
      <w:r w:rsidR="0084478D" w:rsidRPr="001B4189">
        <w:rPr>
          <w:lang w:val="en-GB"/>
        </w:rPr>
        <w:t>the Chair</w:t>
      </w:r>
      <w:r w:rsidR="003E19D0">
        <w:rPr>
          <w:lang w:val="en-GB"/>
        </w:rPr>
        <w:t>, in his function as the co-</w:t>
      </w:r>
      <w:r w:rsidR="00510EF7">
        <w:rPr>
          <w:lang w:val="en-GB"/>
        </w:rPr>
        <w:t>c</w:t>
      </w:r>
      <w:r w:rsidR="003E19D0">
        <w:rPr>
          <w:lang w:val="en-GB"/>
        </w:rPr>
        <w:t>h</w:t>
      </w:r>
      <w:r w:rsidR="00A64099">
        <w:rPr>
          <w:lang w:val="en-GB"/>
        </w:rPr>
        <w:t>ai</w:t>
      </w:r>
      <w:r w:rsidR="003E19D0">
        <w:rPr>
          <w:lang w:val="en-GB"/>
        </w:rPr>
        <w:t>r of the contact group,</w:t>
      </w:r>
      <w:r w:rsidR="003E19D0" w:rsidRPr="001B4189">
        <w:rPr>
          <w:lang w:val="en-GB"/>
        </w:rPr>
        <w:t xml:space="preserve"> </w:t>
      </w:r>
      <w:r w:rsidR="0084478D" w:rsidRPr="001B4189">
        <w:rPr>
          <w:lang w:val="en-GB"/>
        </w:rPr>
        <w:t>reported that the group had reached agreement on a draft decision</w:t>
      </w:r>
      <w:r w:rsidR="007120B3">
        <w:rPr>
          <w:lang w:val="en-GB"/>
        </w:rPr>
        <w:t xml:space="preserve"> on the matter</w:t>
      </w:r>
      <w:r w:rsidR="0084478D" w:rsidRPr="001B4189">
        <w:rPr>
          <w:lang w:val="en-GB"/>
        </w:rPr>
        <w:t xml:space="preserve"> for consideration by the Plenary</w:t>
      </w:r>
      <w:r w:rsidRPr="00964A01">
        <w:rPr>
          <w:lang w:val="en-US"/>
        </w:rPr>
        <w:t>.</w:t>
      </w:r>
      <w:r w:rsidR="00852279" w:rsidRPr="00440196">
        <w:rPr>
          <w:lang w:val="en-GB"/>
        </w:rPr>
        <w:t xml:space="preserve"> </w:t>
      </w:r>
    </w:p>
    <w:p w14:paraId="69BCC0F2" w14:textId="0F5F2659" w:rsidR="00510F65" w:rsidRPr="00440196" w:rsidRDefault="00B47AE3" w:rsidP="007831BB">
      <w:pPr>
        <w:pStyle w:val="CH2"/>
        <w:rPr>
          <w:lang w:val="en-GB"/>
        </w:rPr>
      </w:pPr>
      <w:r w:rsidRPr="00440196">
        <w:rPr>
          <w:lang w:val="en-GB"/>
        </w:rPr>
        <w:tab/>
        <w:t>C.</w:t>
      </w:r>
      <w:r w:rsidRPr="00440196">
        <w:rPr>
          <w:lang w:val="en-GB"/>
        </w:rPr>
        <w:tab/>
      </w:r>
      <w:r w:rsidR="00510F65" w:rsidRPr="00440196">
        <w:rPr>
          <w:lang w:val="en-GB"/>
        </w:rPr>
        <w:t>Election of alternate members of the Multidisciplinary Expert Panel</w:t>
      </w:r>
    </w:p>
    <w:p w14:paraId="2B844B3B" w14:textId="123684E4" w:rsidR="002E052C" w:rsidRPr="00440196" w:rsidRDefault="002E052C" w:rsidP="00B22E2E">
      <w:pPr>
        <w:pStyle w:val="Normalnumber"/>
        <w:numPr>
          <w:ilvl w:val="0"/>
          <w:numId w:val="5"/>
        </w:numPr>
        <w:tabs>
          <w:tab w:val="clear" w:pos="567"/>
        </w:tabs>
        <w:rPr>
          <w:lang w:val="en-GB"/>
        </w:rPr>
      </w:pPr>
      <w:r w:rsidRPr="00440196">
        <w:rPr>
          <w:lang w:val="en-GB"/>
        </w:rPr>
        <w:t>Introducing the sub-item the chair reported that since the fourth session of the Plenary</w:t>
      </w:r>
      <w:r w:rsidR="00A46E5A" w:rsidRPr="00440196">
        <w:rPr>
          <w:lang w:val="en-GB"/>
        </w:rPr>
        <w:t xml:space="preserve"> </w:t>
      </w:r>
      <w:proofErr w:type="spellStart"/>
      <w:r w:rsidR="00A46E5A" w:rsidRPr="00440196">
        <w:rPr>
          <w:lang w:val="en-GB"/>
        </w:rPr>
        <w:t>Ms.</w:t>
      </w:r>
      <w:proofErr w:type="spellEnd"/>
      <w:r w:rsidR="00440196">
        <w:rPr>
          <w:lang w:val="en-GB"/>
        </w:rPr>
        <w:t> </w:t>
      </w:r>
      <w:r w:rsidR="00A46E5A" w:rsidRPr="00440196">
        <w:rPr>
          <w:lang w:val="en-GB"/>
        </w:rPr>
        <w:t xml:space="preserve">Sandra Diaz (Argentina), </w:t>
      </w:r>
      <w:proofErr w:type="spellStart"/>
      <w:r w:rsidR="00A46E5A" w:rsidRPr="00440196">
        <w:rPr>
          <w:lang w:val="en-GB"/>
        </w:rPr>
        <w:t>Ms.</w:t>
      </w:r>
      <w:proofErr w:type="spellEnd"/>
      <w:r w:rsidR="00A46E5A" w:rsidRPr="00440196">
        <w:rPr>
          <w:lang w:val="en-GB"/>
        </w:rPr>
        <w:t xml:space="preserve"> </w:t>
      </w:r>
      <w:proofErr w:type="spellStart"/>
      <w:r w:rsidR="00A46E5A" w:rsidRPr="00440196">
        <w:rPr>
          <w:lang w:val="en-GB"/>
        </w:rPr>
        <w:t>Maja</w:t>
      </w:r>
      <w:proofErr w:type="spellEnd"/>
      <w:r w:rsidR="00A46E5A" w:rsidRPr="00440196">
        <w:rPr>
          <w:lang w:val="en-GB"/>
        </w:rPr>
        <w:t xml:space="preserve"> </w:t>
      </w:r>
      <w:proofErr w:type="spellStart"/>
      <w:r w:rsidR="00A46E5A" w:rsidRPr="00440196">
        <w:rPr>
          <w:lang w:val="en-GB"/>
        </w:rPr>
        <w:t>Vasilijević</w:t>
      </w:r>
      <w:proofErr w:type="spellEnd"/>
      <w:r w:rsidR="00A46E5A" w:rsidRPr="00440196">
        <w:rPr>
          <w:lang w:val="en-GB"/>
        </w:rPr>
        <w:t xml:space="preserve"> (Croatia), </w:t>
      </w:r>
      <w:proofErr w:type="spellStart"/>
      <w:r w:rsidR="00A46E5A" w:rsidRPr="00440196">
        <w:rPr>
          <w:lang w:val="en-GB"/>
        </w:rPr>
        <w:t>Mr.</w:t>
      </w:r>
      <w:proofErr w:type="spellEnd"/>
      <w:r w:rsidR="00A46E5A" w:rsidRPr="00440196">
        <w:rPr>
          <w:lang w:val="en-GB"/>
        </w:rPr>
        <w:t xml:space="preserve"> </w:t>
      </w:r>
      <w:proofErr w:type="spellStart"/>
      <w:r w:rsidR="00B5368E" w:rsidRPr="00440196">
        <w:rPr>
          <w:lang w:val="en-GB"/>
        </w:rPr>
        <w:t>György</w:t>
      </w:r>
      <w:proofErr w:type="spellEnd"/>
      <w:r w:rsidR="00B5368E" w:rsidRPr="00440196">
        <w:rPr>
          <w:lang w:val="en-GB"/>
        </w:rPr>
        <w:t xml:space="preserve"> Pataki (Hungary) and </w:t>
      </w:r>
      <w:proofErr w:type="spellStart"/>
      <w:r w:rsidR="00B5368E" w:rsidRPr="00440196">
        <w:rPr>
          <w:lang w:val="en-GB"/>
        </w:rPr>
        <w:t>Ms.</w:t>
      </w:r>
      <w:proofErr w:type="spellEnd"/>
      <w:r w:rsidR="00B5368E" w:rsidRPr="00440196">
        <w:rPr>
          <w:lang w:val="en-GB"/>
        </w:rPr>
        <w:t> </w:t>
      </w:r>
      <w:r w:rsidR="00A46E5A" w:rsidRPr="00440196">
        <w:rPr>
          <w:lang w:val="en-GB"/>
        </w:rPr>
        <w:t xml:space="preserve">Charlotte </w:t>
      </w:r>
      <w:proofErr w:type="spellStart"/>
      <w:r w:rsidR="00A46E5A" w:rsidRPr="00440196">
        <w:rPr>
          <w:lang w:val="en-GB"/>
        </w:rPr>
        <w:t>Karibuhoye</w:t>
      </w:r>
      <w:proofErr w:type="spellEnd"/>
      <w:r w:rsidR="00A46E5A" w:rsidRPr="00440196">
        <w:rPr>
          <w:lang w:val="en-GB"/>
        </w:rPr>
        <w:t xml:space="preserve"> (Senegal) had resigned from the Multidisciplinary Expert Panel.</w:t>
      </w:r>
      <w:r w:rsidR="008B6AF2" w:rsidRPr="00440196">
        <w:rPr>
          <w:lang w:val="en-GB"/>
        </w:rPr>
        <w:t xml:space="preserve"> In the case of </w:t>
      </w:r>
      <w:proofErr w:type="spellStart"/>
      <w:r w:rsidR="008B6AF2" w:rsidRPr="00440196">
        <w:rPr>
          <w:lang w:val="en-GB"/>
        </w:rPr>
        <w:t>Ms.</w:t>
      </w:r>
      <w:proofErr w:type="spellEnd"/>
      <w:r w:rsidR="008B6AF2" w:rsidRPr="00440196">
        <w:rPr>
          <w:lang w:val="en-GB"/>
        </w:rPr>
        <w:t xml:space="preserve"> Diaz, he noted, her resignation had been prompted by her election as a co-chair of the global assessment.</w:t>
      </w:r>
    </w:p>
    <w:p w14:paraId="0C44EC73" w14:textId="0A199024" w:rsidR="00B50850" w:rsidRPr="00BA330E" w:rsidRDefault="00B50850" w:rsidP="005A4A3A">
      <w:pPr>
        <w:pStyle w:val="Normalnumber"/>
        <w:keepNext/>
        <w:keepLines/>
        <w:widowControl w:val="0"/>
        <w:numPr>
          <w:ilvl w:val="0"/>
          <w:numId w:val="5"/>
        </w:numPr>
        <w:tabs>
          <w:tab w:val="clear" w:pos="567"/>
        </w:tabs>
        <w:rPr>
          <w:lang w:val="en-GB"/>
        </w:rPr>
      </w:pPr>
      <w:r w:rsidRPr="00440196">
        <w:rPr>
          <w:lang w:val="en-GB"/>
        </w:rPr>
        <w:t>In accordance with rule 31 of the rules of procedure</w:t>
      </w:r>
      <w:r w:rsidR="006E0A75" w:rsidRPr="00440196">
        <w:rPr>
          <w:lang w:val="en-GB"/>
        </w:rPr>
        <w:t>,</w:t>
      </w:r>
      <w:r w:rsidRPr="00440196">
        <w:rPr>
          <w:lang w:val="en-GB"/>
        </w:rPr>
        <w:t xml:space="preserve"> the Plenary</w:t>
      </w:r>
      <w:r w:rsidR="006E0A75" w:rsidRPr="00440196">
        <w:rPr>
          <w:lang w:val="en-GB"/>
        </w:rPr>
        <w:t xml:space="preserve"> then</w:t>
      </w:r>
      <w:r w:rsidRPr="00440196">
        <w:rPr>
          <w:lang w:val="en-GB"/>
        </w:rPr>
        <w:t xml:space="preserve"> elected the following new members of the Panel to serve the remainder of the terms of the resigning </w:t>
      </w:r>
      <w:r w:rsidRPr="00BA330E">
        <w:rPr>
          <w:lang w:val="en-GB"/>
        </w:rPr>
        <w:t>members:</w:t>
      </w:r>
      <w:r w:rsidR="00385B77" w:rsidRPr="00BA330E">
        <w:rPr>
          <w:lang w:val="en-GB"/>
        </w:rPr>
        <w:t xml:space="preserve"> </w:t>
      </w:r>
    </w:p>
    <w:p w14:paraId="16C51586" w14:textId="77777777" w:rsidR="00444B62" w:rsidRPr="00160BD4" w:rsidRDefault="00444B62" w:rsidP="005A4A3A">
      <w:pPr>
        <w:pStyle w:val="SingleTxt"/>
        <w:keepNext/>
        <w:keepLines/>
        <w:widowControl w:val="0"/>
        <w:suppressAutoHyphens w:val="0"/>
        <w:ind w:left="1742"/>
      </w:pPr>
      <w:r w:rsidRPr="00160BD4">
        <w:rPr>
          <w:i/>
        </w:rPr>
        <w:t>From African States</w:t>
      </w:r>
      <w:r w:rsidRPr="00160BD4">
        <w:t>:</w:t>
      </w:r>
    </w:p>
    <w:p w14:paraId="599B2D25" w14:textId="7A257D3C" w:rsidR="00B50850" w:rsidRPr="00160BD4" w:rsidRDefault="00A46E5A" w:rsidP="005A4A3A">
      <w:pPr>
        <w:pStyle w:val="SingleTxt"/>
        <w:keepNext/>
        <w:keepLines/>
        <w:widowControl w:val="0"/>
        <w:suppressAutoHyphens w:val="0"/>
        <w:ind w:left="1742"/>
      </w:pPr>
      <w:r w:rsidRPr="00160BD4">
        <w:tab/>
      </w:r>
      <w:proofErr w:type="spellStart"/>
      <w:r w:rsidR="005534AB" w:rsidRPr="00160BD4">
        <w:t>Mr.</w:t>
      </w:r>
      <w:proofErr w:type="spellEnd"/>
      <w:r w:rsidR="005534AB" w:rsidRPr="00160BD4">
        <w:t xml:space="preserve"> </w:t>
      </w:r>
      <w:proofErr w:type="spellStart"/>
      <w:r w:rsidR="005534AB" w:rsidRPr="00160BD4">
        <w:t>Mariteuw</w:t>
      </w:r>
      <w:proofErr w:type="spellEnd"/>
      <w:r w:rsidR="005534AB" w:rsidRPr="00160BD4">
        <w:t xml:space="preserve"> </w:t>
      </w:r>
      <w:proofErr w:type="spellStart"/>
      <w:r w:rsidR="005534AB" w:rsidRPr="00160BD4">
        <w:t>Chim</w:t>
      </w:r>
      <w:r w:rsidR="00195081" w:rsidRPr="00160BD4">
        <w:t>è</w:t>
      </w:r>
      <w:r w:rsidR="005534AB" w:rsidRPr="00160BD4">
        <w:t>re</w:t>
      </w:r>
      <w:proofErr w:type="spellEnd"/>
      <w:r w:rsidR="005534AB" w:rsidRPr="00160BD4">
        <w:t xml:space="preserve"> </w:t>
      </w:r>
      <w:proofErr w:type="spellStart"/>
      <w:r w:rsidR="005534AB" w:rsidRPr="00160BD4">
        <w:t>Diaw</w:t>
      </w:r>
      <w:proofErr w:type="spellEnd"/>
      <w:r w:rsidR="00812244" w:rsidRPr="00160BD4">
        <w:t xml:space="preserve"> (Cameroon)</w:t>
      </w:r>
    </w:p>
    <w:p w14:paraId="7EFD9D7E" w14:textId="77777777" w:rsidR="00444B62" w:rsidRPr="00160BD4" w:rsidRDefault="00444B62" w:rsidP="005A4A3A">
      <w:pPr>
        <w:pStyle w:val="SingleTxt"/>
        <w:keepNext/>
        <w:keepLines/>
        <w:widowControl w:val="0"/>
        <w:suppressAutoHyphens w:val="0"/>
        <w:ind w:left="2217" w:right="1264" w:hanging="476"/>
      </w:pPr>
      <w:r w:rsidRPr="00160BD4">
        <w:rPr>
          <w:i/>
        </w:rPr>
        <w:t>From Eastern European States</w:t>
      </w:r>
      <w:r w:rsidRPr="00160BD4">
        <w:t>:</w:t>
      </w:r>
    </w:p>
    <w:p w14:paraId="710531E9" w14:textId="27BAEABB" w:rsidR="00444B62" w:rsidRPr="00160BD4" w:rsidRDefault="00A46E5A" w:rsidP="005A4A3A">
      <w:pPr>
        <w:pStyle w:val="SingleTxt"/>
        <w:keepNext/>
        <w:keepLines/>
        <w:widowControl w:val="0"/>
        <w:suppressAutoHyphens w:val="0"/>
        <w:ind w:left="1742"/>
      </w:pPr>
      <w:r w:rsidRPr="00160BD4">
        <w:tab/>
      </w:r>
      <w:proofErr w:type="spellStart"/>
      <w:r w:rsidR="003E19D0" w:rsidRPr="001C032C">
        <w:t>Ms.</w:t>
      </w:r>
      <w:proofErr w:type="spellEnd"/>
      <w:r w:rsidR="003E19D0" w:rsidRPr="001C032C">
        <w:t xml:space="preserve"> </w:t>
      </w:r>
      <w:proofErr w:type="spellStart"/>
      <w:r w:rsidR="003E19D0" w:rsidRPr="001C032C">
        <w:t>Katalin</w:t>
      </w:r>
      <w:proofErr w:type="spellEnd"/>
      <w:r w:rsidR="003E19D0" w:rsidRPr="001C032C">
        <w:t xml:space="preserve"> </w:t>
      </w:r>
      <w:proofErr w:type="spellStart"/>
      <w:r w:rsidR="003E19D0" w:rsidRPr="001C032C">
        <w:t>Török</w:t>
      </w:r>
      <w:proofErr w:type="spellEnd"/>
      <w:r w:rsidR="003E19D0" w:rsidRPr="001C032C">
        <w:t xml:space="preserve"> (Hungary) </w:t>
      </w:r>
    </w:p>
    <w:p w14:paraId="0B8B1589" w14:textId="271E2496" w:rsidR="00A46E5A" w:rsidRPr="00440196" w:rsidRDefault="00A46E5A" w:rsidP="005A4A3A">
      <w:pPr>
        <w:pStyle w:val="SingleTxt"/>
        <w:keepNext/>
        <w:keepLines/>
        <w:widowControl w:val="0"/>
        <w:suppressAutoHyphens w:val="0"/>
        <w:ind w:left="1742"/>
      </w:pPr>
      <w:r w:rsidRPr="00160BD4">
        <w:tab/>
      </w:r>
      <w:proofErr w:type="spellStart"/>
      <w:r w:rsidR="003E19D0" w:rsidRPr="001C032C">
        <w:t>Mr.</w:t>
      </w:r>
      <w:proofErr w:type="spellEnd"/>
      <w:r w:rsidR="003E19D0" w:rsidRPr="001C032C">
        <w:t xml:space="preserve"> </w:t>
      </w:r>
      <w:proofErr w:type="spellStart"/>
      <w:r w:rsidR="003E19D0" w:rsidRPr="001C032C">
        <w:t>Mersudin</w:t>
      </w:r>
      <w:proofErr w:type="spellEnd"/>
      <w:r w:rsidR="003E19D0" w:rsidRPr="001C032C">
        <w:t xml:space="preserve"> </w:t>
      </w:r>
      <w:proofErr w:type="spellStart"/>
      <w:r w:rsidR="003E19D0" w:rsidRPr="001C032C">
        <w:t>Avdibegović</w:t>
      </w:r>
      <w:proofErr w:type="spellEnd"/>
      <w:r w:rsidR="003E19D0" w:rsidRPr="001C032C">
        <w:t xml:space="preserve"> (Bosnia-Herzegovina)</w:t>
      </w:r>
    </w:p>
    <w:p w14:paraId="1CB0F5D3" w14:textId="079FADF5" w:rsidR="00444B62" w:rsidRPr="00440196" w:rsidRDefault="00444B62" w:rsidP="005A4A3A">
      <w:pPr>
        <w:pStyle w:val="SingleTxt"/>
        <w:keepNext/>
        <w:keepLines/>
        <w:widowControl w:val="0"/>
        <w:suppressAutoHyphens w:val="0"/>
        <w:ind w:left="1741" w:right="1264"/>
      </w:pPr>
      <w:r w:rsidRPr="001B4189">
        <w:rPr>
          <w:i/>
          <w:iCs/>
        </w:rPr>
        <w:t>From Latin American and Caribbean States:</w:t>
      </w:r>
    </w:p>
    <w:p w14:paraId="504EDA21" w14:textId="27E5D7CE" w:rsidR="00510F65" w:rsidRPr="00440196" w:rsidRDefault="00A46E5A" w:rsidP="00DA2567">
      <w:pPr>
        <w:pStyle w:val="SingleTxt"/>
        <w:widowControl w:val="0"/>
        <w:suppressAutoHyphens w:val="0"/>
        <w:ind w:left="1742"/>
      </w:pPr>
      <w:r w:rsidRPr="00440196">
        <w:tab/>
      </w:r>
      <w:proofErr w:type="spellStart"/>
      <w:r w:rsidR="00444B62" w:rsidRPr="00440196">
        <w:t>Mr.</w:t>
      </w:r>
      <w:proofErr w:type="spellEnd"/>
      <w:r w:rsidR="00444B62" w:rsidRPr="00440196">
        <w:t xml:space="preserve"> Marcelo </w:t>
      </w:r>
      <w:proofErr w:type="spellStart"/>
      <w:r w:rsidR="00444B62" w:rsidRPr="00440196">
        <w:t>Cabido</w:t>
      </w:r>
      <w:proofErr w:type="spellEnd"/>
      <w:r w:rsidR="00444B62" w:rsidRPr="00440196">
        <w:t xml:space="preserve"> (Argentina)</w:t>
      </w:r>
    </w:p>
    <w:p w14:paraId="2D8FD9F3" w14:textId="11BB5A78" w:rsidR="00825BF9" w:rsidRPr="00440196" w:rsidRDefault="00825BF9" w:rsidP="00825BF9">
      <w:pPr>
        <w:pStyle w:val="Normalnumber"/>
        <w:keepNext/>
        <w:keepLines/>
        <w:widowControl w:val="0"/>
        <w:numPr>
          <w:ilvl w:val="0"/>
          <w:numId w:val="5"/>
        </w:numPr>
        <w:tabs>
          <w:tab w:val="clear" w:pos="567"/>
        </w:tabs>
        <w:rPr>
          <w:lang w:val="en-GB"/>
        </w:rPr>
      </w:pPr>
      <w:r w:rsidRPr="00440196">
        <w:rPr>
          <w:lang w:val="en-GB"/>
        </w:rPr>
        <w:t xml:space="preserve">During discussion of the sub-item one </w:t>
      </w:r>
      <w:r w:rsidR="008B3045">
        <w:rPr>
          <w:lang w:val="en-GB"/>
        </w:rPr>
        <w:t>representative</w:t>
      </w:r>
      <w:r w:rsidR="001F460C" w:rsidRPr="00440196">
        <w:rPr>
          <w:lang w:val="en-GB"/>
        </w:rPr>
        <w:t xml:space="preserve">, </w:t>
      </w:r>
      <w:r w:rsidR="004030A7" w:rsidRPr="00440196">
        <w:rPr>
          <w:lang w:val="en-GB"/>
        </w:rPr>
        <w:t xml:space="preserve">speaking </w:t>
      </w:r>
      <w:r w:rsidR="001F460C" w:rsidRPr="00440196">
        <w:rPr>
          <w:lang w:val="en-GB"/>
        </w:rPr>
        <w:t xml:space="preserve">on behalf of the countries of his region, recalled decision IPBES-4/3, by which the Plenary had adopted a procedure for filling gaps in the availability of experts. </w:t>
      </w:r>
      <w:r w:rsidR="004719BA" w:rsidRPr="00440196">
        <w:rPr>
          <w:lang w:val="en-GB"/>
        </w:rPr>
        <w:t>Sayi</w:t>
      </w:r>
      <w:r w:rsidR="00114669" w:rsidRPr="00440196">
        <w:rPr>
          <w:lang w:val="en-GB"/>
        </w:rPr>
        <w:t>ng</w:t>
      </w:r>
      <w:r w:rsidR="004030A7" w:rsidRPr="00440196">
        <w:rPr>
          <w:lang w:val="en-GB"/>
        </w:rPr>
        <w:t xml:space="preserve"> that the mechanism </w:t>
      </w:r>
      <w:r w:rsidR="00114669" w:rsidRPr="00440196">
        <w:rPr>
          <w:lang w:val="en-GB"/>
        </w:rPr>
        <w:t xml:space="preserve">should </w:t>
      </w:r>
      <w:r w:rsidR="004030A7" w:rsidRPr="00440196">
        <w:rPr>
          <w:lang w:val="en-GB"/>
        </w:rPr>
        <w:t>not be employed in a manner that eroded the prerogative of Governments to appoint experts, h</w:t>
      </w:r>
      <w:r w:rsidR="001F460C" w:rsidRPr="00440196">
        <w:rPr>
          <w:lang w:val="en-GB"/>
        </w:rPr>
        <w:t>e</w:t>
      </w:r>
      <w:r w:rsidRPr="00440196">
        <w:rPr>
          <w:lang w:val="en-GB"/>
        </w:rPr>
        <w:t xml:space="preserve"> said that not enough information had been provided with regard to </w:t>
      </w:r>
      <w:r w:rsidR="00114669" w:rsidRPr="00440196">
        <w:rPr>
          <w:lang w:val="en-GB"/>
        </w:rPr>
        <w:t>its</w:t>
      </w:r>
      <w:r w:rsidRPr="00440196">
        <w:rPr>
          <w:lang w:val="en-GB"/>
        </w:rPr>
        <w:t xml:space="preserve"> </w:t>
      </w:r>
      <w:r w:rsidR="001F460C" w:rsidRPr="00440196">
        <w:rPr>
          <w:lang w:val="en-GB"/>
        </w:rPr>
        <w:t xml:space="preserve">application and the </w:t>
      </w:r>
      <w:r w:rsidRPr="00440196">
        <w:rPr>
          <w:lang w:val="en-GB"/>
        </w:rPr>
        <w:t>selection of experts</w:t>
      </w:r>
      <w:r w:rsidR="00114669" w:rsidRPr="00440196">
        <w:rPr>
          <w:lang w:val="en-GB"/>
        </w:rPr>
        <w:t xml:space="preserve"> since the Plenary’s fourth </w:t>
      </w:r>
      <w:r w:rsidR="003E19D0">
        <w:rPr>
          <w:lang w:val="en-GB"/>
        </w:rPr>
        <w:t>session</w:t>
      </w:r>
      <w:r w:rsidRPr="00440196">
        <w:rPr>
          <w:lang w:val="en-GB"/>
        </w:rPr>
        <w:t xml:space="preserve">. </w:t>
      </w:r>
      <w:r w:rsidR="005C6854" w:rsidRPr="00440196">
        <w:rPr>
          <w:lang w:val="en-GB"/>
        </w:rPr>
        <w:t xml:space="preserve">It was agreed that </w:t>
      </w:r>
      <w:r w:rsidR="00090B2D" w:rsidRPr="00440196">
        <w:rPr>
          <w:lang w:val="en-GB"/>
        </w:rPr>
        <w:t>the secretariat would prepare a paper on th</w:t>
      </w:r>
      <w:r w:rsidR="004030A7" w:rsidRPr="00440196">
        <w:rPr>
          <w:lang w:val="en-GB"/>
        </w:rPr>
        <w:t>e</w:t>
      </w:r>
      <w:r w:rsidR="00090B2D" w:rsidRPr="00440196">
        <w:rPr>
          <w:lang w:val="en-GB"/>
        </w:rPr>
        <w:t xml:space="preserve"> subject</w:t>
      </w:r>
      <w:r w:rsidR="004030A7" w:rsidRPr="00440196">
        <w:rPr>
          <w:lang w:val="en-GB"/>
        </w:rPr>
        <w:t xml:space="preserve"> to provide</w:t>
      </w:r>
      <w:r w:rsidR="00DE462D" w:rsidRPr="00440196">
        <w:rPr>
          <w:lang w:val="en-GB"/>
        </w:rPr>
        <w:t xml:space="preserve"> relevant</w:t>
      </w:r>
      <w:r w:rsidR="004030A7" w:rsidRPr="00440196">
        <w:rPr>
          <w:lang w:val="en-GB"/>
        </w:rPr>
        <w:t xml:space="preserve"> information and address the concerns expressed</w:t>
      </w:r>
      <w:r w:rsidR="00090B2D" w:rsidRPr="00440196">
        <w:rPr>
          <w:lang w:val="en-GB"/>
        </w:rPr>
        <w:t>.</w:t>
      </w:r>
    </w:p>
    <w:p w14:paraId="6C4FFDF1" w14:textId="744DBE8E" w:rsidR="00B47AE3" w:rsidRPr="00440196" w:rsidRDefault="00510F65" w:rsidP="00510F65">
      <w:pPr>
        <w:pStyle w:val="CH1"/>
        <w:keepLines w:val="0"/>
        <w:rPr>
          <w:lang w:val="en-GB"/>
        </w:rPr>
      </w:pPr>
      <w:r w:rsidRPr="00440196">
        <w:rPr>
          <w:lang w:val="en-GB"/>
        </w:rPr>
        <w:tab/>
        <w:t>III.</w:t>
      </w:r>
      <w:r w:rsidRPr="00440196">
        <w:rPr>
          <w:lang w:val="en-GB"/>
        </w:rPr>
        <w:tab/>
      </w:r>
      <w:r w:rsidR="00B47AE3" w:rsidRPr="00440196">
        <w:rPr>
          <w:lang w:val="en-GB"/>
        </w:rPr>
        <w:t xml:space="preserve">Admission of observers to the </w:t>
      </w:r>
      <w:r w:rsidR="00A3275B" w:rsidRPr="00440196">
        <w:rPr>
          <w:lang w:val="en-GB"/>
        </w:rPr>
        <w:t>fifth</w:t>
      </w:r>
      <w:r w:rsidR="00B47AE3" w:rsidRPr="00440196">
        <w:rPr>
          <w:lang w:val="en-GB"/>
        </w:rPr>
        <w:t xml:space="preserve"> session of the Plenary of the Platform</w:t>
      </w:r>
    </w:p>
    <w:p w14:paraId="53CE0328" w14:textId="2C84CB8A" w:rsidR="00B47AE3" w:rsidRPr="00440196" w:rsidRDefault="00B47AE3" w:rsidP="00B22E2E">
      <w:pPr>
        <w:pStyle w:val="Normalnumber"/>
        <w:numPr>
          <w:ilvl w:val="0"/>
          <w:numId w:val="5"/>
        </w:numPr>
        <w:tabs>
          <w:tab w:val="clear" w:pos="567"/>
        </w:tabs>
        <w:rPr>
          <w:lang w:val="en-GB"/>
        </w:rPr>
      </w:pPr>
      <w:r w:rsidRPr="00440196">
        <w:rPr>
          <w:lang w:val="en-GB"/>
        </w:rPr>
        <w:t xml:space="preserve">Introducing the item, the Chair recalled that at its </w:t>
      </w:r>
      <w:r w:rsidR="00A3275B" w:rsidRPr="00440196">
        <w:rPr>
          <w:lang w:val="en-GB"/>
        </w:rPr>
        <w:t>fourth</w:t>
      </w:r>
      <w:r w:rsidRPr="00440196">
        <w:rPr>
          <w:lang w:val="en-GB"/>
        </w:rPr>
        <w:t xml:space="preserve"> session the Plenary had decided that the policy and procedures for the admission of observers to its second</w:t>
      </w:r>
      <w:r w:rsidR="008D0FD6" w:rsidRPr="00440196">
        <w:rPr>
          <w:lang w:val="en-GB"/>
        </w:rPr>
        <w:t>,</w:t>
      </w:r>
      <w:r w:rsidRPr="00440196">
        <w:rPr>
          <w:lang w:val="en-GB"/>
        </w:rPr>
        <w:t xml:space="preserve"> third </w:t>
      </w:r>
      <w:r w:rsidR="008D0FD6" w:rsidRPr="00440196">
        <w:rPr>
          <w:lang w:val="en-GB"/>
        </w:rPr>
        <w:t xml:space="preserve">and fourth </w:t>
      </w:r>
      <w:r w:rsidRPr="00440196">
        <w:rPr>
          <w:lang w:val="en-GB"/>
        </w:rPr>
        <w:t xml:space="preserve">sessions would be applied to determine the admission of observers to its </w:t>
      </w:r>
      <w:r w:rsidR="008D0FD6" w:rsidRPr="00440196">
        <w:rPr>
          <w:lang w:val="en-GB"/>
        </w:rPr>
        <w:t>fifth session (see IPBES/4</w:t>
      </w:r>
      <w:r w:rsidRPr="00440196">
        <w:rPr>
          <w:lang w:val="en-GB"/>
        </w:rPr>
        <w:t>/</w:t>
      </w:r>
      <w:r w:rsidR="007F5DC0" w:rsidRPr="00440196">
        <w:rPr>
          <w:lang w:val="en-GB"/>
        </w:rPr>
        <w:t>19</w:t>
      </w:r>
      <w:r w:rsidRPr="00440196">
        <w:rPr>
          <w:lang w:val="en-GB"/>
        </w:rPr>
        <w:t xml:space="preserve">, </w:t>
      </w:r>
      <w:proofErr w:type="spellStart"/>
      <w:r w:rsidRPr="00440196">
        <w:rPr>
          <w:lang w:val="en-GB"/>
        </w:rPr>
        <w:t>para</w:t>
      </w:r>
      <w:proofErr w:type="spellEnd"/>
      <w:r w:rsidRPr="00440196">
        <w:rPr>
          <w:lang w:val="en-GB"/>
        </w:rPr>
        <w:t>. </w:t>
      </w:r>
      <w:r w:rsidR="00FF244D" w:rsidRPr="00440196">
        <w:rPr>
          <w:lang w:val="en-GB"/>
        </w:rPr>
        <w:t>105</w:t>
      </w:r>
      <w:r w:rsidRPr="00440196">
        <w:rPr>
          <w:lang w:val="en-GB"/>
        </w:rPr>
        <w:t>), on the understanding that observers admitted to its first, second</w:t>
      </w:r>
      <w:r w:rsidR="008D0FD6" w:rsidRPr="00440196">
        <w:rPr>
          <w:lang w:val="en-GB"/>
        </w:rPr>
        <w:t>, third and fourth</w:t>
      </w:r>
      <w:r w:rsidRPr="00440196">
        <w:rPr>
          <w:lang w:val="en-GB"/>
        </w:rPr>
        <w:t xml:space="preserve"> sessions would be among those admitted to its </w:t>
      </w:r>
      <w:r w:rsidR="008D0FD6" w:rsidRPr="00440196">
        <w:rPr>
          <w:lang w:val="en-GB"/>
        </w:rPr>
        <w:t>fifth</w:t>
      </w:r>
      <w:r w:rsidRPr="00440196">
        <w:rPr>
          <w:lang w:val="en-GB"/>
        </w:rPr>
        <w:t xml:space="preserve"> session (see IPBES/1/12, </w:t>
      </w:r>
      <w:proofErr w:type="spellStart"/>
      <w:r w:rsidRPr="00440196">
        <w:rPr>
          <w:lang w:val="en-GB"/>
        </w:rPr>
        <w:t>para</w:t>
      </w:r>
      <w:proofErr w:type="spellEnd"/>
      <w:r w:rsidRPr="00440196">
        <w:rPr>
          <w:lang w:val="en-GB"/>
        </w:rPr>
        <w:t>. 22, IPBES/3/INF/12</w:t>
      </w:r>
      <w:r w:rsidR="008D0FD6" w:rsidRPr="00440196">
        <w:rPr>
          <w:lang w:val="en-GB"/>
        </w:rPr>
        <w:t xml:space="preserve">, </w:t>
      </w:r>
      <w:r w:rsidRPr="00440196">
        <w:rPr>
          <w:lang w:val="en-GB"/>
        </w:rPr>
        <w:t>IPBES/4/INF/23, annexes I and II</w:t>
      </w:r>
      <w:r w:rsidR="008D0FD6" w:rsidRPr="00440196">
        <w:rPr>
          <w:lang w:val="en-GB"/>
        </w:rPr>
        <w:t>, and IPBES/</w:t>
      </w:r>
      <w:r w:rsidR="00330EA8" w:rsidRPr="00440196">
        <w:rPr>
          <w:lang w:val="en-GB"/>
        </w:rPr>
        <w:t>5/INF/21</w:t>
      </w:r>
      <w:r w:rsidRPr="00440196">
        <w:rPr>
          <w:lang w:val="en-GB"/>
        </w:rPr>
        <w:t>)</w:t>
      </w:r>
      <w:r w:rsidR="003E19D0">
        <w:rPr>
          <w:lang w:val="en-GB"/>
        </w:rPr>
        <w:t xml:space="preserve">, and that </w:t>
      </w:r>
      <w:r w:rsidR="003E19D0" w:rsidRPr="00440196">
        <w:rPr>
          <w:lang w:val="en-GB"/>
        </w:rPr>
        <w:t>it would resume consideration of the admission of observers at its fifth</w:t>
      </w:r>
      <w:r w:rsidR="003E19D0">
        <w:rPr>
          <w:lang w:val="en-GB"/>
        </w:rPr>
        <w:t xml:space="preserve"> session</w:t>
      </w:r>
      <w:r w:rsidRPr="00440196">
        <w:rPr>
          <w:lang w:val="en-GB"/>
        </w:rPr>
        <w:t>.</w:t>
      </w:r>
    </w:p>
    <w:p w14:paraId="5D96F88C" w14:textId="0293B830" w:rsidR="003A2A35" w:rsidRPr="00440196" w:rsidRDefault="00B47AE3" w:rsidP="00B22E2E">
      <w:pPr>
        <w:pStyle w:val="Normalnumber"/>
        <w:numPr>
          <w:ilvl w:val="0"/>
          <w:numId w:val="5"/>
        </w:numPr>
        <w:tabs>
          <w:tab w:val="clear" w:pos="567"/>
        </w:tabs>
        <w:rPr>
          <w:lang w:val="en-GB"/>
        </w:rPr>
      </w:pPr>
      <w:r w:rsidRPr="00440196">
        <w:rPr>
          <w:lang w:val="en-GB"/>
        </w:rPr>
        <w:t>In accordance with the Plenary’s decision</w:t>
      </w:r>
      <w:r w:rsidR="00D05649" w:rsidRPr="00440196">
        <w:rPr>
          <w:lang w:val="en-GB"/>
        </w:rPr>
        <w:t>s</w:t>
      </w:r>
      <w:r w:rsidR="007F5DC0" w:rsidRPr="00440196">
        <w:rPr>
          <w:lang w:val="en-GB"/>
        </w:rPr>
        <w:t xml:space="preserve"> at its previous meetings</w:t>
      </w:r>
      <w:r w:rsidRPr="00440196">
        <w:rPr>
          <w:lang w:val="en-GB"/>
        </w:rPr>
        <w:t>, the following organizations were admitted as observers at the current session in addition to those States, conventions, multilateral organizations, United Nations bodies and specialized agencies and other organizations that had been approved as observers at the first, second</w:t>
      </w:r>
      <w:r w:rsidR="003F610C" w:rsidRPr="00440196">
        <w:rPr>
          <w:lang w:val="en-GB"/>
        </w:rPr>
        <w:t xml:space="preserve">, </w:t>
      </w:r>
      <w:r w:rsidRPr="00440196">
        <w:rPr>
          <w:lang w:val="en-GB"/>
        </w:rPr>
        <w:t xml:space="preserve">third </w:t>
      </w:r>
      <w:r w:rsidR="003F610C" w:rsidRPr="00440196">
        <w:rPr>
          <w:lang w:val="en-GB"/>
        </w:rPr>
        <w:t xml:space="preserve">and fourth </w:t>
      </w:r>
      <w:r w:rsidRPr="00440196">
        <w:rPr>
          <w:lang w:val="en-GB"/>
        </w:rPr>
        <w:t>sessions:</w:t>
      </w:r>
      <w:r w:rsidR="007F5DC0" w:rsidRPr="00440196">
        <w:rPr>
          <w:lang w:val="en-GB"/>
        </w:rPr>
        <w:t xml:space="preserve"> </w:t>
      </w:r>
      <w:r w:rsidR="005E2065" w:rsidRPr="00440196">
        <w:rPr>
          <w:lang w:val="en-GB"/>
        </w:rPr>
        <w:t xml:space="preserve">Administrative Staff College of India; </w:t>
      </w:r>
      <w:proofErr w:type="spellStart"/>
      <w:r w:rsidR="005E2065" w:rsidRPr="00440196">
        <w:rPr>
          <w:lang w:val="en-GB"/>
        </w:rPr>
        <w:t>Ahmadu</w:t>
      </w:r>
      <w:proofErr w:type="spellEnd"/>
      <w:r w:rsidR="005E2065" w:rsidRPr="00440196">
        <w:rPr>
          <w:lang w:val="en-GB"/>
        </w:rPr>
        <w:t xml:space="preserve"> Bello University; </w:t>
      </w:r>
      <w:proofErr w:type="spellStart"/>
      <w:r w:rsidR="005E2065" w:rsidRPr="00440196">
        <w:rPr>
          <w:lang w:val="en-GB"/>
        </w:rPr>
        <w:t>Anatrack</w:t>
      </w:r>
      <w:proofErr w:type="spellEnd"/>
      <w:r w:rsidR="005E2065" w:rsidRPr="00440196">
        <w:rPr>
          <w:lang w:val="en-GB"/>
        </w:rPr>
        <w:t xml:space="preserve"> Ltd; Applied Environm</w:t>
      </w:r>
      <w:r w:rsidR="00657A14" w:rsidRPr="00440196">
        <w:rPr>
          <w:lang w:val="en-GB"/>
        </w:rPr>
        <w:t>ental Research Foundation</w:t>
      </w:r>
      <w:r w:rsidR="005E2065" w:rsidRPr="00440196">
        <w:rPr>
          <w:lang w:val="en-GB"/>
        </w:rPr>
        <w:t xml:space="preserve">; Association </w:t>
      </w:r>
      <w:proofErr w:type="spellStart"/>
      <w:r w:rsidR="005E2065" w:rsidRPr="00440196">
        <w:rPr>
          <w:lang w:val="en-GB"/>
        </w:rPr>
        <w:t>Congolaise</w:t>
      </w:r>
      <w:proofErr w:type="spellEnd"/>
      <w:r w:rsidR="005E2065" w:rsidRPr="00440196">
        <w:rPr>
          <w:lang w:val="en-GB"/>
        </w:rPr>
        <w:t xml:space="preserve"> pour la </w:t>
      </w:r>
      <w:proofErr w:type="spellStart"/>
      <w:r w:rsidR="005E2065" w:rsidRPr="00440196">
        <w:rPr>
          <w:lang w:val="en-GB"/>
        </w:rPr>
        <w:t>Préservation</w:t>
      </w:r>
      <w:proofErr w:type="spellEnd"/>
      <w:r w:rsidR="005E2065" w:rsidRPr="00440196">
        <w:rPr>
          <w:lang w:val="en-GB"/>
        </w:rPr>
        <w:t xml:space="preserve"> de </w:t>
      </w:r>
      <w:proofErr w:type="spellStart"/>
      <w:r w:rsidR="005E2065" w:rsidRPr="00440196">
        <w:rPr>
          <w:lang w:val="en-GB"/>
        </w:rPr>
        <w:t>l’Environnement</w:t>
      </w:r>
      <w:proofErr w:type="spellEnd"/>
      <w:r w:rsidR="005E2065" w:rsidRPr="00440196">
        <w:rPr>
          <w:lang w:val="en-GB"/>
        </w:rPr>
        <w:t xml:space="preserve"> et le </w:t>
      </w:r>
      <w:proofErr w:type="spellStart"/>
      <w:r w:rsidR="005E2065" w:rsidRPr="00440196">
        <w:rPr>
          <w:lang w:val="en-GB"/>
        </w:rPr>
        <w:t>Dével</w:t>
      </w:r>
      <w:r w:rsidR="00657A14" w:rsidRPr="00440196">
        <w:rPr>
          <w:lang w:val="en-GB"/>
        </w:rPr>
        <w:t>oppement</w:t>
      </w:r>
      <w:proofErr w:type="spellEnd"/>
      <w:r w:rsidR="00657A14" w:rsidRPr="00440196">
        <w:rPr>
          <w:lang w:val="en-GB"/>
        </w:rPr>
        <w:t xml:space="preserve"> </w:t>
      </w:r>
      <w:proofErr w:type="spellStart"/>
      <w:r w:rsidR="00657A14" w:rsidRPr="00440196">
        <w:rPr>
          <w:lang w:val="en-GB"/>
        </w:rPr>
        <w:t>Communautaire</w:t>
      </w:r>
      <w:proofErr w:type="spellEnd"/>
      <w:r w:rsidR="005E2065" w:rsidRPr="00440196">
        <w:rPr>
          <w:lang w:val="en-GB"/>
        </w:rPr>
        <w:t xml:space="preserve">; Association de </w:t>
      </w:r>
      <w:proofErr w:type="spellStart"/>
      <w:r w:rsidR="005E2065" w:rsidRPr="00440196">
        <w:rPr>
          <w:lang w:val="en-GB"/>
        </w:rPr>
        <w:t>l'Education</w:t>
      </w:r>
      <w:proofErr w:type="spellEnd"/>
      <w:r w:rsidR="005E2065" w:rsidRPr="00440196">
        <w:rPr>
          <w:lang w:val="en-GB"/>
        </w:rPr>
        <w:t xml:space="preserve"> </w:t>
      </w:r>
      <w:proofErr w:type="spellStart"/>
      <w:r w:rsidR="005E2065" w:rsidRPr="00440196">
        <w:rPr>
          <w:lang w:val="en-GB"/>
        </w:rPr>
        <w:t>Environnementa</w:t>
      </w:r>
      <w:r w:rsidR="00657A14" w:rsidRPr="00440196">
        <w:rPr>
          <w:lang w:val="en-GB"/>
        </w:rPr>
        <w:t>le</w:t>
      </w:r>
      <w:proofErr w:type="spellEnd"/>
      <w:r w:rsidR="00657A14" w:rsidRPr="00440196">
        <w:rPr>
          <w:lang w:val="en-GB"/>
        </w:rPr>
        <w:t xml:space="preserve"> pour les Futures </w:t>
      </w:r>
      <w:proofErr w:type="spellStart"/>
      <w:r w:rsidR="00657A14" w:rsidRPr="00440196">
        <w:rPr>
          <w:lang w:val="en-GB"/>
        </w:rPr>
        <w:t>Générations</w:t>
      </w:r>
      <w:proofErr w:type="spellEnd"/>
      <w:r w:rsidR="005E2065" w:rsidRPr="00440196">
        <w:rPr>
          <w:lang w:val="en-GB"/>
        </w:rPr>
        <w:t xml:space="preserve">; </w:t>
      </w:r>
      <w:proofErr w:type="spellStart"/>
      <w:r w:rsidR="005E2065" w:rsidRPr="00440196">
        <w:rPr>
          <w:lang w:val="en-GB"/>
        </w:rPr>
        <w:t>Ateneo</w:t>
      </w:r>
      <w:proofErr w:type="spellEnd"/>
      <w:r w:rsidR="005E2065" w:rsidRPr="00440196">
        <w:rPr>
          <w:lang w:val="en-GB"/>
        </w:rPr>
        <w:t xml:space="preserve"> de Manila University; </w:t>
      </w:r>
      <w:r w:rsidR="00472661" w:rsidRPr="00440196">
        <w:rPr>
          <w:lang w:val="en-GB"/>
        </w:rPr>
        <w:t xml:space="preserve">Autonomous University of the State of Mexico; </w:t>
      </w:r>
      <w:r w:rsidR="005E2065" w:rsidRPr="00440196">
        <w:rPr>
          <w:lang w:val="en-GB"/>
        </w:rPr>
        <w:t>Banaras Hindu University; Baghdad University; Biodiversity Action Journalists; Biodiversity Science-Policy-Interfaces Network for</w:t>
      </w:r>
      <w:r w:rsidR="00C65A9E" w:rsidRPr="00440196">
        <w:rPr>
          <w:lang w:val="en-GB"/>
        </w:rPr>
        <w:t xml:space="preserve"> Early C</w:t>
      </w:r>
      <w:r w:rsidR="00924E8E" w:rsidRPr="00440196">
        <w:rPr>
          <w:lang w:val="en-GB"/>
        </w:rPr>
        <w:t>areer Scientists</w:t>
      </w:r>
      <w:r w:rsidR="006B4AA8" w:rsidRPr="00440196">
        <w:rPr>
          <w:lang w:val="en-GB"/>
        </w:rPr>
        <w:t>; Centre</w:t>
      </w:r>
      <w:r w:rsidR="005E2065" w:rsidRPr="00440196">
        <w:rPr>
          <w:lang w:val="en-GB"/>
        </w:rPr>
        <w:t xml:space="preserve"> for Biodiversity Strate</w:t>
      </w:r>
      <w:r w:rsidR="00957DBC" w:rsidRPr="00440196">
        <w:rPr>
          <w:lang w:val="en-GB"/>
        </w:rPr>
        <w:t>gies; University of Bern; Centre</w:t>
      </w:r>
      <w:r w:rsidR="005E2065" w:rsidRPr="00440196">
        <w:rPr>
          <w:lang w:val="en-GB"/>
        </w:rPr>
        <w:t xml:space="preserve"> for Integrated Community Development; Centre for Ecological Restoration; </w:t>
      </w:r>
      <w:proofErr w:type="spellStart"/>
      <w:r w:rsidR="005E2065" w:rsidRPr="00440196">
        <w:rPr>
          <w:lang w:val="en-GB"/>
        </w:rPr>
        <w:t>Chemtek</w:t>
      </w:r>
      <w:proofErr w:type="spellEnd"/>
      <w:r w:rsidR="005E2065" w:rsidRPr="00440196">
        <w:rPr>
          <w:lang w:val="en-GB"/>
        </w:rPr>
        <w:t xml:space="preserve"> Associates; College of Micronesia-FSM; </w:t>
      </w:r>
      <w:proofErr w:type="spellStart"/>
      <w:r w:rsidR="005E2065" w:rsidRPr="00440196">
        <w:rPr>
          <w:lang w:val="en-GB"/>
        </w:rPr>
        <w:t>Corporación</w:t>
      </w:r>
      <w:proofErr w:type="spellEnd"/>
      <w:r w:rsidR="005E2065" w:rsidRPr="00440196">
        <w:rPr>
          <w:lang w:val="en-GB"/>
        </w:rPr>
        <w:t xml:space="preserve"> Social &amp; </w:t>
      </w:r>
      <w:proofErr w:type="spellStart"/>
      <w:r w:rsidR="005E2065" w:rsidRPr="00440196">
        <w:rPr>
          <w:lang w:val="en-GB"/>
        </w:rPr>
        <w:t>Ambiental</w:t>
      </w:r>
      <w:proofErr w:type="spellEnd"/>
      <w:r w:rsidR="005E2065" w:rsidRPr="00440196">
        <w:rPr>
          <w:lang w:val="en-GB"/>
        </w:rPr>
        <w:t xml:space="preserve"> </w:t>
      </w:r>
      <w:proofErr w:type="spellStart"/>
      <w:r w:rsidR="005E2065" w:rsidRPr="00440196">
        <w:rPr>
          <w:lang w:val="en-GB"/>
        </w:rPr>
        <w:t>Jóve</w:t>
      </w:r>
      <w:r w:rsidR="00957DBC" w:rsidRPr="00440196">
        <w:rPr>
          <w:lang w:val="en-GB"/>
        </w:rPr>
        <w:t>nes</w:t>
      </w:r>
      <w:proofErr w:type="spellEnd"/>
      <w:r w:rsidR="00957DBC" w:rsidRPr="00440196">
        <w:rPr>
          <w:lang w:val="en-GB"/>
        </w:rPr>
        <w:t xml:space="preserve"> </w:t>
      </w:r>
      <w:proofErr w:type="spellStart"/>
      <w:r w:rsidR="00957DBC" w:rsidRPr="00440196">
        <w:rPr>
          <w:lang w:val="en-GB"/>
        </w:rPr>
        <w:t>por</w:t>
      </w:r>
      <w:proofErr w:type="spellEnd"/>
      <w:r w:rsidR="00957DBC" w:rsidRPr="00440196">
        <w:rPr>
          <w:lang w:val="en-GB"/>
        </w:rPr>
        <w:t xml:space="preserve"> Cundinamarca</w:t>
      </w:r>
      <w:r w:rsidR="005E2065" w:rsidRPr="00440196">
        <w:rPr>
          <w:lang w:val="en-GB"/>
        </w:rPr>
        <w:t>; Croatian Agency for the Environment and Nature</w:t>
      </w:r>
      <w:r w:rsidR="00957DBC" w:rsidRPr="00440196">
        <w:rPr>
          <w:lang w:val="en-GB"/>
        </w:rPr>
        <w:t>; Disaster Reduction Nepal</w:t>
      </w:r>
      <w:r w:rsidR="005E2065" w:rsidRPr="00440196">
        <w:rPr>
          <w:lang w:val="en-GB"/>
        </w:rPr>
        <w:t>; Eastern University, Sri Lanka; ECO Institute of Environmental S</w:t>
      </w:r>
      <w:r w:rsidR="00957DBC" w:rsidRPr="00440196">
        <w:rPr>
          <w:lang w:val="en-GB"/>
        </w:rPr>
        <w:t>cience and Technology</w:t>
      </w:r>
      <w:r w:rsidR="005E2065" w:rsidRPr="00440196">
        <w:rPr>
          <w:lang w:val="en-GB"/>
        </w:rPr>
        <w:t xml:space="preserve">; El </w:t>
      </w:r>
      <w:proofErr w:type="spellStart"/>
      <w:r w:rsidR="005E2065" w:rsidRPr="00440196">
        <w:rPr>
          <w:lang w:val="en-GB"/>
        </w:rPr>
        <w:t>Col</w:t>
      </w:r>
      <w:r w:rsidR="00957DBC" w:rsidRPr="00440196">
        <w:rPr>
          <w:lang w:val="en-GB"/>
        </w:rPr>
        <w:t>egio</w:t>
      </w:r>
      <w:proofErr w:type="spellEnd"/>
      <w:r w:rsidR="00957DBC" w:rsidRPr="00440196">
        <w:rPr>
          <w:lang w:val="en-GB"/>
        </w:rPr>
        <w:t xml:space="preserve"> de la </w:t>
      </w:r>
      <w:proofErr w:type="spellStart"/>
      <w:r w:rsidR="00957DBC" w:rsidRPr="00440196">
        <w:rPr>
          <w:lang w:val="en-GB"/>
        </w:rPr>
        <w:t>Frontera</w:t>
      </w:r>
      <w:proofErr w:type="spellEnd"/>
      <w:r w:rsidR="00957DBC" w:rsidRPr="00440196">
        <w:rPr>
          <w:lang w:val="en-GB"/>
        </w:rPr>
        <w:t xml:space="preserve"> Sur</w:t>
      </w:r>
      <w:r w:rsidR="005E2065" w:rsidRPr="00440196">
        <w:rPr>
          <w:lang w:val="en-GB"/>
        </w:rPr>
        <w:t xml:space="preserve">; </w:t>
      </w:r>
      <w:proofErr w:type="spellStart"/>
      <w:r w:rsidR="005E2065" w:rsidRPr="00440196">
        <w:rPr>
          <w:lang w:val="en-GB"/>
        </w:rPr>
        <w:t>Engajamundo</w:t>
      </w:r>
      <w:proofErr w:type="spellEnd"/>
      <w:r w:rsidR="005E2065" w:rsidRPr="00440196">
        <w:rPr>
          <w:lang w:val="en-GB"/>
        </w:rPr>
        <w:t xml:space="preserve">; </w:t>
      </w:r>
      <w:proofErr w:type="spellStart"/>
      <w:r w:rsidR="005E2065" w:rsidRPr="00440196">
        <w:rPr>
          <w:lang w:val="en-GB"/>
        </w:rPr>
        <w:t>Fondation</w:t>
      </w:r>
      <w:proofErr w:type="spellEnd"/>
      <w:r w:rsidR="005E2065" w:rsidRPr="00440196">
        <w:rPr>
          <w:lang w:val="en-GB"/>
        </w:rPr>
        <w:t xml:space="preserve"> Deserts du Monde; </w:t>
      </w:r>
      <w:proofErr w:type="spellStart"/>
      <w:r w:rsidR="005E2065" w:rsidRPr="00440196">
        <w:rPr>
          <w:lang w:val="en-GB"/>
        </w:rPr>
        <w:t>Forschungszentrum</w:t>
      </w:r>
      <w:proofErr w:type="spellEnd"/>
      <w:r w:rsidR="005E2065" w:rsidRPr="00440196">
        <w:rPr>
          <w:lang w:val="en-GB"/>
        </w:rPr>
        <w:t xml:space="preserve"> </w:t>
      </w:r>
      <w:proofErr w:type="spellStart"/>
      <w:r w:rsidR="005E2065" w:rsidRPr="00440196">
        <w:rPr>
          <w:lang w:val="en-GB"/>
        </w:rPr>
        <w:t>für</w:t>
      </w:r>
      <w:proofErr w:type="spellEnd"/>
      <w:r w:rsidR="005E2065" w:rsidRPr="00440196">
        <w:rPr>
          <w:lang w:val="en-GB"/>
        </w:rPr>
        <w:t xml:space="preserve"> </w:t>
      </w:r>
      <w:proofErr w:type="spellStart"/>
      <w:r w:rsidR="005E2065" w:rsidRPr="00440196">
        <w:rPr>
          <w:lang w:val="en-GB"/>
        </w:rPr>
        <w:t>Umweltpolitik</w:t>
      </w:r>
      <w:proofErr w:type="spellEnd"/>
      <w:r w:rsidR="005E2065" w:rsidRPr="00440196">
        <w:rPr>
          <w:lang w:val="en-GB"/>
        </w:rPr>
        <w:t xml:space="preserve">; </w:t>
      </w:r>
      <w:proofErr w:type="spellStart"/>
      <w:r w:rsidR="005E2065" w:rsidRPr="00440196">
        <w:rPr>
          <w:lang w:val="en-GB"/>
        </w:rPr>
        <w:t>Fundacion</w:t>
      </w:r>
      <w:proofErr w:type="spellEnd"/>
      <w:r w:rsidR="005E2065" w:rsidRPr="00440196">
        <w:rPr>
          <w:lang w:val="en-GB"/>
        </w:rPr>
        <w:t xml:space="preserve"> </w:t>
      </w:r>
      <w:proofErr w:type="spellStart"/>
      <w:r w:rsidR="005E2065" w:rsidRPr="00440196">
        <w:rPr>
          <w:lang w:val="en-GB"/>
        </w:rPr>
        <w:t>Biosfera</w:t>
      </w:r>
      <w:proofErr w:type="spellEnd"/>
      <w:r w:rsidR="005E2065" w:rsidRPr="00440196">
        <w:rPr>
          <w:lang w:val="en-GB"/>
        </w:rPr>
        <w:t xml:space="preserve">; </w:t>
      </w:r>
      <w:proofErr w:type="spellStart"/>
      <w:r w:rsidR="005E2065" w:rsidRPr="00440196">
        <w:rPr>
          <w:lang w:val="en-GB"/>
        </w:rPr>
        <w:t>Fundación</w:t>
      </w:r>
      <w:proofErr w:type="spellEnd"/>
      <w:r w:rsidR="005E2065" w:rsidRPr="00440196">
        <w:rPr>
          <w:lang w:val="en-GB"/>
        </w:rPr>
        <w:t xml:space="preserve"> </w:t>
      </w:r>
      <w:proofErr w:type="spellStart"/>
      <w:r w:rsidR="005E2065" w:rsidRPr="00440196">
        <w:rPr>
          <w:lang w:val="en-GB"/>
        </w:rPr>
        <w:t>CoMunidad</w:t>
      </w:r>
      <w:proofErr w:type="spellEnd"/>
      <w:r w:rsidR="005E2065" w:rsidRPr="00440196">
        <w:rPr>
          <w:lang w:val="en-GB"/>
        </w:rPr>
        <w:t xml:space="preserve">; </w:t>
      </w:r>
      <w:proofErr w:type="spellStart"/>
      <w:r w:rsidR="005E2065" w:rsidRPr="00440196">
        <w:rPr>
          <w:lang w:val="en-GB"/>
        </w:rPr>
        <w:t>Fundación</w:t>
      </w:r>
      <w:proofErr w:type="spellEnd"/>
      <w:r w:rsidR="005E2065" w:rsidRPr="00440196">
        <w:rPr>
          <w:lang w:val="en-GB"/>
        </w:rPr>
        <w:t xml:space="preserve"> Vision </w:t>
      </w:r>
      <w:proofErr w:type="spellStart"/>
      <w:r w:rsidR="005E2065" w:rsidRPr="00440196">
        <w:rPr>
          <w:lang w:val="en-GB"/>
        </w:rPr>
        <w:t>Amazonica</w:t>
      </w:r>
      <w:proofErr w:type="spellEnd"/>
      <w:r w:rsidR="005E2065" w:rsidRPr="00440196">
        <w:rPr>
          <w:lang w:val="en-GB"/>
        </w:rPr>
        <w:t xml:space="preserve"> y COICA; German Centre for Integrat</w:t>
      </w:r>
      <w:r w:rsidR="00F63788" w:rsidRPr="00440196">
        <w:rPr>
          <w:lang w:val="en-GB"/>
        </w:rPr>
        <w:t>ive Biodiversity Research</w:t>
      </w:r>
      <w:r w:rsidR="005E2065" w:rsidRPr="00440196">
        <w:rPr>
          <w:lang w:val="en-GB"/>
        </w:rPr>
        <w:t>; Global Partnership for Sustainable Development; Global Water Watch México; Griffith University; Hasselt University; Hiroshima City University; Institute for Sustainable Develo</w:t>
      </w:r>
      <w:r w:rsidR="00F63788" w:rsidRPr="00440196">
        <w:rPr>
          <w:lang w:val="en-GB"/>
        </w:rPr>
        <w:t>pment and Research</w:t>
      </w:r>
      <w:r w:rsidR="005E2065" w:rsidRPr="00440196">
        <w:rPr>
          <w:lang w:val="en-GB"/>
        </w:rPr>
        <w:t xml:space="preserve">; Institute of Geographical Sciences and Natural Resources Research; </w:t>
      </w:r>
      <w:r w:rsidR="00472661" w:rsidRPr="00440196">
        <w:rPr>
          <w:lang w:val="en-GB"/>
        </w:rPr>
        <w:t xml:space="preserve">Institute of International Relations in Prague; </w:t>
      </w:r>
      <w:proofErr w:type="spellStart"/>
      <w:r w:rsidR="00F63788" w:rsidRPr="00440196">
        <w:rPr>
          <w:lang w:val="en-GB"/>
        </w:rPr>
        <w:t>Instituto</w:t>
      </w:r>
      <w:proofErr w:type="spellEnd"/>
      <w:r w:rsidR="00F63788" w:rsidRPr="00440196">
        <w:rPr>
          <w:lang w:val="en-GB"/>
        </w:rPr>
        <w:t xml:space="preserve"> </w:t>
      </w:r>
      <w:proofErr w:type="spellStart"/>
      <w:r w:rsidR="00F63788" w:rsidRPr="00440196">
        <w:rPr>
          <w:lang w:val="en-GB"/>
        </w:rPr>
        <w:t>Socioambiental</w:t>
      </w:r>
      <w:proofErr w:type="spellEnd"/>
      <w:r w:rsidR="005E2065" w:rsidRPr="00440196">
        <w:rPr>
          <w:lang w:val="en-GB"/>
        </w:rPr>
        <w:t>; International Asso</w:t>
      </w:r>
      <w:r w:rsidR="000E4722" w:rsidRPr="00440196">
        <w:rPr>
          <w:lang w:val="en-GB"/>
        </w:rPr>
        <w:t>ciation for Impact Assessment</w:t>
      </w:r>
      <w:r w:rsidR="005E2065" w:rsidRPr="00440196">
        <w:rPr>
          <w:lang w:val="en-GB"/>
        </w:rPr>
        <w:t>;</w:t>
      </w:r>
      <w:r w:rsidR="000E4722" w:rsidRPr="00440196">
        <w:rPr>
          <w:lang w:val="en-GB"/>
        </w:rPr>
        <w:t xml:space="preserve"> </w:t>
      </w:r>
      <w:r w:rsidR="005E2065" w:rsidRPr="00440196">
        <w:rPr>
          <w:lang w:val="en-GB"/>
        </w:rPr>
        <w:t>Interna</w:t>
      </w:r>
      <w:r w:rsidR="000E4722" w:rsidRPr="00440196">
        <w:rPr>
          <w:lang w:val="en-GB"/>
        </w:rPr>
        <w:t>tional Chamber of Commerce</w:t>
      </w:r>
      <w:r w:rsidR="005E2065" w:rsidRPr="00440196">
        <w:rPr>
          <w:lang w:val="en-GB"/>
        </w:rPr>
        <w:t>; International Federation of Organ</w:t>
      </w:r>
      <w:r w:rsidR="000E4722" w:rsidRPr="00440196">
        <w:rPr>
          <w:lang w:val="en-GB"/>
        </w:rPr>
        <w:t>ic Agriculture Movements</w:t>
      </w:r>
      <w:r w:rsidR="005E2065" w:rsidRPr="00440196">
        <w:rPr>
          <w:lang w:val="en-GB"/>
        </w:rPr>
        <w:t>;</w:t>
      </w:r>
      <w:r w:rsidR="00C12D49" w:rsidRPr="00440196">
        <w:rPr>
          <w:lang w:val="en-GB"/>
        </w:rPr>
        <w:t xml:space="preserve"> University of </w:t>
      </w:r>
      <w:proofErr w:type="spellStart"/>
      <w:r w:rsidR="00C12D49" w:rsidRPr="00440196">
        <w:rPr>
          <w:lang w:val="en-GB"/>
        </w:rPr>
        <w:t>Abomey</w:t>
      </w:r>
      <w:r w:rsidR="00C12D49" w:rsidRPr="00440196">
        <w:rPr>
          <w:lang w:val="en-GB"/>
        </w:rPr>
        <w:noBreakHyphen/>
      </w:r>
      <w:r w:rsidR="005E2065" w:rsidRPr="00440196">
        <w:rPr>
          <w:lang w:val="en-GB"/>
        </w:rPr>
        <w:t>Calavi</w:t>
      </w:r>
      <w:proofErr w:type="spellEnd"/>
      <w:r w:rsidR="005E2065" w:rsidRPr="00440196">
        <w:rPr>
          <w:lang w:val="en-GB"/>
        </w:rPr>
        <w:t>; Latin American Energy, Mining and Biodiversity Dialogue NGO; Lilongwe University of Agriculture and Natural Resources; Living Green Empowerment Organi</w:t>
      </w:r>
      <w:r w:rsidR="00CE1A52" w:rsidRPr="00440196">
        <w:rPr>
          <w:lang w:val="en-GB"/>
        </w:rPr>
        <w:t xml:space="preserve">zation; </w:t>
      </w:r>
      <w:proofErr w:type="spellStart"/>
      <w:r w:rsidR="00CE1A52" w:rsidRPr="00440196">
        <w:rPr>
          <w:lang w:val="en-GB"/>
        </w:rPr>
        <w:t>Luonnonvarakeskus</w:t>
      </w:r>
      <w:proofErr w:type="spellEnd"/>
      <w:r w:rsidR="005E2065" w:rsidRPr="00440196">
        <w:rPr>
          <w:lang w:val="en-GB"/>
        </w:rPr>
        <w:t xml:space="preserve"> </w:t>
      </w:r>
      <w:r w:rsidR="00CE1A52" w:rsidRPr="00440196">
        <w:rPr>
          <w:lang w:val="en-GB"/>
        </w:rPr>
        <w:t>(</w:t>
      </w:r>
      <w:r w:rsidR="005E2065" w:rsidRPr="00440196">
        <w:rPr>
          <w:lang w:val="en-GB"/>
        </w:rPr>
        <w:t>Luke</w:t>
      </w:r>
      <w:r w:rsidR="00CE1A52" w:rsidRPr="00440196">
        <w:rPr>
          <w:lang w:val="en-GB"/>
        </w:rPr>
        <w:t>)</w:t>
      </w:r>
      <w:r w:rsidR="005E2065" w:rsidRPr="00440196">
        <w:rPr>
          <w:lang w:val="en-GB"/>
        </w:rPr>
        <w:t xml:space="preserve"> (Natural Resources Institute Finland); M. S.</w:t>
      </w:r>
      <w:r w:rsidR="004153C8">
        <w:rPr>
          <w:lang w:val="en-GB"/>
        </w:rPr>
        <w:t> </w:t>
      </w:r>
      <w:proofErr w:type="spellStart"/>
      <w:r w:rsidR="005E2065" w:rsidRPr="00440196">
        <w:rPr>
          <w:lang w:val="en-GB"/>
        </w:rPr>
        <w:t>Swaminathan</w:t>
      </w:r>
      <w:proofErr w:type="spellEnd"/>
      <w:r w:rsidR="005E2065" w:rsidRPr="00440196">
        <w:rPr>
          <w:lang w:val="en-GB"/>
        </w:rPr>
        <w:t xml:space="preserve"> Research Foundation; Marine </w:t>
      </w:r>
      <w:r w:rsidR="00CE1A52" w:rsidRPr="00440196">
        <w:rPr>
          <w:lang w:val="en-GB"/>
        </w:rPr>
        <w:t>Ecosystems Protected Areas</w:t>
      </w:r>
      <w:r w:rsidR="005E2065" w:rsidRPr="00440196">
        <w:rPr>
          <w:lang w:val="en-GB"/>
        </w:rPr>
        <w:t xml:space="preserve"> Trust; </w:t>
      </w:r>
      <w:proofErr w:type="spellStart"/>
      <w:r w:rsidR="005E2065" w:rsidRPr="00440196">
        <w:rPr>
          <w:lang w:val="en-GB"/>
        </w:rPr>
        <w:t>Marwell</w:t>
      </w:r>
      <w:proofErr w:type="spellEnd"/>
      <w:r w:rsidR="005E2065" w:rsidRPr="00440196">
        <w:rPr>
          <w:lang w:val="en-GB"/>
        </w:rPr>
        <w:t xml:space="preserve"> Wildlife; Maya Nut Institute/Ramon </w:t>
      </w:r>
      <w:proofErr w:type="spellStart"/>
      <w:r w:rsidR="005E2065" w:rsidRPr="00440196">
        <w:rPr>
          <w:lang w:val="en-GB"/>
        </w:rPr>
        <w:t>Nativa</w:t>
      </w:r>
      <w:proofErr w:type="spellEnd"/>
      <w:r w:rsidR="005E2065" w:rsidRPr="00440196">
        <w:rPr>
          <w:lang w:val="en-GB"/>
        </w:rPr>
        <w:t xml:space="preserve">; Mercator Research Institute on Global Commons and Climate Change; Namibia Nature Foundation; </w:t>
      </w:r>
      <w:r w:rsidR="002B4DD8" w:rsidRPr="00440196">
        <w:rPr>
          <w:lang w:val="en-GB"/>
        </w:rPr>
        <w:t xml:space="preserve">National Academy of Science (Armenia); </w:t>
      </w:r>
      <w:r w:rsidR="005E2065" w:rsidRPr="00440196">
        <w:rPr>
          <w:lang w:val="en-GB"/>
        </w:rPr>
        <w:t>National Centre for Sustainable Coastal Management; Nature and Biodiv</w:t>
      </w:r>
      <w:r w:rsidR="00CE1A52" w:rsidRPr="00440196">
        <w:rPr>
          <w:lang w:val="en-GB"/>
        </w:rPr>
        <w:t xml:space="preserve">ersity Conservation Union; NGO </w:t>
      </w:r>
      <w:proofErr w:type="spellStart"/>
      <w:r w:rsidR="00CE1A52" w:rsidRPr="00440196">
        <w:rPr>
          <w:lang w:val="en-GB"/>
        </w:rPr>
        <w:t>Bagna</w:t>
      </w:r>
      <w:proofErr w:type="spellEnd"/>
      <w:r w:rsidR="005E2065" w:rsidRPr="00440196">
        <w:rPr>
          <w:lang w:val="en-GB"/>
        </w:rPr>
        <w:t>; North Private University; NOVA IMS; Organization for Economic Co</w:t>
      </w:r>
      <w:r w:rsidR="00CE1A52" w:rsidRPr="00440196">
        <w:rPr>
          <w:lang w:val="en-GB"/>
        </w:rPr>
        <w:t>operation and Development</w:t>
      </w:r>
      <w:r w:rsidR="005E2065" w:rsidRPr="00440196">
        <w:rPr>
          <w:lang w:val="en-GB"/>
        </w:rPr>
        <w:t xml:space="preserve">; Pollinator Partnership; </w:t>
      </w:r>
      <w:proofErr w:type="spellStart"/>
      <w:r w:rsidR="005E2065" w:rsidRPr="00440196">
        <w:rPr>
          <w:lang w:val="en-GB"/>
        </w:rPr>
        <w:t>Pontificia</w:t>
      </w:r>
      <w:proofErr w:type="spellEnd"/>
      <w:r w:rsidR="005E2065" w:rsidRPr="00440196">
        <w:rPr>
          <w:lang w:val="en-GB"/>
        </w:rPr>
        <w:t xml:space="preserve"> Universidad </w:t>
      </w:r>
      <w:proofErr w:type="spellStart"/>
      <w:r w:rsidR="005E2065" w:rsidRPr="00440196">
        <w:rPr>
          <w:lang w:val="en-GB"/>
        </w:rPr>
        <w:t>Javerian</w:t>
      </w:r>
      <w:r w:rsidR="00E41E81" w:rsidRPr="00440196">
        <w:rPr>
          <w:lang w:val="en-GB"/>
        </w:rPr>
        <w:t>a</w:t>
      </w:r>
      <w:proofErr w:type="spellEnd"/>
      <w:r w:rsidR="00E41E81" w:rsidRPr="00440196">
        <w:rPr>
          <w:lang w:val="en-GB"/>
        </w:rPr>
        <w:t xml:space="preserve">; RCE Kyrgyzstan; </w:t>
      </w:r>
      <w:r w:rsidR="004153C8">
        <w:rPr>
          <w:lang w:val="en-GB"/>
        </w:rPr>
        <w:br/>
      </w:r>
      <w:r w:rsidR="00E41E81" w:rsidRPr="00440196">
        <w:rPr>
          <w:lang w:val="en-GB"/>
        </w:rPr>
        <w:t>RCP-Network/</w:t>
      </w:r>
      <w:r w:rsidR="005E2065" w:rsidRPr="00440196">
        <w:rPr>
          <w:lang w:val="en-GB"/>
        </w:rPr>
        <w:t>OLESDK-NGO; Royal Society fo</w:t>
      </w:r>
      <w:r w:rsidR="00CE1A52" w:rsidRPr="00440196">
        <w:rPr>
          <w:lang w:val="en-GB"/>
        </w:rPr>
        <w:t>r the Protection of Birds</w:t>
      </w:r>
      <w:r w:rsidR="005E2065" w:rsidRPr="00440196">
        <w:rPr>
          <w:lang w:val="en-GB"/>
        </w:rPr>
        <w:t xml:space="preserve">; SS </w:t>
      </w:r>
      <w:proofErr w:type="spellStart"/>
      <w:r w:rsidR="005E2065" w:rsidRPr="00440196">
        <w:rPr>
          <w:lang w:val="en-GB"/>
        </w:rPr>
        <w:t>Enterprize</w:t>
      </w:r>
      <w:proofErr w:type="spellEnd"/>
      <w:r w:rsidR="005E2065" w:rsidRPr="00440196">
        <w:rPr>
          <w:lang w:val="en-GB"/>
        </w:rPr>
        <w:t xml:space="preserve"> BD; S.N.D.T. Women's University; </w:t>
      </w:r>
      <w:proofErr w:type="spellStart"/>
      <w:r w:rsidR="005E2065" w:rsidRPr="00440196">
        <w:rPr>
          <w:lang w:val="en-GB"/>
        </w:rPr>
        <w:t>Sabima</w:t>
      </w:r>
      <w:proofErr w:type="spellEnd"/>
      <w:r w:rsidR="005E2065" w:rsidRPr="00440196">
        <w:rPr>
          <w:lang w:val="en-GB"/>
        </w:rPr>
        <w:t xml:space="preserve">; </w:t>
      </w:r>
      <w:proofErr w:type="spellStart"/>
      <w:r w:rsidR="005E2065" w:rsidRPr="00440196">
        <w:rPr>
          <w:lang w:val="en-GB"/>
        </w:rPr>
        <w:t>Sajha</w:t>
      </w:r>
      <w:proofErr w:type="spellEnd"/>
      <w:r w:rsidR="005E2065" w:rsidRPr="00440196">
        <w:rPr>
          <w:lang w:val="en-GB"/>
        </w:rPr>
        <w:t xml:space="preserve"> Foundation; </w:t>
      </w:r>
      <w:proofErr w:type="spellStart"/>
      <w:r w:rsidR="005E2065" w:rsidRPr="00440196">
        <w:rPr>
          <w:lang w:val="en-GB"/>
        </w:rPr>
        <w:t>Sankalp</w:t>
      </w:r>
      <w:proofErr w:type="spellEnd"/>
      <w:r w:rsidR="005E2065" w:rsidRPr="00440196">
        <w:rPr>
          <w:lang w:val="en-GB"/>
        </w:rPr>
        <w:t xml:space="preserve"> Jan </w:t>
      </w:r>
      <w:proofErr w:type="spellStart"/>
      <w:r w:rsidR="005E2065" w:rsidRPr="00440196">
        <w:rPr>
          <w:lang w:val="en-GB"/>
        </w:rPr>
        <w:t>Seva</w:t>
      </w:r>
      <w:proofErr w:type="spellEnd"/>
      <w:r w:rsidR="005E2065" w:rsidRPr="00440196">
        <w:rPr>
          <w:lang w:val="en-GB"/>
        </w:rPr>
        <w:t xml:space="preserve"> </w:t>
      </w:r>
      <w:proofErr w:type="spellStart"/>
      <w:r w:rsidR="005E2065" w:rsidRPr="00440196">
        <w:rPr>
          <w:lang w:val="en-GB"/>
        </w:rPr>
        <w:t>Samiti</w:t>
      </w:r>
      <w:proofErr w:type="spellEnd"/>
      <w:r w:rsidR="005E2065" w:rsidRPr="00440196">
        <w:rPr>
          <w:lang w:val="en-GB"/>
        </w:rPr>
        <w:t xml:space="preserve">; </w:t>
      </w:r>
      <w:proofErr w:type="spellStart"/>
      <w:r w:rsidR="005E2065" w:rsidRPr="00440196">
        <w:rPr>
          <w:lang w:val="en-GB"/>
        </w:rPr>
        <w:t>Sheda</w:t>
      </w:r>
      <w:proofErr w:type="spellEnd"/>
      <w:r w:rsidR="005E2065" w:rsidRPr="00440196">
        <w:rPr>
          <w:lang w:val="en-GB"/>
        </w:rPr>
        <w:t xml:space="preserve"> Science and Technology Complex; Sichuan University; </w:t>
      </w:r>
      <w:proofErr w:type="spellStart"/>
      <w:r w:rsidR="005E2065" w:rsidRPr="00440196">
        <w:rPr>
          <w:lang w:val="en-GB"/>
        </w:rPr>
        <w:t>Sinop</w:t>
      </w:r>
      <w:proofErr w:type="spellEnd"/>
      <w:r w:rsidR="005E2065" w:rsidRPr="00440196">
        <w:rPr>
          <w:lang w:val="en-GB"/>
        </w:rPr>
        <w:t xml:space="preserve"> Universi</w:t>
      </w:r>
      <w:r w:rsidR="00CE1A52" w:rsidRPr="00440196">
        <w:rPr>
          <w:lang w:val="en-GB"/>
        </w:rPr>
        <w:t>ty; Social Welfare Environment and Educational Society</w:t>
      </w:r>
      <w:r w:rsidR="005E2065" w:rsidRPr="00440196">
        <w:rPr>
          <w:lang w:val="en-GB"/>
        </w:rPr>
        <w:t xml:space="preserve">; Society for Health of Ocean Resources and Environment, India; Society of Fisheries and Life Sciences; State </w:t>
      </w:r>
      <w:r w:rsidR="00CE1A52" w:rsidRPr="00440196">
        <w:rPr>
          <w:lang w:val="en-GB"/>
        </w:rPr>
        <w:t>University of Campinas</w:t>
      </w:r>
      <w:r w:rsidR="005E2065" w:rsidRPr="00440196">
        <w:rPr>
          <w:lang w:val="en-GB"/>
        </w:rPr>
        <w:t>; State University of New York</w:t>
      </w:r>
      <w:r w:rsidR="005C4F6D" w:rsidRPr="00440196">
        <w:rPr>
          <w:lang w:val="en-GB"/>
        </w:rPr>
        <w:t>, Plattsburgh</w:t>
      </w:r>
      <w:r w:rsidR="005E2065" w:rsidRPr="00440196">
        <w:rPr>
          <w:lang w:val="en-GB"/>
        </w:rPr>
        <w:t xml:space="preserve">; Suez Canal University; Syngenta; Terre des </w:t>
      </w:r>
      <w:proofErr w:type="spellStart"/>
      <w:r w:rsidR="005E2065" w:rsidRPr="00440196">
        <w:rPr>
          <w:lang w:val="en-GB"/>
        </w:rPr>
        <w:t>Jeunes</w:t>
      </w:r>
      <w:proofErr w:type="spellEnd"/>
      <w:r w:rsidR="005E2065" w:rsidRPr="00440196">
        <w:rPr>
          <w:lang w:val="en-GB"/>
        </w:rPr>
        <w:t xml:space="preserve"> Haiti; </w:t>
      </w:r>
      <w:r w:rsidR="00B77E64" w:rsidRPr="00440196">
        <w:rPr>
          <w:lang w:val="en-GB"/>
        </w:rPr>
        <w:t xml:space="preserve">TH Köln – University of Applied Sciences; </w:t>
      </w:r>
      <w:r w:rsidR="005E2065" w:rsidRPr="00440196">
        <w:rPr>
          <w:lang w:val="en-GB"/>
        </w:rPr>
        <w:t xml:space="preserve">Transform International; Tropical Biology Association; Unified Media Council; Universidad </w:t>
      </w:r>
      <w:proofErr w:type="spellStart"/>
      <w:r w:rsidR="005E2065" w:rsidRPr="00440196">
        <w:rPr>
          <w:lang w:val="en-GB"/>
        </w:rPr>
        <w:t>Na</w:t>
      </w:r>
      <w:r w:rsidR="00CE1A52" w:rsidRPr="00440196">
        <w:rPr>
          <w:lang w:val="en-GB"/>
        </w:rPr>
        <w:t>cional</w:t>
      </w:r>
      <w:proofErr w:type="spellEnd"/>
      <w:r w:rsidR="00CE1A52" w:rsidRPr="00440196">
        <w:rPr>
          <w:lang w:val="en-GB"/>
        </w:rPr>
        <w:t xml:space="preserve"> </w:t>
      </w:r>
      <w:proofErr w:type="spellStart"/>
      <w:r w:rsidR="00CE1A52" w:rsidRPr="00440196">
        <w:rPr>
          <w:lang w:val="en-GB"/>
        </w:rPr>
        <w:t>Autónoma</w:t>
      </w:r>
      <w:proofErr w:type="spellEnd"/>
      <w:r w:rsidR="00CE1A52" w:rsidRPr="00440196">
        <w:rPr>
          <w:lang w:val="en-GB"/>
        </w:rPr>
        <w:t xml:space="preserve"> de México</w:t>
      </w:r>
      <w:r w:rsidR="005E2065" w:rsidRPr="00440196">
        <w:rPr>
          <w:lang w:val="en-GB"/>
        </w:rPr>
        <w:t xml:space="preserve">; </w:t>
      </w:r>
      <w:proofErr w:type="spellStart"/>
      <w:r w:rsidR="005E2065" w:rsidRPr="00440196">
        <w:rPr>
          <w:lang w:val="en-GB"/>
        </w:rPr>
        <w:t>Universidade</w:t>
      </w:r>
      <w:proofErr w:type="spellEnd"/>
      <w:r w:rsidR="005E2065" w:rsidRPr="00440196">
        <w:rPr>
          <w:lang w:val="en-GB"/>
        </w:rPr>
        <w:t xml:space="preserve"> Federal de Sao Joao del </w:t>
      </w:r>
      <w:proofErr w:type="spellStart"/>
      <w:r w:rsidR="005E2065" w:rsidRPr="00440196">
        <w:rPr>
          <w:lang w:val="en-GB"/>
        </w:rPr>
        <w:t>Rei</w:t>
      </w:r>
      <w:proofErr w:type="spellEnd"/>
      <w:r w:rsidR="005E2065" w:rsidRPr="00440196">
        <w:rPr>
          <w:lang w:val="en-GB"/>
        </w:rPr>
        <w:t xml:space="preserve">; </w:t>
      </w:r>
      <w:proofErr w:type="spellStart"/>
      <w:r w:rsidR="005E2065" w:rsidRPr="00440196">
        <w:rPr>
          <w:lang w:val="en-GB"/>
        </w:rPr>
        <w:t>Università</w:t>
      </w:r>
      <w:proofErr w:type="spellEnd"/>
      <w:r w:rsidR="005E2065" w:rsidRPr="00440196">
        <w:rPr>
          <w:lang w:val="en-GB"/>
        </w:rPr>
        <w:t xml:space="preserve"> </w:t>
      </w:r>
      <w:proofErr w:type="spellStart"/>
      <w:r w:rsidR="005E2065" w:rsidRPr="00440196">
        <w:rPr>
          <w:lang w:val="en-GB"/>
        </w:rPr>
        <w:t>degli</w:t>
      </w:r>
      <w:proofErr w:type="spellEnd"/>
      <w:r w:rsidR="005E2065" w:rsidRPr="00440196">
        <w:rPr>
          <w:lang w:val="en-GB"/>
        </w:rPr>
        <w:t xml:space="preserve"> </w:t>
      </w:r>
      <w:proofErr w:type="spellStart"/>
      <w:r w:rsidR="005E2065" w:rsidRPr="00440196">
        <w:rPr>
          <w:lang w:val="en-GB"/>
        </w:rPr>
        <w:t>Studi</w:t>
      </w:r>
      <w:proofErr w:type="spellEnd"/>
      <w:r w:rsidR="005E2065" w:rsidRPr="00440196">
        <w:rPr>
          <w:lang w:val="en-GB"/>
        </w:rPr>
        <w:t xml:space="preserve"> di Torino; University for Development Studies, Tamale; </w:t>
      </w:r>
      <w:r w:rsidR="00CE1A52" w:rsidRPr="00440196">
        <w:rPr>
          <w:lang w:val="en-GB"/>
        </w:rPr>
        <w:t xml:space="preserve">University of Agriculture Peshawar; </w:t>
      </w:r>
      <w:r w:rsidR="005E2065" w:rsidRPr="00440196">
        <w:rPr>
          <w:lang w:val="en-GB"/>
        </w:rPr>
        <w:t xml:space="preserve">University of Auckland; University of </w:t>
      </w:r>
      <w:proofErr w:type="spellStart"/>
      <w:r w:rsidR="005E2065" w:rsidRPr="00440196">
        <w:rPr>
          <w:lang w:val="en-GB"/>
        </w:rPr>
        <w:t>Balamand</w:t>
      </w:r>
      <w:proofErr w:type="spellEnd"/>
      <w:r w:rsidR="005E2065" w:rsidRPr="00440196">
        <w:rPr>
          <w:lang w:val="en-GB"/>
        </w:rPr>
        <w:t xml:space="preserve">; University of Bayreuth; University of Botswana; University of Cambridge; University of Cape Coast; University of </w:t>
      </w:r>
      <w:proofErr w:type="spellStart"/>
      <w:r w:rsidR="005E2065" w:rsidRPr="00440196">
        <w:rPr>
          <w:lang w:val="en-GB"/>
        </w:rPr>
        <w:t>Dschang</w:t>
      </w:r>
      <w:proofErr w:type="spellEnd"/>
      <w:r w:rsidR="005E2065" w:rsidRPr="00440196">
        <w:rPr>
          <w:lang w:val="en-GB"/>
        </w:rPr>
        <w:t xml:space="preserve">; University of Freiburg; University of Ibadan; University of </w:t>
      </w:r>
      <w:proofErr w:type="spellStart"/>
      <w:r w:rsidR="005E2065" w:rsidRPr="00440196">
        <w:rPr>
          <w:lang w:val="en-GB"/>
        </w:rPr>
        <w:t>Kwa</w:t>
      </w:r>
      <w:proofErr w:type="spellEnd"/>
      <w:r w:rsidR="005E2065" w:rsidRPr="00440196">
        <w:rPr>
          <w:lang w:val="en-GB"/>
        </w:rPr>
        <w:t xml:space="preserve"> Zulu Natal; University of Potsdam; University of Salamanca; University of Sofia; University of Tehran; University of the Aegean; University of The Gambia; University of Tokyo; Urban Biodive</w:t>
      </w:r>
      <w:r w:rsidR="00762491" w:rsidRPr="00440196">
        <w:rPr>
          <w:lang w:val="en-GB"/>
        </w:rPr>
        <w:t>rsity and Design Network</w:t>
      </w:r>
      <w:r w:rsidR="005E2065" w:rsidRPr="00440196">
        <w:rPr>
          <w:lang w:val="en-GB"/>
        </w:rPr>
        <w:t>; Wetlands International; Wildlife Institute of India; Wolf Lake First Nation; Woodland Trust; Y</w:t>
      </w:r>
      <w:r w:rsidR="005559E2" w:rsidRPr="00440196">
        <w:rPr>
          <w:lang w:val="en-GB"/>
        </w:rPr>
        <w:t>unnan Academy of Social Science</w:t>
      </w:r>
      <w:r w:rsidRPr="00440196">
        <w:rPr>
          <w:lang w:val="en-GB"/>
        </w:rPr>
        <w:t>.</w:t>
      </w:r>
    </w:p>
    <w:p w14:paraId="3EA12124" w14:textId="01845042" w:rsidR="00720FAE" w:rsidRPr="00440196" w:rsidRDefault="00FA3F7A" w:rsidP="00B22E2E">
      <w:pPr>
        <w:pStyle w:val="Normalnumber"/>
        <w:numPr>
          <w:ilvl w:val="0"/>
          <w:numId w:val="5"/>
        </w:numPr>
        <w:tabs>
          <w:tab w:val="clear" w:pos="567"/>
        </w:tabs>
        <w:rPr>
          <w:lang w:val="en-GB"/>
        </w:rPr>
      </w:pPr>
      <w:r w:rsidRPr="00440196">
        <w:rPr>
          <w:lang w:val="en-GB"/>
        </w:rPr>
        <w:t>The Chair</w:t>
      </w:r>
      <w:r w:rsidR="00720FAE" w:rsidRPr="00440196">
        <w:rPr>
          <w:lang w:val="en-GB"/>
        </w:rPr>
        <w:t xml:space="preserve"> </w:t>
      </w:r>
      <w:r w:rsidR="003A2A35" w:rsidRPr="00440196">
        <w:rPr>
          <w:lang w:val="en-GB"/>
        </w:rPr>
        <w:t xml:space="preserve">then drew attention to a proposed policy and procedures for the admission of observers (IPBES/5/14), which </w:t>
      </w:r>
      <w:r w:rsidR="002C5EC2" w:rsidRPr="00440196">
        <w:rPr>
          <w:lang w:val="en-GB"/>
        </w:rPr>
        <w:t xml:space="preserve">had been the subject of disagreement </w:t>
      </w:r>
      <w:r w:rsidR="003A2A35" w:rsidRPr="00440196">
        <w:rPr>
          <w:lang w:val="en-GB"/>
        </w:rPr>
        <w:t xml:space="preserve">at </w:t>
      </w:r>
      <w:r w:rsidR="008B2ACF" w:rsidRPr="00440196">
        <w:rPr>
          <w:lang w:val="en-GB"/>
        </w:rPr>
        <w:t>the Plenary’s</w:t>
      </w:r>
      <w:r w:rsidR="003A2A35" w:rsidRPr="00440196">
        <w:rPr>
          <w:lang w:val="en-GB"/>
        </w:rPr>
        <w:t xml:space="preserve"> first, s</w:t>
      </w:r>
      <w:r w:rsidR="002C5EC2" w:rsidRPr="00440196">
        <w:rPr>
          <w:lang w:val="en-GB"/>
        </w:rPr>
        <w:t>econd, third and fourth sessions</w:t>
      </w:r>
      <w:r w:rsidR="00ED563F" w:rsidRPr="00440196">
        <w:rPr>
          <w:lang w:val="en-GB"/>
        </w:rPr>
        <w:t>,</w:t>
      </w:r>
      <w:r w:rsidR="002C5EC2" w:rsidRPr="00440196">
        <w:rPr>
          <w:lang w:val="en-GB"/>
        </w:rPr>
        <w:t xml:space="preserve"> in particular with regard </w:t>
      </w:r>
      <w:r w:rsidR="00ED563F" w:rsidRPr="00440196">
        <w:rPr>
          <w:lang w:val="en-GB"/>
        </w:rPr>
        <w:t xml:space="preserve">to </w:t>
      </w:r>
      <w:r w:rsidR="003A2A35" w:rsidRPr="00440196">
        <w:rPr>
          <w:lang w:val="en-GB"/>
        </w:rPr>
        <w:t>paragraphs 14</w:t>
      </w:r>
      <w:r w:rsidR="00A1496F" w:rsidRPr="00440196">
        <w:rPr>
          <w:lang w:val="en-GB"/>
        </w:rPr>
        <w:t xml:space="preserve"> and 16</w:t>
      </w:r>
      <w:r w:rsidR="00ED563F" w:rsidRPr="00440196">
        <w:rPr>
          <w:lang w:val="en-GB"/>
        </w:rPr>
        <w:t xml:space="preserve">, which had </w:t>
      </w:r>
      <w:r w:rsidR="003A2A35" w:rsidRPr="00440196">
        <w:rPr>
          <w:lang w:val="en-GB"/>
        </w:rPr>
        <w:t>accordingly remained enclosed in square brackets.</w:t>
      </w:r>
      <w:r w:rsidR="002C5EC2" w:rsidRPr="00440196">
        <w:rPr>
          <w:lang w:val="en-GB"/>
        </w:rPr>
        <w:t xml:space="preserve"> He asked whether any member had changed its position with regard to </w:t>
      </w:r>
      <w:r w:rsidR="00A43E07">
        <w:rPr>
          <w:lang w:val="en-GB"/>
        </w:rPr>
        <w:t>the matter addressed in th</w:t>
      </w:r>
      <w:r w:rsidR="00676A5F">
        <w:rPr>
          <w:lang w:val="en-GB"/>
        </w:rPr>
        <w:t>o</w:t>
      </w:r>
      <w:r w:rsidR="00A43E07">
        <w:rPr>
          <w:lang w:val="en-GB"/>
        </w:rPr>
        <w:t>se paragraphs</w:t>
      </w:r>
      <w:r w:rsidR="002C5EC2" w:rsidRPr="00440196">
        <w:rPr>
          <w:lang w:val="en-GB"/>
        </w:rPr>
        <w:t xml:space="preserve"> since the fourth session of the Plenary. No requests for the floor were made, and t</w:t>
      </w:r>
      <w:r w:rsidR="003A2A35" w:rsidRPr="00440196">
        <w:rPr>
          <w:lang w:val="en-GB"/>
        </w:rPr>
        <w:t xml:space="preserve">he Plenary </w:t>
      </w:r>
      <w:r w:rsidR="002C5EC2" w:rsidRPr="00440196">
        <w:rPr>
          <w:lang w:val="en-GB"/>
        </w:rPr>
        <w:t xml:space="preserve">accordingly </w:t>
      </w:r>
      <w:r w:rsidR="003A2A35" w:rsidRPr="00440196">
        <w:rPr>
          <w:lang w:val="en-GB"/>
        </w:rPr>
        <w:t xml:space="preserve">decided that the interim procedure for the admission of observers to sessions of the Plenary, as described in paragraph 22 of the report of the first session of the Plenary </w:t>
      </w:r>
      <w:r w:rsidR="000E587C">
        <w:rPr>
          <w:lang w:val="en-GB"/>
        </w:rPr>
        <w:t>(</w:t>
      </w:r>
      <w:r w:rsidR="000E587C" w:rsidRPr="00440196">
        <w:rPr>
          <w:lang w:val="en-GB"/>
        </w:rPr>
        <w:t>IPBES/1/12</w:t>
      </w:r>
      <w:r w:rsidR="000E587C">
        <w:rPr>
          <w:lang w:val="en-GB"/>
        </w:rPr>
        <w:t xml:space="preserve">) </w:t>
      </w:r>
      <w:r w:rsidR="003A2A35" w:rsidRPr="00440196">
        <w:rPr>
          <w:lang w:val="en-GB"/>
        </w:rPr>
        <w:t xml:space="preserve">and applied </w:t>
      </w:r>
      <w:r w:rsidR="00406D1B" w:rsidRPr="00440196">
        <w:rPr>
          <w:lang w:val="en-GB"/>
        </w:rPr>
        <w:t>at</w:t>
      </w:r>
      <w:r w:rsidR="003A2A35" w:rsidRPr="00440196">
        <w:rPr>
          <w:lang w:val="en-GB"/>
        </w:rPr>
        <w:t xml:space="preserve"> its second, third, fourth and fifth sessions, would be applied at its sixth session. </w:t>
      </w:r>
      <w:r w:rsidR="00C8019D" w:rsidRPr="00440196">
        <w:rPr>
          <w:lang w:val="en-GB"/>
        </w:rPr>
        <w:t xml:space="preserve">It </w:t>
      </w:r>
      <w:r w:rsidR="003A2A35" w:rsidRPr="00440196">
        <w:rPr>
          <w:lang w:val="en-GB"/>
        </w:rPr>
        <w:t xml:space="preserve">also decided that at its sixth session it would </w:t>
      </w:r>
      <w:r w:rsidR="00C8019D" w:rsidRPr="00440196">
        <w:rPr>
          <w:lang w:val="en-GB"/>
        </w:rPr>
        <w:t>again</w:t>
      </w:r>
      <w:r w:rsidR="003A2A35" w:rsidRPr="00440196">
        <w:rPr>
          <w:lang w:val="en-GB"/>
        </w:rPr>
        <w:t xml:space="preserve"> consider the draft policy and procedures </w:t>
      </w:r>
      <w:r w:rsidR="00ED563F" w:rsidRPr="00440196">
        <w:rPr>
          <w:lang w:val="en-GB"/>
        </w:rPr>
        <w:t>for the admission of observers.</w:t>
      </w:r>
    </w:p>
    <w:p w14:paraId="5F625C87" w14:textId="0769C5D3" w:rsidR="00B47AE3" w:rsidRPr="00440196" w:rsidRDefault="007D1DC5" w:rsidP="00B47AE3">
      <w:pPr>
        <w:pStyle w:val="CH1"/>
        <w:keepNext w:val="0"/>
        <w:keepLines w:val="0"/>
        <w:rPr>
          <w:lang w:val="en-GB"/>
        </w:rPr>
      </w:pPr>
      <w:r w:rsidRPr="00440196">
        <w:rPr>
          <w:lang w:val="en-GB"/>
        </w:rPr>
        <w:tab/>
        <w:t>IV</w:t>
      </w:r>
      <w:r w:rsidR="00B47AE3" w:rsidRPr="00440196">
        <w:rPr>
          <w:lang w:val="en-GB"/>
        </w:rPr>
        <w:t>.</w:t>
      </w:r>
      <w:r w:rsidR="00B47AE3" w:rsidRPr="00440196">
        <w:rPr>
          <w:lang w:val="en-GB"/>
        </w:rPr>
        <w:tab/>
        <w:t>Credentials of representatives</w:t>
      </w:r>
    </w:p>
    <w:p w14:paraId="40F5E376" w14:textId="780DB08C" w:rsidR="00701425" w:rsidRPr="00440196" w:rsidRDefault="00701425" w:rsidP="00701425">
      <w:pPr>
        <w:pStyle w:val="Normalnumber"/>
        <w:numPr>
          <w:ilvl w:val="0"/>
          <w:numId w:val="5"/>
        </w:numPr>
        <w:rPr>
          <w:lang w:val="en-GB"/>
        </w:rPr>
      </w:pPr>
      <w:r w:rsidRPr="00440196">
        <w:rPr>
          <w:lang w:val="en-GB"/>
        </w:rPr>
        <w:t>In accordance with rule 13 of the rules of procedure</w:t>
      </w:r>
      <w:r w:rsidR="006973C4" w:rsidRPr="00440196">
        <w:rPr>
          <w:lang w:val="en-GB"/>
        </w:rPr>
        <w:t>,</w:t>
      </w:r>
      <w:r w:rsidRPr="00440196">
        <w:rPr>
          <w:lang w:val="en-GB"/>
        </w:rPr>
        <w:t xml:space="preserve"> the Bureau, with the assistance of the secretariat, examined the credentials of the representatives of the </w:t>
      </w:r>
      <w:r w:rsidR="001E1096" w:rsidRPr="00440196">
        <w:rPr>
          <w:lang w:val="en-GB"/>
        </w:rPr>
        <w:t xml:space="preserve">95 </w:t>
      </w:r>
      <w:r w:rsidRPr="00440196">
        <w:rPr>
          <w:lang w:val="en-GB"/>
        </w:rPr>
        <w:t xml:space="preserve">members of </w:t>
      </w:r>
      <w:r w:rsidR="000E587C">
        <w:rPr>
          <w:lang w:val="en-GB"/>
        </w:rPr>
        <w:t>IPBES</w:t>
      </w:r>
      <w:r w:rsidRPr="00440196">
        <w:rPr>
          <w:lang w:val="en-GB"/>
        </w:rPr>
        <w:t xml:space="preserve"> participating in the current session. The Bureau found that the following 72 members had submitted credentials of their representatives issued by or on behalf of a Head of State or Government or minister for foreign affairs, as required by rule 12, and that those credentials were in good order: Algeria, Antigua and Barbuda, Argentina, Australia, Austria, Azerbaijan, Belarus, Belgium, Bhutan, Brazil, Burundi, Cambodia, Canada, Chad, China, Colombia, Congo, Costa Rica, Cuba, Denmark, Ecuador, Egypt, Estonia, Ethiopia, Finland, France, Gabon, Georgia, Germany, Ghana, Grenada, Guatemala, </w:t>
      </w:r>
      <w:r w:rsidR="004153C8">
        <w:rPr>
          <w:lang w:val="en-GB"/>
        </w:rPr>
        <w:br/>
      </w:r>
      <w:r w:rsidRPr="00440196">
        <w:rPr>
          <w:lang w:val="en-GB"/>
        </w:rPr>
        <w:t>Guinea-Bissau, Honduras, Hungary, India, Indonesia, Israel, Japan, Kenya, Latvia, Malaysia, Maldives, Mexico, Monaco, Morocco, Nepal, Netherlands, New Zealand, Norway, Pakistan, Portugal, Republic of Korea, Russian Federation, Saint Kitts and Nevis, Saint Lucia, Saudi Arabia, Senegal, Slovakia, South Africa, Spain, Sudan, Sweden, Switzerland, Thailand, Tunisia, United Arab Emirates, United Kingdom of Great Britain and Northern Ireland, United Republic of Tanzania, United States of America, Uruguay and Zambia.</w:t>
      </w:r>
    </w:p>
    <w:p w14:paraId="342409F9" w14:textId="059F8426" w:rsidR="00701425" w:rsidRPr="00440196" w:rsidRDefault="00701425" w:rsidP="00701425">
      <w:pPr>
        <w:pStyle w:val="Normalnumber"/>
        <w:numPr>
          <w:ilvl w:val="0"/>
          <w:numId w:val="5"/>
        </w:numPr>
        <w:rPr>
          <w:lang w:val="en-GB"/>
        </w:rPr>
      </w:pPr>
      <w:r w:rsidRPr="00440196">
        <w:rPr>
          <w:lang w:val="en-GB"/>
        </w:rPr>
        <w:t xml:space="preserve">The representatives of 23 other </w:t>
      </w:r>
      <w:r w:rsidR="000E587C">
        <w:rPr>
          <w:lang w:val="en-GB"/>
        </w:rPr>
        <w:t>IPBES</w:t>
      </w:r>
      <w:r w:rsidR="000E587C" w:rsidRPr="00440196">
        <w:rPr>
          <w:lang w:val="en-GB"/>
        </w:rPr>
        <w:t xml:space="preserve"> </w:t>
      </w:r>
      <w:r w:rsidRPr="00440196">
        <w:rPr>
          <w:lang w:val="en-GB"/>
        </w:rPr>
        <w:t>members participated in the current session without valid credentials. Those members were accordingly considered to be observers during the current session.</w:t>
      </w:r>
    </w:p>
    <w:p w14:paraId="4BB03D8A" w14:textId="659F62B5" w:rsidR="00B47AE3" w:rsidRPr="00440196" w:rsidRDefault="00701425" w:rsidP="00701425">
      <w:pPr>
        <w:pStyle w:val="Normalnumber"/>
        <w:numPr>
          <w:ilvl w:val="0"/>
          <w:numId w:val="5"/>
        </w:numPr>
        <w:rPr>
          <w:lang w:val="en-GB"/>
        </w:rPr>
      </w:pPr>
      <w:r w:rsidRPr="00440196">
        <w:rPr>
          <w:lang w:val="en-GB"/>
        </w:rPr>
        <w:t>The Plenary approved the report of the Bureau on credentials.</w:t>
      </w:r>
    </w:p>
    <w:p w14:paraId="4335BC96" w14:textId="06C801E0" w:rsidR="00B47AE3" w:rsidRPr="00440196" w:rsidRDefault="00B47AE3" w:rsidP="00B47AE3">
      <w:pPr>
        <w:pStyle w:val="CH1"/>
        <w:rPr>
          <w:lang w:val="en-GB"/>
        </w:rPr>
      </w:pPr>
      <w:r w:rsidRPr="00440196">
        <w:rPr>
          <w:lang w:val="en-GB"/>
        </w:rPr>
        <w:tab/>
        <w:t>V.</w:t>
      </w:r>
      <w:r w:rsidRPr="00440196">
        <w:rPr>
          <w:lang w:val="en-GB"/>
        </w:rPr>
        <w:tab/>
        <w:t>Report of the Executive Secretary on the implementation of the work programme 2014–2018</w:t>
      </w:r>
    </w:p>
    <w:p w14:paraId="13646439" w14:textId="403AE405" w:rsidR="00CB688E" w:rsidRPr="009C48E1" w:rsidRDefault="00DD25B6" w:rsidP="00F60E1F">
      <w:pPr>
        <w:pStyle w:val="Normalnumber"/>
        <w:numPr>
          <w:ilvl w:val="0"/>
          <w:numId w:val="5"/>
        </w:numPr>
        <w:tabs>
          <w:tab w:val="clear" w:pos="567"/>
        </w:tabs>
        <w:rPr>
          <w:lang w:val="en-US"/>
        </w:rPr>
      </w:pPr>
      <w:r w:rsidRPr="00440196">
        <w:rPr>
          <w:lang w:val="en-GB"/>
        </w:rPr>
        <w:t>Introducing the item, the Executive Secretary reported on the implementation of the work programme to date, outlining the information in the relevant note by the secretariat (IPBES/5/2)</w:t>
      </w:r>
      <w:r w:rsidR="000E587C">
        <w:rPr>
          <w:lang w:val="en-GB"/>
        </w:rPr>
        <w:t xml:space="preserve"> and related information documents as indicated therein</w:t>
      </w:r>
      <w:r w:rsidR="00F60E1F">
        <w:rPr>
          <w:lang w:val="en-GB"/>
        </w:rPr>
        <w:t>.</w:t>
      </w:r>
      <w:r w:rsidR="00F60E1F" w:rsidRPr="00440196">
        <w:rPr>
          <w:lang w:val="en-GB"/>
        </w:rPr>
        <w:t xml:space="preserve"> </w:t>
      </w:r>
      <w:r w:rsidR="009C48E1">
        <w:rPr>
          <w:lang w:val="en-GB"/>
        </w:rPr>
        <w:t>C</w:t>
      </w:r>
      <w:r w:rsidRPr="00440196">
        <w:rPr>
          <w:lang w:val="en-GB"/>
        </w:rPr>
        <w:t>overing progress on each of the four objectives of the work programme</w:t>
      </w:r>
      <w:r w:rsidR="009C48E1">
        <w:rPr>
          <w:lang w:val="en-GB"/>
        </w:rPr>
        <w:t>,</w:t>
      </w:r>
      <w:r w:rsidRPr="00440196">
        <w:rPr>
          <w:lang w:val="en-GB"/>
        </w:rPr>
        <w:t xml:space="preserve"> </w:t>
      </w:r>
      <w:r w:rsidR="009C48E1">
        <w:rPr>
          <w:lang w:val="en-GB"/>
        </w:rPr>
        <w:t>s</w:t>
      </w:r>
      <w:r w:rsidR="00F60E1F">
        <w:rPr>
          <w:lang w:val="en-GB"/>
        </w:rPr>
        <w:t xml:space="preserve">he placed particular emphasis on </w:t>
      </w:r>
      <w:r w:rsidR="00230BBA">
        <w:rPr>
          <w:lang w:val="en-GB"/>
        </w:rPr>
        <w:t xml:space="preserve">those </w:t>
      </w:r>
      <w:r w:rsidR="00F60E1F">
        <w:rPr>
          <w:lang w:val="en-GB"/>
        </w:rPr>
        <w:t xml:space="preserve">deliverables </w:t>
      </w:r>
      <w:r w:rsidR="009C48E1">
        <w:rPr>
          <w:lang w:val="en-GB"/>
        </w:rPr>
        <w:t xml:space="preserve">that Plenary </w:t>
      </w:r>
      <w:r w:rsidR="00BA3782">
        <w:rPr>
          <w:lang w:val="en-GB"/>
        </w:rPr>
        <w:t>would</w:t>
      </w:r>
      <w:r w:rsidR="009C48E1">
        <w:rPr>
          <w:lang w:val="en-GB"/>
        </w:rPr>
        <w:t xml:space="preserve"> not consider</w:t>
      </w:r>
      <w:r w:rsidR="00F60E1F">
        <w:rPr>
          <w:lang w:val="en-GB"/>
        </w:rPr>
        <w:t xml:space="preserve"> </w:t>
      </w:r>
      <w:r w:rsidR="009C48E1">
        <w:rPr>
          <w:lang w:val="en-GB"/>
        </w:rPr>
        <w:t xml:space="preserve">under a </w:t>
      </w:r>
      <w:r w:rsidR="00F60E1F">
        <w:rPr>
          <w:lang w:val="en-GB"/>
        </w:rPr>
        <w:t>separate</w:t>
      </w:r>
      <w:r w:rsidR="009C48E1">
        <w:rPr>
          <w:lang w:val="en-GB"/>
        </w:rPr>
        <w:t xml:space="preserve"> agenda item at </w:t>
      </w:r>
      <w:r w:rsidR="00BA3782">
        <w:rPr>
          <w:lang w:val="en-GB"/>
        </w:rPr>
        <w:t>the current</w:t>
      </w:r>
      <w:r w:rsidR="009C48E1">
        <w:rPr>
          <w:lang w:val="en-GB"/>
        </w:rPr>
        <w:t xml:space="preserve"> session</w:t>
      </w:r>
      <w:r w:rsidR="00F60E1F">
        <w:rPr>
          <w:lang w:val="en-GB"/>
        </w:rPr>
        <w:t>, including progress in the four regional assessments of biodiversity and ecosystem services, in the land degradation and restoration assessment and in the global assessment of biodiversity and ecosystem services; finali</w:t>
      </w:r>
      <w:r w:rsidR="00BA3782">
        <w:rPr>
          <w:lang w:val="en-GB"/>
        </w:rPr>
        <w:t>z</w:t>
      </w:r>
      <w:r w:rsidR="00F60E1F">
        <w:rPr>
          <w:lang w:val="en-GB"/>
        </w:rPr>
        <w:t xml:space="preserve">ation of the chapters of the two approved reports on pollinators, pollination and food production and on scenarios and models of biodiversity and ecosystem services, </w:t>
      </w:r>
      <w:r w:rsidR="009C48E1">
        <w:rPr>
          <w:lang w:val="en-GB"/>
        </w:rPr>
        <w:t>related</w:t>
      </w:r>
      <w:r w:rsidR="00F60E1F">
        <w:rPr>
          <w:lang w:val="en-GB"/>
        </w:rPr>
        <w:t xml:space="preserve"> publications and </w:t>
      </w:r>
      <w:r w:rsidR="00FB5A8E">
        <w:rPr>
          <w:lang w:val="en-GB"/>
        </w:rPr>
        <w:t xml:space="preserve">the </w:t>
      </w:r>
      <w:r w:rsidR="00F60E1F">
        <w:rPr>
          <w:lang w:val="en-GB"/>
        </w:rPr>
        <w:t xml:space="preserve">use by </w:t>
      </w:r>
      <w:r w:rsidR="00FB5A8E">
        <w:rPr>
          <w:lang w:val="en-GB"/>
        </w:rPr>
        <w:t>G</w:t>
      </w:r>
      <w:r w:rsidR="00F60E1F">
        <w:rPr>
          <w:lang w:val="en-GB"/>
        </w:rPr>
        <w:t xml:space="preserve">overnments and </w:t>
      </w:r>
      <w:r w:rsidR="004153C8">
        <w:rPr>
          <w:lang w:val="en-GB"/>
        </w:rPr>
        <w:br/>
      </w:r>
      <w:r w:rsidR="00F60E1F">
        <w:rPr>
          <w:lang w:val="en-GB"/>
        </w:rPr>
        <w:t>non-governmental stakeholders</w:t>
      </w:r>
      <w:r w:rsidR="009C48E1">
        <w:rPr>
          <w:lang w:val="en-GB"/>
        </w:rPr>
        <w:t xml:space="preserve"> of the approved assessments</w:t>
      </w:r>
      <w:r w:rsidR="00F60E1F">
        <w:rPr>
          <w:lang w:val="en-GB"/>
        </w:rPr>
        <w:t xml:space="preserve">. She </w:t>
      </w:r>
      <w:r w:rsidR="00FB5A8E">
        <w:rPr>
          <w:lang w:val="en-GB"/>
        </w:rPr>
        <w:t>also reported on</w:t>
      </w:r>
      <w:r w:rsidR="00F60E1F">
        <w:rPr>
          <w:lang w:val="en-GB"/>
        </w:rPr>
        <w:t xml:space="preserve"> </w:t>
      </w:r>
      <w:proofErr w:type="spellStart"/>
      <w:r w:rsidR="00F60E1F">
        <w:rPr>
          <w:lang w:val="en-GB"/>
        </w:rPr>
        <w:t>ongoing</w:t>
      </w:r>
      <w:proofErr w:type="spellEnd"/>
      <w:r w:rsidR="00F60E1F">
        <w:rPr>
          <w:lang w:val="en-GB"/>
        </w:rPr>
        <w:t xml:space="preserve"> additional work on scenarios and models and on </w:t>
      </w:r>
      <w:r w:rsidR="00F60E1F" w:rsidRPr="00F60E1F">
        <w:rPr>
          <w:lang w:val="en-GB"/>
        </w:rPr>
        <w:t>d</w:t>
      </w:r>
      <w:proofErr w:type="spellStart"/>
      <w:r w:rsidR="00FE2644" w:rsidRPr="00964A01">
        <w:rPr>
          <w:bCs/>
          <w:lang w:val="en-US"/>
        </w:rPr>
        <w:t>iverse</w:t>
      </w:r>
      <w:proofErr w:type="spellEnd"/>
      <w:r w:rsidR="00FE2644" w:rsidRPr="00964A01">
        <w:rPr>
          <w:bCs/>
          <w:lang w:val="en-US"/>
        </w:rPr>
        <w:t xml:space="preserve"> conceptualization</w:t>
      </w:r>
      <w:r w:rsidR="00FB5A8E">
        <w:rPr>
          <w:bCs/>
          <w:lang w:val="en-US"/>
        </w:rPr>
        <w:t>s</w:t>
      </w:r>
      <w:r w:rsidR="00FE2644" w:rsidRPr="00964A01">
        <w:rPr>
          <w:bCs/>
          <w:lang w:val="en-US"/>
        </w:rPr>
        <w:t xml:space="preserve"> of multiple values of nature and its benefits</w:t>
      </w:r>
      <w:r w:rsidR="00F60E1F" w:rsidRPr="00964A01">
        <w:rPr>
          <w:bCs/>
          <w:lang w:val="en-US"/>
        </w:rPr>
        <w:t xml:space="preserve">, seeking an extension of the mandates of the two </w:t>
      </w:r>
      <w:r w:rsidR="00FB5A8E">
        <w:rPr>
          <w:bCs/>
          <w:lang w:val="en-US"/>
        </w:rPr>
        <w:t xml:space="preserve">relevant </w:t>
      </w:r>
      <w:r w:rsidR="00F60E1F" w:rsidRPr="00964A01">
        <w:rPr>
          <w:bCs/>
          <w:lang w:val="en-US"/>
        </w:rPr>
        <w:t>expert groups until the seventh session of the Plenary.</w:t>
      </w:r>
      <w:r w:rsidR="00230BBA">
        <w:rPr>
          <w:bCs/>
          <w:lang w:val="en-US"/>
        </w:rPr>
        <w:t xml:space="preserve"> She also briefly presented the new classification of </w:t>
      </w:r>
      <w:r w:rsidR="00050B69">
        <w:rPr>
          <w:bCs/>
          <w:lang w:val="en-US"/>
        </w:rPr>
        <w:t>“</w:t>
      </w:r>
      <w:r w:rsidR="00EF420F">
        <w:rPr>
          <w:bCs/>
          <w:lang w:val="en-US"/>
        </w:rPr>
        <w:t>n</w:t>
      </w:r>
      <w:r w:rsidR="00230BBA">
        <w:rPr>
          <w:bCs/>
          <w:lang w:val="en-US"/>
        </w:rPr>
        <w:t xml:space="preserve">ature’s </w:t>
      </w:r>
      <w:r w:rsidR="00EF420F">
        <w:rPr>
          <w:bCs/>
          <w:lang w:val="en-US"/>
        </w:rPr>
        <w:t>c</w:t>
      </w:r>
      <w:r w:rsidR="00230BBA">
        <w:rPr>
          <w:bCs/>
          <w:lang w:val="en-US"/>
        </w:rPr>
        <w:t xml:space="preserve">ontributions to </w:t>
      </w:r>
      <w:r w:rsidR="00EF420F">
        <w:rPr>
          <w:bCs/>
          <w:lang w:val="en-US"/>
        </w:rPr>
        <w:t>p</w:t>
      </w:r>
      <w:r w:rsidR="00230BBA">
        <w:rPr>
          <w:bCs/>
          <w:lang w:val="en-US"/>
        </w:rPr>
        <w:t>eople</w:t>
      </w:r>
      <w:r w:rsidR="00050B69">
        <w:rPr>
          <w:bCs/>
          <w:lang w:val="en-US"/>
        </w:rPr>
        <w:t>”</w:t>
      </w:r>
      <w:r w:rsidR="00230BBA">
        <w:rPr>
          <w:bCs/>
          <w:lang w:val="en-US"/>
        </w:rPr>
        <w:t>,</w:t>
      </w:r>
      <w:r w:rsidR="00050B69">
        <w:rPr>
          <w:bCs/>
          <w:lang w:val="en-US"/>
        </w:rPr>
        <w:t xml:space="preserve"> </w:t>
      </w:r>
      <w:r w:rsidR="00FB5A8E">
        <w:rPr>
          <w:bCs/>
          <w:lang w:val="en-US"/>
        </w:rPr>
        <w:t xml:space="preserve">that had been </w:t>
      </w:r>
      <w:r w:rsidR="00230BBA">
        <w:rPr>
          <w:bCs/>
          <w:lang w:val="en-US"/>
        </w:rPr>
        <w:t xml:space="preserve">approved by the </w:t>
      </w:r>
      <w:r w:rsidR="00230BBA" w:rsidRPr="00440196">
        <w:rPr>
          <w:lang w:val="en-GB"/>
        </w:rPr>
        <w:t>Multidisciplinary Expert Panel</w:t>
      </w:r>
      <w:r w:rsidR="00230BBA">
        <w:rPr>
          <w:bCs/>
          <w:lang w:val="en-US"/>
        </w:rPr>
        <w:t>.</w:t>
      </w:r>
    </w:p>
    <w:p w14:paraId="4DF98B8B" w14:textId="4A0CCAAB" w:rsidR="00DD25B6" w:rsidRDefault="00230BBA" w:rsidP="00DD25B6">
      <w:pPr>
        <w:pStyle w:val="Normalnumber"/>
        <w:numPr>
          <w:ilvl w:val="0"/>
          <w:numId w:val="5"/>
        </w:numPr>
        <w:tabs>
          <w:tab w:val="clear" w:pos="567"/>
        </w:tabs>
        <w:rPr>
          <w:lang w:val="en-GB"/>
        </w:rPr>
      </w:pPr>
      <w:r w:rsidRPr="009C48E1">
        <w:rPr>
          <w:bCs/>
          <w:lang w:val="en-US"/>
        </w:rPr>
        <w:t>Regarding lessons learn</w:t>
      </w:r>
      <w:r w:rsidR="000156F7">
        <w:rPr>
          <w:bCs/>
          <w:lang w:val="en-US"/>
        </w:rPr>
        <w:t>ed</w:t>
      </w:r>
      <w:r w:rsidRPr="009C48E1">
        <w:rPr>
          <w:bCs/>
          <w:lang w:val="en-US"/>
        </w:rPr>
        <w:t xml:space="preserve">, she explained how the gap </w:t>
      </w:r>
      <w:r w:rsidR="00683BDA" w:rsidRPr="00050B69">
        <w:rPr>
          <w:bCs/>
          <w:lang w:val="en-US"/>
        </w:rPr>
        <w:t>f</w:t>
      </w:r>
      <w:r w:rsidRPr="009C48E1">
        <w:rPr>
          <w:bCs/>
          <w:lang w:val="en-US"/>
        </w:rPr>
        <w:t xml:space="preserve">illing procedure </w:t>
      </w:r>
      <w:r w:rsidR="006E7020" w:rsidRPr="009C48E1">
        <w:rPr>
          <w:bCs/>
          <w:lang w:val="en-US"/>
        </w:rPr>
        <w:t>adopted by the</w:t>
      </w:r>
      <w:r w:rsidR="000156F7">
        <w:rPr>
          <w:bCs/>
          <w:lang w:val="en-US"/>
        </w:rPr>
        <w:t xml:space="preserve"> Plenary at its</w:t>
      </w:r>
      <w:r w:rsidR="006E7020" w:rsidRPr="009C48E1">
        <w:rPr>
          <w:bCs/>
          <w:lang w:val="en-US"/>
        </w:rPr>
        <w:t xml:space="preserve"> fourth session </w:t>
      </w:r>
      <w:r w:rsidRPr="009C48E1">
        <w:rPr>
          <w:bCs/>
          <w:lang w:val="en-US"/>
        </w:rPr>
        <w:t xml:space="preserve">had been instrumental in improving the overall disciplinary balance between </w:t>
      </w:r>
      <w:r w:rsidR="000156F7">
        <w:rPr>
          <w:bCs/>
          <w:lang w:val="en-US"/>
        </w:rPr>
        <w:t xml:space="preserve">the </w:t>
      </w:r>
      <w:r w:rsidRPr="009C48E1">
        <w:rPr>
          <w:bCs/>
          <w:lang w:val="en-US"/>
        </w:rPr>
        <w:t>natural and social sciences in the selection of experts for the global assessment.</w:t>
      </w:r>
      <w:r w:rsidR="00683BDA">
        <w:rPr>
          <w:bCs/>
          <w:lang w:val="en-US"/>
        </w:rPr>
        <w:t xml:space="preserve"> </w:t>
      </w:r>
      <w:r w:rsidR="00DD25B6" w:rsidRPr="00440196">
        <w:rPr>
          <w:lang w:val="en-GB"/>
        </w:rPr>
        <w:t xml:space="preserve">She </w:t>
      </w:r>
      <w:r w:rsidR="006E7020">
        <w:rPr>
          <w:lang w:val="en-GB"/>
        </w:rPr>
        <w:t>also</w:t>
      </w:r>
      <w:r w:rsidRPr="00440196">
        <w:rPr>
          <w:lang w:val="en-GB"/>
        </w:rPr>
        <w:t xml:space="preserve"> </w:t>
      </w:r>
      <w:r w:rsidR="00DD25B6" w:rsidRPr="00440196">
        <w:rPr>
          <w:lang w:val="en-GB"/>
        </w:rPr>
        <w:t>conveyed a message from the Bureau to the effect that the engagement of Governments should be strengthened, especially with regard to commenting on assessment drafts, and explained that a proposal was being developed to strengthen the capacity of national focal points in that regard. The Bureau was also of the view that developed countries and organizations that nominated experts or members of the Multidisciplinary Expert Panel should e</w:t>
      </w:r>
      <w:r w:rsidR="00AF78B4" w:rsidRPr="00440196">
        <w:rPr>
          <w:lang w:val="en-GB"/>
        </w:rPr>
        <w:t>nsure that their nominees</w:t>
      </w:r>
      <w:r w:rsidR="00DD25B6" w:rsidRPr="00440196">
        <w:rPr>
          <w:lang w:val="en-GB"/>
        </w:rPr>
        <w:t xml:space="preserve"> received the support</w:t>
      </w:r>
      <w:r w:rsidR="00AF78B4" w:rsidRPr="00440196">
        <w:rPr>
          <w:lang w:val="en-GB"/>
        </w:rPr>
        <w:t xml:space="preserve"> necessary to enable them</w:t>
      </w:r>
      <w:r w:rsidR="00DD25B6" w:rsidRPr="00440196">
        <w:rPr>
          <w:lang w:val="en-GB"/>
        </w:rPr>
        <w:t xml:space="preserve"> to attend </w:t>
      </w:r>
      <w:r w:rsidR="000E587C">
        <w:rPr>
          <w:lang w:val="en-GB"/>
        </w:rPr>
        <w:t>relevant</w:t>
      </w:r>
      <w:r w:rsidR="000E587C" w:rsidRPr="00440196">
        <w:rPr>
          <w:lang w:val="en-GB"/>
        </w:rPr>
        <w:t xml:space="preserve"> </w:t>
      </w:r>
      <w:r w:rsidR="00DD25B6" w:rsidRPr="00440196">
        <w:rPr>
          <w:lang w:val="en-GB"/>
        </w:rPr>
        <w:t>meetings.</w:t>
      </w:r>
    </w:p>
    <w:p w14:paraId="46021DB6" w14:textId="1BFE8FD8" w:rsidR="006E7020" w:rsidRPr="00440196" w:rsidRDefault="00676A5F" w:rsidP="00DD25B6">
      <w:pPr>
        <w:pStyle w:val="Normalnumber"/>
        <w:numPr>
          <w:ilvl w:val="0"/>
          <w:numId w:val="5"/>
        </w:numPr>
        <w:tabs>
          <w:tab w:val="clear" w:pos="567"/>
        </w:tabs>
        <w:rPr>
          <w:lang w:val="en-GB"/>
        </w:rPr>
      </w:pPr>
      <w:r>
        <w:rPr>
          <w:lang w:val="en-GB"/>
        </w:rPr>
        <w:t>F</w:t>
      </w:r>
      <w:r w:rsidR="006E7020">
        <w:rPr>
          <w:lang w:val="en-GB"/>
        </w:rPr>
        <w:t xml:space="preserve">inally </w:t>
      </w:r>
      <w:r>
        <w:rPr>
          <w:lang w:val="en-GB"/>
        </w:rPr>
        <w:t xml:space="preserve">she </w:t>
      </w:r>
      <w:r w:rsidR="006E7020">
        <w:rPr>
          <w:lang w:val="en-GB"/>
        </w:rPr>
        <w:t xml:space="preserve">reported that </w:t>
      </w:r>
      <w:r w:rsidR="005040C8">
        <w:rPr>
          <w:lang w:val="en-GB"/>
        </w:rPr>
        <w:t xml:space="preserve">the </w:t>
      </w:r>
      <w:r w:rsidR="006E7020">
        <w:rPr>
          <w:lang w:val="en-GB"/>
        </w:rPr>
        <w:t xml:space="preserve">recruitment of secretariat </w:t>
      </w:r>
      <w:r w:rsidR="005040C8">
        <w:rPr>
          <w:lang w:val="en-GB"/>
        </w:rPr>
        <w:t xml:space="preserve">staff members </w:t>
      </w:r>
      <w:r w:rsidR="006E7020">
        <w:rPr>
          <w:lang w:val="en-GB"/>
        </w:rPr>
        <w:t>was complete.</w:t>
      </w:r>
    </w:p>
    <w:p w14:paraId="796B369F" w14:textId="0FE12278" w:rsidR="00DD25B6" w:rsidRPr="00440196" w:rsidRDefault="00DD25B6" w:rsidP="00DD25B6">
      <w:pPr>
        <w:pStyle w:val="Normalnumber"/>
        <w:numPr>
          <w:ilvl w:val="0"/>
          <w:numId w:val="5"/>
        </w:numPr>
        <w:tabs>
          <w:tab w:val="clear" w:pos="567"/>
        </w:tabs>
        <w:rPr>
          <w:lang w:val="en-GB"/>
        </w:rPr>
      </w:pPr>
      <w:r w:rsidRPr="00440196">
        <w:rPr>
          <w:lang w:val="en-GB"/>
        </w:rPr>
        <w:t xml:space="preserve">In the ensuing discussion statements were made by the representatives of Brazil, China, Costa Rica, France, India, Indonesia, Japan, Mexico, Morocco, the Russian Federation, Slovakia, speaking on behalf of the European Union member States that were members of </w:t>
      </w:r>
      <w:r w:rsidR="000E587C">
        <w:rPr>
          <w:lang w:val="en-GB"/>
        </w:rPr>
        <w:t>IPBES</w:t>
      </w:r>
      <w:r w:rsidRPr="00440196">
        <w:rPr>
          <w:lang w:val="en-GB"/>
        </w:rPr>
        <w:t>, and Switzerland; of the Division of Ocean Affairs and Law of the Sea of the Office of Legal Affairs of the United Nations</w:t>
      </w:r>
      <w:r w:rsidR="008C2FEF">
        <w:rPr>
          <w:lang w:val="en-GB"/>
        </w:rPr>
        <w:t xml:space="preserve">, </w:t>
      </w:r>
      <w:r w:rsidRPr="00440196">
        <w:rPr>
          <w:lang w:val="en-GB"/>
        </w:rPr>
        <w:t xml:space="preserve">Future Earth and </w:t>
      </w:r>
      <w:r w:rsidR="00037111" w:rsidRPr="00440196">
        <w:rPr>
          <w:lang w:val="en-GB"/>
        </w:rPr>
        <w:t>IUCN</w:t>
      </w:r>
      <w:r w:rsidRPr="00440196">
        <w:rPr>
          <w:lang w:val="en-GB"/>
        </w:rPr>
        <w:t>.</w:t>
      </w:r>
    </w:p>
    <w:p w14:paraId="211B7DE1" w14:textId="07F7752B" w:rsidR="00DD25B6" w:rsidRPr="00440196" w:rsidRDefault="00DD25B6" w:rsidP="00DD25B6">
      <w:pPr>
        <w:pStyle w:val="Normalnumber"/>
        <w:numPr>
          <w:ilvl w:val="0"/>
          <w:numId w:val="5"/>
        </w:numPr>
        <w:tabs>
          <w:tab w:val="clear" w:pos="567"/>
        </w:tabs>
        <w:rPr>
          <w:lang w:val="en-GB"/>
        </w:rPr>
      </w:pPr>
      <w:r w:rsidRPr="00440196">
        <w:rPr>
          <w:lang w:val="en-GB"/>
        </w:rPr>
        <w:t xml:space="preserve">Several </w:t>
      </w:r>
      <w:r w:rsidR="006E7D4D" w:rsidRPr="00440196">
        <w:rPr>
          <w:lang w:val="en-GB"/>
        </w:rPr>
        <w:t>representatives</w:t>
      </w:r>
      <w:r w:rsidRPr="00440196">
        <w:rPr>
          <w:lang w:val="en-GB"/>
        </w:rPr>
        <w:t xml:space="preserve"> thanked the Government of Germany for hosting the current session and welcomed the report of the Executive Secretary. They also commended the secretariat and the various experts on their work since the last session of the </w:t>
      </w:r>
      <w:r w:rsidR="000E587C">
        <w:rPr>
          <w:lang w:val="en-GB"/>
        </w:rPr>
        <w:t>P</w:t>
      </w:r>
      <w:r w:rsidRPr="00440196">
        <w:rPr>
          <w:lang w:val="en-GB"/>
        </w:rPr>
        <w:t xml:space="preserve">lenary. </w:t>
      </w:r>
    </w:p>
    <w:p w14:paraId="36B8EDFE" w14:textId="7058D437" w:rsidR="00DD25B6" w:rsidRPr="00440196" w:rsidRDefault="00DD25B6" w:rsidP="00DD25B6">
      <w:pPr>
        <w:pStyle w:val="Normalnumber"/>
        <w:numPr>
          <w:ilvl w:val="0"/>
          <w:numId w:val="5"/>
        </w:numPr>
        <w:tabs>
          <w:tab w:val="clear" w:pos="567"/>
        </w:tabs>
        <w:rPr>
          <w:lang w:val="en-GB"/>
        </w:rPr>
      </w:pPr>
      <w:r w:rsidRPr="00440196">
        <w:rPr>
          <w:lang w:val="en-GB"/>
        </w:rPr>
        <w:t xml:space="preserve">Several </w:t>
      </w:r>
      <w:r w:rsidR="006E7D4D" w:rsidRPr="00440196">
        <w:rPr>
          <w:lang w:val="en-GB"/>
        </w:rPr>
        <w:t>representatives</w:t>
      </w:r>
      <w:r w:rsidRPr="00440196">
        <w:rPr>
          <w:lang w:val="en-GB"/>
        </w:rPr>
        <w:t xml:space="preserve"> raised points regarding</w:t>
      </w:r>
      <w:r w:rsidR="000E587C">
        <w:rPr>
          <w:lang w:val="en-GB"/>
        </w:rPr>
        <w:t xml:space="preserve"> support for</w:t>
      </w:r>
      <w:r w:rsidRPr="00440196">
        <w:rPr>
          <w:lang w:val="en-GB"/>
        </w:rPr>
        <w:t xml:space="preserve"> the participation of experts and members of the </w:t>
      </w:r>
      <w:r w:rsidR="000E587C">
        <w:rPr>
          <w:lang w:val="en-GB"/>
        </w:rPr>
        <w:t>M</w:t>
      </w:r>
      <w:r w:rsidRPr="00440196">
        <w:rPr>
          <w:lang w:val="en-GB"/>
        </w:rPr>
        <w:t xml:space="preserve">ultidisciplinary </w:t>
      </w:r>
      <w:r w:rsidR="000E587C">
        <w:rPr>
          <w:lang w:val="en-GB"/>
        </w:rPr>
        <w:t>E</w:t>
      </w:r>
      <w:r w:rsidRPr="00440196">
        <w:rPr>
          <w:lang w:val="en-GB"/>
        </w:rPr>
        <w:t xml:space="preserve">xpert </w:t>
      </w:r>
      <w:r w:rsidR="000E587C">
        <w:rPr>
          <w:lang w:val="en-GB"/>
        </w:rPr>
        <w:t>P</w:t>
      </w:r>
      <w:r w:rsidRPr="00440196">
        <w:rPr>
          <w:lang w:val="en-GB"/>
        </w:rPr>
        <w:t>anel</w:t>
      </w:r>
      <w:r w:rsidR="00EC4146">
        <w:rPr>
          <w:lang w:val="en-GB"/>
        </w:rPr>
        <w:t xml:space="preserve"> in relevant </w:t>
      </w:r>
      <w:r w:rsidR="00BC1489">
        <w:rPr>
          <w:lang w:val="en-GB"/>
        </w:rPr>
        <w:t xml:space="preserve">IPBES </w:t>
      </w:r>
      <w:r w:rsidR="00EC4146">
        <w:rPr>
          <w:lang w:val="en-GB"/>
        </w:rPr>
        <w:t>meetings</w:t>
      </w:r>
      <w:r w:rsidRPr="00440196">
        <w:rPr>
          <w:lang w:val="en-GB"/>
        </w:rPr>
        <w:t xml:space="preserve">. One called on countries to recognize the contributions of experts by providing financial support for their attendance at </w:t>
      </w:r>
      <w:r w:rsidR="00EC4146">
        <w:rPr>
          <w:lang w:val="en-GB"/>
        </w:rPr>
        <w:t>relevant IPBES</w:t>
      </w:r>
      <w:r w:rsidR="00EC4146" w:rsidRPr="00440196">
        <w:rPr>
          <w:lang w:val="en-GB"/>
        </w:rPr>
        <w:t xml:space="preserve"> </w:t>
      </w:r>
      <w:r w:rsidRPr="00440196">
        <w:rPr>
          <w:lang w:val="en-GB"/>
        </w:rPr>
        <w:t xml:space="preserve">meetings and by deeming contributions to assessments to be equivalent to contributions to peer-reviewed publications, as was done in the context of the Intergovernmental Panel on Climate Change. Two representatives, referring to members of the Multidisciplinary Expert Panel in particular, said that they agreed with the Bureau that developed country Governments should </w:t>
      </w:r>
      <w:r w:rsidR="00EC4146">
        <w:rPr>
          <w:lang w:val="en-GB"/>
        </w:rPr>
        <w:t>ensure that their nominees</w:t>
      </w:r>
      <w:r w:rsidRPr="00440196">
        <w:rPr>
          <w:lang w:val="en-GB"/>
        </w:rPr>
        <w:t xml:space="preserve"> receive</w:t>
      </w:r>
      <w:r w:rsidR="004F4CB2">
        <w:rPr>
          <w:lang w:val="en-GB"/>
        </w:rPr>
        <w:t>d</w:t>
      </w:r>
      <w:r w:rsidRPr="00440196">
        <w:rPr>
          <w:lang w:val="en-GB"/>
        </w:rPr>
        <w:t xml:space="preserve"> sufficient support to enable them to participate in </w:t>
      </w:r>
      <w:r w:rsidR="00EC4146">
        <w:rPr>
          <w:lang w:val="en-GB"/>
        </w:rPr>
        <w:t>IPBES</w:t>
      </w:r>
      <w:r w:rsidR="00EC4146" w:rsidRPr="00440196">
        <w:rPr>
          <w:lang w:val="en-GB"/>
        </w:rPr>
        <w:t xml:space="preserve"> </w:t>
      </w:r>
      <w:r w:rsidRPr="00440196">
        <w:rPr>
          <w:lang w:val="en-GB"/>
        </w:rPr>
        <w:t xml:space="preserve">activities. Another suggested focusing on webinars as a </w:t>
      </w:r>
      <w:r w:rsidR="00094301" w:rsidRPr="00440196">
        <w:rPr>
          <w:lang w:val="en-GB"/>
        </w:rPr>
        <w:t>cost</w:t>
      </w:r>
      <w:r w:rsidR="00094301" w:rsidRPr="00440196">
        <w:rPr>
          <w:lang w:val="en-GB"/>
        </w:rPr>
        <w:noBreakHyphen/>
      </w:r>
      <w:r w:rsidRPr="00440196">
        <w:rPr>
          <w:lang w:val="en-GB"/>
        </w:rPr>
        <w:t xml:space="preserve">effective alternative to in-person meetings. One </w:t>
      </w:r>
      <w:r w:rsidR="00D668B5" w:rsidRPr="00440196">
        <w:rPr>
          <w:lang w:val="en-GB"/>
        </w:rPr>
        <w:t>representative</w:t>
      </w:r>
      <w:r w:rsidRPr="00440196">
        <w:rPr>
          <w:lang w:val="en-GB"/>
        </w:rPr>
        <w:t xml:space="preserve"> urged members of </w:t>
      </w:r>
      <w:r w:rsidR="00BF0609">
        <w:rPr>
          <w:lang w:val="en-GB"/>
        </w:rPr>
        <w:t>IPBES</w:t>
      </w:r>
      <w:r w:rsidRPr="00440196">
        <w:rPr>
          <w:lang w:val="en-GB"/>
        </w:rPr>
        <w:t xml:space="preserve"> to continue nominating experts</w:t>
      </w:r>
      <w:r w:rsidR="00BF0609">
        <w:rPr>
          <w:lang w:val="en-GB"/>
        </w:rPr>
        <w:t xml:space="preserve"> from developing countries</w:t>
      </w:r>
      <w:r w:rsidRPr="00440196">
        <w:rPr>
          <w:lang w:val="en-GB"/>
        </w:rPr>
        <w:t xml:space="preserve"> to assessments and task forces in order to </w:t>
      </w:r>
      <w:r w:rsidR="006306E7" w:rsidRPr="00440196">
        <w:rPr>
          <w:lang w:val="en-GB"/>
        </w:rPr>
        <w:t>ensure that</w:t>
      </w:r>
      <w:r w:rsidRPr="00440196">
        <w:rPr>
          <w:lang w:val="en-GB"/>
        </w:rPr>
        <w:t xml:space="preserve"> </w:t>
      </w:r>
      <w:r w:rsidR="00BF0609">
        <w:rPr>
          <w:lang w:val="en-GB"/>
        </w:rPr>
        <w:t>the</w:t>
      </w:r>
      <w:r w:rsidR="00434267">
        <w:rPr>
          <w:lang w:val="en-GB"/>
        </w:rPr>
        <w:t>y</w:t>
      </w:r>
      <w:r w:rsidR="006306E7" w:rsidRPr="00440196">
        <w:rPr>
          <w:lang w:val="en-GB"/>
        </w:rPr>
        <w:t xml:space="preserve"> were adequately represented</w:t>
      </w:r>
      <w:r w:rsidRPr="00440196">
        <w:rPr>
          <w:lang w:val="en-GB"/>
        </w:rPr>
        <w:t>.</w:t>
      </w:r>
    </w:p>
    <w:p w14:paraId="6F8EE729" w14:textId="3269C77D" w:rsidR="00DD25B6" w:rsidRPr="00440196" w:rsidRDefault="00DD25B6" w:rsidP="00DD25B6">
      <w:pPr>
        <w:pStyle w:val="Normalnumber"/>
        <w:numPr>
          <w:ilvl w:val="0"/>
          <w:numId w:val="5"/>
        </w:numPr>
        <w:tabs>
          <w:tab w:val="clear" w:pos="567"/>
        </w:tabs>
        <w:rPr>
          <w:lang w:val="en-GB"/>
        </w:rPr>
      </w:pPr>
      <w:r w:rsidRPr="00440196">
        <w:rPr>
          <w:lang w:val="en-GB"/>
        </w:rPr>
        <w:t xml:space="preserve">Several </w:t>
      </w:r>
      <w:r w:rsidR="00FA3F56" w:rsidRPr="00440196">
        <w:rPr>
          <w:lang w:val="en-GB"/>
        </w:rPr>
        <w:t>representatives</w:t>
      </w:r>
      <w:r w:rsidRPr="00440196">
        <w:rPr>
          <w:lang w:val="en-GB"/>
        </w:rPr>
        <w:t xml:space="preserve"> said that there was a need to further strengthen communication within </w:t>
      </w:r>
      <w:r w:rsidR="00BF0609">
        <w:rPr>
          <w:lang w:val="en-GB"/>
        </w:rPr>
        <w:t>IPBES</w:t>
      </w:r>
      <w:r w:rsidRPr="00440196">
        <w:rPr>
          <w:lang w:val="en-GB"/>
        </w:rPr>
        <w:t xml:space="preserve">, </w:t>
      </w:r>
      <w:r w:rsidRPr="00050B69">
        <w:rPr>
          <w:lang w:val="en-GB"/>
        </w:rPr>
        <w:t xml:space="preserve">in particular by ensuring the notification of national focal points regarding the </w:t>
      </w:r>
      <w:r w:rsidR="00FA3F56" w:rsidRPr="00050B69">
        <w:rPr>
          <w:lang w:val="en-GB"/>
        </w:rPr>
        <w:t xml:space="preserve">outcome of </w:t>
      </w:r>
      <w:r w:rsidRPr="00050B69">
        <w:rPr>
          <w:lang w:val="en-GB"/>
        </w:rPr>
        <w:t>nomination</w:t>
      </w:r>
      <w:r w:rsidR="00FA3F56" w:rsidRPr="00050B69">
        <w:rPr>
          <w:lang w:val="en-GB"/>
        </w:rPr>
        <w:t>s</w:t>
      </w:r>
      <w:r w:rsidRPr="00050B69">
        <w:rPr>
          <w:lang w:val="en-GB"/>
        </w:rPr>
        <w:t xml:space="preserve"> of experts to fill gaps in expert groups</w:t>
      </w:r>
      <w:r w:rsidR="003B36D6">
        <w:rPr>
          <w:lang w:val="en-GB"/>
        </w:rPr>
        <w:t>;</w:t>
      </w:r>
      <w:r w:rsidR="00050B69" w:rsidRPr="00050B69">
        <w:rPr>
          <w:lang w:val="en-GB"/>
        </w:rPr>
        <w:t xml:space="preserve"> </w:t>
      </w:r>
      <w:r w:rsidR="00050B69">
        <w:rPr>
          <w:lang w:val="en-GB"/>
        </w:rPr>
        <w:t xml:space="preserve">by </w:t>
      </w:r>
      <w:r w:rsidRPr="00440196">
        <w:rPr>
          <w:lang w:val="en-GB"/>
        </w:rPr>
        <w:t>enhancing access to documentation in advance of meetings and reviews, including by removing password protection to facilitate broad review</w:t>
      </w:r>
      <w:r w:rsidR="003B36D6">
        <w:rPr>
          <w:lang w:val="en-GB"/>
        </w:rPr>
        <w:t>;</w:t>
      </w:r>
      <w:r w:rsidR="003B36D6" w:rsidRPr="00440196">
        <w:rPr>
          <w:lang w:val="en-GB"/>
        </w:rPr>
        <w:t xml:space="preserve"> </w:t>
      </w:r>
      <w:r w:rsidRPr="00440196">
        <w:rPr>
          <w:lang w:val="en-GB"/>
        </w:rPr>
        <w:t>by making author responses to review comments available with each draft revision</w:t>
      </w:r>
      <w:r w:rsidR="003B36D6">
        <w:rPr>
          <w:lang w:val="en-GB"/>
        </w:rPr>
        <w:t>;</w:t>
      </w:r>
      <w:r w:rsidR="003B36D6" w:rsidRPr="00440196">
        <w:rPr>
          <w:lang w:val="en-GB"/>
        </w:rPr>
        <w:t xml:space="preserve"> </w:t>
      </w:r>
      <w:r w:rsidRPr="00440196">
        <w:rPr>
          <w:lang w:val="en-GB"/>
        </w:rPr>
        <w:t>by clearly documenting literature search protocols</w:t>
      </w:r>
      <w:r w:rsidR="003B36D6">
        <w:rPr>
          <w:lang w:val="en-GB"/>
        </w:rPr>
        <w:t>;</w:t>
      </w:r>
      <w:r w:rsidRPr="00440196">
        <w:rPr>
          <w:lang w:val="en-GB"/>
        </w:rPr>
        <w:t xml:space="preserve"> </w:t>
      </w:r>
      <w:r w:rsidR="00C66C3C" w:rsidRPr="00440196">
        <w:rPr>
          <w:lang w:val="en-GB"/>
        </w:rPr>
        <w:t xml:space="preserve">by </w:t>
      </w:r>
      <w:r w:rsidRPr="00440196">
        <w:rPr>
          <w:lang w:val="en-GB"/>
        </w:rPr>
        <w:t xml:space="preserve">establishing strict cut off dates for literature inclusion; </w:t>
      </w:r>
      <w:r w:rsidR="003B36D6">
        <w:rPr>
          <w:lang w:val="en-GB"/>
        </w:rPr>
        <w:t xml:space="preserve">by </w:t>
      </w:r>
      <w:r w:rsidRPr="00440196">
        <w:rPr>
          <w:lang w:val="en-GB"/>
        </w:rPr>
        <w:t xml:space="preserve">enhancing the comprehensiveness and reliability of information, including by publishing a schedule of external review dates and other information on the </w:t>
      </w:r>
      <w:r w:rsidR="00BF0609">
        <w:rPr>
          <w:lang w:val="en-GB"/>
        </w:rPr>
        <w:t>IPBES</w:t>
      </w:r>
      <w:r w:rsidR="00BF0609" w:rsidRPr="00440196">
        <w:rPr>
          <w:lang w:val="en-GB"/>
        </w:rPr>
        <w:t xml:space="preserve"> </w:t>
      </w:r>
      <w:r w:rsidRPr="00440196">
        <w:rPr>
          <w:lang w:val="en-GB"/>
        </w:rPr>
        <w:t xml:space="preserve">website; and </w:t>
      </w:r>
      <w:r w:rsidR="003B36D6">
        <w:rPr>
          <w:lang w:val="en-GB"/>
        </w:rPr>
        <w:t xml:space="preserve">by </w:t>
      </w:r>
      <w:r w:rsidRPr="00440196">
        <w:rPr>
          <w:lang w:val="en-GB"/>
        </w:rPr>
        <w:t xml:space="preserve">giving advance notice of </w:t>
      </w:r>
      <w:r w:rsidR="00BF0609">
        <w:rPr>
          <w:lang w:val="en-GB"/>
        </w:rPr>
        <w:t>indicative</w:t>
      </w:r>
      <w:r w:rsidRPr="00440196">
        <w:rPr>
          <w:lang w:val="en-GB"/>
        </w:rPr>
        <w:t xml:space="preserve"> meeting dates and deadlines for document review.</w:t>
      </w:r>
    </w:p>
    <w:p w14:paraId="58471172" w14:textId="4775B02A" w:rsidR="00DD25B6" w:rsidRPr="00440196" w:rsidRDefault="00DD25B6" w:rsidP="00DD25B6">
      <w:pPr>
        <w:pStyle w:val="Normalnumber"/>
        <w:numPr>
          <w:ilvl w:val="0"/>
          <w:numId w:val="5"/>
        </w:numPr>
        <w:tabs>
          <w:tab w:val="clear" w:pos="567"/>
        </w:tabs>
        <w:rPr>
          <w:lang w:val="en-GB"/>
        </w:rPr>
      </w:pPr>
      <w:r w:rsidRPr="00440196">
        <w:rPr>
          <w:lang w:val="en-GB"/>
        </w:rPr>
        <w:t xml:space="preserve">Two </w:t>
      </w:r>
      <w:r w:rsidR="00A433C1" w:rsidRPr="00440196">
        <w:rPr>
          <w:lang w:val="en-GB"/>
        </w:rPr>
        <w:t>representatives</w:t>
      </w:r>
      <w:r w:rsidRPr="00440196">
        <w:rPr>
          <w:lang w:val="en-GB"/>
        </w:rPr>
        <w:t xml:space="preserve"> added that the strengthening of communication should extend to other stakeholders such as UNDP and its BES-Net initiative, scientific institutions and civil society. Another said that assessments </w:t>
      </w:r>
      <w:r w:rsidR="008A793B" w:rsidRPr="00440196">
        <w:rPr>
          <w:lang w:val="en-GB"/>
        </w:rPr>
        <w:t xml:space="preserve">under </w:t>
      </w:r>
      <w:r w:rsidR="00683BDA" w:rsidRPr="003B36D6">
        <w:rPr>
          <w:lang w:val="en-GB"/>
        </w:rPr>
        <w:t>IPBES</w:t>
      </w:r>
      <w:r w:rsidRPr="00440196">
        <w:rPr>
          <w:lang w:val="en-GB"/>
        </w:rPr>
        <w:t xml:space="preserve">, IPCC, the Global Sustainable Development Report and the Regular Process for Global Reporting and Assessment of the State of the Marine Environment, including Socioeconomic Aspects, should be mutually supportive, avoid duplication of efforts and take regional assessments into account. Another said that it was important to maintain regular communication between potential users of </w:t>
      </w:r>
      <w:r w:rsidR="00AF6261">
        <w:rPr>
          <w:lang w:val="en-GB"/>
        </w:rPr>
        <w:t>IPBES</w:t>
      </w:r>
      <w:r w:rsidR="00AF6261" w:rsidRPr="00440196">
        <w:rPr>
          <w:lang w:val="en-GB"/>
        </w:rPr>
        <w:t xml:space="preserve"> </w:t>
      </w:r>
      <w:r w:rsidRPr="00440196">
        <w:rPr>
          <w:lang w:val="en-GB"/>
        </w:rPr>
        <w:t>assessment reports and the experts compiling them so that users were aware of their required contributions at all stages of the assessment process.</w:t>
      </w:r>
    </w:p>
    <w:p w14:paraId="39751E80" w14:textId="12562D47" w:rsidR="00DD25B6" w:rsidRPr="00440196" w:rsidRDefault="00DD25B6" w:rsidP="00DD25B6">
      <w:pPr>
        <w:pStyle w:val="Normalnumber"/>
        <w:numPr>
          <w:ilvl w:val="0"/>
          <w:numId w:val="5"/>
        </w:numPr>
        <w:tabs>
          <w:tab w:val="clear" w:pos="567"/>
        </w:tabs>
        <w:rPr>
          <w:lang w:val="en-GB"/>
        </w:rPr>
      </w:pPr>
      <w:r w:rsidRPr="00440196">
        <w:rPr>
          <w:lang w:val="en-GB"/>
        </w:rPr>
        <w:t xml:space="preserve">Several </w:t>
      </w:r>
      <w:r w:rsidR="00A433C1" w:rsidRPr="00440196">
        <w:rPr>
          <w:lang w:val="en-GB"/>
        </w:rPr>
        <w:t>representatives</w:t>
      </w:r>
      <w:r w:rsidRPr="00440196">
        <w:rPr>
          <w:lang w:val="en-GB"/>
        </w:rPr>
        <w:t xml:space="preserve"> expressed the hope that the needs of developing countries would be </w:t>
      </w:r>
      <w:r w:rsidR="00A63E56" w:rsidRPr="00440196">
        <w:rPr>
          <w:lang w:val="en-GB"/>
        </w:rPr>
        <w:t>taken into account</w:t>
      </w:r>
      <w:r w:rsidRPr="00440196">
        <w:rPr>
          <w:lang w:val="en-GB"/>
        </w:rPr>
        <w:t>, including through the contributions of additional donors.</w:t>
      </w:r>
    </w:p>
    <w:p w14:paraId="5D1FF767" w14:textId="04B99213" w:rsidR="00DD25B6" w:rsidRPr="00440196" w:rsidRDefault="0056656E" w:rsidP="00DD25B6">
      <w:pPr>
        <w:pStyle w:val="Normalnumber"/>
        <w:numPr>
          <w:ilvl w:val="0"/>
          <w:numId w:val="5"/>
        </w:numPr>
        <w:tabs>
          <w:tab w:val="clear" w:pos="567"/>
        </w:tabs>
        <w:rPr>
          <w:lang w:val="en-GB"/>
        </w:rPr>
      </w:pPr>
      <w:r w:rsidRPr="00440196">
        <w:rPr>
          <w:lang w:val="en-GB"/>
        </w:rPr>
        <w:t xml:space="preserve">One </w:t>
      </w:r>
      <w:r w:rsidR="00A433C1" w:rsidRPr="00440196">
        <w:rPr>
          <w:lang w:val="en-GB"/>
        </w:rPr>
        <w:t>representative</w:t>
      </w:r>
      <w:r w:rsidRPr="00440196">
        <w:rPr>
          <w:lang w:val="en-GB"/>
        </w:rPr>
        <w:t xml:space="preserve"> </w:t>
      </w:r>
      <w:r w:rsidR="00DD25B6" w:rsidRPr="00440196">
        <w:rPr>
          <w:lang w:val="en-GB"/>
        </w:rPr>
        <w:t xml:space="preserve">expressed a preference for first-hand verbal reporting to the Plenary by the </w:t>
      </w:r>
      <w:r w:rsidRPr="00440196">
        <w:rPr>
          <w:lang w:val="en-GB"/>
        </w:rPr>
        <w:t>co</w:t>
      </w:r>
      <w:r w:rsidRPr="00440196">
        <w:rPr>
          <w:lang w:val="en-GB"/>
        </w:rPr>
        <w:noBreakHyphen/>
      </w:r>
      <w:r w:rsidR="00DD25B6" w:rsidRPr="00440196">
        <w:rPr>
          <w:lang w:val="en-GB"/>
        </w:rPr>
        <w:t xml:space="preserve">chairs of </w:t>
      </w:r>
      <w:proofErr w:type="spellStart"/>
      <w:r w:rsidR="00DD25B6" w:rsidRPr="00440196">
        <w:rPr>
          <w:lang w:val="en-GB"/>
        </w:rPr>
        <w:t>ongoing</w:t>
      </w:r>
      <w:proofErr w:type="spellEnd"/>
      <w:r w:rsidR="00DD25B6" w:rsidRPr="00440196">
        <w:rPr>
          <w:lang w:val="en-GB"/>
        </w:rPr>
        <w:t xml:space="preserve"> assessments as a means of identifying challenges and determining the degree to which assessment reports were aligned with one another. He also suggested that the reports themselves, rather than the scientific publications associated with them, should be referred to so that the scientific articles did not supplant </w:t>
      </w:r>
      <w:r w:rsidR="0084123E" w:rsidRPr="00440196">
        <w:rPr>
          <w:lang w:val="en-GB"/>
        </w:rPr>
        <w:t>the reports</w:t>
      </w:r>
      <w:r w:rsidR="00DD25B6" w:rsidRPr="00440196">
        <w:rPr>
          <w:lang w:val="en-GB"/>
        </w:rPr>
        <w:t>.</w:t>
      </w:r>
    </w:p>
    <w:p w14:paraId="2E6321A1" w14:textId="15D1BDA8" w:rsidR="00DD25B6" w:rsidRPr="00440196" w:rsidRDefault="001A03C6" w:rsidP="00DD25B6">
      <w:pPr>
        <w:pStyle w:val="Normalnumber"/>
        <w:numPr>
          <w:ilvl w:val="0"/>
          <w:numId w:val="5"/>
        </w:numPr>
        <w:tabs>
          <w:tab w:val="clear" w:pos="567"/>
        </w:tabs>
        <w:rPr>
          <w:lang w:val="en-GB"/>
        </w:rPr>
      </w:pPr>
      <w:r w:rsidRPr="00440196">
        <w:rPr>
          <w:iCs/>
          <w:lang w:val="en-GB"/>
        </w:rPr>
        <w:t xml:space="preserve">One </w:t>
      </w:r>
      <w:r w:rsidR="00A433C1" w:rsidRPr="00440196">
        <w:rPr>
          <w:iCs/>
          <w:lang w:val="en-GB"/>
        </w:rPr>
        <w:t>representative</w:t>
      </w:r>
      <w:r w:rsidRPr="00440196">
        <w:rPr>
          <w:iCs/>
          <w:lang w:val="en-GB"/>
        </w:rPr>
        <w:t xml:space="preserve"> </w:t>
      </w:r>
      <w:r w:rsidR="00DD25B6" w:rsidRPr="00440196">
        <w:rPr>
          <w:iCs/>
          <w:lang w:val="en-GB"/>
        </w:rPr>
        <w:t>asked for clarification on the publication of information on</w:t>
      </w:r>
      <w:r w:rsidR="00BF0609">
        <w:rPr>
          <w:iCs/>
          <w:lang w:val="en-GB"/>
        </w:rPr>
        <w:t xml:space="preserve"> the diverse conceptualization of multiple</w:t>
      </w:r>
      <w:r w:rsidR="00DD25B6" w:rsidRPr="00440196">
        <w:rPr>
          <w:iCs/>
          <w:lang w:val="en-GB"/>
        </w:rPr>
        <w:t xml:space="preserve"> values given that the </w:t>
      </w:r>
      <w:r w:rsidR="00BF0609">
        <w:rPr>
          <w:iCs/>
          <w:lang w:val="en-GB"/>
        </w:rPr>
        <w:t>related</w:t>
      </w:r>
      <w:r w:rsidR="00BF0609" w:rsidRPr="00440196">
        <w:rPr>
          <w:iCs/>
          <w:lang w:val="en-GB"/>
        </w:rPr>
        <w:t xml:space="preserve"> </w:t>
      </w:r>
      <w:r w:rsidR="00DD25B6" w:rsidRPr="00440196">
        <w:rPr>
          <w:iCs/>
          <w:lang w:val="en-GB"/>
        </w:rPr>
        <w:t>assessmen</w:t>
      </w:r>
      <w:r w:rsidRPr="00440196">
        <w:rPr>
          <w:iCs/>
          <w:lang w:val="en-GB"/>
        </w:rPr>
        <w:t xml:space="preserve">t had not yet been undertaken. </w:t>
      </w:r>
      <w:r w:rsidR="00DD25B6" w:rsidRPr="00440196">
        <w:rPr>
          <w:iCs/>
          <w:lang w:val="en-GB"/>
        </w:rPr>
        <w:t>Two others, including one speaking on behalf of a group of countries, asked whether the uptake of the</w:t>
      </w:r>
      <w:r w:rsidR="00BF0609">
        <w:rPr>
          <w:iCs/>
          <w:lang w:val="en-GB"/>
        </w:rPr>
        <w:t xml:space="preserve"> concept of</w:t>
      </w:r>
      <w:r w:rsidR="00DD25B6" w:rsidRPr="00440196">
        <w:rPr>
          <w:iCs/>
          <w:lang w:val="en-GB"/>
        </w:rPr>
        <w:t xml:space="preserve"> "nature’s contributions to people" and associated terminology would be discussed in plenary. The Chair explained that the adoption of the concept had been the result of an evolution in thinking that was a natural extension of </w:t>
      </w:r>
      <w:r w:rsidR="00BF0609">
        <w:rPr>
          <w:iCs/>
          <w:lang w:val="en-GB"/>
        </w:rPr>
        <w:t>IPBES’</w:t>
      </w:r>
      <w:r w:rsidR="00DD25B6" w:rsidRPr="00440196">
        <w:rPr>
          <w:iCs/>
          <w:lang w:val="en-GB"/>
        </w:rPr>
        <w:t xml:space="preserve"> mandate to consider </w:t>
      </w:r>
      <w:r w:rsidR="002C30D3">
        <w:rPr>
          <w:iCs/>
          <w:lang w:val="en-GB"/>
        </w:rPr>
        <w:t>various</w:t>
      </w:r>
      <w:r w:rsidR="00BF0609">
        <w:rPr>
          <w:iCs/>
          <w:lang w:val="en-GB"/>
        </w:rPr>
        <w:t xml:space="preserve"> knowledge </w:t>
      </w:r>
      <w:r w:rsidR="00DD25B6" w:rsidRPr="00440196">
        <w:rPr>
          <w:iCs/>
          <w:lang w:val="en-GB"/>
        </w:rPr>
        <w:t xml:space="preserve">systems and </w:t>
      </w:r>
      <w:r w:rsidR="00BF0609">
        <w:rPr>
          <w:iCs/>
          <w:lang w:val="en-GB"/>
        </w:rPr>
        <w:t>diverse conceptualizations of multiple values</w:t>
      </w:r>
      <w:r w:rsidR="00863243">
        <w:rPr>
          <w:iCs/>
          <w:lang w:val="en-GB"/>
        </w:rPr>
        <w:t>.</w:t>
      </w:r>
      <w:r w:rsidR="00BF0609">
        <w:rPr>
          <w:iCs/>
          <w:lang w:val="en-GB"/>
        </w:rPr>
        <w:t xml:space="preserve"> </w:t>
      </w:r>
    </w:p>
    <w:p w14:paraId="5CF163F2" w14:textId="4214C8C0" w:rsidR="00B47AE3" w:rsidRPr="00440196" w:rsidRDefault="00DD25B6" w:rsidP="00B22E2E">
      <w:pPr>
        <w:pStyle w:val="Normalnumber"/>
        <w:numPr>
          <w:ilvl w:val="0"/>
          <w:numId w:val="5"/>
        </w:numPr>
        <w:tabs>
          <w:tab w:val="clear" w:pos="567"/>
        </w:tabs>
        <w:rPr>
          <w:lang w:val="en-GB"/>
        </w:rPr>
      </w:pPr>
      <w:r w:rsidRPr="00440196">
        <w:rPr>
          <w:lang w:val="en-GB"/>
        </w:rPr>
        <w:t xml:space="preserve">One </w:t>
      </w:r>
      <w:r w:rsidR="00C11DA4" w:rsidRPr="00440196">
        <w:rPr>
          <w:lang w:val="en-GB"/>
        </w:rPr>
        <w:t>representative</w:t>
      </w:r>
      <w:r w:rsidR="00196C39" w:rsidRPr="00440196">
        <w:rPr>
          <w:lang w:val="en-GB"/>
        </w:rPr>
        <w:t xml:space="preserve"> </w:t>
      </w:r>
      <w:r w:rsidRPr="00440196">
        <w:rPr>
          <w:lang w:val="en-GB"/>
        </w:rPr>
        <w:t xml:space="preserve">expressed concern that limited progress had been made with regard to </w:t>
      </w:r>
      <w:r w:rsidR="00BF0609">
        <w:rPr>
          <w:lang w:val="en-GB"/>
        </w:rPr>
        <w:t xml:space="preserve">the deliverables related to </w:t>
      </w:r>
      <w:r w:rsidR="00F63FD5">
        <w:rPr>
          <w:lang w:val="en-GB"/>
        </w:rPr>
        <w:t xml:space="preserve">the </w:t>
      </w:r>
      <w:r w:rsidRPr="00440196">
        <w:rPr>
          <w:lang w:val="en-GB"/>
        </w:rPr>
        <w:t>sustainable use</w:t>
      </w:r>
      <w:r w:rsidR="00BF0609">
        <w:rPr>
          <w:lang w:val="en-GB"/>
        </w:rPr>
        <w:t xml:space="preserve"> of biodiversity and</w:t>
      </w:r>
      <w:r w:rsidRPr="00440196">
        <w:rPr>
          <w:lang w:val="en-GB"/>
        </w:rPr>
        <w:t xml:space="preserve"> invasive alien species </w:t>
      </w:r>
      <w:r w:rsidR="00BF0609">
        <w:rPr>
          <w:lang w:val="en-GB"/>
        </w:rPr>
        <w:t>as well as</w:t>
      </w:r>
      <w:r w:rsidR="00BF0609" w:rsidRPr="00440196">
        <w:rPr>
          <w:lang w:val="en-GB"/>
        </w:rPr>
        <w:t xml:space="preserve"> </w:t>
      </w:r>
      <w:r w:rsidRPr="00440196">
        <w:rPr>
          <w:lang w:val="en-GB"/>
        </w:rPr>
        <w:t>the budget</w:t>
      </w:r>
      <w:r w:rsidR="00BF0609">
        <w:rPr>
          <w:lang w:val="en-GB"/>
        </w:rPr>
        <w:t xml:space="preserve"> for the implementation of the work programme</w:t>
      </w:r>
      <w:r w:rsidRPr="00440196">
        <w:rPr>
          <w:lang w:val="en-GB"/>
        </w:rPr>
        <w:t xml:space="preserve">. Another said that it was necessary to be able to measure the effectiveness and efficiency of </w:t>
      </w:r>
      <w:r w:rsidR="00BF0609">
        <w:rPr>
          <w:lang w:val="en-GB"/>
        </w:rPr>
        <w:t>IPBES</w:t>
      </w:r>
      <w:r w:rsidR="00BF0609" w:rsidRPr="00440196">
        <w:rPr>
          <w:lang w:val="en-GB"/>
        </w:rPr>
        <w:t xml:space="preserve"> </w:t>
      </w:r>
      <w:r w:rsidRPr="00440196">
        <w:rPr>
          <w:lang w:val="en-GB"/>
        </w:rPr>
        <w:t>deliverables in order to improve them.</w:t>
      </w:r>
    </w:p>
    <w:p w14:paraId="4005FCA9" w14:textId="40BAA5E7" w:rsidR="00130DC7" w:rsidRPr="00440196" w:rsidRDefault="00130DC7" w:rsidP="00B22E2E">
      <w:pPr>
        <w:pStyle w:val="Normalnumber"/>
        <w:numPr>
          <w:ilvl w:val="0"/>
          <w:numId w:val="5"/>
        </w:numPr>
        <w:tabs>
          <w:tab w:val="clear" w:pos="567"/>
        </w:tabs>
        <w:rPr>
          <w:lang w:val="en-GB"/>
        </w:rPr>
      </w:pPr>
      <w:r w:rsidRPr="00440196">
        <w:rPr>
          <w:lang w:val="en-GB"/>
        </w:rPr>
        <w:t>The Plenary took note of the information presented.</w:t>
      </w:r>
    </w:p>
    <w:p w14:paraId="33941FFE" w14:textId="08267890" w:rsidR="00B47AE3" w:rsidRPr="00440196" w:rsidRDefault="00B47AE3" w:rsidP="00B47AE3">
      <w:pPr>
        <w:pStyle w:val="CH1"/>
        <w:rPr>
          <w:lang w:val="en-GB"/>
        </w:rPr>
      </w:pPr>
      <w:r w:rsidRPr="00440196">
        <w:rPr>
          <w:lang w:val="en-GB"/>
        </w:rPr>
        <w:tab/>
        <w:t>V</w:t>
      </w:r>
      <w:r w:rsidR="00F41C71" w:rsidRPr="00440196">
        <w:rPr>
          <w:lang w:val="en-GB"/>
        </w:rPr>
        <w:t>I</w:t>
      </w:r>
      <w:r w:rsidRPr="00440196">
        <w:rPr>
          <w:lang w:val="en-GB"/>
        </w:rPr>
        <w:t>.</w:t>
      </w:r>
      <w:r w:rsidRPr="00440196">
        <w:rPr>
          <w:lang w:val="en-GB"/>
        </w:rPr>
        <w:tab/>
        <w:t>Work programme of the Platform</w:t>
      </w:r>
    </w:p>
    <w:p w14:paraId="06AC6103" w14:textId="2ED62D21" w:rsidR="00B47AE3" w:rsidRPr="00440196" w:rsidRDefault="00B47AE3" w:rsidP="00B47AE3">
      <w:pPr>
        <w:pStyle w:val="CH2"/>
        <w:keepLines w:val="0"/>
        <w:rPr>
          <w:b w:val="0"/>
          <w:lang w:val="en-GB"/>
        </w:rPr>
      </w:pPr>
      <w:r w:rsidRPr="001B4189">
        <w:rPr>
          <w:lang w:val="en-GB"/>
        </w:rPr>
        <w:tab/>
        <w:t>A.</w:t>
      </w:r>
      <w:r w:rsidRPr="001B4189">
        <w:rPr>
          <w:lang w:val="en-GB"/>
        </w:rPr>
        <w:tab/>
      </w:r>
      <w:r w:rsidR="00AD63E2" w:rsidRPr="00440196">
        <w:rPr>
          <w:lang w:val="en-GB"/>
        </w:rPr>
        <w:t>Capacity-building</w:t>
      </w:r>
    </w:p>
    <w:p w14:paraId="411F480E" w14:textId="1CA78BC0" w:rsidR="00013A73" w:rsidRPr="007831BB" w:rsidRDefault="00013A73" w:rsidP="00013A73">
      <w:pPr>
        <w:pStyle w:val="Normalnumber"/>
        <w:numPr>
          <w:ilvl w:val="0"/>
          <w:numId w:val="5"/>
        </w:numPr>
        <w:tabs>
          <w:tab w:val="clear" w:pos="567"/>
        </w:tabs>
        <w:rPr>
          <w:bCs/>
          <w:lang w:val="en-GB"/>
        </w:rPr>
      </w:pPr>
      <w:r w:rsidRPr="00EF420F">
        <w:rPr>
          <w:bCs/>
          <w:lang w:val="en-GB"/>
        </w:rPr>
        <w:t>I</w:t>
      </w:r>
      <w:r w:rsidR="00291BCB" w:rsidRPr="00EF420F">
        <w:rPr>
          <w:bCs/>
          <w:lang w:val="en-GB"/>
        </w:rPr>
        <w:t>n i</w:t>
      </w:r>
      <w:r w:rsidRPr="007831BB">
        <w:rPr>
          <w:bCs/>
          <w:lang w:val="en-GB"/>
        </w:rPr>
        <w:t xml:space="preserve">ntroducing the </w:t>
      </w:r>
      <w:r w:rsidR="004C36EB">
        <w:rPr>
          <w:bCs/>
          <w:lang w:val="en-GB"/>
        </w:rPr>
        <w:t>sub-</w:t>
      </w:r>
      <w:r w:rsidRPr="007831BB">
        <w:rPr>
          <w:bCs/>
          <w:lang w:val="en-GB"/>
        </w:rPr>
        <w:t>item, the representative of the secretariat reported that, in line with decision IPBES-4/1,</w:t>
      </w:r>
      <w:r w:rsidR="00127D72">
        <w:rPr>
          <w:bCs/>
          <w:lang w:val="en-GB"/>
        </w:rPr>
        <w:t xml:space="preserve"> section I,</w:t>
      </w:r>
      <w:r w:rsidRPr="007831BB">
        <w:rPr>
          <w:bCs/>
          <w:lang w:val="en-GB"/>
        </w:rPr>
        <w:t xml:space="preserve"> the capacity-building task force established in decision IPBES-2/5 was focusing its efforts </w:t>
      </w:r>
      <w:r w:rsidR="00291BCB" w:rsidRPr="00EF420F">
        <w:rPr>
          <w:bCs/>
          <w:lang w:val="en-GB"/>
        </w:rPr>
        <w:t>for the period</w:t>
      </w:r>
      <w:r w:rsidR="00291BCB" w:rsidRPr="007831BB">
        <w:rPr>
          <w:bCs/>
          <w:lang w:val="en-GB"/>
        </w:rPr>
        <w:t xml:space="preserve"> </w:t>
      </w:r>
      <w:r w:rsidRPr="007831BB">
        <w:rPr>
          <w:bCs/>
          <w:lang w:val="en-GB"/>
        </w:rPr>
        <w:t>2016–2017 on the development of a comprehensive framework</w:t>
      </w:r>
      <w:r w:rsidR="00291BCB" w:rsidRPr="00EF420F">
        <w:rPr>
          <w:bCs/>
          <w:lang w:val="en-GB"/>
        </w:rPr>
        <w:t>,</w:t>
      </w:r>
      <w:r w:rsidRPr="00160BD4">
        <w:rPr>
          <w:bCs/>
          <w:highlight w:val="green"/>
          <w:lang w:val="en-GB"/>
        </w:rPr>
        <w:t xml:space="preserve"> </w:t>
      </w:r>
      <w:r w:rsidR="00291BCB" w:rsidRPr="00EF420F">
        <w:rPr>
          <w:bCs/>
          <w:lang w:val="en-GB"/>
        </w:rPr>
        <w:t>or “rolling plan”,</w:t>
      </w:r>
      <w:r w:rsidR="00291BCB" w:rsidRPr="007831BB">
        <w:rPr>
          <w:bCs/>
          <w:lang w:val="en-GB"/>
        </w:rPr>
        <w:t xml:space="preserve"> </w:t>
      </w:r>
      <w:r w:rsidRPr="007831BB">
        <w:rPr>
          <w:bCs/>
          <w:lang w:val="en-GB"/>
        </w:rPr>
        <w:t>for capacity</w:t>
      </w:r>
      <w:r w:rsidRPr="007831BB">
        <w:rPr>
          <w:bCs/>
          <w:lang w:val="en-GB"/>
        </w:rPr>
        <w:noBreakHyphen/>
        <w:t>building</w:t>
      </w:r>
      <w:r w:rsidR="00291BCB" w:rsidRPr="00EF420F">
        <w:rPr>
          <w:bCs/>
          <w:lang w:val="en-GB"/>
        </w:rPr>
        <w:t>.</w:t>
      </w:r>
      <w:r w:rsidR="00291BCB" w:rsidRPr="00C416F1">
        <w:rPr>
          <w:bCs/>
          <w:lang w:val="en-GB"/>
        </w:rPr>
        <w:t xml:space="preserve"> This rolling plan </w:t>
      </w:r>
      <w:r w:rsidR="00EF420F" w:rsidRPr="00160BD4">
        <w:rPr>
          <w:bCs/>
          <w:lang w:val="en-GB"/>
        </w:rPr>
        <w:t>wa</w:t>
      </w:r>
      <w:r w:rsidR="00291BCB" w:rsidRPr="00EF420F">
        <w:rPr>
          <w:bCs/>
          <w:lang w:val="en-GB"/>
        </w:rPr>
        <w:t xml:space="preserve">s intended to </w:t>
      </w:r>
      <w:r w:rsidR="00291BCB" w:rsidRPr="00331DDA">
        <w:rPr>
          <w:bCs/>
          <w:lang w:val="en-GB"/>
        </w:rPr>
        <w:t xml:space="preserve">provide </w:t>
      </w:r>
      <w:r w:rsidRPr="00EA49D0">
        <w:rPr>
          <w:bCs/>
          <w:lang w:val="en-GB"/>
        </w:rPr>
        <w:t>a</w:t>
      </w:r>
      <w:r w:rsidRPr="007831BB">
        <w:rPr>
          <w:bCs/>
          <w:lang w:val="en-GB"/>
        </w:rPr>
        <w:t xml:space="preserve"> coherent approach to addressing capacity</w:t>
      </w:r>
      <w:r w:rsidRPr="007831BB">
        <w:rPr>
          <w:bCs/>
          <w:lang w:val="en-GB"/>
        </w:rPr>
        <w:noBreakHyphen/>
        <w:t>building needs through the end of the first work programme. A summary of the rolling plan was set out in the note by the secretariat on work on capacity-building (IPBES</w:t>
      </w:r>
      <w:r w:rsidR="00127D72">
        <w:rPr>
          <w:bCs/>
          <w:lang w:val="en-GB"/>
        </w:rPr>
        <w:t>/</w:t>
      </w:r>
      <w:r w:rsidRPr="007831BB">
        <w:rPr>
          <w:bCs/>
          <w:lang w:val="en-GB"/>
        </w:rPr>
        <w:t xml:space="preserve">5/3). The full plan, along with the report of the second </w:t>
      </w:r>
      <w:r w:rsidR="00856727">
        <w:rPr>
          <w:bCs/>
          <w:lang w:val="en-GB"/>
        </w:rPr>
        <w:t xml:space="preserve">IPBES </w:t>
      </w:r>
      <w:r w:rsidRPr="007831BB">
        <w:rPr>
          <w:bCs/>
          <w:lang w:val="en-GB"/>
        </w:rPr>
        <w:t>capacity</w:t>
      </w:r>
      <w:r w:rsidRPr="007831BB">
        <w:rPr>
          <w:bCs/>
          <w:lang w:val="en-GB"/>
        </w:rPr>
        <w:noBreakHyphen/>
        <w:t xml:space="preserve">building forum, which was convened in the margins of the seventy-first session of the United Nations General Assembly on 23 September 2016, was set out in document IPBES/5/INF/3. The Plenary was invited to </w:t>
      </w:r>
      <w:r w:rsidR="00127D72">
        <w:rPr>
          <w:bCs/>
          <w:lang w:val="en-GB"/>
        </w:rPr>
        <w:t>welcome</w:t>
      </w:r>
      <w:r w:rsidRPr="007831BB">
        <w:rPr>
          <w:bCs/>
          <w:lang w:val="en-GB"/>
        </w:rPr>
        <w:t xml:space="preserve"> the rolling plan, </w:t>
      </w:r>
      <w:r w:rsidR="00127D72">
        <w:rPr>
          <w:bCs/>
          <w:lang w:val="en-GB"/>
        </w:rPr>
        <w:t xml:space="preserve">including its executive summary as set out in the annex to document IPBES/5/3, </w:t>
      </w:r>
      <w:r w:rsidRPr="007831BB">
        <w:rPr>
          <w:bCs/>
          <w:lang w:val="en-GB"/>
        </w:rPr>
        <w:t>with any amendments that it deemed appropriate.</w:t>
      </w:r>
    </w:p>
    <w:p w14:paraId="681C098A" w14:textId="77777777" w:rsidR="00013A73" w:rsidRPr="007831BB" w:rsidRDefault="00013A73" w:rsidP="00013A73">
      <w:pPr>
        <w:pStyle w:val="Normalnumber"/>
        <w:numPr>
          <w:ilvl w:val="0"/>
          <w:numId w:val="5"/>
        </w:numPr>
        <w:tabs>
          <w:tab w:val="clear" w:pos="567"/>
        </w:tabs>
        <w:rPr>
          <w:bCs/>
          <w:lang w:val="en-GB"/>
        </w:rPr>
      </w:pPr>
      <w:r w:rsidRPr="007831BB">
        <w:rPr>
          <w:bCs/>
          <w:lang w:val="en-GB"/>
        </w:rPr>
        <w:t>In the ensuing discussion, statements were made by the representatives of Belgium, Colombia, the Dominican Republic, Indonesia, Morocco and South Africa.</w:t>
      </w:r>
    </w:p>
    <w:p w14:paraId="16A6E5C7" w14:textId="0B9D28D3" w:rsidR="00013A73" w:rsidRPr="007831BB" w:rsidRDefault="00013A73" w:rsidP="00013A73">
      <w:pPr>
        <w:pStyle w:val="Normalnumber"/>
        <w:numPr>
          <w:ilvl w:val="0"/>
          <w:numId w:val="5"/>
        </w:numPr>
        <w:tabs>
          <w:tab w:val="clear" w:pos="567"/>
        </w:tabs>
        <w:rPr>
          <w:bCs/>
          <w:lang w:val="en-GB"/>
        </w:rPr>
      </w:pPr>
      <w:r w:rsidRPr="007831BB">
        <w:rPr>
          <w:bCs/>
          <w:lang w:val="en-GB"/>
        </w:rPr>
        <w:t xml:space="preserve">One representative said that </w:t>
      </w:r>
      <w:proofErr w:type="gramStart"/>
      <w:r w:rsidRPr="007831BB">
        <w:rPr>
          <w:bCs/>
          <w:lang w:val="en-GB"/>
        </w:rPr>
        <w:t>Governments,</w:t>
      </w:r>
      <w:proofErr w:type="gramEnd"/>
      <w:r w:rsidRPr="007831BB">
        <w:rPr>
          <w:bCs/>
          <w:lang w:val="en-GB"/>
        </w:rPr>
        <w:t xml:space="preserve"> should be more involved in </w:t>
      </w:r>
      <w:r w:rsidR="00683BDA" w:rsidRPr="00EF420F">
        <w:rPr>
          <w:bCs/>
          <w:lang w:val="en-GB"/>
        </w:rPr>
        <w:t>IPBES</w:t>
      </w:r>
      <w:r w:rsidR="00683BDA" w:rsidRPr="007831BB">
        <w:rPr>
          <w:bCs/>
          <w:lang w:val="en-GB"/>
        </w:rPr>
        <w:t xml:space="preserve"> </w:t>
      </w:r>
      <w:r w:rsidRPr="007831BB">
        <w:rPr>
          <w:bCs/>
          <w:lang w:val="en-GB"/>
        </w:rPr>
        <w:t xml:space="preserve">processes and voiced support, along with several other representatives, for the proposal to conduct consultations on the content of the </w:t>
      </w:r>
      <w:proofErr w:type="spellStart"/>
      <w:r w:rsidRPr="007831BB">
        <w:rPr>
          <w:bCs/>
          <w:lang w:val="en-GB"/>
        </w:rPr>
        <w:t>ongoing</w:t>
      </w:r>
      <w:proofErr w:type="spellEnd"/>
      <w:r w:rsidRPr="007831BB">
        <w:rPr>
          <w:bCs/>
          <w:lang w:val="en-GB"/>
        </w:rPr>
        <w:t xml:space="preserve"> regional and land degradation and restoration assessments.</w:t>
      </w:r>
    </w:p>
    <w:p w14:paraId="1BC9B353" w14:textId="0E465301" w:rsidR="00013A73" w:rsidRPr="007831BB" w:rsidRDefault="00013A73" w:rsidP="00013A73">
      <w:pPr>
        <w:pStyle w:val="Normalnumber"/>
        <w:numPr>
          <w:ilvl w:val="0"/>
          <w:numId w:val="5"/>
        </w:numPr>
        <w:tabs>
          <w:tab w:val="clear" w:pos="567"/>
        </w:tabs>
        <w:rPr>
          <w:bCs/>
          <w:lang w:val="en-GB"/>
        </w:rPr>
      </w:pPr>
      <w:r w:rsidRPr="007831BB">
        <w:rPr>
          <w:bCs/>
          <w:lang w:val="en-GB"/>
        </w:rPr>
        <w:t xml:space="preserve">Several representatives encouraged the strengthening of engagement with existing and potential partners to promote complementarity and avoid duplication of efforts. One representative asked for clarification on the role of BES-Net in the </w:t>
      </w:r>
      <w:r w:rsidR="00127D72">
        <w:rPr>
          <w:bCs/>
          <w:lang w:val="en-GB"/>
        </w:rPr>
        <w:t>development</w:t>
      </w:r>
      <w:r w:rsidR="00127D72" w:rsidRPr="007831BB">
        <w:rPr>
          <w:bCs/>
          <w:lang w:val="en-GB"/>
        </w:rPr>
        <w:t xml:space="preserve"> </w:t>
      </w:r>
      <w:r w:rsidRPr="007831BB">
        <w:rPr>
          <w:bCs/>
          <w:lang w:val="en-GB"/>
        </w:rPr>
        <w:t xml:space="preserve">of the </w:t>
      </w:r>
      <w:r w:rsidR="00127D72">
        <w:rPr>
          <w:bCs/>
          <w:lang w:val="en-GB"/>
        </w:rPr>
        <w:t xml:space="preserve">IPBES </w:t>
      </w:r>
      <w:r w:rsidRPr="007831BB">
        <w:rPr>
          <w:bCs/>
          <w:lang w:val="en-GB"/>
        </w:rPr>
        <w:t xml:space="preserve">matchmaking facility; while another suggested that clarification was needed regarding the link between </w:t>
      </w:r>
      <w:r w:rsidR="00127D72">
        <w:rPr>
          <w:bCs/>
          <w:lang w:val="en-GB"/>
        </w:rPr>
        <w:t xml:space="preserve">the </w:t>
      </w:r>
      <w:r w:rsidRPr="007831BB">
        <w:rPr>
          <w:bCs/>
          <w:lang w:val="en-GB"/>
        </w:rPr>
        <w:t xml:space="preserve">work </w:t>
      </w:r>
      <w:r w:rsidR="00127D72">
        <w:rPr>
          <w:bCs/>
          <w:lang w:val="en-GB"/>
        </w:rPr>
        <w:t xml:space="preserve">of IPBES </w:t>
      </w:r>
      <w:r w:rsidRPr="007831BB">
        <w:rPr>
          <w:bCs/>
          <w:lang w:val="en-GB"/>
        </w:rPr>
        <w:t>and academic and other partners with common interests, including the Convention on International Trade in Endangered Species of Wild Fauna and Flora and the Convention on Bio</w:t>
      </w:r>
      <w:r w:rsidR="00127D72">
        <w:rPr>
          <w:bCs/>
          <w:lang w:val="en-GB"/>
        </w:rPr>
        <w:t>lo</w:t>
      </w:r>
      <w:r w:rsidR="00C6517E">
        <w:rPr>
          <w:bCs/>
          <w:lang w:val="en-GB"/>
        </w:rPr>
        <w:t>gi</w:t>
      </w:r>
      <w:r w:rsidR="00127D72">
        <w:rPr>
          <w:bCs/>
          <w:lang w:val="en-GB"/>
        </w:rPr>
        <w:t>cal D</w:t>
      </w:r>
      <w:r w:rsidRPr="007831BB">
        <w:rPr>
          <w:bCs/>
          <w:lang w:val="en-GB"/>
        </w:rPr>
        <w:t>iversity.</w:t>
      </w:r>
    </w:p>
    <w:p w14:paraId="23F13B30" w14:textId="65B13C96" w:rsidR="00013A73" w:rsidRPr="007831BB" w:rsidRDefault="00013A73" w:rsidP="00013A73">
      <w:pPr>
        <w:pStyle w:val="Normalnumber"/>
        <w:numPr>
          <w:ilvl w:val="0"/>
          <w:numId w:val="5"/>
        </w:numPr>
        <w:tabs>
          <w:tab w:val="clear" w:pos="567"/>
        </w:tabs>
        <w:rPr>
          <w:bCs/>
          <w:lang w:val="en-GB"/>
        </w:rPr>
      </w:pPr>
      <w:r w:rsidRPr="007831BB">
        <w:rPr>
          <w:bCs/>
          <w:lang w:val="en-GB"/>
        </w:rPr>
        <w:t xml:space="preserve">Two representatives said that </w:t>
      </w:r>
      <w:r w:rsidRPr="00C416F1">
        <w:rPr>
          <w:bCs/>
          <w:lang w:val="en-GB"/>
        </w:rPr>
        <w:t>there needed to be a clearer focus on</w:t>
      </w:r>
      <w:r w:rsidRPr="007831BB">
        <w:rPr>
          <w:bCs/>
          <w:lang w:val="en-GB"/>
        </w:rPr>
        <w:t xml:space="preserve"> developing countries </w:t>
      </w:r>
      <w:r w:rsidRPr="00C416F1">
        <w:rPr>
          <w:bCs/>
          <w:lang w:val="en-GB"/>
        </w:rPr>
        <w:t>with regard to</w:t>
      </w:r>
      <w:r w:rsidRPr="007831BB">
        <w:rPr>
          <w:bCs/>
          <w:lang w:val="en-GB"/>
        </w:rPr>
        <w:t xml:space="preserve"> the use of </w:t>
      </w:r>
      <w:r w:rsidR="00127D72">
        <w:rPr>
          <w:bCs/>
          <w:lang w:val="en-GB"/>
        </w:rPr>
        <w:t>IPBES deliverables</w:t>
      </w:r>
      <w:r w:rsidRPr="007831BB">
        <w:rPr>
          <w:bCs/>
          <w:lang w:val="en-GB"/>
        </w:rPr>
        <w:t xml:space="preserve"> such as assessments; one said that in-kind contributions to the rolling plan were important; and another </w:t>
      </w:r>
      <w:r w:rsidR="00291BCB" w:rsidRPr="00C416F1">
        <w:rPr>
          <w:bCs/>
          <w:lang w:val="en-GB"/>
        </w:rPr>
        <w:t xml:space="preserve">mentioned </w:t>
      </w:r>
      <w:r w:rsidRPr="00C416F1">
        <w:rPr>
          <w:bCs/>
          <w:lang w:val="en-GB"/>
        </w:rPr>
        <w:t>t</w:t>
      </w:r>
      <w:r w:rsidRPr="007831BB">
        <w:rPr>
          <w:bCs/>
          <w:lang w:val="en-GB"/>
        </w:rPr>
        <w:t xml:space="preserve">hat there was a need for flexibility to respond in a timely manner to the needs of </w:t>
      </w:r>
      <w:r w:rsidR="00DB5063">
        <w:rPr>
          <w:bCs/>
          <w:lang w:val="en-GB"/>
        </w:rPr>
        <w:t xml:space="preserve">IPBES </w:t>
      </w:r>
      <w:r w:rsidRPr="007831BB">
        <w:rPr>
          <w:bCs/>
          <w:lang w:val="en-GB"/>
        </w:rPr>
        <w:t>members and that more detail on immediate priorities could ease engagement with existing and new partners.</w:t>
      </w:r>
    </w:p>
    <w:p w14:paraId="685711A9" w14:textId="4255F634" w:rsidR="00013A73" w:rsidRPr="00440196" w:rsidRDefault="00013A73" w:rsidP="001238FA">
      <w:pPr>
        <w:pStyle w:val="Normalnumber"/>
        <w:numPr>
          <w:ilvl w:val="0"/>
          <w:numId w:val="5"/>
        </w:numPr>
        <w:tabs>
          <w:tab w:val="clear" w:pos="567"/>
        </w:tabs>
        <w:rPr>
          <w:lang w:val="en-GB"/>
        </w:rPr>
      </w:pPr>
      <w:r w:rsidRPr="007831BB">
        <w:rPr>
          <w:bCs/>
          <w:lang w:val="en-GB"/>
        </w:rPr>
        <w:t xml:space="preserve">Following its </w:t>
      </w:r>
      <w:r w:rsidR="00127D72" w:rsidRPr="007831BB">
        <w:rPr>
          <w:bCs/>
          <w:lang w:val="en-GB"/>
        </w:rPr>
        <w:t>discussion,</w:t>
      </w:r>
      <w:r w:rsidRPr="007831BB">
        <w:rPr>
          <w:bCs/>
          <w:lang w:val="en-GB"/>
        </w:rPr>
        <w:t xml:space="preserve"> the Plenary established a contact group, co-chaired by </w:t>
      </w:r>
      <w:proofErr w:type="spellStart"/>
      <w:r w:rsidRPr="007831BB">
        <w:rPr>
          <w:bCs/>
          <w:lang w:val="en-GB"/>
        </w:rPr>
        <w:t>Mr.</w:t>
      </w:r>
      <w:proofErr w:type="spellEnd"/>
      <w:r w:rsidRPr="007831BB">
        <w:rPr>
          <w:bCs/>
          <w:lang w:val="en-GB"/>
        </w:rPr>
        <w:t xml:space="preserve"> </w:t>
      </w:r>
      <w:proofErr w:type="spellStart"/>
      <w:r w:rsidRPr="007831BB">
        <w:rPr>
          <w:bCs/>
          <w:lang w:val="en-GB"/>
        </w:rPr>
        <w:t>Ivar</w:t>
      </w:r>
      <w:proofErr w:type="spellEnd"/>
      <w:r w:rsidRPr="007831BB">
        <w:rPr>
          <w:bCs/>
          <w:lang w:val="en-GB"/>
        </w:rPr>
        <w:t xml:space="preserve"> Baste (Norway) and </w:t>
      </w:r>
      <w:proofErr w:type="spellStart"/>
      <w:r w:rsidRPr="007831BB">
        <w:rPr>
          <w:bCs/>
          <w:lang w:val="en-GB"/>
        </w:rPr>
        <w:t>Mr.</w:t>
      </w:r>
      <w:proofErr w:type="spellEnd"/>
      <w:r w:rsidRPr="007831BB">
        <w:rPr>
          <w:bCs/>
          <w:lang w:val="en-GB"/>
        </w:rPr>
        <w:t xml:space="preserve"> </w:t>
      </w:r>
      <w:proofErr w:type="spellStart"/>
      <w:r w:rsidRPr="007831BB">
        <w:rPr>
          <w:bCs/>
          <w:lang w:val="en-GB"/>
        </w:rPr>
        <w:t>Mketeni</w:t>
      </w:r>
      <w:proofErr w:type="spellEnd"/>
      <w:r w:rsidRPr="007831BB">
        <w:rPr>
          <w:bCs/>
          <w:lang w:val="en-GB"/>
        </w:rPr>
        <w:t>, to further discuss the issue.</w:t>
      </w:r>
    </w:p>
    <w:p w14:paraId="6E253BD5" w14:textId="62A463DD" w:rsidR="00B47AE3" w:rsidRPr="00440196" w:rsidRDefault="00B47AE3" w:rsidP="00B47AE3">
      <w:pPr>
        <w:pStyle w:val="CH2"/>
        <w:rPr>
          <w:lang w:val="en-GB"/>
        </w:rPr>
      </w:pPr>
      <w:r w:rsidRPr="001B4189">
        <w:rPr>
          <w:lang w:val="en-GB"/>
        </w:rPr>
        <w:tab/>
        <w:t>B.</w:t>
      </w:r>
      <w:r w:rsidRPr="001B4189">
        <w:rPr>
          <w:lang w:val="en-GB"/>
        </w:rPr>
        <w:tab/>
      </w:r>
      <w:r w:rsidR="00AD63E2" w:rsidRPr="00440196">
        <w:rPr>
          <w:lang w:val="en-GB"/>
        </w:rPr>
        <w:t>Indigenous and local knowledge systems</w:t>
      </w:r>
    </w:p>
    <w:p w14:paraId="418F924B" w14:textId="5B6E2187" w:rsidR="00013A73" w:rsidRPr="007831BB" w:rsidRDefault="00013A73" w:rsidP="001238FA">
      <w:pPr>
        <w:pStyle w:val="Normalnumber"/>
        <w:numPr>
          <w:ilvl w:val="0"/>
          <w:numId w:val="5"/>
        </w:numPr>
        <w:tabs>
          <w:tab w:val="clear" w:pos="567"/>
        </w:tabs>
        <w:rPr>
          <w:bCs/>
          <w:lang w:val="en-GB"/>
        </w:rPr>
      </w:pPr>
      <w:r w:rsidRPr="00C416F1">
        <w:rPr>
          <w:lang w:val="en-GB"/>
        </w:rPr>
        <w:t>I</w:t>
      </w:r>
      <w:r w:rsidR="00291BCB" w:rsidRPr="00C416F1">
        <w:rPr>
          <w:lang w:val="en-GB"/>
        </w:rPr>
        <w:t>n i</w:t>
      </w:r>
      <w:r w:rsidRPr="00440196">
        <w:rPr>
          <w:lang w:val="en-GB"/>
        </w:rPr>
        <w:t>ntroducing</w:t>
      </w:r>
      <w:r w:rsidRPr="007831BB">
        <w:rPr>
          <w:bCs/>
          <w:lang w:val="en-GB"/>
        </w:rPr>
        <w:t xml:space="preserve"> the </w:t>
      </w:r>
      <w:r w:rsidR="00270789">
        <w:rPr>
          <w:bCs/>
          <w:lang w:val="en-GB"/>
        </w:rPr>
        <w:t>sub-</w:t>
      </w:r>
      <w:r w:rsidRPr="007831BB">
        <w:rPr>
          <w:bCs/>
          <w:lang w:val="en-GB"/>
        </w:rPr>
        <w:t xml:space="preserve">item, the representative of the secretariat invited the Plenary to consider, for approval, a proposed approach for addressing indigenous and local knowledge in </w:t>
      </w:r>
      <w:r w:rsidR="00DE065C">
        <w:rPr>
          <w:bCs/>
          <w:lang w:val="en-GB"/>
        </w:rPr>
        <w:t>IPBES</w:t>
      </w:r>
      <w:r w:rsidR="00DE065C" w:rsidRPr="007831BB">
        <w:rPr>
          <w:bCs/>
          <w:lang w:val="en-GB"/>
        </w:rPr>
        <w:t xml:space="preserve"> </w:t>
      </w:r>
      <w:r w:rsidRPr="007831BB">
        <w:rPr>
          <w:bCs/>
          <w:lang w:val="en-GB"/>
        </w:rPr>
        <w:t xml:space="preserve">deliverables, encompassing the participatory mechanism for working with </w:t>
      </w:r>
      <w:r w:rsidR="00DE065C">
        <w:rPr>
          <w:bCs/>
          <w:lang w:val="en-GB"/>
        </w:rPr>
        <w:t>indigenous and local</w:t>
      </w:r>
      <w:r w:rsidR="00DE065C" w:rsidRPr="007831BB">
        <w:rPr>
          <w:bCs/>
          <w:lang w:val="en-GB"/>
        </w:rPr>
        <w:t xml:space="preserve"> </w:t>
      </w:r>
      <w:r w:rsidRPr="007831BB">
        <w:rPr>
          <w:bCs/>
          <w:lang w:val="en-GB"/>
        </w:rPr>
        <w:t xml:space="preserve">knowledge systems and a </w:t>
      </w:r>
      <w:r w:rsidRPr="007831BB">
        <w:rPr>
          <w:bCs/>
          <w:iCs/>
          <w:lang w:val="en-GB"/>
        </w:rPr>
        <w:t>roster</w:t>
      </w:r>
      <w:r w:rsidRPr="007831BB">
        <w:rPr>
          <w:bCs/>
          <w:i/>
          <w:iCs/>
          <w:lang w:val="en-GB"/>
        </w:rPr>
        <w:t xml:space="preserve"> </w:t>
      </w:r>
      <w:r w:rsidRPr="007831BB">
        <w:rPr>
          <w:bCs/>
          <w:lang w:val="en-GB"/>
        </w:rPr>
        <w:t xml:space="preserve">including all registered individuals or entities as well as all indigenous and local knowledge experts currently or formerly involved in </w:t>
      </w:r>
      <w:r w:rsidR="00DE065C">
        <w:rPr>
          <w:bCs/>
          <w:lang w:val="en-GB"/>
        </w:rPr>
        <w:t>IPBES</w:t>
      </w:r>
      <w:r w:rsidRPr="007831BB">
        <w:rPr>
          <w:bCs/>
          <w:lang w:val="en-GB"/>
        </w:rPr>
        <w:t>, as set out in the note by the secretariat on indigenous and local knowledge systems (IPBES/5/4, annex). He noted that additional information, including an evaluation of the experience gained in piloting indigenous and local knowledge dialogue workshops and information on the approach to addressing indigenous and local knowledge in the global assessment on biodiversity and ecosystem services, was provided in document IPBES/5/INF/4. In line with decision IPBES-4/1,</w:t>
      </w:r>
      <w:r w:rsidR="00FB47B0">
        <w:rPr>
          <w:bCs/>
          <w:lang w:val="en-GB"/>
        </w:rPr>
        <w:t xml:space="preserve"> section II,</w:t>
      </w:r>
      <w:r w:rsidRPr="007831BB">
        <w:rPr>
          <w:bCs/>
          <w:lang w:val="en-GB"/>
        </w:rPr>
        <w:t xml:space="preserve"> the work</w:t>
      </w:r>
      <w:r w:rsidR="00FB47B0">
        <w:rPr>
          <w:bCs/>
          <w:lang w:val="en-GB"/>
        </w:rPr>
        <w:t xml:space="preserve"> undertaken in 2016</w:t>
      </w:r>
      <w:r w:rsidRPr="007831BB">
        <w:rPr>
          <w:bCs/>
          <w:lang w:val="en-GB"/>
        </w:rPr>
        <w:t xml:space="preserve"> </w:t>
      </w:r>
      <w:r w:rsidR="00D40137">
        <w:rPr>
          <w:bCs/>
          <w:lang w:val="en-GB"/>
        </w:rPr>
        <w:t xml:space="preserve">had </w:t>
      </w:r>
      <w:r w:rsidRPr="007831BB">
        <w:rPr>
          <w:bCs/>
          <w:lang w:val="en-GB"/>
        </w:rPr>
        <w:t xml:space="preserve">focused on the continued piloting of indigenous and local knowledge dialogue workshops and the development of the participatory mechanism and the roster and their integration into the proposed overall approach to addressing indigenous and local knowledge in the context of </w:t>
      </w:r>
      <w:r w:rsidR="00FB47B0">
        <w:rPr>
          <w:bCs/>
          <w:lang w:val="en-GB"/>
        </w:rPr>
        <w:t>IPBES</w:t>
      </w:r>
      <w:r w:rsidRPr="007831BB">
        <w:rPr>
          <w:bCs/>
          <w:lang w:val="en-GB"/>
        </w:rPr>
        <w:t xml:space="preserve">. </w:t>
      </w:r>
    </w:p>
    <w:p w14:paraId="3BEC17DF" w14:textId="19FC4EDE" w:rsidR="00013A73" w:rsidRPr="007831BB" w:rsidRDefault="00013A73" w:rsidP="001238FA">
      <w:pPr>
        <w:pStyle w:val="Normalnumber"/>
        <w:numPr>
          <w:ilvl w:val="0"/>
          <w:numId w:val="5"/>
        </w:numPr>
        <w:tabs>
          <w:tab w:val="clear" w:pos="567"/>
        </w:tabs>
        <w:rPr>
          <w:bCs/>
          <w:lang w:val="en-GB"/>
        </w:rPr>
      </w:pPr>
      <w:r w:rsidRPr="007831BB">
        <w:rPr>
          <w:bCs/>
          <w:lang w:val="en-GB"/>
        </w:rPr>
        <w:t xml:space="preserve">The Chair thanked Brigitte Baptiste and Tamar </w:t>
      </w:r>
      <w:proofErr w:type="spellStart"/>
      <w:r w:rsidRPr="007831BB">
        <w:rPr>
          <w:bCs/>
          <w:lang w:val="en-GB"/>
        </w:rPr>
        <w:t>Pataridze</w:t>
      </w:r>
      <w:proofErr w:type="spellEnd"/>
      <w:r w:rsidRPr="007831BB">
        <w:rPr>
          <w:bCs/>
          <w:lang w:val="en-GB"/>
        </w:rPr>
        <w:t xml:space="preserve">, </w:t>
      </w:r>
      <w:r w:rsidR="00FB47B0" w:rsidRPr="007831BB">
        <w:rPr>
          <w:bCs/>
          <w:lang w:val="en-GB"/>
        </w:rPr>
        <w:t>co-chairs</w:t>
      </w:r>
      <w:r w:rsidR="00FB47B0">
        <w:rPr>
          <w:bCs/>
          <w:lang w:val="en-GB"/>
        </w:rPr>
        <w:t xml:space="preserve"> of the task force on</w:t>
      </w:r>
      <w:r w:rsidR="00FB47B0" w:rsidRPr="007831BB">
        <w:rPr>
          <w:bCs/>
          <w:lang w:val="en-GB"/>
        </w:rPr>
        <w:t xml:space="preserve"> indigenou</w:t>
      </w:r>
      <w:r w:rsidR="00FB47B0">
        <w:rPr>
          <w:bCs/>
          <w:lang w:val="en-GB"/>
        </w:rPr>
        <w:t>s and local knowledge</w:t>
      </w:r>
      <w:r w:rsidR="00616C57">
        <w:rPr>
          <w:bCs/>
          <w:lang w:val="en-GB"/>
        </w:rPr>
        <w:t>,</w:t>
      </w:r>
      <w:r w:rsidR="00FB47B0" w:rsidRPr="007831BB">
        <w:rPr>
          <w:bCs/>
          <w:lang w:val="en-GB"/>
        </w:rPr>
        <w:t xml:space="preserve"> </w:t>
      </w:r>
      <w:r w:rsidRPr="007831BB">
        <w:rPr>
          <w:bCs/>
          <w:lang w:val="en-GB"/>
        </w:rPr>
        <w:t xml:space="preserve">and Eduardo </w:t>
      </w:r>
      <w:proofErr w:type="spellStart"/>
      <w:r w:rsidRPr="007831BB">
        <w:rPr>
          <w:bCs/>
          <w:lang w:val="en-GB"/>
        </w:rPr>
        <w:t>Brondizio</w:t>
      </w:r>
      <w:proofErr w:type="spellEnd"/>
      <w:r w:rsidRPr="007831BB">
        <w:rPr>
          <w:bCs/>
          <w:lang w:val="en-GB"/>
        </w:rPr>
        <w:t>, co-chair of the global assessment</w:t>
      </w:r>
      <w:r w:rsidR="00E75CE1">
        <w:rPr>
          <w:bCs/>
          <w:lang w:val="en-GB"/>
        </w:rPr>
        <w:t xml:space="preserve"> of biodiversity and ecosystem services</w:t>
      </w:r>
      <w:r w:rsidRPr="007831BB">
        <w:rPr>
          <w:bCs/>
          <w:lang w:val="en-GB"/>
        </w:rPr>
        <w:t xml:space="preserve">, for their work on the approach over the past year, </w:t>
      </w:r>
      <w:r w:rsidR="00616C57">
        <w:rPr>
          <w:bCs/>
          <w:lang w:val="en-GB"/>
        </w:rPr>
        <w:t xml:space="preserve">saying that </w:t>
      </w:r>
      <w:r w:rsidR="00E75CE1">
        <w:rPr>
          <w:bCs/>
          <w:lang w:val="en-GB"/>
        </w:rPr>
        <w:t>the approach</w:t>
      </w:r>
      <w:r w:rsidRPr="007831BB">
        <w:rPr>
          <w:bCs/>
          <w:lang w:val="en-GB"/>
        </w:rPr>
        <w:t xml:space="preserve"> </w:t>
      </w:r>
      <w:r w:rsidR="00616C57">
        <w:rPr>
          <w:bCs/>
          <w:lang w:val="en-GB"/>
        </w:rPr>
        <w:t xml:space="preserve">was relevant </w:t>
      </w:r>
      <w:r w:rsidRPr="007831BB">
        <w:rPr>
          <w:bCs/>
          <w:lang w:val="en-GB"/>
        </w:rPr>
        <w:t xml:space="preserve">across </w:t>
      </w:r>
      <w:r w:rsidR="00E75CE1">
        <w:rPr>
          <w:bCs/>
          <w:lang w:val="en-GB"/>
        </w:rPr>
        <w:t>IPBES deliverables</w:t>
      </w:r>
      <w:r w:rsidRPr="007831BB">
        <w:rPr>
          <w:bCs/>
          <w:lang w:val="en-GB"/>
        </w:rPr>
        <w:t>.</w:t>
      </w:r>
    </w:p>
    <w:p w14:paraId="6B5CA192" w14:textId="08C7883B" w:rsidR="00013A73" w:rsidRPr="007831BB" w:rsidRDefault="00013A73" w:rsidP="001238FA">
      <w:pPr>
        <w:pStyle w:val="Normalnumber"/>
        <w:numPr>
          <w:ilvl w:val="0"/>
          <w:numId w:val="5"/>
        </w:numPr>
        <w:tabs>
          <w:tab w:val="clear" w:pos="567"/>
        </w:tabs>
        <w:rPr>
          <w:bCs/>
          <w:lang w:val="en-GB"/>
        </w:rPr>
      </w:pPr>
      <w:r w:rsidRPr="007831BB">
        <w:rPr>
          <w:bCs/>
          <w:lang w:val="en-GB"/>
        </w:rPr>
        <w:t xml:space="preserve">In the ensuing discussion statements were made by the representatives of Antigua and Barbuda, Colombia, Guatemala, India, Indonesia, Malaysia, Mexico, Morocco, Norway, Pakistan, the Russian Federation, Slovakia on behalf of the member States of the European Union that were members of </w:t>
      </w:r>
      <w:r w:rsidR="00E75CE1">
        <w:rPr>
          <w:bCs/>
          <w:lang w:val="en-GB"/>
        </w:rPr>
        <w:t>IPBES</w:t>
      </w:r>
      <w:r w:rsidRPr="007831BB">
        <w:rPr>
          <w:bCs/>
          <w:lang w:val="en-GB"/>
        </w:rPr>
        <w:t>, Uruguay and a coalition of non-governmental organizations.</w:t>
      </w:r>
    </w:p>
    <w:p w14:paraId="5BAF5CE4" w14:textId="69C20783"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Several representatives said that it was important that the </w:t>
      </w:r>
      <w:r w:rsidRPr="007831BB">
        <w:rPr>
          <w:bCs/>
          <w:iCs/>
          <w:lang w:val="en-GB"/>
        </w:rPr>
        <w:t xml:space="preserve">repository of relevant resources of indigenous and local knowledge </w:t>
      </w:r>
      <w:r w:rsidRPr="007831BB">
        <w:rPr>
          <w:bCs/>
          <w:lang w:val="en-GB"/>
        </w:rPr>
        <w:t xml:space="preserve">meet prior </w:t>
      </w:r>
      <w:r w:rsidR="00E75CE1">
        <w:rPr>
          <w:bCs/>
          <w:lang w:val="en-GB"/>
        </w:rPr>
        <w:t xml:space="preserve">informed </w:t>
      </w:r>
      <w:r w:rsidRPr="007831BB">
        <w:rPr>
          <w:bCs/>
          <w:lang w:val="en-GB"/>
        </w:rPr>
        <w:t xml:space="preserve">consent requirements consistent with the voluntary guidelines set out in decision XIII/18 of the Conference of the Parties to the Convention on Biological Diversity. One of them also sought further clarification regarding who would have access to the repository and what type of information would be displayed. One representative said that </w:t>
      </w:r>
      <w:r w:rsidR="00E75CE1">
        <w:rPr>
          <w:bCs/>
          <w:lang w:val="en-GB"/>
        </w:rPr>
        <w:t>IPBES</w:t>
      </w:r>
      <w:r w:rsidR="00E75CE1" w:rsidRPr="007831BB">
        <w:rPr>
          <w:bCs/>
          <w:lang w:val="en-GB"/>
        </w:rPr>
        <w:t xml:space="preserve"> </w:t>
      </w:r>
      <w:r w:rsidRPr="007831BB">
        <w:rPr>
          <w:bCs/>
          <w:lang w:val="en-GB"/>
        </w:rPr>
        <w:t>work on indigenous and local knowledge should take into account the progress in other multilateral forums such as work on traditional knowledge associated with genetic resources under Article 8 (j) of the Convention on Biological Diversity and work under the World Intellectual Property Organization on protection of traditional knowledge. One representative also said that it was important to recognize the sources of indigenous and local knowledge.</w:t>
      </w:r>
    </w:p>
    <w:p w14:paraId="718B8498" w14:textId="53A722C0"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Two representatives said that to be effective </w:t>
      </w:r>
      <w:r w:rsidR="00E75CE1">
        <w:rPr>
          <w:bCs/>
          <w:lang w:val="en-GB"/>
        </w:rPr>
        <w:t>IPBES</w:t>
      </w:r>
      <w:r w:rsidRPr="007831BB">
        <w:rPr>
          <w:bCs/>
          <w:lang w:val="en-GB"/>
        </w:rPr>
        <w:t xml:space="preserve"> should focus on engaging with organizations and networks that worked with indigenous peoples and local communities, rather than individuals.</w:t>
      </w:r>
    </w:p>
    <w:p w14:paraId="106ABF65" w14:textId="19902907"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Two representatives noted that the title of the annex to </w:t>
      </w:r>
      <w:r w:rsidR="00E75CE1">
        <w:rPr>
          <w:bCs/>
          <w:lang w:val="en-GB"/>
        </w:rPr>
        <w:t xml:space="preserve">document </w:t>
      </w:r>
      <w:r w:rsidRPr="007831BB">
        <w:rPr>
          <w:bCs/>
          <w:lang w:val="en-GB"/>
        </w:rPr>
        <w:t xml:space="preserve">IPBES/5/4 in Spanish referred to the use of indigenous and local knowledge, and suggested that </w:t>
      </w:r>
      <w:r w:rsidR="00683BDA" w:rsidRPr="007831BB">
        <w:rPr>
          <w:bCs/>
          <w:lang w:val="en-GB"/>
        </w:rPr>
        <w:t xml:space="preserve">in the spirit of </w:t>
      </w:r>
      <w:r w:rsidR="00683BDA" w:rsidRPr="00160BD4">
        <w:rPr>
          <w:bCs/>
          <w:lang w:val="en-GB"/>
        </w:rPr>
        <w:t>IPBES</w:t>
      </w:r>
      <w:r w:rsidR="00683BDA" w:rsidRPr="007831BB">
        <w:rPr>
          <w:bCs/>
          <w:lang w:val="en-GB"/>
        </w:rPr>
        <w:t xml:space="preserve"> </w:t>
      </w:r>
      <w:r w:rsidRPr="007831BB">
        <w:rPr>
          <w:bCs/>
          <w:lang w:val="en-GB"/>
        </w:rPr>
        <w:t xml:space="preserve">“use” be changed to “integrate”. Regarding definitions </w:t>
      </w:r>
      <w:r w:rsidR="00BB416B">
        <w:rPr>
          <w:bCs/>
          <w:lang w:val="en-GB"/>
        </w:rPr>
        <w:t>related to</w:t>
      </w:r>
      <w:r w:rsidRPr="007831BB">
        <w:rPr>
          <w:bCs/>
          <w:lang w:val="en-GB"/>
        </w:rPr>
        <w:t xml:space="preserve"> indigenous and local knowledge, one representative said that the terminology referring to indigenous and local knowledge holders, indigenous and local knowledge experts and experts on indigenous and local knowledge</w:t>
      </w:r>
      <w:r w:rsidR="00C40022">
        <w:rPr>
          <w:bCs/>
          <w:lang w:val="en-GB"/>
        </w:rPr>
        <w:t xml:space="preserve"> </w:t>
      </w:r>
      <w:r w:rsidRPr="007831BB">
        <w:rPr>
          <w:bCs/>
          <w:lang w:val="en-GB"/>
        </w:rPr>
        <w:t xml:space="preserve">in the approach </w:t>
      </w:r>
      <w:r w:rsidR="00C40022">
        <w:rPr>
          <w:bCs/>
          <w:lang w:val="en-GB"/>
        </w:rPr>
        <w:t xml:space="preserve">needed to be consistent with </w:t>
      </w:r>
      <w:r w:rsidRPr="007831BB">
        <w:rPr>
          <w:bCs/>
          <w:lang w:val="en-GB"/>
        </w:rPr>
        <w:t>already agreed procedures.</w:t>
      </w:r>
    </w:p>
    <w:p w14:paraId="6A3D490D" w14:textId="77777777"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One representative said that it was necessary to be explicit in the proposed approach about actions to be taken and objectives to be achieved.</w:t>
      </w:r>
    </w:p>
    <w:p w14:paraId="4C285CE0" w14:textId="2B787B7A"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Regarding the participatory mechanism, two representatives said that web-based tools would need to be accompanied by other methods that used existing communication networks. One of them added that gender balance was important. Another said that the budgetary implications of face-to-face involvement, which was necessary for the effective participation of indigenous peoples and local communities, should be discussed in a contact group. One representative said that the approach should be re</w:t>
      </w:r>
      <w:r w:rsidR="00C40022">
        <w:rPr>
          <w:bCs/>
          <w:lang w:val="en-GB"/>
        </w:rPr>
        <w:t>vised</w:t>
      </w:r>
      <w:r w:rsidRPr="007831BB">
        <w:rPr>
          <w:bCs/>
          <w:lang w:val="en-GB"/>
        </w:rPr>
        <w:t xml:space="preserve"> to better </w:t>
      </w:r>
      <w:r w:rsidR="00C40022">
        <w:rPr>
          <w:bCs/>
          <w:lang w:val="en-GB"/>
        </w:rPr>
        <w:t>address</w:t>
      </w:r>
      <w:r w:rsidR="00C40022" w:rsidRPr="007831BB">
        <w:rPr>
          <w:bCs/>
          <w:lang w:val="en-GB"/>
        </w:rPr>
        <w:t xml:space="preserve"> </w:t>
      </w:r>
      <w:r w:rsidRPr="007831BB">
        <w:rPr>
          <w:bCs/>
          <w:lang w:val="en-GB"/>
        </w:rPr>
        <w:t xml:space="preserve">the </w:t>
      </w:r>
      <w:r w:rsidR="00C40022">
        <w:rPr>
          <w:bCs/>
          <w:lang w:val="en-GB"/>
        </w:rPr>
        <w:t>integration</w:t>
      </w:r>
      <w:r w:rsidR="00C40022" w:rsidRPr="007831BB">
        <w:rPr>
          <w:bCs/>
          <w:lang w:val="en-GB"/>
        </w:rPr>
        <w:t xml:space="preserve"> </w:t>
      </w:r>
      <w:r w:rsidRPr="007831BB">
        <w:rPr>
          <w:bCs/>
          <w:lang w:val="en-GB"/>
        </w:rPr>
        <w:t>of indigenous and local knowledge into the assessment process</w:t>
      </w:r>
    </w:p>
    <w:p w14:paraId="437FDF75" w14:textId="4825C35F"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One representative suggested that representatives of indigenous peoples and local communities and minorities should be better represented at future sessions of the Plenary. One representative said that, considering </w:t>
      </w:r>
      <w:r w:rsidR="00C40022">
        <w:rPr>
          <w:bCs/>
          <w:lang w:val="en-GB"/>
        </w:rPr>
        <w:t>IPBES’</w:t>
      </w:r>
      <w:r w:rsidRPr="007831BB">
        <w:rPr>
          <w:bCs/>
          <w:lang w:val="en-GB"/>
        </w:rPr>
        <w:t xml:space="preserve"> focus on nature’s contributions to people, the converse contributions of people to nature in the context of indigenous and local knowledge should also be reflected in the approach, suggesting that funding be made available for a workshop on the subject.</w:t>
      </w:r>
    </w:p>
    <w:p w14:paraId="1BAC5C6E" w14:textId="6BC4FB5C"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One representative said that the uptake of lessons learned and good practices should be listed as a priority and that the compilation of literature, data and cases studies from other </w:t>
      </w:r>
      <w:r w:rsidR="00C40022">
        <w:rPr>
          <w:bCs/>
          <w:lang w:val="en-GB"/>
        </w:rPr>
        <w:t>IPBES</w:t>
      </w:r>
      <w:r w:rsidR="00C40022" w:rsidRPr="007831BB">
        <w:rPr>
          <w:bCs/>
          <w:lang w:val="en-GB"/>
        </w:rPr>
        <w:t xml:space="preserve"> </w:t>
      </w:r>
      <w:r w:rsidRPr="007831BB">
        <w:rPr>
          <w:bCs/>
          <w:lang w:val="en-GB"/>
        </w:rPr>
        <w:t xml:space="preserve">assessments and related reports should be considered. One representative cautioned about the amount of time that would be required to gain the buy-in of indigenous peoples and local communities. One representative said that the role of national focal points in the </w:t>
      </w:r>
      <w:r w:rsidR="00C40022">
        <w:rPr>
          <w:bCs/>
          <w:lang w:val="en-GB"/>
        </w:rPr>
        <w:t xml:space="preserve">participatory </w:t>
      </w:r>
      <w:r w:rsidRPr="007831BB">
        <w:rPr>
          <w:bCs/>
          <w:lang w:val="en-GB"/>
        </w:rPr>
        <w:t>mechanism for working with indigenous and local knowledge systems should be well considered, in line with relevant decisions of the Conference of the Parties to the Convention on Biological Diversity and other related multilateral agreements.</w:t>
      </w:r>
    </w:p>
    <w:p w14:paraId="3E62A208" w14:textId="7EEBEF2E"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One representative said that there was a need for national legislation to complement the work of </w:t>
      </w:r>
      <w:r w:rsidR="00C40022">
        <w:rPr>
          <w:bCs/>
          <w:lang w:val="en-GB"/>
        </w:rPr>
        <w:t>IPBES</w:t>
      </w:r>
      <w:r w:rsidRPr="007831BB">
        <w:rPr>
          <w:bCs/>
          <w:lang w:val="en-GB"/>
        </w:rPr>
        <w:t xml:space="preserve"> on indigenous and local knowledge.</w:t>
      </w:r>
    </w:p>
    <w:p w14:paraId="68EEDDFA" w14:textId="4A82AA90"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C416F1">
        <w:rPr>
          <w:bCs/>
          <w:lang w:val="en-GB"/>
        </w:rPr>
        <w:t xml:space="preserve">One representative said that the contributions of indigenous peoples and local communities </w:t>
      </w:r>
      <w:r w:rsidR="000C4EB3">
        <w:rPr>
          <w:bCs/>
          <w:lang w:val="en-GB"/>
        </w:rPr>
        <w:t>with respect to</w:t>
      </w:r>
      <w:r w:rsidRPr="00C416F1">
        <w:rPr>
          <w:bCs/>
          <w:lang w:val="en-GB"/>
        </w:rPr>
        <w:t xml:space="preserve"> their knowledge and world views; important pressures undermining those contributions; and policy responses, measures and processes for improving and strengthening the governance of nature and nature’s contributions to people with regard to indigenous peoples and local communities and their knowledge and practices should be discussed in a contact group</w:t>
      </w:r>
      <w:r w:rsidRPr="007831BB">
        <w:rPr>
          <w:bCs/>
          <w:lang w:val="en-GB"/>
        </w:rPr>
        <w:t>.</w:t>
      </w:r>
    </w:p>
    <w:p w14:paraId="2EC6AE31" w14:textId="4B738B2C" w:rsidR="00013A73" w:rsidRPr="007831BB" w:rsidRDefault="00013A7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bCs/>
          <w:lang w:val="en-GB"/>
        </w:rPr>
        <w:t xml:space="preserve">Following its discussion, the Plenary decided to establish a contact group </w:t>
      </w:r>
      <w:r w:rsidR="0059359C">
        <w:rPr>
          <w:bCs/>
          <w:lang w:val="en-GB"/>
        </w:rPr>
        <w:t>co-</w:t>
      </w:r>
      <w:r w:rsidRPr="007831BB">
        <w:rPr>
          <w:bCs/>
          <w:lang w:val="en-GB"/>
        </w:rPr>
        <w:t xml:space="preserve">chaired by </w:t>
      </w:r>
      <w:proofErr w:type="spellStart"/>
      <w:r w:rsidRPr="007831BB">
        <w:rPr>
          <w:bCs/>
          <w:lang w:val="en-GB"/>
        </w:rPr>
        <w:t>Mr.</w:t>
      </w:r>
      <w:proofErr w:type="spellEnd"/>
      <w:r w:rsidRPr="007831BB">
        <w:rPr>
          <w:bCs/>
          <w:lang w:val="en-GB"/>
        </w:rPr>
        <w:t xml:space="preserve"> Watson and </w:t>
      </w:r>
      <w:proofErr w:type="spellStart"/>
      <w:r w:rsidRPr="007831BB">
        <w:rPr>
          <w:bCs/>
          <w:lang w:val="en-GB"/>
        </w:rPr>
        <w:t>Mr.</w:t>
      </w:r>
      <w:proofErr w:type="spellEnd"/>
      <w:r w:rsidRPr="007831BB">
        <w:rPr>
          <w:bCs/>
          <w:lang w:val="en-GB"/>
        </w:rPr>
        <w:t xml:space="preserve"> Diego Pacheco </w:t>
      </w:r>
      <w:proofErr w:type="spellStart"/>
      <w:r w:rsidRPr="007831BB">
        <w:rPr>
          <w:bCs/>
          <w:lang w:val="en-GB"/>
        </w:rPr>
        <w:t>Balanza</w:t>
      </w:r>
      <w:proofErr w:type="spellEnd"/>
      <w:r w:rsidRPr="007831BB">
        <w:rPr>
          <w:bCs/>
          <w:lang w:val="en-GB"/>
        </w:rPr>
        <w:t xml:space="preserve"> (Bolivia) to consider the approach in detail.</w:t>
      </w:r>
    </w:p>
    <w:p w14:paraId="184D758E" w14:textId="01F687D6" w:rsidR="00B47AE3" w:rsidRPr="00440196" w:rsidRDefault="00B47AE3" w:rsidP="00B47AE3">
      <w:pPr>
        <w:pStyle w:val="CH2"/>
        <w:keepNext w:val="0"/>
        <w:keepLines w:val="0"/>
        <w:rPr>
          <w:lang w:val="en-GB"/>
        </w:rPr>
      </w:pPr>
      <w:r w:rsidRPr="001B4189">
        <w:rPr>
          <w:lang w:val="en-GB"/>
        </w:rPr>
        <w:tab/>
        <w:t>C.</w:t>
      </w:r>
      <w:r w:rsidRPr="001B4189">
        <w:rPr>
          <w:lang w:val="en-GB"/>
        </w:rPr>
        <w:tab/>
      </w:r>
      <w:r w:rsidR="00AD63E2" w:rsidRPr="00440196">
        <w:rPr>
          <w:lang w:val="en-GB"/>
        </w:rPr>
        <w:t>Knowledge and data</w:t>
      </w:r>
    </w:p>
    <w:p w14:paraId="4D681DF5" w14:textId="3CB44830" w:rsidR="002A7CAC" w:rsidRPr="007831BB"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C416F1">
        <w:rPr>
          <w:bCs/>
          <w:lang w:val="en-GB"/>
        </w:rPr>
        <w:t>I</w:t>
      </w:r>
      <w:r w:rsidR="00291BCB" w:rsidRPr="00C416F1">
        <w:rPr>
          <w:bCs/>
          <w:lang w:val="en-GB"/>
        </w:rPr>
        <w:t>n i</w:t>
      </w:r>
      <w:r w:rsidRPr="007831BB">
        <w:rPr>
          <w:bCs/>
          <w:lang w:val="en-GB"/>
        </w:rPr>
        <w:t xml:space="preserve">ntroducing the </w:t>
      </w:r>
      <w:r w:rsidR="00DB324C">
        <w:rPr>
          <w:bCs/>
          <w:lang w:val="en-GB"/>
        </w:rPr>
        <w:t>sub</w:t>
      </w:r>
      <w:r w:rsidR="004C2C56">
        <w:rPr>
          <w:bCs/>
          <w:lang w:val="en-GB"/>
        </w:rPr>
        <w:t>-</w:t>
      </w:r>
      <w:r w:rsidRPr="007831BB">
        <w:rPr>
          <w:bCs/>
          <w:lang w:val="en-GB"/>
        </w:rPr>
        <w:t xml:space="preserve">item, the Executive Secretary outlined the three </w:t>
      </w:r>
      <w:r w:rsidR="00FC2D32">
        <w:rPr>
          <w:bCs/>
          <w:lang w:val="en-GB"/>
        </w:rPr>
        <w:t>areas</w:t>
      </w:r>
      <w:r w:rsidR="00FC2D32" w:rsidRPr="007831BB">
        <w:rPr>
          <w:bCs/>
          <w:lang w:val="en-GB"/>
        </w:rPr>
        <w:t xml:space="preserve"> </w:t>
      </w:r>
      <w:r w:rsidR="00C40022">
        <w:rPr>
          <w:bCs/>
          <w:lang w:val="en-GB"/>
        </w:rPr>
        <w:t>under which the task force on</w:t>
      </w:r>
      <w:r w:rsidRPr="007831BB">
        <w:rPr>
          <w:bCs/>
          <w:lang w:val="en-GB"/>
        </w:rPr>
        <w:t xml:space="preserve"> knowledge and data</w:t>
      </w:r>
      <w:r w:rsidR="00C40022">
        <w:rPr>
          <w:bCs/>
          <w:lang w:val="en-GB"/>
        </w:rPr>
        <w:t xml:space="preserve"> ha</w:t>
      </w:r>
      <w:r w:rsidR="00FC2D32">
        <w:rPr>
          <w:bCs/>
          <w:lang w:val="en-GB"/>
        </w:rPr>
        <w:t>d</w:t>
      </w:r>
      <w:r w:rsidR="00C40022">
        <w:rPr>
          <w:bCs/>
          <w:lang w:val="en-GB"/>
        </w:rPr>
        <w:t xml:space="preserve"> grouped its work mandated by</w:t>
      </w:r>
      <w:r w:rsidRPr="007831BB">
        <w:rPr>
          <w:bCs/>
          <w:lang w:val="en-GB"/>
        </w:rPr>
        <w:t xml:space="preserve"> the Plenary in decision IPBES</w:t>
      </w:r>
      <w:r w:rsidRPr="007831BB">
        <w:rPr>
          <w:bCs/>
          <w:lang w:val="en-GB"/>
        </w:rPr>
        <w:noBreakHyphen/>
        <w:t>3/1</w:t>
      </w:r>
      <w:r w:rsidR="00C40022">
        <w:rPr>
          <w:bCs/>
          <w:lang w:val="en-GB"/>
        </w:rPr>
        <w:t>, section II</w:t>
      </w:r>
      <w:r w:rsidRPr="007831BB">
        <w:rPr>
          <w:bCs/>
          <w:lang w:val="en-GB"/>
        </w:rPr>
        <w:t xml:space="preserve">: indicators and data for </w:t>
      </w:r>
      <w:r w:rsidR="00683BDA" w:rsidRPr="00FE4D4C">
        <w:rPr>
          <w:bCs/>
          <w:lang w:val="en-GB"/>
        </w:rPr>
        <w:t>IPBES</w:t>
      </w:r>
      <w:r w:rsidR="00683BDA" w:rsidRPr="007831BB">
        <w:rPr>
          <w:bCs/>
          <w:lang w:val="en-GB"/>
        </w:rPr>
        <w:t xml:space="preserve"> </w:t>
      </w:r>
      <w:r w:rsidRPr="007831BB">
        <w:rPr>
          <w:bCs/>
          <w:lang w:val="en-GB"/>
        </w:rPr>
        <w:t xml:space="preserve">assessments; web-based infrastructure in support of data and information management needs; and knowledge generation catalysis. </w:t>
      </w:r>
    </w:p>
    <w:p w14:paraId="2E5213B3" w14:textId="1D2BB030" w:rsidR="002A7CAC" w:rsidRPr="007831BB"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She invited the Plenary to take note of progress to date and </w:t>
      </w:r>
      <w:r w:rsidR="00C40022">
        <w:rPr>
          <w:bCs/>
          <w:lang w:val="en-GB"/>
        </w:rPr>
        <w:t>to approve</w:t>
      </w:r>
      <w:r w:rsidR="00C40022" w:rsidRPr="007831BB">
        <w:rPr>
          <w:bCs/>
          <w:lang w:val="en-GB"/>
        </w:rPr>
        <w:t xml:space="preserve"> </w:t>
      </w:r>
      <w:r w:rsidRPr="007831BB">
        <w:rPr>
          <w:bCs/>
          <w:lang w:val="en-GB"/>
        </w:rPr>
        <w:t>the proposed work plan for 2017 and 2018 set out in the note by the secretariat (IPBES/5/5</w:t>
      </w:r>
      <w:r w:rsidR="00C40022">
        <w:rPr>
          <w:bCs/>
          <w:lang w:val="en-GB"/>
        </w:rPr>
        <w:t>, annex</w:t>
      </w:r>
      <w:r w:rsidRPr="007831BB">
        <w:rPr>
          <w:bCs/>
          <w:lang w:val="en-GB"/>
        </w:rPr>
        <w:t>)</w:t>
      </w:r>
      <w:r w:rsidR="00291BCB">
        <w:rPr>
          <w:bCs/>
          <w:lang w:val="en-GB"/>
        </w:rPr>
        <w:t xml:space="preserve">. </w:t>
      </w:r>
      <w:r w:rsidR="00291BCB" w:rsidRPr="00FE4D4C">
        <w:rPr>
          <w:bCs/>
          <w:lang w:val="en-GB"/>
        </w:rPr>
        <w:t>She also</w:t>
      </w:r>
      <w:r w:rsidRPr="00571EC5">
        <w:rPr>
          <w:bCs/>
          <w:lang w:val="en-GB"/>
        </w:rPr>
        <w:t xml:space="preserve"> not</w:t>
      </w:r>
      <w:r w:rsidR="00291BCB" w:rsidRPr="00571EC5">
        <w:rPr>
          <w:bCs/>
          <w:lang w:val="en-GB"/>
        </w:rPr>
        <w:t>ed</w:t>
      </w:r>
      <w:r w:rsidRPr="007831BB">
        <w:rPr>
          <w:bCs/>
          <w:lang w:val="en-GB"/>
        </w:rPr>
        <w:t xml:space="preserve"> that additional information on the work undertaken by the task force, in particular on support </w:t>
      </w:r>
      <w:r w:rsidR="00FC2D32">
        <w:rPr>
          <w:bCs/>
          <w:lang w:val="en-GB"/>
        </w:rPr>
        <w:t>for</w:t>
      </w:r>
      <w:r w:rsidRPr="007831BB">
        <w:rPr>
          <w:bCs/>
          <w:lang w:val="en-GB"/>
        </w:rPr>
        <w:t xml:space="preserve"> </w:t>
      </w:r>
      <w:r w:rsidR="00C40022">
        <w:rPr>
          <w:bCs/>
          <w:lang w:val="en-GB"/>
        </w:rPr>
        <w:t xml:space="preserve">IPBES </w:t>
      </w:r>
      <w:r w:rsidRPr="007831BB">
        <w:rPr>
          <w:bCs/>
          <w:lang w:val="en-GB"/>
        </w:rPr>
        <w:t xml:space="preserve">assessments with regard to indicators, was provided in document IPBES/5/INF/5. </w:t>
      </w:r>
    </w:p>
    <w:p w14:paraId="1DCA8FBF" w14:textId="77777777" w:rsidR="002A7CAC" w:rsidRPr="007831BB"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The Chair thanked the task force on knowledge and data and its co-chairs </w:t>
      </w:r>
      <w:proofErr w:type="spellStart"/>
      <w:r w:rsidRPr="007831BB">
        <w:rPr>
          <w:bCs/>
          <w:lang w:val="en-GB"/>
        </w:rPr>
        <w:t>Mr.</w:t>
      </w:r>
      <w:proofErr w:type="spellEnd"/>
      <w:r w:rsidRPr="007831BB">
        <w:rPr>
          <w:bCs/>
          <w:lang w:val="en-GB"/>
        </w:rPr>
        <w:t> </w:t>
      </w:r>
      <w:proofErr w:type="spellStart"/>
      <w:r w:rsidRPr="007831BB">
        <w:rPr>
          <w:bCs/>
          <w:lang w:val="en-GB"/>
        </w:rPr>
        <w:t>Youngbae</w:t>
      </w:r>
      <w:proofErr w:type="spellEnd"/>
      <w:r w:rsidRPr="007831BB">
        <w:rPr>
          <w:bCs/>
          <w:lang w:val="en-GB"/>
        </w:rPr>
        <w:t xml:space="preserve"> </w:t>
      </w:r>
      <w:proofErr w:type="spellStart"/>
      <w:r w:rsidRPr="007831BB">
        <w:rPr>
          <w:bCs/>
          <w:lang w:val="en-GB"/>
        </w:rPr>
        <w:t>Suh</w:t>
      </w:r>
      <w:proofErr w:type="spellEnd"/>
      <w:r w:rsidRPr="007831BB">
        <w:rPr>
          <w:bCs/>
          <w:lang w:val="en-GB"/>
        </w:rPr>
        <w:t xml:space="preserve"> (Republic of Korea) and </w:t>
      </w:r>
      <w:proofErr w:type="spellStart"/>
      <w:r w:rsidRPr="007831BB">
        <w:rPr>
          <w:bCs/>
          <w:lang w:val="en-GB"/>
        </w:rPr>
        <w:t>Mr.</w:t>
      </w:r>
      <w:proofErr w:type="spellEnd"/>
      <w:r w:rsidRPr="007831BB">
        <w:rPr>
          <w:bCs/>
          <w:lang w:val="en-GB"/>
        </w:rPr>
        <w:t xml:space="preserve"> </w:t>
      </w:r>
      <w:proofErr w:type="spellStart"/>
      <w:r w:rsidRPr="007831BB">
        <w:rPr>
          <w:bCs/>
          <w:lang w:val="en-GB"/>
        </w:rPr>
        <w:t>Asghar</w:t>
      </w:r>
      <w:proofErr w:type="spellEnd"/>
      <w:r w:rsidRPr="007831BB">
        <w:rPr>
          <w:bCs/>
          <w:lang w:val="en-GB"/>
        </w:rPr>
        <w:t xml:space="preserve"> </w:t>
      </w:r>
      <w:proofErr w:type="spellStart"/>
      <w:r w:rsidRPr="007831BB">
        <w:rPr>
          <w:bCs/>
          <w:lang w:val="en-GB"/>
        </w:rPr>
        <w:t>Mohammadi</w:t>
      </w:r>
      <w:proofErr w:type="spellEnd"/>
      <w:r w:rsidRPr="007831BB">
        <w:rPr>
          <w:bCs/>
          <w:lang w:val="en-GB"/>
        </w:rPr>
        <w:t xml:space="preserve"> </w:t>
      </w:r>
      <w:proofErr w:type="spellStart"/>
      <w:r w:rsidRPr="007831BB">
        <w:rPr>
          <w:bCs/>
          <w:lang w:val="en-GB"/>
        </w:rPr>
        <w:t>Fazel</w:t>
      </w:r>
      <w:proofErr w:type="spellEnd"/>
      <w:r w:rsidRPr="007831BB">
        <w:rPr>
          <w:bCs/>
          <w:lang w:val="en-GB"/>
        </w:rPr>
        <w:t xml:space="preserve"> (Islamic Republic of Iran), member of the Multidisciplinary Expert Panel </w:t>
      </w:r>
      <w:proofErr w:type="spellStart"/>
      <w:r w:rsidRPr="007831BB">
        <w:rPr>
          <w:bCs/>
          <w:lang w:val="en-GB"/>
        </w:rPr>
        <w:t>Mr.</w:t>
      </w:r>
      <w:proofErr w:type="spellEnd"/>
      <w:r w:rsidRPr="007831BB">
        <w:rPr>
          <w:bCs/>
          <w:lang w:val="en-GB"/>
        </w:rPr>
        <w:t xml:space="preserve"> Paul </w:t>
      </w:r>
      <w:proofErr w:type="spellStart"/>
      <w:r w:rsidRPr="007831BB">
        <w:rPr>
          <w:bCs/>
          <w:lang w:val="en-GB"/>
        </w:rPr>
        <w:t>Leadley</w:t>
      </w:r>
      <w:proofErr w:type="spellEnd"/>
      <w:r w:rsidRPr="007831BB">
        <w:rPr>
          <w:bCs/>
          <w:lang w:val="en-GB"/>
        </w:rPr>
        <w:t xml:space="preserve"> and the many organizations that had contributed to the work over the previous year.</w:t>
      </w:r>
    </w:p>
    <w:p w14:paraId="7EF9646E" w14:textId="77777777" w:rsidR="002A7CAC" w:rsidRPr="007831BB"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In the ensuing discussion, statements were made by the representatives of Australia, Belgium, Colombia, Finland, France, India, Indonesia, Japan, Mexico, Pakistan, Republic of Korea, South Africa, Sweden, Switzerland, the United States, the United Kingdom of Great Britain and Northern Ireland and Future Earth.</w:t>
      </w:r>
    </w:p>
    <w:p w14:paraId="5ADF5D08" w14:textId="3E9DA735" w:rsidR="00D426D9" w:rsidRDefault="002A7CAC" w:rsidP="00D426D9">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D426D9">
        <w:rPr>
          <w:bCs/>
          <w:lang w:val="en-GB"/>
        </w:rPr>
        <w:t>Several representatives said that there was a need for collaboration with agencies generating the kinds of knowledge and data presented in the proposed work plan</w:t>
      </w:r>
      <w:r w:rsidR="00BB416B">
        <w:rPr>
          <w:bCs/>
          <w:lang w:val="en-GB"/>
        </w:rPr>
        <w:t>, and for clarifying the conditions of that collaboration,</w:t>
      </w:r>
      <w:r w:rsidRPr="00D426D9">
        <w:rPr>
          <w:bCs/>
          <w:lang w:val="en-GB"/>
        </w:rPr>
        <w:t xml:space="preserve"> in order to ensure alignment with related processes, avoid duplication and provide mutual support. One</w:t>
      </w:r>
      <w:r w:rsidRPr="00546E18">
        <w:rPr>
          <w:bCs/>
          <w:lang w:val="en-GB"/>
        </w:rPr>
        <w:t xml:space="preserve"> representative drew attention to an </w:t>
      </w:r>
      <w:proofErr w:type="spellStart"/>
      <w:r w:rsidRPr="00546E18">
        <w:rPr>
          <w:bCs/>
          <w:lang w:val="en-GB"/>
        </w:rPr>
        <w:t>ongoing</w:t>
      </w:r>
      <w:proofErr w:type="spellEnd"/>
      <w:r w:rsidRPr="00546E18">
        <w:rPr>
          <w:bCs/>
          <w:lang w:val="en-GB"/>
        </w:rPr>
        <w:t xml:space="preserve"> study conducted by </w:t>
      </w:r>
      <w:r w:rsidR="00B32CA8">
        <w:rPr>
          <w:bCs/>
          <w:lang w:val="en-GB"/>
        </w:rPr>
        <w:t xml:space="preserve">the </w:t>
      </w:r>
      <w:r w:rsidRPr="00546E18">
        <w:rPr>
          <w:bCs/>
          <w:lang w:val="en-GB"/>
        </w:rPr>
        <w:t>UNEP</w:t>
      </w:r>
      <w:r w:rsidR="00B32CA8">
        <w:rPr>
          <w:bCs/>
          <w:lang w:val="en-GB"/>
        </w:rPr>
        <w:t xml:space="preserve"> World Conservation Monitoring Centre</w:t>
      </w:r>
      <w:r w:rsidRPr="00546E18">
        <w:rPr>
          <w:bCs/>
          <w:lang w:val="en-GB"/>
        </w:rPr>
        <w:t xml:space="preserve"> aimed at harmonizing approaches to indicator use by various agencies. </w:t>
      </w:r>
      <w:r w:rsidR="00D426D9" w:rsidRPr="00546E18">
        <w:rPr>
          <w:bCs/>
          <w:lang w:val="en-GB"/>
        </w:rPr>
        <w:t xml:space="preserve">One representative asked </w:t>
      </w:r>
      <w:r w:rsidR="00291BCB">
        <w:rPr>
          <w:bCs/>
          <w:lang w:val="en-GB"/>
        </w:rPr>
        <w:t xml:space="preserve">about the approach used for selecting </w:t>
      </w:r>
      <w:r w:rsidR="00D426D9" w:rsidRPr="00546E18">
        <w:rPr>
          <w:bCs/>
          <w:lang w:val="en-GB"/>
        </w:rPr>
        <w:t>indicators and</w:t>
      </w:r>
      <w:r w:rsidR="00BB416B">
        <w:rPr>
          <w:bCs/>
          <w:lang w:val="en-GB"/>
        </w:rPr>
        <w:t>, supported by others,</w:t>
      </w:r>
      <w:r w:rsidR="00D426D9" w:rsidRPr="00546E18">
        <w:rPr>
          <w:bCs/>
          <w:lang w:val="en-GB"/>
        </w:rPr>
        <w:t xml:space="preserve"> expressed a desire for more information from expert group members during contact group discussions.</w:t>
      </w:r>
      <w:r w:rsidR="00D426D9" w:rsidRPr="00964A01">
        <w:rPr>
          <w:bCs/>
          <w:lang w:val="en-US"/>
        </w:rPr>
        <w:t xml:space="preserve"> </w:t>
      </w:r>
      <w:r w:rsidRPr="00D426D9">
        <w:rPr>
          <w:bCs/>
          <w:lang w:val="en-GB"/>
        </w:rPr>
        <w:t xml:space="preserve">Several representatives said that it was important that indicators and other knowledge and data resources, including indicators related to indigenous and local knowledge, were readily available for use by stakeholders and appropriately disseminated. </w:t>
      </w:r>
    </w:p>
    <w:p w14:paraId="413C53EF" w14:textId="28B8635A" w:rsidR="002A7CAC" w:rsidRPr="00D426D9" w:rsidRDefault="002A7CAC" w:rsidP="00D426D9">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D426D9">
        <w:rPr>
          <w:bCs/>
          <w:lang w:val="en-GB"/>
        </w:rPr>
        <w:t xml:space="preserve">Two representatives said that the web-based infrastructure should be easier to navigate and one said that as a repository of key resources it should be </w:t>
      </w:r>
      <w:r w:rsidR="00D426D9" w:rsidRPr="00546E18">
        <w:rPr>
          <w:bCs/>
          <w:lang w:val="en-GB"/>
        </w:rPr>
        <w:t xml:space="preserve">finalized </w:t>
      </w:r>
      <w:r w:rsidRPr="00546E18">
        <w:rPr>
          <w:bCs/>
          <w:lang w:val="en-GB"/>
        </w:rPr>
        <w:t xml:space="preserve">as soon as possible. Another representative said that the web-based infrastructure was important as a means for making data broadly available and promoting transparency and </w:t>
      </w:r>
      <w:r w:rsidRPr="00D426D9">
        <w:rPr>
          <w:bCs/>
          <w:lang w:val="en-GB"/>
        </w:rPr>
        <w:t>harmonization between, for example, regional assessments.</w:t>
      </w:r>
      <w:r w:rsidR="00D426D9" w:rsidRPr="00D426D9">
        <w:rPr>
          <w:bCs/>
          <w:lang w:val="en-GB"/>
        </w:rPr>
        <w:t xml:space="preserve"> One representative expressed concern about potential inconsistency in applying the datasets across regional assessments, rendering challenges in feeding into the global assessment.</w:t>
      </w:r>
    </w:p>
    <w:p w14:paraId="63F65574" w14:textId="229094FF" w:rsidR="002A7CAC" w:rsidRPr="007831BB"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With regard to knowledge generation, two representatives said that more information could have been provided, with one suggesting that the planned follow-up questionnaire on suggestions for priority research areas based on the findings of the thematic assessment on pollinators, pollination and food production, be disseminated not only to co-chairs and coordinating lead authors of completed and </w:t>
      </w:r>
      <w:proofErr w:type="spellStart"/>
      <w:r w:rsidRPr="007831BB">
        <w:rPr>
          <w:bCs/>
          <w:lang w:val="en-GB"/>
        </w:rPr>
        <w:t>ongoing</w:t>
      </w:r>
      <w:proofErr w:type="spellEnd"/>
      <w:r w:rsidRPr="007831BB">
        <w:rPr>
          <w:bCs/>
          <w:lang w:val="en-GB"/>
        </w:rPr>
        <w:t xml:space="preserve"> assessments but to all lead authors to maximize input. Another representative said that the three-step process should include consultations with Governments and other stakeholders, but that seeking feedback from the scientific community need not be repeated. Another representative said that consideration should be given</w:t>
      </w:r>
      <w:r w:rsidR="00D426D9">
        <w:rPr>
          <w:bCs/>
          <w:lang w:val="en-GB"/>
        </w:rPr>
        <w:t xml:space="preserve"> </w:t>
      </w:r>
      <w:r w:rsidRPr="00571EC5">
        <w:rPr>
          <w:bCs/>
          <w:lang w:val="en-GB"/>
        </w:rPr>
        <w:t xml:space="preserve">to </w:t>
      </w:r>
      <w:r w:rsidR="00291BCB" w:rsidRPr="00331DDA">
        <w:rPr>
          <w:bCs/>
          <w:lang w:val="en-GB"/>
        </w:rPr>
        <w:t>a</w:t>
      </w:r>
      <w:r w:rsidR="00571EC5" w:rsidRPr="00160BD4">
        <w:rPr>
          <w:bCs/>
          <w:lang w:val="en-GB"/>
        </w:rPr>
        <w:t>n</w:t>
      </w:r>
      <w:r w:rsidR="00291BCB" w:rsidRPr="00571EC5">
        <w:rPr>
          <w:bCs/>
          <w:lang w:val="en-GB"/>
        </w:rPr>
        <w:t xml:space="preserve"> approach for</w:t>
      </w:r>
      <w:r w:rsidRPr="00571EC5">
        <w:rPr>
          <w:bCs/>
          <w:lang w:val="en-GB"/>
        </w:rPr>
        <w:t xml:space="preserve"> involv</w:t>
      </w:r>
      <w:r w:rsidR="00291BCB" w:rsidRPr="00571EC5">
        <w:rPr>
          <w:bCs/>
          <w:lang w:val="en-GB"/>
        </w:rPr>
        <w:t>ing</w:t>
      </w:r>
      <w:r w:rsidRPr="007831BB">
        <w:rPr>
          <w:bCs/>
          <w:lang w:val="en-GB"/>
        </w:rPr>
        <w:t xml:space="preserve"> industries sourcing bio</w:t>
      </w:r>
      <w:r w:rsidR="00D829E5">
        <w:rPr>
          <w:bCs/>
          <w:lang w:val="en-GB"/>
        </w:rPr>
        <w:noBreakHyphen/>
      </w:r>
      <w:r w:rsidRPr="007831BB">
        <w:rPr>
          <w:bCs/>
          <w:lang w:val="en-GB"/>
        </w:rPr>
        <w:t>resources in the feedback process.</w:t>
      </w:r>
    </w:p>
    <w:p w14:paraId="00AB6BC3" w14:textId="1FB0CCFC" w:rsidR="00D426D9" w:rsidRDefault="002A7CAC" w:rsidP="00D426D9">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Several representatives said that it was important to identify gaps in the list of indicators, and another said that he hoped that research priorities would respond to the gaps identified. One representative said that additional information was required on how the provided indicators </w:t>
      </w:r>
      <w:r w:rsidR="006851A8">
        <w:rPr>
          <w:bCs/>
          <w:lang w:val="en-GB"/>
        </w:rPr>
        <w:t>would</w:t>
      </w:r>
      <w:r w:rsidR="006851A8" w:rsidRPr="007831BB">
        <w:rPr>
          <w:bCs/>
          <w:lang w:val="en-GB"/>
        </w:rPr>
        <w:t xml:space="preserve"> </w:t>
      </w:r>
      <w:r w:rsidRPr="007831BB">
        <w:rPr>
          <w:bCs/>
          <w:lang w:val="en-GB"/>
        </w:rPr>
        <w:t>be measured.</w:t>
      </w:r>
      <w:r w:rsidR="00D426D9" w:rsidRPr="00D426D9">
        <w:rPr>
          <w:bCs/>
          <w:lang w:val="en-GB"/>
        </w:rPr>
        <w:t xml:space="preserve"> </w:t>
      </w:r>
      <w:r w:rsidR="00D426D9" w:rsidRPr="007831BB">
        <w:rPr>
          <w:bCs/>
          <w:lang w:val="en-GB"/>
        </w:rPr>
        <w:t>One representative said that there was still a lack of socio-economic indicators, although efforts were being made to rectify the situation.</w:t>
      </w:r>
      <w:r w:rsidR="00D426D9" w:rsidRPr="00D426D9">
        <w:rPr>
          <w:bCs/>
          <w:lang w:val="en-GB"/>
        </w:rPr>
        <w:t xml:space="preserve"> </w:t>
      </w:r>
    </w:p>
    <w:p w14:paraId="35967420" w14:textId="4A9ABB66" w:rsidR="00D426D9" w:rsidRDefault="00291BCB" w:rsidP="00D426D9">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331DDA">
        <w:rPr>
          <w:bCs/>
          <w:lang w:val="en-GB"/>
        </w:rPr>
        <w:t>R</w:t>
      </w:r>
      <w:r w:rsidR="00D426D9" w:rsidRPr="007831BB">
        <w:rPr>
          <w:bCs/>
          <w:lang w:val="en-GB"/>
        </w:rPr>
        <w:t xml:space="preserve">egarding </w:t>
      </w:r>
      <w:r w:rsidR="00A4523D">
        <w:rPr>
          <w:bCs/>
          <w:lang w:val="en-GB"/>
        </w:rPr>
        <w:t xml:space="preserve">the </w:t>
      </w:r>
      <w:r w:rsidR="00D426D9" w:rsidRPr="007831BB">
        <w:rPr>
          <w:bCs/>
          <w:lang w:val="en-GB"/>
        </w:rPr>
        <w:t>identification of priority research areas</w:t>
      </w:r>
      <w:r w:rsidR="00571EC5" w:rsidRPr="00571EC5">
        <w:rPr>
          <w:bCs/>
          <w:lang w:val="en-GB"/>
        </w:rPr>
        <w:t>,</w:t>
      </w:r>
      <w:r w:rsidR="00D426D9" w:rsidRPr="00331DDA">
        <w:rPr>
          <w:bCs/>
          <w:lang w:val="en-GB"/>
        </w:rPr>
        <w:t xml:space="preserve"> </w:t>
      </w:r>
      <w:r w:rsidRPr="00331DDA">
        <w:rPr>
          <w:bCs/>
          <w:lang w:val="en-GB"/>
        </w:rPr>
        <w:t>one representative said</w:t>
      </w:r>
      <w:r w:rsidRPr="007831BB">
        <w:rPr>
          <w:bCs/>
          <w:lang w:val="en-GB"/>
        </w:rPr>
        <w:t xml:space="preserve"> </w:t>
      </w:r>
      <w:r w:rsidR="00D426D9" w:rsidRPr="007831BB">
        <w:rPr>
          <w:bCs/>
          <w:lang w:val="en-GB"/>
        </w:rPr>
        <w:t>that it would be better to avoid labelling areas of research as high-priority and instead use more neutral language merely to indicate the presence of knowledge gaps.</w:t>
      </w:r>
    </w:p>
    <w:p w14:paraId="39135896" w14:textId="14FC28DD" w:rsidR="002A7CAC" w:rsidRPr="007831BB"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One representative said that each assessment should have a data and information plan for biodiversity as part of its scoping document and </w:t>
      </w:r>
      <w:proofErr w:type="gramStart"/>
      <w:r w:rsidRPr="007831BB">
        <w:rPr>
          <w:bCs/>
          <w:lang w:val="en-GB"/>
        </w:rPr>
        <w:t>that such plans</w:t>
      </w:r>
      <w:proofErr w:type="gramEnd"/>
      <w:r w:rsidRPr="007831BB">
        <w:rPr>
          <w:bCs/>
          <w:lang w:val="en-GB"/>
        </w:rPr>
        <w:t xml:space="preserve"> should be developed for </w:t>
      </w:r>
      <w:proofErr w:type="spellStart"/>
      <w:r w:rsidRPr="007831BB">
        <w:rPr>
          <w:bCs/>
          <w:lang w:val="en-GB"/>
        </w:rPr>
        <w:t>ongoing</w:t>
      </w:r>
      <w:proofErr w:type="spellEnd"/>
      <w:r w:rsidRPr="007831BB">
        <w:rPr>
          <w:bCs/>
          <w:lang w:val="en-GB"/>
        </w:rPr>
        <w:t xml:space="preserve"> assessments. </w:t>
      </w:r>
    </w:p>
    <w:p w14:paraId="363A3A0D" w14:textId="1941F677" w:rsidR="002A7CAC" w:rsidRPr="007831BB"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One representative said that there was a need for close integration of the elements of the work programme and guidance from the Multidisciplinary Expert Panel. Another said that further interaction between members of </w:t>
      </w:r>
      <w:r w:rsidR="00D426D9">
        <w:rPr>
          <w:bCs/>
          <w:lang w:val="en-GB"/>
        </w:rPr>
        <w:t>IPBES</w:t>
      </w:r>
      <w:r w:rsidRPr="007831BB">
        <w:rPr>
          <w:bCs/>
          <w:lang w:val="en-GB"/>
        </w:rPr>
        <w:t xml:space="preserve"> and the task force on knowledge and data would improve understanding of the task force’s work. </w:t>
      </w:r>
    </w:p>
    <w:p w14:paraId="72D1CA1A" w14:textId="6DC86E5C" w:rsidR="002A7CAC" w:rsidRPr="007831BB" w:rsidRDefault="00D426D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Two representatives said that they would have liked to receive more information on milestones towards the deliverables discussed in the work plan, with one saying the same regarding each of the task groups listed.</w:t>
      </w:r>
    </w:p>
    <w:p w14:paraId="75434F4A" w14:textId="24384580" w:rsidR="002A7CAC" w:rsidRPr="00440196"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proofErr w:type="spellStart"/>
      <w:r w:rsidRPr="007831BB">
        <w:rPr>
          <w:bCs/>
          <w:lang w:val="en-GB"/>
        </w:rPr>
        <w:t>Mr.</w:t>
      </w:r>
      <w:proofErr w:type="spellEnd"/>
      <w:r w:rsidRPr="007831BB">
        <w:rPr>
          <w:bCs/>
          <w:lang w:val="en-GB"/>
        </w:rPr>
        <w:t xml:space="preserve"> </w:t>
      </w:r>
      <w:proofErr w:type="spellStart"/>
      <w:r w:rsidRPr="007831BB">
        <w:rPr>
          <w:bCs/>
          <w:lang w:val="en-GB"/>
        </w:rPr>
        <w:t>Leadley</w:t>
      </w:r>
      <w:proofErr w:type="spellEnd"/>
      <w:r w:rsidRPr="007831BB">
        <w:rPr>
          <w:bCs/>
          <w:lang w:val="en-GB"/>
        </w:rPr>
        <w:t xml:space="preserve"> responded to some of the statements above. With regard to the alignment of indicators with other processes, he said that indicators were </w:t>
      </w:r>
      <w:r w:rsidR="00D426D9">
        <w:rPr>
          <w:bCs/>
          <w:lang w:val="en-GB"/>
        </w:rPr>
        <w:t>selected</w:t>
      </w:r>
      <w:r w:rsidR="00D426D9" w:rsidRPr="007831BB">
        <w:rPr>
          <w:bCs/>
          <w:lang w:val="en-GB"/>
        </w:rPr>
        <w:t xml:space="preserve"> </w:t>
      </w:r>
      <w:r w:rsidRPr="007831BB">
        <w:rPr>
          <w:bCs/>
          <w:lang w:val="en-GB"/>
        </w:rPr>
        <w:t xml:space="preserve">from a variety of sources </w:t>
      </w:r>
      <w:r w:rsidR="00D426D9">
        <w:rPr>
          <w:bCs/>
          <w:lang w:val="en-GB"/>
        </w:rPr>
        <w:t>and</w:t>
      </w:r>
      <w:r w:rsidRPr="007831BB">
        <w:rPr>
          <w:bCs/>
          <w:lang w:val="en-GB"/>
        </w:rPr>
        <w:t xml:space="preserve"> partnerships with data holders</w:t>
      </w:r>
      <w:r w:rsidR="00D426D9">
        <w:rPr>
          <w:bCs/>
          <w:lang w:val="en-GB"/>
        </w:rPr>
        <w:t xml:space="preserve"> sought</w:t>
      </w:r>
      <w:r w:rsidRPr="007831BB">
        <w:rPr>
          <w:bCs/>
          <w:lang w:val="en-GB"/>
        </w:rPr>
        <w:t xml:space="preserve">. With regard to the availability of indicator data </w:t>
      </w:r>
      <w:r w:rsidR="00683BDA" w:rsidRPr="00160BD4">
        <w:rPr>
          <w:lang w:val="en-GB"/>
        </w:rPr>
        <w:t>to IPBES members</w:t>
      </w:r>
      <w:r w:rsidR="00683BDA" w:rsidRPr="007831BB">
        <w:rPr>
          <w:bCs/>
          <w:lang w:val="en-GB"/>
        </w:rPr>
        <w:t xml:space="preserve"> </w:t>
      </w:r>
      <w:r w:rsidRPr="007831BB">
        <w:rPr>
          <w:bCs/>
          <w:lang w:val="en-GB"/>
        </w:rPr>
        <w:t>he said that the priority was to request permission for assessment experts to access data</w:t>
      </w:r>
      <w:r w:rsidR="00571EC5">
        <w:rPr>
          <w:bCs/>
          <w:lang w:val="en-GB"/>
        </w:rPr>
        <w:t xml:space="preserve">, but </w:t>
      </w:r>
      <w:r w:rsidRPr="007831BB">
        <w:rPr>
          <w:bCs/>
          <w:lang w:val="en-GB"/>
        </w:rPr>
        <w:t xml:space="preserve">that </w:t>
      </w:r>
      <w:r w:rsidR="00571EC5">
        <w:rPr>
          <w:bCs/>
          <w:lang w:val="en-GB"/>
        </w:rPr>
        <w:t xml:space="preserve">this </w:t>
      </w:r>
      <w:r w:rsidRPr="007831BB">
        <w:rPr>
          <w:bCs/>
          <w:lang w:val="en-GB"/>
        </w:rPr>
        <w:t xml:space="preserve">could change as time and resources allowed. </w:t>
      </w:r>
      <w:r w:rsidRPr="00E5159D">
        <w:rPr>
          <w:lang w:val="en-GB"/>
        </w:rPr>
        <w:t>As to the quality of data,</w:t>
      </w:r>
      <w:r w:rsidRPr="00E5159D">
        <w:rPr>
          <w:bCs/>
          <w:lang w:val="en-GB"/>
        </w:rPr>
        <w:t xml:space="preserve"> they</w:t>
      </w:r>
      <w:r w:rsidRPr="007831BB">
        <w:rPr>
          <w:bCs/>
          <w:lang w:val="en-GB"/>
        </w:rPr>
        <w:t xml:space="preserve"> were often not appropriate to be viewed at the national or even </w:t>
      </w:r>
      <w:proofErr w:type="spellStart"/>
      <w:r w:rsidRPr="007831BB">
        <w:rPr>
          <w:bCs/>
          <w:lang w:val="en-GB"/>
        </w:rPr>
        <w:t>subregional</w:t>
      </w:r>
      <w:proofErr w:type="spellEnd"/>
      <w:r w:rsidRPr="007831BB">
        <w:rPr>
          <w:bCs/>
          <w:lang w:val="en-GB"/>
        </w:rPr>
        <w:t xml:space="preserve"> scale due to the existence of significant data gaps. Preparing and making data available, he said, involved a considerable amount of work. </w:t>
      </w:r>
    </w:p>
    <w:p w14:paraId="77259F44" w14:textId="1DCEFD05" w:rsidR="00A37877" w:rsidRPr="007831BB" w:rsidRDefault="00A37877"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1B4189">
        <w:rPr>
          <w:bCs/>
          <w:lang w:val="en-GB"/>
        </w:rPr>
        <w:t xml:space="preserve">The Plenary decided that the contact group established as described in paragraph </w:t>
      </w:r>
      <w:r w:rsidRPr="00331DDA">
        <w:rPr>
          <w:bCs/>
          <w:lang w:val="en-GB"/>
        </w:rPr>
        <w:t>6</w:t>
      </w:r>
      <w:r w:rsidR="00683BDA" w:rsidRPr="00331DDA">
        <w:rPr>
          <w:bCs/>
          <w:lang w:val="en-GB"/>
        </w:rPr>
        <w:t>3</w:t>
      </w:r>
      <w:r w:rsidRPr="007831BB">
        <w:rPr>
          <w:bCs/>
          <w:lang w:val="en-GB"/>
        </w:rPr>
        <w:t xml:space="preserve"> above</w:t>
      </w:r>
      <w:r w:rsidRPr="00440196">
        <w:rPr>
          <w:bCs/>
          <w:lang w:val="en-GB"/>
        </w:rPr>
        <w:t xml:space="preserve"> should consider the matter further.</w:t>
      </w:r>
    </w:p>
    <w:p w14:paraId="4D28EFE2" w14:textId="479C5770" w:rsidR="00B47AE3" w:rsidRPr="00440196" w:rsidRDefault="00B47AE3" w:rsidP="00160BD4">
      <w:pPr>
        <w:pStyle w:val="CH2"/>
        <w:spacing w:before="0" w:after="0"/>
        <w:rPr>
          <w:lang w:val="en-GB"/>
        </w:rPr>
      </w:pPr>
      <w:r w:rsidRPr="001B4189">
        <w:rPr>
          <w:lang w:val="en-GB"/>
        </w:rPr>
        <w:tab/>
        <w:t>D.</w:t>
      </w:r>
      <w:r w:rsidRPr="001B4189">
        <w:rPr>
          <w:lang w:val="en-GB"/>
        </w:rPr>
        <w:tab/>
      </w:r>
      <w:r w:rsidR="00AD63E2" w:rsidRPr="00440196">
        <w:rPr>
          <w:lang w:val="en-GB"/>
        </w:rPr>
        <w:t>Methodological assessment regarding the diverse conceptualization of multiple values of nature and its benefits</w:t>
      </w:r>
    </w:p>
    <w:p w14:paraId="290769F6" w14:textId="505B242E" w:rsidR="00B47AE3" w:rsidRPr="00440196" w:rsidRDefault="00B47AE3" w:rsidP="00160BD4">
      <w:pPr>
        <w:pStyle w:val="CH2"/>
        <w:spacing w:before="0" w:after="0"/>
        <w:rPr>
          <w:lang w:val="en-GB"/>
        </w:rPr>
      </w:pPr>
      <w:r w:rsidRPr="00440196">
        <w:rPr>
          <w:lang w:val="en-GB"/>
        </w:rPr>
        <w:tab/>
        <w:t>E.</w:t>
      </w:r>
      <w:r w:rsidRPr="00440196">
        <w:rPr>
          <w:lang w:val="en-GB"/>
        </w:rPr>
        <w:tab/>
      </w:r>
      <w:r w:rsidR="00AD63E2" w:rsidRPr="00440196">
        <w:rPr>
          <w:lang w:val="en-GB"/>
        </w:rPr>
        <w:t>Thematic assessment on invasive alien species</w:t>
      </w:r>
    </w:p>
    <w:p w14:paraId="14B330EF" w14:textId="1C68DF9D" w:rsidR="00B47AE3" w:rsidRPr="00440196" w:rsidRDefault="00B47AE3" w:rsidP="00160BD4">
      <w:pPr>
        <w:pStyle w:val="CH2"/>
        <w:spacing w:before="0"/>
        <w:rPr>
          <w:lang w:val="en-GB"/>
        </w:rPr>
      </w:pPr>
      <w:r w:rsidRPr="00440196">
        <w:rPr>
          <w:lang w:val="en-GB"/>
        </w:rPr>
        <w:tab/>
        <w:t>F.</w:t>
      </w:r>
      <w:r w:rsidRPr="00440196">
        <w:rPr>
          <w:lang w:val="en-GB"/>
        </w:rPr>
        <w:tab/>
      </w:r>
      <w:r w:rsidR="00AD63E2" w:rsidRPr="00440196">
        <w:rPr>
          <w:lang w:val="en-GB"/>
        </w:rPr>
        <w:t xml:space="preserve">Thematic </w:t>
      </w:r>
      <w:r w:rsidR="00AD63E2" w:rsidRPr="00964A01">
        <w:rPr>
          <w:lang w:val="en-US"/>
        </w:rPr>
        <w:t>assessment</w:t>
      </w:r>
      <w:r w:rsidR="00AD63E2" w:rsidRPr="00440196">
        <w:rPr>
          <w:lang w:val="en-GB"/>
        </w:rPr>
        <w:t xml:space="preserve"> on the sustainable use of biodiversity</w:t>
      </w:r>
    </w:p>
    <w:p w14:paraId="68C3F3D2" w14:textId="3CDC4423"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The Plenary considered sub-items 6 (d) (Methodological assessment regarding the diverse conceptualization of multiple values of nature and its benefits), 6 (e) (Thematic assessment on invasive alien species) and 6 (f) (Thematic assessment on the sustainable use of biodiversity) together.</w:t>
      </w:r>
    </w:p>
    <w:p w14:paraId="406DAA49" w14:textId="46C60326"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Introducing the sub-items the Chair drew attention to the relevant documents (IPBES/5/6, IPBES/5/7, IPBES/5/INF/10, IPBES/5/INF/11 and IPBES/5/INF/12</w:t>
      </w:r>
      <w:r w:rsidR="00D426D9">
        <w:rPr>
          <w:bCs/>
          <w:lang w:val="en-GB"/>
        </w:rPr>
        <w:t>)</w:t>
      </w:r>
      <w:r w:rsidRPr="007831BB">
        <w:rPr>
          <w:bCs/>
          <w:lang w:val="en-GB"/>
        </w:rPr>
        <w:t>.</w:t>
      </w:r>
    </w:p>
    <w:p w14:paraId="4A2A9B0B" w14:textId="41605C5E"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The Executive Secretary recalled that by decision IPBES-4/1 the Plenary had approved the scoping report for the methodological assessment regarding the diverse conceptualization of multiple values of nature and its benefits, </w:t>
      </w:r>
      <w:r w:rsidRPr="007831BB">
        <w:rPr>
          <w:lang w:val="en-GB"/>
        </w:rPr>
        <w:t>including biodiversity and ecosystem functions and services, set out in annex VI to the decision</w:t>
      </w:r>
      <w:r w:rsidRPr="007831BB">
        <w:rPr>
          <w:bCs/>
          <w:lang w:val="en-GB"/>
        </w:rPr>
        <w:t xml:space="preserve"> and the scoping report for the thematic assessment of invasive alien species and their control</w:t>
      </w:r>
      <w:r w:rsidR="00D426D9">
        <w:rPr>
          <w:bCs/>
          <w:lang w:val="en-GB"/>
        </w:rPr>
        <w:t>,</w:t>
      </w:r>
      <w:r w:rsidRPr="007831BB">
        <w:rPr>
          <w:bCs/>
          <w:lang w:val="en-GB"/>
        </w:rPr>
        <w:t xml:space="preserve"> set out in annex III to the decision, had decided to consider initiating them at the current session and had requested the Multidisciplinary Expert </w:t>
      </w:r>
      <w:r w:rsidR="00D03E58">
        <w:rPr>
          <w:bCs/>
          <w:lang w:val="en-GB"/>
        </w:rPr>
        <w:t>Panel</w:t>
      </w:r>
      <w:r w:rsidR="00D03E58" w:rsidRPr="007831BB">
        <w:rPr>
          <w:bCs/>
          <w:lang w:val="en-GB"/>
        </w:rPr>
        <w:t xml:space="preserve"> </w:t>
      </w:r>
      <w:r w:rsidRPr="007831BB">
        <w:rPr>
          <w:bCs/>
          <w:lang w:val="en-GB"/>
        </w:rPr>
        <w:t>to undertake further scoping of the thematic assessment on the sustainable use of biodiversity.</w:t>
      </w:r>
    </w:p>
    <w:p w14:paraId="027CAEBF" w14:textId="28CD612A" w:rsidR="00546E18" w:rsidRDefault="00832B9C" w:rsidP="00964A01">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546E18">
        <w:rPr>
          <w:bCs/>
          <w:lang w:val="en-GB"/>
        </w:rPr>
        <w:t xml:space="preserve">In accordance with the decision the Multidisciplinary Expert Panel had prepared a revised scoping report for the thematic assessment on the sustainable use of biodiversity </w:t>
      </w:r>
      <w:r w:rsidR="00546E18" w:rsidRPr="00546E18">
        <w:rPr>
          <w:bCs/>
          <w:lang w:val="en-GB"/>
        </w:rPr>
        <w:t xml:space="preserve">and </w:t>
      </w:r>
      <w:r w:rsidRPr="00546E18">
        <w:rPr>
          <w:bCs/>
          <w:lang w:val="en-GB"/>
        </w:rPr>
        <w:t xml:space="preserve">in the course of </w:t>
      </w:r>
      <w:r w:rsidR="00546E18" w:rsidRPr="00546E18">
        <w:rPr>
          <w:bCs/>
          <w:lang w:val="en-GB"/>
        </w:rPr>
        <w:t xml:space="preserve">the re-scoping process </w:t>
      </w:r>
      <w:r w:rsidR="00DB324C">
        <w:rPr>
          <w:bCs/>
          <w:lang w:val="en-GB"/>
        </w:rPr>
        <w:t xml:space="preserve">had </w:t>
      </w:r>
      <w:r w:rsidRPr="00546E18">
        <w:rPr>
          <w:bCs/>
          <w:lang w:val="en-GB"/>
        </w:rPr>
        <w:t>decided to change the name of the assessment to refer to “wild species” rather than “biodiversity”. The Plenary at the current session, she said, might wish to consider and approve the revised scoping report (IPBES/5/7, annex); it might also wish to consider when to initiate the assessment, the methodological assessment regarding the diverse conceptualization of multiple values of nature and its benefits and the thematic assessment on invasive alien species</w:t>
      </w:r>
      <w:r w:rsidR="005317A8" w:rsidRPr="00546E18">
        <w:rPr>
          <w:bCs/>
          <w:lang w:val="en-GB"/>
        </w:rPr>
        <w:t xml:space="preserve"> (hereinafter referred to as the </w:t>
      </w:r>
      <w:r w:rsidR="0041474E" w:rsidRPr="00546E18">
        <w:rPr>
          <w:bCs/>
          <w:lang w:val="en-GB"/>
        </w:rPr>
        <w:t>“pending assessments”)</w:t>
      </w:r>
      <w:r w:rsidRPr="00546E18">
        <w:rPr>
          <w:bCs/>
          <w:lang w:val="en-GB"/>
        </w:rPr>
        <w:t xml:space="preserve">, bearing in mind the challenges associated with undertaking any of the </w:t>
      </w:r>
      <w:r w:rsidR="004F3B40" w:rsidRPr="00546E18">
        <w:rPr>
          <w:bCs/>
          <w:lang w:val="en-GB"/>
        </w:rPr>
        <w:t xml:space="preserve">pending </w:t>
      </w:r>
      <w:r w:rsidRPr="00546E18">
        <w:rPr>
          <w:bCs/>
          <w:lang w:val="en-GB"/>
        </w:rPr>
        <w:t xml:space="preserve">assessments under the budgetary and human resources constraints currently facing </w:t>
      </w:r>
      <w:r w:rsidR="00546E18" w:rsidRPr="00546E18">
        <w:rPr>
          <w:bCs/>
          <w:lang w:val="en-GB"/>
        </w:rPr>
        <w:t>IPBES</w:t>
      </w:r>
      <w:r w:rsidRPr="00546E18">
        <w:rPr>
          <w:bCs/>
          <w:lang w:val="en-GB"/>
        </w:rPr>
        <w:t xml:space="preserve">. </w:t>
      </w:r>
    </w:p>
    <w:p w14:paraId="6CF6869F" w14:textId="52F0CEE6" w:rsidR="00546E18" w:rsidRPr="00546E18" w:rsidRDefault="00832B9C" w:rsidP="007D6174">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546E18">
        <w:rPr>
          <w:bCs/>
          <w:lang w:val="en-GB"/>
        </w:rPr>
        <w:t>The Chair noted that the Plenary would need to adopt the revised scoping report for a thematic assessment o</w:t>
      </w:r>
      <w:r w:rsidR="00E54AEB">
        <w:rPr>
          <w:bCs/>
          <w:lang w:val="en-GB"/>
        </w:rPr>
        <w:t>n</w:t>
      </w:r>
      <w:r w:rsidRPr="00546E18">
        <w:rPr>
          <w:bCs/>
          <w:lang w:val="en-GB"/>
        </w:rPr>
        <w:t xml:space="preserve"> the sustainable use of wild species before the assessment could be </w:t>
      </w:r>
      <w:r w:rsidR="00EA49D0">
        <w:rPr>
          <w:bCs/>
          <w:lang w:val="en-GB"/>
        </w:rPr>
        <w:t>initiated</w:t>
      </w:r>
      <w:r w:rsidRPr="00546E18">
        <w:rPr>
          <w:bCs/>
          <w:lang w:val="en-GB"/>
        </w:rPr>
        <w:t>.</w:t>
      </w:r>
      <w:r w:rsidR="00546E18" w:rsidRPr="00546E18">
        <w:rPr>
          <w:bCs/>
          <w:lang w:val="en-GB"/>
        </w:rPr>
        <w:t xml:space="preserve"> The Chair </w:t>
      </w:r>
      <w:r w:rsidR="00546E18">
        <w:rPr>
          <w:bCs/>
          <w:lang w:val="en-GB"/>
        </w:rPr>
        <w:t xml:space="preserve">also </w:t>
      </w:r>
      <w:r w:rsidR="00546E18" w:rsidRPr="00546E18">
        <w:rPr>
          <w:bCs/>
          <w:lang w:val="en-GB"/>
        </w:rPr>
        <w:t>conveyed a number of recommendations from the Bureau, including that</w:t>
      </w:r>
      <w:r w:rsidR="00546E18">
        <w:rPr>
          <w:bCs/>
          <w:lang w:val="en-GB"/>
        </w:rPr>
        <w:t>, if the Plenary decided to undertake any of the pending assessments,</w:t>
      </w:r>
      <w:r w:rsidR="00546E18" w:rsidRPr="00546E18">
        <w:rPr>
          <w:bCs/>
          <w:lang w:val="en-GB"/>
        </w:rPr>
        <w:t xml:space="preserve"> each </w:t>
      </w:r>
      <w:r w:rsidR="00546E18">
        <w:rPr>
          <w:bCs/>
          <w:lang w:val="en-GB"/>
        </w:rPr>
        <w:t>of the</w:t>
      </w:r>
      <w:r w:rsidR="0045607F">
        <w:rPr>
          <w:bCs/>
          <w:lang w:val="en-GB"/>
        </w:rPr>
        <w:t>m</w:t>
      </w:r>
      <w:r w:rsidR="00546E18" w:rsidRPr="00546E18">
        <w:rPr>
          <w:bCs/>
          <w:lang w:val="en-GB"/>
        </w:rPr>
        <w:t xml:space="preserve"> </w:t>
      </w:r>
      <w:r w:rsidR="00546E18">
        <w:rPr>
          <w:bCs/>
          <w:lang w:val="en-GB"/>
        </w:rPr>
        <w:t>should</w:t>
      </w:r>
      <w:r w:rsidR="00546E18" w:rsidRPr="00546E18">
        <w:rPr>
          <w:bCs/>
          <w:lang w:val="en-GB"/>
        </w:rPr>
        <w:t xml:space="preserve"> be carried out over a period of three years</w:t>
      </w:r>
      <w:r w:rsidR="00546E18">
        <w:rPr>
          <w:bCs/>
          <w:lang w:val="en-GB"/>
        </w:rPr>
        <w:t xml:space="preserve">; that the </w:t>
      </w:r>
      <w:r w:rsidR="00546E18" w:rsidRPr="00546E18">
        <w:rPr>
          <w:bCs/>
          <w:lang w:val="en-GB"/>
        </w:rPr>
        <w:t xml:space="preserve">budget for each of the </w:t>
      </w:r>
      <w:r w:rsidR="00546E18">
        <w:rPr>
          <w:bCs/>
          <w:lang w:val="en-GB"/>
        </w:rPr>
        <w:t xml:space="preserve">pending </w:t>
      </w:r>
      <w:r w:rsidR="00546E18" w:rsidRPr="00546E18">
        <w:rPr>
          <w:bCs/>
          <w:lang w:val="en-GB"/>
        </w:rPr>
        <w:t xml:space="preserve">assessments </w:t>
      </w:r>
      <w:r w:rsidR="00546E18">
        <w:rPr>
          <w:bCs/>
          <w:lang w:val="en-GB"/>
        </w:rPr>
        <w:t>should amount to</w:t>
      </w:r>
      <w:r w:rsidR="00546E18" w:rsidRPr="00546E18">
        <w:rPr>
          <w:bCs/>
          <w:lang w:val="en-GB"/>
        </w:rPr>
        <w:t xml:space="preserve"> $997,000, which include</w:t>
      </w:r>
      <w:r w:rsidR="0045607F">
        <w:rPr>
          <w:bCs/>
          <w:lang w:val="en-GB"/>
        </w:rPr>
        <w:t>d</w:t>
      </w:r>
      <w:r w:rsidR="00546E18" w:rsidRPr="00546E18">
        <w:rPr>
          <w:bCs/>
          <w:lang w:val="en-GB"/>
        </w:rPr>
        <w:t xml:space="preserve"> the minimum </w:t>
      </w:r>
      <w:r w:rsidR="0045607F">
        <w:rPr>
          <w:bCs/>
          <w:lang w:val="en-GB"/>
        </w:rPr>
        <w:t xml:space="preserve">number </w:t>
      </w:r>
      <w:r w:rsidR="00546E18" w:rsidRPr="00546E18">
        <w:rPr>
          <w:bCs/>
          <w:lang w:val="en-GB"/>
        </w:rPr>
        <w:t>of authors considered necessary for a successful assessment</w:t>
      </w:r>
      <w:r w:rsidR="0045607F">
        <w:rPr>
          <w:bCs/>
          <w:lang w:val="en-GB"/>
        </w:rPr>
        <w:t xml:space="preserve"> and</w:t>
      </w:r>
      <w:r w:rsidR="00546E18" w:rsidRPr="00546E18">
        <w:rPr>
          <w:bCs/>
          <w:lang w:val="en-GB"/>
        </w:rPr>
        <w:t xml:space="preserve"> three fully inclusive author meetings </w:t>
      </w:r>
      <w:r w:rsidR="00546E18">
        <w:rPr>
          <w:bCs/>
          <w:lang w:val="en-GB"/>
        </w:rPr>
        <w:t xml:space="preserve">and </w:t>
      </w:r>
      <w:r w:rsidR="0045607F">
        <w:rPr>
          <w:bCs/>
          <w:lang w:val="en-GB"/>
        </w:rPr>
        <w:t xml:space="preserve">would </w:t>
      </w:r>
      <w:r w:rsidR="00546E18">
        <w:rPr>
          <w:bCs/>
          <w:lang w:val="en-GB"/>
        </w:rPr>
        <w:t>allow for</w:t>
      </w:r>
      <w:r w:rsidR="00546E18" w:rsidRPr="00546E18">
        <w:rPr>
          <w:bCs/>
          <w:lang w:val="en-GB"/>
        </w:rPr>
        <w:t xml:space="preserve"> keeping the technical support units open for a minimum of three months after the closure of </w:t>
      </w:r>
      <w:r w:rsidR="00546E18">
        <w:rPr>
          <w:bCs/>
          <w:lang w:val="en-GB"/>
        </w:rPr>
        <w:t>the session of the Plenary</w:t>
      </w:r>
      <w:r w:rsidR="00EA49D0">
        <w:rPr>
          <w:bCs/>
          <w:lang w:val="en-GB"/>
        </w:rPr>
        <w:t xml:space="preserve"> </w:t>
      </w:r>
      <w:r w:rsidR="00F11A45">
        <w:rPr>
          <w:bCs/>
          <w:lang w:val="en-GB"/>
        </w:rPr>
        <w:t>at which the assessment would be considered</w:t>
      </w:r>
      <w:r w:rsidR="00546E18">
        <w:rPr>
          <w:bCs/>
          <w:lang w:val="en-GB"/>
        </w:rPr>
        <w:t xml:space="preserve">. </w:t>
      </w:r>
      <w:r w:rsidR="00546E18" w:rsidRPr="00546E18">
        <w:rPr>
          <w:bCs/>
          <w:lang w:val="en-GB"/>
        </w:rPr>
        <w:t xml:space="preserve">In terms of sequence, the Bureau </w:t>
      </w:r>
      <w:r w:rsidR="00546E18">
        <w:rPr>
          <w:bCs/>
          <w:lang w:val="en-GB"/>
        </w:rPr>
        <w:t>had recommended</w:t>
      </w:r>
      <w:r w:rsidR="00546E18" w:rsidRPr="00546E18">
        <w:rPr>
          <w:bCs/>
          <w:lang w:val="en-GB"/>
        </w:rPr>
        <w:t xml:space="preserve"> that methodological assessments </w:t>
      </w:r>
      <w:r w:rsidR="0045607F">
        <w:rPr>
          <w:bCs/>
          <w:lang w:val="en-GB"/>
        </w:rPr>
        <w:t>be scheduled</w:t>
      </w:r>
      <w:r w:rsidR="00546E18" w:rsidRPr="00546E18">
        <w:rPr>
          <w:bCs/>
          <w:lang w:val="en-GB"/>
        </w:rPr>
        <w:t xml:space="preserve"> to start early in the work programme </w:t>
      </w:r>
      <w:r w:rsidR="0045607F">
        <w:rPr>
          <w:bCs/>
          <w:lang w:val="en-GB"/>
        </w:rPr>
        <w:t>so that they could</w:t>
      </w:r>
      <w:r w:rsidR="00546E18" w:rsidRPr="00546E18">
        <w:rPr>
          <w:bCs/>
          <w:lang w:val="en-GB"/>
        </w:rPr>
        <w:t xml:space="preserve"> inform and support the other assessments and other work of IPBES and </w:t>
      </w:r>
      <w:r w:rsidR="0045607F">
        <w:rPr>
          <w:bCs/>
          <w:lang w:val="en-GB"/>
        </w:rPr>
        <w:t xml:space="preserve">suggested </w:t>
      </w:r>
      <w:r w:rsidR="00546E18" w:rsidRPr="00546E18">
        <w:rPr>
          <w:bCs/>
          <w:lang w:val="en-GB"/>
        </w:rPr>
        <w:t xml:space="preserve">that the Plenary </w:t>
      </w:r>
      <w:r w:rsidR="0045607F">
        <w:rPr>
          <w:bCs/>
          <w:lang w:val="en-GB"/>
        </w:rPr>
        <w:t>might therefore</w:t>
      </w:r>
      <w:r w:rsidR="00546E18" w:rsidRPr="00546E18">
        <w:rPr>
          <w:bCs/>
          <w:lang w:val="en-GB"/>
        </w:rPr>
        <w:t xml:space="preserve"> wish to consider launching the values assessment first. </w:t>
      </w:r>
      <w:r w:rsidR="00546E18">
        <w:rPr>
          <w:bCs/>
          <w:lang w:val="en-GB"/>
        </w:rPr>
        <w:t>The Chair</w:t>
      </w:r>
      <w:r w:rsidR="00546E18" w:rsidRPr="00546E18">
        <w:rPr>
          <w:bCs/>
          <w:lang w:val="en-GB"/>
        </w:rPr>
        <w:t xml:space="preserve"> added a plea that the Plenary not reduce what he said was already a minimal number of experts proposed for each chapter of the three assessments as a means</w:t>
      </w:r>
      <w:r w:rsidR="00546E18">
        <w:rPr>
          <w:bCs/>
          <w:lang w:val="en-GB"/>
        </w:rPr>
        <w:t xml:space="preserve"> of reducing their cost.</w:t>
      </w:r>
    </w:p>
    <w:p w14:paraId="6D69BFAD" w14:textId="77777777"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In the ensuing discussion, statements were made by the representatives of Antigua and Barbuda, Bosnia and Herzegovina, on behalf of Eastern European States, Brazil, Cameroon, on behalf of African States, China, Colombia, Denmark, France, Guatemala, Japan, Germany, Malaysia, Mexico, Morocco, New Zealand, Norway, Pakistan, Peru, South Africa, Sudan, Sweden and the United States of America.</w:t>
      </w:r>
    </w:p>
    <w:p w14:paraId="0CEB4125" w14:textId="1A1E2381"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Representatives expressed a range of views regarding when the three assessments should be launched. Several representatives said that</w:t>
      </w:r>
      <w:r w:rsidR="009C4B81">
        <w:rPr>
          <w:bCs/>
          <w:lang w:val="en-GB"/>
        </w:rPr>
        <w:t xml:space="preserve"> </w:t>
      </w:r>
      <w:r w:rsidR="009C4B81" w:rsidRPr="00EA49D0">
        <w:rPr>
          <w:bCs/>
          <w:lang w:val="en-GB"/>
        </w:rPr>
        <w:t>the assessments should be dela</w:t>
      </w:r>
      <w:r w:rsidR="009C4B81" w:rsidRPr="00E54AEB">
        <w:rPr>
          <w:bCs/>
          <w:lang w:val="en-GB"/>
        </w:rPr>
        <w:t>yed</w:t>
      </w:r>
      <w:r w:rsidRPr="00E54AEB">
        <w:rPr>
          <w:bCs/>
          <w:lang w:val="en-GB"/>
        </w:rPr>
        <w:t xml:space="preserve"> </w:t>
      </w:r>
      <w:r w:rsidRPr="007831BB">
        <w:rPr>
          <w:bCs/>
          <w:lang w:val="en-GB"/>
        </w:rPr>
        <w:t>until adequate funding and human resources were available. Several others said that one or more should commence despite current resource limitations, on the assumption that resources would be found during the course of the current work programme.</w:t>
      </w:r>
    </w:p>
    <w:p w14:paraId="382ECE22" w14:textId="77777777"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Those arguing for delay cited capacity constraints on the part of experts, secretariat staff members and members of the Multidisciplinary Expert Panel. Several representatives said that waiting for the outcomes of the </w:t>
      </w:r>
      <w:proofErr w:type="spellStart"/>
      <w:r w:rsidRPr="007831BB">
        <w:rPr>
          <w:bCs/>
          <w:lang w:val="en-GB"/>
        </w:rPr>
        <w:t>ongoing</w:t>
      </w:r>
      <w:proofErr w:type="spellEnd"/>
      <w:r w:rsidRPr="007831BB">
        <w:rPr>
          <w:bCs/>
          <w:lang w:val="en-GB"/>
        </w:rPr>
        <w:t xml:space="preserve"> regional and land degradation and restoration assessments would also benefit the pending assessments through the information that they would provide. One representative said that the preliminary guide regarding diverse conceptualization of multiple values of nature and its benefits, including biodiversity and ecosystem functions and services (IPBES/4/INF/13), offered some of the guidance that would be provided by the proposed full methodological assessment regarding the diverse conceptualization of multiple values of nature and its benefits.</w:t>
      </w:r>
    </w:p>
    <w:p w14:paraId="76A6AFD6" w14:textId="77777777"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Several representatives pointed out that the pending assessments were not new deliverables because their implementation had been agreed upon with the adoption of the first work programme. One representative said that if they were delayed until the second work programme there would be implications for new deliverables.</w:t>
      </w:r>
    </w:p>
    <w:p w14:paraId="73B49B80" w14:textId="1A856893"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 xml:space="preserve">Several representatives said that ways of making the delivery of the pending assessments more efficient should also be sought, including the engagement of Governments and other partners to </w:t>
      </w:r>
      <w:r w:rsidRPr="007831BB">
        <w:rPr>
          <w:bCs/>
          <w:lang w:val="en-GB"/>
        </w:rPr>
        <w:br/>
        <w:t xml:space="preserve">co-host meetings, as was being planned with FAO for the hosting of the third author meeting for the land degradation and restoration assessment. One representative said that her Government would </w:t>
      </w:r>
      <w:r w:rsidR="00546E18">
        <w:rPr>
          <w:bCs/>
          <w:lang w:val="en-GB"/>
        </w:rPr>
        <w:t>stand ready to nominate</w:t>
      </w:r>
      <w:r w:rsidR="00546E18" w:rsidRPr="007831BB">
        <w:rPr>
          <w:bCs/>
          <w:lang w:val="en-GB"/>
        </w:rPr>
        <w:t xml:space="preserve"> </w:t>
      </w:r>
      <w:r w:rsidRPr="007831BB">
        <w:rPr>
          <w:bCs/>
          <w:lang w:val="en-GB"/>
        </w:rPr>
        <w:t xml:space="preserve">experts to undertake the assessments. Another representative suggested </w:t>
      </w:r>
      <w:r w:rsidR="00821EAD" w:rsidRPr="007831BB">
        <w:rPr>
          <w:bCs/>
          <w:lang w:val="en-GB"/>
        </w:rPr>
        <w:t xml:space="preserve">that </w:t>
      </w:r>
      <w:r w:rsidRPr="007831BB">
        <w:rPr>
          <w:bCs/>
          <w:lang w:val="en-GB"/>
        </w:rPr>
        <w:t xml:space="preserve">experts that completed their work on </w:t>
      </w:r>
      <w:proofErr w:type="spellStart"/>
      <w:r w:rsidRPr="007831BB">
        <w:rPr>
          <w:bCs/>
          <w:lang w:val="en-GB"/>
        </w:rPr>
        <w:t>ongoing</w:t>
      </w:r>
      <w:proofErr w:type="spellEnd"/>
      <w:r w:rsidRPr="007831BB">
        <w:rPr>
          <w:bCs/>
          <w:lang w:val="en-GB"/>
        </w:rPr>
        <w:t xml:space="preserve"> assessments by the end of 2017 might become available to work on the pending assessments.</w:t>
      </w:r>
    </w:p>
    <w:p w14:paraId="72BE79F4" w14:textId="5F7E0320"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Several representatives said that the methodological assessment regarding the diverse conceptualization of multiple values of nature and its benefits should be the first of the three assessments to start, with two arguing that that assessment would provide a foundational tool that should be made available to policymakers as soon as possible and one saying that it would inform the global assessment and suggesting that it be two years</w:t>
      </w:r>
      <w:r w:rsidR="00B73C86">
        <w:rPr>
          <w:bCs/>
          <w:lang w:val="en-GB"/>
        </w:rPr>
        <w:t xml:space="preserve"> in duration</w:t>
      </w:r>
      <w:r w:rsidRPr="007831BB">
        <w:rPr>
          <w:bCs/>
          <w:lang w:val="en-GB"/>
        </w:rPr>
        <w:t xml:space="preserve"> to facilitate that outcome. </w:t>
      </w:r>
      <w:r w:rsidR="005D236C" w:rsidRPr="00160BD4">
        <w:rPr>
          <w:bCs/>
          <w:lang w:val="en-GB"/>
        </w:rPr>
        <w:t>S</w:t>
      </w:r>
      <w:r w:rsidRPr="00160BD4">
        <w:rPr>
          <w:bCs/>
          <w:lang w:val="en-GB"/>
        </w:rPr>
        <w:t>everal other</w:t>
      </w:r>
      <w:r w:rsidRPr="007831BB">
        <w:rPr>
          <w:bCs/>
          <w:lang w:val="en-GB"/>
        </w:rPr>
        <w:t xml:space="preserve"> representatives</w:t>
      </w:r>
      <w:r w:rsidR="005D236C">
        <w:rPr>
          <w:bCs/>
          <w:lang w:val="en-GB"/>
        </w:rPr>
        <w:t>, however,</w:t>
      </w:r>
      <w:r w:rsidRPr="007831BB">
        <w:rPr>
          <w:bCs/>
          <w:lang w:val="en-GB"/>
        </w:rPr>
        <w:t xml:space="preserve"> said that the thematic assessment on the sustainable use of wild species should be conducted first.</w:t>
      </w:r>
    </w:p>
    <w:p w14:paraId="10597A9B" w14:textId="32887BF8" w:rsidR="00832B9C" w:rsidRPr="007831BB" w:rsidRDefault="00FE4178"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Pr>
          <w:bCs/>
          <w:lang w:val="en-GB"/>
        </w:rPr>
        <w:t xml:space="preserve">The representative of France conveyed </w:t>
      </w:r>
      <w:r w:rsidR="00024164">
        <w:rPr>
          <w:bCs/>
          <w:lang w:val="en-GB"/>
        </w:rPr>
        <w:t>an</w:t>
      </w:r>
      <w:r>
        <w:rPr>
          <w:bCs/>
          <w:lang w:val="en-GB"/>
        </w:rPr>
        <w:t xml:space="preserve"> offer </w:t>
      </w:r>
      <w:r w:rsidR="00024164">
        <w:rPr>
          <w:bCs/>
          <w:lang w:val="en-GB"/>
        </w:rPr>
        <w:t>by</w:t>
      </w:r>
      <w:r>
        <w:rPr>
          <w:bCs/>
          <w:lang w:val="en-GB"/>
        </w:rPr>
        <w:t xml:space="preserve"> her </w:t>
      </w:r>
      <w:r w:rsidR="003B130E">
        <w:rPr>
          <w:bCs/>
          <w:lang w:val="en-GB"/>
        </w:rPr>
        <w:t>G</w:t>
      </w:r>
      <w:r>
        <w:rPr>
          <w:bCs/>
          <w:lang w:val="en-GB"/>
        </w:rPr>
        <w:t>overnment to host</w:t>
      </w:r>
      <w:r w:rsidR="00832B9C" w:rsidRPr="007831BB">
        <w:rPr>
          <w:bCs/>
          <w:lang w:val="en-GB"/>
        </w:rPr>
        <w:t xml:space="preserve"> a technical support unit for the thematic assessment on the sustainable use of wild species once that assessment was launched.</w:t>
      </w:r>
    </w:p>
    <w:p w14:paraId="53C1549D" w14:textId="0F6AB2CB" w:rsidR="00832B9C" w:rsidRPr="007831BB"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7831BB">
        <w:rPr>
          <w:bCs/>
          <w:lang w:val="en-GB"/>
        </w:rPr>
        <w:t>One representative proposed foregoing the proposed discussion to consider</w:t>
      </w:r>
      <w:r w:rsidR="00F409F5">
        <w:rPr>
          <w:bCs/>
          <w:lang w:val="en-GB"/>
        </w:rPr>
        <w:t>, with a view to</w:t>
      </w:r>
      <w:r w:rsidRPr="007831BB">
        <w:rPr>
          <w:bCs/>
          <w:lang w:val="en-GB"/>
        </w:rPr>
        <w:t xml:space="preserve"> approving</w:t>
      </w:r>
      <w:r w:rsidR="00F409F5">
        <w:rPr>
          <w:bCs/>
          <w:lang w:val="en-GB"/>
        </w:rPr>
        <w:t>,</w:t>
      </w:r>
      <w:r w:rsidRPr="007831BB">
        <w:rPr>
          <w:bCs/>
          <w:lang w:val="en-GB"/>
        </w:rPr>
        <w:t xml:space="preserve"> the revised scoping report for a thematic assessment on the sustainable use of wild species, stating that the revised scoping report could become dated and therefore no longer relevant if the thematic assessment itself were not to commence during the current work programme. Several others, however, opposed that suggestion. One representative said that the scope of the revised scoping report for the thematic assessment on the sustainable use of wild species needed to be narrowed down, an exercise that might need to continue after the current session and take into account regional assessment outcomes. One representative said that there was a knowledge gap regarding domesticated species, which could be addressed partly through the expertise and knowledge of indigenous peoples and local communities.</w:t>
      </w:r>
    </w:p>
    <w:p w14:paraId="15A4A7BE" w14:textId="0E2A810B" w:rsidR="00832B9C" w:rsidRPr="00440196"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bCs/>
          <w:lang w:val="en-GB"/>
        </w:rPr>
        <w:t xml:space="preserve">Following its discussion, the Plenary decided that the contact group established as described in </w:t>
      </w:r>
      <w:r w:rsidRPr="007003A8">
        <w:rPr>
          <w:bCs/>
          <w:lang w:val="en-GB"/>
        </w:rPr>
        <w:t xml:space="preserve">paragraph </w:t>
      </w:r>
      <w:r w:rsidR="00741B57" w:rsidRPr="00160BD4">
        <w:rPr>
          <w:bCs/>
          <w:lang w:val="en-GB"/>
        </w:rPr>
        <w:t>50</w:t>
      </w:r>
      <w:r w:rsidR="00741B57" w:rsidRPr="007003A8">
        <w:rPr>
          <w:bCs/>
          <w:lang w:val="en-GB"/>
        </w:rPr>
        <w:t xml:space="preserve"> </w:t>
      </w:r>
      <w:r w:rsidRPr="007003A8">
        <w:rPr>
          <w:bCs/>
          <w:lang w:val="en-GB"/>
        </w:rPr>
        <w:t>above should further</w:t>
      </w:r>
      <w:r w:rsidRPr="00440196">
        <w:rPr>
          <w:bCs/>
          <w:lang w:val="en-GB"/>
        </w:rPr>
        <w:t xml:space="preserve"> discuss the question of whether and when to commence the pend</w:t>
      </w:r>
      <w:r w:rsidRPr="001B4189">
        <w:rPr>
          <w:bCs/>
          <w:lang w:val="en-GB"/>
        </w:rPr>
        <w:t>ing assessments.</w:t>
      </w:r>
    </w:p>
    <w:p w14:paraId="086832FB" w14:textId="08A402F0" w:rsidR="00B47AE3" w:rsidRPr="00440196" w:rsidRDefault="00B47AE3" w:rsidP="00004615">
      <w:pPr>
        <w:pStyle w:val="CH2"/>
        <w:rPr>
          <w:lang w:val="en-GB"/>
        </w:rPr>
      </w:pPr>
      <w:r w:rsidRPr="001B4189">
        <w:rPr>
          <w:lang w:val="en-GB"/>
        </w:rPr>
        <w:tab/>
        <w:t>G.</w:t>
      </w:r>
      <w:r w:rsidRPr="001B4189">
        <w:rPr>
          <w:lang w:val="en-GB"/>
        </w:rPr>
        <w:tab/>
      </w:r>
      <w:r w:rsidR="00B95EEF" w:rsidRPr="00440196">
        <w:rPr>
          <w:lang w:val="en-GB"/>
        </w:rPr>
        <w:t>Policy support tools and methodologies</w:t>
      </w:r>
    </w:p>
    <w:p w14:paraId="0B975BD5" w14:textId="19C03ACC" w:rsidR="00A34BB9" w:rsidRPr="00440196" w:rsidRDefault="00A34BB9" w:rsidP="00004615">
      <w:pPr>
        <w:pStyle w:val="Normalnumber"/>
        <w:keepNext/>
        <w:keepLines/>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Introducing the sub-item, the representative of the secretariat recalled that one of the four </w:t>
      </w:r>
      <w:r w:rsidRPr="00440196">
        <w:rPr>
          <w:lang w:val="en-GB"/>
        </w:rPr>
        <w:t xml:space="preserve">functions of </w:t>
      </w:r>
      <w:r w:rsidR="009B62A8">
        <w:rPr>
          <w:lang w:val="en-GB"/>
        </w:rPr>
        <w:t>IPBES</w:t>
      </w:r>
      <w:r w:rsidRPr="00440196">
        <w:rPr>
          <w:lang w:val="en-GB"/>
        </w:rPr>
        <w:t xml:space="preserve"> </w:t>
      </w:r>
      <w:r w:rsidR="007A7227" w:rsidRPr="00440196">
        <w:rPr>
          <w:lang w:val="en-GB"/>
        </w:rPr>
        <w:t xml:space="preserve">was to </w:t>
      </w:r>
      <w:r w:rsidRPr="00440196">
        <w:rPr>
          <w:lang w:val="en-GB"/>
        </w:rPr>
        <w:t>support policy formulation and imple</w:t>
      </w:r>
      <w:r w:rsidR="007A7227" w:rsidRPr="00440196">
        <w:rPr>
          <w:lang w:val="en-GB"/>
        </w:rPr>
        <w:t>mentation by identifying policy</w:t>
      </w:r>
      <w:r w:rsidR="007A7227" w:rsidRPr="00440196">
        <w:rPr>
          <w:lang w:val="en-GB"/>
        </w:rPr>
        <w:noBreakHyphen/>
      </w:r>
      <w:r w:rsidRPr="00440196">
        <w:rPr>
          <w:lang w:val="en-GB"/>
        </w:rPr>
        <w:t>relevant tools and methodologies</w:t>
      </w:r>
      <w:r w:rsidR="007A7227" w:rsidRPr="00440196">
        <w:rPr>
          <w:lang w:val="en-GB"/>
        </w:rPr>
        <w:t>. I</w:t>
      </w:r>
      <w:r w:rsidRPr="00440196">
        <w:rPr>
          <w:lang w:val="en-GB"/>
        </w:rPr>
        <w:t xml:space="preserve">n </w:t>
      </w:r>
      <w:r w:rsidRPr="00440196">
        <w:rPr>
          <w:bCs/>
          <w:lang w:val="en-GB"/>
        </w:rPr>
        <w:t>decision</w:t>
      </w:r>
      <w:r w:rsidRPr="00440196">
        <w:rPr>
          <w:lang w:val="en-GB"/>
        </w:rPr>
        <w:t xml:space="preserve"> IPBES</w:t>
      </w:r>
      <w:r w:rsidRPr="00440196">
        <w:rPr>
          <w:lang w:val="en-GB"/>
        </w:rPr>
        <w:noBreakHyphen/>
        <w:t>4/1</w:t>
      </w:r>
      <w:r w:rsidR="009B62A8">
        <w:rPr>
          <w:lang w:val="en-GB"/>
        </w:rPr>
        <w:t>, section VI,</w:t>
      </w:r>
      <w:r w:rsidRPr="00440196">
        <w:rPr>
          <w:lang w:val="en-GB"/>
        </w:rPr>
        <w:t xml:space="preserve"> the Plenary had </w:t>
      </w:r>
      <w:r w:rsidRPr="00440196">
        <w:rPr>
          <w:iCs/>
          <w:lang w:val="en-GB"/>
        </w:rPr>
        <w:t xml:space="preserve">requested </w:t>
      </w:r>
      <w:r w:rsidR="009B62A8" w:rsidRPr="00440196">
        <w:rPr>
          <w:lang w:val="en-GB"/>
        </w:rPr>
        <w:t>that the Multidisciplinary Expert Panel, supported by the expert group on policy support tools and methodologies, continue the development of the online catalogue</w:t>
      </w:r>
      <w:r w:rsidR="009B62A8">
        <w:rPr>
          <w:lang w:val="en-GB"/>
        </w:rPr>
        <w:t xml:space="preserve"> and</w:t>
      </w:r>
      <w:r w:rsidR="009B62A8" w:rsidRPr="00440196">
        <w:rPr>
          <w:iCs/>
          <w:lang w:val="en-GB"/>
        </w:rPr>
        <w:t xml:space="preserve"> </w:t>
      </w:r>
      <w:r w:rsidR="007A7227" w:rsidRPr="00440196">
        <w:rPr>
          <w:iCs/>
          <w:lang w:val="en-GB"/>
        </w:rPr>
        <w:t xml:space="preserve">that </w:t>
      </w:r>
      <w:r w:rsidR="007A7227" w:rsidRPr="00440196">
        <w:rPr>
          <w:lang w:val="en-GB"/>
        </w:rPr>
        <w:t>experts, Governments and stakeholders submit relevant policy support tools and methodologies for inclusion in the catalogue of policy support tools and methodologies</w:t>
      </w:r>
      <w:r w:rsidRPr="00440196">
        <w:rPr>
          <w:lang w:val="en-GB"/>
        </w:rPr>
        <w:t xml:space="preserve">. He then reported on progress in the implementation of the decision, outlining the information in documents </w:t>
      </w:r>
      <w:r w:rsidRPr="00440196">
        <w:rPr>
          <w:bCs/>
          <w:lang w:val="en-GB"/>
        </w:rPr>
        <w:t>IPBES/5/8 and</w:t>
      </w:r>
      <w:r w:rsidRPr="00440196">
        <w:rPr>
          <w:lang w:val="en-GB"/>
        </w:rPr>
        <w:t xml:space="preserve"> </w:t>
      </w:r>
      <w:r w:rsidRPr="00440196">
        <w:rPr>
          <w:bCs/>
          <w:lang w:val="en-GB"/>
        </w:rPr>
        <w:t>IPBES/5/INF/14</w:t>
      </w:r>
      <w:r w:rsidR="007A7227" w:rsidRPr="00440196">
        <w:rPr>
          <w:bCs/>
          <w:lang w:val="en-GB"/>
        </w:rPr>
        <w:t xml:space="preserve"> and presenting </w:t>
      </w:r>
      <w:r w:rsidR="009B62A8">
        <w:rPr>
          <w:bCs/>
          <w:lang w:val="en-GB"/>
        </w:rPr>
        <w:t>the prototype</w:t>
      </w:r>
      <w:r w:rsidRPr="00440196">
        <w:rPr>
          <w:bCs/>
          <w:lang w:val="en-GB"/>
        </w:rPr>
        <w:t xml:space="preserve"> of the</w:t>
      </w:r>
      <w:r w:rsidR="009B62A8">
        <w:rPr>
          <w:bCs/>
          <w:lang w:val="en-GB"/>
        </w:rPr>
        <w:t xml:space="preserve"> online</w:t>
      </w:r>
      <w:r w:rsidRPr="00440196">
        <w:rPr>
          <w:bCs/>
          <w:lang w:val="en-GB"/>
        </w:rPr>
        <w:t xml:space="preserve"> </w:t>
      </w:r>
      <w:r w:rsidR="007A7227" w:rsidRPr="00440196">
        <w:rPr>
          <w:bCs/>
          <w:lang w:val="en-GB"/>
        </w:rPr>
        <w:t>c</w:t>
      </w:r>
      <w:r w:rsidRPr="00440196">
        <w:rPr>
          <w:bCs/>
          <w:lang w:val="en-GB"/>
        </w:rPr>
        <w:t>atalogue</w:t>
      </w:r>
      <w:r w:rsidR="007A7227" w:rsidRPr="00440196">
        <w:rPr>
          <w:bCs/>
          <w:lang w:val="en-GB"/>
        </w:rPr>
        <w:t>. T</w:t>
      </w:r>
      <w:r w:rsidRPr="00440196">
        <w:rPr>
          <w:bCs/>
          <w:lang w:val="en-GB"/>
        </w:rPr>
        <w:t>he Plenary</w:t>
      </w:r>
      <w:r w:rsidR="007A7227" w:rsidRPr="00440196">
        <w:rPr>
          <w:bCs/>
          <w:lang w:val="en-GB"/>
        </w:rPr>
        <w:t>, he said, might wish</w:t>
      </w:r>
      <w:r w:rsidRPr="00440196">
        <w:rPr>
          <w:bCs/>
          <w:lang w:val="en-GB"/>
        </w:rPr>
        <w:t xml:space="preserve"> to review the catalogue</w:t>
      </w:r>
      <w:r w:rsidR="007A7227" w:rsidRPr="00440196">
        <w:rPr>
          <w:bCs/>
          <w:lang w:val="en-GB"/>
        </w:rPr>
        <w:t>,</w:t>
      </w:r>
      <w:r w:rsidRPr="00440196">
        <w:rPr>
          <w:bCs/>
          <w:lang w:val="en-GB"/>
        </w:rPr>
        <w:t xml:space="preserve"> provide comments</w:t>
      </w:r>
      <w:r w:rsidR="007A7227" w:rsidRPr="00440196">
        <w:rPr>
          <w:bCs/>
          <w:lang w:val="en-GB"/>
        </w:rPr>
        <w:t xml:space="preserve"> and </w:t>
      </w:r>
      <w:r w:rsidRPr="00440196">
        <w:rPr>
          <w:bCs/>
          <w:lang w:val="en-GB"/>
        </w:rPr>
        <w:t>consider the proposals for further developing the catalogue</w:t>
      </w:r>
      <w:r w:rsidR="005F46A1">
        <w:rPr>
          <w:bCs/>
          <w:lang w:val="en-GB"/>
        </w:rPr>
        <w:t>,</w:t>
      </w:r>
      <w:r w:rsidR="009B62A8">
        <w:rPr>
          <w:bCs/>
          <w:lang w:val="en-GB"/>
        </w:rPr>
        <w:t xml:space="preserve"> as well as</w:t>
      </w:r>
      <w:r w:rsidRPr="00440196">
        <w:rPr>
          <w:bCs/>
          <w:lang w:val="en-GB"/>
        </w:rPr>
        <w:t xml:space="preserve"> the methodological guidance for assessments</w:t>
      </w:r>
      <w:r w:rsidR="005F46A1">
        <w:rPr>
          <w:bCs/>
          <w:lang w:val="en-GB"/>
        </w:rPr>
        <w:t>,</w:t>
      </w:r>
      <w:r w:rsidRPr="00440196">
        <w:rPr>
          <w:bCs/>
          <w:lang w:val="en-GB"/>
        </w:rPr>
        <w:t xml:space="preserve"> and </w:t>
      </w:r>
      <w:r w:rsidR="00B8533E" w:rsidRPr="00440196">
        <w:rPr>
          <w:bCs/>
          <w:lang w:val="en-GB"/>
        </w:rPr>
        <w:t xml:space="preserve">to review </w:t>
      </w:r>
      <w:r w:rsidRPr="00440196">
        <w:rPr>
          <w:bCs/>
          <w:lang w:val="en-GB"/>
        </w:rPr>
        <w:t>the role of the expert group.</w:t>
      </w:r>
    </w:p>
    <w:p w14:paraId="48AAC263" w14:textId="221A1D74" w:rsidR="00A34BB9" w:rsidRPr="00440196" w:rsidRDefault="00A34BB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The Chair thanked the expert group and its </w:t>
      </w:r>
      <w:r w:rsidR="00B8533E" w:rsidRPr="00440196">
        <w:rPr>
          <w:bCs/>
          <w:lang w:val="en-GB"/>
        </w:rPr>
        <w:t>co-</w:t>
      </w:r>
      <w:r w:rsidRPr="00440196">
        <w:rPr>
          <w:bCs/>
          <w:lang w:val="en-GB"/>
        </w:rPr>
        <w:t xml:space="preserve">chairs and </w:t>
      </w:r>
      <w:r w:rsidR="00261822" w:rsidRPr="00440196">
        <w:rPr>
          <w:bCs/>
          <w:lang w:val="en-GB"/>
        </w:rPr>
        <w:t xml:space="preserve">the </w:t>
      </w:r>
      <w:r w:rsidRPr="00440196">
        <w:rPr>
          <w:bCs/>
          <w:lang w:val="en-GB"/>
        </w:rPr>
        <w:t>relevant members of the Multidisciplinary Expert Panel for their work.</w:t>
      </w:r>
    </w:p>
    <w:p w14:paraId="28E245AA" w14:textId="20751CAF" w:rsidR="00A34BB9" w:rsidRPr="007003A8" w:rsidRDefault="00A34BB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003A8">
        <w:rPr>
          <w:bCs/>
          <w:lang w:val="en-GB"/>
        </w:rPr>
        <w:t xml:space="preserve">The Plenary decided that the contact group established as described in paragraph </w:t>
      </w:r>
      <w:r w:rsidR="00211705" w:rsidRPr="00160BD4">
        <w:rPr>
          <w:bCs/>
          <w:lang w:val="en-GB"/>
        </w:rPr>
        <w:t>50</w:t>
      </w:r>
      <w:r w:rsidR="00211705" w:rsidRPr="007831BB">
        <w:rPr>
          <w:bCs/>
          <w:lang w:val="en-GB"/>
        </w:rPr>
        <w:t xml:space="preserve"> </w:t>
      </w:r>
      <w:r w:rsidRPr="007831BB">
        <w:rPr>
          <w:bCs/>
          <w:lang w:val="en-GB"/>
        </w:rPr>
        <w:t>above should consider the matter further.</w:t>
      </w:r>
    </w:p>
    <w:p w14:paraId="6BBD178D" w14:textId="2FEC18CD" w:rsidR="00B47AE3" w:rsidRPr="00440196" w:rsidRDefault="00B47AE3" w:rsidP="00EC5261">
      <w:pPr>
        <w:pStyle w:val="CH2"/>
        <w:rPr>
          <w:lang w:val="en-GB"/>
        </w:rPr>
      </w:pPr>
      <w:r w:rsidRPr="001B4189">
        <w:rPr>
          <w:lang w:val="en-GB"/>
        </w:rPr>
        <w:tab/>
        <w:t>H.</w:t>
      </w:r>
      <w:r w:rsidRPr="001B4189">
        <w:rPr>
          <w:lang w:val="en-GB"/>
        </w:rPr>
        <w:tab/>
      </w:r>
      <w:r w:rsidR="00B95EEF" w:rsidRPr="00440196">
        <w:rPr>
          <w:lang w:val="en-GB"/>
        </w:rPr>
        <w:t>Communication, stakeholder engagement and strategic partnerships</w:t>
      </w:r>
    </w:p>
    <w:p w14:paraId="26AFEA9E" w14:textId="0E0DF5D2" w:rsidR="005D025D" w:rsidRPr="007831BB"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E960B1">
        <w:rPr>
          <w:lang w:val="en-GB"/>
        </w:rPr>
        <w:t>I</w:t>
      </w:r>
      <w:r w:rsidR="00B86F57" w:rsidRPr="00E960B1">
        <w:rPr>
          <w:lang w:val="en-GB"/>
        </w:rPr>
        <w:t>n i</w:t>
      </w:r>
      <w:r w:rsidRPr="007831BB">
        <w:rPr>
          <w:lang w:val="en-GB"/>
        </w:rPr>
        <w:t xml:space="preserve">ntroducing the </w:t>
      </w:r>
      <w:r w:rsidR="00D56282">
        <w:rPr>
          <w:lang w:val="en-GB"/>
        </w:rPr>
        <w:t>sub-</w:t>
      </w:r>
      <w:r w:rsidRPr="007831BB">
        <w:rPr>
          <w:lang w:val="en-GB"/>
        </w:rPr>
        <w:t>item, the Executive Secretary reported on an update on strategic partnerships as requested in decision IPBES</w:t>
      </w:r>
      <w:r w:rsidR="009B62A8">
        <w:rPr>
          <w:lang w:val="en-GB"/>
        </w:rPr>
        <w:t>-</w:t>
      </w:r>
      <w:r w:rsidRPr="007831BB">
        <w:rPr>
          <w:lang w:val="en-GB"/>
        </w:rPr>
        <w:t>4/4, outlining</w:t>
      </w:r>
      <w:r w:rsidR="009B62A8">
        <w:rPr>
          <w:lang w:val="en-GB"/>
        </w:rPr>
        <w:t xml:space="preserve"> relevant</w:t>
      </w:r>
      <w:r w:rsidRPr="007831BB">
        <w:rPr>
          <w:lang w:val="en-GB"/>
        </w:rPr>
        <w:t xml:space="preserve"> information in the note by the secretariat (IPBES/5/9). A representative of the secretariat then reported on progress on communication activities, outlining the information in documents IPBES/5/9, IPBES/5/INF/15 and IPBES/5/INF/16.</w:t>
      </w:r>
    </w:p>
    <w:p w14:paraId="45C8802C" w14:textId="77777777" w:rsidR="005D025D" w:rsidRPr="007831BB"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In the ensuing discussion statements were made by the representatives of Belarus, Belgium, Brazil, Costa Rica, France, Germany, Indonesia, Japan, Sweden and the United States of America; the Convention on Migratory Species of Wild Animals and IUCN.</w:t>
      </w:r>
    </w:p>
    <w:p w14:paraId="37E9EA7B" w14:textId="11D638EC" w:rsidR="005D025D" w:rsidRPr="007831BB"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Several representatives said that the existing memorandums of cooperation with strategic partners were of considerable importance. One representative queried whether memorandums of cooperation with the secretariats of the United Nations Convention to Combat Desertification in those Countries Experiencing Serious Drought and/or Desertification, Particularly in Africa and the United Nations Framework Convention on Climate Change should be concluded, and two representatives requested that </w:t>
      </w:r>
      <w:r w:rsidR="009B62A8">
        <w:rPr>
          <w:lang w:val="en-GB"/>
        </w:rPr>
        <w:t>IPBES</w:t>
      </w:r>
      <w:r w:rsidRPr="007831BB">
        <w:rPr>
          <w:lang w:val="en-GB"/>
        </w:rPr>
        <w:t xml:space="preserve"> </w:t>
      </w:r>
      <w:r w:rsidR="00BB416B">
        <w:rPr>
          <w:lang w:val="en-GB"/>
        </w:rPr>
        <w:t>establish a strategic partnership</w:t>
      </w:r>
      <w:r w:rsidRPr="007831BB">
        <w:rPr>
          <w:lang w:val="en-GB"/>
        </w:rPr>
        <w:t xml:space="preserve"> with IPCC. The Executive Secretary confirmed that a close working relationship </w:t>
      </w:r>
      <w:r w:rsidR="00EE1E9B">
        <w:rPr>
          <w:lang w:val="en-GB"/>
        </w:rPr>
        <w:t xml:space="preserve">with IPCC </w:t>
      </w:r>
      <w:r w:rsidRPr="007831BB">
        <w:rPr>
          <w:lang w:val="en-GB"/>
        </w:rPr>
        <w:t xml:space="preserve">already existed and said that it was possible to formalize it. </w:t>
      </w:r>
    </w:p>
    <w:p w14:paraId="23D54A00" w14:textId="34499F29" w:rsidR="005D025D" w:rsidRPr="007831BB"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There was also some discussion of the </w:t>
      </w:r>
      <w:r w:rsidR="009B62A8">
        <w:rPr>
          <w:lang w:val="en-GB"/>
        </w:rPr>
        <w:t>IPBES</w:t>
      </w:r>
      <w:r w:rsidR="009B62A8" w:rsidRPr="007831BB">
        <w:rPr>
          <w:lang w:val="en-GB"/>
        </w:rPr>
        <w:t xml:space="preserve"> </w:t>
      </w:r>
      <w:r w:rsidRPr="007831BB">
        <w:rPr>
          <w:lang w:val="en-GB"/>
        </w:rPr>
        <w:t xml:space="preserve">logo and acronym usage, with several representatives saying that the guidelines on their use were too restrictive. A representative of the </w:t>
      </w:r>
      <w:r w:rsidR="009B62A8">
        <w:rPr>
          <w:lang w:val="en-GB"/>
        </w:rPr>
        <w:t>s</w:t>
      </w:r>
      <w:r w:rsidR="009B62A8" w:rsidRPr="007831BB">
        <w:rPr>
          <w:lang w:val="en-GB"/>
        </w:rPr>
        <w:t xml:space="preserve">ecretariat </w:t>
      </w:r>
      <w:r w:rsidRPr="007831BB">
        <w:rPr>
          <w:lang w:val="en-GB"/>
        </w:rPr>
        <w:t xml:space="preserve">said that the current guidelines for logo usage, which had been approved by the Plenary at its fourth session, </w:t>
      </w:r>
      <w:r w:rsidR="00E960B1">
        <w:rPr>
          <w:lang w:val="en-GB"/>
        </w:rPr>
        <w:t>and further specified by</w:t>
      </w:r>
      <w:r w:rsidRPr="007831BB">
        <w:rPr>
          <w:lang w:val="en-GB"/>
        </w:rPr>
        <w:t xml:space="preserve"> the Bureau</w:t>
      </w:r>
      <w:r w:rsidR="00EB3E81">
        <w:rPr>
          <w:lang w:val="en-GB"/>
        </w:rPr>
        <w:t>,</w:t>
      </w:r>
      <w:r w:rsidR="00EB3E81">
        <w:rPr>
          <w:bCs/>
          <w:lang w:val="en-GB"/>
        </w:rPr>
        <w:t xml:space="preserve"> allowed </w:t>
      </w:r>
      <w:r w:rsidR="00412740">
        <w:rPr>
          <w:bCs/>
          <w:lang w:val="en-GB"/>
        </w:rPr>
        <w:t>for the accommodation of</w:t>
      </w:r>
      <w:r w:rsidR="00EB3E81">
        <w:rPr>
          <w:bCs/>
          <w:lang w:val="en-GB"/>
        </w:rPr>
        <w:t xml:space="preserve"> some of the requests for its use</w:t>
      </w:r>
      <w:r w:rsidR="00412740">
        <w:rPr>
          <w:bCs/>
          <w:lang w:val="en-GB"/>
        </w:rPr>
        <w:t xml:space="preserve"> that had been received</w:t>
      </w:r>
      <w:r w:rsidRPr="007831BB">
        <w:rPr>
          <w:lang w:val="en-GB"/>
        </w:rPr>
        <w:t xml:space="preserve">. The Chair suggested that the Bureau </w:t>
      </w:r>
      <w:r w:rsidR="001566CE">
        <w:rPr>
          <w:lang w:val="en-GB"/>
        </w:rPr>
        <w:t xml:space="preserve">discuss the need </w:t>
      </w:r>
      <w:r w:rsidR="00211705">
        <w:rPr>
          <w:lang w:val="en-GB"/>
        </w:rPr>
        <w:t>to</w:t>
      </w:r>
      <w:r w:rsidRPr="007831BB">
        <w:rPr>
          <w:lang w:val="en-GB"/>
        </w:rPr>
        <w:t xml:space="preserve"> further modify the guidelines taking into account the discussion of the matter at the current </w:t>
      </w:r>
      <w:r w:rsidR="00211705">
        <w:rPr>
          <w:lang w:val="en-GB"/>
        </w:rPr>
        <w:t>session</w:t>
      </w:r>
      <w:r w:rsidRPr="007831BB">
        <w:rPr>
          <w:lang w:val="en-GB"/>
        </w:rPr>
        <w:t>.</w:t>
      </w:r>
    </w:p>
    <w:p w14:paraId="4884A942" w14:textId="3DF4D388" w:rsidR="005D025D" w:rsidRPr="007831BB"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Several representatives questioned the use of opinion editorial pieces and the role of the Executive Secretary and the Chair</w:t>
      </w:r>
      <w:r w:rsidR="00F0054B">
        <w:rPr>
          <w:lang w:val="en-GB"/>
        </w:rPr>
        <w:t xml:space="preserve"> </w:t>
      </w:r>
      <w:r w:rsidR="00F0054B" w:rsidRPr="00A43468">
        <w:rPr>
          <w:lang w:val="en-GB"/>
        </w:rPr>
        <w:t>in this context</w:t>
      </w:r>
      <w:r w:rsidRPr="007831BB">
        <w:rPr>
          <w:lang w:val="en-GB"/>
        </w:rPr>
        <w:t xml:space="preserve">. A representative of the secretariat clarified that the term opinion editorial piece was a journalistic term for a newspaper piece that appeared in a certain part of a newspaper. Such pieces could be utilized to highlight the importance of the work of </w:t>
      </w:r>
      <w:r w:rsidR="001566CE">
        <w:rPr>
          <w:lang w:val="en-GB"/>
        </w:rPr>
        <w:t>IPBES</w:t>
      </w:r>
      <w:r w:rsidRPr="007831BB">
        <w:rPr>
          <w:lang w:val="en-GB"/>
        </w:rPr>
        <w:t xml:space="preserve">, highlighting the substance of </w:t>
      </w:r>
      <w:proofErr w:type="spellStart"/>
      <w:r w:rsidRPr="007831BB">
        <w:rPr>
          <w:lang w:val="en-GB"/>
        </w:rPr>
        <w:t>ongoing</w:t>
      </w:r>
      <w:proofErr w:type="spellEnd"/>
      <w:r w:rsidRPr="007831BB">
        <w:rPr>
          <w:lang w:val="en-GB"/>
        </w:rPr>
        <w:t xml:space="preserve"> assessments.</w:t>
      </w:r>
    </w:p>
    <w:p w14:paraId="405FA96F" w14:textId="17430458" w:rsidR="00B47AE3" w:rsidRPr="00440196"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The Plenary took note of the information presented.</w:t>
      </w:r>
    </w:p>
    <w:p w14:paraId="7F339DC6" w14:textId="77777777" w:rsidR="00CB6031" w:rsidRPr="00440196" w:rsidRDefault="00CB6031" w:rsidP="00CB6031">
      <w:pPr>
        <w:pStyle w:val="CH2"/>
        <w:rPr>
          <w:lang w:val="en-GB"/>
        </w:rPr>
      </w:pPr>
      <w:r w:rsidRPr="007831BB">
        <w:rPr>
          <w:lang w:val="en-GB"/>
        </w:rPr>
        <w:tab/>
        <w:t>I.</w:t>
      </w:r>
      <w:r w:rsidRPr="007831BB">
        <w:rPr>
          <w:lang w:val="en-GB"/>
        </w:rPr>
        <w:tab/>
        <w:t>Outcome of the work of the contact groups on the work programme of the Platform</w:t>
      </w:r>
    </w:p>
    <w:p w14:paraId="7A38BC3F" w14:textId="076BAA5C" w:rsidR="00CB6031" w:rsidRPr="00440196" w:rsidRDefault="00CB6031"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color w:val="000000"/>
          <w:lang w:val="en-GB"/>
        </w:rPr>
        <w:t xml:space="preserve">Following the work of the contact groups on the work programme of </w:t>
      </w:r>
      <w:r w:rsidR="00F0054B" w:rsidRPr="00A43468">
        <w:rPr>
          <w:color w:val="000000"/>
          <w:lang w:val="en-GB"/>
        </w:rPr>
        <w:t>IPBES</w:t>
      </w:r>
      <w:r w:rsidRPr="007831BB">
        <w:rPr>
          <w:color w:val="000000"/>
          <w:lang w:val="en-GB"/>
        </w:rPr>
        <w:t xml:space="preserve"> their </w:t>
      </w:r>
      <w:r w:rsidRPr="00440196">
        <w:rPr>
          <w:color w:val="000000"/>
          <w:lang w:val="en-GB"/>
        </w:rPr>
        <w:br/>
      </w:r>
      <w:r w:rsidRPr="007831BB">
        <w:rPr>
          <w:color w:val="000000"/>
          <w:lang w:val="en-GB"/>
        </w:rPr>
        <w:t>co</w:t>
      </w:r>
      <w:r w:rsidRPr="00440196">
        <w:rPr>
          <w:color w:val="000000"/>
          <w:lang w:val="en-GB"/>
        </w:rPr>
        <w:noBreakHyphen/>
      </w:r>
      <w:r w:rsidRPr="007831BB">
        <w:rPr>
          <w:color w:val="000000"/>
          <w:lang w:val="en-GB"/>
        </w:rPr>
        <w:t>chairs reported on the groups’ deliberations,</w:t>
      </w:r>
      <w:r w:rsidRPr="00440196">
        <w:rPr>
          <w:lang w:val="en-GB"/>
        </w:rPr>
        <w:t xml:space="preserve"> saying that they had reached agreement on most issues and had produced draft decision text and revised versions of the texts pertaining to the matters that they had been asked to discuss for consideration by the Plenary. On areas where agreement could not</w:t>
      </w:r>
      <w:r w:rsidRPr="001B4189">
        <w:rPr>
          <w:lang w:val="en-GB"/>
        </w:rPr>
        <w:t xml:space="preserve"> be reached text was enclosed in square brackets to indicate a lack of agreement</w:t>
      </w:r>
      <w:r w:rsidRPr="007831BB">
        <w:rPr>
          <w:color w:val="000000"/>
          <w:lang w:val="en-GB"/>
        </w:rPr>
        <w:t xml:space="preserve">. The draft decision text and revised documents, the latter of which, once adopted, would form the annexes to the decision on the work programme, was set out in documents IPBES/5/1/Add.2, </w:t>
      </w:r>
      <w:r w:rsidR="00973307" w:rsidRPr="00440196">
        <w:rPr>
          <w:color w:val="000000"/>
          <w:lang w:val="en-GB"/>
        </w:rPr>
        <w:t>draft decision</w:t>
      </w:r>
      <w:r w:rsidRPr="007831BB">
        <w:rPr>
          <w:color w:val="000000"/>
          <w:lang w:val="en-GB"/>
        </w:rPr>
        <w:t xml:space="preserve"> I, section</w:t>
      </w:r>
      <w:r w:rsidR="001566CE">
        <w:rPr>
          <w:color w:val="000000"/>
          <w:lang w:val="en-GB"/>
        </w:rPr>
        <w:t>s I and</w:t>
      </w:r>
      <w:r w:rsidRPr="007831BB">
        <w:rPr>
          <w:color w:val="000000"/>
          <w:lang w:val="en-GB"/>
        </w:rPr>
        <w:t xml:space="preserve"> VIII; IPBES/5/L.2; IPBES/5/L.4; IPBES/5/L.6; IPBES/5/L.7; IPBES/5/L.11; and IPBES/5/L.12.</w:t>
      </w:r>
    </w:p>
    <w:p w14:paraId="5004F81F" w14:textId="4FA1037A" w:rsidR="00B47AE3" w:rsidRPr="00440196" w:rsidRDefault="00B47AE3" w:rsidP="00B47AE3">
      <w:pPr>
        <w:pStyle w:val="CH1"/>
        <w:rPr>
          <w:lang w:val="en-GB"/>
        </w:rPr>
      </w:pPr>
      <w:r w:rsidRPr="001B4189">
        <w:rPr>
          <w:lang w:val="en-GB"/>
        </w:rPr>
        <w:tab/>
        <w:t>V</w:t>
      </w:r>
      <w:r w:rsidR="00B95EEF" w:rsidRPr="00440196">
        <w:rPr>
          <w:lang w:val="en-GB"/>
        </w:rPr>
        <w:t>I</w:t>
      </w:r>
      <w:r w:rsidRPr="00440196">
        <w:rPr>
          <w:lang w:val="en-GB"/>
        </w:rPr>
        <w:t>I.</w:t>
      </w:r>
      <w:r w:rsidRPr="00440196">
        <w:rPr>
          <w:lang w:val="en-GB"/>
        </w:rPr>
        <w:tab/>
        <w:t>Financial and budgetary arrangements for the Platform</w:t>
      </w:r>
    </w:p>
    <w:p w14:paraId="5BBED599" w14:textId="7A298302" w:rsidR="00443A2E" w:rsidRPr="00440196"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The </w:t>
      </w:r>
      <w:r w:rsidR="00FC5E2C" w:rsidRPr="00440196">
        <w:rPr>
          <w:bCs/>
          <w:lang w:val="en-GB"/>
        </w:rPr>
        <w:t xml:space="preserve">Plenary took up agenda </w:t>
      </w:r>
      <w:r w:rsidR="00EE1E9B">
        <w:rPr>
          <w:bCs/>
          <w:lang w:val="en-GB"/>
        </w:rPr>
        <w:t>sub-</w:t>
      </w:r>
      <w:r w:rsidR="00FC5E2C" w:rsidRPr="00440196">
        <w:rPr>
          <w:bCs/>
          <w:lang w:val="en-GB"/>
        </w:rPr>
        <w:t xml:space="preserve">items </w:t>
      </w:r>
      <w:r w:rsidR="000925EF" w:rsidRPr="00440196">
        <w:rPr>
          <w:bCs/>
          <w:lang w:val="en-GB"/>
        </w:rPr>
        <w:t xml:space="preserve">7 </w:t>
      </w:r>
      <w:r w:rsidRPr="00440196">
        <w:rPr>
          <w:bCs/>
          <w:lang w:val="en-GB"/>
        </w:rPr>
        <w:t xml:space="preserve">(a) </w:t>
      </w:r>
      <w:r w:rsidR="000925EF" w:rsidRPr="00440196">
        <w:rPr>
          <w:bCs/>
          <w:lang w:val="en-GB"/>
        </w:rPr>
        <w:t>(</w:t>
      </w:r>
      <w:r w:rsidR="0070291D" w:rsidRPr="00440196">
        <w:rPr>
          <w:bCs/>
          <w:lang w:val="en-GB"/>
        </w:rPr>
        <w:t>B</w:t>
      </w:r>
      <w:r w:rsidRPr="00440196">
        <w:rPr>
          <w:bCs/>
          <w:lang w:val="en-GB"/>
        </w:rPr>
        <w:t>udget and expenditure for the period 2014</w:t>
      </w:r>
      <w:r w:rsidR="004153C8">
        <w:rPr>
          <w:bCs/>
          <w:lang w:val="en-GB"/>
        </w:rPr>
        <w:noBreakHyphen/>
      </w:r>
      <w:r w:rsidRPr="00440196">
        <w:rPr>
          <w:bCs/>
          <w:lang w:val="en-GB"/>
        </w:rPr>
        <w:t>2018</w:t>
      </w:r>
      <w:r w:rsidR="000925EF" w:rsidRPr="00440196">
        <w:rPr>
          <w:bCs/>
          <w:lang w:val="en-GB"/>
        </w:rPr>
        <w:t>)</w:t>
      </w:r>
      <w:r w:rsidRPr="00440196">
        <w:rPr>
          <w:bCs/>
          <w:lang w:val="en-GB"/>
        </w:rPr>
        <w:t xml:space="preserve"> and 7 (b) </w:t>
      </w:r>
      <w:r w:rsidR="000925EF" w:rsidRPr="00440196">
        <w:rPr>
          <w:bCs/>
          <w:lang w:val="en-GB"/>
        </w:rPr>
        <w:t>(</w:t>
      </w:r>
      <w:r w:rsidR="00AE13C7" w:rsidRPr="00440196">
        <w:rPr>
          <w:bCs/>
          <w:lang w:val="en-GB"/>
        </w:rPr>
        <w:t>Trust f</w:t>
      </w:r>
      <w:r w:rsidRPr="00440196">
        <w:rPr>
          <w:bCs/>
          <w:lang w:val="en-GB"/>
        </w:rPr>
        <w:t>und</w:t>
      </w:r>
      <w:r w:rsidR="000925EF" w:rsidRPr="00440196">
        <w:rPr>
          <w:bCs/>
          <w:lang w:val="en-GB"/>
        </w:rPr>
        <w:t>) together</w:t>
      </w:r>
      <w:r w:rsidRPr="00440196">
        <w:rPr>
          <w:bCs/>
          <w:lang w:val="en-GB"/>
        </w:rPr>
        <w:t>.</w:t>
      </w:r>
    </w:p>
    <w:p w14:paraId="43154532" w14:textId="48734351" w:rsidR="00443A2E" w:rsidRPr="00440196"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Introducing the </w:t>
      </w:r>
      <w:r w:rsidR="00EE1E9B">
        <w:rPr>
          <w:bCs/>
          <w:lang w:val="en-GB"/>
        </w:rPr>
        <w:t>sub-</w:t>
      </w:r>
      <w:r w:rsidRPr="00440196">
        <w:rPr>
          <w:bCs/>
          <w:lang w:val="en-GB"/>
        </w:rPr>
        <w:t>item</w:t>
      </w:r>
      <w:r w:rsidR="00F07963">
        <w:rPr>
          <w:bCs/>
          <w:lang w:val="en-GB"/>
        </w:rPr>
        <w:t>s</w:t>
      </w:r>
      <w:r w:rsidRPr="00440196">
        <w:rPr>
          <w:bCs/>
          <w:lang w:val="en-GB"/>
        </w:rPr>
        <w:t>, the Chair thanked those count</w:t>
      </w:r>
      <w:r w:rsidR="000925EF" w:rsidRPr="00440196">
        <w:rPr>
          <w:bCs/>
          <w:lang w:val="en-GB"/>
        </w:rPr>
        <w:t xml:space="preserve">ries and organizations that had </w:t>
      </w:r>
      <w:r w:rsidRPr="00440196">
        <w:rPr>
          <w:bCs/>
          <w:lang w:val="en-GB"/>
        </w:rPr>
        <w:t xml:space="preserve">contributed to the trust fund </w:t>
      </w:r>
      <w:r w:rsidR="006C714E" w:rsidRPr="00440196">
        <w:rPr>
          <w:bCs/>
          <w:lang w:val="en-GB"/>
        </w:rPr>
        <w:t>and</w:t>
      </w:r>
      <w:r w:rsidRPr="00440196">
        <w:rPr>
          <w:bCs/>
          <w:lang w:val="en-GB"/>
        </w:rPr>
        <w:t xml:space="preserve"> contributed in-kind support to the work of </w:t>
      </w:r>
      <w:r w:rsidR="001566CE">
        <w:rPr>
          <w:bCs/>
          <w:lang w:val="en-GB"/>
        </w:rPr>
        <w:t>IPBES</w:t>
      </w:r>
      <w:r w:rsidR="000925EF" w:rsidRPr="00440196">
        <w:rPr>
          <w:bCs/>
          <w:lang w:val="en-GB"/>
        </w:rPr>
        <w:t>, as well as t</w:t>
      </w:r>
      <w:r w:rsidRPr="00440196">
        <w:rPr>
          <w:bCs/>
          <w:lang w:val="en-GB"/>
        </w:rPr>
        <w:t xml:space="preserve">he hundreds of experts from developed and developing countries </w:t>
      </w:r>
      <w:r w:rsidR="000925EF" w:rsidRPr="00440196">
        <w:rPr>
          <w:bCs/>
          <w:lang w:val="en-GB"/>
        </w:rPr>
        <w:t>that had</w:t>
      </w:r>
      <w:r w:rsidRPr="00440196">
        <w:rPr>
          <w:bCs/>
          <w:lang w:val="en-GB"/>
        </w:rPr>
        <w:t xml:space="preserve"> contributed their time and expertise. He </w:t>
      </w:r>
      <w:r w:rsidR="00C3084E" w:rsidRPr="00440196">
        <w:rPr>
          <w:bCs/>
          <w:lang w:val="en-GB"/>
        </w:rPr>
        <w:t xml:space="preserve">recalled that since the fourth session of the Plenary he had sent two </w:t>
      </w:r>
      <w:r w:rsidR="001566CE">
        <w:rPr>
          <w:bCs/>
          <w:lang w:val="en-GB"/>
        </w:rPr>
        <w:t>letters</w:t>
      </w:r>
      <w:r w:rsidR="00C3084E" w:rsidRPr="00440196">
        <w:rPr>
          <w:bCs/>
          <w:lang w:val="en-GB"/>
        </w:rPr>
        <w:t xml:space="preserve"> drawing the attention of </w:t>
      </w:r>
      <w:r w:rsidR="001566CE">
        <w:rPr>
          <w:bCs/>
          <w:lang w:val="en-GB"/>
        </w:rPr>
        <w:t>IPBES</w:t>
      </w:r>
      <w:r w:rsidR="001D2417" w:rsidRPr="00440196">
        <w:rPr>
          <w:bCs/>
          <w:lang w:val="en-GB"/>
        </w:rPr>
        <w:t xml:space="preserve"> members to an impending major </w:t>
      </w:r>
      <w:r w:rsidRPr="00440196">
        <w:rPr>
          <w:bCs/>
          <w:lang w:val="en-GB"/>
        </w:rPr>
        <w:t xml:space="preserve">budget shortfall </w:t>
      </w:r>
      <w:r w:rsidR="001D2417" w:rsidRPr="00440196">
        <w:rPr>
          <w:bCs/>
          <w:lang w:val="en-GB"/>
        </w:rPr>
        <w:t>that in the absence of</w:t>
      </w:r>
      <w:r w:rsidRPr="00440196">
        <w:rPr>
          <w:bCs/>
          <w:lang w:val="en-GB"/>
        </w:rPr>
        <w:t xml:space="preserve"> significant additional </w:t>
      </w:r>
      <w:r w:rsidR="001D2417" w:rsidRPr="00440196">
        <w:rPr>
          <w:bCs/>
          <w:lang w:val="en-GB"/>
        </w:rPr>
        <w:t>contributions would become manifest in 2017</w:t>
      </w:r>
      <w:r w:rsidRPr="00440196">
        <w:rPr>
          <w:bCs/>
          <w:lang w:val="en-GB"/>
        </w:rPr>
        <w:t xml:space="preserve">. </w:t>
      </w:r>
      <w:r w:rsidR="001D2417" w:rsidRPr="00440196">
        <w:rPr>
          <w:bCs/>
          <w:lang w:val="en-GB"/>
        </w:rPr>
        <w:t xml:space="preserve">As described in </w:t>
      </w:r>
      <w:r w:rsidRPr="00440196">
        <w:rPr>
          <w:bCs/>
          <w:lang w:val="en-GB"/>
        </w:rPr>
        <w:t>document IPBES/5/10</w:t>
      </w:r>
      <w:r w:rsidR="001D2417" w:rsidRPr="00440196">
        <w:rPr>
          <w:bCs/>
          <w:lang w:val="en-GB"/>
        </w:rPr>
        <w:t>,</w:t>
      </w:r>
      <w:r w:rsidRPr="00440196">
        <w:rPr>
          <w:bCs/>
          <w:lang w:val="en-GB"/>
        </w:rPr>
        <w:t xml:space="preserve"> </w:t>
      </w:r>
      <w:r w:rsidR="001D2417" w:rsidRPr="00440196">
        <w:rPr>
          <w:bCs/>
          <w:lang w:val="en-GB"/>
        </w:rPr>
        <w:t>the predicted shortfall could be as much as $</w:t>
      </w:r>
      <w:r w:rsidRPr="00440196">
        <w:rPr>
          <w:bCs/>
          <w:lang w:val="en-GB"/>
        </w:rPr>
        <w:t>8 million</w:t>
      </w:r>
      <w:r w:rsidR="001D2417" w:rsidRPr="00440196">
        <w:rPr>
          <w:bCs/>
          <w:lang w:val="en-GB"/>
        </w:rPr>
        <w:t xml:space="preserve"> and could affect the completion even of those deliverable</w:t>
      </w:r>
      <w:r w:rsidR="00D2065E" w:rsidRPr="00440196">
        <w:rPr>
          <w:bCs/>
          <w:lang w:val="en-GB"/>
        </w:rPr>
        <w:t>s</w:t>
      </w:r>
      <w:r w:rsidR="001D2417" w:rsidRPr="00440196">
        <w:rPr>
          <w:bCs/>
          <w:lang w:val="en-GB"/>
        </w:rPr>
        <w:t xml:space="preserve"> on which work was already under way</w:t>
      </w:r>
      <w:r w:rsidRPr="00440196">
        <w:rPr>
          <w:bCs/>
          <w:lang w:val="en-GB"/>
        </w:rPr>
        <w:t>.</w:t>
      </w:r>
    </w:p>
    <w:p w14:paraId="220C573F" w14:textId="08EA679A" w:rsidR="00443A2E" w:rsidRPr="00440196" w:rsidRDefault="00E36F58"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T</w:t>
      </w:r>
      <w:r w:rsidR="00443A2E" w:rsidRPr="00440196">
        <w:rPr>
          <w:bCs/>
          <w:lang w:val="en-GB"/>
        </w:rPr>
        <w:t xml:space="preserve">he Executive Secretary </w:t>
      </w:r>
      <w:r w:rsidRPr="00440196">
        <w:rPr>
          <w:bCs/>
          <w:lang w:val="en-GB"/>
        </w:rPr>
        <w:t xml:space="preserve">then </w:t>
      </w:r>
      <w:r w:rsidR="00443A2E" w:rsidRPr="00440196">
        <w:rPr>
          <w:bCs/>
          <w:lang w:val="en-GB"/>
        </w:rPr>
        <w:t xml:space="preserve">outlined the </w:t>
      </w:r>
      <w:r w:rsidRPr="00440196">
        <w:rPr>
          <w:bCs/>
          <w:lang w:val="en-GB"/>
        </w:rPr>
        <w:t>information provided in</w:t>
      </w:r>
      <w:r w:rsidR="00443A2E" w:rsidRPr="00440196">
        <w:rPr>
          <w:bCs/>
          <w:lang w:val="en-GB"/>
        </w:rPr>
        <w:t xml:space="preserve"> document IPBES/5/10, </w:t>
      </w:r>
      <w:r w:rsidRPr="00440196">
        <w:rPr>
          <w:bCs/>
          <w:lang w:val="en-GB"/>
        </w:rPr>
        <w:t xml:space="preserve">prepared in response to </w:t>
      </w:r>
      <w:r w:rsidR="00443A2E" w:rsidRPr="00440196">
        <w:rPr>
          <w:bCs/>
          <w:lang w:val="en-GB"/>
        </w:rPr>
        <w:t xml:space="preserve">decision IPBES-4/2, in which the Plenary </w:t>
      </w:r>
      <w:r w:rsidRPr="00440196">
        <w:rPr>
          <w:bCs/>
          <w:lang w:val="en-GB"/>
        </w:rPr>
        <w:t xml:space="preserve">had </w:t>
      </w:r>
      <w:r w:rsidR="00DA5DAF" w:rsidRPr="00440196">
        <w:rPr>
          <w:bCs/>
          <w:lang w:val="en-GB"/>
        </w:rPr>
        <w:t>adopted the budget for</w:t>
      </w:r>
      <w:r w:rsidR="001566CE">
        <w:rPr>
          <w:bCs/>
          <w:lang w:val="en-GB"/>
        </w:rPr>
        <w:t xml:space="preserve"> IPBES for</w:t>
      </w:r>
      <w:r w:rsidR="00DA5DAF" w:rsidRPr="00440196">
        <w:rPr>
          <w:bCs/>
          <w:lang w:val="en-GB"/>
        </w:rPr>
        <w:t xml:space="preserve"> 2016–2017; </w:t>
      </w:r>
      <w:r w:rsidR="00443A2E" w:rsidRPr="00440196">
        <w:rPr>
          <w:bCs/>
          <w:lang w:val="en-GB"/>
        </w:rPr>
        <w:t xml:space="preserve">invited pledges and contributions to the </w:t>
      </w:r>
      <w:r w:rsidR="001566CE">
        <w:rPr>
          <w:bCs/>
          <w:lang w:val="en-GB"/>
        </w:rPr>
        <w:t>IPBES</w:t>
      </w:r>
      <w:r w:rsidR="001566CE" w:rsidRPr="00440196">
        <w:rPr>
          <w:bCs/>
          <w:lang w:val="en-GB"/>
        </w:rPr>
        <w:t xml:space="preserve"> </w:t>
      </w:r>
      <w:r w:rsidR="00443A2E" w:rsidRPr="00440196">
        <w:rPr>
          <w:bCs/>
          <w:lang w:val="en-GB"/>
        </w:rPr>
        <w:t>trust fund; requested the Executive Secretary to report to the Plenary on expenditures for 2015</w:t>
      </w:r>
      <w:r w:rsidRPr="00440196">
        <w:rPr>
          <w:bCs/>
          <w:lang w:val="en-GB"/>
        </w:rPr>
        <w:t>–20</w:t>
      </w:r>
      <w:r w:rsidR="00443A2E" w:rsidRPr="00440196">
        <w:rPr>
          <w:bCs/>
          <w:lang w:val="en-GB"/>
        </w:rPr>
        <w:t>16; and requested the Executive Secretary, in consultation with the Bureau, to proactively seek funding</w:t>
      </w:r>
      <w:r w:rsidRPr="00440196">
        <w:rPr>
          <w:bCs/>
          <w:lang w:val="en-GB"/>
        </w:rPr>
        <w:t xml:space="preserve">, to </w:t>
      </w:r>
      <w:r w:rsidR="00443A2E" w:rsidRPr="00440196">
        <w:rPr>
          <w:bCs/>
          <w:lang w:val="en-GB"/>
        </w:rPr>
        <w:t>pursu</w:t>
      </w:r>
      <w:r w:rsidRPr="00440196">
        <w:rPr>
          <w:bCs/>
          <w:lang w:val="en-GB"/>
        </w:rPr>
        <w:t>e</w:t>
      </w:r>
      <w:r w:rsidR="00443A2E" w:rsidRPr="00440196">
        <w:rPr>
          <w:bCs/>
          <w:lang w:val="en-GB"/>
        </w:rPr>
        <w:t xml:space="preserve"> continuous improvements in efficiencies in the operations of </w:t>
      </w:r>
      <w:r w:rsidR="001566CE">
        <w:rPr>
          <w:bCs/>
          <w:lang w:val="en-GB"/>
        </w:rPr>
        <w:t>IPBES</w:t>
      </w:r>
      <w:r w:rsidR="00443A2E" w:rsidRPr="00440196">
        <w:rPr>
          <w:bCs/>
          <w:lang w:val="en-GB"/>
        </w:rPr>
        <w:t xml:space="preserve"> and </w:t>
      </w:r>
      <w:r w:rsidRPr="00440196">
        <w:rPr>
          <w:bCs/>
          <w:lang w:val="en-GB"/>
        </w:rPr>
        <w:t xml:space="preserve">to </w:t>
      </w:r>
      <w:r w:rsidR="00443A2E" w:rsidRPr="00440196">
        <w:rPr>
          <w:bCs/>
          <w:lang w:val="en-GB"/>
        </w:rPr>
        <w:t xml:space="preserve">develop a strategy for fundraising. </w:t>
      </w:r>
      <w:r w:rsidR="00542A04" w:rsidRPr="00440196">
        <w:rPr>
          <w:bCs/>
          <w:lang w:val="en-GB"/>
        </w:rPr>
        <w:t>T</w:t>
      </w:r>
      <w:r w:rsidRPr="00440196">
        <w:rPr>
          <w:bCs/>
          <w:lang w:val="en-GB"/>
        </w:rPr>
        <w:t xml:space="preserve">he document provided </w:t>
      </w:r>
      <w:r w:rsidR="00443A2E" w:rsidRPr="00440196">
        <w:rPr>
          <w:bCs/>
          <w:lang w:val="en-GB"/>
        </w:rPr>
        <w:t xml:space="preserve">information on cash and in-kind contributions to </w:t>
      </w:r>
      <w:r w:rsidR="0036730E">
        <w:rPr>
          <w:bCs/>
          <w:lang w:val="en-GB"/>
        </w:rPr>
        <w:t xml:space="preserve">IPBES </w:t>
      </w:r>
      <w:r w:rsidR="00443A2E" w:rsidRPr="00440196">
        <w:rPr>
          <w:bCs/>
          <w:lang w:val="en-GB"/>
        </w:rPr>
        <w:t>and on expendit</w:t>
      </w:r>
      <w:r w:rsidR="00542A04" w:rsidRPr="00440196">
        <w:rPr>
          <w:bCs/>
          <w:lang w:val="en-GB"/>
        </w:rPr>
        <w:t>ures for the biennium 2015–2016</w:t>
      </w:r>
      <w:r w:rsidR="00443A2E" w:rsidRPr="00440196">
        <w:rPr>
          <w:bCs/>
          <w:lang w:val="en-GB"/>
        </w:rPr>
        <w:t xml:space="preserve"> and </w:t>
      </w:r>
      <w:r w:rsidR="00542A04" w:rsidRPr="00440196">
        <w:rPr>
          <w:bCs/>
          <w:lang w:val="en-GB"/>
        </w:rPr>
        <w:t xml:space="preserve">set out a </w:t>
      </w:r>
      <w:r w:rsidR="00443A2E" w:rsidRPr="00440196">
        <w:rPr>
          <w:bCs/>
          <w:lang w:val="en-GB"/>
        </w:rPr>
        <w:t>propose</w:t>
      </w:r>
      <w:r w:rsidRPr="00440196">
        <w:rPr>
          <w:bCs/>
          <w:lang w:val="en-GB"/>
        </w:rPr>
        <w:t>d</w:t>
      </w:r>
      <w:r w:rsidR="00443A2E" w:rsidRPr="00440196">
        <w:rPr>
          <w:bCs/>
          <w:lang w:val="en-GB"/>
        </w:rPr>
        <w:t xml:space="preserve"> revised budget for 2017‒2018</w:t>
      </w:r>
      <w:r w:rsidR="00542A04" w:rsidRPr="00440196">
        <w:rPr>
          <w:bCs/>
          <w:lang w:val="en-GB"/>
        </w:rPr>
        <w:t xml:space="preserve">, </w:t>
      </w:r>
      <w:r w:rsidR="00443A2E" w:rsidRPr="00440196">
        <w:rPr>
          <w:bCs/>
          <w:lang w:val="en-GB"/>
        </w:rPr>
        <w:t>a revised indicative budget for 2019</w:t>
      </w:r>
      <w:r w:rsidR="00542A04" w:rsidRPr="00440196">
        <w:rPr>
          <w:bCs/>
          <w:lang w:val="en-GB"/>
        </w:rPr>
        <w:t xml:space="preserve"> and, in its annex, a draft fundraising</w:t>
      </w:r>
      <w:r w:rsidR="00443A2E" w:rsidRPr="00440196">
        <w:rPr>
          <w:bCs/>
          <w:lang w:val="en-GB"/>
        </w:rPr>
        <w:t xml:space="preserve"> strategy. </w:t>
      </w:r>
    </w:p>
    <w:p w14:paraId="4E7BDBAF" w14:textId="66FAA0D6" w:rsidR="00443A2E" w:rsidRPr="00440196"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The Chair asked </w:t>
      </w:r>
      <w:r w:rsidR="006B7E15" w:rsidRPr="00440196">
        <w:rPr>
          <w:bCs/>
          <w:lang w:val="en-GB"/>
        </w:rPr>
        <w:t>the Plenary</w:t>
      </w:r>
      <w:r w:rsidRPr="00440196">
        <w:rPr>
          <w:bCs/>
          <w:lang w:val="en-GB"/>
        </w:rPr>
        <w:t xml:space="preserve"> to consider the cost of undertaking the methodological assessment regarding the diverse conceptualization of multiple values of na</w:t>
      </w:r>
      <w:r w:rsidR="006B7E15" w:rsidRPr="00440196">
        <w:rPr>
          <w:bCs/>
          <w:lang w:val="en-GB"/>
        </w:rPr>
        <w:t xml:space="preserve">ture and its benefits and the </w:t>
      </w:r>
      <w:r w:rsidRPr="00440196">
        <w:rPr>
          <w:bCs/>
          <w:lang w:val="en-GB"/>
        </w:rPr>
        <w:t>thematic assessments on invasive alien species and on the sustainable use of biodiversity. He also drew attention to the potential</w:t>
      </w:r>
      <w:r w:rsidR="006B7E15" w:rsidRPr="00440196">
        <w:rPr>
          <w:bCs/>
          <w:lang w:val="en-GB"/>
        </w:rPr>
        <w:t xml:space="preserve">ly bigger challenge of </w:t>
      </w:r>
      <w:r w:rsidR="00555F5A" w:rsidRPr="00440196">
        <w:rPr>
          <w:bCs/>
          <w:lang w:val="en-GB"/>
        </w:rPr>
        <w:t xml:space="preserve">the availability </w:t>
      </w:r>
      <w:r w:rsidR="006B7E15" w:rsidRPr="00440196">
        <w:rPr>
          <w:bCs/>
          <w:lang w:val="en-GB"/>
        </w:rPr>
        <w:t xml:space="preserve">of members of the </w:t>
      </w:r>
      <w:r w:rsidRPr="00440196">
        <w:rPr>
          <w:bCs/>
          <w:lang w:val="en-GB"/>
        </w:rPr>
        <w:t xml:space="preserve">scientific community </w:t>
      </w:r>
      <w:r w:rsidR="006B7E15" w:rsidRPr="00440196">
        <w:rPr>
          <w:bCs/>
          <w:lang w:val="en-GB"/>
        </w:rPr>
        <w:t xml:space="preserve">to serve </w:t>
      </w:r>
      <w:r w:rsidRPr="00440196">
        <w:rPr>
          <w:bCs/>
          <w:lang w:val="en-GB"/>
        </w:rPr>
        <w:t xml:space="preserve">as </w:t>
      </w:r>
      <w:r w:rsidR="001566CE">
        <w:rPr>
          <w:bCs/>
          <w:lang w:val="en-GB"/>
        </w:rPr>
        <w:t>authors and reviewers</w:t>
      </w:r>
      <w:r w:rsidR="006B7E15" w:rsidRPr="00440196">
        <w:rPr>
          <w:bCs/>
          <w:lang w:val="en-GB"/>
        </w:rPr>
        <w:t xml:space="preserve">; the </w:t>
      </w:r>
      <w:r w:rsidR="00555F5A" w:rsidRPr="00440196">
        <w:rPr>
          <w:bCs/>
          <w:lang w:val="en-GB"/>
        </w:rPr>
        <w:t>failure</w:t>
      </w:r>
      <w:r w:rsidR="006B7E15" w:rsidRPr="00440196">
        <w:rPr>
          <w:bCs/>
          <w:lang w:val="en-GB"/>
        </w:rPr>
        <w:t xml:space="preserve"> of</w:t>
      </w:r>
      <w:r w:rsidRPr="00440196">
        <w:rPr>
          <w:bCs/>
          <w:lang w:val="en-GB"/>
        </w:rPr>
        <w:t xml:space="preserve"> </w:t>
      </w:r>
      <w:r w:rsidR="00555F5A" w:rsidRPr="00440196">
        <w:rPr>
          <w:bCs/>
          <w:lang w:val="en-GB"/>
        </w:rPr>
        <w:t xml:space="preserve">many </w:t>
      </w:r>
      <w:r w:rsidRPr="00440196">
        <w:rPr>
          <w:bCs/>
          <w:lang w:val="en-GB"/>
        </w:rPr>
        <w:t xml:space="preserve">Governments </w:t>
      </w:r>
      <w:r w:rsidR="00555F5A" w:rsidRPr="00440196">
        <w:rPr>
          <w:bCs/>
          <w:lang w:val="en-GB"/>
        </w:rPr>
        <w:t xml:space="preserve">to date </w:t>
      </w:r>
      <w:r w:rsidRPr="00440196">
        <w:rPr>
          <w:bCs/>
          <w:lang w:val="en-GB"/>
        </w:rPr>
        <w:t>to nominate experts and to provide review comments; and</w:t>
      </w:r>
      <w:r w:rsidR="006B7E15" w:rsidRPr="00440196">
        <w:rPr>
          <w:bCs/>
          <w:lang w:val="en-GB"/>
        </w:rPr>
        <w:t xml:space="preserve"> </w:t>
      </w:r>
      <w:r w:rsidR="00492A6C" w:rsidRPr="00440196">
        <w:rPr>
          <w:bCs/>
          <w:lang w:val="en-GB"/>
        </w:rPr>
        <w:t>the limited size of</w:t>
      </w:r>
      <w:r w:rsidRPr="00440196">
        <w:rPr>
          <w:bCs/>
          <w:lang w:val="en-GB"/>
        </w:rPr>
        <w:t xml:space="preserve"> the secretariat. </w:t>
      </w:r>
      <w:r w:rsidR="006B7E15" w:rsidRPr="00440196">
        <w:rPr>
          <w:bCs/>
          <w:lang w:val="en-GB"/>
        </w:rPr>
        <w:t xml:space="preserve">The Bureau, he reported, </w:t>
      </w:r>
      <w:r w:rsidRPr="00440196">
        <w:rPr>
          <w:bCs/>
          <w:lang w:val="en-GB"/>
        </w:rPr>
        <w:t>recommend</w:t>
      </w:r>
      <w:r w:rsidR="006B7E15" w:rsidRPr="00440196">
        <w:rPr>
          <w:bCs/>
          <w:lang w:val="en-GB"/>
        </w:rPr>
        <w:t>ed that</w:t>
      </w:r>
      <w:r w:rsidRPr="00440196">
        <w:rPr>
          <w:bCs/>
          <w:lang w:val="en-GB"/>
        </w:rPr>
        <w:t xml:space="preserve"> no </w:t>
      </w:r>
      <w:r w:rsidR="006B7E15" w:rsidRPr="00440196">
        <w:rPr>
          <w:bCs/>
          <w:lang w:val="en-GB"/>
        </w:rPr>
        <w:t xml:space="preserve">work on </w:t>
      </w:r>
      <w:r w:rsidR="00735631" w:rsidRPr="00440196">
        <w:rPr>
          <w:bCs/>
          <w:lang w:val="en-GB"/>
        </w:rPr>
        <w:t xml:space="preserve">the abovementioned methodological and thematic </w:t>
      </w:r>
      <w:r w:rsidRPr="00440196">
        <w:rPr>
          <w:bCs/>
          <w:lang w:val="en-GB"/>
        </w:rPr>
        <w:t xml:space="preserve">assessments be </w:t>
      </w:r>
      <w:r w:rsidR="006B7E15" w:rsidRPr="00440196">
        <w:rPr>
          <w:bCs/>
          <w:lang w:val="en-GB"/>
        </w:rPr>
        <w:t>commenced</w:t>
      </w:r>
      <w:r w:rsidRPr="00440196">
        <w:rPr>
          <w:bCs/>
          <w:lang w:val="en-GB"/>
        </w:rPr>
        <w:t xml:space="preserve"> until after </w:t>
      </w:r>
      <w:r w:rsidR="006B7E15" w:rsidRPr="00440196">
        <w:rPr>
          <w:bCs/>
          <w:lang w:val="en-GB"/>
        </w:rPr>
        <w:t xml:space="preserve">the </w:t>
      </w:r>
      <w:r w:rsidRPr="00440196">
        <w:rPr>
          <w:bCs/>
          <w:lang w:val="en-GB"/>
        </w:rPr>
        <w:t>regional assessments and land degradation</w:t>
      </w:r>
      <w:r w:rsidR="006B7E15" w:rsidRPr="00440196">
        <w:rPr>
          <w:bCs/>
          <w:lang w:val="en-GB"/>
        </w:rPr>
        <w:t xml:space="preserve"> and restoration assessment had been</w:t>
      </w:r>
      <w:r w:rsidRPr="00440196">
        <w:rPr>
          <w:bCs/>
          <w:lang w:val="en-GB"/>
        </w:rPr>
        <w:t xml:space="preserve"> completed, </w:t>
      </w:r>
      <w:r w:rsidR="006B7E15" w:rsidRPr="00440196">
        <w:rPr>
          <w:bCs/>
          <w:lang w:val="en-GB"/>
        </w:rPr>
        <w:t xml:space="preserve">thus </w:t>
      </w:r>
      <w:r w:rsidRPr="00440196">
        <w:rPr>
          <w:bCs/>
          <w:lang w:val="en-GB"/>
        </w:rPr>
        <w:t>freeing up the capacity of those involved in those deliverables. Speaking on behalf of the Multidisciplina</w:t>
      </w:r>
      <w:r w:rsidR="00727D49" w:rsidRPr="00440196">
        <w:rPr>
          <w:bCs/>
          <w:lang w:val="en-GB"/>
        </w:rPr>
        <w:t>ry Expert Panel, one of its Co-C</w:t>
      </w:r>
      <w:r w:rsidRPr="00440196">
        <w:rPr>
          <w:bCs/>
          <w:lang w:val="en-GB"/>
        </w:rPr>
        <w:t xml:space="preserve">hairs voiced support for the Bureau’s </w:t>
      </w:r>
      <w:r w:rsidR="00727D49" w:rsidRPr="00440196">
        <w:rPr>
          <w:bCs/>
          <w:lang w:val="en-GB"/>
        </w:rPr>
        <w:t xml:space="preserve">recommendation, saying </w:t>
      </w:r>
      <w:r w:rsidRPr="00440196">
        <w:rPr>
          <w:bCs/>
          <w:lang w:val="en-GB"/>
        </w:rPr>
        <w:t xml:space="preserve">that </w:t>
      </w:r>
      <w:r w:rsidR="00727D49" w:rsidRPr="00440196">
        <w:rPr>
          <w:bCs/>
          <w:lang w:val="en-GB"/>
        </w:rPr>
        <w:t xml:space="preserve">the </w:t>
      </w:r>
      <w:r w:rsidRPr="00440196">
        <w:rPr>
          <w:bCs/>
          <w:lang w:val="en-GB"/>
        </w:rPr>
        <w:t>experts</w:t>
      </w:r>
      <w:r w:rsidR="00727D49" w:rsidRPr="00440196">
        <w:rPr>
          <w:bCs/>
          <w:lang w:val="en-GB"/>
        </w:rPr>
        <w:t xml:space="preserve"> involved</w:t>
      </w:r>
      <w:r w:rsidRPr="00440196">
        <w:rPr>
          <w:bCs/>
          <w:lang w:val="en-GB"/>
        </w:rPr>
        <w:t xml:space="preserve"> </w:t>
      </w:r>
      <w:r w:rsidR="00727D49" w:rsidRPr="00440196">
        <w:rPr>
          <w:bCs/>
          <w:lang w:val="en-GB"/>
        </w:rPr>
        <w:t xml:space="preserve">were </w:t>
      </w:r>
      <w:r w:rsidR="00C86980" w:rsidRPr="00440196">
        <w:rPr>
          <w:bCs/>
          <w:lang w:val="en-GB"/>
        </w:rPr>
        <w:t xml:space="preserve">already working </w:t>
      </w:r>
      <w:r w:rsidR="00727D49" w:rsidRPr="00440196">
        <w:rPr>
          <w:bCs/>
          <w:lang w:val="en-GB"/>
        </w:rPr>
        <w:t xml:space="preserve">at full </w:t>
      </w:r>
      <w:r w:rsidRPr="00440196">
        <w:rPr>
          <w:bCs/>
          <w:lang w:val="en-GB"/>
        </w:rPr>
        <w:t>capacit</w:t>
      </w:r>
      <w:r w:rsidR="00727D49" w:rsidRPr="00440196">
        <w:rPr>
          <w:bCs/>
          <w:lang w:val="en-GB"/>
        </w:rPr>
        <w:t>y.</w:t>
      </w:r>
      <w:r w:rsidRPr="00440196">
        <w:rPr>
          <w:bCs/>
          <w:lang w:val="en-GB"/>
        </w:rPr>
        <w:t xml:space="preserve"> The Chair then opened the floor</w:t>
      </w:r>
      <w:r w:rsidR="00727D49" w:rsidRPr="00440196">
        <w:rPr>
          <w:bCs/>
          <w:lang w:val="en-GB"/>
        </w:rPr>
        <w:t>, calling</w:t>
      </w:r>
      <w:r w:rsidRPr="00440196">
        <w:rPr>
          <w:bCs/>
          <w:lang w:val="en-GB"/>
        </w:rPr>
        <w:t xml:space="preserve"> </w:t>
      </w:r>
      <w:r w:rsidR="00727D49" w:rsidRPr="00440196">
        <w:rPr>
          <w:bCs/>
          <w:lang w:val="en-GB"/>
        </w:rPr>
        <w:t>for</w:t>
      </w:r>
      <w:r w:rsidRPr="00440196">
        <w:rPr>
          <w:bCs/>
          <w:lang w:val="en-GB"/>
        </w:rPr>
        <w:t xml:space="preserve"> new pledges to the trust fund.</w:t>
      </w:r>
    </w:p>
    <w:p w14:paraId="00A7B393" w14:textId="56EA1A4F" w:rsidR="00443A2E" w:rsidRPr="007831BB"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In the ensuing discussion</w:t>
      </w:r>
      <w:r w:rsidR="00D2065E" w:rsidRPr="00440196">
        <w:rPr>
          <w:bCs/>
          <w:lang w:val="en-GB"/>
        </w:rPr>
        <w:t>,</w:t>
      </w:r>
      <w:r w:rsidRPr="00440196">
        <w:rPr>
          <w:bCs/>
          <w:lang w:val="en-GB"/>
        </w:rPr>
        <w:t xml:space="preserve"> statements were made by the representatives of Argentina, Australia, </w:t>
      </w:r>
      <w:r w:rsidR="00727D49" w:rsidRPr="00440196">
        <w:rPr>
          <w:bCs/>
          <w:lang w:val="en-GB"/>
        </w:rPr>
        <w:t>Cameroon, Colombia, France, Iran (Islamic Republic of)</w:t>
      </w:r>
      <w:r w:rsidRPr="00440196">
        <w:rPr>
          <w:bCs/>
          <w:lang w:val="en-GB"/>
        </w:rPr>
        <w:t xml:space="preserve">, Japan, Mexico, the Netherlands, Norway, Peru, South Africa, Sweden, the United Kingdom of Great Britain and Northern Ireland, </w:t>
      </w:r>
      <w:r w:rsidR="00727D49" w:rsidRPr="00440196">
        <w:rPr>
          <w:bCs/>
          <w:lang w:val="en-GB"/>
        </w:rPr>
        <w:t xml:space="preserve">the </w:t>
      </w:r>
      <w:r w:rsidRPr="00440196">
        <w:rPr>
          <w:bCs/>
          <w:lang w:val="en-GB"/>
        </w:rPr>
        <w:t>United</w:t>
      </w:r>
      <w:r w:rsidR="001566CE">
        <w:rPr>
          <w:bCs/>
          <w:lang w:val="en-GB"/>
        </w:rPr>
        <w:t xml:space="preserve"> </w:t>
      </w:r>
      <w:r w:rsidRPr="00440196">
        <w:rPr>
          <w:bCs/>
          <w:lang w:val="en-GB"/>
        </w:rPr>
        <w:t>States of America and Uruguay.</w:t>
      </w:r>
    </w:p>
    <w:p w14:paraId="3CA0D091" w14:textId="23952503" w:rsidR="00443A2E" w:rsidRPr="007831BB"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A number of </w:t>
      </w:r>
      <w:r w:rsidR="00BE3FDE" w:rsidRPr="001B4189">
        <w:rPr>
          <w:bCs/>
          <w:lang w:val="en-GB"/>
        </w:rPr>
        <w:t>representatives</w:t>
      </w:r>
      <w:r w:rsidRPr="00440196">
        <w:rPr>
          <w:bCs/>
          <w:lang w:val="en-GB"/>
        </w:rPr>
        <w:t xml:space="preserve"> provided information on their </w:t>
      </w:r>
      <w:r w:rsidR="00BE3FDE" w:rsidRPr="00440196">
        <w:rPr>
          <w:bCs/>
          <w:lang w:val="en-GB"/>
        </w:rPr>
        <w:t>countries’</w:t>
      </w:r>
      <w:r w:rsidRPr="00440196">
        <w:rPr>
          <w:bCs/>
          <w:lang w:val="en-GB"/>
        </w:rPr>
        <w:t xml:space="preserve"> contributions to the trust fund and in-kind contributions. The representatives of Colombia, France, Japan, Mexico, the Netherlands, Norway, South Africa, Sweden and the United Kingdom of Great Britain and Northern Ireland pledged to provide further financial support</w:t>
      </w:r>
      <w:r w:rsidR="00BE3FDE" w:rsidRPr="00440196">
        <w:rPr>
          <w:bCs/>
          <w:lang w:val="en-GB"/>
        </w:rPr>
        <w:t xml:space="preserve"> </w:t>
      </w:r>
      <w:r w:rsidR="009F448E">
        <w:rPr>
          <w:bCs/>
          <w:lang w:val="en-GB"/>
        </w:rPr>
        <w:t xml:space="preserve">in-kind or to the trust fund </w:t>
      </w:r>
      <w:r w:rsidR="00BE3FDE" w:rsidRPr="00440196">
        <w:rPr>
          <w:bCs/>
          <w:lang w:val="en-GB"/>
        </w:rPr>
        <w:t>or</w:t>
      </w:r>
      <w:r w:rsidRPr="00440196">
        <w:rPr>
          <w:bCs/>
          <w:lang w:val="en-GB"/>
        </w:rPr>
        <w:t xml:space="preserve"> reported on pledges already made. </w:t>
      </w:r>
    </w:p>
    <w:p w14:paraId="006E0D11" w14:textId="6416595C" w:rsidR="00443A2E" w:rsidRPr="007831BB"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Several </w:t>
      </w:r>
      <w:r w:rsidR="00A32E7A" w:rsidRPr="001B4189">
        <w:rPr>
          <w:bCs/>
          <w:lang w:val="en-GB"/>
        </w:rPr>
        <w:t>representatives</w:t>
      </w:r>
      <w:r w:rsidRPr="00440196">
        <w:rPr>
          <w:bCs/>
          <w:lang w:val="en-GB"/>
        </w:rPr>
        <w:t xml:space="preserve"> thanked donor countries for their contributions. Some </w:t>
      </w:r>
      <w:r w:rsidR="00A32E7A" w:rsidRPr="00440196">
        <w:rPr>
          <w:bCs/>
          <w:lang w:val="en-GB"/>
        </w:rPr>
        <w:t>said</w:t>
      </w:r>
      <w:r w:rsidRPr="00440196">
        <w:rPr>
          <w:bCs/>
          <w:lang w:val="en-GB"/>
        </w:rPr>
        <w:t xml:space="preserve"> that additional contributions were necessary, and one </w:t>
      </w:r>
      <w:r w:rsidR="00A32E7A" w:rsidRPr="00440196">
        <w:rPr>
          <w:bCs/>
          <w:lang w:val="en-GB"/>
        </w:rPr>
        <w:t>said</w:t>
      </w:r>
      <w:r w:rsidRPr="00440196">
        <w:rPr>
          <w:bCs/>
          <w:lang w:val="en-GB"/>
        </w:rPr>
        <w:t xml:space="preserve"> that private </w:t>
      </w:r>
      <w:r w:rsidR="00A32E7A" w:rsidRPr="00440196">
        <w:rPr>
          <w:bCs/>
          <w:lang w:val="en-GB"/>
        </w:rPr>
        <w:t xml:space="preserve">sector </w:t>
      </w:r>
      <w:r w:rsidRPr="00440196">
        <w:rPr>
          <w:bCs/>
          <w:lang w:val="en-GB"/>
        </w:rPr>
        <w:t xml:space="preserve">funding should be </w:t>
      </w:r>
      <w:r w:rsidR="00A32E7A" w:rsidRPr="00440196">
        <w:rPr>
          <w:bCs/>
          <w:lang w:val="en-GB"/>
        </w:rPr>
        <w:t xml:space="preserve">sought </w:t>
      </w:r>
      <w:r w:rsidRPr="00440196">
        <w:rPr>
          <w:lang w:val="en-GB"/>
        </w:rPr>
        <w:t>to</w:t>
      </w:r>
      <w:r w:rsidRPr="00440196">
        <w:rPr>
          <w:bCs/>
          <w:lang w:val="en-GB"/>
        </w:rPr>
        <w:t xml:space="preserve"> support </w:t>
      </w:r>
      <w:r w:rsidR="001566CE">
        <w:rPr>
          <w:bCs/>
          <w:lang w:val="en-GB"/>
        </w:rPr>
        <w:t>IPBES</w:t>
      </w:r>
      <w:r w:rsidRPr="00440196">
        <w:rPr>
          <w:bCs/>
          <w:lang w:val="en-GB"/>
        </w:rPr>
        <w:t>.</w:t>
      </w:r>
    </w:p>
    <w:p w14:paraId="18F80192" w14:textId="1CA4B885" w:rsidR="00443A2E" w:rsidRPr="007831BB"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n-GB"/>
        </w:rPr>
      </w:pPr>
      <w:r w:rsidRPr="00440196">
        <w:rPr>
          <w:bCs/>
          <w:lang w:val="en-GB"/>
        </w:rPr>
        <w:t xml:space="preserve">There was a divergence of views </w:t>
      </w:r>
      <w:r w:rsidR="00855072" w:rsidRPr="001B4189">
        <w:rPr>
          <w:bCs/>
          <w:lang w:val="en-GB"/>
        </w:rPr>
        <w:t xml:space="preserve">regarding when </w:t>
      </w:r>
      <w:r w:rsidR="001566CE">
        <w:rPr>
          <w:bCs/>
          <w:lang w:val="en-GB"/>
        </w:rPr>
        <w:t xml:space="preserve">pending </w:t>
      </w:r>
      <w:r w:rsidRPr="00440196">
        <w:rPr>
          <w:bCs/>
          <w:lang w:val="en-GB"/>
        </w:rPr>
        <w:t xml:space="preserve">assessments </w:t>
      </w:r>
      <w:r w:rsidR="00855072" w:rsidRPr="00440196">
        <w:rPr>
          <w:bCs/>
          <w:lang w:val="en-GB"/>
        </w:rPr>
        <w:t>should commence</w:t>
      </w:r>
      <w:r w:rsidRPr="00440196">
        <w:rPr>
          <w:bCs/>
          <w:lang w:val="en-GB"/>
        </w:rPr>
        <w:t xml:space="preserve">. </w:t>
      </w:r>
      <w:r w:rsidR="00855072" w:rsidRPr="00440196">
        <w:rPr>
          <w:bCs/>
          <w:lang w:val="en-GB"/>
        </w:rPr>
        <w:t>S</w:t>
      </w:r>
      <w:r w:rsidRPr="00440196">
        <w:rPr>
          <w:bCs/>
          <w:lang w:val="en-GB"/>
        </w:rPr>
        <w:t xml:space="preserve">everal </w:t>
      </w:r>
      <w:r w:rsidR="00855072" w:rsidRPr="00440196">
        <w:rPr>
          <w:bCs/>
          <w:lang w:val="en-GB"/>
        </w:rPr>
        <w:t>representatives</w:t>
      </w:r>
      <w:r w:rsidRPr="00440196">
        <w:rPr>
          <w:bCs/>
          <w:lang w:val="en-GB"/>
        </w:rPr>
        <w:t xml:space="preserve"> said that the</w:t>
      </w:r>
      <w:r w:rsidR="00855072" w:rsidRPr="00440196">
        <w:rPr>
          <w:bCs/>
          <w:lang w:val="en-GB"/>
        </w:rPr>
        <w:t>y</w:t>
      </w:r>
      <w:r w:rsidRPr="00440196">
        <w:rPr>
          <w:bCs/>
          <w:lang w:val="en-GB"/>
        </w:rPr>
        <w:t xml:space="preserve"> should not begin unti</w:t>
      </w:r>
      <w:r w:rsidR="00855072" w:rsidRPr="00440196">
        <w:rPr>
          <w:bCs/>
          <w:lang w:val="en-GB"/>
        </w:rPr>
        <w:t>l financial and human capacity we</w:t>
      </w:r>
      <w:r w:rsidRPr="00440196">
        <w:rPr>
          <w:bCs/>
          <w:lang w:val="en-GB"/>
        </w:rPr>
        <w:t xml:space="preserve">re </w:t>
      </w:r>
      <w:r w:rsidR="001566CE">
        <w:rPr>
          <w:bCs/>
          <w:lang w:val="en-GB"/>
        </w:rPr>
        <w:t>available</w:t>
      </w:r>
      <w:r w:rsidRPr="00440196">
        <w:rPr>
          <w:bCs/>
          <w:lang w:val="en-GB"/>
        </w:rPr>
        <w:t xml:space="preserve"> to support them, while others said that the</w:t>
      </w:r>
      <w:r w:rsidR="00855072" w:rsidRPr="00440196">
        <w:rPr>
          <w:bCs/>
          <w:lang w:val="en-GB"/>
        </w:rPr>
        <w:t>ir</w:t>
      </w:r>
      <w:r w:rsidRPr="00440196">
        <w:rPr>
          <w:bCs/>
          <w:lang w:val="en-GB"/>
        </w:rPr>
        <w:t xml:space="preserve"> </w:t>
      </w:r>
      <w:r w:rsidR="00855072" w:rsidRPr="00440196">
        <w:rPr>
          <w:bCs/>
          <w:lang w:val="en-GB"/>
        </w:rPr>
        <w:t>schedules</w:t>
      </w:r>
      <w:r w:rsidRPr="00440196">
        <w:rPr>
          <w:bCs/>
          <w:lang w:val="en-GB"/>
        </w:rPr>
        <w:t xml:space="preserve"> had already been agreed on by the Plenary as part of the </w:t>
      </w:r>
      <w:r w:rsidR="00855072" w:rsidRPr="00440196">
        <w:rPr>
          <w:bCs/>
          <w:lang w:val="en-GB"/>
        </w:rPr>
        <w:t>current work programme, which wa</w:t>
      </w:r>
      <w:r w:rsidRPr="00440196">
        <w:rPr>
          <w:bCs/>
          <w:lang w:val="en-GB"/>
        </w:rPr>
        <w:t xml:space="preserve">s a response to the dire need for action to address biodiversity loss, and </w:t>
      </w:r>
      <w:r w:rsidR="00B6734C" w:rsidRPr="00440196">
        <w:rPr>
          <w:bCs/>
          <w:lang w:val="en-GB"/>
        </w:rPr>
        <w:t xml:space="preserve">that delaying them would deprive end </w:t>
      </w:r>
      <w:r w:rsidRPr="00440196">
        <w:rPr>
          <w:bCs/>
          <w:lang w:val="en-GB"/>
        </w:rPr>
        <w:t xml:space="preserve">users of their products. One </w:t>
      </w:r>
      <w:r w:rsidR="00E5700A" w:rsidRPr="00440196">
        <w:rPr>
          <w:bCs/>
          <w:lang w:val="en-GB"/>
        </w:rPr>
        <w:t>representative</w:t>
      </w:r>
      <w:r w:rsidRPr="00440196">
        <w:rPr>
          <w:bCs/>
          <w:lang w:val="en-GB"/>
        </w:rPr>
        <w:t xml:space="preserve"> suggested that </w:t>
      </w:r>
      <w:r w:rsidR="00672960" w:rsidRPr="00440196">
        <w:rPr>
          <w:bCs/>
          <w:lang w:val="en-GB"/>
        </w:rPr>
        <w:t xml:space="preserve">in the worst case </w:t>
      </w:r>
      <w:r w:rsidRPr="00440196">
        <w:rPr>
          <w:bCs/>
          <w:lang w:val="en-GB"/>
        </w:rPr>
        <w:t xml:space="preserve">the assessments </w:t>
      </w:r>
      <w:r w:rsidR="00672960" w:rsidRPr="00440196">
        <w:rPr>
          <w:bCs/>
          <w:lang w:val="en-GB"/>
        </w:rPr>
        <w:t xml:space="preserve">could </w:t>
      </w:r>
      <w:r w:rsidRPr="00440196">
        <w:rPr>
          <w:bCs/>
          <w:lang w:val="en-GB"/>
        </w:rPr>
        <w:t xml:space="preserve">be postponed but </w:t>
      </w:r>
      <w:r w:rsidR="00672960" w:rsidRPr="00440196">
        <w:rPr>
          <w:bCs/>
          <w:lang w:val="en-GB"/>
        </w:rPr>
        <w:t xml:space="preserve">should </w:t>
      </w:r>
      <w:r w:rsidRPr="00440196">
        <w:rPr>
          <w:bCs/>
          <w:lang w:val="en-GB"/>
        </w:rPr>
        <w:t xml:space="preserve">not </w:t>
      </w:r>
      <w:r w:rsidR="00672960" w:rsidRPr="00440196">
        <w:rPr>
          <w:bCs/>
          <w:lang w:val="en-GB"/>
        </w:rPr>
        <w:t xml:space="preserve">be </w:t>
      </w:r>
      <w:r w:rsidRPr="00440196">
        <w:rPr>
          <w:bCs/>
          <w:lang w:val="en-GB"/>
        </w:rPr>
        <w:t xml:space="preserve">cancelled, while another </w:t>
      </w:r>
      <w:r w:rsidR="00262292" w:rsidRPr="00440196">
        <w:rPr>
          <w:bCs/>
          <w:lang w:val="en-GB"/>
        </w:rPr>
        <w:t xml:space="preserve">said </w:t>
      </w:r>
      <w:r w:rsidRPr="00440196">
        <w:rPr>
          <w:bCs/>
          <w:lang w:val="en-GB"/>
        </w:rPr>
        <w:t>that</w:t>
      </w:r>
      <w:r w:rsidR="00B6734C" w:rsidRPr="00440196">
        <w:rPr>
          <w:bCs/>
          <w:lang w:val="en-GB"/>
        </w:rPr>
        <w:t xml:space="preserve"> once </w:t>
      </w:r>
      <w:r w:rsidRPr="00440196">
        <w:rPr>
          <w:bCs/>
          <w:lang w:val="en-GB"/>
        </w:rPr>
        <w:t>the regional and land degradation and restoration assessments</w:t>
      </w:r>
      <w:r w:rsidR="00B6734C" w:rsidRPr="00440196">
        <w:rPr>
          <w:bCs/>
          <w:lang w:val="en-GB"/>
        </w:rPr>
        <w:t xml:space="preserve"> were complete</w:t>
      </w:r>
      <w:r w:rsidRPr="00440196">
        <w:rPr>
          <w:bCs/>
          <w:lang w:val="en-GB"/>
        </w:rPr>
        <w:t xml:space="preserve"> at least human </w:t>
      </w:r>
      <w:r w:rsidR="000361FA" w:rsidRPr="00440196">
        <w:rPr>
          <w:bCs/>
          <w:lang w:val="en-GB"/>
        </w:rPr>
        <w:t>resources</w:t>
      </w:r>
      <w:r w:rsidRPr="00440196">
        <w:rPr>
          <w:bCs/>
          <w:lang w:val="en-GB"/>
        </w:rPr>
        <w:t xml:space="preserve"> could be </w:t>
      </w:r>
      <w:r w:rsidR="00F31A2F" w:rsidRPr="00440196">
        <w:rPr>
          <w:bCs/>
          <w:lang w:val="en-GB"/>
        </w:rPr>
        <w:t>deployed</w:t>
      </w:r>
      <w:r w:rsidRPr="00440196">
        <w:rPr>
          <w:bCs/>
          <w:lang w:val="en-GB"/>
        </w:rPr>
        <w:t xml:space="preserve"> to </w:t>
      </w:r>
      <w:r w:rsidR="00B6734C" w:rsidRPr="00440196">
        <w:rPr>
          <w:bCs/>
          <w:lang w:val="en-GB"/>
        </w:rPr>
        <w:t>begin</w:t>
      </w:r>
      <w:r w:rsidRPr="00440196">
        <w:rPr>
          <w:bCs/>
          <w:lang w:val="en-GB"/>
        </w:rPr>
        <w:t xml:space="preserve"> the </w:t>
      </w:r>
      <w:r w:rsidR="00E40B08" w:rsidRPr="00440196">
        <w:rPr>
          <w:bCs/>
          <w:lang w:val="en-GB"/>
        </w:rPr>
        <w:t xml:space="preserve">pending </w:t>
      </w:r>
      <w:r w:rsidRPr="00440196">
        <w:rPr>
          <w:bCs/>
          <w:lang w:val="en-GB"/>
        </w:rPr>
        <w:t>methodological and thematic assessments.</w:t>
      </w:r>
    </w:p>
    <w:p w14:paraId="7D6100F3" w14:textId="7029814C" w:rsidR="00443A2E" w:rsidRPr="00440196"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
          <w:bCs/>
          <w:lang w:val="en-GB"/>
        </w:rPr>
      </w:pPr>
      <w:r w:rsidRPr="00440196">
        <w:rPr>
          <w:bCs/>
          <w:lang w:val="en-GB"/>
        </w:rPr>
        <w:t>While suggestions for efficiencies in response to the budgetary defic</w:t>
      </w:r>
      <w:r w:rsidRPr="001B4189">
        <w:rPr>
          <w:bCs/>
          <w:lang w:val="en-GB"/>
        </w:rPr>
        <w:t>it were acknowledged, two speakers expressed concern over the suggestion to increase the use of remote conferenci</w:t>
      </w:r>
      <w:r w:rsidRPr="00440196">
        <w:rPr>
          <w:bCs/>
          <w:lang w:val="en-GB"/>
        </w:rPr>
        <w:t xml:space="preserve">ng, with one citing weak internet in some </w:t>
      </w:r>
      <w:r w:rsidR="00EC12E4" w:rsidRPr="00440196">
        <w:rPr>
          <w:bCs/>
          <w:lang w:val="en-GB"/>
        </w:rPr>
        <w:t>regions</w:t>
      </w:r>
      <w:r w:rsidRPr="00440196">
        <w:rPr>
          <w:bCs/>
          <w:lang w:val="en-GB"/>
        </w:rPr>
        <w:t xml:space="preserve"> and the other the need for face-to-face contact to facilitate interaction and knowledge exchange.</w:t>
      </w:r>
    </w:p>
    <w:p w14:paraId="5D1F132D" w14:textId="2BB9A20F" w:rsidR="00443A2E" w:rsidRPr="00440196" w:rsidRDefault="00C3084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
          <w:bCs/>
          <w:lang w:val="en-GB"/>
        </w:rPr>
      </w:pPr>
      <w:r w:rsidRPr="00440196">
        <w:rPr>
          <w:bCs/>
          <w:lang w:val="en-GB"/>
        </w:rPr>
        <w:t>One representative a</w:t>
      </w:r>
      <w:r w:rsidR="00443A2E" w:rsidRPr="00440196">
        <w:rPr>
          <w:bCs/>
          <w:lang w:val="en-GB"/>
        </w:rPr>
        <w:t xml:space="preserve">sked that the land degradation and restoration assessment </w:t>
      </w:r>
      <w:r w:rsidR="00F0054B" w:rsidRPr="00A43468">
        <w:rPr>
          <w:bCs/>
          <w:lang w:val="en-GB"/>
        </w:rPr>
        <w:t>specifically address</w:t>
      </w:r>
      <w:r w:rsidR="00F0054B" w:rsidRPr="00440196">
        <w:rPr>
          <w:bCs/>
          <w:lang w:val="en-GB"/>
        </w:rPr>
        <w:t xml:space="preserve"> </w:t>
      </w:r>
      <w:r w:rsidR="00443A2E" w:rsidRPr="00440196">
        <w:rPr>
          <w:bCs/>
          <w:lang w:val="en-GB"/>
        </w:rPr>
        <w:t>certain key environme</w:t>
      </w:r>
      <w:r w:rsidRPr="00440196">
        <w:rPr>
          <w:bCs/>
          <w:lang w:val="en-GB"/>
        </w:rPr>
        <w:t>ntal issues in his country.</w:t>
      </w:r>
      <w:r w:rsidR="00D017D6" w:rsidRPr="00440196">
        <w:rPr>
          <w:bCs/>
          <w:lang w:val="en-GB"/>
        </w:rPr>
        <w:t xml:space="preserve"> </w:t>
      </w:r>
    </w:p>
    <w:p w14:paraId="73F366E2" w14:textId="1F0A4DDC" w:rsidR="00443A2E" w:rsidRPr="00440196"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bCs/>
          <w:lang w:val="en-GB"/>
        </w:rPr>
        <w:t xml:space="preserve">A budget group, </w:t>
      </w:r>
      <w:r w:rsidR="00F03002" w:rsidRPr="00440196">
        <w:rPr>
          <w:bCs/>
          <w:lang w:val="en-GB"/>
        </w:rPr>
        <w:t>co-</w:t>
      </w:r>
      <w:r w:rsidRPr="00440196">
        <w:rPr>
          <w:bCs/>
          <w:lang w:val="en-GB"/>
        </w:rPr>
        <w:t xml:space="preserve">chaired by Bureau members </w:t>
      </w:r>
      <w:proofErr w:type="spellStart"/>
      <w:r w:rsidR="006525A8" w:rsidRPr="00440196">
        <w:rPr>
          <w:bCs/>
          <w:lang w:val="en-GB"/>
        </w:rPr>
        <w:t>Mr.</w:t>
      </w:r>
      <w:proofErr w:type="spellEnd"/>
      <w:r w:rsidR="006525A8" w:rsidRPr="00440196">
        <w:rPr>
          <w:bCs/>
          <w:lang w:val="en-GB"/>
        </w:rPr>
        <w:t xml:space="preserve"> </w:t>
      </w:r>
      <w:proofErr w:type="spellStart"/>
      <w:r w:rsidRPr="00440196">
        <w:rPr>
          <w:lang w:val="en-GB"/>
        </w:rPr>
        <w:t>Asghar</w:t>
      </w:r>
      <w:proofErr w:type="spellEnd"/>
      <w:r w:rsidRPr="00440196">
        <w:rPr>
          <w:lang w:val="en-GB"/>
        </w:rPr>
        <w:t xml:space="preserve"> </w:t>
      </w:r>
      <w:proofErr w:type="spellStart"/>
      <w:r w:rsidR="006525A8" w:rsidRPr="00440196">
        <w:rPr>
          <w:lang w:val="en-GB"/>
        </w:rPr>
        <w:t>Mohammadi</w:t>
      </w:r>
      <w:proofErr w:type="spellEnd"/>
      <w:r w:rsidR="006525A8" w:rsidRPr="00440196">
        <w:rPr>
          <w:lang w:val="en-GB"/>
        </w:rPr>
        <w:t xml:space="preserve"> </w:t>
      </w:r>
      <w:proofErr w:type="spellStart"/>
      <w:r w:rsidRPr="00440196">
        <w:rPr>
          <w:lang w:val="en-GB"/>
        </w:rPr>
        <w:t>Fazel</w:t>
      </w:r>
      <w:proofErr w:type="spellEnd"/>
      <w:r w:rsidRPr="00440196">
        <w:rPr>
          <w:lang w:val="en-GB"/>
        </w:rPr>
        <w:t xml:space="preserve"> </w:t>
      </w:r>
      <w:r w:rsidR="0009015E" w:rsidRPr="00440196">
        <w:rPr>
          <w:lang w:val="en-GB"/>
        </w:rPr>
        <w:t>(</w:t>
      </w:r>
      <w:r w:rsidR="006525A8" w:rsidRPr="00440196">
        <w:rPr>
          <w:lang w:val="en-GB"/>
        </w:rPr>
        <w:t>Islamic Republic of Iran</w:t>
      </w:r>
      <w:r w:rsidR="0009015E" w:rsidRPr="00440196">
        <w:rPr>
          <w:lang w:val="en-GB"/>
        </w:rPr>
        <w:t xml:space="preserve">) </w:t>
      </w:r>
      <w:r w:rsidRPr="00440196">
        <w:rPr>
          <w:lang w:val="en-GB"/>
        </w:rPr>
        <w:t xml:space="preserve">and </w:t>
      </w:r>
      <w:proofErr w:type="spellStart"/>
      <w:r w:rsidR="006525A8" w:rsidRPr="00440196">
        <w:rPr>
          <w:lang w:val="en-GB"/>
        </w:rPr>
        <w:t>Mr.</w:t>
      </w:r>
      <w:proofErr w:type="spellEnd"/>
      <w:r w:rsidR="006525A8" w:rsidRPr="00440196">
        <w:rPr>
          <w:lang w:val="en-GB"/>
        </w:rPr>
        <w:t xml:space="preserve"> </w:t>
      </w:r>
      <w:r w:rsidRPr="00440196">
        <w:rPr>
          <w:lang w:val="en-GB"/>
        </w:rPr>
        <w:t>Spencer Thomas</w:t>
      </w:r>
      <w:r w:rsidR="006525A8" w:rsidRPr="00440196">
        <w:rPr>
          <w:lang w:val="en-GB"/>
        </w:rPr>
        <w:t xml:space="preserve"> (Grenada</w:t>
      </w:r>
      <w:r w:rsidR="0009015E" w:rsidRPr="00440196">
        <w:rPr>
          <w:lang w:val="en-GB"/>
        </w:rPr>
        <w:t>)</w:t>
      </w:r>
      <w:r w:rsidRPr="00440196">
        <w:rPr>
          <w:lang w:val="en-GB"/>
        </w:rPr>
        <w:t>, was</w:t>
      </w:r>
      <w:r w:rsidRPr="00440196">
        <w:rPr>
          <w:bCs/>
          <w:lang w:val="en-GB"/>
        </w:rPr>
        <w:t xml:space="preserve"> </w:t>
      </w:r>
      <w:r w:rsidR="00C3084E" w:rsidRPr="00440196">
        <w:rPr>
          <w:bCs/>
          <w:lang w:val="en-GB"/>
        </w:rPr>
        <w:t xml:space="preserve">established </w:t>
      </w:r>
      <w:r w:rsidRPr="00440196">
        <w:rPr>
          <w:bCs/>
          <w:lang w:val="en-GB"/>
        </w:rPr>
        <w:t xml:space="preserve">with </w:t>
      </w:r>
      <w:r w:rsidR="00C3084E" w:rsidRPr="00440196">
        <w:rPr>
          <w:bCs/>
          <w:lang w:val="en-GB"/>
        </w:rPr>
        <w:t>the mandate to consider</w:t>
      </w:r>
      <w:r w:rsidRPr="00440196">
        <w:rPr>
          <w:bCs/>
          <w:lang w:val="en-GB"/>
        </w:rPr>
        <w:t xml:space="preserve"> the item further </w:t>
      </w:r>
      <w:r w:rsidR="00C3084E" w:rsidRPr="00440196">
        <w:rPr>
          <w:bCs/>
          <w:lang w:val="en-GB"/>
        </w:rPr>
        <w:t>with the aim of resolving</w:t>
      </w:r>
      <w:r w:rsidRPr="00440196">
        <w:rPr>
          <w:bCs/>
          <w:lang w:val="en-GB"/>
        </w:rPr>
        <w:t xml:space="preserve"> </w:t>
      </w:r>
      <w:r w:rsidR="00C3084E" w:rsidRPr="00440196">
        <w:rPr>
          <w:bCs/>
          <w:lang w:val="en-GB"/>
        </w:rPr>
        <w:t>differences and proposing</w:t>
      </w:r>
      <w:r w:rsidRPr="00440196">
        <w:rPr>
          <w:bCs/>
          <w:lang w:val="en-GB"/>
        </w:rPr>
        <w:t xml:space="preserve"> a way forward.</w:t>
      </w:r>
      <w:r w:rsidR="00F03002" w:rsidRPr="00440196">
        <w:rPr>
          <w:bCs/>
          <w:lang w:val="en-GB"/>
        </w:rPr>
        <w:t xml:space="preserve"> </w:t>
      </w:r>
    </w:p>
    <w:p w14:paraId="26B83ED2" w14:textId="6F0588BD" w:rsidR="00683D34" w:rsidRPr="00440196" w:rsidRDefault="007835D4"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Following the work of the budget group its </w:t>
      </w:r>
      <w:r w:rsidR="00882177" w:rsidRPr="00440196">
        <w:rPr>
          <w:lang w:val="en-GB"/>
        </w:rPr>
        <w:t>co-</w:t>
      </w:r>
      <w:r w:rsidRPr="00440196">
        <w:rPr>
          <w:lang w:val="en-GB"/>
        </w:rPr>
        <w:t xml:space="preserve">chair reported that the group had reached agreement on a </w:t>
      </w:r>
      <w:r w:rsidR="00B3596B" w:rsidRPr="00440196">
        <w:rPr>
          <w:lang w:val="en-GB"/>
        </w:rPr>
        <w:t xml:space="preserve">draft fundraising strategy for consideration by the Plenary. The group had been unable to reach agreement, however, on </w:t>
      </w:r>
      <w:r w:rsidRPr="00440196">
        <w:rPr>
          <w:lang w:val="en-GB"/>
        </w:rPr>
        <w:t>budget</w:t>
      </w:r>
      <w:r w:rsidR="00564F6E" w:rsidRPr="00440196">
        <w:rPr>
          <w:lang w:val="en-GB"/>
        </w:rPr>
        <w:t>s</w:t>
      </w:r>
      <w:r w:rsidRPr="00440196">
        <w:rPr>
          <w:lang w:val="en-GB"/>
        </w:rPr>
        <w:t xml:space="preserve"> for 2017</w:t>
      </w:r>
      <w:r w:rsidR="00B3596B" w:rsidRPr="00440196">
        <w:rPr>
          <w:lang w:val="en-GB"/>
        </w:rPr>
        <w:t>, 2018 and 2019</w:t>
      </w:r>
      <w:r w:rsidRPr="00440196">
        <w:rPr>
          <w:lang w:val="en-GB"/>
        </w:rPr>
        <w:t>.</w:t>
      </w:r>
      <w:r w:rsidR="00345841" w:rsidRPr="00440196">
        <w:rPr>
          <w:lang w:val="en-GB"/>
        </w:rPr>
        <w:t xml:space="preserve"> The contact group had prepared a draft decision </w:t>
      </w:r>
      <w:r w:rsidR="001566CE" w:rsidRPr="00440196">
        <w:rPr>
          <w:lang w:val="en-GB"/>
        </w:rPr>
        <w:t>(IPBES/5/L.8)</w:t>
      </w:r>
      <w:r w:rsidR="001566CE">
        <w:rPr>
          <w:lang w:val="en-GB"/>
        </w:rPr>
        <w:t xml:space="preserve"> </w:t>
      </w:r>
      <w:r w:rsidR="00345841" w:rsidRPr="00440196">
        <w:rPr>
          <w:lang w:val="en-GB"/>
        </w:rPr>
        <w:t xml:space="preserve">and accompanying </w:t>
      </w:r>
      <w:r w:rsidR="00526AE4" w:rsidRPr="00440196">
        <w:rPr>
          <w:lang w:val="en-GB"/>
        </w:rPr>
        <w:t>annexes</w:t>
      </w:r>
      <w:r w:rsidR="00345841" w:rsidRPr="00440196">
        <w:rPr>
          <w:lang w:val="en-GB"/>
        </w:rPr>
        <w:t>, including square brackets around text that had not been agreed, for consideration by the Plenary.</w:t>
      </w:r>
    </w:p>
    <w:p w14:paraId="79BBAD20" w14:textId="1040D9B5" w:rsidR="005A6FCC" w:rsidRPr="00440196" w:rsidRDefault="00683D34"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At the request of the Chair the Executive Secretary then presented a document showing the amounts required to operate the </w:t>
      </w:r>
      <w:r w:rsidR="00EC1690" w:rsidRPr="00440196">
        <w:rPr>
          <w:lang w:val="en-GB"/>
        </w:rPr>
        <w:t>secretariat</w:t>
      </w:r>
      <w:r w:rsidRPr="00440196">
        <w:rPr>
          <w:lang w:val="en-GB"/>
        </w:rPr>
        <w:t xml:space="preserve"> and undertake the programme</w:t>
      </w:r>
      <w:r w:rsidR="00EC1690" w:rsidRPr="00440196">
        <w:rPr>
          <w:lang w:val="en-GB"/>
        </w:rPr>
        <w:t xml:space="preserve"> of work in 2017, 2018 and 2019</w:t>
      </w:r>
      <w:r w:rsidR="006342E9" w:rsidRPr="00440196">
        <w:rPr>
          <w:lang w:val="en-GB"/>
        </w:rPr>
        <w:t xml:space="preserve">, along with </w:t>
      </w:r>
      <w:r w:rsidRPr="00440196">
        <w:rPr>
          <w:lang w:val="en-GB"/>
        </w:rPr>
        <w:t xml:space="preserve">the cumulative amount of available funds and resulting funding </w:t>
      </w:r>
      <w:r w:rsidR="006342E9" w:rsidRPr="00440196">
        <w:rPr>
          <w:lang w:val="en-GB"/>
        </w:rPr>
        <w:t xml:space="preserve">surplus or </w:t>
      </w:r>
      <w:r w:rsidRPr="00440196">
        <w:rPr>
          <w:lang w:val="en-GB"/>
        </w:rPr>
        <w:t>shortfall</w:t>
      </w:r>
      <w:r w:rsidR="006342E9" w:rsidRPr="00440196">
        <w:rPr>
          <w:lang w:val="en-GB"/>
        </w:rPr>
        <w:t xml:space="preserve"> in each of those years</w:t>
      </w:r>
      <w:r w:rsidRPr="00440196">
        <w:rPr>
          <w:lang w:val="en-GB"/>
        </w:rPr>
        <w:t>.</w:t>
      </w:r>
      <w:r w:rsidR="005A6FCC" w:rsidRPr="00440196">
        <w:rPr>
          <w:lang w:val="en-GB"/>
        </w:rPr>
        <w:t xml:space="preserve"> Explaining the assumptions regarding the projected available funds and noting that the amounts required to undertake the programme of work did n</w:t>
      </w:r>
      <w:r w:rsidR="00945DB6" w:rsidRPr="00440196">
        <w:rPr>
          <w:lang w:val="en-GB"/>
        </w:rPr>
        <w:t>ot include the approximately $1 </w:t>
      </w:r>
      <w:r w:rsidR="005A6FCC" w:rsidRPr="00440196">
        <w:rPr>
          <w:lang w:val="en-GB"/>
        </w:rPr>
        <w:t>million that would be needed to undertake</w:t>
      </w:r>
      <w:r w:rsidR="00A70A8E">
        <w:rPr>
          <w:lang w:val="en-GB"/>
        </w:rPr>
        <w:t xml:space="preserve"> each of</w:t>
      </w:r>
      <w:r w:rsidR="005A6FCC" w:rsidRPr="00440196">
        <w:rPr>
          <w:lang w:val="en-GB"/>
        </w:rPr>
        <w:t xml:space="preserve"> the </w:t>
      </w:r>
      <w:r w:rsidR="007B6D06" w:rsidRPr="00440196">
        <w:rPr>
          <w:lang w:val="en-GB"/>
        </w:rPr>
        <w:t xml:space="preserve">three </w:t>
      </w:r>
      <w:r w:rsidR="005A6FCC" w:rsidRPr="00440196">
        <w:rPr>
          <w:lang w:val="en-GB"/>
        </w:rPr>
        <w:t xml:space="preserve">pending assessments, she said that, as shown in the document, </w:t>
      </w:r>
      <w:r w:rsidR="00BC1088">
        <w:rPr>
          <w:lang w:val="en-GB"/>
        </w:rPr>
        <w:t>there would be a surplus at</w:t>
      </w:r>
      <w:r w:rsidR="005E0A77" w:rsidRPr="00440196">
        <w:rPr>
          <w:lang w:val="en-GB"/>
        </w:rPr>
        <w:t xml:space="preserve"> the end of 2017 of approximately $708,000 followed by shortfalls of </w:t>
      </w:r>
      <w:r w:rsidR="005A6FCC" w:rsidRPr="00440196">
        <w:rPr>
          <w:lang w:val="en-GB"/>
        </w:rPr>
        <w:t xml:space="preserve">approximately $2 million for 2018 and </w:t>
      </w:r>
      <w:r w:rsidR="005E0A77" w:rsidRPr="00440196">
        <w:rPr>
          <w:lang w:val="en-GB"/>
        </w:rPr>
        <w:t xml:space="preserve">approximately </w:t>
      </w:r>
      <w:r w:rsidR="005A6FCC" w:rsidRPr="00440196">
        <w:rPr>
          <w:lang w:val="en-GB"/>
        </w:rPr>
        <w:t>$3.5 million for 2019.</w:t>
      </w:r>
    </w:p>
    <w:p w14:paraId="08332734" w14:textId="695656D3" w:rsidR="002949EB" w:rsidRPr="00440196" w:rsidRDefault="005A6FC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In the ensuing discussion agreement </w:t>
      </w:r>
      <w:r w:rsidR="005E0A77" w:rsidRPr="00440196">
        <w:rPr>
          <w:lang w:val="en-GB"/>
        </w:rPr>
        <w:t>was rapidly reached</w:t>
      </w:r>
      <w:r w:rsidR="00EC77C3" w:rsidRPr="00440196">
        <w:rPr>
          <w:lang w:val="en-GB"/>
        </w:rPr>
        <w:t xml:space="preserve"> to adopt the draft fundraising strategy and </w:t>
      </w:r>
      <w:r w:rsidR="005E0A77" w:rsidRPr="00440196">
        <w:rPr>
          <w:lang w:val="en-GB"/>
        </w:rPr>
        <w:t xml:space="preserve">on the </w:t>
      </w:r>
      <w:r w:rsidR="00EC77C3" w:rsidRPr="00440196">
        <w:rPr>
          <w:lang w:val="en-GB"/>
        </w:rPr>
        <w:t xml:space="preserve">amount of the </w:t>
      </w:r>
      <w:r w:rsidR="005E0A77" w:rsidRPr="00440196">
        <w:rPr>
          <w:lang w:val="en-GB"/>
        </w:rPr>
        <w:t>budget for 2017, for which there were adequate funds pledged and on hand. There was considerable debate, however, regarding the amount that should be budgeted for 2018.</w:t>
      </w:r>
      <w:r w:rsidR="00683D34" w:rsidRPr="00440196">
        <w:rPr>
          <w:lang w:val="en-GB"/>
        </w:rPr>
        <w:t xml:space="preserve"> </w:t>
      </w:r>
      <w:r w:rsidR="00EC77C3" w:rsidRPr="00440196">
        <w:rPr>
          <w:lang w:val="en-GB"/>
        </w:rPr>
        <w:t xml:space="preserve">Several representatives argued that the adopted budget should provide funds at least adequate to complete </w:t>
      </w:r>
      <w:r w:rsidR="00AC10C0" w:rsidRPr="00440196">
        <w:rPr>
          <w:lang w:val="en-GB"/>
        </w:rPr>
        <w:t xml:space="preserve">the </w:t>
      </w:r>
      <w:r w:rsidR="00EC77C3" w:rsidRPr="00440196">
        <w:rPr>
          <w:lang w:val="en-GB"/>
        </w:rPr>
        <w:t xml:space="preserve">activities in the first programme of work that had already been begun, while others added that it should also include funds </w:t>
      </w:r>
      <w:r w:rsidR="00D124A3" w:rsidRPr="00440196">
        <w:rPr>
          <w:lang w:val="en-GB"/>
        </w:rPr>
        <w:t xml:space="preserve">sufficient </w:t>
      </w:r>
      <w:r w:rsidR="00EC77C3" w:rsidRPr="00440196">
        <w:rPr>
          <w:lang w:val="en-GB"/>
        </w:rPr>
        <w:t xml:space="preserve">to undertake the pending assessments. Other representatives, however, expressed disquiet at the prospect of adopting a budget that was significantly larger than </w:t>
      </w:r>
      <w:r w:rsidR="00ED57E0" w:rsidRPr="00440196">
        <w:rPr>
          <w:lang w:val="en-GB"/>
        </w:rPr>
        <w:t xml:space="preserve">the funds that were </w:t>
      </w:r>
      <w:r w:rsidR="00EC77C3" w:rsidRPr="00440196">
        <w:rPr>
          <w:lang w:val="en-GB"/>
        </w:rPr>
        <w:t xml:space="preserve">currently expected </w:t>
      </w:r>
      <w:r w:rsidR="00ED57E0" w:rsidRPr="00440196">
        <w:rPr>
          <w:lang w:val="en-GB"/>
        </w:rPr>
        <w:t>to be available</w:t>
      </w:r>
      <w:r w:rsidR="00EC77C3" w:rsidRPr="00440196">
        <w:rPr>
          <w:lang w:val="en-GB"/>
        </w:rPr>
        <w:t>.</w:t>
      </w:r>
      <w:r w:rsidR="00F376A9" w:rsidRPr="00440196">
        <w:rPr>
          <w:lang w:val="en-GB"/>
        </w:rPr>
        <w:t xml:space="preserve"> Several representatives said that the Plenary must </w:t>
      </w:r>
      <w:r w:rsidR="004F019B" w:rsidRPr="00440196">
        <w:rPr>
          <w:lang w:val="en-GB"/>
        </w:rPr>
        <w:t>address</w:t>
      </w:r>
      <w:r w:rsidR="00F376A9" w:rsidRPr="00440196">
        <w:rPr>
          <w:lang w:val="en-GB"/>
        </w:rPr>
        <w:t xml:space="preserve"> the issue of fundraising in a considered manner at its next session, while the Chair remarked that the Plenary had just approved a fundraising strategy and that it was vital that the resource mobilization officer to be sponsored by the French Government in accordance with that strategy begin his or her work as soon as possible.</w:t>
      </w:r>
      <w:r w:rsidR="00D124A3" w:rsidRPr="00440196">
        <w:rPr>
          <w:lang w:val="en-GB"/>
        </w:rPr>
        <w:t xml:space="preserve"> </w:t>
      </w:r>
    </w:p>
    <w:p w14:paraId="384BE711" w14:textId="4B7432F4" w:rsidR="00B47AE3" w:rsidRPr="00440196" w:rsidRDefault="00D124A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Taking into account the amount required to operate the secretariat, conduct the sixth session </w:t>
      </w:r>
      <w:r w:rsidR="00CA71E5" w:rsidRPr="00440196">
        <w:rPr>
          <w:lang w:val="en-GB"/>
        </w:rPr>
        <w:t xml:space="preserve">of the Plenary </w:t>
      </w:r>
      <w:r w:rsidRPr="00440196">
        <w:rPr>
          <w:lang w:val="en-GB"/>
        </w:rPr>
        <w:t xml:space="preserve">and carry out activities that had already been begun, the Plenary </w:t>
      </w:r>
      <w:r w:rsidR="000429D4" w:rsidRPr="00440196">
        <w:rPr>
          <w:lang w:val="en-GB"/>
        </w:rPr>
        <w:t>approved</w:t>
      </w:r>
      <w:r w:rsidRPr="00440196">
        <w:rPr>
          <w:lang w:val="en-GB"/>
        </w:rPr>
        <w:t xml:space="preserve"> a 2018 budget in the amount of $5 million</w:t>
      </w:r>
      <w:r w:rsidR="000429D4" w:rsidRPr="00440196">
        <w:rPr>
          <w:lang w:val="en-GB"/>
        </w:rPr>
        <w:t xml:space="preserve">, agreeing that </w:t>
      </w:r>
      <w:r w:rsidR="00DE1F33" w:rsidRPr="00440196">
        <w:rPr>
          <w:lang w:val="en-GB"/>
        </w:rPr>
        <w:t xml:space="preserve">it would revisit the matter at its sixth session and that </w:t>
      </w:r>
      <w:r w:rsidR="000429D4" w:rsidRPr="00440196">
        <w:rPr>
          <w:lang w:val="en-GB"/>
        </w:rPr>
        <w:t xml:space="preserve">the secretariat would undertake an analysis of possible budgets both below and above that amount for consideration at </w:t>
      </w:r>
      <w:r w:rsidR="00DE1F33" w:rsidRPr="00440196">
        <w:rPr>
          <w:lang w:val="en-GB"/>
        </w:rPr>
        <w:t>that</w:t>
      </w:r>
      <w:r w:rsidR="000429D4" w:rsidRPr="00440196">
        <w:rPr>
          <w:lang w:val="en-GB"/>
        </w:rPr>
        <w:t xml:space="preserve"> session</w:t>
      </w:r>
      <w:r w:rsidRPr="00440196">
        <w:rPr>
          <w:lang w:val="en-GB"/>
        </w:rPr>
        <w:t xml:space="preserve">. Owing to a lack of time the Plenary decided not to </w:t>
      </w:r>
      <w:r w:rsidR="00DE1F33" w:rsidRPr="00440196">
        <w:rPr>
          <w:lang w:val="en-GB"/>
        </w:rPr>
        <w:t>discuss the</w:t>
      </w:r>
      <w:r w:rsidRPr="00440196">
        <w:rPr>
          <w:lang w:val="en-GB"/>
        </w:rPr>
        <w:t xml:space="preserve"> budget for 2019 and to </w:t>
      </w:r>
      <w:r w:rsidR="00DE1F33" w:rsidRPr="00440196">
        <w:rPr>
          <w:lang w:val="en-GB"/>
        </w:rPr>
        <w:t>take</w:t>
      </w:r>
      <w:r w:rsidR="002949EB" w:rsidRPr="00440196">
        <w:rPr>
          <w:lang w:val="en-GB"/>
        </w:rPr>
        <w:t xml:space="preserve"> </w:t>
      </w:r>
      <w:r w:rsidR="00DE1F33" w:rsidRPr="00440196">
        <w:rPr>
          <w:lang w:val="en-GB"/>
        </w:rPr>
        <w:t>it up</w:t>
      </w:r>
      <w:r w:rsidRPr="00440196">
        <w:rPr>
          <w:lang w:val="en-GB"/>
        </w:rPr>
        <w:t xml:space="preserve"> at its sixth session.</w:t>
      </w:r>
    </w:p>
    <w:p w14:paraId="4B85DF4F" w14:textId="36D9F4B9" w:rsidR="00B47AE3" w:rsidRPr="00440196" w:rsidRDefault="00B47AE3" w:rsidP="00B47AE3">
      <w:pPr>
        <w:pStyle w:val="CH1"/>
        <w:rPr>
          <w:lang w:val="en-GB"/>
        </w:rPr>
      </w:pPr>
      <w:r w:rsidRPr="00440196">
        <w:rPr>
          <w:lang w:val="en-GB"/>
        </w:rPr>
        <w:tab/>
        <w:t>VI</w:t>
      </w:r>
      <w:r w:rsidR="008727A7" w:rsidRPr="00440196">
        <w:rPr>
          <w:lang w:val="en-GB"/>
        </w:rPr>
        <w:t>I</w:t>
      </w:r>
      <w:r w:rsidRPr="00440196">
        <w:rPr>
          <w:lang w:val="en-GB"/>
        </w:rPr>
        <w:t>I.</w:t>
      </w:r>
      <w:r w:rsidRPr="00440196">
        <w:rPr>
          <w:lang w:val="en-GB"/>
        </w:rPr>
        <w:tab/>
      </w:r>
      <w:r w:rsidR="008727A7" w:rsidRPr="00440196">
        <w:rPr>
          <w:lang w:val="en-GB"/>
        </w:rPr>
        <w:t>Review of the Platform</w:t>
      </w:r>
    </w:p>
    <w:p w14:paraId="44E72DD0" w14:textId="3D4E0EFA" w:rsidR="0025114D" w:rsidRPr="007831BB"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The Executive Secretary introduced the item, outlining the information set out in the relevant note by the secretariat (IPBES/5/11)</w:t>
      </w:r>
      <w:r w:rsidR="001566CE">
        <w:rPr>
          <w:lang w:val="en-GB"/>
        </w:rPr>
        <w:t xml:space="preserve">, including terms of reference for the review of IPBES at the end of its first work programme (annex), and a draft questionnaire </w:t>
      </w:r>
      <w:r w:rsidR="00DC6AB6">
        <w:rPr>
          <w:lang w:val="en-GB"/>
        </w:rPr>
        <w:t xml:space="preserve">to be used in </w:t>
      </w:r>
      <w:r w:rsidR="001566CE">
        <w:rPr>
          <w:lang w:val="en-GB"/>
        </w:rPr>
        <w:t xml:space="preserve">the review </w:t>
      </w:r>
      <w:r w:rsidR="00DC6AB6">
        <w:rPr>
          <w:lang w:val="en-GB"/>
        </w:rPr>
        <w:t>process</w:t>
      </w:r>
      <w:r w:rsidR="001566CE">
        <w:rPr>
          <w:lang w:val="en-GB"/>
        </w:rPr>
        <w:t xml:space="preserve"> (appendix)</w:t>
      </w:r>
      <w:r w:rsidRPr="007831BB">
        <w:rPr>
          <w:lang w:val="en-GB"/>
        </w:rPr>
        <w:t xml:space="preserve">. </w:t>
      </w:r>
    </w:p>
    <w:p w14:paraId="73D55F5F" w14:textId="0B8AD53F" w:rsidR="0025114D" w:rsidRPr="007831BB"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In the ensuing discussions statements were made by the representatives of Australia, Brazil, Cameroon (on behalf of African States), Colombia, Japan, Norway, Mexico, South Africa, Slovakia (on behalf of members States who were members of </w:t>
      </w:r>
      <w:r w:rsidR="00DC6AB6">
        <w:rPr>
          <w:lang w:val="en-GB"/>
        </w:rPr>
        <w:t>IPBES</w:t>
      </w:r>
      <w:r w:rsidRPr="007831BB">
        <w:rPr>
          <w:lang w:val="en-GB"/>
        </w:rPr>
        <w:t xml:space="preserve">), Senegal, Switzerland, </w:t>
      </w:r>
      <w:r w:rsidR="00214E84">
        <w:rPr>
          <w:lang w:val="en-GB"/>
        </w:rPr>
        <w:t xml:space="preserve">the </w:t>
      </w:r>
      <w:r w:rsidRPr="007831BB">
        <w:rPr>
          <w:lang w:val="en-GB"/>
        </w:rPr>
        <w:t>United States of America and Future Earth.</w:t>
      </w:r>
    </w:p>
    <w:p w14:paraId="5BB8C568" w14:textId="1FD21621" w:rsidR="0025114D" w:rsidRPr="007831BB"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Several representatives said that the review of </w:t>
      </w:r>
      <w:r w:rsidR="00DC6AB6">
        <w:rPr>
          <w:lang w:val="en-GB"/>
        </w:rPr>
        <w:t>IPBES</w:t>
      </w:r>
      <w:r w:rsidRPr="007831BB">
        <w:rPr>
          <w:lang w:val="en-GB"/>
        </w:rPr>
        <w:t xml:space="preserve"> was of the utmost importance and that the results of the review should inform the second work programme. One, however, said that it should be postponed so that resources could be allocated to pending assessments. Another said that the review should be undertaken once the work programme had been completed.</w:t>
      </w:r>
    </w:p>
    <w:p w14:paraId="5A7A1766" w14:textId="6823836A" w:rsidR="0025114D" w:rsidRPr="00261939"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Several representatives said that it was important for the review to be undertaken in an efficient and transparent manner. While they preferred that it be undertaken by a professional organization, however, they could support its being undertaken by a secretariat staff member reporting to </w:t>
      </w:r>
      <w:r w:rsidRPr="00160BD4">
        <w:rPr>
          <w:lang w:val="en-GB"/>
        </w:rPr>
        <w:t>the review panel.</w:t>
      </w:r>
    </w:p>
    <w:p w14:paraId="18E07E1F" w14:textId="716A2ABC" w:rsidR="0025114D" w:rsidRPr="00261939"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160BD4">
        <w:rPr>
          <w:lang w:val="en-GB"/>
        </w:rPr>
        <w:t xml:space="preserve">Several representatives said that the Plenary should appoint the review panel but in view of time constraints could accept that the Bureau </w:t>
      </w:r>
      <w:r w:rsidR="00594BF4" w:rsidRPr="00160BD4">
        <w:rPr>
          <w:lang w:val="en-GB"/>
        </w:rPr>
        <w:t>would do</w:t>
      </w:r>
      <w:r w:rsidRPr="00160BD4">
        <w:rPr>
          <w:lang w:val="en-GB"/>
        </w:rPr>
        <w:t xml:space="preserve"> so in consultation with the Multidisciplinary Expert Panel based on nominations by members and stakeholders. One representative said that the review panel should be diverse, including indigenous and local knowledge experts and other stakeholders.</w:t>
      </w:r>
    </w:p>
    <w:p w14:paraId="77532B79" w14:textId="55C6BB2E" w:rsidR="0025114D" w:rsidRPr="007831BB"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Two representatives expressed the view that an internal committee was not required for the review process. Several said that the questionnaire to be used for the review required considerable work and should focus on the process by which </w:t>
      </w:r>
      <w:r w:rsidR="00DC6AB6">
        <w:rPr>
          <w:lang w:val="en-GB"/>
        </w:rPr>
        <w:t>IPBES</w:t>
      </w:r>
      <w:r w:rsidRPr="007831BB">
        <w:rPr>
          <w:lang w:val="en-GB"/>
        </w:rPr>
        <w:t xml:space="preserve"> developed and implemented its work programme. One representative said that it was too early to review the impact of </w:t>
      </w:r>
      <w:r w:rsidR="00DC6AB6">
        <w:rPr>
          <w:lang w:val="en-GB"/>
        </w:rPr>
        <w:t>IPBES</w:t>
      </w:r>
      <w:r w:rsidRPr="007831BB">
        <w:rPr>
          <w:lang w:val="en-GB"/>
        </w:rPr>
        <w:t xml:space="preserve"> deliverables. Another, however, said that the questionnaire should contain a section on the specific impacts </w:t>
      </w:r>
      <w:r w:rsidR="00F1413A" w:rsidRPr="007831BB">
        <w:rPr>
          <w:lang w:val="en-GB"/>
        </w:rPr>
        <w:t>o</w:t>
      </w:r>
      <w:r w:rsidR="00F1413A">
        <w:rPr>
          <w:lang w:val="en-GB"/>
        </w:rPr>
        <w:t xml:space="preserve">n the implementation of and decisions made </w:t>
      </w:r>
      <w:r w:rsidR="000F68B5">
        <w:rPr>
          <w:lang w:val="en-GB"/>
        </w:rPr>
        <w:t>under</w:t>
      </w:r>
      <w:r w:rsidR="00F1413A" w:rsidRPr="007831BB">
        <w:rPr>
          <w:lang w:val="en-GB"/>
        </w:rPr>
        <w:t xml:space="preserve"> </w:t>
      </w:r>
      <w:r w:rsidRPr="007831BB">
        <w:rPr>
          <w:lang w:val="en-GB"/>
        </w:rPr>
        <w:t>multilateral environmental agreements. One representative said that the questionnaire should not include open-ended questions, and another said that it should be finalized by whoever carried out the review.</w:t>
      </w:r>
    </w:p>
    <w:p w14:paraId="4CB7B459" w14:textId="77777777" w:rsidR="0025114D" w:rsidRPr="007831BB"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Two representatives said that the questionnaire should not be the only means of gathering information and that the review should make use of interviews conducted in the margins of other meetings, as well as by electronic means. One representative asked for national focal points to be recognized as a category for the focus group discussions.</w:t>
      </w:r>
    </w:p>
    <w:p w14:paraId="3E8E89AE" w14:textId="4407AC47" w:rsidR="0025114D" w:rsidRPr="007831BB"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bCs/>
          <w:lang w:val="en-GB"/>
        </w:rPr>
        <w:t xml:space="preserve">The Plenary decided that the contact group established as described in </w:t>
      </w:r>
      <w:r w:rsidRPr="00160BD4">
        <w:rPr>
          <w:bCs/>
          <w:lang w:val="en-GB"/>
        </w:rPr>
        <w:t xml:space="preserve">paragraph </w:t>
      </w:r>
      <w:r w:rsidR="00CF64CA" w:rsidRPr="00160BD4">
        <w:rPr>
          <w:bCs/>
          <w:lang w:val="en-GB"/>
        </w:rPr>
        <w:t>6</w:t>
      </w:r>
      <w:r w:rsidR="0052086B" w:rsidRPr="00160BD4">
        <w:rPr>
          <w:bCs/>
          <w:lang w:val="en-GB"/>
        </w:rPr>
        <w:t>3</w:t>
      </w:r>
      <w:r w:rsidRPr="00160BD4">
        <w:rPr>
          <w:bCs/>
          <w:lang w:val="en-GB"/>
        </w:rPr>
        <w:t xml:space="preserve"> above</w:t>
      </w:r>
      <w:r w:rsidRPr="007831BB">
        <w:rPr>
          <w:bCs/>
          <w:lang w:val="en-GB"/>
        </w:rPr>
        <w:t xml:space="preserve"> should consider the matter further.</w:t>
      </w:r>
    </w:p>
    <w:p w14:paraId="2E464D36" w14:textId="190F73E9" w:rsidR="008727A7" w:rsidRPr="00440196"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 </w:t>
      </w:r>
      <w:r w:rsidR="00531928" w:rsidRPr="001B4189">
        <w:rPr>
          <w:lang w:val="en-GB"/>
        </w:rPr>
        <w:t>Followin</w:t>
      </w:r>
      <w:r w:rsidR="00CF64CA" w:rsidRPr="007831BB">
        <w:rPr>
          <w:lang w:val="en-GB"/>
        </w:rPr>
        <w:t>g the work of the contact group</w:t>
      </w:r>
      <w:r w:rsidR="00531928" w:rsidRPr="00440196">
        <w:rPr>
          <w:lang w:val="en-GB"/>
        </w:rPr>
        <w:t xml:space="preserve"> </w:t>
      </w:r>
      <w:r w:rsidR="00CF64CA" w:rsidRPr="007831BB">
        <w:rPr>
          <w:lang w:val="en-GB"/>
        </w:rPr>
        <w:t>its co-chair reported on the group</w:t>
      </w:r>
      <w:r w:rsidR="00531928" w:rsidRPr="00440196">
        <w:rPr>
          <w:lang w:val="en-GB"/>
        </w:rPr>
        <w:t>’</w:t>
      </w:r>
      <w:r w:rsidR="00CF64CA" w:rsidRPr="007831BB">
        <w:rPr>
          <w:lang w:val="en-GB"/>
        </w:rPr>
        <w:t>s</w:t>
      </w:r>
      <w:r w:rsidR="00531928" w:rsidRPr="00440196">
        <w:rPr>
          <w:lang w:val="en-GB"/>
        </w:rPr>
        <w:t xml:space="preserve"> deliberations, saying</w:t>
      </w:r>
      <w:r w:rsidR="00531928" w:rsidRPr="001B4189">
        <w:rPr>
          <w:lang w:val="en-GB"/>
        </w:rPr>
        <w:t xml:space="preserve"> that </w:t>
      </w:r>
      <w:r w:rsidR="00CF64CA" w:rsidRPr="007831BB">
        <w:rPr>
          <w:lang w:val="en-GB"/>
        </w:rPr>
        <w:t>it</w:t>
      </w:r>
      <w:r w:rsidR="00531928" w:rsidRPr="00440196">
        <w:rPr>
          <w:lang w:val="en-GB"/>
        </w:rPr>
        <w:t xml:space="preserve"> had reached agreement on </w:t>
      </w:r>
      <w:r w:rsidR="00CF64CA" w:rsidRPr="007831BB">
        <w:rPr>
          <w:lang w:val="en-GB"/>
        </w:rPr>
        <w:t xml:space="preserve">a </w:t>
      </w:r>
      <w:r w:rsidR="00531928" w:rsidRPr="00440196">
        <w:rPr>
          <w:lang w:val="en-GB"/>
        </w:rPr>
        <w:t xml:space="preserve">draft decision and </w:t>
      </w:r>
      <w:r w:rsidR="00CF64CA" w:rsidRPr="007831BB">
        <w:rPr>
          <w:lang w:val="en-GB"/>
        </w:rPr>
        <w:t xml:space="preserve">draft terms of reference </w:t>
      </w:r>
      <w:r w:rsidR="004204E7">
        <w:rPr>
          <w:lang w:val="en-GB"/>
        </w:rPr>
        <w:t>(</w:t>
      </w:r>
      <w:r w:rsidR="004204E7" w:rsidRPr="00440196">
        <w:rPr>
          <w:lang w:val="en-GB"/>
        </w:rPr>
        <w:t>IPBES/5/L.10</w:t>
      </w:r>
      <w:r w:rsidR="004204E7">
        <w:rPr>
          <w:lang w:val="en-GB"/>
        </w:rPr>
        <w:t xml:space="preserve">) </w:t>
      </w:r>
      <w:r w:rsidR="00CF64CA" w:rsidRPr="007831BB">
        <w:rPr>
          <w:lang w:val="en-GB"/>
        </w:rPr>
        <w:t xml:space="preserve">for the review of </w:t>
      </w:r>
      <w:r w:rsidR="00DC6AB6">
        <w:rPr>
          <w:lang w:val="en-GB"/>
        </w:rPr>
        <w:t>IPBES</w:t>
      </w:r>
      <w:r w:rsidR="00CF64CA" w:rsidRPr="007831BB">
        <w:rPr>
          <w:lang w:val="en-GB"/>
        </w:rPr>
        <w:t xml:space="preserve"> at the end of its first work programme </w:t>
      </w:r>
      <w:r w:rsidR="00531928" w:rsidRPr="00440196">
        <w:rPr>
          <w:lang w:val="en-GB"/>
        </w:rPr>
        <w:t>for consideration by the Plenary.</w:t>
      </w:r>
    </w:p>
    <w:p w14:paraId="628E3805" w14:textId="6FB61F73" w:rsidR="008727A7" w:rsidRPr="00440196" w:rsidRDefault="008727A7" w:rsidP="008727A7">
      <w:pPr>
        <w:pStyle w:val="CH1"/>
        <w:rPr>
          <w:lang w:val="en-GB"/>
        </w:rPr>
      </w:pPr>
      <w:r w:rsidRPr="00440196">
        <w:rPr>
          <w:lang w:val="en-GB"/>
        </w:rPr>
        <w:tab/>
        <w:t>IX.</w:t>
      </w:r>
      <w:r w:rsidRPr="00440196">
        <w:rPr>
          <w:lang w:val="en-GB"/>
        </w:rPr>
        <w:tab/>
        <w:t>Planning for future sessions of the Plenary</w:t>
      </w:r>
    </w:p>
    <w:p w14:paraId="69D4C824" w14:textId="6FF6BB21" w:rsidR="00B47AE3" w:rsidRPr="00440196" w:rsidRDefault="00B47AE3" w:rsidP="00AB538F">
      <w:pPr>
        <w:pStyle w:val="CH2"/>
        <w:keepLines w:val="0"/>
        <w:rPr>
          <w:lang w:val="en-GB"/>
        </w:rPr>
      </w:pPr>
      <w:r w:rsidRPr="00440196">
        <w:rPr>
          <w:lang w:val="en-GB"/>
        </w:rPr>
        <w:tab/>
        <w:t>A.</w:t>
      </w:r>
      <w:r w:rsidRPr="00440196">
        <w:rPr>
          <w:lang w:val="en-GB"/>
        </w:rPr>
        <w:tab/>
      </w:r>
      <w:r w:rsidR="008727A7" w:rsidRPr="00440196">
        <w:rPr>
          <w:lang w:val="en-GB"/>
        </w:rPr>
        <w:t>Provisional agenda, organization of work, date</w:t>
      </w:r>
      <w:r w:rsidR="004204E7">
        <w:rPr>
          <w:lang w:val="en-GB"/>
        </w:rPr>
        <w:t>s</w:t>
      </w:r>
      <w:r w:rsidR="008727A7" w:rsidRPr="00440196">
        <w:rPr>
          <w:lang w:val="en-GB"/>
        </w:rPr>
        <w:t xml:space="preserve"> and venue</w:t>
      </w:r>
      <w:r w:rsidR="004204E7">
        <w:rPr>
          <w:lang w:val="en-GB"/>
        </w:rPr>
        <w:t>s</w:t>
      </w:r>
      <w:r w:rsidR="008727A7" w:rsidRPr="00440196">
        <w:rPr>
          <w:lang w:val="en-GB"/>
        </w:rPr>
        <w:t xml:space="preserve"> of the sixth and seventh sessions of the Plenary</w:t>
      </w:r>
    </w:p>
    <w:p w14:paraId="1DF22FEC" w14:textId="6775C863" w:rsidR="008F0B6A" w:rsidRPr="00440196"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F1413A">
        <w:rPr>
          <w:lang w:val="en-GB"/>
        </w:rPr>
        <w:t>I</w:t>
      </w:r>
      <w:r w:rsidR="00B86F57" w:rsidRPr="00F1413A">
        <w:rPr>
          <w:lang w:val="en-GB"/>
        </w:rPr>
        <w:t>n i</w:t>
      </w:r>
      <w:r w:rsidRPr="00440196">
        <w:rPr>
          <w:lang w:val="en-GB"/>
        </w:rPr>
        <w:t xml:space="preserve">ntroducing the sub-item the Executive Secretariat drew attention to document IPBES/5/12, which provided information on the </w:t>
      </w:r>
      <w:r w:rsidR="00F0054B" w:rsidRPr="00F1413A">
        <w:rPr>
          <w:lang w:val="en-GB"/>
        </w:rPr>
        <w:t xml:space="preserve">draft preliminary agendas, draft </w:t>
      </w:r>
      <w:r w:rsidRPr="00F1413A">
        <w:rPr>
          <w:lang w:val="en-GB"/>
        </w:rPr>
        <w:t>organization</w:t>
      </w:r>
      <w:r w:rsidR="00F0054B" w:rsidRPr="00F1413A">
        <w:rPr>
          <w:lang w:val="en-GB"/>
        </w:rPr>
        <w:t>s</w:t>
      </w:r>
      <w:r w:rsidRPr="00F1413A">
        <w:rPr>
          <w:lang w:val="en-GB"/>
        </w:rPr>
        <w:t xml:space="preserve"> </w:t>
      </w:r>
      <w:r w:rsidR="00F0054B" w:rsidRPr="00F1413A">
        <w:rPr>
          <w:lang w:val="en-GB"/>
        </w:rPr>
        <w:t>of work</w:t>
      </w:r>
      <w:r w:rsidR="00F0054B">
        <w:rPr>
          <w:lang w:val="en-GB"/>
        </w:rPr>
        <w:t xml:space="preserve"> </w:t>
      </w:r>
      <w:r w:rsidRPr="00440196">
        <w:rPr>
          <w:lang w:val="en-GB"/>
        </w:rPr>
        <w:t>and dates for the sixth and seventh sessions of the Plenary.</w:t>
      </w:r>
    </w:p>
    <w:p w14:paraId="6F252FE5" w14:textId="77777777" w:rsidR="008F0B6A" w:rsidRPr="00440196"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In the ensuing discussion statements were made by the representatives of Colombia, France, the United States of America and IUCN.</w:t>
      </w:r>
    </w:p>
    <w:p w14:paraId="00AB691E" w14:textId="77777777" w:rsidR="008F0B6A" w:rsidRPr="00440196"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Several representatives said that the agendas for the meetings posed challenges and stressed the importance of interpretation during discussions on the regional assessments. One representative requested that fundraising be added to the agendas for both sessions.</w:t>
      </w:r>
    </w:p>
    <w:p w14:paraId="230F033E" w14:textId="6B7D6FA3" w:rsidR="00B47AE3" w:rsidRPr="00440196"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The representative of Colombia conveyed an offer by her Government to host the sixth session</w:t>
      </w:r>
      <w:r w:rsidR="007D6DBE">
        <w:rPr>
          <w:lang w:val="en-GB"/>
        </w:rPr>
        <w:t xml:space="preserve"> </w:t>
      </w:r>
      <w:r w:rsidR="007D6DBE" w:rsidRPr="00F1413A">
        <w:rPr>
          <w:lang w:val="en-GB"/>
        </w:rPr>
        <w:t>of the Plenary in March 2018</w:t>
      </w:r>
      <w:r w:rsidRPr="00F1413A">
        <w:rPr>
          <w:lang w:val="en-GB"/>
        </w:rPr>
        <w:t>,</w:t>
      </w:r>
      <w:r w:rsidRPr="00440196">
        <w:rPr>
          <w:lang w:val="en-GB"/>
        </w:rPr>
        <w:t xml:space="preserve"> which the Plenary welcomed.</w:t>
      </w:r>
    </w:p>
    <w:p w14:paraId="59BEB13B" w14:textId="7DE24B9E" w:rsidR="00855E4C" w:rsidRPr="00440196" w:rsidRDefault="00855E4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Subsequently </w:t>
      </w:r>
      <w:r w:rsidR="00997FB1" w:rsidRPr="00440196">
        <w:rPr>
          <w:lang w:val="en-GB"/>
        </w:rPr>
        <w:t xml:space="preserve">the Plenary </w:t>
      </w:r>
      <w:r w:rsidRPr="00440196">
        <w:rPr>
          <w:lang w:val="en-GB"/>
        </w:rPr>
        <w:t xml:space="preserve">considered a draft decision </w:t>
      </w:r>
      <w:r w:rsidR="00204A96" w:rsidRPr="00440196">
        <w:rPr>
          <w:lang w:val="en-GB"/>
        </w:rPr>
        <w:t xml:space="preserve">on the matter </w:t>
      </w:r>
      <w:r w:rsidRPr="00440196">
        <w:rPr>
          <w:lang w:val="en-GB"/>
        </w:rPr>
        <w:t>prepared by the secretariat</w:t>
      </w:r>
      <w:r w:rsidR="00510FA7">
        <w:rPr>
          <w:lang w:val="en-GB"/>
        </w:rPr>
        <w:t xml:space="preserve"> (</w:t>
      </w:r>
      <w:r w:rsidRPr="00440196">
        <w:rPr>
          <w:lang w:val="en-GB"/>
        </w:rPr>
        <w:t>IPBES/5/</w:t>
      </w:r>
      <w:r w:rsidR="00AF63A8" w:rsidRPr="00440196">
        <w:rPr>
          <w:lang w:val="en-GB"/>
        </w:rPr>
        <w:t>L.3</w:t>
      </w:r>
      <w:r w:rsidR="00510FA7">
        <w:rPr>
          <w:lang w:val="en-GB"/>
        </w:rPr>
        <w:t>)</w:t>
      </w:r>
      <w:r w:rsidRPr="00440196">
        <w:rPr>
          <w:lang w:val="en-GB"/>
        </w:rPr>
        <w:t>.</w:t>
      </w:r>
    </w:p>
    <w:p w14:paraId="1FCAD1A0" w14:textId="75365EC8" w:rsidR="00B47AE3" w:rsidRPr="00440196" w:rsidRDefault="00B47AE3" w:rsidP="00B47AE3">
      <w:pPr>
        <w:pStyle w:val="CH2"/>
        <w:keepLines w:val="0"/>
        <w:rPr>
          <w:lang w:val="en-GB"/>
        </w:rPr>
      </w:pPr>
      <w:r w:rsidRPr="00440196">
        <w:rPr>
          <w:lang w:val="en-GB"/>
        </w:rPr>
        <w:tab/>
        <w:t>B.</w:t>
      </w:r>
      <w:r w:rsidRPr="00440196">
        <w:rPr>
          <w:lang w:val="en-GB"/>
        </w:rPr>
        <w:tab/>
      </w:r>
      <w:r w:rsidR="008727A7" w:rsidRPr="00440196">
        <w:rPr>
          <w:lang w:val="en-GB"/>
        </w:rPr>
        <w:t>Process for the development of a second work programme for the Platform</w:t>
      </w:r>
    </w:p>
    <w:p w14:paraId="682CD916" w14:textId="15924DC7" w:rsidR="00AB01E9" w:rsidRPr="007831BB"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Introducing the sub-item, the Executive Secretary recalled that the first work programme</w:t>
      </w:r>
      <w:r w:rsidR="002D4D2D">
        <w:rPr>
          <w:lang w:val="en-GB"/>
        </w:rPr>
        <w:t xml:space="preserve"> of IPBES</w:t>
      </w:r>
      <w:r w:rsidRPr="007831BB">
        <w:rPr>
          <w:lang w:val="en-GB"/>
        </w:rPr>
        <w:t xml:space="preserve"> would conclude with the consideration of the global assessment on biodiversity and ecosystem services by the Plenary at its seventh session, in mid-2019. She outlined possible steps in the development of </w:t>
      </w:r>
      <w:r w:rsidR="002D4D2D">
        <w:rPr>
          <w:lang w:val="en-GB"/>
        </w:rPr>
        <w:t>a potential</w:t>
      </w:r>
      <w:r w:rsidRPr="007831BB">
        <w:rPr>
          <w:lang w:val="en-GB"/>
        </w:rPr>
        <w:t xml:space="preserve"> second work programme, as discussed in the relevant note by the secretariat (IPBES/5/12).</w:t>
      </w:r>
    </w:p>
    <w:p w14:paraId="1B911489" w14:textId="28BE9506" w:rsidR="00AB01E9" w:rsidRPr="007831BB"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In the ensuing discussion statements were made by the representatives of Brazil, Iraq, Japan, Slovakia (on behalf of member States of the European Union who were </w:t>
      </w:r>
      <w:r w:rsidR="00FE0866">
        <w:rPr>
          <w:lang w:val="en-GB"/>
        </w:rPr>
        <w:t>m</w:t>
      </w:r>
      <w:r w:rsidRPr="007831BB">
        <w:rPr>
          <w:lang w:val="en-GB"/>
        </w:rPr>
        <w:t>embers of the Platform), South Africa, Switzerland and the United States of America.</w:t>
      </w:r>
    </w:p>
    <w:p w14:paraId="27CD82B2" w14:textId="6D7BE99A" w:rsidR="00AB01E9" w:rsidRPr="007831BB"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Several representatives said that the second work programme should prioritize high</w:t>
      </w:r>
      <w:r w:rsidR="00FB6988">
        <w:rPr>
          <w:lang w:val="en-GB"/>
        </w:rPr>
        <w:noBreakHyphen/>
      </w:r>
      <w:r w:rsidRPr="007831BB">
        <w:rPr>
          <w:lang w:val="en-GB"/>
        </w:rPr>
        <w:t xml:space="preserve">quality deliverables rather than seek to produce a large number of deliverables; it was also said that the timing of assessments was important. </w:t>
      </w:r>
    </w:p>
    <w:p w14:paraId="121B9F9D" w14:textId="72028A47" w:rsidR="00AB01E9" w:rsidRPr="007831BB"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One representative said that there was a need for flexibility in the work programme so that it was responsive to the needs of international processes such as the follow-up to the Strategic Plan </w:t>
      </w:r>
      <w:r w:rsidR="002D4D2D">
        <w:rPr>
          <w:lang w:val="en-GB"/>
        </w:rPr>
        <w:t>for Biodiversity 2011</w:t>
      </w:r>
      <w:r w:rsidR="005925F0">
        <w:rPr>
          <w:lang w:val="en-GB"/>
        </w:rPr>
        <w:t>–</w:t>
      </w:r>
      <w:r w:rsidR="002D4D2D">
        <w:rPr>
          <w:lang w:val="en-GB"/>
        </w:rPr>
        <w:t>2020</w:t>
      </w:r>
      <w:r w:rsidRPr="007831BB">
        <w:rPr>
          <w:lang w:val="en-GB"/>
        </w:rPr>
        <w:t>,</w:t>
      </w:r>
      <w:r w:rsidR="00BB416B">
        <w:rPr>
          <w:lang w:val="en-GB"/>
        </w:rPr>
        <w:t xml:space="preserve"> developed under the Convention on Biological Diversity,</w:t>
      </w:r>
      <w:r w:rsidRPr="007831BB">
        <w:rPr>
          <w:lang w:val="en-GB"/>
        </w:rPr>
        <w:t xml:space="preserve"> the Paris Agreement on climate change and the Sustainable Development Goals, that it was able to address new and emerging issues and that it could take into consideration financial constraints. It was also suggested that the work programme be formulated as a rolling work plan. </w:t>
      </w:r>
    </w:p>
    <w:p w14:paraId="48C6FF4F" w14:textId="77777777" w:rsidR="00AB01E9" w:rsidRPr="007831BB"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Another representative supported the idea of a rolling work plan, saying that such a plan would allow the schedules for the production of deliverables to be adjusted to take into account the availability of funding. He also said that while global assessments were important their timing was critical: thus another global assessment should not be started for at least another 10 years to allow for new information to be made available.</w:t>
      </w:r>
    </w:p>
    <w:p w14:paraId="153D5929" w14:textId="6C94ED1F" w:rsidR="00AB01E9" w:rsidRPr="007831BB"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Several representatives expressed support for a process in which member</w:t>
      </w:r>
      <w:r w:rsidR="00FE0866">
        <w:rPr>
          <w:lang w:val="en-GB"/>
        </w:rPr>
        <w:t>s</w:t>
      </w:r>
      <w:r w:rsidRPr="007831BB">
        <w:rPr>
          <w:lang w:val="en-GB"/>
        </w:rPr>
        <w:t xml:space="preserve"> would designate priority issues and the Multidisciplinary Expert Panel and the Bureau would draft an initial work programme, outlining the assumptions on which it was based and including a preliminary cost estimate.</w:t>
      </w:r>
    </w:p>
    <w:p w14:paraId="6D923D1A" w14:textId="10D972D3" w:rsidR="00AB01E9" w:rsidRPr="007831BB"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lang w:val="en-GB"/>
        </w:rPr>
        <w:t xml:space="preserve">One representative said that there was a need to reflect on mistakes in the first work programme. He suggested, therefore, that the start of the second work programme be delayed for two years and the review of </w:t>
      </w:r>
      <w:r w:rsidR="002D4D2D">
        <w:rPr>
          <w:lang w:val="en-GB"/>
        </w:rPr>
        <w:t>IPBES</w:t>
      </w:r>
      <w:r w:rsidRPr="007831BB">
        <w:rPr>
          <w:lang w:val="en-GB"/>
        </w:rPr>
        <w:t xml:space="preserve"> be delayed for one year to allow for completion of the first work programme.</w:t>
      </w:r>
    </w:p>
    <w:p w14:paraId="620D6D11" w14:textId="791D4052" w:rsidR="00B47AE3" w:rsidRPr="00440196"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7831BB">
        <w:rPr>
          <w:bCs/>
          <w:lang w:val="en-GB"/>
        </w:rPr>
        <w:t xml:space="preserve">The Plenary decided that the contact group established as described in </w:t>
      </w:r>
      <w:r w:rsidRPr="00160BD4">
        <w:rPr>
          <w:bCs/>
          <w:lang w:val="en-GB"/>
        </w:rPr>
        <w:t xml:space="preserve">paragraph </w:t>
      </w:r>
      <w:r w:rsidR="00A131CE" w:rsidRPr="00160BD4">
        <w:rPr>
          <w:bCs/>
          <w:lang w:val="en-US"/>
        </w:rPr>
        <w:t>6</w:t>
      </w:r>
      <w:r w:rsidR="0052086B" w:rsidRPr="00160BD4">
        <w:rPr>
          <w:bCs/>
          <w:lang w:val="en-US"/>
        </w:rPr>
        <w:t>3</w:t>
      </w:r>
      <w:r w:rsidRPr="00160BD4">
        <w:rPr>
          <w:bCs/>
          <w:lang w:val="en-GB"/>
        </w:rPr>
        <w:t xml:space="preserve"> above</w:t>
      </w:r>
      <w:r w:rsidRPr="007831BB">
        <w:rPr>
          <w:bCs/>
          <w:lang w:val="en-GB"/>
        </w:rPr>
        <w:t xml:space="preserve"> should consider the matter further.</w:t>
      </w:r>
      <w:r w:rsidR="00506165" w:rsidRPr="00964A01">
        <w:rPr>
          <w:bCs/>
          <w:lang w:val="en-US"/>
        </w:rPr>
        <w:t xml:space="preserve"> Following the work of the contact group the Chair introduced a</w:t>
      </w:r>
      <w:r w:rsidR="00506165" w:rsidRPr="00440196">
        <w:rPr>
          <w:bCs/>
          <w:lang w:val="en-GB"/>
        </w:rPr>
        <w:t xml:space="preserve"> draft decision on the </w:t>
      </w:r>
      <w:r w:rsidR="00506165" w:rsidRPr="001B4189">
        <w:rPr>
          <w:bCs/>
          <w:lang w:val="en-GB"/>
        </w:rPr>
        <w:t>matter produced by the contact group</w:t>
      </w:r>
      <w:r w:rsidR="000D2512" w:rsidRPr="00964A01">
        <w:rPr>
          <w:bCs/>
          <w:lang w:val="en-US"/>
        </w:rPr>
        <w:t xml:space="preserve"> for consideration by the Plenary</w:t>
      </w:r>
      <w:r w:rsidR="00DC35FD" w:rsidRPr="00964A01">
        <w:rPr>
          <w:bCs/>
          <w:lang w:val="en-US"/>
        </w:rPr>
        <w:t xml:space="preserve"> (IPBES/</w:t>
      </w:r>
      <w:r w:rsidR="00953B4B">
        <w:rPr>
          <w:bCs/>
          <w:lang w:val="en-US"/>
        </w:rPr>
        <w:t>5/</w:t>
      </w:r>
      <w:r w:rsidR="00DC35FD" w:rsidRPr="00964A01">
        <w:rPr>
          <w:bCs/>
          <w:lang w:val="en-US"/>
        </w:rPr>
        <w:t>L.5)</w:t>
      </w:r>
      <w:r w:rsidR="00506165" w:rsidRPr="00964A01">
        <w:rPr>
          <w:bCs/>
          <w:lang w:val="en-US"/>
        </w:rPr>
        <w:t>, including square brackets around text on which agreement had not been reached.</w:t>
      </w:r>
    </w:p>
    <w:p w14:paraId="235AA5F9" w14:textId="451E2976" w:rsidR="00B47AE3" w:rsidRPr="00440196" w:rsidRDefault="00B47AE3" w:rsidP="00B47AE3">
      <w:pPr>
        <w:pStyle w:val="CH1"/>
        <w:keepNext w:val="0"/>
        <w:keepLines w:val="0"/>
        <w:rPr>
          <w:lang w:val="en-GB"/>
        </w:rPr>
      </w:pPr>
      <w:r w:rsidRPr="00440196">
        <w:rPr>
          <w:lang w:val="en-GB"/>
        </w:rPr>
        <w:tab/>
      </w:r>
      <w:r w:rsidR="000E149C" w:rsidRPr="00440196">
        <w:rPr>
          <w:lang w:val="en-GB"/>
        </w:rPr>
        <w:t>X</w:t>
      </w:r>
      <w:r w:rsidRPr="00440196">
        <w:rPr>
          <w:lang w:val="en-GB"/>
        </w:rPr>
        <w:t>.</w:t>
      </w:r>
      <w:r w:rsidRPr="00440196">
        <w:rPr>
          <w:lang w:val="en-GB"/>
        </w:rPr>
        <w:tab/>
      </w:r>
      <w:r w:rsidR="000E149C" w:rsidRPr="00440196">
        <w:rPr>
          <w:lang w:val="en-GB"/>
        </w:rPr>
        <w:t>Institutional arrangements: United Nations collaborative partnership arrangements for the work of the Platform and its secretariat</w:t>
      </w:r>
    </w:p>
    <w:p w14:paraId="5D15FA08" w14:textId="6FBBEC42" w:rsidR="00F80C76" w:rsidRPr="00440196" w:rsidRDefault="00F80C76"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Introducing the item, the Executive Secretary recalled that by decision IPBES-2/8 the Plenary had approved a collaborative partnership arrangement between the </w:t>
      </w:r>
      <w:r w:rsidR="002D4D2D">
        <w:rPr>
          <w:lang w:val="en-GB"/>
        </w:rPr>
        <w:t>Plenary of IPBES</w:t>
      </w:r>
      <w:r w:rsidR="00673757">
        <w:rPr>
          <w:lang w:val="en-GB"/>
        </w:rPr>
        <w:t xml:space="preserve"> </w:t>
      </w:r>
      <w:r w:rsidRPr="00440196">
        <w:rPr>
          <w:lang w:val="en-GB"/>
        </w:rPr>
        <w:t xml:space="preserve">and UNEP, UNESCO, FAO and UNDP. She drew attention to </w:t>
      </w:r>
      <w:proofErr w:type="gramStart"/>
      <w:r w:rsidRPr="00440196">
        <w:rPr>
          <w:lang w:val="en-GB"/>
        </w:rPr>
        <w:t>a report</w:t>
      </w:r>
      <w:proofErr w:type="gramEnd"/>
      <w:r w:rsidRPr="00440196">
        <w:rPr>
          <w:lang w:val="en-GB"/>
        </w:rPr>
        <w:t xml:space="preserve"> (IPBES/5/INF/18) providing information on action that those four organizations had taken to support </w:t>
      </w:r>
      <w:r w:rsidR="002D4D2D">
        <w:rPr>
          <w:lang w:val="en-GB"/>
        </w:rPr>
        <w:t>IPBES</w:t>
      </w:r>
      <w:r w:rsidRPr="00440196">
        <w:rPr>
          <w:lang w:val="en-GB"/>
        </w:rPr>
        <w:t xml:space="preserve"> and its work programme. The representative of UNEP then provided further information about the four organizations’ substantive and programmatic contributions to the implementation of the </w:t>
      </w:r>
      <w:r w:rsidR="00D52E1E">
        <w:rPr>
          <w:lang w:val="en-GB"/>
        </w:rPr>
        <w:t xml:space="preserve">IPBES </w:t>
      </w:r>
      <w:r w:rsidRPr="00440196">
        <w:rPr>
          <w:lang w:val="en-GB"/>
        </w:rPr>
        <w:t>work programme for 2014–2018.</w:t>
      </w:r>
    </w:p>
    <w:p w14:paraId="0236FBAB" w14:textId="2F25FDD8" w:rsidR="00B47AE3" w:rsidRPr="00440196" w:rsidRDefault="00F80C76"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The Plenary took note of the information presented.</w:t>
      </w:r>
    </w:p>
    <w:p w14:paraId="36EF0A95" w14:textId="1377BEE6" w:rsidR="00B47AE3" w:rsidRPr="00440196" w:rsidRDefault="00B47AE3" w:rsidP="00FE4957">
      <w:pPr>
        <w:pStyle w:val="CH1"/>
        <w:rPr>
          <w:lang w:val="en-GB"/>
        </w:rPr>
      </w:pPr>
      <w:r w:rsidRPr="00440196">
        <w:rPr>
          <w:lang w:val="en-GB"/>
        </w:rPr>
        <w:tab/>
      </w:r>
      <w:r w:rsidR="009C44C4" w:rsidRPr="00440196">
        <w:rPr>
          <w:lang w:val="en-GB"/>
        </w:rPr>
        <w:t>XI</w:t>
      </w:r>
      <w:r w:rsidRPr="00440196">
        <w:rPr>
          <w:lang w:val="en-GB"/>
        </w:rPr>
        <w:t>.</w:t>
      </w:r>
      <w:r w:rsidRPr="00440196">
        <w:rPr>
          <w:lang w:val="en-GB"/>
        </w:rPr>
        <w:tab/>
      </w:r>
      <w:r w:rsidR="009A2A3C" w:rsidRPr="00440196">
        <w:rPr>
          <w:lang w:val="en-GB"/>
        </w:rPr>
        <w:t>Adoption of the decisions and report of the session</w:t>
      </w:r>
    </w:p>
    <w:p w14:paraId="60B1F249" w14:textId="77777777" w:rsidR="004D130C" w:rsidRPr="00440196" w:rsidRDefault="004D130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The Plenary adopted decisions IPBES-5/1–IPBES-5/6, as set out in the annex to the present report, as follows:</w:t>
      </w:r>
    </w:p>
    <w:p w14:paraId="70D9CF41" w14:textId="4677BCC2" w:rsidR="004D130C" w:rsidRPr="00440196" w:rsidRDefault="004D130C" w:rsidP="007831BB">
      <w:pPr>
        <w:pStyle w:val="Normalnumber"/>
        <w:tabs>
          <w:tab w:val="clear" w:pos="1247"/>
          <w:tab w:val="clear" w:pos="1814"/>
          <w:tab w:val="clear" w:pos="2381"/>
          <w:tab w:val="clear" w:pos="2948"/>
          <w:tab w:val="clear" w:pos="3515"/>
          <w:tab w:val="clear" w:pos="4082"/>
        </w:tabs>
        <w:ind w:left="1247" w:firstLine="624"/>
        <w:rPr>
          <w:lang w:val="en-GB"/>
        </w:rPr>
      </w:pPr>
      <w:r w:rsidRPr="00440196">
        <w:rPr>
          <w:lang w:val="en-GB"/>
        </w:rPr>
        <w:t>IPBES-5/1: Implementation of the first work programme of the Platform (</w:t>
      </w:r>
      <w:r w:rsidR="00DA28DF" w:rsidRPr="00440196">
        <w:rPr>
          <w:lang w:val="en-GB"/>
        </w:rPr>
        <w:t xml:space="preserve">adopted </w:t>
      </w:r>
      <w:r w:rsidRPr="00440196">
        <w:rPr>
          <w:lang w:val="en-GB"/>
        </w:rPr>
        <w:t xml:space="preserve">on the basis of documents IPBES/5/1/Add.2, decision I, sections I and VIII; </w:t>
      </w:r>
      <w:r w:rsidR="000A7D5F">
        <w:rPr>
          <w:lang w:val="en-GB"/>
        </w:rPr>
        <w:t>IPBES/5/</w:t>
      </w:r>
      <w:r w:rsidRPr="00440196">
        <w:rPr>
          <w:lang w:val="en-GB"/>
        </w:rPr>
        <w:t>L.2</w:t>
      </w:r>
      <w:r w:rsidR="00DA28DF" w:rsidRPr="00440196">
        <w:rPr>
          <w:lang w:val="en-GB"/>
        </w:rPr>
        <w:t>,</w:t>
      </w:r>
      <w:r w:rsidRPr="00440196">
        <w:rPr>
          <w:lang w:val="en-GB"/>
        </w:rPr>
        <w:t xml:space="preserve"> as </w:t>
      </w:r>
      <w:r w:rsidR="00DA28DF" w:rsidRPr="00440196">
        <w:rPr>
          <w:lang w:val="en-GB"/>
        </w:rPr>
        <w:t xml:space="preserve">orally </w:t>
      </w:r>
      <w:r w:rsidRPr="00440196">
        <w:rPr>
          <w:lang w:val="en-GB"/>
        </w:rPr>
        <w:t>amended in respect of both the decision text</w:t>
      </w:r>
      <w:r w:rsidR="00DA28DF" w:rsidRPr="00440196">
        <w:rPr>
          <w:lang w:val="en-GB"/>
        </w:rPr>
        <w:t xml:space="preserve"> and the related annex to the decision; </w:t>
      </w:r>
      <w:r w:rsidR="000A7D5F">
        <w:rPr>
          <w:lang w:val="en-GB"/>
        </w:rPr>
        <w:t>IPBES/5/</w:t>
      </w:r>
      <w:r w:rsidR="00DA28DF" w:rsidRPr="00440196">
        <w:rPr>
          <w:lang w:val="en-GB"/>
        </w:rPr>
        <w:t>L</w:t>
      </w:r>
      <w:r w:rsidR="00742A3F">
        <w:rPr>
          <w:lang w:val="en-GB"/>
        </w:rPr>
        <w:t>.</w:t>
      </w:r>
      <w:r w:rsidR="00DA28DF" w:rsidRPr="00440196">
        <w:rPr>
          <w:lang w:val="en-GB"/>
        </w:rPr>
        <w:t>6, as orally amended in respect of both the decision text and the related annex to the decision</w:t>
      </w:r>
      <w:r w:rsidR="00F00AB1" w:rsidRPr="00440196">
        <w:rPr>
          <w:lang w:val="en-GB"/>
        </w:rPr>
        <w:t xml:space="preserve">; </w:t>
      </w:r>
      <w:r w:rsidR="000A7D5F">
        <w:rPr>
          <w:lang w:val="en-GB"/>
        </w:rPr>
        <w:t>IPBES/5/</w:t>
      </w:r>
      <w:r w:rsidR="004275CF" w:rsidRPr="00440196">
        <w:rPr>
          <w:lang w:val="en-GB"/>
        </w:rPr>
        <w:t>L</w:t>
      </w:r>
      <w:r w:rsidR="00742A3F">
        <w:rPr>
          <w:lang w:val="en-GB"/>
        </w:rPr>
        <w:t>.</w:t>
      </w:r>
      <w:r w:rsidR="004275CF" w:rsidRPr="00440196">
        <w:rPr>
          <w:lang w:val="en-GB"/>
        </w:rPr>
        <w:t xml:space="preserve">11, as orally amended in respect of both the decision text and the related annex to the </w:t>
      </w:r>
      <w:r w:rsidR="004275CF" w:rsidRPr="00160BD4">
        <w:rPr>
          <w:lang w:val="en-GB"/>
        </w:rPr>
        <w:t>decision;</w:t>
      </w:r>
      <w:r w:rsidR="00EF25DF" w:rsidRPr="00160BD4">
        <w:rPr>
          <w:lang w:val="en-GB"/>
        </w:rPr>
        <w:t xml:space="preserve"> </w:t>
      </w:r>
      <w:r w:rsidR="002D4D2D" w:rsidRPr="00160BD4">
        <w:rPr>
          <w:lang w:val="en-GB"/>
        </w:rPr>
        <w:t xml:space="preserve">the decision text contained in </w:t>
      </w:r>
      <w:r w:rsidR="000A7D5F">
        <w:rPr>
          <w:lang w:val="en-GB"/>
        </w:rPr>
        <w:t>IPBES/5/</w:t>
      </w:r>
      <w:r w:rsidR="00EF25DF" w:rsidRPr="00160BD4">
        <w:rPr>
          <w:lang w:val="en-GB"/>
        </w:rPr>
        <w:t>L</w:t>
      </w:r>
      <w:r w:rsidR="00742A3F" w:rsidRPr="00160BD4">
        <w:rPr>
          <w:lang w:val="en-GB"/>
        </w:rPr>
        <w:t>.</w:t>
      </w:r>
      <w:r w:rsidR="00EF25DF" w:rsidRPr="00160BD4">
        <w:rPr>
          <w:lang w:val="en-GB"/>
        </w:rPr>
        <w:t xml:space="preserve">12, as orally amended; </w:t>
      </w:r>
      <w:r w:rsidR="000A7D5F">
        <w:rPr>
          <w:lang w:val="en-GB"/>
        </w:rPr>
        <w:t>IPBES/5/</w:t>
      </w:r>
      <w:r w:rsidR="00EF25DF" w:rsidRPr="00160BD4">
        <w:rPr>
          <w:lang w:val="en-GB"/>
        </w:rPr>
        <w:t>L</w:t>
      </w:r>
      <w:r w:rsidR="00742A3F" w:rsidRPr="00160BD4">
        <w:rPr>
          <w:lang w:val="en-GB"/>
        </w:rPr>
        <w:t>.</w:t>
      </w:r>
      <w:r w:rsidR="00EF25DF" w:rsidRPr="00160BD4">
        <w:rPr>
          <w:lang w:val="en-GB"/>
        </w:rPr>
        <w:t>7, as orally amended</w:t>
      </w:r>
      <w:r w:rsidR="00EF25DF" w:rsidRPr="00440196">
        <w:rPr>
          <w:lang w:val="en-GB"/>
        </w:rPr>
        <w:t xml:space="preserve">; </w:t>
      </w:r>
      <w:r w:rsidR="00C7192B" w:rsidRPr="00440196">
        <w:rPr>
          <w:lang w:val="en-GB"/>
        </w:rPr>
        <w:t xml:space="preserve">and </w:t>
      </w:r>
      <w:r w:rsidR="000A7D5F">
        <w:rPr>
          <w:lang w:val="en-GB"/>
        </w:rPr>
        <w:t>IPBES/5/</w:t>
      </w:r>
      <w:r w:rsidR="00C7192B" w:rsidRPr="00440196">
        <w:rPr>
          <w:lang w:val="en-GB"/>
        </w:rPr>
        <w:t>L.4);</w:t>
      </w:r>
    </w:p>
    <w:p w14:paraId="6BA2E00B" w14:textId="7A91322B" w:rsidR="00DA28DF" w:rsidRPr="00440196" w:rsidRDefault="00DA28DF" w:rsidP="007831BB">
      <w:pPr>
        <w:pStyle w:val="Normalnumber"/>
        <w:tabs>
          <w:tab w:val="clear" w:pos="1247"/>
          <w:tab w:val="clear" w:pos="1814"/>
          <w:tab w:val="clear" w:pos="2381"/>
          <w:tab w:val="clear" w:pos="2948"/>
          <w:tab w:val="clear" w:pos="3515"/>
          <w:tab w:val="clear" w:pos="4082"/>
        </w:tabs>
        <w:ind w:left="1247" w:firstLine="624"/>
        <w:rPr>
          <w:lang w:val="en-GB"/>
        </w:rPr>
      </w:pPr>
      <w:r w:rsidRPr="00440196">
        <w:rPr>
          <w:lang w:val="en-GB"/>
        </w:rPr>
        <w:t xml:space="preserve">IPBES-5/2: </w:t>
      </w:r>
      <w:r w:rsidR="00C7192B" w:rsidRPr="00440196">
        <w:rPr>
          <w:lang w:val="en-GB"/>
        </w:rPr>
        <w:t xml:space="preserve">Review of the Platform (adopted on the basis of document </w:t>
      </w:r>
      <w:r w:rsidR="000A7D5F">
        <w:rPr>
          <w:lang w:val="en-GB"/>
        </w:rPr>
        <w:t>IPBES/5/</w:t>
      </w:r>
      <w:r w:rsidR="00C7192B" w:rsidRPr="00440196">
        <w:rPr>
          <w:lang w:val="en-GB"/>
        </w:rPr>
        <w:t>L.10, as orally amended in respect of the decision text and without change in respect of the annex to the decision);</w:t>
      </w:r>
    </w:p>
    <w:p w14:paraId="2323168F" w14:textId="2F3E97B4" w:rsidR="00C7192B" w:rsidRPr="00440196" w:rsidRDefault="00C7192B" w:rsidP="007831BB">
      <w:pPr>
        <w:pStyle w:val="Normalnumber"/>
        <w:tabs>
          <w:tab w:val="clear" w:pos="1247"/>
          <w:tab w:val="clear" w:pos="1814"/>
          <w:tab w:val="clear" w:pos="2381"/>
          <w:tab w:val="clear" w:pos="2948"/>
          <w:tab w:val="clear" w:pos="3515"/>
          <w:tab w:val="clear" w:pos="4082"/>
        </w:tabs>
        <w:ind w:left="1247" w:firstLine="624"/>
        <w:rPr>
          <w:lang w:val="en-GB"/>
        </w:rPr>
      </w:pPr>
      <w:r w:rsidRPr="00440196">
        <w:rPr>
          <w:lang w:val="en-GB"/>
        </w:rPr>
        <w:t xml:space="preserve">IPBES-5/3: Development of a second work </w:t>
      </w:r>
      <w:r w:rsidRPr="00160BD4">
        <w:rPr>
          <w:lang w:val="en-GB"/>
        </w:rPr>
        <w:t xml:space="preserve">programme </w:t>
      </w:r>
      <w:r w:rsidR="00032908" w:rsidRPr="00160BD4">
        <w:rPr>
          <w:lang w:val="en-GB"/>
        </w:rPr>
        <w:t xml:space="preserve">of the Platform </w:t>
      </w:r>
      <w:r w:rsidRPr="00160BD4">
        <w:rPr>
          <w:lang w:val="en-GB"/>
        </w:rPr>
        <w:t>(adopted on</w:t>
      </w:r>
      <w:r w:rsidRPr="00440196">
        <w:rPr>
          <w:lang w:val="en-GB"/>
        </w:rPr>
        <w:t xml:space="preserve"> the basis of document </w:t>
      </w:r>
      <w:r w:rsidR="000A7D5F">
        <w:rPr>
          <w:lang w:val="en-GB"/>
        </w:rPr>
        <w:t>IPBES/5/</w:t>
      </w:r>
      <w:r w:rsidRPr="00440196">
        <w:rPr>
          <w:lang w:val="en-GB"/>
        </w:rPr>
        <w:t>L.5, as orally amended);</w:t>
      </w:r>
    </w:p>
    <w:p w14:paraId="12895243" w14:textId="0F4EA671" w:rsidR="00AF2D57" w:rsidRPr="00440196" w:rsidRDefault="00AF2D57" w:rsidP="007831BB">
      <w:pPr>
        <w:pStyle w:val="Normalnumber"/>
        <w:tabs>
          <w:tab w:val="clear" w:pos="1247"/>
          <w:tab w:val="clear" w:pos="1814"/>
          <w:tab w:val="clear" w:pos="2381"/>
          <w:tab w:val="clear" w:pos="2948"/>
          <w:tab w:val="clear" w:pos="3515"/>
          <w:tab w:val="clear" w:pos="4082"/>
        </w:tabs>
        <w:ind w:left="1247" w:firstLine="624"/>
        <w:rPr>
          <w:lang w:val="en-GB"/>
        </w:rPr>
      </w:pPr>
      <w:r w:rsidRPr="00440196">
        <w:rPr>
          <w:lang w:val="en-GB"/>
        </w:rPr>
        <w:t xml:space="preserve">IPBES-5/4: Enhanced participation of the European Union </w:t>
      </w:r>
      <w:r w:rsidR="00E87D2F">
        <w:rPr>
          <w:lang w:val="en-GB"/>
        </w:rPr>
        <w:t xml:space="preserve">in the sessions of the Plenary of the Platform </w:t>
      </w:r>
      <w:r w:rsidRPr="00440196">
        <w:rPr>
          <w:lang w:val="en-GB"/>
        </w:rPr>
        <w:t xml:space="preserve">(adopted on the basis of document </w:t>
      </w:r>
      <w:r w:rsidR="000A7D5F">
        <w:rPr>
          <w:lang w:val="en-GB"/>
        </w:rPr>
        <w:t>IPBES/5/</w:t>
      </w:r>
      <w:r w:rsidRPr="00440196">
        <w:rPr>
          <w:lang w:val="en-GB"/>
        </w:rPr>
        <w:t>L.9);</w:t>
      </w:r>
    </w:p>
    <w:p w14:paraId="375CCF41" w14:textId="5753EC8E" w:rsidR="009C4073" w:rsidRPr="00440196" w:rsidRDefault="009C4073" w:rsidP="007831BB">
      <w:pPr>
        <w:pStyle w:val="Normalnumber"/>
        <w:tabs>
          <w:tab w:val="clear" w:pos="1247"/>
          <w:tab w:val="clear" w:pos="1814"/>
          <w:tab w:val="clear" w:pos="2381"/>
          <w:tab w:val="clear" w:pos="2948"/>
          <w:tab w:val="clear" w:pos="3515"/>
          <w:tab w:val="clear" w:pos="4082"/>
        </w:tabs>
        <w:ind w:left="1247" w:firstLine="624"/>
        <w:rPr>
          <w:lang w:val="en-GB"/>
        </w:rPr>
      </w:pPr>
      <w:r w:rsidRPr="00440196">
        <w:rPr>
          <w:lang w:val="en-GB"/>
        </w:rPr>
        <w:t>IPBES-5/5: Provisional agend</w:t>
      </w:r>
      <w:r w:rsidR="002D4D2D">
        <w:rPr>
          <w:lang w:val="en-GB"/>
        </w:rPr>
        <w:t>a</w:t>
      </w:r>
      <w:r w:rsidR="00C46239">
        <w:rPr>
          <w:lang w:val="en-GB"/>
        </w:rPr>
        <w:t>s</w:t>
      </w:r>
      <w:r w:rsidRPr="00440196">
        <w:rPr>
          <w:lang w:val="en-GB"/>
        </w:rPr>
        <w:t xml:space="preserve">, dates and venues of the sixth and seventh sessions of the Plenary (adopted on the basis of document </w:t>
      </w:r>
      <w:r w:rsidR="000A7D5F">
        <w:rPr>
          <w:lang w:val="en-GB"/>
        </w:rPr>
        <w:t>IPBES/5/</w:t>
      </w:r>
      <w:r w:rsidRPr="00440196">
        <w:rPr>
          <w:lang w:val="en-GB"/>
        </w:rPr>
        <w:t>L.3);</w:t>
      </w:r>
    </w:p>
    <w:p w14:paraId="16160150" w14:textId="49A6E392" w:rsidR="009C4073" w:rsidRPr="00440196" w:rsidRDefault="009C4073" w:rsidP="007831BB">
      <w:pPr>
        <w:pStyle w:val="Normalnumber"/>
        <w:tabs>
          <w:tab w:val="clear" w:pos="1247"/>
          <w:tab w:val="clear" w:pos="1814"/>
          <w:tab w:val="clear" w:pos="2381"/>
          <w:tab w:val="clear" w:pos="2948"/>
          <w:tab w:val="clear" w:pos="3515"/>
          <w:tab w:val="clear" w:pos="4082"/>
        </w:tabs>
        <w:ind w:left="1247" w:firstLine="624"/>
        <w:rPr>
          <w:lang w:val="en-GB"/>
        </w:rPr>
      </w:pPr>
      <w:r w:rsidRPr="00440196">
        <w:rPr>
          <w:lang w:val="en-GB"/>
        </w:rPr>
        <w:t xml:space="preserve">IPBES-5/6: Financial and budgetary matters (adopted on the basis of document </w:t>
      </w:r>
      <w:r w:rsidR="000A7D5F">
        <w:rPr>
          <w:lang w:val="en-GB"/>
        </w:rPr>
        <w:t>IPBES/5/</w:t>
      </w:r>
      <w:r w:rsidRPr="00440196">
        <w:rPr>
          <w:lang w:val="en-GB"/>
        </w:rPr>
        <w:t>L.8</w:t>
      </w:r>
      <w:r w:rsidR="00E515F6" w:rsidRPr="00440196">
        <w:rPr>
          <w:lang w:val="en-GB"/>
        </w:rPr>
        <w:t>,</w:t>
      </w:r>
      <w:r w:rsidRPr="00440196">
        <w:rPr>
          <w:lang w:val="en-GB"/>
        </w:rPr>
        <w:t xml:space="preserve"> as orally amended in respect of </w:t>
      </w:r>
      <w:r w:rsidR="00412F3A" w:rsidRPr="00440196">
        <w:rPr>
          <w:lang w:val="en-GB"/>
        </w:rPr>
        <w:t>the decision text and annex I to the decision and without change in respect of annex II to the decision).</w:t>
      </w:r>
    </w:p>
    <w:p w14:paraId="0B999ED3" w14:textId="62526AB5" w:rsidR="00CA4E46" w:rsidRPr="00440196" w:rsidRDefault="00CA4E46"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During the discussion of decision </w:t>
      </w:r>
      <w:r w:rsidR="0031304F" w:rsidRPr="00440196">
        <w:rPr>
          <w:lang w:val="en-GB"/>
        </w:rPr>
        <w:t>IPBES</w:t>
      </w:r>
      <w:r w:rsidR="00630D45" w:rsidRPr="00440196">
        <w:rPr>
          <w:lang w:val="en-GB"/>
        </w:rPr>
        <w:t>-5/1</w:t>
      </w:r>
      <w:r w:rsidR="00EE32CD" w:rsidRPr="00440196">
        <w:rPr>
          <w:lang w:val="en-GB"/>
        </w:rPr>
        <w:t>,</w:t>
      </w:r>
      <w:r w:rsidR="00630D45" w:rsidRPr="00440196">
        <w:rPr>
          <w:lang w:val="en-GB"/>
        </w:rPr>
        <w:t xml:space="preserve"> several representatives objected to text in the draft </w:t>
      </w:r>
      <w:r w:rsidR="00AD24E5" w:rsidRPr="00440196">
        <w:rPr>
          <w:lang w:val="en-GB"/>
        </w:rPr>
        <w:t>approach to</w:t>
      </w:r>
      <w:r w:rsidR="00845CF2" w:rsidRPr="00440196">
        <w:rPr>
          <w:lang w:val="en-GB"/>
        </w:rPr>
        <w:t xml:space="preserve"> recognizing and working with indigenous and local knowledge </w:t>
      </w:r>
      <w:r w:rsidR="00630D45" w:rsidRPr="00440196">
        <w:rPr>
          <w:lang w:val="en-GB"/>
        </w:rPr>
        <w:t xml:space="preserve">produced by the contact group (document </w:t>
      </w:r>
      <w:r w:rsidR="000A7D5F">
        <w:rPr>
          <w:lang w:val="en-GB"/>
        </w:rPr>
        <w:t>IPBES/5/L.</w:t>
      </w:r>
      <w:r w:rsidR="00630D45" w:rsidRPr="00440196">
        <w:rPr>
          <w:lang w:val="en-GB"/>
        </w:rPr>
        <w:t xml:space="preserve">6, </w:t>
      </w:r>
      <w:proofErr w:type="spellStart"/>
      <w:r w:rsidR="00630D45" w:rsidRPr="00440196">
        <w:rPr>
          <w:lang w:val="en-GB"/>
        </w:rPr>
        <w:t>para</w:t>
      </w:r>
      <w:proofErr w:type="spellEnd"/>
      <w:r w:rsidR="00630D45" w:rsidRPr="00440196">
        <w:rPr>
          <w:lang w:val="en-GB"/>
        </w:rPr>
        <w:t xml:space="preserve">. 9 </w:t>
      </w:r>
      <w:proofErr w:type="spellStart"/>
      <w:r w:rsidR="00630D45" w:rsidRPr="00440196">
        <w:rPr>
          <w:lang w:val="en-GB"/>
        </w:rPr>
        <w:t>bis</w:t>
      </w:r>
      <w:proofErr w:type="spellEnd"/>
      <w:r w:rsidR="00630D45" w:rsidRPr="00440196">
        <w:rPr>
          <w:lang w:val="en-GB"/>
        </w:rPr>
        <w:t>)</w:t>
      </w:r>
      <w:r w:rsidR="00845CF2" w:rsidRPr="00440196">
        <w:rPr>
          <w:lang w:val="en-GB"/>
        </w:rPr>
        <w:t xml:space="preserve"> indicating that consent</w:t>
      </w:r>
      <w:r w:rsidR="00AD24E5" w:rsidRPr="00440196">
        <w:rPr>
          <w:lang w:val="en-GB"/>
        </w:rPr>
        <w:t xml:space="preserve"> to the use of such knowledge would be sought “as appropriate”. Arguing that such consent should be sought in all cases, they called for the deletion of the phrase “as appropriate”. </w:t>
      </w:r>
      <w:r w:rsidR="00845CF2" w:rsidRPr="00440196">
        <w:rPr>
          <w:lang w:val="en-GB"/>
        </w:rPr>
        <w:t xml:space="preserve">Following discussion those objecting to the language agreed to its retention </w:t>
      </w:r>
      <w:r w:rsidR="00AD24E5" w:rsidRPr="00440196">
        <w:rPr>
          <w:lang w:val="en-GB"/>
        </w:rPr>
        <w:t xml:space="preserve">in the approach as approved </w:t>
      </w:r>
      <w:r w:rsidR="00845CF2" w:rsidRPr="00440196">
        <w:rPr>
          <w:lang w:val="en-GB"/>
        </w:rPr>
        <w:t xml:space="preserve">on the condition that the </w:t>
      </w:r>
      <w:r w:rsidR="00AD24E5" w:rsidRPr="00440196">
        <w:rPr>
          <w:lang w:val="en-GB"/>
        </w:rPr>
        <w:t xml:space="preserve">task force on indigenous and local knowledge discuss </w:t>
      </w:r>
      <w:r w:rsidR="00845CF2" w:rsidRPr="00440196">
        <w:rPr>
          <w:lang w:val="en-GB"/>
        </w:rPr>
        <w:t>the issue</w:t>
      </w:r>
      <w:r w:rsidR="00AD24E5" w:rsidRPr="00440196">
        <w:rPr>
          <w:lang w:val="en-GB"/>
        </w:rPr>
        <w:t xml:space="preserve"> and, through the Multidisciplinary Expert Panel and the Bureau, </w:t>
      </w:r>
      <w:r w:rsidR="0031304F" w:rsidRPr="00440196">
        <w:rPr>
          <w:lang w:val="en-GB"/>
        </w:rPr>
        <w:t xml:space="preserve">report </w:t>
      </w:r>
      <w:r w:rsidR="00AD24E5" w:rsidRPr="00440196">
        <w:rPr>
          <w:lang w:val="en-GB"/>
        </w:rPr>
        <w:t>on the outcome of its discussions to the Plenary at its next session</w:t>
      </w:r>
      <w:r w:rsidR="00845CF2" w:rsidRPr="00440196">
        <w:rPr>
          <w:lang w:val="en-GB"/>
        </w:rPr>
        <w:t>.</w:t>
      </w:r>
    </w:p>
    <w:p w14:paraId="23C71152" w14:textId="563B6E4F" w:rsidR="004E6D98" w:rsidRPr="00440196" w:rsidRDefault="004E6D98" w:rsidP="004153C8">
      <w:pPr>
        <w:pStyle w:val="Normalnumber"/>
        <w:keepNext/>
        <w:keepLines/>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Also during the consideration of the draft decisions and their annexes</w:t>
      </w:r>
      <w:r w:rsidR="0058346E" w:rsidRPr="00440196">
        <w:rPr>
          <w:lang w:val="en-GB"/>
        </w:rPr>
        <w:t>,</w:t>
      </w:r>
      <w:r w:rsidRPr="00440196">
        <w:rPr>
          <w:lang w:val="en-GB"/>
        </w:rPr>
        <w:t xml:space="preserve"> several representatives expressed concern that in some cases the</w:t>
      </w:r>
      <w:r w:rsidR="00A405F1" w:rsidRPr="00440196">
        <w:rPr>
          <w:lang w:val="en-GB"/>
        </w:rPr>
        <w:t xml:space="preserve"> decisions and annexes</w:t>
      </w:r>
      <w:r w:rsidRPr="00440196">
        <w:rPr>
          <w:lang w:val="en-GB"/>
        </w:rPr>
        <w:t xml:space="preserve"> had not been available in all six official languages of the Plenary </w:t>
      </w:r>
      <w:r w:rsidR="0058346E" w:rsidRPr="00440196">
        <w:rPr>
          <w:lang w:val="en-GB"/>
        </w:rPr>
        <w:t>when the Plenary was ready to discuss them during the final meeting of the session</w:t>
      </w:r>
      <w:r w:rsidR="00BE473F" w:rsidRPr="00440196">
        <w:rPr>
          <w:lang w:val="en-GB"/>
        </w:rPr>
        <w:t>;</w:t>
      </w:r>
      <w:r w:rsidR="0058346E" w:rsidRPr="00440196">
        <w:rPr>
          <w:lang w:val="en-GB"/>
        </w:rPr>
        <w:t xml:space="preserve"> as a result </w:t>
      </w:r>
      <w:r w:rsidRPr="00440196">
        <w:rPr>
          <w:lang w:val="en-GB"/>
        </w:rPr>
        <w:t xml:space="preserve">it had been </w:t>
      </w:r>
      <w:r w:rsidR="00A405F1" w:rsidRPr="00440196">
        <w:rPr>
          <w:lang w:val="en-GB"/>
        </w:rPr>
        <w:t xml:space="preserve">necessary </w:t>
      </w:r>
      <w:r w:rsidRPr="00440196">
        <w:rPr>
          <w:lang w:val="en-GB"/>
        </w:rPr>
        <w:t>to consider the</w:t>
      </w:r>
      <w:r w:rsidR="0058346E" w:rsidRPr="00440196">
        <w:rPr>
          <w:lang w:val="en-GB"/>
        </w:rPr>
        <w:t xml:space="preserve"> English </w:t>
      </w:r>
      <w:r w:rsidRPr="00440196">
        <w:rPr>
          <w:lang w:val="en-GB"/>
        </w:rPr>
        <w:t>language versions only. Concern was also expressed that interpretation for the final meeting</w:t>
      </w:r>
      <w:r w:rsidR="005218BF" w:rsidRPr="00440196">
        <w:rPr>
          <w:lang w:val="en-GB"/>
        </w:rPr>
        <w:t xml:space="preserve"> had ended </w:t>
      </w:r>
      <w:r w:rsidR="00233FB5" w:rsidRPr="00440196">
        <w:rPr>
          <w:lang w:val="en-GB"/>
        </w:rPr>
        <w:t>while the meeting still had some way to go</w:t>
      </w:r>
      <w:r w:rsidR="005218BF" w:rsidRPr="00440196">
        <w:rPr>
          <w:lang w:val="en-GB"/>
        </w:rPr>
        <w:t>, meaning that representatives had no choice but to conclude the negotiations</w:t>
      </w:r>
      <w:r w:rsidR="00AE5FE2" w:rsidRPr="00440196">
        <w:rPr>
          <w:lang w:val="en-GB"/>
        </w:rPr>
        <w:t xml:space="preserve"> on the</w:t>
      </w:r>
      <w:r w:rsidR="00BE473F" w:rsidRPr="00440196">
        <w:rPr>
          <w:lang w:val="en-GB"/>
        </w:rPr>
        <w:t xml:space="preserve"> draft</w:t>
      </w:r>
      <w:r w:rsidR="005218BF" w:rsidRPr="00440196">
        <w:rPr>
          <w:lang w:val="en-GB"/>
        </w:rPr>
        <w:t xml:space="preserve"> decisions and </w:t>
      </w:r>
      <w:r w:rsidR="00BE473F" w:rsidRPr="00440196">
        <w:rPr>
          <w:lang w:val="en-GB"/>
        </w:rPr>
        <w:t xml:space="preserve">their </w:t>
      </w:r>
      <w:r w:rsidR="005218BF" w:rsidRPr="00440196">
        <w:rPr>
          <w:lang w:val="en-GB"/>
        </w:rPr>
        <w:t>annexes in English</w:t>
      </w:r>
      <w:r w:rsidR="0058346E" w:rsidRPr="00440196">
        <w:rPr>
          <w:lang w:val="en-GB"/>
        </w:rPr>
        <w:t xml:space="preserve"> only</w:t>
      </w:r>
      <w:r w:rsidR="005218BF" w:rsidRPr="00440196">
        <w:rPr>
          <w:lang w:val="en-GB"/>
        </w:rPr>
        <w:t>. That, said several, was irregular and prejudicial to those members whose representatives were not native English speakers.</w:t>
      </w:r>
      <w:r w:rsidRPr="00440196">
        <w:rPr>
          <w:lang w:val="en-GB"/>
        </w:rPr>
        <w:t xml:space="preserve"> </w:t>
      </w:r>
      <w:r w:rsidR="0072321C" w:rsidRPr="00440196">
        <w:rPr>
          <w:lang w:val="en-GB"/>
        </w:rPr>
        <w:t>Representatives said that the secretariat should endeavour to avoid such d</w:t>
      </w:r>
      <w:r w:rsidR="00462E70" w:rsidRPr="00440196">
        <w:rPr>
          <w:lang w:val="en-GB"/>
        </w:rPr>
        <w:t>ifficulties at the next session, with one suggesting that arrangements be made to ensure the availability of int</w:t>
      </w:r>
      <w:r w:rsidR="000A0040" w:rsidRPr="00440196">
        <w:rPr>
          <w:lang w:val="en-GB"/>
        </w:rPr>
        <w:t>erpretation on the last day of each</w:t>
      </w:r>
      <w:r w:rsidR="00462E70" w:rsidRPr="00440196">
        <w:rPr>
          <w:lang w:val="en-GB"/>
        </w:rPr>
        <w:t xml:space="preserve"> </w:t>
      </w:r>
      <w:r w:rsidR="000A0040" w:rsidRPr="00440196">
        <w:rPr>
          <w:lang w:val="en-GB"/>
        </w:rPr>
        <w:t>session</w:t>
      </w:r>
      <w:r w:rsidR="00462E70" w:rsidRPr="00440196">
        <w:rPr>
          <w:lang w:val="en-GB"/>
        </w:rPr>
        <w:t xml:space="preserve"> when decisions were being considered for adoption, perhaps by eliminating interpretation </w:t>
      </w:r>
      <w:r w:rsidR="00233FB5" w:rsidRPr="00440196">
        <w:rPr>
          <w:lang w:val="en-GB"/>
        </w:rPr>
        <w:t>for contact group meetings.</w:t>
      </w:r>
      <w:r w:rsidR="00462E70" w:rsidRPr="00440196">
        <w:rPr>
          <w:lang w:val="en-GB"/>
        </w:rPr>
        <w:t xml:space="preserve"> </w:t>
      </w:r>
    </w:p>
    <w:p w14:paraId="310F471D" w14:textId="64B050F9" w:rsidR="00DC06CE" w:rsidRPr="00440196" w:rsidRDefault="00A405F1"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In response the Chair recalled that at its fourth session the Plenary had decided that the current session should last only four days rather than the six days of previous sessions.</w:t>
      </w:r>
      <w:r w:rsidR="00AE5FE2" w:rsidRPr="00440196">
        <w:rPr>
          <w:lang w:val="en-GB"/>
        </w:rPr>
        <w:t xml:space="preserve"> One result of that was less time in which to produce in-session documents for consideration by the Plenary. In addition, debate on some agenda items at the current session had </w:t>
      </w:r>
      <w:r w:rsidR="00411B73" w:rsidRPr="00440196">
        <w:rPr>
          <w:lang w:val="en-GB"/>
        </w:rPr>
        <w:t>lasted</w:t>
      </w:r>
      <w:r w:rsidR="00AE5FE2" w:rsidRPr="00440196">
        <w:rPr>
          <w:lang w:val="en-GB"/>
        </w:rPr>
        <w:t xml:space="preserve"> well beyond </w:t>
      </w:r>
      <w:r w:rsidR="00095989" w:rsidRPr="00440196">
        <w:rPr>
          <w:lang w:val="en-GB"/>
        </w:rPr>
        <w:t>the</w:t>
      </w:r>
      <w:r w:rsidR="00397C04" w:rsidRPr="00440196">
        <w:rPr>
          <w:lang w:val="en-GB"/>
        </w:rPr>
        <w:t xml:space="preserve"> time that</w:t>
      </w:r>
      <w:r w:rsidR="00AE5FE2" w:rsidRPr="00440196">
        <w:rPr>
          <w:lang w:val="en-GB"/>
        </w:rPr>
        <w:t xml:space="preserve"> had been </w:t>
      </w:r>
      <w:r w:rsidR="00397C04" w:rsidRPr="00440196">
        <w:rPr>
          <w:lang w:val="en-GB"/>
        </w:rPr>
        <w:t>allocated to those items</w:t>
      </w:r>
      <w:r w:rsidR="00AE5FE2" w:rsidRPr="00440196">
        <w:rPr>
          <w:lang w:val="en-GB"/>
        </w:rPr>
        <w:t xml:space="preserve">, </w:t>
      </w:r>
      <w:r w:rsidR="00397C04" w:rsidRPr="00440196">
        <w:rPr>
          <w:lang w:val="en-GB"/>
        </w:rPr>
        <w:t>and it had been necessary to hold</w:t>
      </w:r>
      <w:r w:rsidR="008129D8" w:rsidRPr="00440196">
        <w:rPr>
          <w:lang w:val="en-GB"/>
        </w:rPr>
        <w:t xml:space="preserve"> three </w:t>
      </w:r>
      <w:r w:rsidR="00462E70" w:rsidRPr="00440196">
        <w:rPr>
          <w:lang w:val="en-GB"/>
        </w:rPr>
        <w:t xml:space="preserve">unscheduled </w:t>
      </w:r>
      <w:r w:rsidR="008129D8" w:rsidRPr="00440196">
        <w:rPr>
          <w:lang w:val="en-GB"/>
        </w:rPr>
        <w:t xml:space="preserve">night </w:t>
      </w:r>
      <w:r w:rsidR="00397C04" w:rsidRPr="00440196">
        <w:rPr>
          <w:lang w:val="en-GB"/>
        </w:rPr>
        <w:t xml:space="preserve">meetings of the contact groups </w:t>
      </w:r>
      <w:r w:rsidR="00FD15A8">
        <w:rPr>
          <w:lang w:val="en-GB"/>
        </w:rPr>
        <w:t xml:space="preserve">and the Plenary </w:t>
      </w:r>
      <w:r w:rsidR="00397C04" w:rsidRPr="00440196">
        <w:rPr>
          <w:lang w:val="en-GB"/>
        </w:rPr>
        <w:t xml:space="preserve">and </w:t>
      </w:r>
      <w:r w:rsidR="00462E70" w:rsidRPr="00440196">
        <w:rPr>
          <w:lang w:val="en-GB"/>
        </w:rPr>
        <w:t>– with the consent of the Plenary – to conduct meetings of both contact groups and the budget group at the same time, contrary to the usual practice</w:t>
      </w:r>
      <w:r w:rsidR="00397C04" w:rsidRPr="00440196">
        <w:rPr>
          <w:lang w:val="en-GB"/>
        </w:rPr>
        <w:t xml:space="preserve">. In addition, </w:t>
      </w:r>
      <w:r w:rsidR="00AE5FE2" w:rsidRPr="00440196">
        <w:rPr>
          <w:lang w:val="en-GB"/>
        </w:rPr>
        <w:t xml:space="preserve">the contact groups had only finished their work at around midnight on the penultimate night of the session, </w:t>
      </w:r>
      <w:r w:rsidR="009F17DD" w:rsidRPr="00440196">
        <w:rPr>
          <w:lang w:val="en-GB"/>
        </w:rPr>
        <w:t>creating a bottleneck in the editing</w:t>
      </w:r>
      <w:r w:rsidR="00AE5FE2" w:rsidRPr="00440196">
        <w:rPr>
          <w:lang w:val="en-GB"/>
        </w:rPr>
        <w:t xml:space="preserve"> and tran</w:t>
      </w:r>
      <w:r w:rsidR="008129D8" w:rsidRPr="00440196">
        <w:rPr>
          <w:lang w:val="en-GB"/>
        </w:rPr>
        <w:t>slat</w:t>
      </w:r>
      <w:r w:rsidR="009F17DD" w:rsidRPr="00440196">
        <w:rPr>
          <w:lang w:val="en-GB"/>
        </w:rPr>
        <w:t>ion of the documents</w:t>
      </w:r>
      <w:r w:rsidR="008129D8" w:rsidRPr="00440196">
        <w:rPr>
          <w:lang w:val="en-GB"/>
        </w:rPr>
        <w:t>.</w:t>
      </w:r>
    </w:p>
    <w:p w14:paraId="26081C34" w14:textId="05561522" w:rsidR="00A405F1" w:rsidRPr="00440196" w:rsidRDefault="00462E70"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Saying that he understood representatives’ frustrations, in particular those of representatives who were not native speakers of English, he suggested that the experience </w:t>
      </w:r>
      <w:r w:rsidR="007032AD" w:rsidRPr="00440196">
        <w:rPr>
          <w:lang w:val="en-GB"/>
        </w:rPr>
        <w:t>at the current session</w:t>
      </w:r>
      <w:r w:rsidRPr="00440196">
        <w:rPr>
          <w:lang w:val="en-GB"/>
        </w:rPr>
        <w:t xml:space="preserve"> argued for caution in estimating how much work could be accomplished in a given amount of time. Noting that the Plenary had agreed that its sixth session would last </w:t>
      </w:r>
      <w:r w:rsidR="00DC06CE" w:rsidRPr="00440196">
        <w:rPr>
          <w:lang w:val="en-GB"/>
        </w:rPr>
        <w:t>seven</w:t>
      </w:r>
      <w:r w:rsidRPr="00440196">
        <w:rPr>
          <w:lang w:val="en-GB"/>
        </w:rPr>
        <w:t xml:space="preserve"> days, and </w:t>
      </w:r>
      <w:r w:rsidR="007032AD" w:rsidRPr="00440196">
        <w:rPr>
          <w:lang w:val="en-GB"/>
        </w:rPr>
        <w:t>observing</w:t>
      </w:r>
      <w:r w:rsidRPr="00440196">
        <w:rPr>
          <w:lang w:val="en-GB"/>
        </w:rPr>
        <w:t xml:space="preserve"> that </w:t>
      </w:r>
      <w:r w:rsidR="00C81D12" w:rsidRPr="00440196">
        <w:rPr>
          <w:lang w:val="en-GB"/>
        </w:rPr>
        <w:t>it</w:t>
      </w:r>
      <w:r w:rsidRPr="00440196">
        <w:rPr>
          <w:lang w:val="en-GB"/>
        </w:rPr>
        <w:t xml:space="preserve"> would have a very heavy agenda, he suggested that the Plenary </w:t>
      </w:r>
      <w:r w:rsidR="00F3497A" w:rsidRPr="00440196">
        <w:rPr>
          <w:lang w:val="en-GB"/>
        </w:rPr>
        <w:t xml:space="preserve">authorize the secretariat and the Bureau to assess </w:t>
      </w:r>
      <w:r w:rsidR="00DC06CE" w:rsidRPr="00440196">
        <w:rPr>
          <w:lang w:val="en-GB"/>
        </w:rPr>
        <w:t>whether seven</w:t>
      </w:r>
      <w:r w:rsidR="00F3497A" w:rsidRPr="00440196">
        <w:rPr>
          <w:lang w:val="en-GB"/>
        </w:rPr>
        <w:t xml:space="preserve"> days would be sufficient to conclude the work of that session and, if not, to add an eighth day. The Plenary agreed to the </w:t>
      </w:r>
      <w:r w:rsidR="00950D2E" w:rsidRPr="00440196">
        <w:rPr>
          <w:lang w:val="en-GB"/>
        </w:rPr>
        <w:t>suggestion</w:t>
      </w:r>
      <w:r w:rsidR="00F3497A" w:rsidRPr="00440196">
        <w:rPr>
          <w:lang w:val="en-GB"/>
        </w:rPr>
        <w:t xml:space="preserve"> of the Chair.</w:t>
      </w:r>
    </w:p>
    <w:p w14:paraId="06278A6F" w14:textId="0ED48BB5" w:rsidR="00616D13" w:rsidRPr="00440196" w:rsidRDefault="00616D1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 xml:space="preserve">Owing to a lack of time to consider the </w:t>
      </w:r>
      <w:r w:rsidR="005C52C1">
        <w:rPr>
          <w:lang w:val="en-GB"/>
        </w:rPr>
        <w:t>draft</w:t>
      </w:r>
      <w:r w:rsidRPr="00440196">
        <w:rPr>
          <w:lang w:val="en-GB"/>
        </w:rPr>
        <w:t xml:space="preserve"> report of the session, the Plenary decided that </w:t>
      </w:r>
      <w:r w:rsidR="005C52C1">
        <w:rPr>
          <w:lang w:val="en-GB"/>
        </w:rPr>
        <w:t>IPBES</w:t>
      </w:r>
      <w:r w:rsidR="005C52C1" w:rsidRPr="00440196">
        <w:rPr>
          <w:lang w:val="en-GB"/>
        </w:rPr>
        <w:t xml:space="preserve"> </w:t>
      </w:r>
      <w:r w:rsidRPr="00440196">
        <w:rPr>
          <w:lang w:val="en-GB"/>
        </w:rPr>
        <w:t xml:space="preserve">members would have two weeks to comment on the draft report </w:t>
      </w:r>
      <w:r w:rsidR="00D1167E" w:rsidRPr="00440196">
        <w:rPr>
          <w:lang w:val="en-GB"/>
        </w:rPr>
        <w:t xml:space="preserve">text </w:t>
      </w:r>
      <w:r w:rsidRPr="00440196">
        <w:rPr>
          <w:lang w:val="en-GB"/>
        </w:rPr>
        <w:t>set out in documents IPBES/5L.1 and Add.1, following which the Rapporteur with the assistance of the secretariat would finalize the report of the session</w:t>
      </w:r>
      <w:r w:rsidR="009F1C8B" w:rsidRPr="00440196">
        <w:rPr>
          <w:lang w:val="en-GB"/>
        </w:rPr>
        <w:t>, including those sections of the report reflecting the proceedings on the last day of the session,</w:t>
      </w:r>
      <w:r w:rsidRPr="00440196">
        <w:rPr>
          <w:lang w:val="en-GB"/>
        </w:rPr>
        <w:t xml:space="preserve"> taking any such comments into account.</w:t>
      </w:r>
    </w:p>
    <w:p w14:paraId="1C31AFE8" w14:textId="77777777" w:rsidR="00B47AE3" w:rsidRPr="00440196" w:rsidRDefault="00B47AE3" w:rsidP="00B47AE3">
      <w:pPr>
        <w:pStyle w:val="CH1"/>
        <w:rPr>
          <w:lang w:val="en-GB"/>
        </w:rPr>
      </w:pPr>
      <w:r w:rsidRPr="00440196">
        <w:rPr>
          <w:lang w:val="en-GB"/>
        </w:rPr>
        <w:tab/>
        <w:t>XII.</w:t>
      </w:r>
      <w:r w:rsidRPr="00440196">
        <w:rPr>
          <w:lang w:val="en-GB"/>
        </w:rPr>
        <w:tab/>
        <w:t>Closure of the session</w:t>
      </w:r>
    </w:p>
    <w:p w14:paraId="39361E2A" w14:textId="72CEB556" w:rsidR="00B47AE3" w:rsidRPr="00440196" w:rsidRDefault="00DA2B25"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n-GB"/>
        </w:rPr>
      </w:pPr>
      <w:r w:rsidRPr="00440196">
        <w:rPr>
          <w:lang w:val="en-GB"/>
        </w:rPr>
        <w:t>The Chair declared the session closed at 11</w:t>
      </w:r>
      <w:r w:rsidR="00630D45" w:rsidRPr="007831BB">
        <w:rPr>
          <w:lang w:val="en-GB"/>
        </w:rPr>
        <w:t xml:space="preserve">.15 </w:t>
      </w:r>
      <w:r w:rsidRPr="007831BB">
        <w:rPr>
          <w:lang w:val="en-GB"/>
        </w:rPr>
        <w:t>p</w:t>
      </w:r>
      <w:r w:rsidRPr="00440196">
        <w:rPr>
          <w:lang w:val="en-GB"/>
        </w:rPr>
        <w:t xml:space="preserve">.m. on 10 March 2017. </w:t>
      </w:r>
    </w:p>
    <w:p w14:paraId="44FE37D4" w14:textId="43081478" w:rsidR="00BB5410" w:rsidRPr="00440196" w:rsidRDefault="00BB5410">
      <w:pPr>
        <w:tabs>
          <w:tab w:val="clear" w:pos="1247"/>
          <w:tab w:val="clear" w:pos="1814"/>
          <w:tab w:val="clear" w:pos="2381"/>
          <w:tab w:val="clear" w:pos="2948"/>
          <w:tab w:val="clear" w:pos="3515"/>
        </w:tabs>
      </w:pPr>
      <w:r w:rsidRPr="00440196">
        <w:br w:type="page"/>
      </w:r>
    </w:p>
    <w:p w14:paraId="2EBCA2A8" w14:textId="77777777" w:rsidR="00375877" w:rsidRPr="00E936C7" w:rsidRDefault="00375877" w:rsidP="00375877">
      <w:pPr>
        <w:pStyle w:val="ZZAnxheader"/>
        <w:rPr>
          <w:lang w:val="en-GB"/>
        </w:rPr>
      </w:pPr>
      <w:r w:rsidRPr="00964A01">
        <w:rPr>
          <w:lang w:val="en-US"/>
        </w:rPr>
        <w:t>Annex</w:t>
      </w:r>
    </w:p>
    <w:p w14:paraId="4BB2EB77" w14:textId="56B069B9" w:rsidR="00BB5410" w:rsidRPr="007831BB" w:rsidRDefault="00BB5410" w:rsidP="00BB5410">
      <w:pPr>
        <w:pStyle w:val="ZZAnxtitle"/>
        <w:rPr>
          <w:b w:val="0"/>
          <w:lang w:val="en-GB"/>
        </w:rPr>
      </w:pPr>
      <w:r w:rsidRPr="00440196">
        <w:rPr>
          <w:lang w:val="en-GB"/>
        </w:rPr>
        <w:t xml:space="preserve">Decisions adopted by the Plenary of the Intergovernmental </w:t>
      </w:r>
      <w:r w:rsidRPr="001B4189">
        <w:rPr>
          <w:lang w:val="en-GB"/>
        </w:rPr>
        <w:br/>
        <w:t>Science-Policy Platform on Biodiversity and Ecosystem Services at its fifth session</w:t>
      </w:r>
    </w:p>
    <w:p w14:paraId="2A0017F6" w14:textId="0B0C26BF" w:rsidR="00BB5410" w:rsidRPr="00440196" w:rsidRDefault="00BB5410" w:rsidP="00004615">
      <w:pPr>
        <w:pStyle w:val="Normalnumber"/>
        <w:ind w:left="1247"/>
        <w:rPr>
          <w:lang w:val="en-GB"/>
        </w:rPr>
      </w:pPr>
      <w:r w:rsidRPr="00440196">
        <w:rPr>
          <w:lang w:val="en-GB"/>
        </w:rPr>
        <w:t>IPBES-</w:t>
      </w:r>
      <w:r w:rsidRPr="001B4189">
        <w:rPr>
          <w:lang w:val="en-GB"/>
        </w:rPr>
        <w:t>5</w:t>
      </w:r>
      <w:r w:rsidRPr="00440196">
        <w:rPr>
          <w:lang w:val="en-GB"/>
        </w:rPr>
        <w:t xml:space="preserve">/1: Implementation of the first work programme of the </w:t>
      </w:r>
      <w:r w:rsidR="00654E47">
        <w:rPr>
          <w:lang w:val="en-GB"/>
        </w:rPr>
        <w:t>Platform</w:t>
      </w:r>
    </w:p>
    <w:p w14:paraId="60A40923" w14:textId="6698EC41" w:rsidR="00BB5410" w:rsidRPr="00440196" w:rsidDel="00E130D2" w:rsidRDefault="00BB5410" w:rsidP="00004615">
      <w:pPr>
        <w:pStyle w:val="Normalnumber"/>
        <w:ind w:left="1247"/>
        <w:rPr>
          <w:lang w:val="en-GB"/>
        </w:rPr>
      </w:pPr>
      <w:r w:rsidRPr="00440196">
        <w:rPr>
          <w:lang w:val="en-GB"/>
        </w:rPr>
        <w:t>IPBES-5/2: Review of the Platform</w:t>
      </w:r>
    </w:p>
    <w:p w14:paraId="0FFF7C94" w14:textId="3894A92A" w:rsidR="00BB5410" w:rsidRPr="00440196" w:rsidDel="00D066AE" w:rsidRDefault="00BB5410" w:rsidP="00004615">
      <w:pPr>
        <w:pStyle w:val="Normalnumber"/>
        <w:ind w:left="1247"/>
        <w:rPr>
          <w:lang w:val="en-GB"/>
        </w:rPr>
      </w:pPr>
      <w:r w:rsidRPr="00440196">
        <w:rPr>
          <w:lang w:val="en-GB"/>
        </w:rPr>
        <w:t xml:space="preserve">IPBES-5/3: Development of a second work </w:t>
      </w:r>
      <w:r w:rsidRPr="00160BD4">
        <w:rPr>
          <w:lang w:val="en-GB"/>
        </w:rPr>
        <w:t>programme</w:t>
      </w:r>
      <w:r w:rsidR="00032908" w:rsidRPr="00160BD4">
        <w:rPr>
          <w:lang w:val="en-GB"/>
        </w:rPr>
        <w:t xml:space="preserve"> of the Platform</w:t>
      </w:r>
    </w:p>
    <w:p w14:paraId="575AECB7" w14:textId="0B499317" w:rsidR="00BB5410" w:rsidRPr="00440196" w:rsidDel="00D066AE" w:rsidRDefault="00BB5410" w:rsidP="00004615">
      <w:pPr>
        <w:pStyle w:val="Normalnumber"/>
        <w:ind w:left="1247"/>
        <w:rPr>
          <w:lang w:val="en-GB"/>
        </w:rPr>
      </w:pPr>
      <w:r w:rsidRPr="00440196">
        <w:rPr>
          <w:lang w:val="en-GB"/>
        </w:rPr>
        <w:t>IPBES-5/4: Enhanced par</w:t>
      </w:r>
      <w:r w:rsidR="00654E47">
        <w:rPr>
          <w:lang w:val="en-GB"/>
        </w:rPr>
        <w:t>ticipation of the European Union</w:t>
      </w:r>
      <w:r w:rsidR="007B358A">
        <w:rPr>
          <w:lang w:val="en-GB"/>
        </w:rPr>
        <w:t xml:space="preserve"> </w:t>
      </w:r>
      <w:r w:rsidR="00F6364B">
        <w:rPr>
          <w:lang w:val="en-GB"/>
        </w:rPr>
        <w:t xml:space="preserve">in the </w:t>
      </w:r>
      <w:r w:rsidR="007B358A">
        <w:rPr>
          <w:lang w:val="en-GB"/>
        </w:rPr>
        <w:t>sessions of the Plenary of the Platform</w:t>
      </w:r>
    </w:p>
    <w:p w14:paraId="56381619" w14:textId="32C3000E" w:rsidR="00BB5410" w:rsidRPr="00440196" w:rsidRDefault="00BB5410" w:rsidP="00004615">
      <w:pPr>
        <w:pStyle w:val="Normalnumber"/>
        <w:ind w:left="1247"/>
        <w:rPr>
          <w:lang w:val="en-GB"/>
        </w:rPr>
      </w:pPr>
      <w:r w:rsidRPr="00440196">
        <w:rPr>
          <w:lang w:val="en-GB"/>
        </w:rPr>
        <w:t>IPBES-5/5: Provisional agenda</w:t>
      </w:r>
      <w:r w:rsidR="00F06255" w:rsidRPr="00440196">
        <w:rPr>
          <w:lang w:val="en-GB"/>
        </w:rPr>
        <w:t>s</w:t>
      </w:r>
      <w:r w:rsidRPr="00440196">
        <w:rPr>
          <w:lang w:val="en-GB"/>
        </w:rPr>
        <w:t>, dates and venues of the sixth and seventh sessions of the Plenary</w:t>
      </w:r>
    </w:p>
    <w:p w14:paraId="2B80ADBC" w14:textId="6F7A944C" w:rsidR="00BB5410" w:rsidRPr="00440196" w:rsidRDefault="00BB5410" w:rsidP="00004615">
      <w:pPr>
        <w:pStyle w:val="Normalnumber"/>
        <w:ind w:left="1247"/>
        <w:rPr>
          <w:lang w:val="en-GB"/>
        </w:rPr>
      </w:pPr>
      <w:r w:rsidRPr="00440196">
        <w:rPr>
          <w:lang w:val="en-GB"/>
        </w:rPr>
        <w:t>IPBES-5/6: Financial and budgetary arrangements</w:t>
      </w:r>
    </w:p>
    <w:p w14:paraId="2806226D" w14:textId="40B4B352" w:rsidR="00F00269" w:rsidRPr="00440196" w:rsidRDefault="00BB5410" w:rsidP="00BB5410">
      <w:pPr>
        <w:pStyle w:val="Normal-pool"/>
      </w:pPr>
      <w:r w:rsidRPr="00440196">
        <w:br w:type="page"/>
      </w:r>
    </w:p>
    <w:p w14:paraId="2F4C8AD8" w14:textId="293CAAF4" w:rsidR="00E7045B" w:rsidRPr="007831BB" w:rsidRDefault="00E7045B" w:rsidP="007831BB">
      <w:pPr>
        <w:pStyle w:val="CH2"/>
        <w:rPr>
          <w:lang w:val="en-GB"/>
        </w:rPr>
      </w:pPr>
      <w:r w:rsidRPr="007831BB">
        <w:rPr>
          <w:lang w:val="en-GB"/>
        </w:rPr>
        <w:tab/>
      </w:r>
      <w:r w:rsidRPr="007831BB">
        <w:rPr>
          <w:lang w:val="en-GB"/>
        </w:rPr>
        <w:tab/>
        <w:t xml:space="preserve">IPBES-5/1: Implementation of the first work programme of </w:t>
      </w:r>
      <w:r w:rsidR="00047700">
        <w:rPr>
          <w:lang w:val="en-GB"/>
        </w:rPr>
        <w:t>the Platform</w:t>
      </w:r>
    </w:p>
    <w:p w14:paraId="26773F30" w14:textId="77777777" w:rsidR="00E7045B" w:rsidRPr="007831BB"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themeColor="text1"/>
          <w:lang w:val="en-GB"/>
        </w:rPr>
      </w:pPr>
      <w:r w:rsidRPr="007831BB">
        <w:rPr>
          <w:i/>
          <w:iCs/>
          <w:color w:val="000000" w:themeColor="text1"/>
          <w:lang w:val="en-GB"/>
        </w:rPr>
        <w:t xml:space="preserve">The Plenary, </w:t>
      </w:r>
    </w:p>
    <w:p w14:paraId="47BFC930" w14:textId="46267B16" w:rsidR="00E7045B" w:rsidRPr="007831BB"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themeColor="text1"/>
          <w:lang w:val="en-GB"/>
        </w:rPr>
      </w:pPr>
      <w:r w:rsidRPr="007831BB">
        <w:rPr>
          <w:i/>
          <w:iCs/>
          <w:color w:val="000000" w:themeColor="text1"/>
          <w:lang w:val="en-GB"/>
        </w:rPr>
        <w:t xml:space="preserve">Welcoming </w:t>
      </w:r>
      <w:r w:rsidRPr="007831BB">
        <w:rPr>
          <w:color w:val="000000" w:themeColor="text1"/>
          <w:lang w:val="en-GB"/>
        </w:rPr>
        <w:t xml:space="preserve">the report of the Executive Secretary on the implementation of the first work programme of the Intergovernmental Science-Policy Platform on </w:t>
      </w:r>
      <w:r w:rsidR="005B3CF6">
        <w:rPr>
          <w:color w:val="000000" w:themeColor="text1"/>
          <w:lang w:val="en-GB"/>
        </w:rPr>
        <w:t>B</w:t>
      </w:r>
      <w:r w:rsidRPr="007831BB">
        <w:rPr>
          <w:color w:val="000000" w:themeColor="text1"/>
          <w:lang w:val="en-GB"/>
        </w:rPr>
        <w:t>iodiversity and Ecosystem Services,</w:t>
      </w:r>
      <w:r w:rsidRPr="007831BB">
        <w:rPr>
          <w:rStyle w:val="FootnoteReference"/>
          <w:lang w:val="en-GB"/>
        </w:rPr>
        <w:footnoteReference w:id="2"/>
      </w:r>
      <w:r w:rsidRPr="007831BB">
        <w:rPr>
          <w:color w:val="000000" w:themeColor="text1"/>
          <w:sz w:val="13"/>
          <w:szCs w:val="13"/>
          <w:lang w:val="en-GB"/>
        </w:rPr>
        <w:t xml:space="preserve"> </w:t>
      </w:r>
      <w:r w:rsidRPr="007831BB">
        <w:rPr>
          <w:color w:val="000000" w:themeColor="text1"/>
          <w:lang w:val="en-GB"/>
        </w:rPr>
        <w:t xml:space="preserve">which includes challenges faced and lessons learned during the third year of implementation of the work programme, </w:t>
      </w:r>
    </w:p>
    <w:p w14:paraId="23960B7C" w14:textId="77777777" w:rsidR="00E7045B" w:rsidRPr="007831BB"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themeColor="text1"/>
          <w:lang w:val="en-GB"/>
        </w:rPr>
      </w:pPr>
      <w:r w:rsidRPr="007831BB">
        <w:rPr>
          <w:i/>
          <w:iCs/>
          <w:color w:val="000000" w:themeColor="text1"/>
          <w:lang w:val="en-GB"/>
        </w:rPr>
        <w:t xml:space="preserve">Acknowledging </w:t>
      </w:r>
      <w:r w:rsidRPr="007831BB">
        <w:rPr>
          <w:color w:val="000000" w:themeColor="text1"/>
          <w:lang w:val="en-GB"/>
        </w:rPr>
        <w:t xml:space="preserve">the outstanding contributions made by all experts to date in the implementation of the work programme and thanking them for their unwavering commitment, </w:t>
      </w:r>
    </w:p>
    <w:p w14:paraId="4E434DBE" w14:textId="77777777" w:rsidR="00E7045B" w:rsidRPr="007831BB"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iCs/>
          <w:color w:val="000000" w:themeColor="text1"/>
          <w:lang w:val="en-GB"/>
        </w:rPr>
      </w:pPr>
      <w:r w:rsidRPr="007831BB">
        <w:rPr>
          <w:i/>
          <w:iCs/>
          <w:color w:val="000000" w:themeColor="text1"/>
          <w:lang w:val="en-GB"/>
        </w:rPr>
        <w:t xml:space="preserve">Encouraging </w:t>
      </w:r>
      <w:r w:rsidRPr="007831BB">
        <w:rPr>
          <w:iCs/>
          <w:color w:val="000000" w:themeColor="text1"/>
          <w:lang w:val="en-GB"/>
        </w:rPr>
        <w:t>Governments and organizations to participate actively in the implementation of the work programme, in particular through the nomination of experts and the review of draft deliverables,</w:t>
      </w:r>
    </w:p>
    <w:p w14:paraId="070A469F" w14:textId="77777777" w:rsidR="00E7045B" w:rsidRPr="007831BB"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n-GB"/>
        </w:rPr>
      </w:pPr>
      <w:r w:rsidRPr="007831BB">
        <w:rPr>
          <w:b/>
          <w:bCs/>
          <w:color w:val="000000" w:themeColor="text1"/>
          <w:sz w:val="23"/>
          <w:szCs w:val="23"/>
          <w:lang w:val="en-GB"/>
        </w:rPr>
        <w:t>I</w:t>
      </w:r>
    </w:p>
    <w:p w14:paraId="3043F803" w14:textId="77777777" w:rsidR="00E7045B" w:rsidRPr="007831BB"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n-GB"/>
        </w:rPr>
      </w:pPr>
      <w:r w:rsidRPr="007831BB">
        <w:rPr>
          <w:b/>
          <w:bCs/>
          <w:color w:val="000000" w:themeColor="text1"/>
          <w:sz w:val="23"/>
          <w:szCs w:val="23"/>
          <w:lang w:val="en-GB"/>
        </w:rPr>
        <w:t>Implementation of the first work programme of the Platform</w:t>
      </w:r>
    </w:p>
    <w:p w14:paraId="3A8E520C" w14:textId="17772B49" w:rsidR="00E7045B" w:rsidRPr="00964A01" w:rsidRDefault="00E7045B" w:rsidP="004E0CCE">
      <w:pPr>
        <w:pStyle w:val="Normalnumber"/>
        <w:tabs>
          <w:tab w:val="clear" w:pos="1247"/>
          <w:tab w:val="clear" w:pos="1814"/>
          <w:tab w:val="clear" w:pos="2381"/>
          <w:tab w:val="clear" w:pos="2948"/>
          <w:tab w:val="clear" w:pos="3515"/>
          <w:tab w:val="clear" w:pos="4082"/>
          <w:tab w:val="left" w:pos="624"/>
        </w:tabs>
        <w:ind w:left="1247" w:firstLine="624"/>
        <w:rPr>
          <w:lang w:val="en-US"/>
        </w:rPr>
      </w:pPr>
      <w:r w:rsidRPr="00964A01">
        <w:rPr>
          <w:i/>
          <w:lang w:val="en-US"/>
        </w:rPr>
        <w:t>Decides</w:t>
      </w:r>
      <w:r w:rsidRPr="00964A01">
        <w:rPr>
          <w:lang w:val="en-US"/>
        </w:rPr>
        <w:t xml:space="preserve"> to proceed with the implementation of the first work </w:t>
      </w:r>
      <w:proofErr w:type="spellStart"/>
      <w:r w:rsidRPr="00964A01">
        <w:rPr>
          <w:lang w:val="en-US"/>
        </w:rPr>
        <w:t>programme</w:t>
      </w:r>
      <w:proofErr w:type="spellEnd"/>
      <w:r w:rsidRPr="00964A01">
        <w:rPr>
          <w:lang w:val="en-US"/>
        </w:rPr>
        <w:t xml:space="preserve"> of the Platform in accordance with the present decision and the approved budget set out in decision IPBES</w:t>
      </w:r>
      <w:r w:rsidRPr="00964A01">
        <w:rPr>
          <w:lang w:val="en-US"/>
        </w:rPr>
        <w:noBreakHyphen/>
        <w:t>5/6</w:t>
      </w:r>
      <w:r w:rsidR="00047700">
        <w:rPr>
          <w:lang w:val="en-US"/>
        </w:rPr>
        <w:t>;</w:t>
      </w:r>
      <w:r w:rsidRPr="00964A01">
        <w:rPr>
          <w:lang w:val="en-US"/>
        </w:rPr>
        <w:t xml:space="preserve"> </w:t>
      </w:r>
    </w:p>
    <w:p w14:paraId="00EE70BA" w14:textId="77777777" w:rsidR="00E7045B" w:rsidRPr="007831BB"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n-GB"/>
        </w:rPr>
      </w:pPr>
      <w:r w:rsidRPr="007831BB">
        <w:rPr>
          <w:b/>
          <w:bCs/>
          <w:color w:val="000000" w:themeColor="text1"/>
          <w:sz w:val="23"/>
          <w:szCs w:val="23"/>
          <w:lang w:val="en-GB"/>
        </w:rPr>
        <w:t>II</w:t>
      </w:r>
    </w:p>
    <w:p w14:paraId="5667454B" w14:textId="77777777" w:rsidR="00E7045B" w:rsidRPr="007831BB"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Capacity-building</w:t>
      </w:r>
    </w:p>
    <w:p w14:paraId="52DA3127" w14:textId="51C43E6D" w:rsidR="00E7045B" w:rsidRPr="007831BB"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n-GB"/>
        </w:rPr>
      </w:pPr>
      <w:r w:rsidRPr="007831BB">
        <w:rPr>
          <w:i/>
          <w:color w:val="000000"/>
          <w:lang w:val="en-GB"/>
        </w:rPr>
        <w:t xml:space="preserve">Welcomes </w:t>
      </w:r>
      <w:r w:rsidRPr="007831BB">
        <w:rPr>
          <w:color w:val="000000"/>
          <w:lang w:val="en-GB"/>
        </w:rPr>
        <w:t>the Platform’s capacity-building rolling plan,</w:t>
      </w:r>
      <w:r w:rsidRPr="001B4189">
        <w:rPr>
          <w:color w:val="000000"/>
          <w:vertAlign w:val="superscript"/>
        </w:rPr>
        <w:footnoteReference w:id="3"/>
      </w:r>
      <w:r w:rsidRPr="007831BB">
        <w:rPr>
          <w:color w:val="000000"/>
          <w:lang w:val="en-GB"/>
        </w:rPr>
        <w:t xml:space="preserve"> </w:t>
      </w:r>
      <w:r w:rsidRPr="007831BB">
        <w:rPr>
          <w:lang w:val="en-GB"/>
        </w:rPr>
        <w:t xml:space="preserve">including its executive summary </w:t>
      </w:r>
      <w:r w:rsidR="00047700">
        <w:rPr>
          <w:lang w:val="en-GB"/>
        </w:rPr>
        <w:t>set out</w:t>
      </w:r>
      <w:r w:rsidRPr="007831BB">
        <w:rPr>
          <w:lang w:val="en-GB"/>
        </w:rPr>
        <w:t xml:space="preserve"> in annex I to the present decision</w:t>
      </w:r>
      <w:r w:rsidRPr="007831BB">
        <w:rPr>
          <w:i/>
          <w:lang w:val="en-GB"/>
        </w:rPr>
        <w:t xml:space="preserve">, </w:t>
      </w:r>
      <w:r w:rsidRPr="007831BB">
        <w:rPr>
          <w:lang w:val="en-GB"/>
        </w:rPr>
        <w:t xml:space="preserve">noting that the rolling plan is a living document intended to guide the work of the Platform and collaboration </w:t>
      </w:r>
      <w:r w:rsidRPr="007831BB">
        <w:rPr>
          <w:color w:val="000000"/>
          <w:lang w:val="en-GB"/>
        </w:rPr>
        <w:t>among partners aimed at the implementation of deliverables 1 (a) and 1 (b) of the Platform’s first work programme;</w:t>
      </w:r>
    </w:p>
    <w:p w14:paraId="179C817B" w14:textId="02BA8FB2" w:rsidR="00E7045B" w:rsidRPr="007831BB"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n-GB"/>
        </w:rPr>
      </w:pPr>
      <w:r w:rsidRPr="007831BB">
        <w:rPr>
          <w:i/>
          <w:iCs/>
          <w:color w:val="000000"/>
          <w:lang w:val="en-GB"/>
        </w:rPr>
        <w:t xml:space="preserve">Requests </w:t>
      </w:r>
      <w:r w:rsidRPr="007831BB">
        <w:rPr>
          <w:color w:val="000000"/>
          <w:lang w:val="en-GB"/>
        </w:rPr>
        <w:t>the task force on capacity-building to implement the capacity-building rolling plan, subject to the availability of financial resources, and to report on progress to the Plenary at its sixth session;</w:t>
      </w:r>
    </w:p>
    <w:p w14:paraId="6A201D21" w14:textId="314D4211" w:rsidR="00E7045B" w:rsidRPr="007831BB"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n-GB"/>
        </w:rPr>
      </w:pPr>
      <w:r w:rsidRPr="007831BB">
        <w:rPr>
          <w:i/>
          <w:color w:val="000000"/>
          <w:lang w:val="en-GB"/>
        </w:rPr>
        <w:t xml:space="preserve">Encourages </w:t>
      </w:r>
      <w:r w:rsidRPr="007831BB">
        <w:rPr>
          <w:color w:val="000000"/>
          <w:lang w:val="en-GB"/>
        </w:rPr>
        <w:t>member</w:t>
      </w:r>
      <w:r w:rsidR="00FE0866">
        <w:rPr>
          <w:color w:val="000000"/>
          <w:lang w:val="en-GB"/>
        </w:rPr>
        <w:t>s</w:t>
      </w:r>
      <w:r w:rsidRPr="007831BB">
        <w:rPr>
          <w:color w:val="000000"/>
          <w:lang w:val="en-GB"/>
        </w:rPr>
        <w:t xml:space="preserve"> and observers of the Platform to take advantage of the regional consultation meetings planned under the capacity-building rolling plan for 2017 to enhance member</w:t>
      </w:r>
      <w:r w:rsidR="00FE0866">
        <w:rPr>
          <w:color w:val="000000"/>
          <w:lang w:val="en-GB"/>
        </w:rPr>
        <w:t>s</w:t>
      </w:r>
      <w:r w:rsidRPr="007831BB">
        <w:rPr>
          <w:color w:val="000000"/>
          <w:lang w:val="en-GB"/>
        </w:rPr>
        <w:t>’ and observers’ contributions to the finalization of the regional assessments;</w:t>
      </w:r>
      <w:r w:rsidRPr="007831BB" w:rsidDel="001619A6">
        <w:rPr>
          <w:color w:val="000000"/>
          <w:lang w:val="en-GB"/>
        </w:rPr>
        <w:t xml:space="preserve"> </w:t>
      </w:r>
    </w:p>
    <w:p w14:paraId="6D0A65D5" w14:textId="77777777" w:rsidR="00E7045B" w:rsidRPr="007831BB"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n-GB"/>
        </w:rPr>
      </w:pPr>
      <w:r w:rsidRPr="007831BB">
        <w:rPr>
          <w:i/>
          <w:color w:val="000000"/>
          <w:lang w:val="en-GB"/>
        </w:rPr>
        <w:t>Welcomes</w:t>
      </w:r>
      <w:r w:rsidRPr="007831BB">
        <w:rPr>
          <w:color w:val="000000"/>
          <w:lang w:val="en-GB"/>
        </w:rPr>
        <w:t xml:space="preserve"> the initial efforts of partner organizations in support of capacity</w:t>
      </w:r>
      <w:r w:rsidRPr="007831BB">
        <w:rPr>
          <w:color w:val="000000"/>
          <w:lang w:val="en-GB"/>
        </w:rPr>
        <w:noBreakHyphen/>
        <w:t>building initiatives under the rolling plan and invites other organizations to join those efforts by offering technical and financial contributions that further match identified capacity</w:t>
      </w:r>
      <w:r w:rsidRPr="007831BB">
        <w:rPr>
          <w:color w:val="000000"/>
          <w:lang w:val="en-GB"/>
        </w:rPr>
        <w:noBreakHyphen/>
        <w:t xml:space="preserve">building needs; </w:t>
      </w:r>
    </w:p>
    <w:p w14:paraId="42F19D55" w14:textId="77777777" w:rsidR="00E7045B" w:rsidRPr="007831BB"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i/>
          <w:color w:val="000000"/>
          <w:lang w:val="en-GB"/>
        </w:rPr>
      </w:pPr>
      <w:r w:rsidRPr="007831BB">
        <w:rPr>
          <w:i/>
          <w:color w:val="000000"/>
          <w:lang w:val="en-GB"/>
        </w:rPr>
        <w:t>Requests</w:t>
      </w:r>
      <w:r w:rsidRPr="007831BB">
        <w:rPr>
          <w:color w:val="000000"/>
          <w:lang w:val="en-GB"/>
        </w:rPr>
        <w:t xml:space="preserve"> the task force on capacity-building to further enhance collaboration transparently with other organizations in the implementation of the rolling plan;</w:t>
      </w:r>
    </w:p>
    <w:p w14:paraId="4A2D9095" w14:textId="709BAA32" w:rsidR="00E7045B" w:rsidRPr="007831BB"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n-GB"/>
        </w:rPr>
      </w:pPr>
      <w:r w:rsidRPr="007831BB">
        <w:rPr>
          <w:i/>
          <w:color w:val="000000"/>
          <w:lang w:val="en-GB"/>
        </w:rPr>
        <w:t>Requests</w:t>
      </w:r>
      <w:r w:rsidRPr="007831BB">
        <w:rPr>
          <w:color w:val="000000"/>
          <w:lang w:val="en-GB"/>
        </w:rPr>
        <w:t xml:space="preserve"> the Bureau, in collaboration with the task force on capacity-building, to consider what would be the most effective way of leveraging additional support for capacity-building, to consider whether a third meeting of the capacity-building forum is needed, and to report on its work to the Plenary at its sixth session</w:t>
      </w:r>
      <w:r w:rsidR="000B7A4F">
        <w:rPr>
          <w:color w:val="000000"/>
          <w:lang w:val="en-GB"/>
        </w:rPr>
        <w:t>;</w:t>
      </w:r>
    </w:p>
    <w:p w14:paraId="511081A4" w14:textId="77777777" w:rsidR="00E7045B" w:rsidRPr="007831BB"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III</w:t>
      </w:r>
    </w:p>
    <w:p w14:paraId="014A3E6F" w14:textId="77777777" w:rsidR="00E7045B" w:rsidRPr="007831BB"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lang w:val="en-GB"/>
        </w:rPr>
      </w:pPr>
      <w:r w:rsidRPr="007831BB">
        <w:rPr>
          <w:b/>
          <w:bCs/>
          <w:color w:val="000000" w:themeColor="text1"/>
          <w:sz w:val="23"/>
          <w:szCs w:val="23"/>
          <w:lang w:val="en-GB"/>
        </w:rPr>
        <w:t>Knowledge foundations</w:t>
      </w:r>
    </w:p>
    <w:p w14:paraId="1849D13D" w14:textId="1EDD2EC3" w:rsidR="00E7045B" w:rsidRPr="007831B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i/>
          <w:lang w:val="en-GB"/>
        </w:rPr>
        <w:t>Approves</w:t>
      </w:r>
      <w:r w:rsidRPr="007831BB">
        <w:rPr>
          <w:lang w:val="en-GB"/>
        </w:rPr>
        <w:t xml:space="preserve"> the approach </w:t>
      </w:r>
      <w:r w:rsidR="000B7A4F">
        <w:rPr>
          <w:lang w:val="en-GB"/>
        </w:rPr>
        <w:t>to</w:t>
      </w:r>
      <w:r w:rsidR="000B7A4F" w:rsidRPr="007831BB">
        <w:rPr>
          <w:lang w:val="en-GB"/>
        </w:rPr>
        <w:t xml:space="preserve"> </w:t>
      </w:r>
      <w:r w:rsidRPr="007831BB">
        <w:rPr>
          <w:lang w:val="en-GB"/>
        </w:rPr>
        <w:t>recognizing and working with indigenous and local knowledge set out in annex II to the present decision and requests the Multidisciplinary Expert Panel, supported by the task force on indigenous and local knowledge, to implement it;</w:t>
      </w:r>
    </w:p>
    <w:p w14:paraId="62ECCB61" w14:textId="77777777" w:rsidR="00E7045B" w:rsidRPr="007831B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i/>
          <w:lang w:val="en-GB"/>
        </w:rPr>
        <w:t>Invites</w:t>
      </w:r>
      <w:r w:rsidRPr="007831BB">
        <w:rPr>
          <w:lang w:val="en-GB"/>
        </w:rPr>
        <w:t xml:space="preserve"> indigenous peoples and local communities and their representatives, as well as experts on indigenous and local knowledge, to engage in the activities described in the approach, in particular through the participatory mechanism;</w:t>
      </w:r>
    </w:p>
    <w:p w14:paraId="314332C0" w14:textId="77777777" w:rsidR="00E7045B" w:rsidRPr="007831BB" w:rsidRDefault="00E7045B" w:rsidP="004153C8">
      <w:pPr>
        <w:pStyle w:val="Normalnumber"/>
        <w:keepNext/>
        <w:keepLines/>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i/>
          <w:lang w:val="en-GB"/>
        </w:rPr>
        <w:t>Invites</w:t>
      </w:r>
      <w:r w:rsidRPr="007831BB">
        <w:rPr>
          <w:lang w:val="en-GB"/>
        </w:rPr>
        <w:t xml:space="preserve"> Governments, stakeholders, strategic partners and others to support activities that mobilize indigenous and local knowledge where such knowledge is needed but not available in readily available formats and that increase the capacity of indigenous peoples and local communities to engage in and benefit from the Platform;</w:t>
      </w:r>
    </w:p>
    <w:p w14:paraId="79FEBE32" w14:textId="2657A637" w:rsidR="00E7045B" w:rsidRPr="007831B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i/>
          <w:lang w:val="en-GB"/>
        </w:rPr>
        <w:t>Requests</w:t>
      </w:r>
      <w:r w:rsidRPr="007831BB">
        <w:rPr>
          <w:lang w:val="en-GB"/>
        </w:rPr>
        <w:t xml:space="preserve"> the Executive Secretary to make the arrangements necessary to implement the approach, including </w:t>
      </w:r>
      <w:r w:rsidR="000B7A4F">
        <w:rPr>
          <w:lang w:val="en-GB"/>
        </w:rPr>
        <w:t xml:space="preserve">arrangements </w:t>
      </w:r>
      <w:r w:rsidRPr="007831BB">
        <w:rPr>
          <w:lang w:val="en-GB"/>
        </w:rPr>
        <w:t>for the establishment of the participatory mechanism, subject to the availability of resources</w:t>
      </w:r>
      <w:r w:rsidR="00346797">
        <w:rPr>
          <w:lang w:val="en-GB"/>
        </w:rPr>
        <w:t>;</w:t>
      </w:r>
    </w:p>
    <w:p w14:paraId="3CD38B2F" w14:textId="0B904860" w:rsidR="00E7045B" w:rsidRPr="007831B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i/>
          <w:iCs/>
          <w:lang w:val="en-GB"/>
        </w:rPr>
        <w:t xml:space="preserve">Takes note </w:t>
      </w:r>
      <w:r w:rsidRPr="007831BB">
        <w:rPr>
          <w:iCs/>
          <w:lang w:val="en-GB"/>
        </w:rPr>
        <w:t>of</w:t>
      </w:r>
      <w:r w:rsidRPr="007831BB">
        <w:rPr>
          <w:lang w:val="en-GB"/>
        </w:rPr>
        <w:t xml:space="preserve"> the outline </w:t>
      </w:r>
      <w:proofErr w:type="spellStart"/>
      <w:r w:rsidRPr="007831BB">
        <w:rPr>
          <w:lang w:val="en-GB"/>
        </w:rPr>
        <w:t>workplan</w:t>
      </w:r>
      <w:proofErr w:type="spellEnd"/>
      <w:r w:rsidRPr="007831BB">
        <w:rPr>
          <w:lang w:val="en-GB"/>
        </w:rPr>
        <w:t xml:space="preserve"> for the task force on knowledge and data for 2017 and 2018 set out in annex III to the present decision;</w:t>
      </w:r>
    </w:p>
    <w:p w14:paraId="1A8F700E" w14:textId="4CF5F9BA" w:rsidR="00E7045B" w:rsidRPr="007831B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i/>
          <w:lang w:val="en-GB"/>
        </w:rPr>
        <w:t xml:space="preserve">Requests </w:t>
      </w:r>
      <w:r w:rsidRPr="007831BB">
        <w:rPr>
          <w:lang w:val="en-GB"/>
        </w:rPr>
        <w:t xml:space="preserve">the task force on knowledge and data, subject to the availability of resources, to further develop the </w:t>
      </w:r>
      <w:r w:rsidR="00CD6944">
        <w:rPr>
          <w:lang w:val="en-GB"/>
        </w:rPr>
        <w:t xml:space="preserve">outline </w:t>
      </w:r>
      <w:proofErr w:type="spellStart"/>
      <w:r w:rsidRPr="007831BB">
        <w:rPr>
          <w:lang w:val="en-GB"/>
        </w:rPr>
        <w:t>workplan</w:t>
      </w:r>
      <w:proofErr w:type="spellEnd"/>
      <w:r w:rsidRPr="007831BB">
        <w:rPr>
          <w:lang w:val="en-GB"/>
        </w:rPr>
        <w:t xml:space="preserve"> with clear deliverables and milestones for 2017 and 2018, taking into account the comments received during the fifth session of the Plenary, in consultation with relevant multilateral environmental agreements, international processes and organizations</w:t>
      </w:r>
      <w:r w:rsidR="00976D69">
        <w:rPr>
          <w:lang w:val="en-GB"/>
        </w:rPr>
        <w:t>,</w:t>
      </w:r>
      <w:r w:rsidRPr="007831BB">
        <w:rPr>
          <w:lang w:val="en-GB"/>
        </w:rPr>
        <w:t xml:space="preserve"> to provide further updates during the </w:t>
      </w:r>
      <w:proofErr w:type="spellStart"/>
      <w:r w:rsidRPr="007831BB">
        <w:rPr>
          <w:lang w:val="en-GB"/>
        </w:rPr>
        <w:t>intersessional</w:t>
      </w:r>
      <w:proofErr w:type="spellEnd"/>
      <w:r w:rsidRPr="007831BB">
        <w:rPr>
          <w:lang w:val="en-GB"/>
        </w:rPr>
        <w:t xml:space="preserve"> periods through the Platform website and to report on progress to the Plenary at its sixth and seventh sessions;</w:t>
      </w:r>
    </w:p>
    <w:p w14:paraId="0BCA84BB" w14:textId="137A2904" w:rsidR="00E7045B" w:rsidRPr="001B0C7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i/>
          <w:lang w:val="en-GB"/>
        </w:rPr>
        <w:t>Encourages</w:t>
      </w:r>
      <w:r w:rsidRPr="007831BB">
        <w:rPr>
          <w:lang w:val="en-GB"/>
        </w:rPr>
        <w:t xml:space="preserve"> the task force on knowledge and data to develop terms of reference to specify the </w:t>
      </w:r>
      <w:r w:rsidRPr="00160BD4">
        <w:rPr>
          <w:lang w:val="en-GB"/>
        </w:rPr>
        <w:t>modalities of its collaboration on specific task</w:t>
      </w:r>
      <w:r w:rsidR="00957FCC" w:rsidRPr="00160BD4">
        <w:rPr>
          <w:lang w:val="en-GB"/>
        </w:rPr>
        <w:t>s</w:t>
      </w:r>
      <w:r w:rsidRPr="00160BD4">
        <w:rPr>
          <w:lang w:val="en-GB"/>
        </w:rPr>
        <w:t xml:space="preserve"> with partner organizations;</w:t>
      </w:r>
    </w:p>
    <w:p w14:paraId="7352C3E3" w14:textId="50844D21" w:rsidR="00E7045B" w:rsidRPr="001B0C7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n-GB"/>
        </w:rPr>
      </w:pPr>
      <w:r w:rsidRPr="00160BD4">
        <w:rPr>
          <w:i/>
          <w:lang w:val="en-GB"/>
        </w:rPr>
        <w:t xml:space="preserve">Takes note </w:t>
      </w:r>
      <w:r w:rsidRPr="00160BD4">
        <w:rPr>
          <w:lang w:val="en-GB"/>
        </w:rPr>
        <w:t xml:space="preserve">of the outcome of the expert group mandated to take into account the evolution of thinking on ecosystem services and </w:t>
      </w:r>
      <w:r w:rsidR="00C94EBF" w:rsidRPr="00160BD4">
        <w:rPr>
          <w:lang w:val="en-GB"/>
        </w:rPr>
        <w:t>of</w:t>
      </w:r>
      <w:r w:rsidR="008F614B" w:rsidRPr="00160BD4">
        <w:rPr>
          <w:lang w:val="en-GB"/>
        </w:rPr>
        <w:t xml:space="preserve"> </w:t>
      </w:r>
      <w:r w:rsidRPr="00160BD4">
        <w:rPr>
          <w:lang w:val="en-GB"/>
        </w:rPr>
        <w:t xml:space="preserve">the transition </w:t>
      </w:r>
      <w:r w:rsidR="00C94EBF" w:rsidRPr="00160BD4">
        <w:rPr>
          <w:lang w:val="en-GB"/>
        </w:rPr>
        <w:t xml:space="preserve">from ecosystem services </w:t>
      </w:r>
      <w:r w:rsidRPr="00160BD4">
        <w:rPr>
          <w:lang w:val="en-GB"/>
        </w:rPr>
        <w:t>to nature’s contributions to people to be in line with the inclusive approach of the IPBES conceptual framework</w:t>
      </w:r>
      <w:r w:rsidR="00C94EBF" w:rsidRPr="00160BD4">
        <w:rPr>
          <w:lang w:val="en-GB"/>
        </w:rPr>
        <w:t>.</w:t>
      </w:r>
      <w:r w:rsidR="004D3189" w:rsidRPr="00160BD4">
        <w:rPr>
          <w:lang w:val="en-GB"/>
        </w:rPr>
        <w:t xml:space="preserve"> </w:t>
      </w:r>
    </w:p>
    <w:p w14:paraId="4931C005" w14:textId="7E8FBA2F" w:rsidR="00E7045B" w:rsidRPr="007831BB"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color w:val="000000" w:themeColor="text1"/>
          <w:lang w:val="en-GB"/>
        </w:rPr>
      </w:pPr>
      <w:r w:rsidRPr="007831BB">
        <w:rPr>
          <w:i/>
          <w:lang w:val="en-GB"/>
        </w:rPr>
        <w:t xml:space="preserve">Notes </w:t>
      </w:r>
      <w:r w:rsidRPr="007831BB">
        <w:rPr>
          <w:lang w:val="en-GB"/>
        </w:rPr>
        <w:t>that the concept of nature’s contributions to people will be used in the Platform’s current and future assessments</w:t>
      </w:r>
      <w:r w:rsidR="007E204B">
        <w:rPr>
          <w:lang w:val="en-GB"/>
        </w:rPr>
        <w:t>;</w:t>
      </w:r>
    </w:p>
    <w:p w14:paraId="14A05084" w14:textId="77777777" w:rsidR="00E7045B" w:rsidRPr="007831BB"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IV</w:t>
      </w:r>
    </w:p>
    <w:p w14:paraId="653DA37B" w14:textId="77777777" w:rsidR="00E7045B" w:rsidRPr="007831BB"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 xml:space="preserve">Global, regional and </w:t>
      </w:r>
      <w:proofErr w:type="spellStart"/>
      <w:r w:rsidRPr="007831BB">
        <w:rPr>
          <w:b/>
          <w:bCs/>
          <w:color w:val="000000" w:themeColor="text1"/>
          <w:sz w:val="23"/>
          <w:szCs w:val="23"/>
          <w:lang w:val="en-GB"/>
        </w:rPr>
        <w:t>subregional</w:t>
      </w:r>
      <w:proofErr w:type="spellEnd"/>
      <w:r w:rsidRPr="007831BB">
        <w:rPr>
          <w:b/>
          <w:bCs/>
          <w:color w:val="000000" w:themeColor="text1"/>
          <w:sz w:val="23"/>
          <w:szCs w:val="23"/>
          <w:lang w:val="en-GB"/>
        </w:rPr>
        <w:t xml:space="preserve"> assessments</w:t>
      </w:r>
    </w:p>
    <w:p w14:paraId="08B5831F" w14:textId="6AE69D0D" w:rsidR="00E7045B" w:rsidRPr="00964A01" w:rsidRDefault="00E7045B" w:rsidP="00647316">
      <w:pPr>
        <w:pStyle w:val="Normalnumber"/>
        <w:tabs>
          <w:tab w:val="clear" w:pos="1247"/>
          <w:tab w:val="clear" w:pos="1814"/>
          <w:tab w:val="clear" w:pos="2381"/>
          <w:tab w:val="clear" w:pos="2948"/>
          <w:tab w:val="clear" w:pos="3515"/>
          <w:tab w:val="clear" w:pos="4082"/>
          <w:tab w:val="left" w:pos="624"/>
        </w:tabs>
        <w:ind w:left="1247" w:firstLine="624"/>
        <w:rPr>
          <w:lang w:val="en-US"/>
        </w:rPr>
      </w:pPr>
      <w:r w:rsidRPr="00964A01">
        <w:rPr>
          <w:i/>
          <w:lang w:val="en-US"/>
        </w:rPr>
        <w:t>Welcomes</w:t>
      </w:r>
      <w:r w:rsidRPr="00964A01">
        <w:rPr>
          <w:lang w:val="en-US"/>
        </w:rPr>
        <w:t xml:space="preserve"> the progress made in the undertaking of the global assessment of biodiversity and ecosystem services</w:t>
      </w:r>
      <w:r w:rsidRPr="007831BB">
        <w:rPr>
          <w:rStyle w:val="FootnoteReference"/>
          <w:szCs w:val="20"/>
        </w:rPr>
        <w:footnoteReference w:id="4"/>
      </w:r>
      <w:r w:rsidRPr="00964A01">
        <w:rPr>
          <w:lang w:val="en-US"/>
        </w:rPr>
        <w:t xml:space="preserve"> and the regional and </w:t>
      </w:r>
      <w:proofErr w:type="spellStart"/>
      <w:r w:rsidRPr="00964A01">
        <w:rPr>
          <w:lang w:val="en-US"/>
        </w:rPr>
        <w:t>subregional</w:t>
      </w:r>
      <w:proofErr w:type="spellEnd"/>
      <w:r w:rsidRPr="00964A01">
        <w:rPr>
          <w:lang w:val="en-US"/>
        </w:rPr>
        <w:t xml:space="preserve"> assessments of biodiversity and ecosystem services</w:t>
      </w:r>
      <w:r w:rsidR="00930CB2">
        <w:rPr>
          <w:lang w:val="en-US"/>
        </w:rPr>
        <w:t>;</w:t>
      </w:r>
      <w:r w:rsidRPr="007831BB">
        <w:rPr>
          <w:rStyle w:val="FootnoteReference"/>
          <w:szCs w:val="20"/>
        </w:rPr>
        <w:footnoteReference w:id="5"/>
      </w:r>
    </w:p>
    <w:p w14:paraId="36740325" w14:textId="77777777" w:rsidR="00E7045B" w:rsidRPr="007831BB"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V</w:t>
      </w:r>
    </w:p>
    <w:p w14:paraId="1BA975D7" w14:textId="77777777" w:rsidR="00E7045B" w:rsidRPr="007831BB"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Thematic assessments</w:t>
      </w:r>
    </w:p>
    <w:p w14:paraId="4F1A72F3" w14:textId="0330B541" w:rsidR="00E7045B" w:rsidRPr="00C94EBF"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sz w:val="13"/>
          <w:lang w:val="en-US"/>
        </w:rPr>
      </w:pPr>
      <w:r w:rsidRPr="00C94EBF">
        <w:rPr>
          <w:i/>
          <w:lang w:val="en-US"/>
        </w:rPr>
        <w:t xml:space="preserve">Welcomes </w:t>
      </w:r>
      <w:r w:rsidRPr="00C94EBF">
        <w:rPr>
          <w:lang w:val="en-US"/>
        </w:rPr>
        <w:t>the activities undertaken to disseminate and communicate</w:t>
      </w:r>
      <w:r w:rsidRPr="00C94EBF">
        <w:rPr>
          <w:rStyle w:val="FootnoteReference"/>
        </w:rPr>
        <w:footnoteReference w:id="6"/>
      </w:r>
      <w:r w:rsidRPr="00C94EBF">
        <w:rPr>
          <w:lang w:val="en-US"/>
        </w:rPr>
        <w:t xml:space="preserve"> the summary for policymakers of the </w:t>
      </w:r>
      <w:r w:rsidR="00C94EBF">
        <w:rPr>
          <w:lang w:val="en-US"/>
        </w:rPr>
        <w:t xml:space="preserve">assessment </w:t>
      </w:r>
      <w:r w:rsidRPr="00C94EBF">
        <w:rPr>
          <w:lang w:val="en-US"/>
        </w:rPr>
        <w:t>report o</w:t>
      </w:r>
      <w:r w:rsidR="008352ED" w:rsidRPr="00C94EBF">
        <w:rPr>
          <w:lang w:val="en-US"/>
        </w:rPr>
        <w:t>n</w:t>
      </w:r>
      <w:r w:rsidRPr="00C94EBF">
        <w:rPr>
          <w:lang w:val="en-US"/>
        </w:rPr>
        <w:t xml:space="preserve"> pollinators, pollination and food production</w:t>
      </w:r>
      <w:r w:rsidRPr="00C94EBF">
        <w:rPr>
          <w:rStyle w:val="FootnoteReference"/>
        </w:rPr>
        <w:footnoteReference w:id="7"/>
      </w:r>
      <w:r w:rsidRPr="00C94EBF">
        <w:rPr>
          <w:lang w:val="en-US"/>
        </w:rPr>
        <w:t xml:space="preserve"> and the individual chapters of the assessment report and their executive summaries</w:t>
      </w:r>
      <w:r w:rsidR="008352ED" w:rsidRPr="00C94EBF">
        <w:rPr>
          <w:lang w:val="en-US"/>
        </w:rPr>
        <w:t>,</w:t>
      </w:r>
      <w:r w:rsidRPr="00C94EBF">
        <w:rPr>
          <w:rStyle w:val="FootnoteReference"/>
        </w:rPr>
        <w:footnoteReference w:id="8"/>
      </w:r>
      <w:r w:rsidRPr="00C94EBF">
        <w:rPr>
          <w:lang w:val="en-US"/>
        </w:rPr>
        <w:t xml:space="preserve"> and the consideration by all relevant bodies of </w:t>
      </w:r>
      <w:r w:rsidR="008352ED" w:rsidRPr="00C94EBF">
        <w:rPr>
          <w:lang w:val="en-US"/>
        </w:rPr>
        <w:t xml:space="preserve">the </w:t>
      </w:r>
      <w:r w:rsidRPr="00C94EBF">
        <w:rPr>
          <w:lang w:val="en-US"/>
        </w:rPr>
        <w:t>findings in the summary;</w:t>
      </w:r>
      <w:r w:rsidRPr="00C94EBF">
        <w:rPr>
          <w:sz w:val="13"/>
          <w:lang w:val="en-US"/>
        </w:rPr>
        <w:t xml:space="preserve"> </w:t>
      </w:r>
    </w:p>
    <w:p w14:paraId="44B8B6CF" w14:textId="07A25390" w:rsidR="00E7045B" w:rsidRPr="00C94EBF"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sz w:val="13"/>
          <w:lang w:val="en-US"/>
        </w:rPr>
      </w:pPr>
      <w:r w:rsidRPr="00126115">
        <w:rPr>
          <w:i/>
          <w:lang w:val="en-US"/>
        </w:rPr>
        <w:t xml:space="preserve">Also welcomes </w:t>
      </w:r>
      <w:r w:rsidRPr="00126115">
        <w:rPr>
          <w:lang w:val="en-US"/>
        </w:rPr>
        <w:t>the progress made in the undertaking of the assessment of land degradation and restoration;</w:t>
      </w:r>
      <w:r w:rsidRPr="00C94EBF">
        <w:rPr>
          <w:rStyle w:val="FootnoteReference"/>
          <w:color w:val="000000" w:themeColor="text1"/>
        </w:rPr>
        <w:footnoteReference w:id="9"/>
      </w:r>
      <w:r w:rsidRPr="00C94EBF">
        <w:rPr>
          <w:sz w:val="13"/>
          <w:lang w:val="en-US"/>
        </w:rPr>
        <w:t xml:space="preserve"> </w:t>
      </w:r>
    </w:p>
    <w:p w14:paraId="7D49F791" w14:textId="197D1227" w:rsidR="00E7045B" w:rsidRPr="00964A01"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lang w:val="en-US"/>
        </w:rPr>
      </w:pPr>
      <w:r w:rsidRPr="00964A01">
        <w:rPr>
          <w:i/>
          <w:iCs/>
          <w:lang w:val="en-US"/>
        </w:rPr>
        <w:t xml:space="preserve">Approves </w:t>
      </w:r>
      <w:r w:rsidRPr="00964A01">
        <w:rPr>
          <w:lang w:val="en-US"/>
        </w:rPr>
        <w:t>the scoping report for a thematic assessment of sustainable use of wild species set out in annex IV to the present decision;</w:t>
      </w:r>
    </w:p>
    <w:p w14:paraId="618CEA50" w14:textId="7EA62A98" w:rsidR="00E7045B" w:rsidRPr="00964A01"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lang w:val="en-US"/>
        </w:rPr>
      </w:pPr>
      <w:r w:rsidRPr="00964A01">
        <w:rPr>
          <w:i/>
          <w:lang w:val="en-US"/>
        </w:rPr>
        <w:t>Requests</w:t>
      </w:r>
      <w:r w:rsidRPr="00964A01">
        <w:rPr>
          <w:lang w:val="en-US"/>
        </w:rPr>
        <w:t xml:space="preserve"> the Multidisciplinary Expert Panel, in consultation with the Bureau, to evaluate the need for any changes to already approved scoping documents based on major scientific findings of other Platform assessments and to report to the Plenary if any significant modifications are needed; </w:t>
      </w:r>
    </w:p>
    <w:p w14:paraId="7605F8BE" w14:textId="77777777" w:rsidR="00E7045B" w:rsidRPr="007831BB" w:rsidRDefault="00E7045B" w:rsidP="004153C8">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VI</w:t>
      </w:r>
    </w:p>
    <w:p w14:paraId="5E2490A0" w14:textId="77777777" w:rsidR="00E7045B" w:rsidRPr="007831BB" w:rsidRDefault="00E7045B" w:rsidP="004153C8">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n-GB"/>
        </w:rPr>
      </w:pPr>
      <w:r w:rsidRPr="007831BB">
        <w:rPr>
          <w:b/>
          <w:bCs/>
          <w:color w:val="000000" w:themeColor="text1"/>
          <w:sz w:val="23"/>
          <w:szCs w:val="23"/>
          <w:lang w:val="en-GB"/>
        </w:rPr>
        <w:t>Methodological assessments</w:t>
      </w:r>
    </w:p>
    <w:p w14:paraId="3BCD30DA" w14:textId="521BAAD8" w:rsidR="00E7045B" w:rsidRPr="00964A01" w:rsidRDefault="00E7045B" w:rsidP="004153C8">
      <w:pPr>
        <w:pStyle w:val="Normalnumber"/>
        <w:keepNext/>
        <w:keepLines/>
        <w:numPr>
          <w:ilvl w:val="0"/>
          <w:numId w:val="365"/>
        </w:numPr>
        <w:tabs>
          <w:tab w:val="clear" w:pos="1247"/>
          <w:tab w:val="clear" w:pos="1814"/>
          <w:tab w:val="clear" w:pos="2381"/>
          <w:tab w:val="clear" w:pos="2948"/>
          <w:tab w:val="clear" w:pos="3515"/>
          <w:tab w:val="clear" w:pos="4082"/>
          <w:tab w:val="left" w:pos="624"/>
        </w:tabs>
        <w:ind w:left="1247" w:firstLine="624"/>
        <w:rPr>
          <w:lang w:val="en-US"/>
        </w:rPr>
      </w:pPr>
      <w:r w:rsidRPr="00964A01">
        <w:rPr>
          <w:i/>
          <w:iCs/>
          <w:lang w:val="en-US"/>
        </w:rPr>
        <w:t xml:space="preserve">Welcomes </w:t>
      </w:r>
      <w:r w:rsidRPr="00964A01">
        <w:rPr>
          <w:lang w:val="en-US"/>
        </w:rPr>
        <w:t>the activities undertaken to disseminate and communicate</w:t>
      </w:r>
      <w:r w:rsidRPr="00440196">
        <w:rPr>
          <w:rStyle w:val="FootnoteReference"/>
        </w:rPr>
        <w:footnoteReference w:id="10"/>
      </w:r>
      <w:r w:rsidRPr="00964A01">
        <w:rPr>
          <w:lang w:val="en-US"/>
        </w:rPr>
        <w:t xml:space="preserve"> the summary for policymakers of the </w:t>
      </w:r>
      <w:r w:rsidR="00C94EBF">
        <w:rPr>
          <w:lang w:val="en-US"/>
        </w:rPr>
        <w:t xml:space="preserve">assessment </w:t>
      </w:r>
      <w:r w:rsidRPr="00964A01">
        <w:rPr>
          <w:lang w:val="en-US"/>
        </w:rPr>
        <w:t>report on scenarios and models of biodiversity and ecosystem services</w:t>
      </w:r>
      <w:r w:rsidRPr="001B4189">
        <w:rPr>
          <w:rStyle w:val="FootnoteReference"/>
        </w:rPr>
        <w:footnoteReference w:id="11"/>
      </w:r>
      <w:r w:rsidRPr="00964A01">
        <w:rPr>
          <w:lang w:val="en-US"/>
        </w:rPr>
        <w:t xml:space="preserve"> and the individual chapters of the assessment report and their executive summaries</w:t>
      </w:r>
      <w:r w:rsidR="00923546">
        <w:rPr>
          <w:lang w:val="en-US"/>
        </w:rPr>
        <w:t>;</w:t>
      </w:r>
      <w:r w:rsidRPr="001B4189">
        <w:rPr>
          <w:rStyle w:val="FootnoteReference"/>
        </w:rPr>
        <w:footnoteReference w:id="12"/>
      </w:r>
    </w:p>
    <w:p w14:paraId="49D7F628" w14:textId="0A7614E9" w:rsidR="00E7045B" w:rsidRPr="00964A01"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i/>
          <w:iCs/>
          <w:lang w:val="en-US"/>
        </w:rPr>
      </w:pPr>
      <w:r w:rsidRPr="00964A01">
        <w:rPr>
          <w:i/>
          <w:iCs/>
          <w:lang w:val="en-US"/>
        </w:rPr>
        <w:t xml:space="preserve">Welcomes </w:t>
      </w:r>
      <w:r w:rsidRPr="00964A01">
        <w:rPr>
          <w:iCs/>
          <w:lang w:val="en-US"/>
        </w:rPr>
        <w:t xml:space="preserve">the progress made and next steps planned in the implementation of the work plan for the second phase of </w:t>
      </w:r>
      <w:r w:rsidR="00C94EBF">
        <w:rPr>
          <w:iCs/>
          <w:lang w:val="en-US"/>
        </w:rPr>
        <w:t>IPBES</w:t>
      </w:r>
      <w:r w:rsidR="00C94EBF" w:rsidRPr="00964A01">
        <w:rPr>
          <w:iCs/>
          <w:lang w:val="en-US"/>
        </w:rPr>
        <w:t xml:space="preserve"> </w:t>
      </w:r>
      <w:r w:rsidRPr="00964A01">
        <w:rPr>
          <w:iCs/>
          <w:lang w:val="en-US"/>
        </w:rPr>
        <w:t>work on scenarios and models</w:t>
      </w:r>
      <w:r w:rsidRPr="00964A01">
        <w:rPr>
          <w:i/>
          <w:iCs/>
          <w:lang w:val="en-US"/>
        </w:rPr>
        <w:t>;</w:t>
      </w:r>
      <w:r w:rsidRPr="001B4189">
        <w:rPr>
          <w:rStyle w:val="FootnoteReference"/>
          <w:iCs/>
        </w:rPr>
        <w:footnoteReference w:id="13"/>
      </w:r>
    </w:p>
    <w:p w14:paraId="7D0B4A00" w14:textId="7D485B56" w:rsidR="00E7045B" w:rsidRPr="00964A01"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lang w:val="en-US"/>
        </w:rPr>
      </w:pPr>
      <w:r w:rsidRPr="00964A01">
        <w:rPr>
          <w:i/>
          <w:iCs/>
          <w:lang w:val="en-US"/>
        </w:rPr>
        <w:t xml:space="preserve">Requests </w:t>
      </w:r>
      <w:r w:rsidRPr="00964A01">
        <w:rPr>
          <w:iCs/>
          <w:lang w:val="en-US"/>
        </w:rPr>
        <w:t xml:space="preserve">the expert group on scenarios and models established in accordance with paragraph 2 of section V of decision IPBES-4/1 </w:t>
      </w:r>
      <w:r w:rsidRPr="00964A01">
        <w:rPr>
          <w:lang w:val="en-US"/>
        </w:rPr>
        <w:t>to continue its work in accordance with the terms of reference set out in annex V to decision IPBES</w:t>
      </w:r>
      <w:r w:rsidRPr="00964A01">
        <w:rPr>
          <w:lang w:val="en-US"/>
        </w:rPr>
        <w:noBreakHyphen/>
        <w:t>4/1 and to report on progress at the sixth and seventh sessions of the Plenary;</w:t>
      </w:r>
    </w:p>
    <w:p w14:paraId="655855EE" w14:textId="6E8E25B7" w:rsidR="00E7045B" w:rsidRPr="00964A01"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iCs/>
          <w:lang w:val="en-US"/>
        </w:rPr>
      </w:pPr>
      <w:r w:rsidRPr="00964A01">
        <w:rPr>
          <w:i/>
          <w:iCs/>
          <w:lang w:val="en-US"/>
        </w:rPr>
        <w:t xml:space="preserve">Welcomes </w:t>
      </w:r>
      <w:r w:rsidRPr="00964A01">
        <w:rPr>
          <w:iCs/>
          <w:lang w:val="en-US"/>
        </w:rPr>
        <w:t xml:space="preserve">the progress made and next steps planned in the work of the expert group on values </w:t>
      </w:r>
      <w:r w:rsidR="00923546" w:rsidRPr="00326DEE">
        <w:rPr>
          <w:iCs/>
          <w:lang w:val="en-US"/>
        </w:rPr>
        <w:t xml:space="preserve">established in accordance with paragraph 5 of section V of decision IPBES-4/1 </w:t>
      </w:r>
      <w:r w:rsidRPr="00964A01">
        <w:rPr>
          <w:iCs/>
          <w:lang w:val="en-US"/>
        </w:rPr>
        <w:t>to ensure that values and valuation are incorporated appropriately into all Platform assessments;</w:t>
      </w:r>
      <w:r w:rsidRPr="00457148">
        <w:rPr>
          <w:vertAlign w:val="superscript"/>
        </w:rPr>
        <w:footnoteReference w:id="14"/>
      </w:r>
    </w:p>
    <w:p w14:paraId="08E58872" w14:textId="5DD83F16" w:rsidR="00E7045B" w:rsidRPr="00964A01"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lang w:val="en-US"/>
        </w:rPr>
      </w:pPr>
      <w:r w:rsidRPr="00964A01">
        <w:rPr>
          <w:i/>
          <w:iCs/>
          <w:lang w:val="en-US"/>
        </w:rPr>
        <w:t xml:space="preserve">Extends </w:t>
      </w:r>
      <w:r w:rsidRPr="00964A01">
        <w:rPr>
          <w:iCs/>
          <w:lang w:val="en-US"/>
        </w:rPr>
        <w:t xml:space="preserve">the mandate of the expert group on values until the seventh session of the Plenary and requests the expert group </w:t>
      </w:r>
      <w:r w:rsidRPr="00964A01">
        <w:rPr>
          <w:lang w:val="en-US"/>
        </w:rPr>
        <w:t>to report on progress at the sixth and seventh sessions of the Plenary</w:t>
      </w:r>
      <w:r w:rsidR="00923546">
        <w:rPr>
          <w:lang w:val="en-US"/>
        </w:rPr>
        <w:t>;</w:t>
      </w:r>
    </w:p>
    <w:p w14:paraId="68B02FFD" w14:textId="77777777" w:rsidR="00E7045B" w:rsidRPr="007831BB" w:rsidRDefault="00E7045B" w:rsidP="004E0CCE">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VII</w:t>
      </w:r>
    </w:p>
    <w:p w14:paraId="4A2DEE0D" w14:textId="77777777" w:rsidR="00E7045B" w:rsidRPr="007831BB" w:rsidRDefault="00E7045B" w:rsidP="004E0CCE">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Catalogue of policy tools and methodologies</w:t>
      </w:r>
    </w:p>
    <w:p w14:paraId="5F124D33" w14:textId="77777777" w:rsidR="00E7045B" w:rsidRPr="007831BB" w:rsidRDefault="00E7045B" w:rsidP="004E0CCE">
      <w:pPr>
        <w:pStyle w:val="Normalnumber"/>
        <w:numPr>
          <w:ilvl w:val="0"/>
          <w:numId w:val="343"/>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n-GB"/>
        </w:rPr>
      </w:pPr>
      <w:r w:rsidRPr="007831BB">
        <w:rPr>
          <w:i/>
          <w:lang w:val="en-GB"/>
        </w:rPr>
        <w:t xml:space="preserve">Welcomes </w:t>
      </w:r>
      <w:r w:rsidRPr="007831BB">
        <w:rPr>
          <w:lang w:val="en-GB"/>
        </w:rPr>
        <w:t>the progress made and next steps planned in the work of the expert group on policy support tools and methodologies;</w:t>
      </w:r>
      <w:r w:rsidRPr="007831BB">
        <w:rPr>
          <w:rStyle w:val="FootnoteReference"/>
          <w:lang w:val="en-GB"/>
        </w:rPr>
        <w:footnoteReference w:id="15"/>
      </w:r>
    </w:p>
    <w:p w14:paraId="5C288D9E" w14:textId="77777777" w:rsidR="00E7045B" w:rsidRPr="007831BB" w:rsidRDefault="00E7045B" w:rsidP="004E0CCE">
      <w:pPr>
        <w:pStyle w:val="Normalnumber"/>
        <w:numPr>
          <w:ilvl w:val="0"/>
          <w:numId w:val="343"/>
        </w:numPr>
        <w:tabs>
          <w:tab w:val="clear" w:pos="1134"/>
          <w:tab w:val="clear" w:pos="1247"/>
          <w:tab w:val="clear" w:pos="1814"/>
          <w:tab w:val="clear" w:pos="2381"/>
          <w:tab w:val="clear" w:pos="2948"/>
          <w:tab w:val="clear" w:pos="3515"/>
          <w:tab w:val="clear" w:pos="4082"/>
          <w:tab w:val="left" w:pos="624"/>
        </w:tabs>
        <w:adjustRightInd w:val="0"/>
        <w:snapToGrid w:val="0"/>
        <w:ind w:firstLine="624"/>
        <w:rPr>
          <w:i/>
          <w:lang w:val="en-GB"/>
        </w:rPr>
      </w:pPr>
      <w:r w:rsidRPr="007831BB">
        <w:rPr>
          <w:i/>
          <w:lang w:val="en-GB"/>
        </w:rPr>
        <w:t>Takes note</w:t>
      </w:r>
      <w:r w:rsidRPr="007831BB">
        <w:rPr>
          <w:lang w:val="en-GB"/>
        </w:rPr>
        <w:t xml:space="preserve"> of the development of the online catalogue of policy support tools and methodologies and the support provided for </w:t>
      </w:r>
      <w:proofErr w:type="spellStart"/>
      <w:r w:rsidRPr="007831BB">
        <w:rPr>
          <w:lang w:val="en-GB"/>
        </w:rPr>
        <w:t>ongoing</w:t>
      </w:r>
      <w:proofErr w:type="spellEnd"/>
      <w:r w:rsidRPr="007831BB">
        <w:rPr>
          <w:lang w:val="en-GB"/>
        </w:rPr>
        <w:t xml:space="preserve"> Platform assessments;</w:t>
      </w:r>
      <w:r w:rsidRPr="00160BD4">
        <w:rPr>
          <w:vertAlign w:val="superscript"/>
        </w:rPr>
        <w:footnoteReference w:id="16"/>
      </w:r>
    </w:p>
    <w:p w14:paraId="1ACDDC6A" w14:textId="2CC61A30" w:rsidR="00E7045B" w:rsidRPr="007831BB" w:rsidRDefault="00E7045B" w:rsidP="004E0CCE">
      <w:pPr>
        <w:pStyle w:val="Normalnumber"/>
        <w:numPr>
          <w:ilvl w:val="0"/>
          <w:numId w:val="343"/>
        </w:numPr>
        <w:tabs>
          <w:tab w:val="clear" w:pos="1134"/>
          <w:tab w:val="clear" w:pos="1247"/>
          <w:tab w:val="clear" w:pos="1814"/>
          <w:tab w:val="clear" w:pos="2381"/>
          <w:tab w:val="clear" w:pos="2948"/>
          <w:tab w:val="clear" w:pos="3515"/>
          <w:tab w:val="clear" w:pos="4082"/>
          <w:tab w:val="left" w:pos="624"/>
        </w:tabs>
        <w:adjustRightInd w:val="0"/>
        <w:snapToGrid w:val="0"/>
        <w:ind w:firstLine="624"/>
        <w:rPr>
          <w:i/>
          <w:lang w:val="en-GB"/>
        </w:rPr>
      </w:pPr>
      <w:r w:rsidRPr="007831BB">
        <w:rPr>
          <w:i/>
          <w:lang w:val="en-GB"/>
        </w:rPr>
        <w:t xml:space="preserve">Requests </w:t>
      </w:r>
      <w:r w:rsidRPr="007831BB">
        <w:rPr>
          <w:lang w:val="en-GB"/>
        </w:rPr>
        <w:t>the Multidisciplinary Expert Panel, in consultation with the Bureau and supported by a reconstituted task-specific expert group on policy support tools and methodologies and the secretariat, to continue, subject to the availability of resources, to address the requests made in decision IPBES-4/1 and, in addition</w:t>
      </w:r>
      <w:r w:rsidR="00923546">
        <w:rPr>
          <w:lang w:val="en-GB"/>
        </w:rPr>
        <w:t>:</w:t>
      </w:r>
      <w:r w:rsidRPr="007831BB">
        <w:rPr>
          <w:i/>
          <w:lang w:val="en-GB"/>
        </w:rPr>
        <w:t xml:space="preserve"> </w:t>
      </w:r>
    </w:p>
    <w:p w14:paraId="668D8534" w14:textId="28A03D7B" w:rsidR="00E7045B" w:rsidRPr="007831BB"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n-GB"/>
        </w:rPr>
      </w:pPr>
      <w:r w:rsidRPr="007831BB">
        <w:rPr>
          <w:lang w:val="en-GB"/>
        </w:rPr>
        <w:t>To submit the prototype online catalogue of policy support tools and methodologies for review by members, observers and stakeholders;</w:t>
      </w:r>
    </w:p>
    <w:p w14:paraId="5E3C0CA8" w14:textId="77777777" w:rsidR="00E7045B" w:rsidRPr="007831BB"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n-GB"/>
        </w:rPr>
      </w:pPr>
      <w:r w:rsidRPr="007831BB">
        <w:rPr>
          <w:lang w:val="en-GB"/>
        </w:rPr>
        <w:t>To further develop the catalogue in cooperation with relevant international processes and interested partners;</w:t>
      </w:r>
    </w:p>
    <w:p w14:paraId="40BE7108" w14:textId="77777777" w:rsidR="00E7045B" w:rsidRPr="007831BB"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n-GB"/>
        </w:rPr>
      </w:pPr>
      <w:r w:rsidRPr="007831BB">
        <w:rPr>
          <w:lang w:val="en-GB"/>
        </w:rPr>
        <w:t>To work with the task force on capacity-building to explore ways to more effectively promote and facilitate the future use of policy support tools and methodologies at appropriate scales that meet the needs of policymakers;</w:t>
      </w:r>
    </w:p>
    <w:p w14:paraId="65031E3D" w14:textId="6CB98256" w:rsidR="00E7045B" w:rsidRPr="007831BB"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n-GB" w:eastAsia="zh-CN"/>
        </w:rPr>
      </w:pPr>
      <w:r w:rsidRPr="007831BB">
        <w:rPr>
          <w:lang w:val="en-GB"/>
        </w:rPr>
        <w:t xml:space="preserve">To undertake an evaluation of the use and effectiveness of the online prototype of the catalogue in the context of the </w:t>
      </w:r>
      <w:r w:rsidRPr="00160BD4">
        <w:rPr>
          <w:lang w:val="en-GB"/>
        </w:rPr>
        <w:t>review of the</w:t>
      </w:r>
      <w:r w:rsidRPr="007831BB">
        <w:rPr>
          <w:lang w:val="en-GB"/>
        </w:rPr>
        <w:t xml:space="preserve"> Platform (deliverable 4</w:t>
      </w:r>
      <w:r w:rsidR="00923546">
        <w:rPr>
          <w:lang w:val="en-GB"/>
        </w:rPr>
        <w:t> </w:t>
      </w:r>
      <w:r w:rsidRPr="007831BB">
        <w:rPr>
          <w:lang w:val="en-GB"/>
        </w:rPr>
        <w:t>(e)) and to report to the Plenary at its sixth session</w:t>
      </w:r>
      <w:r w:rsidR="00E329F4">
        <w:rPr>
          <w:lang w:val="en-GB"/>
        </w:rPr>
        <w:t>;</w:t>
      </w:r>
    </w:p>
    <w:p w14:paraId="43ABFE4D" w14:textId="77777777" w:rsidR="00E7045B" w:rsidRPr="007831BB"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color w:val="000000" w:themeColor="text1"/>
          <w:sz w:val="23"/>
          <w:szCs w:val="23"/>
          <w:lang w:val="en-GB"/>
        </w:rPr>
      </w:pPr>
      <w:r w:rsidRPr="007831BB">
        <w:rPr>
          <w:b/>
          <w:bCs/>
          <w:color w:val="000000" w:themeColor="text1"/>
          <w:sz w:val="23"/>
          <w:szCs w:val="23"/>
          <w:lang w:val="en-GB"/>
        </w:rPr>
        <w:t>VIII</w:t>
      </w:r>
    </w:p>
    <w:p w14:paraId="38479847" w14:textId="77777777" w:rsidR="00E7045B" w:rsidRPr="007831BB"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n-GB"/>
        </w:rPr>
      </w:pPr>
      <w:r w:rsidRPr="007831BB">
        <w:rPr>
          <w:b/>
          <w:bCs/>
          <w:color w:val="000000" w:themeColor="text1"/>
          <w:sz w:val="23"/>
          <w:szCs w:val="23"/>
          <w:lang w:val="en-GB"/>
        </w:rPr>
        <w:t>Technical support for the work programme</w:t>
      </w:r>
    </w:p>
    <w:p w14:paraId="2DA9C07F" w14:textId="23CA0206" w:rsidR="00E7045B" w:rsidRPr="00865BF0" w:rsidRDefault="00E7045B" w:rsidP="00647316">
      <w:pPr>
        <w:pStyle w:val="Normal-pool"/>
        <w:numPr>
          <w:ilvl w:val="0"/>
          <w:numId w:val="481"/>
        </w:numPr>
        <w:tabs>
          <w:tab w:val="clear" w:pos="1247"/>
          <w:tab w:val="clear" w:pos="1814"/>
          <w:tab w:val="clear" w:pos="2381"/>
          <w:tab w:val="clear" w:pos="2948"/>
          <w:tab w:val="clear" w:pos="3515"/>
          <w:tab w:val="clear" w:pos="4082"/>
          <w:tab w:val="left" w:pos="624"/>
        </w:tabs>
        <w:spacing w:after="120"/>
        <w:ind w:left="1247" w:firstLine="624"/>
        <w:rPr>
          <w:lang w:val="en-US"/>
        </w:rPr>
      </w:pPr>
      <w:r w:rsidRPr="00865BF0">
        <w:rPr>
          <w:i/>
          <w:lang w:val="en-US"/>
        </w:rPr>
        <w:t>Welcomes</w:t>
      </w:r>
      <w:r w:rsidRPr="00865BF0">
        <w:rPr>
          <w:lang w:val="en-US"/>
        </w:rPr>
        <w:t xml:space="preserve"> the offers of in-kind contributions to support the implementation of the work </w:t>
      </w:r>
      <w:proofErr w:type="spellStart"/>
      <w:r w:rsidRPr="00865BF0">
        <w:rPr>
          <w:lang w:val="en-US"/>
        </w:rPr>
        <w:t>programme</w:t>
      </w:r>
      <w:proofErr w:type="spellEnd"/>
      <w:r w:rsidRPr="00865BF0">
        <w:rPr>
          <w:lang w:val="en-US"/>
        </w:rPr>
        <w:t xml:space="preserve"> received as at 10 March 2017, as listed in table 1 of the annex to decision IPBES-5/6, and invites the submission by 30 April 2017 of additional offers of in-kind contributions to support the implementation of the work </w:t>
      </w:r>
      <w:proofErr w:type="spellStart"/>
      <w:r w:rsidRPr="00865BF0">
        <w:rPr>
          <w:lang w:val="en-US"/>
        </w:rPr>
        <w:t>programme</w:t>
      </w:r>
      <w:proofErr w:type="spellEnd"/>
      <w:r w:rsidRPr="00865BF0">
        <w:rPr>
          <w:lang w:val="en-US"/>
        </w:rPr>
        <w:t xml:space="preserve"> and offers to host the seventh session of the Plenary; </w:t>
      </w:r>
    </w:p>
    <w:p w14:paraId="644AA6C5" w14:textId="1D305CB6" w:rsidR="00E7045B" w:rsidRPr="00964A01" w:rsidRDefault="00E7045B" w:rsidP="00647316">
      <w:pPr>
        <w:pStyle w:val="Normal-pool"/>
        <w:numPr>
          <w:ilvl w:val="0"/>
          <w:numId w:val="481"/>
        </w:numPr>
        <w:tabs>
          <w:tab w:val="clear" w:pos="1247"/>
          <w:tab w:val="clear" w:pos="1814"/>
          <w:tab w:val="clear" w:pos="2381"/>
          <w:tab w:val="clear" w:pos="2948"/>
          <w:tab w:val="clear" w:pos="3515"/>
          <w:tab w:val="clear" w:pos="4082"/>
          <w:tab w:val="left" w:pos="624"/>
        </w:tabs>
        <w:spacing w:after="120"/>
        <w:ind w:left="1247" w:firstLine="624"/>
        <w:rPr>
          <w:lang w:val="en-US"/>
        </w:rPr>
      </w:pPr>
      <w:r w:rsidRPr="00964A01">
        <w:rPr>
          <w:i/>
          <w:lang w:val="en-US"/>
        </w:rPr>
        <w:t>Requests</w:t>
      </w:r>
      <w:r w:rsidRPr="00964A01">
        <w:rPr>
          <w:lang w:val="en-US"/>
        </w:rPr>
        <w:t xml:space="preserve"> the secretariat, in consultation with the Bureau and in accordance with the approved budget set out in the annex to decision IPBES-5/6, to establish the institutional arrangements necessary to operationalize the technical support required for the work </w:t>
      </w:r>
      <w:proofErr w:type="spellStart"/>
      <w:r w:rsidRPr="00964A01">
        <w:rPr>
          <w:lang w:val="en-US"/>
        </w:rPr>
        <w:t>programme</w:t>
      </w:r>
      <w:proofErr w:type="spellEnd"/>
      <w:r w:rsidRPr="00964A01">
        <w:rPr>
          <w:lang w:val="en-US"/>
        </w:rPr>
        <w:t xml:space="preserve">. </w:t>
      </w:r>
    </w:p>
    <w:p w14:paraId="1EECBD38" w14:textId="38661C16" w:rsidR="00E7045B" w:rsidRPr="007831BB" w:rsidRDefault="00E7045B" w:rsidP="00E7045B">
      <w:pPr>
        <w:pStyle w:val="CH1"/>
        <w:rPr>
          <w:lang w:val="en-GB"/>
        </w:rPr>
      </w:pPr>
      <w:r w:rsidRPr="007831BB">
        <w:rPr>
          <w:lang w:val="en-GB"/>
        </w:rPr>
        <w:tab/>
      </w:r>
      <w:r w:rsidRPr="007831BB">
        <w:rPr>
          <w:lang w:val="en-GB"/>
        </w:rPr>
        <w:tab/>
        <w:t xml:space="preserve">Annex </w:t>
      </w:r>
      <w:proofErr w:type="gramStart"/>
      <w:r w:rsidRPr="007831BB">
        <w:rPr>
          <w:lang w:val="en-GB"/>
        </w:rPr>
        <w:t>I</w:t>
      </w:r>
      <w:proofErr w:type="gramEnd"/>
      <w:r w:rsidRPr="007831BB">
        <w:rPr>
          <w:lang w:val="en-GB"/>
        </w:rPr>
        <w:t xml:space="preserve"> to decision IPBES-5/1</w:t>
      </w:r>
    </w:p>
    <w:p w14:paraId="7B23C529" w14:textId="77777777" w:rsidR="00E7045B" w:rsidRPr="007831BB" w:rsidRDefault="00E7045B" w:rsidP="00E7045B">
      <w:pPr>
        <w:pStyle w:val="CH1"/>
        <w:rPr>
          <w:lang w:val="en-GB"/>
        </w:rPr>
      </w:pPr>
      <w:r w:rsidRPr="007831BB">
        <w:rPr>
          <w:lang w:val="en-GB"/>
        </w:rPr>
        <w:tab/>
      </w:r>
      <w:r w:rsidRPr="007831BB">
        <w:rPr>
          <w:lang w:val="en-GB"/>
        </w:rPr>
        <w:tab/>
        <w:t>IPBES rolling plan for capacity-building</w:t>
      </w:r>
    </w:p>
    <w:p w14:paraId="264FC276" w14:textId="77777777" w:rsidR="00E7045B" w:rsidRPr="007831BB" w:rsidRDefault="00E7045B" w:rsidP="00E7045B">
      <w:pPr>
        <w:pStyle w:val="CH2"/>
        <w:rPr>
          <w:lang w:val="en-GB"/>
        </w:rPr>
      </w:pPr>
      <w:r w:rsidRPr="007831BB">
        <w:rPr>
          <w:lang w:val="en-GB"/>
        </w:rPr>
        <w:tab/>
      </w:r>
      <w:r w:rsidRPr="007831BB">
        <w:rPr>
          <w:lang w:val="en-GB"/>
        </w:rPr>
        <w:tab/>
        <w:t>Executive summary</w:t>
      </w:r>
    </w:p>
    <w:p w14:paraId="5CE3F96A" w14:textId="77777777" w:rsidR="00E7045B" w:rsidRPr="007831BB" w:rsidRDefault="00E7045B" w:rsidP="00E7045B">
      <w:pPr>
        <w:pStyle w:val="CH2"/>
        <w:rPr>
          <w:lang w:val="en-GB"/>
        </w:rPr>
      </w:pPr>
      <w:r w:rsidRPr="007831BB">
        <w:rPr>
          <w:lang w:val="en-GB"/>
        </w:rPr>
        <w:tab/>
        <w:t>A.</w:t>
      </w:r>
      <w:r w:rsidRPr="007831BB">
        <w:rPr>
          <w:lang w:val="en-GB"/>
        </w:rPr>
        <w:tab/>
        <w:t xml:space="preserve">Rationale and objectives </w:t>
      </w:r>
    </w:p>
    <w:p w14:paraId="30E43B77" w14:textId="3417E9B2" w:rsidR="00E7045B" w:rsidRPr="00440196" w:rsidRDefault="00E7045B" w:rsidP="004E0CCE">
      <w:pPr>
        <w:pStyle w:val="NormalPlain"/>
        <w:numPr>
          <w:ilvl w:val="0"/>
          <w:numId w:val="273"/>
        </w:numPr>
        <w:tabs>
          <w:tab w:val="left" w:pos="624"/>
        </w:tabs>
        <w:spacing w:after="120"/>
        <w:ind w:left="1247" w:firstLine="0"/>
        <w:rPr>
          <w:sz w:val="20"/>
          <w:szCs w:val="20"/>
        </w:rPr>
      </w:pPr>
      <w:r w:rsidRPr="00440196">
        <w:rPr>
          <w:sz w:val="20"/>
          <w:szCs w:val="20"/>
        </w:rPr>
        <w:t>The Intergovernmental Science-Policy Platform on Biodiversity and Ecosystem Services (IPBES) promotes knowledge concer</w:t>
      </w:r>
      <w:r w:rsidRPr="001B4189">
        <w:rPr>
          <w:sz w:val="20"/>
          <w:szCs w:val="20"/>
        </w:rPr>
        <w:t>ning the diversity of life on earth (biodiversity) and its contribution</w:t>
      </w:r>
      <w:r w:rsidR="007432CF">
        <w:rPr>
          <w:sz w:val="20"/>
          <w:szCs w:val="20"/>
        </w:rPr>
        <w:t>s</w:t>
      </w:r>
      <w:r w:rsidRPr="001B4189">
        <w:rPr>
          <w:sz w:val="20"/>
          <w:szCs w:val="20"/>
        </w:rPr>
        <w:t xml:space="preserve"> to humanity (ecosystem services). This concern is reflected in the United Nations 2030 Agenda for Sustainable Developmen</w:t>
      </w:r>
      <w:r w:rsidRPr="00440196">
        <w:rPr>
          <w:sz w:val="20"/>
          <w:szCs w:val="20"/>
        </w:rPr>
        <w:t>t and its Sustainable Development Goals</w:t>
      </w:r>
      <w:r w:rsidRPr="00440196">
        <w:rPr>
          <w:rFonts w:eastAsia="Times New Roman"/>
          <w:sz w:val="20"/>
          <w:szCs w:val="20"/>
        </w:rPr>
        <w:t>,</w:t>
      </w:r>
      <w:r w:rsidRPr="00440196">
        <w:rPr>
          <w:sz w:val="20"/>
          <w:szCs w:val="20"/>
        </w:rPr>
        <w:t xml:space="preserve"> together with other key aspirations of society, many of which are also </w:t>
      </w:r>
      <w:r w:rsidRPr="00440196">
        <w:rPr>
          <w:rFonts w:eastAsia="Times New Roman"/>
          <w:sz w:val="20"/>
          <w:szCs w:val="20"/>
        </w:rPr>
        <w:t>causing</w:t>
      </w:r>
      <w:r w:rsidRPr="00440196">
        <w:rPr>
          <w:sz w:val="20"/>
          <w:szCs w:val="20"/>
        </w:rPr>
        <w:t xml:space="preserve"> human impacts on biodiversity and ecosystem services. Efforts to conserve and sustainably use biodiversity involve balancing the interests of different sectors, and this could benefit from an effective science policy interface. Established in 2012, essentially as an independent </w:t>
      </w:r>
      <w:r w:rsidRPr="00440196">
        <w:rPr>
          <w:rFonts w:eastAsia="Times New Roman"/>
          <w:sz w:val="20"/>
          <w:szCs w:val="20"/>
        </w:rPr>
        <w:t>body on the lines of</w:t>
      </w:r>
      <w:r w:rsidRPr="00440196">
        <w:rPr>
          <w:sz w:val="20"/>
          <w:szCs w:val="20"/>
        </w:rPr>
        <w:t xml:space="preserve"> the Intergovernmental Panel on Climate Change (IPCC), IPBES aims at strengthening this interface</w:t>
      </w:r>
      <w:r w:rsidRPr="00440196">
        <w:rPr>
          <w:i/>
          <w:sz w:val="20"/>
          <w:szCs w:val="20"/>
        </w:rPr>
        <w:t>.</w:t>
      </w:r>
      <w:r w:rsidRPr="00440196">
        <w:rPr>
          <w:sz w:val="20"/>
          <w:szCs w:val="20"/>
        </w:rPr>
        <w:t xml:space="preserve"> It does so by undertaking international assessments</w:t>
      </w:r>
      <w:r w:rsidRPr="00440196">
        <w:rPr>
          <w:i/>
          <w:sz w:val="20"/>
          <w:szCs w:val="20"/>
        </w:rPr>
        <w:t xml:space="preserve"> </w:t>
      </w:r>
      <w:r w:rsidRPr="00440196">
        <w:rPr>
          <w:sz w:val="20"/>
          <w:szCs w:val="20"/>
        </w:rPr>
        <w:t xml:space="preserve">and promoting national ones; by </w:t>
      </w:r>
      <w:r w:rsidRPr="00440196">
        <w:rPr>
          <w:rFonts w:eastAsia="Times New Roman"/>
          <w:sz w:val="20"/>
          <w:szCs w:val="20"/>
        </w:rPr>
        <w:t>catalysing</w:t>
      </w:r>
      <w:r w:rsidRPr="00440196">
        <w:rPr>
          <w:sz w:val="20"/>
          <w:szCs w:val="20"/>
        </w:rPr>
        <w:t xml:space="preserve"> knowledge; by promoting the development of</w:t>
      </w:r>
      <w:r w:rsidRPr="00440196">
        <w:rPr>
          <w:i/>
          <w:sz w:val="20"/>
          <w:szCs w:val="20"/>
        </w:rPr>
        <w:t xml:space="preserve"> </w:t>
      </w:r>
      <w:r w:rsidRPr="00440196">
        <w:rPr>
          <w:sz w:val="20"/>
          <w:szCs w:val="20"/>
        </w:rPr>
        <w:t>policy</w:t>
      </w:r>
      <w:r w:rsidRPr="00440196">
        <w:rPr>
          <w:rFonts w:eastAsia="Times New Roman"/>
          <w:sz w:val="20"/>
          <w:szCs w:val="20"/>
        </w:rPr>
        <w:t>-</w:t>
      </w:r>
      <w:r w:rsidRPr="00440196">
        <w:rPr>
          <w:sz w:val="20"/>
          <w:szCs w:val="20"/>
        </w:rPr>
        <w:t>support tools</w:t>
      </w:r>
      <w:r w:rsidRPr="00440196">
        <w:rPr>
          <w:i/>
          <w:sz w:val="20"/>
          <w:szCs w:val="20"/>
        </w:rPr>
        <w:t>;</w:t>
      </w:r>
      <w:r w:rsidRPr="00440196">
        <w:rPr>
          <w:sz w:val="20"/>
          <w:szCs w:val="20"/>
        </w:rPr>
        <w:t xml:space="preserve"> and by undertaking and facilitating capacity-building.</w:t>
      </w:r>
    </w:p>
    <w:p w14:paraId="3ECA038C" w14:textId="146D310D"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IPBES identifies and prioritizes capacity-building</w:t>
      </w:r>
      <w:r w:rsidRPr="00440196">
        <w:rPr>
          <w:i/>
          <w:sz w:val="20"/>
          <w:szCs w:val="20"/>
        </w:rPr>
        <w:t xml:space="preserve"> </w:t>
      </w:r>
      <w:r w:rsidRPr="00440196">
        <w:rPr>
          <w:sz w:val="20"/>
          <w:szCs w:val="20"/>
        </w:rPr>
        <w:t xml:space="preserve">needs for improving the science-policy interface at appropriate levels and provides, calls for and facilitates access to the necessary resources for addressing the highest priority needs directly relating to its activities. The role of capacity-building in IPBES is embedded in both the agreed functions of the Platform and in its operating principles. The </w:t>
      </w:r>
      <w:r w:rsidRPr="00440196">
        <w:rPr>
          <w:sz w:val="20"/>
          <w:szCs w:val="20"/>
        </w:rPr>
        <w:br/>
        <w:t>capacity-building role of IPBES is operationalized through the following two deliverables in the work programme for the period 2014-2018:</w:t>
      </w:r>
      <w:r w:rsidRPr="00440196">
        <w:rPr>
          <w:sz w:val="20"/>
          <w:szCs w:val="20"/>
          <w:vertAlign w:val="superscript"/>
        </w:rPr>
        <w:footnoteReference w:id="17"/>
      </w:r>
      <w:r w:rsidRPr="00440196">
        <w:rPr>
          <w:sz w:val="20"/>
          <w:szCs w:val="20"/>
        </w:rPr>
        <w:t xml:space="preserve"> deliverable 1</w:t>
      </w:r>
      <w:r w:rsidRPr="00440196">
        <w:rPr>
          <w:rFonts w:eastAsia="Times New Roman"/>
          <w:sz w:val="20"/>
          <w:szCs w:val="20"/>
          <w:lang w:eastAsia="nb-NO"/>
        </w:rPr>
        <w:t xml:space="preserve"> </w:t>
      </w:r>
      <w:r w:rsidRPr="00440196">
        <w:rPr>
          <w:sz w:val="20"/>
          <w:szCs w:val="20"/>
        </w:rPr>
        <w:t>(a): “priority capacity-building needs to implement the Platform’s work programme matched with resources through catalysing financial and in-kind support”; and deliverable 1</w:t>
      </w:r>
      <w:r w:rsidRPr="00440196">
        <w:rPr>
          <w:rFonts w:eastAsia="Times New Roman"/>
          <w:sz w:val="20"/>
          <w:szCs w:val="20"/>
          <w:lang w:eastAsia="nb-NO"/>
        </w:rPr>
        <w:t xml:space="preserve"> </w:t>
      </w:r>
      <w:r w:rsidRPr="00440196">
        <w:rPr>
          <w:sz w:val="20"/>
          <w:szCs w:val="20"/>
        </w:rPr>
        <w:t>(b): “capacities needed to implement the Platform’s work programme developed”.</w:t>
      </w:r>
      <w:r w:rsidRPr="00440196">
        <w:rPr>
          <w:spacing w:val="4"/>
          <w:w w:val="103"/>
          <w:kern w:val="14"/>
          <w:sz w:val="20"/>
          <w:szCs w:val="20"/>
        </w:rPr>
        <w:t xml:space="preserve"> </w:t>
      </w:r>
    </w:p>
    <w:p w14:paraId="66F6D7FD" w14:textId="3BFF7BF7" w:rsidR="00E7045B" w:rsidRPr="00440196" w:rsidRDefault="00E7045B" w:rsidP="00E7045B">
      <w:pPr>
        <w:pStyle w:val="NormalPlain"/>
        <w:numPr>
          <w:ilvl w:val="0"/>
          <w:numId w:val="273"/>
        </w:numPr>
        <w:tabs>
          <w:tab w:val="left" w:pos="624"/>
        </w:tabs>
        <w:spacing w:after="120"/>
        <w:ind w:left="1247" w:firstLine="0"/>
        <w:rPr>
          <w:rFonts w:eastAsia="Calibri"/>
          <w:sz w:val="20"/>
          <w:szCs w:val="20"/>
        </w:rPr>
      </w:pPr>
      <w:r w:rsidRPr="00440196">
        <w:rPr>
          <w:sz w:val="20"/>
          <w:szCs w:val="20"/>
        </w:rPr>
        <w:t xml:space="preserve">The objective of the capacity-building rolling plan is to identify the principles, strategic directions, modalities and actions for building and further developing </w:t>
      </w:r>
      <w:r w:rsidR="00FA0767">
        <w:rPr>
          <w:sz w:val="20"/>
          <w:szCs w:val="20"/>
        </w:rPr>
        <w:t xml:space="preserve">the </w:t>
      </w:r>
      <w:r w:rsidRPr="00440196">
        <w:rPr>
          <w:sz w:val="20"/>
          <w:szCs w:val="20"/>
        </w:rPr>
        <w:t>capacities of individuals and institutions based on the priority needs</w:t>
      </w:r>
      <w:r w:rsidRPr="00440196">
        <w:rPr>
          <w:sz w:val="20"/>
          <w:szCs w:val="20"/>
          <w:vertAlign w:val="superscript"/>
        </w:rPr>
        <w:footnoteReference w:id="18"/>
      </w:r>
      <w:r w:rsidRPr="00440196">
        <w:rPr>
          <w:sz w:val="20"/>
          <w:szCs w:val="20"/>
        </w:rPr>
        <w:t xml:space="preserve"> established by the IPBES Plenary. The approach involves outlining aims to achieve the capacity-building deliverables under the first IPBES work programme and is financed through the IPBES trust fund, with in-kind support from partners and the task force on capacity-building</w:t>
      </w:r>
      <w:r w:rsidRPr="00440196">
        <w:rPr>
          <w:sz w:val="20"/>
          <w:szCs w:val="20"/>
          <w:vertAlign w:val="superscript"/>
        </w:rPr>
        <w:footnoteReference w:id="19"/>
      </w:r>
      <w:r w:rsidRPr="00440196">
        <w:rPr>
          <w:sz w:val="20"/>
          <w:szCs w:val="20"/>
        </w:rPr>
        <w:t xml:space="preserve"> and its technical support unit, as well as support from other sources including through </w:t>
      </w:r>
      <w:r w:rsidRPr="00686631">
        <w:rPr>
          <w:sz w:val="20"/>
          <w:szCs w:val="20"/>
        </w:rPr>
        <w:t>the capacity</w:t>
      </w:r>
      <w:r w:rsidR="00DE4943" w:rsidRPr="00686631">
        <w:rPr>
          <w:sz w:val="20"/>
          <w:szCs w:val="20"/>
        </w:rPr>
        <w:t>-</w:t>
      </w:r>
      <w:r w:rsidRPr="00686631">
        <w:rPr>
          <w:sz w:val="20"/>
          <w:szCs w:val="20"/>
        </w:rPr>
        <w:t>building forum with</w:t>
      </w:r>
      <w:r w:rsidRPr="00440196">
        <w:rPr>
          <w:sz w:val="20"/>
          <w:szCs w:val="20"/>
        </w:rPr>
        <w:t xml:space="preserve"> conventional and potential sources of funding. The intention is that over time the activities described will also leverage additional financial and technical resources through matchmaking in cooperation with partners. </w:t>
      </w:r>
    </w:p>
    <w:p w14:paraId="26C905B7" w14:textId="53438E11"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The plan is envisaged as a living document and sets out the principles, strategic directions and modalities for building and further developing individual and institutional capacities based on the priority needs established by the IPBES Plenary. In addition, the plan will contain a regularly updated list of activities that IPBES plans to undertake alone and in collaboration with partners. In addressing agreed priority capacity-building needs, the plan is based on the principles of identifying needs; building for the future; leveraging impacts; working collaboratively with others; using resources efficiently; learning lessons; and ensuring quality.</w:t>
      </w:r>
    </w:p>
    <w:p w14:paraId="08ECFA2D" w14:textId="77777777" w:rsidR="00E7045B" w:rsidRPr="007831BB" w:rsidRDefault="00E7045B" w:rsidP="00E7045B">
      <w:pPr>
        <w:pStyle w:val="CH2"/>
        <w:rPr>
          <w:lang w:val="en-GB"/>
        </w:rPr>
      </w:pPr>
      <w:r w:rsidRPr="007831BB">
        <w:rPr>
          <w:lang w:val="en-GB"/>
        </w:rPr>
        <w:tab/>
        <w:t>B.</w:t>
      </w:r>
      <w:r w:rsidRPr="007831BB">
        <w:rPr>
          <w:lang w:val="en-GB"/>
        </w:rPr>
        <w:tab/>
        <w:t>Strategies</w:t>
      </w:r>
    </w:p>
    <w:p w14:paraId="064648C6" w14:textId="77777777" w:rsidR="00E7045B" w:rsidRPr="007831BB" w:rsidRDefault="00E7045B" w:rsidP="00E7045B">
      <w:pPr>
        <w:pStyle w:val="CH3"/>
        <w:rPr>
          <w:lang w:val="en-GB"/>
        </w:rPr>
      </w:pPr>
      <w:r w:rsidRPr="007831BB">
        <w:rPr>
          <w:lang w:val="en-GB"/>
        </w:rPr>
        <w:tab/>
        <w:t>1.</w:t>
      </w:r>
      <w:r w:rsidRPr="007831BB">
        <w:rPr>
          <w:lang w:val="en-GB"/>
        </w:rPr>
        <w:tab/>
        <w:t>Strategy 1: Learning and engagement</w:t>
      </w:r>
    </w:p>
    <w:p w14:paraId="51627ECA" w14:textId="61AE0C1F"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The primary focu</w:t>
      </w:r>
      <w:r w:rsidRPr="001B4189">
        <w:rPr>
          <w:sz w:val="20"/>
          <w:szCs w:val="20"/>
        </w:rPr>
        <w:t>s of learning and engagement is on support for implementation of the work programme itself and for learning associated with that implementation. The strategy will contribute to the investment i</w:t>
      </w:r>
      <w:r w:rsidRPr="00440196">
        <w:rPr>
          <w:sz w:val="20"/>
          <w:szCs w:val="20"/>
        </w:rPr>
        <w:t>n IPBES deliverables, which are credible and relevant to all regions of the world. It focuses on building and developing capacity across disciplines and knowledge systems through:</w:t>
      </w:r>
    </w:p>
    <w:p w14:paraId="4AA6E153" w14:textId="329D4E82" w:rsidR="00E7045B" w:rsidRPr="007831BB"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The IPBES </w:t>
      </w:r>
      <w:r w:rsidRPr="007831BB">
        <w:rPr>
          <w:rFonts w:eastAsia="Calibri"/>
          <w:i/>
          <w:lang w:val="en-GB"/>
        </w:rPr>
        <w:t>fellowship programme</w:t>
      </w:r>
      <w:r w:rsidRPr="007831BB">
        <w:rPr>
          <w:lang w:val="en-GB"/>
        </w:rPr>
        <w:t xml:space="preserve">, which allows junior research officers and other professionals to engage with IPBES activities, working alongside more experienced colleagues. The programme is administered by the technical support unit with additional support from task force members. Activities are mainly supported by the capacity-building component of the IPBES budget under the trust fund, together with some in-kind support. Further </w:t>
      </w:r>
      <w:r w:rsidRPr="007831BB">
        <w:rPr>
          <w:rFonts w:eastAsia="Calibri"/>
          <w:lang w:val="en-GB"/>
        </w:rPr>
        <w:t>contributions</w:t>
      </w:r>
      <w:r w:rsidRPr="007831BB">
        <w:rPr>
          <w:lang w:val="en-GB"/>
        </w:rPr>
        <w:t xml:space="preserve"> from partners </w:t>
      </w:r>
      <w:r w:rsidRPr="007831BB">
        <w:rPr>
          <w:rFonts w:eastAsia="Calibri"/>
          <w:lang w:val="en-GB"/>
        </w:rPr>
        <w:t>may</w:t>
      </w:r>
      <w:r w:rsidRPr="007831BB">
        <w:rPr>
          <w:lang w:val="en-GB"/>
        </w:rPr>
        <w:t xml:space="preserve"> also be solicited. The fellows are selected by the Multidisciplinary Expert Panel with support from the management committees for the assessments based on nominations. Fellows are linked to specific chapters, assigned mentors </w:t>
      </w:r>
      <w:r w:rsidRPr="007831BB">
        <w:rPr>
          <w:rFonts w:eastAsia="Calibri"/>
          <w:lang w:val="en-GB"/>
        </w:rPr>
        <w:t>and</w:t>
      </w:r>
      <w:r w:rsidRPr="007831BB">
        <w:rPr>
          <w:lang w:val="en-GB"/>
        </w:rPr>
        <w:t xml:space="preserve"> invited to attend authors’ meetings and training </w:t>
      </w:r>
      <w:r w:rsidRPr="007831BB">
        <w:rPr>
          <w:rFonts w:eastAsia="Calibri"/>
          <w:lang w:val="en-GB"/>
        </w:rPr>
        <w:t xml:space="preserve">sessions, </w:t>
      </w:r>
      <w:r w:rsidRPr="007831BB">
        <w:rPr>
          <w:lang w:val="en-GB"/>
        </w:rPr>
        <w:t>for which fellows from eligible developing countries receive travel support. This is a non-sponsored fellowship scheme, and selected fellows are expected to work pro bono (as do other experts) but will be duly acknowledged in the final reports</w:t>
      </w:r>
      <w:r w:rsidRPr="007831BB">
        <w:rPr>
          <w:rFonts w:eastAsia="Calibri"/>
          <w:lang w:val="en-GB"/>
        </w:rPr>
        <w:t>;</w:t>
      </w:r>
      <w:r w:rsidRPr="007831BB">
        <w:rPr>
          <w:lang w:val="en-GB"/>
        </w:rPr>
        <w:t xml:space="preserve"> </w:t>
      </w:r>
    </w:p>
    <w:p w14:paraId="7F1F141A" w14:textId="1F7EC397" w:rsidR="00E7045B" w:rsidRPr="007831BB"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The IPBES </w:t>
      </w:r>
      <w:r w:rsidRPr="007831BB">
        <w:rPr>
          <w:rFonts w:eastAsia="Calibri"/>
          <w:i/>
          <w:lang w:val="en-GB"/>
        </w:rPr>
        <w:t>training</w:t>
      </w:r>
      <w:r w:rsidRPr="007831BB">
        <w:rPr>
          <w:i/>
          <w:lang w:val="en-GB"/>
        </w:rPr>
        <w:t xml:space="preserve"> and </w:t>
      </w:r>
      <w:r w:rsidRPr="007831BB">
        <w:rPr>
          <w:rFonts w:eastAsia="Calibri"/>
          <w:i/>
          <w:lang w:val="en-GB"/>
        </w:rPr>
        <w:t>familiarization programme</w:t>
      </w:r>
      <w:r w:rsidRPr="007831BB">
        <w:rPr>
          <w:rFonts w:eastAsia="Calibri"/>
          <w:lang w:val="en-GB"/>
        </w:rPr>
        <w:t>,</w:t>
      </w:r>
      <w:r w:rsidRPr="007831BB">
        <w:rPr>
          <w:rFonts w:eastAsia="Calibri"/>
          <w:i/>
          <w:lang w:val="en-GB"/>
        </w:rPr>
        <w:t xml:space="preserve"> </w:t>
      </w:r>
      <w:r w:rsidRPr="007831BB">
        <w:rPr>
          <w:rFonts w:eastAsia="Calibri"/>
          <w:lang w:val="en-GB"/>
        </w:rPr>
        <w:t>which</w:t>
      </w:r>
      <w:r w:rsidRPr="007831BB">
        <w:rPr>
          <w:lang w:val="en-GB"/>
        </w:rPr>
        <w:t xml:space="preserve"> is tailored to IPBES needs and will enhance individual and institutional capacities for supporting the development and use of IPBES deliverables. It is based on existing guidance material produced by IPBES, in particular the guide on assessments </w:t>
      </w:r>
      <w:r w:rsidRPr="007831BB">
        <w:rPr>
          <w:rFonts w:eastAsia="Calibri"/>
          <w:lang w:val="en-GB"/>
        </w:rPr>
        <w:t xml:space="preserve">– </w:t>
      </w:r>
      <w:r w:rsidRPr="007831BB">
        <w:rPr>
          <w:lang w:val="en-GB"/>
        </w:rPr>
        <w:t>work programme deliverable 2 (a</w:t>
      </w:r>
      <w:r w:rsidRPr="007831BB">
        <w:rPr>
          <w:rFonts w:eastAsia="Calibri"/>
          <w:lang w:val="en-GB"/>
        </w:rPr>
        <w:t>).</w:t>
      </w:r>
      <w:r w:rsidRPr="007831BB">
        <w:rPr>
          <w:lang w:val="en-GB"/>
        </w:rPr>
        <w:t xml:space="preserve"> It will be delivered through training workshops; hands on capacity-building integrated into workshops and consultations for </w:t>
      </w:r>
      <w:r w:rsidRPr="007831BB">
        <w:rPr>
          <w:rFonts w:eastAsia="Calibri"/>
          <w:lang w:val="en-GB"/>
        </w:rPr>
        <w:t xml:space="preserve">the </w:t>
      </w:r>
      <w:r w:rsidRPr="007831BB">
        <w:rPr>
          <w:lang w:val="en-GB"/>
        </w:rPr>
        <w:t xml:space="preserve">production of IPBES deliverables; and webinars, e-learning tools and other online approaches made available on the IPBES website. The programme is administered by the technical support unit with support from task force members, IPBES experts and partners. Activities are mainly funded from the </w:t>
      </w:r>
      <w:r w:rsidRPr="007831BB">
        <w:rPr>
          <w:lang w:val="en-GB"/>
        </w:rPr>
        <w:br/>
        <w:t xml:space="preserve">capacity-building component of the IPBES budget under the trust fund and include support for travel to workshops and </w:t>
      </w:r>
      <w:r w:rsidR="00DB6E1B">
        <w:rPr>
          <w:lang w:val="en-GB"/>
        </w:rPr>
        <w:t xml:space="preserve">the </w:t>
      </w:r>
      <w:r w:rsidRPr="007831BB">
        <w:rPr>
          <w:lang w:val="en-GB"/>
        </w:rPr>
        <w:t>development of training material. Activities also benefit from in-kind contributions</w:t>
      </w:r>
      <w:r w:rsidRPr="007831BB">
        <w:rPr>
          <w:rFonts w:eastAsia="Calibri"/>
          <w:lang w:val="en-GB"/>
        </w:rPr>
        <w:t>,</w:t>
      </w:r>
      <w:r w:rsidRPr="007831BB">
        <w:rPr>
          <w:lang w:val="en-GB"/>
        </w:rPr>
        <w:t xml:space="preserve"> and further support </w:t>
      </w:r>
      <w:r w:rsidRPr="007831BB">
        <w:rPr>
          <w:rFonts w:eastAsia="Calibri"/>
          <w:lang w:val="en-GB"/>
        </w:rPr>
        <w:t xml:space="preserve">may be solicited </w:t>
      </w:r>
      <w:r w:rsidRPr="007831BB">
        <w:rPr>
          <w:lang w:val="en-GB"/>
        </w:rPr>
        <w:t xml:space="preserve">from partners. Partners may also contribute technically to IPBES training activities and material or offer to host and run such activities. Those trained will be encouraged to pass on their </w:t>
      </w:r>
      <w:r w:rsidRPr="007831BB">
        <w:rPr>
          <w:rFonts w:eastAsia="Calibri"/>
          <w:lang w:val="en-GB"/>
        </w:rPr>
        <w:t>experience</w:t>
      </w:r>
      <w:r w:rsidRPr="007831BB">
        <w:rPr>
          <w:lang w:val="en-GB"/>
        </w:rPr>
        <w:t xml:space="preserve"> to others</w:t>
      </w:r>
      <w:r w:rsidRPr="007831BB">
        <w:rPr>
          <w:rFonts w:eastAsia="Calibri"/>
          <w:lang w:val="en-GB"/>
        </w:rPr>
        <w:t>,</w:t>
      </w:r>
      <w:r w:rsidRPr="007831BB">
        <w:rPr>
          <w:lang w:val="en-GB"/>
        </w:rPr>
        <w:t xml:space="preserve"> so as to broaden the potential impact of training activities</w:t>
      </w:r>
      <w:r w:rsidRPr="007831BB">
        <w:rPr>
          <w:rFonts w:eastAsia="Calibri"/>
          <w:lang w:val="en-GB"/>
        </w:rPr>
        <w:t>;</w:t>
      </w:r>
    </w:p>
    <w:p w14:paraId="66531950" w14:textId="53598A4C" w:rsidR="00E7045B" w:rsidRPr="007831BB"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Promoting secondments and internships </w:t>
      </w:r>
      <w:r w:rsidRPr="007831BB">
        <w:rPr>
          <w:lang w:val="en-GB"/>
        </w:rPr>
        <w:t>by encouraging, advertising and, where appropriate, supporting secondments and internships within the secretariat and technical support units to foster shared knowledge and understanding and build experience while contributing to the work of the secretariat.</w:t>
      </w:r>
      <w:r w:rsidRPr="007831BB">
        <w:rPr>
          <w:vertAlign w:val="superscript"/>
          <w:lang w:val="en-GB"/>
        </w:rPr>
        <w:footnoteReference w:id="20"/>
      </w:r>
      <w:r w:rsidRPr="007831BB">
        <w:rPr>
          <w:lang w:val="en-GB"/>
        </w:rPr>
        <w:t xml:space="preserve"> This will involve individuals working in or remotely supporting the secretariat</w:t>
      </w:r>
      <w:r w:rsidR="005466CE">
        <w:rPr>
          <w:lang w:val="en-GB"/>
        </w:rPr>
        <w:t>,</w:t>
      </w:r>
      <w:r w:rsidRPr="007831BB">
        <w:rPr>
          <w:lang w:val="en-GB"/>
        </w:rPr>
        <w:t xml:space="preserve"> including </w:t>
      </w:r>
      <w:r w:rsidRPr="007831BB">
        <w:rPr>
          <w:rFonts w:eastAsia="Calibri"/>
          <w:lang w:val="en-GB"/>
        </w:rPr>
        <w:t>technical support units</w:t>
      </w:r>
      <w:r w:rsidR="005466CE">
        <w:rPr>
          <w:rFonts w:eastAsia="Calibri"/>
          <w:lang w:val="en-GB"/>
        </w:rPr>
        <w:t>,</w:t>
      </w:r>
      <w:r w:rsidRPr="007831BB">
        <w:rPr>
          <w:lang w:val="en-GB"/>
        </w:rPr>
        <w:t xml:space="preserve"> for a </w:t>
      </w:r>
      <w:r w:rsidRPr="007831BB">
        <w:rPr>
          <w:rFonts w:eastAsia="Calibri"/>
          <w:lang w:val="en-GB"/>
        </w:rPr>
        <w:t xml:space="preserve">certain </w:t>
      </w:r>
      <w:r w:rsidRPr="007831BB">
        <w:rPr>
          <w:lang w:val="en-GB"/>
        </w:rPr>
        <w:t xml:space="preserve">period. The process will be overseen by the </w:t>
      </w:r>
      <w:r w:rsidRPr="007831BB">
        <w:rPr>
          <w:rFonts w:eastAsia="Calibri"/>
          <w:lang w:val="en-GB"/>
        </w:rPr>
        <w:t>technical support unit</w:t>
      </w:r>
      <w:r w:rsidRPr="007831BB">
        <w:rPr>
          <w:lang w:val="en-GB"/>
        </w:rPr>
        <w:t xml:space="preserve"> with support from task force members, while being administered by the receiving or providing institutions. Efforts entail working with the secretariat and interested organizations to develop terms of reference and legal agreements for secondments and internships, including approaches to mentoring and ways of promoting </w:t>
      </w:r>
      <w:r w:rsidR="00BC5588">
        <w:rPr>
          <w:lang w:val="en-GB"/>
        </w:rPr>
        <w:t xml:space="preserve">the </w:t>
      </w:r>
      <w:r w:rsidRPr="007831BB">
        <w:rPr>
          <w:lang w:val="en-GB"/>
        </w:rPr>
        <w:t>transfer of knowledge and experience to the home institutions of seconded staff members and interns. It is anticipated that activities will mainly be undertaken through contributions by partners. Opportunities for collaboration include seconding staff to the IPBES secretariat</w:t>
      </w:r>
      <w:r w:rsidR="00A83113">
        <w:rPr>
          <w:lang w:val="en-GB"/>
        </w:rPr>
        <w:t>,</w:t>
      </w:r>
      <w:r w:rsidRPr="007831BB">
        <w:rPr>
          <w:lang w:val="en-GB"/>
        </w:rPr>
        <w:t xml:space="preserve"> including technical support units, or to other organizations supporting IPBES; and hosting </w:t>
      </w:r>
      <w:r w:rsidRPr="007831BB">
        <w:rPr>
          <w:rFonts w:eastAsia="Calibri"/>
          <w:lang w:val="en-GB"/>
        </w:rPr>
        <w:t>seconded staff members</w:t>
      </w:r>
      <w:r w:rsidRPr="007831BB">
        <w:rPr>
          <w:lang w:val="en-GB"/>
        </w:rPr>
        <w:t xml:space="preserve"> and interns working on IPBES</w:t>
      </w:r>
      <w:r w:rsidRPr="007831BB">
        <w:rPr>
          <w:rFonts w:eastAsia="Calibri"/>
          <w:lang w:val="en-GB"/>
        </w:rPr>
        <w:t>-</w:t>
      </w:r>
      <w:r w:rsidRPr="007831BB">
        <w:rPr>
          <w:lang w:val="en-GB"/>
        </w:rPr>
        <w:t>related activities and supporting their learning</w:t>
      </w:r>
      <w:r w:rsidRPr="007831BB">
        <w:rPr>
          <w:rFonts w:eastAsia="Calibri"/>
          <w:lang w:val="en-GB"/>
        </w:rPr>
        <w:t>;</w:t>
      </w:r>
      <w:r w:rsidRPr="007831BB">
        <w:rPr>
          <w:lang w:val="en-GB"/>
        </w:rPr>
        <w:t xml:space="preserve"> </w:t>
      </w:r>
    </w:p>
    <w:p w14:paraId="1CFEF33F" w14:textId="2D1B6598" w:rsidR="00E7045B" w:rsidRPr="007831BB"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Promoting exchange visits and study tours </w:t>
      </w:r>
      <w:r w:rsidRPr="007831BB">
        <w:rPr>
          <w:lang w:val="en-GB"/>
        </w:rPr>
        <w:t>by encouraging and, where appropriate, supporting exchange visits and study tours among individuals and institutions relevant to the work of IPBES, which will promote peer-based learning and</w:t>
      </w:r>
      <w:r w:rsidRPr="007831BB">
        <w:rPr>
          <w:rFonts w:eastAsia="Calibri"/>
          <w:lang w:val="en-GB"/>
        </w:rPr>
        <w:t>,</w:t>
      </w:r>
      <w:r w:rsidRPr="007831BB">
        <w:rPr>
          <w:lang w:val="en-GB"/>
        </w:rPr>
        <w:t xml:space="preserve"> at the same time</w:t>
      </w:r>
      <w:r w:rsidRPr="007831BB">
        <w:rPr>
          <w:rFonts w:eastAsia="Calibri"/>
          <w:lang w:val="en-GB"/>
        </w:rPr>
        <w:t>,</w:t>
      </w:r>
      <w:r w:rsidRPr="007831BB">
        <w:rPr>
          <w:lang w:val="en-GB"/>
        </w:rPr>
        <w:t xml:space="preserve"> strengthen cooperation among institutions working on </w:t>
      </w:r>
      <w:r w:rsidRPr="007831BB">
        <w:rPr>
          <w:rFonts w:eastAsia="Calibri"/>
          <w:lang w:val="en-GB"/>
        </w:rPr>
        <w:t>IPBES</w:t>
      </w:r>
      <w:r w:rsidRPr="007831BB">
        <w:rPr>
          <w:lang w:val="en-GB"/>
        </w:rPr>
        <w:t>-related activities.</w:t>
      </w:r>
      <w:r w:rsidRPr="007831BB">
        <w:rPr>
          <w:vertAlign w:val="superscript"/>
          <w:lang w:val="en-GB"/>
        </w:rPr>
        <w:footnoteReference w:id="21"/>
      </w:r>
      <w:r w:rsidRPr="007831BB">
        <w:rPr>
          <w:lang w:val="en-GB"/>
        </w:rPr>
        <w:t xml:space="preserve"> While the initiative is promoted and overseen by the </w:t>
      </w:r>
      <w:r w:rsidRPr="007831BB">
        <w:rPr>
          <w:rFonts w:eastAsia="Calibri"/>
          <w:lang w:val="en-GB"/>
        </w:rPr>
        <w:t>technical support unit</w:t>
      </w:r>
      <w:r w:rsidRPr="007831BB">
        <w:rPr>
          <w:lang w:val="en-GB"/>
        </w:rPr>
        <w:t xml:space="preserve"> with support from task force members, it would be administered by the receiving or providing institutions or both. It is anticipated that activities will mainly be undertaken through contributions by partners. Opportunities for collaboration include hosting and participating in study tours and exchange visits so as to increase </w:t>
      </w:r>
      <w:r w:rsidR="00BA7E0B">
        <w:rPr>
          <w:lang w:val="en-GB"/>
        </w:rPr>
        <w:t xml:space="preserve">the </w:t>
      </w:r>
      <w:r w:rsidRPr="007831BB">
        <w:rPr>
          <w:lang w:val="en-GB"/>
        </w:rPr>
        <w:t xml:space="preserve">understanding and experience of those working on IPBES-related activities and providing financial support to assist those undertaking study tours and exchange visits. </w:t>
      </w:r>
    </w:p>
    <w:p w14:paraId="7BC681EA" w14:textId="77777777" w:rsidR="00E7045B" w:rsidRPr="007831BB" w:rsidRDefault="00E7045B" w:rsidP="00E7045B">
      <w:pPr>
        <w:pStyle w:val="CH3"/>
        <w:rPr>
          <w:lang w:val="en-GB"/>
        </w:rPr>
      </w:pPr>
      <w:r w:rsidRPr="007831BB">
        <w:rPr>
          <w:lang w:val="en-GB"/>
        </w:rPr>
        <w:tab/>
        <w:t>2.</w:t>
      </w:r>
      <w:r w:rsidRPr="007831BB">
        <w:rPr>
          <w:lang w:val="en-GB"/>
        </w:rPr>
        <w:tab/>
        <w:t>Strategy 2: Facilitating access to expertise and information</w:t>
      </w:r>
    </w:p>
    <w:p w14:paraId="0972D989" w14:textId="77777777"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Efforts to facilitate access to expertise and information aim to support the implementation of the IPBES work programme and increase the reach and impact of work progr</w:t>
      </w:r>
      <w:r w:rsidRPr="001B4189">
        <w:rPr>
          <w:sz w:val="20"/>
          <w:szCs w:val="20"/>
        </w:rPr>
        <w:t xml:space="preserve">amme deliverables. These efforts will be assisted by other capacity-building activities, the work of the other IPBES deliverables and the focus on the uptake and implementation of IPBES guidance and </w:t>
      </w:r>
      <w:r w:rsidRPr="00440196">
        <w:rPr>
          <w:sz w:val="20"/>
          <w:szCs w:val="20"/>
        </w:rPr>
        <w:t xml:space="preserve">deliverables through the following initiatives: </w:t>
      </w:r>
    </w:p>
    <w:p w14:paraId="16100310" w14:textId="3882A179" w:rsidR="00E7045B" w:rsidRPr="007831BB" w:rsidRDefault="00E7045B" w:rsidP="00E7045B">
      <w:pPr>
        <w:pStyle w:val="Normalnumber"/>
        <w:numPr>
          <w:ilvl w:val="0"/>
          <w:numId w:val="279"/>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Building and supporting communities of practice</w:t>
      </w:r>
      <w:r w:rsidRPr="007831BB">
        <w:rPr>
          <w:lang w:val="en-GB"/>
        </w:rPr>
        <w:t xml:space="preserve"> among experts, policymakers and practitioners based on IPBES work programme deliverables.</w:t>
      </w:r>
      <w:r w:rsidRPr="007831BB">
        <w:rPr>
          <w:vertAlign w:val="superscript"/>
          <w:lang w:val="en-GB"/>
        </w:rPr>
        <w:footnoteReference w:id="22"/>
      </w:r>
      <w:r w:rsidRPr="007831BB">
        <w:rPr>
          <w:lang w:val="en-GB"/>
        </w:rPr>
        <w:t xml:space="preserve"> </w:t>
      </w:r>
      <w:r w:rsidRPr="007831BB">
        <w:rPr>
          <w:rFonts w:eastAsia="Calibri"/>
          <w:lang w:val="en-GB"/>
        </w:rPr>
        <w:t>This initiative</w:t>
      </w:r>
      <w:r w:rsidRPr="007831BB">
        <w:rPr>
          <w:lang w:val="en-GB"/>
        </w:rPr>
        <w:t xml:space="preserve"> will promote the increased use of IPBES products and the further development and sharing of associated information and experience by individuals and institutions taking part in communities of practice. </w:t>
      </w:r>
      <w:r w:rsidRPr="007831BB">
        <w:rPr>
          <w:rFonts w:eastAsia="Calibri"/>
          <w:lang w:val="en-GB"/>
        </w:rPr>
        <w:t>It</w:t>
      </w:r>
      <w:r w:rsidRPr="007831BB">
        <w:rPr>
          <w:lang w:val="en-GB"/>
        </w:rPr>
        <w:t xml:space="preserve"> will contribute to expanding stakeholder involvement in efforts to strengthen the science-policy interface. Under this initiative, partners will be invited to help develop communities of practice based on IPBES deliverables such as the guidance on scenarios and models, the guidance on the </w:t>
      </w:r>
      <w:r w:rsidRPr="007831BB">
        <w:rPr>
          <w:rFonts w:eastAsia="Calibri"/>
          <w:lang w:val="en-GB"/>
        </w:rPr>
        <w:t>conceptualization</w:t>
      </w:r>
      <w:r w:rsidRPr="007831BB">
        <w:rPr>
          <w:lang w:val="en-GB"/>
        </w:rPr>
        <w:t xml:space="preserve"> of values, the catalogue of policy</w:t>
      </w:r>
      <w:r w:rsidRPr="007831BB">
        <w:rPr>
          <w:rFonts w:eastAsia="Calibri"/>
          <w:lang w:val="en-GB"/>
        </w:rPr>
        <w:t>-</w:t>
      </w:r>
      <w:r w:rsidRPr="007831BB">
        <w:rPr>
          <w:lang w:val="en-GB"/>
        </w:rPr>
        <w:t xml:space="preserve">support tools and completed assessments. It is expected that activities will mainly be undertaken through contributions by partners; </w:t>
      </w:r>
    </w:p>
    <w:p w14:paraId="7F522951" w14:textId="78715723" w:rsidR="00E7045B" w:rsidRPr="007831BB" w:rsidRDefault="00E7045B" w:rsidP="00E7045B">
      <w:pPr>
        <w:pStyle w:val="Normalnumber"/>
        <w:numPr>
          <w:ilvl w:val="0"/>
          <w:numId w:val="279"/>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Facilitating </w:t>
      </w:r>
      <w:r w:rsidR="00000348">
        <w:rPr>
          <w:i/>
          <w:lang w:val="en-GB"/>
        </w:rPr>
        <w:t xml:space="preserve">the </w:t>
      </w:r>
      <w:r w:rsidRPr="007831BB">
        <w:rPr>
          <w:i/>
          <w:lang w:val="en-GB"/>
        </w:rPr>
        <w:t xml:space="preserve">consideration of indigenous and local knowledge </w:t>
      </w:r>
      <w:r w:rsidRPr="007831BB">
        <w:rPr>
          <w:lang w:val="en-GB"/>
        </w:rPr>
        <w:t xml:space="preserve">through </w:t>
      </w:r>
      <w:r w:rsidRPr="007831BB">
        <w:rPr>
          <w:lang w:val="en-GB"/>
        </w:rPr>
        <w:br/>
        <w:t>capacity-building for the effective use of indigenous and local knowledge in assessments and other relevant deliverables and for dialogue among different knowledge systems. This would be carried out in support of the work of the task force on indigenous and local knowledge systems, responding directly to priority needs identified by the Plenary</w:t>
      </w:r>
      <w:r w:rsidRPr="007831BB">
        <w:rPr>
          <w:rFonts w:eastAsia="Calibri"/>
          <w:lang w:val="en-GB"/>
        </w:rPr>
        <w:t>, when</w:t>
      </w:r>
      <w:r w:rsidRPr="007831BB">
        <w:rPr>
          <w:lang w:val="en-GB"/>
        </w:rPr>
        <w:t xml:space="preserve"> acknowledging the special capacity-building needs related to the development and strengthening of indigenous and local knowledge approaches and procedures</w:t>
      </w:r>
      <w:r w:rsidRPr="007831BB">
        <w:rPr>
          <w:rFonts w:eastAsia="Calibri"/>
          <w:lang w:val="en-GB"/>
        </w:rPr>
        <w:t>.</w:t>
      </w:r>
      <w:r w:rsidRPr="007831BB">
        <w:rPr>
          <w:lang w:val="en-GB"/>
        </w:rPr>
        <w:t xml:space="preserve"> It will contribute to </w:t>
      </w:r>
      <w:r w:rsidRPr="007831BB">
        <w:rPr>
          <w:rFonts w:eastAsia="Calibri"/>
          <w:lang w:val="en-GB"/>
        </w:rPr>
        <w:t xml:space="preserve">the more effective use of </w:t>
      </w:r>
      <w:r w:rsidRPr="007831BB">
        <w:rPr>
          <w:lang w:val="en-GB"/>
        </w:rPr>
        <w:t>indigenous and local knowledge systems in developing IPBES deliverables, and at the same time to the</w:t>
      </w:r>
      <w:r w:rsidRPr="007831BB">
        <w:rPr>
          <w:rFonts w:eastAsia="Calibri"/>
          <w:lang w:val="en-GB"/>
        </w:rPr>
        <w:t xml:space="preserve"> increased</w:t>
      </w:r>
      <w:r w:rsidRPr="007831BB">
        <w:rPr>
          <w:lang w:val="en-GB"/>
        </w:rPr>
        <w:t xml:space="preserve"> recognition of the potential value of such knowledge systems to national decision-making processes relating to biodiversity and ecosystem services. The initiative will be developed </w:t>
      </w:r>
      <w:r w:rsidRPr="00160BD4">
        <w:rPr>
          <w:lang w:val="en-GB"/>
        </w:rPr>
        <w:t xml:space="preserve">jointly by the task force on capacity-building and the task force on indigenous </w:t>
      </w:r>
      <w:r w:rsidR="00126115" w:rsidRPr="00160BD4">
        <w:rPr>
          <w:lang w:val="en-GB"/>
        </w:rPr>
        <w:t xml:space="preserve">and local </w:t>
      </w:r>
      <w:r w:rsidRPr="00160BD4">
        <w:rPr>
          <w:lang w:val="en-GB"/>
        </w:rPr>
        <w:t xml:space="preserve">knowledge systems, supported by their </w:t>
      </w:r>
      <w:r w:rsidR="00CF558D" w:rsidRPr="00160BD4">
        <w:rPr>
          <w:lang w:val="en-GB"/>
        </w:rPr>
        <w:t xml:space="preserve">respective </w:t>
      </w:r>
      <w:r w:rsidRPr="00160BD4">
        <w:rPr>
          <w:lang w:val="en-GB"/>
        </w:rPr>
        <w:t xml:space="preserve">technical support units, with responsibilities for implementation </w:t>
      </w:r>
      <w:r w:rsidRPr="00160BD4">
        <w:rPr>
          <w:rFonts w:eastAsia="Calibri"/>
          <w:lang w:val="en-GB"/>
        </w:rPr>
        <w:t xml:space="preserve">that have been </w:t>
      </w:r>
      <w:r w:rsidRPr="00160BD4">
        <w:rPr>
          <w:lang w:val="en-GB"/>
        </w:rPr>
        <w:t>mutually agreed. It is anticipated that activities will mainly be undertaken through contributions</w:t>
      </w:r>
      <w:r w:rsidRPr="007831BB">
        <w:rPr>
          <w:lang w:val="en-GB"/>
        </w:rPr>
        <w:t xml:space="preserve"> by partners;</w:t>
      </w:r>
    </w:p>
    <w:p w14:paraId="0E080496" w14:textId="2F28E29C" w:rsidR="00E7045B" w:rsidRPr="007831BB" w:rsidRDefault="00E7045B" w:rsidP="00E7045B">
      <w:pPr>
        <w:pStyle w:val="Normalnumber"/>
        <w:numPr>
          <w:ilvl w:val="0"/>
          <w:numId w:val="279"/>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Facilitating access to data, information and knowledge </w:t>
      </w:r>
      <w:r w:rsidRPr="007831BB">
        <w:rPr>
          <w:lang w:val="en-GB"/>
        </w:rPr>
        <w:t>through developing the necessary capacities of those involved in working on IPBES deliverables</w:t>
      </w:r>
      <w:r w:rsidRPr="007831BB">
        <w:rPr>
          <w:lang w:val="en-GB" w:eastAsia="nb-NO"/>
        </w:rPr>
        <w:t>,</w:t>
      </w:r>
      <w:r w:rsidRPr="007831BB">
        <w:rPr>
          <w:lang w:val="en-GB"/>
        </w:rPr>
        <w:t xml:space="preserve"> as set out in the strategies of the IPBES data and information management pan,</w:t>
      </w:r>
      <w:r w:rsidRPr="007831BB">
        <w:rPr>
          <w:vertAlign w:val="superscript"/>
          <w:lang w:val="en-GB"/>
        </w:rPr>
        <w:footnoteReference w:id="23"/>
      </w:r>
      <w:r w:rsidRPr="007831BB">
        <w:rPr>
          <w:lang w:val="en-GB"/>
        </w:rPr>
        <w:t xml:space="preserve"> and in decision-making processes relating to biodiversity and ecosystem services. The initiative would be developed jointly by the task force on capacity-building and by the task force on knowledge and data</w:t>
      </w:r>
      <w:r w:rsidRPr="00160BD4">
        <w:rPr>
          <w:lang w:val="en-GB"/>
        </w:rPr>
        <w:t>, supported by their respective technical support units, with responsibilities for implementatio</w:t>
      </w:r>
      <w:r w:rsidRPr="007831BB">
        <w:rPr>
          <w:lang w:val="en-GB"/>
        </w:rPr>
        <w:t xml:space="preserve">n </w:t>
      </w:r>
      <w:r w:rsidRPr="007831BB">
        <w:rPr>
          <w:lang w:val="en-GB" w:eastAsia="nb-NO"/>
        </w:rPr>
        <w:t>that have been</w:t>
      </w:r>
      <w:r w:rsidRPr="007831BB">
        <w:rPr>
          <w:lang w:val="en-GB"/>
        </w:rPr>
        <w:t xml:space="preserve"> mutually agreed. It is expected that activities will mainly be undertaken through contributions by partners.</w:t>
      </w:r>
    </w:p>
    <w:p w14:paraId="64A4A137" w14:textId="77777777" w:rsidR="00E7045B" w:rsidRPr="007831BB" w:rsidRDefault="00E7045B" w:rsidP="00E7045B">
      <w:pPr>
        <w:pStyle w:val="CH3"/>
        <w:rPr>
          <w:lang w:val="en-GB"/>
        </w:rPr>
      </w:pPr>
      <w:r w:rsidRPr="007831BB">
        <w:rPr>
          <w:lang w:val="en-GB"/>
        </w:rPr>
        <w:tab/>
        <w:t>3.</w:t>
      </w:r>
      <w:r w:rsidRPr="007831BB">
        <w:rPr>
          <w:lang w:val="en-GB"/>
        </w:rPr>
        <w:tab/>
        <w:t>Strategy 3: Strengthening national and regional capacities</w:t>
      </w:r>
    </w:p>
    <w:p w14:paraId="1AC9BA10" w14:textId="77777777"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Efforts to strengthen national and regional capacities will draw heavily on the experience of partner organizations and will be implemented with their substantive support. Support will mainl</w:t>
      </w:r>
      <w:r w:rsidRPr="001B4189">
        <w:rPr>
          <w:sz w:val="20"/>
          <w:szCs w:val="20"/>
        </w:rPr>
        <w:t>y be achieved through partnerships and matchmaking activities on the part of IPBES aimed at addressing the approved priority capacity-building needs, and in particular the second priority area on enhancing t</w:t>
      </w:r>
      <w:r w:rsidRPr="00440196">
        <w:rPr>
          <w:sz w:val="20"/>
          <w:szCs w:val="20"/>
        </w:rPr>
        <w:t xml:space="preserve">he capacity to undertake, use and improve national assessments of biodiversity and ecosystem services, through the following initiatives: </w:t>
      </w:r>
    </w:p>
    <w:p w14:paraId="47F3ADB0" w14:textId="4E8A4F1E" w:rsidR="00E7045B" w:rsidRPr="007831BB" w:rsidRDefault="00E7045B" w:rsidP="00E7045B">
      <w:pPr>
        <w:pStyle w:val="Normalnumber"/>
        <w:numPr>
          <w:ilvl w:val="0"/>
          <w:numId w:val="280"/>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Promoting and facilitating national capacity</w:t>
      </w:r>
      <w:r w:rsidR="00022EFA">
        <w:rPr>
          <w:i/>
          <w:lang w:val="en-GB"/>
        </w:rPr>
        <w:t xml:space="preserve"> </w:t>
      </w:r>
      <w:proofErr w:type="spellStart"/>
      <w:r w:rsidRPr="007831BB">
        <w:rPr>
          <w:i/>
          <w:lang w:val="en-GB"/>
        </w:rPr>
        <w:t>self assessment</w:t>
      </w:r>
      <w:proofErr w:type="spellEnd"/>
      <w:r w:rsidRPr="007831BB">
        <w:rPr>
          <w:lang w:val="en-GB"/>
        </w:rPr>
        <w:t xml:space="preserve">, including </w:t>
      </w:r>
      <w:r w:rsidR="00022EFA">
        <w:rPr>
          <w:lang w:val="en-GB"/>
        </w:rPr>
        <w:t xml:space="preserve">in respect </w:t>
      </w:r>
      <w:r w:rsidRPr="007831BB">
        <w:rPr>
          <w:lang w:val="en-GB"/>
        </w:rPr>
        <w:t xml:space="preserve">of capacities for locating and mobilizing financial and technical resources in the science-policy interface as it relates to biodiversity and ecosystem services. Efforts aim to contribute to </w:t>
      </w:r>
      <w:r w:rsidRPr="007831BB">
        <w:rPr>
          <w:rFonts w:eastAsia="Calibri"/>
          <w:lang w:val="en-GB"/>
        </w:rPr>
        <w:t xml:space="preserve">the </w:t>
      </w:r>
      <w:r w:rsidRPr="007831BB">
        <w:rPr>
          <w:lang w:val="en-GB"/>
        </w:rPr>
        <w:t xml:space="preserve">increased identification at </w:t>
      </w:r>
      <w:r w:rsidRPr="007831BB">
        <w:rPr>
          <w:rFonts w:eastAsia="Calibri"/>
          <w:lang w:val="en-GB"/>
        </w:rPr>
        <w:t xml:space="preserve">the </w:t>
      </w:r>
      <w:r w:rsidRPr="007831BB">
        <w:rPr>
          <w:lang w:val="en-GB"/>
        </w:rPr>
        <w:t xml:space="preserve">national level of priority capacity-building needs relevant to IPBES and </w:t>
      </w:r>
      <w:r w:rsidRPr="007831BB">
        <w:rPr>
          <w:rFonts w:eastAsia="Calibri"/>
          <w:lang w:val="en-GB"/>
        </w:rPr>
        <w:t>of the manner in which</w:t>
      </w:r>
      <w:r w:rsidRPr="007831BB">
        <w:rPr>
          <w:lang w:val="en-GB"/>
        </w:rPr>
        <w:t xml:space="preserve"> they can be addressed, at the same time providing evidence to potential supporters of nationally</w:t>
      </w:r>
      <w:r w:rsidRPr="007831BB">
        <w:rPr>
          <w:rFonts w:eastAsia="Calibri"/>
          <w:lang w:val="en-GB"/>
        </w:rPr>
        <w:t xml:space="preserve"> recognized needs.</w:t>
      </w:r>
      <w:r w:rsidRPr="007831BB">
        <w:rPr>
          <w:lang w:val="en-GB"/>
        </w:rPr>
        <w:t xml:space="preserve"> The task force members will develop an approach to self</w:t>
      </w:r>
      <w:r w:rsidRPr="007831BB">
        <w:rPr>
          <w:rFonts w:eastAsia="Calibri"/>
          <w:lang w:val="en-GB"/>
        </w:rPr>
        <w:noBreakHyphen/>
      </w:r>
      <w:r w:rsidRPr="007831BB">
        <w:rPr>
          <w:lang w:val="en-GB"/>
        </w:rPr>
        <w:t>assessment working with appropriate organizations, which will then be available for use by the appropriate national authorities with the support, where necessary, of interested partner institutions. Where necessary, support could be sought through matchmaking. It is anticipated that activities will mainly be undertaken through contributions by partners;</w:t>
      </w:r>
    </w:p>
    <w:p w14:paraId="6A5B036A" w14:textId="22C62F8B" w:rsidR="00E7045B" w:rsidRPr="007831BB" w:rsidRDefault="00E7045B" w:rsidP="00E7045B">
      <w:pPr>
        <w:pStyle w:val="Normalnumber"/>
        <w:numPr>
          <w:ilvl w:val="0"/>
          <w:numId w:val="280"/>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Promoting and facilitating national and sub-global assessments</w:t>
      </w:r>
      <w:r w:rsidRPr="007831BB">
        <w:rPr>
          <w:lang w:val="en-GB"/>
        </w:rPr>
        <w:t xml:space="preserve"> </w:t>
      </w:r>
      <w:r w:rsidRPr="007831BB">
        <w:rPr>
          <w:i/>
          <w:lang w:val="en-GB"/>
        </w:rPr>
        <w:t xml:space="preserve">of biodiversity and ecosystem services </w:t>
      </w:r>
      <w:r w:rsidRPr="007831BB">
        <w:rPr>
          <w:lang w:val="en-GB"/>
        </w:rPr>
        <w:t xml:space="preserve">by relevant national and </w:t>
      </w:r>
      <w:proofErr w:type="spellStart"/>
      <w:r w:rsidRPr="007831BB">
        <w:rPr>
          <w:rFonts w:eastAsia="Calibri"/>
          <w:lang w:val="en-GB"/>
        </w:rPr>
        <w:t>subregional</w:t>
      </w:r>
      <w:proofErr w:type="spellEnd"/>
      <w:r w:rsidRPr="007831BB">
        <w:rPr>
          <w:lang w:val="en-GB"/>
        </w:rPr>
        <w:t xml:space="preserve"> authorities,</w:t>
      </w:r>
      <w:r w:rsidR="00252C43">
        <w:rPr>
          <w:lang w:val="en-GB"/>
        </w:rPr>
        <w:t xml:space="preserve"> </w:t>
      </w:r>
      <w:r w:rsidRPr="007831BB">
        <w:rPr>
          <w:lang w:val="en-GB"/>
        </w:rPr>
        <w:t>in order to encourage response</w:t>
      </w:r>
      <w:r w:rsidR="00022EFA">
        <w:rPr>
          <w:lang w:val="en-GB"/>
        </w:rPr>
        <w:t>s</w:t>
      </w:r>
      <w:r w:rsidRPr="007831BB">
        <w:rPr>
          <w:lang w:val="en-GB"/>
        </w:rPr>
        <w:t xml:space="preserve"> to the priority capacity-building needs identified by the Plenary. Efforts aim to contribute to improved capacity at </w:t>
      </w:r>
      <w:r w:rsidRPr="007831BB">
        <w:rPr>
          <w:rFonts w:eastAsia="Calibri"/>
          <w:lang w:val="en-GB"/>
        </w:rPr>
        <w:t xml:space="preserve">the </w:t>
      </w:r>
      <w:r w:rsidRPr="007831BB">
        <w:rPr>
          <w:lang w:val="en-GB"/>
        </w:rPr>
        <w:t xml:space="preserve">national and, where relevant, </w:t>
      </w:r>
      <w:proofErr w:type="spellStart"/>
      <w:r w:rsidRPr="007831BB">
        <w:rPr>
          <w:rFonts w:eastAsia="Calibri"/>
          <w:lang w:val="en-GB"/>
        </w:rPr>
        <w:t>subregional</w:t>
      </w:r>
      <w:proofErr w:type="spellEnd"/>
      <w:r w:rsidRPr="007831BB">
        <w:rPr>
          <w:lang w:val="en-GB"/>
        </w:rPr>
        <w:t xml:space="preserve"> levels to undertake national and </w:t>
      </w:r>
      <w:proofErr w:type="spellStart"/>
      <w:r w:rsidRPr="007831BB">
        <w:rPr>
          <w:rFonts w:eastAsia="Calibri"/>
          <w:lang w:val="en-GB"/>
        </w:rPr>
        <w:t>subregional</w:t>
      </w:r>
      <w:proofErr w:type="spellEnd"/>
      <w:r w:rsidRPr="007831BB">
        <w:rPr>
          <w:lang w:val="en-GB"/>
        </w:rPr>
        <w:t xml:space="preserve"> assessments of biodiversity and ecosystem services and to use their findings effectively. This will necessarily include </w:t>
      </w:r>
      <w:r w:rsidR="00022EFA">
        <w:rPr>
          <w:lang w:val="en-GB"/>
        </w:rPr>
        <w:t xml:space="preserve">the </w:t>
      </w:r>
      <w:r w:rsidRPr="007831BB">
        <w:rPr>
          <w:lang w:val="en-GB"/>
        </w:rPr>
        <w:t xml:space="preserve">engagement of all relevant stakeholders and relevant sectors. The task force will consider ways to promote and facilitate national and </w:t>
      </w:r>
      <w:proofErr w:type="spellStart"/>
      <w:r w:rsidRPr="007831BB">
        <w:rPr>
          <w:rFonts w:eastAsia="Calibri"/>
          <w:lang w:val="en-GB"/>
        </w:rPr>
        <w:t>subregional</w:t>
      </w:r>
      <w:proofErr w:type="spellEnd"/>
      <w:r w:rsidRPr="007831BB">
        <w:rPr>
          <w:lang w:val="en-GB"/>
        </w:rPr>
        <w:t xml:space="preserve"> assessments, in particular through </w:t>
      </w:r>
      <w:r w:rsidRPr="00686631">
        <w:rPr>
          <w:lang w:val="en-GB"/>
        </w:rPr>
        <w:t xml:space="preserve">the </w:t>
      </w:r>
      <w:r w:rsidR="00686631" w:rsidRPr="00964A01">
        <w:rPr>
          <w:lang w:val="en-GB"/>
        </w:rPr>
        <w:t xml:space="preserve">capacity-building </w:t>
      </w:r>
      <w:r w:rsidRPr="00686631">
        <w:rPr>
          <w:lang w:val="en-GB"/>
        </w:rPr>
        <w:t>forum</w:t>
      </w:r>
      <w:r w:rsidRPr="007831BB">
        <w:rPr>
          <w:lang w:val="en-GB"/>
        </w:rPr>
        <w:t xml:space="preserve"> and the matchmaking functions. It is expected that activities will mainly be undertaken through contributions by partners;</w:t>
      </w:r>
    </w:p>
    <w:p w14:paraId="409EE87A" w14:textId="6A38ADEA" w:rsidR="00E7045B" w:rsidRPr="007831BB" w:rsidRDefault="00E7045B" w:rsidP="00E7045B">
      <w:pPr>
        <w:pStyle w:val="Normalnumber"/>
        <w:numPr>
          <w:ilvl w:val="0"/>
          <w:numId w:val="280"/>
        </w:numPr>
        <w:tabs>
          <w:tab w:val="clear" w:pos="1247"/>
          <w:tab w:val="clear" w:pos="1814"/>
          <w:tab w:val="clear" w:pos="2381"/>
          <w:tab w:val="clear" w:pos="2948"/>
          <w:tab w:val="clear" w:pos="3515"/>
          <w:tab w:val="clear" w:pos="4082"/>
          <w:tab w:val="left" w:pos="624"/>
        </w:tabs>
        <w:ind w:left="1247" w:firstLine="624"/>
        <w:rPr>
          <w:i/>
          <w:lang w:val="en-GB"/>
        </w:rPr>
      </w:pPr>
      <w:r w:rsidRPr="007831BB">
        <w:rPr>
          <w:i/>
          <w:lang w:val="en-GB"/>
        </w:rPr>
        <w:t>Promoting and facilitating national and regional platforms and networks</w:t>
      </w:r>
      <w:r w:rsidRPr="007831BB">
        <w:rPr>
          <w:lang w:val="en-GB"/>
        </w:rPr>
        <w:t xml:space="preserve"> on biodiversity and ecosystem services, drawing on existing experience, networks and platforms. These platforms would support engagement in IPBES and its work programme and support the development, implementation and use of national and </w:t>
      </w:r>
      <w:proofErr w:type="spellStart"/>
      <w:r w:rsidRPr="007831BB">
        <w:rPr>
          <w:rFonts w:eastAsia="Calibri"/>
          <w:lang w:val="en-GB"/>
        </w:rPr>
        <w:t>subregional</w:t>
      </w:r>
      <w:proofErr w:type="spellEnd"/>
      <w:r w:rsidRPr="007831BB">
        <w:rPr>
          <w:lang w:val="en-GB"/>
        </w:rPr>
        <w:t xml:space="preserve"> assessments. They would facilitate increased cooperation and collaboration </w:t>
      </w:r>
      <w:r w:rsidRPr="007831BB">
        <w:rPr>
          <w:rFonts w:eastAsia="Calibri"/>
          <w:lang w:val="en-GB"/>
        </w:rPr>
        <w:t>among scientists</w:t>
      </w:r>
      <w:r w:rsidRPr="007831BB">
        <w:rPr>
          <w:lang w:val="en-GB"/>
        </w:rPr>
        <w:t xml:space="preserve"> and other knowledge holders, </w:t>
      </w:r>
      <w:r w:rsidRPr="007831BB">
        <w:rPr>
          <w:rFonts w:eastAsia="Calibri"/>
          <w:lang w:val="en-GB"/>
        </w:rPr>
        <w:t>policymakers</w:t>
      </w:r>
      <w:r w:rsidRPr="007831BB">
        <w:rPr>
          <w:lang w:val="en-GB"/>
        </w:rPr>
        <w:t xml:space="preserve"> and decision makers, practitioners and other stakeholders, leading to the more effective generation and use of knowledge in decision</w:t>
      </w:r>
      <w:r w:rsidRPr="007831BB">
        <w:rPr>
          <w:rFonts w:eastAsia="Calibri"/>
          <w:lang w:val="en-GB"/>
        </w:rPr>
        <w:noBreakHyphen/>
      </w:r>
      <w:r w:rsidRPr="007831BB">
        <w:rPr>
          <w:lang w:val="en-GB"/>
        </w:rPr>
        <w:t>making. The task force will consider ways to promote and facilitate</w:t>
      </w:r>
      <w:r w:rsidRPr="007831BB">
        <w:rPr>
          <w:rFonts w:eastAsia="Calibri"/>
          <w:lang w:val="en-GB"/>
        </w:rPr>
        <w:t xml:space="preserve"> the</w:t>
      </w:r>
      <w:r w:rsidRPr="007831BB">
        <w:rPr>
          <w:lang w:val="en-GB"/>
        </w:rPr>
        <w:t xml:space="preserve"> development of national and regional platforms, in particular through the forum and the matchmaking functions. It is expected that activities will mainly be undertaken through contributions by partners.</w:t>
      </w:r>
    </w:p>
    <w:p w14:paraId="2B496A89" w14:textId="77777777" w:rsidR="00E7045B" w:rsidRPr="007831BB" w:rsidRDefault="00E7045B" w:rsidP="00E7045B">
      <w:pPr>
        <w:pStyle w:val="CH2"/>
        <w:ind w:left="0" w:firstLine="0"/>
        <w:rPr>
          <w:lang w:val="en-GB"/>
        </w:rPr>
      </w:pPr>
      <w:bookmarkStart w:id="1" w:name="_Toc464233043"/>
      <w:r w:rsidRPr="007831BB">
        <w:rPr>
          <w:lang w:val="en-GB"/>
        </w:rPr>
        <w:tab/>
        <w:t>C.</w:t>
      </w:r>
      <w:r w:rsidRPr="007831BB">
        <w:rPr>
          <w:lang w:val="en-GB"/>
        </w:rPr>
        <w:tab/>
        <w:t>Priorities and criteria for implementing the strategies</w:t>
      </w:r>
      <w:bookmarkEnd w:id="1"/>
    </w:p>
    <w:p w14:paraId="3A88D7EC" w14:textId="6EC2DCD4" w:rsidR="00E7045B" w:rsidRPr="00A3630E"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The task force has developed a set of criteria based on the agreed priority capacity-building needs to be used for reviewing</w:t>
      </w:r>
      <w:r w:rsidRPr="001B4189">
        <w:rPr>
          <w:sz w:val="20"/>
          <w:szCs w:val="20"/>
        </w:rPr>
        <w:t xml:space="preserve"> proposed activities and offers of </w:t>
      </w:r>
      <w:r w:rsidRPr="00440196">
        <w:rPr>
          <w:sz w:val="20"/>
          <w:szCs w:val="20"/>
        </w:rPr>
        <w:t xml:space="preserve">technical and financial support prior to their acceptance as </w:t>
      </w:r>
      <w:r w:rsidR="00873E8D">
        <w:rPr>
          <w:sz w:val="20"/>
          <w:szCs w:val="20"/>
        </w:rPr>
        <w:t>IPBES-</w:t>
      </w:r>
      <w:r w:rsidRPr="00440196">
        <w:rPr>
          <w:sz w:val="20"/>
          <w:szCs w:val="20"/>
        </w:rPr>
        <w:t>relevant activities. These criteria are not intended as a reinterpretation of the priorities set by the Plenary</w:t>
      </w:r>
      <w:r w:rsidRPr="00A3630E">
        <w:rPr>
          <w:sz w:val="20"/>
          <w:szCs w:val="20"/>
        </w:rPr>
        <w:t>, but as an operationalization of th</w:t>
      </w:r>
      <w:r w:rsidR="00A3630E" w:rsidRPr="00A3630E">
        <w:rPr>
          <w:sz w:val="20"/>
          <w:szCs w:val="20"/>
        </w:rPr>
        <w:t>o</w:t>
      </w:r>
      <w:r w:rsidRPr="00A3630E">
        <w:rPr>
          <w:sz w:val="20"/>
          <w:szCs w:val="20"/>
        </w:rPr>
        <w:t>se priorities in a pragmatic manner for each of the three strategies described above and operationalized through the rolling plan.</w:t>
      </w:r>
    </w:p>
    <w:p w14:paraId="2ED03D85" w14:textId="77777777" w:rsidR="00E7045B" w:rsidRPr="007831BB" w:rsidRDefault="00E7045B" w:rsidP="00E7045B">
      <w:pPr>
        <w:pStyle w:val="CH3"/>
        <w:rPr>
          <w:iCs/>
          <w:lang w:val="en-GB" w:eastAsia="nb-NO"/>
        </w:rPr>
      </w:pPr>
      <w:bookmarkStart w:id="2" w:name="_Ref464231586"/>
      <w:r w:rsidRPr="007831BB">
        <w:rPr>
          <w:lang w:val="en-GB" w:eastAsia="nb-NO"/>
        </w:rPr>
        <w:tab/>
        <w:t>1.</w:t>
      </w:r>
      <w:r w:rsidRPr="007831BB">
        <w:rPr>
          <w:lang w:val="en-GB" w:eastAsia="nb-NO"/>
        </w:rPr>
        <w:tab/>
      </w:r>
      <w:r w:rsidRPr="007831BB">
        <w:rPr>
          <w:lang w:val="en-GB"/>
        </w:rPr>
        <w:t>Strategy 1</w:t>
      </w:r>
      <w:r w:rsidRPr="007831BB">
        <w:rPr>
          <w:lang w:val="en-GB" w:eastAsia="nb-NO"/>
        </w:rPr>
        <w:t>: Learning</w:t>
      </w:r>
      <w:r w:rsidRPr="007831BB">
        <w:rPr>
          <w:lang w:val="en-GB"/>
        </w:rPr>
        <w:t xml:space="preserve"> and engagement</w:t>
      </w:r>
    </w:p>
    <w:p w14:paraId="05D4E76B" w14:textId="449EAAA0"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 xml:space="preserve">The primary focus should be on those activities supporting implementation of the work </w:t>
      </w:r>
      <w:r w:rsidRPr="001B4189">
        <w:rPr>
          <w:sz w:val="20"/>
          <w:szCs w:val="20"/>
        </w:rPr>
        <w:t>programme itself, and on learning associ</w:t>
      </w:r>
      <w:r w:rsidRPr="00440196">
        <w:rPr>
          <w:sz w:val="20"/>
          <w:szCs w:val="20"/>
        </w:rPr>
        <w:t xml:space="preserve">ated with that implementation. In order, as mandated by decision IPBES-3/1, to focus on the ability to participate in Platform deliverables, primarily addressed through the proposed fellowship, exchange and training programme, with the priority placed on Platform regional assessments, criterion 1 should apply, </w:t>
      </w:r>
      <w:r w:rsidR="00454B9F">
        <w:rPr>
          <w:sz w:val="20"/>
          <w:szCs w:val="20"/>
        </w:rPr>
        <w:t>along with</w:t>
      </w:r>
      <w:r w:rsidR="00454B9F" w:rsidRPr="00440196">
        <w:rPr>
          <w:sz w:val="20"/>
          <w:szCs w:val="20"/>
        </w:rPr>
        <w:t xml:space="preserve"> </w:t>
      </w:r>
      <w:r w:rsidRPr="00440196">
        <w:rPr>
          <w:sz w:val="20"/>
          <w:szCs w:val="20"/>
        </w:rPr>
        <w:t>at least two of the other criteria:</w:t>
      </w:r>
      <w:bookmarkEnd w:id="2"/>
    </w:p>
    <w:p w14:paraId="53BEAE04" w14:textId="16048E79" w:rsidR="00E7045B" w:rsidRPr="007831BB"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1</w:t>
      </w:r>
      <w:r w:rsidRPr="007831BB">
        <w:rPr>
          <w:lang w:val="en-GB"/>
        </w:rPr>
        <w:t xml:space="preserve">: Proposed activities should be consistent with strategy 1 of the </w:t>
      </w:r>
      <w:r w:rsidRPr="007831BB">
        <w:rPr>
          <w:lang w:val="en-GB"/>
        </w:rPr>
        <w:br/>
        <w:t>capacity-building rolling plan and with one or more of its programmes and initiatives;</w:t>
      </w:r>
    </w:p>
    <w:p w14:paraId="5526A77E" w14:textId="77777777" w:rsidR="00E7045B" w:rsidRPr="007831BB"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2</w:t>
      </w:r>
      <w:r w:rsidRPr="007831BB">
        <w:rPr>
          <w:lang w:val="en-GB"/>
        </w:rPr>
        <w:t>: Proposed activities should directly support capacity needs relating to achieving implementation of the IPBES work programme, and in particular the regional assessments on biodiversity and ecosystem services;</w:t>
      </w:r>
    </w:p>
    <w:p w14:paraId="46F47706" w14:textId="77777777" w:rsidR="00E7045B" w:rsidRPr="007831BB"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3</w:t>
      </w:r>
      <w:r w:rsidRPr="007831BB">
        <w:rPr>
          <w:lang w:val="en-GB"/>
        </w:rPr>
        <w:t xml:space="preserve">: Proposed activities should be consistent with and complement the work of IPBES subsidiary bodies, expert groups and task forces and </w:t>
      </w:r>
      <w:r w:rsidRPr="007831BB">
        <w:rPr>
          <w:lang w:val="en-GB" w:eastAsia="nb-NO"/>
        </w:rPr>
        <w:t xml:space="preserve">the </w:t>
      </w:r>
      <w:r w:rsidRPr="007831BB">
        <w:rPr>
          <w:lang w:val="en-GB"/>
        </w:rPr>
        <w:t>secretariat, including</w:t>
      </w:r>
      <w:r w:rsidRPr="007831BB">
        <w:rPr>
          <w:lang w:val="en-GB" w:eastAsia="nb-NO"/>
        </w:rPr>
        <w:t xml:space="preserve"> the</w:t>
      </w:r>
      <w:r w:rsidRPr="007831BB">
        <w:rPr>
          <w:lang w:val="en-GB"/>
        </w:rPr>
        <w:t xml:space="preserve"> technical support units; </w:t>
      </w:r>
    </w:p>
    <w:p w14:paraId="2B86EA63" w14:textId="3DF4FD73" w:rsidR="00E7045B" w:rsidRPr="007831BB"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4</w:t>
      </w:r>
      <w:r w:rsidRPr="007831BB">
        <w:rPr>
          <w:lang w:val="en-GB"/>
        </w:rPr>
        <w:t xml:space="preserve">: Proposed activities should arise </w:t>
      </w:r>
      <w:r w:rsidR="00454B9F" w:rsidRPr="007831BB">
        <w:rPr>
          <w:lang w:val="en-GB"/>
        </w:rPr>
        <w:t xml:space="preserve">directly </w:t>
      </w:r>
      <w:r w:rsidRPr="007831BB">
        <w:rPr>
          <w:lang w:val="en-GB"/>
        </w:rPr>
        <w:t xml:space="preserve">from the work of the IPBES </w:t>
      </w:r>
      <w:r w:rsidRPr="00160BD4">
        <w:rPr>
          <w:lang w:val="en-GB"/>
        </w:rPr>
        <w:t xml:space="preserve">task force on capacity-building, helping to pilot, demonstrate and further communicate the work that </w:t>
      </w:r>
      <w:r w:rsidR="00D4511E" w:rsidRPr="00160BD4">
        <w:rPr>
          <w:lang w:val="en-GB"/>
        </w:rPr>
        <w:t>it is</w:t>
      </w:r>
      <w:r w:rsidR="00126115" w:rsidRPr="00160BD4">
        <w:rPr>
          <w:lang w:val="en-GB"/>
        </w:rPr>
        <w:t xml:space="preserve"> </w:t>
      </w:r>
      <w:r w:rsidRPr="00160BD4">
        <w:rPr>
          <w:lang w:val="en-GB"/>
        </w:rPr>
        <w:t>undertaking</w:t>
      </w:r>
      <w:r w:rsidRPr="007831BB">
        <w:rPr>
          <w:lang w:val="en-GB"/>
        </w:rPr>
        <w:t>.</w:t>
      </w:r>
      <w:r w:rsidR="00454B9F">
        <w:rPr>
          <w:lang w:val="en-GB"/>
        </w:rPr>
        <w:t xml:space="preserve"> </w:t>
      </w:r>
    </w:p>
    <w:p w14:paraId="71DA9D32" w14:textId="77777777" w:rsidR="00E7045B" w:rsidRPr="007831BB" w:rsidRDefault="00E7045B" w:rsidP="00E7045B">
      <w:pPr>
        <w:pStyle w:val="CH3"/>
        <w:rPr>
          <w:iCs/>
          <w:lang w:val="en-GB" w:eastAsia="nb-NO"/>
        </w:rPr>
      </w:pPr>
      <w:r w:rsidRPr="007831BB">
        <w:rPr>
          <w:iCs/>
          <w:lang w:val="en-GB" w:eastAsia="nb-NO"/>
        </w:rPr>
        <w:tab/>
        <w:t>2.</w:t>
      </w:r>
      <w:r w:rsidRPr="007831BB">
        <w:rPr>
          <w:iCs/>
          <w:lang w:val="en-GB" w:eastAsia="nb-NO"/>
        </w:rPr>
        <w:tab/>
      </w:r>
      <w:r w:rsidRPr="007831BB">
        <w:rPr>
          <w:lang w:val="en-GB"/>
        </w:rPr>
        <w:t>Strategy 2</w:t>
      </w:r>
      <w:r w:rsidRPr="007831BB">
        <w:rPr>
          <w:iCs/>
          <w:lang w:val="en-GB" w:eastAsia="nb-NO"/>
        </w:rPr>
        <w:t>:</w:t>
      </w:r>
      <w:r w:rsidRPr="007831BB">
        <w:rPr>
          <w:lang w:val="en-GB"/>
        </w:rPr>
        <w:t xml:space="preserve"> Facilitating access to expertise and information</w:t>
      </w:r>
    </w:p>
    <w:p w14:paraId="6ACD8112" w14:textId="4C4507C9"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 xml:space="preserve">Activities should primarily </w:t>
      </w:r>
      <w:r w:rsidRPr="001B4189">
        <w:rPr>
          <w:sz w:val="20"/>
          <w:szCs w:val="20"/>
        </w:rPr>
        <w:t xml:space="preserve">aim to draw on other IPBES </w:t>
      </w:r>
      <w:proofErr w:type="gramStart"/>
      <w:r w:rsidRPr="001B4189">
        <w:rPr>
          <w:sz w:val="20"/>
          <w:szCs w:val="20"/>
        </w:rPr>
        <w:t>deliverables,</w:t>
      </w:r>
      <w:proofErr w:type="gramEnd"/>
      <w:r w:rsidRPr="001B4189">
        <w:rPr>
          <w:sz w:val="20"/>
          <w:szCs w:val="20"/>
        </w:rPr>
        <w:t xml:space="preserve"> </w:t>
      </w:r>
      <w:r w:rsidRPr="00440196">
        <w:rPr>
          <w:sz w:val="20"/>
          <w:szCs w:val="20"/>
        </w:rPr>
        <w:t>and in particular the work of task forces and expert groups, in order to increase access to expertise and information for supporting</w:t>
      </w:r>
      <w:r w:rsidR="00E54D5B">
        <w:rPr>
          <w:sz w:val="20"/>
          <w:szCs w:val="20"/>
        </w:rPr>
        <w:t xml:space="preserve"> the</w:t>
      </w:r>
      <w:r w:rsidRPr="00440196">
        <w:rPr>
          <w:sz w:val="20"/>
          <w:szCs w:val="20"/>
        </w:rPr>
        <w:t xml:space="preserve"> implementation of the IPBES work programme and </w:t>
      </w:r>
      <w:r w:rsidR="00E54D5B">
        <w:rPr>
          <w:sz w:val="20"/>
          <w:szCs w:val="20"/>
        </w:rPr>
        <w:t xml:space="preserve">to </w:t>
      </w:r>
      <w:r w:rsidRPr="00440196">
        <w:rPr>
          <w:sz w:val="20"/>
          <w:szCs w:val="20"/>
        </w:rPr>
        <w:t>increase the reach and impact of work programme deliverables. In order, as mandated by decision IPBES-3/1, to focus on the development and implementation of pilot or demonstration activities addressing other categories of needs, one or more of the following criteria should apply:</w:t>
      </w:r>
    </w:p>
    <w:p w14:paraId="68DD7DC2" w14:textId="77777777" w:rsidR="00E7045B" w:rsidRPr="007831BB"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5</w:t>
      </w:r>
      <w:r w:rsidRPr="007831BB">
        <w:rPr>
          <w:lang w:val="en-GB"/>
        </w:rPr>
        <w:t>: Proposed activities should promote multi-stakeholder engagement and networking in implementation of the work programme, including for facilitating the use of IPBES deliverables;</w:t>
      </w:r>
    </w:p>
    <w:p w14:paraId="142E5CD0" w14:textId="35564DEC" w:rsidR="00E7045B" w:rsidRPr="004F22D6"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Criterion 6: </w:t>
      </w:r>
      <w:r w:rsidRPr="007831BB">
        <w:rPr>
          <w:lang w:val="en-GB"/>
        </w:rPr>
        <w:t xml:space="preserve">Proposed activities should build and support communities of practice arising </w:t>
      </w:r>
      <w:r w:rsidR="00E54D5B" w:rsidRPr="007831BB">
        <w:rPr>
          <w:lang w:val="en-GB"/>
        </w:rPr>
        <w:t xml:space="preserve">directly </w:t>
      </w:r>
      <w:r w:rsidRPr="007831BB">
        <w:rPr>
          <w:lang w:val="en-GB"/>
        </w:rPr>
        <w:t xml:space="preserve">from the work of one of the following IPBES deliverables, helping to pilot and demonstrate </w:t>
      </w:r>
      <w:r w:rsidRPr="00160BD4">
        <w:rPr>
          <w:lang w:val="en-GB"/>
        </w:rPr>
        <w:t xml:space="preserve">application of </w:t>
      </w:r>
      <w:r w:rsidR="00066D89" w:rsidRPr="00160BD4">
        <w:rPr>
          <w:lang w:val="en-GB"/>
        </w:rPr>
        <w:t xml:space="preserve">the </w:t>
      </w:r>
      <w:r w:rsidRPr="00160BD4">
        <w:rPr>
          <w:lang w:val="en-GB"/>
        </w:rPr>
        <w:t>guidance</w:t>
      </w:r>
      <w:r w:rsidR="00066D89" w:rsidRPr="00160BD4">
        <w:rPr>
          <w:lang w:val="en-GB"/>
        </w:rPr>
        <w:t xml:space="preserve"> arising from these deliverables</w:t>
      </w:r>
      <w:r w:rsidRPr="00160BD4">
        <w:rPr>
          <w:lang w:val="en-GB"/>
        </w:rPr>
        <w:t>:</w:t>
      </w:r>
    </w:p>
    <w:p w14:paraId="51AB492A" w14:textId="48C578CC" w:rsidR="00E7045B" w:rsidRPr="001B4189"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IPBES regional and global assessments</w:t>
      </w:r>
      <w:r w:rsidR="00E54D5B">
        <w:t xml:space="preserve"> </w:t>
      </w:r>
    </w:p>
    <w:p w14:paraId="3322B38A" w14:textId="77777777" w:rsidR="00E7045B" w:rsidRPr="00440196"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IPBES thematic assessments</w:t>
      </w:r>
    </w:p>
    <w:p w14:paraId="554E8275" w14:textId="77777777" w:rsidR="00E7045B" w:rsidRPr="00440196"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 xml:space="preserve">IPBES work on scenario analysis and modelling </w:t>
      </w:r>
    </w:p>
    <w:p w14:paraId="3FEFADBA" w14:textId="77777777" w:rsidR="00E7045B" w:rsidRPr="00440196"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IPBES work on conceptualization of values</w:t>
      </w:r>
    </w:p>
    <w:p w14:paraId="68E88FA3" w14:textId="77777777" w:rsidR="00E7045B" w:rsidRPr="00440196"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 xml:space="preserve">IPBES work on policy support tools and methodologies </w:t>
      </w:r>
    </w:p>
    <w:p w14:paraId="3CDB3C9A" w14:textId="5F00BE40" w:rsidR="00E7045B" w:rsidRPr="007831BB"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7</w:t>
      </w:r>
      <w:r w:rsidRPr="007831BB">
        <w:rPr>
          <w:lang w:val="en-GB"/>
        </w:rPr>
        <w:t>: Proposed activities should facilitate</w:t>
      </w:r>
      <w:r w:rsidR="00E54D5B">
        <w:rPr>
          <w:lang w:val="en-GB"/>
        </w:rPr>
        <w:t xml:space="preserve"> the</w:t>
      </w:r>
      <w:r w:rsidRPr="007831BB">
        <w:rPr>
          <w:lang w:val="en-GB"/>
        </w:rPr>
        <w:t xml:space="preserve"> consideration of indigenous and local knowledge, drawing on the work of the IPBES task force on indigenous and local knowledge systems and helping to pilot, demonstrate and further </w:t>
      </w:r>
      <w:r w:rsidRPr="00160BD4">
        <w:rPr>
          <w:lang w:val="en-GB"/>
        </w:rPr>
        <w:t xml:space="preserve">communicate </w:t>
      </w:r>
      <w:r w:rsidR="00534A16" w:rsidRPr="00160BD4">
        <w:rPr>
          <w:lang w:val="en-GB"/>
        </w:rPr>
        <w:t xml:space="preserve">its </w:t>
      </w:r>
      <w:r w:rsidRPr="00160BD4">
        <w:rPr>
          <w:lang w:val="en-GB"/>
        </w:rPr>
        <w:t>work, thereby addressing</w:t>
      </w:r>
      <w:r w:rsidRPr="007831BB">
        <w:rPr>
          <w:lang w:val="en-GB"/>
        </w:rPr>
        <w:t>, as mandated by decision IPBES-3/1, the specific capacity-building needs related to the development and the strengthening of the participatory mechanism and indigenous and local knowledge approaches and procedures;</w:t>
      </w:r>
    </w:p>
    <w:p w14:paraId="41B0B85C" w14:textId="3A8F778A" w:rsidR="00E7045B" w:rsidRPr="00977696"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Criterion 8: </w:t>
      </w:r>
      <w:r w:rsidRPr="007831BB">
        <w:rPr>
          <w:lang w:val="en-GB"/>
        </w:rPr>
        <w:t xml:space="preserve">Proposed activities should facilitate access to data, information and knowledge, drawing on the work of the IPBES task force on knowledge and data, and helping to pilot, demonstrate and further communicate the work </w:t>
      </w:r>
      <w:r w:rsidRPr="00160BD4">
        <w:rPr>
          <w:lang w:val="en-GB"/>
        </w:rPr>
        <w:t xml:space="preserve">that </w:t>
      </w:r>
      <w:r w:rsidR="00534A16" w:rsidRPr="00160BD4">
        <w:rPr>
          <w:lang w:val="en-GB"/>
        </w:rPr>
        <w:t>it is</w:t>
      </w:r>
      <w:r w:rsidRPr="00160BD4">
        <w:rPr>
          <w:lang w:val="en-GB"/>
        </w:rPr>
        <w:t xml:space="preserve"> undertaking.</w:t>
      </w:r>
    </w:p>
    <w:p w14:paraId="339D8826" w14:textId="77777777" w:rsidR="00E7045B" w:rsidRPr="007831BB" w:rsidRDefault="00E7045B" w:rsidP="00E7045B">
      <w:pPr>
        <w:pStyle w:val="CH3"/>
        <w:rPr>
          <w:iCs/>
          <w:lang w:val="en-GB" w:eastAsia="nb-NO"/>
        </w:rPr>
      </w:pPr>
      <w:bookmarkStart w:id="3" w:name="_Ref464231606"/>
      <w:r w:rsidRPr="007831BB">
        <w:rPr>
          <w:lang w:val="en-GB" w:eastAsia="nb-NO"/>
        </w:rPr>
        <w:tab/>
        <w:t>3.</w:t>
      </w:r>
      <w:r w:rsidRPr="007831BB">
        <w:rPr>
          <w:lang w:val="en-GB" w:eastAsia="nb-NO"/>
        </w:rPr>
        <w:tab/>
      </w:r>
      <w:r w:rsidRPr="007831BB">
        <w:rPr>
          <w:lang w:val="en-GB"/>
        </w:rPr>
        <w:t>Strategy 3</w:t>
      </w:r>
      <w:r w:rsidRPr="007831BB">
        <w:rPr>
          <w:lang w:val="en-GB" w:eastAsia="nb-NO"/>
        </w:rPr>
        <w:t>:</w:t>
      </w:r>
      <w:r w:rsidRPr="007831BB">
        <w:rPr>
          <w:lang w:val="en-GB"/>
        </w:rPr>
        <w:t xml:space="preserve"> Strengthening national and regional capacities</w:t>
      </w:r>
    </w:p>
    <w:p w14:paraId="3D7CF4C5" w14:textId="2CE9BE41"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Activities will mainly be carried out and facilitated through partnerships and matchmaking ac</w:t>
      </w:r>
      <w:r w:rsidRPr="001B4189">
        <w:rPr>
          <w:sz w:val="20"/>
          <w:szCs w:val="20"/>
        </w:rPr>
        <w:t>tivities. In order, as mandated by decisi</w:t>
      </w:r>
      <w:r w:rsidRPr="00440196">
        <w:rPr>
          <w:sz w:val="20"/>
          <w:szCs w:val="20"/>
        </w:rPr>
        <w:t xml:space="preserve">on IPBES-3/1, to focus on enhancing the capacity to undertake, use and improve national assessments of biodiversity and ecosystem services, criteria 9 and 10 should apply, </w:t>
      </w:r>
      <w:r w:rsidR="008A76C1">
        <w:rPr>
          <w:sz w:val="20"/>
          <w:szCs w:val="20"/>
        </w:rPr>
        <w:t>along with</w:t>
      </w:r>
      <w:r w:rsidR="008A76C1" w:rsidRPr="00440196">
        <w:rPr>
          <w:sz w:val="20"/>
          <w:szCs w:val="20"/>
        </w:rPr>
        <w:t xml:space="preserve"> </w:t>
      </w:r>
      <w:r w:rsidRPr="00440196">
        <w:rPr>
          <w:sz w:val="20"/>
          <w:szCs w:val="20"/>
        </w:rPr>
        <w:t>either criterion 11 or criterion 12</w:t>
      </w:r>
      <w:r w:rsidR="008A76C1">
        <w:rPr>
          <w:sz w:val="20"/>
          <w:szCs w:val="20"/>
        </w:rPr>
        <w:t>. Those criteria are as follows</w:t>
      </w:r>
      <w:r w:rsidRPr="00440196">
        <w:rPr>
          <w:sz w:val="20"/>
          <w:szCs w:val="20"/>
        </w:rPr>
        <w:t>:</w:t>
      </w:r>
      <w:bookmarkEnd w:id="3"/>
    </w:p>
    <w:p w14:paraId="7DC6F0AB" w14:textId="1E348447" w:rsidR="00E7045B" w:rsidRPr="007831BB"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9</w:t>
      </w:r>
      <w:r w:rsidRPr="007831BB">
        <w:rPr>
          <w:lang w:val="en-GB"/>
        </w:rPr>
        <w:t>: Activities should demonstrate how all relevant IPBES guidance, processes and procedures would be taken into account in planning and implementation</w:t>
      </w:r>
      <w:r w:rsidR="005B13AD">
        <w:rPr>
          <w:lang w:val="en-GB"/>
        </w:rPr>
        <w:t>;</w:t>
      </w:r>
    </w:p>
    <w:p w14:paraId="540BDEC9" w14:textId="5FC36844" w:rsidR="00E7045B" w:rsidRPr="007831BB"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10</w:t>
      </w:r>
      <w:r w:rsidRPr="007831BB">
        <w:rPr>
          <w:lang w:val="en-GB"/>
        </w:rPr>
        <w:t xml:space="preserve">: Activities in support of national efforts should demonstrate a national need and, where appropriate, be undertaken in consultation with the relevant IPBES national focal </w:t>
      </w:r>
      <w:r w:rsidRPr="007831BB">
        <w:rPr>
          <w:lang w:val="en-GB" w:eastAsia="nb-NO"/>
        </w:rPr>
        <w:t>points</w:t>
      </w:r>
      <w:r w:rsidR="005B13AD">
        <w:rPr>
          <w:lang w:val="en-GB" w:eastAsia="nb-NO"/>
        </w:rPr>
        <w:t>;</w:t>
      </w:r>
    </w:p>
    <w:p w14:paraId="666E98DD" w14:textId="6683D5B0" w:rsidR="00E7045B" w:rsidRPr="007831BB"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Criterion 11</w:t>
      </w:r>
      <w:r w:rsidRPr="007831BB">
        <w:rPr>
          <w:lang w:val="en-GB"/>
        </w:rPr>
        <w:t xml:space="preserve">: Activities should address the undertaking and use of national and </w:t>
      </w:r>
      <w:proofErr w:type="spellStart"/>
      <w:r w:rsidRPr="007831BB">
        <w:rPr>
          <w:lang w:val="en-GB" w:eastAsia="nb-NO"/>
        </w:rPr>
        <w:t>subregional</w:t>
      </w:r>
      <w:proofErr w:type="spellEnd"/>
      <w:r w:rsidRPr="007831BB">
        <w:rPr>
          <w:lang w:val="en-GB"/>
        </w:rPr>
        <w:t xml:space="preserve"> assessments of biodiversity and ecosystem services or similar approaches (including the promotion of national and regional platforms and networks) </w:t>
      </w:r>
      <w:r w:rsidR="005B13AD">
        <w:rPr>
          <w:lang w:val="en-GB"/>
        </w:rPr>
        <w:t>that</w:t>
      </w:r>
      <w:r w:rsidR="005B13AD" w:rsidRPr="007831BB">
        <w:rPr>
          <w:lang w:val="en-GB"/>
        </w:rPr>
        <w:t xml:space="preserve"> </w:t>
      </w:r>
      <w:r w:rsidRPr="007831BB">
        <w:rPr>
          <w:lang w:val="en-GB"/>
        </w:rPr>
        <w:t>have the following characteristics:</w:t>
      </w:r>
    </w:p>
    <w:p w14:paraId="3BEB39F1" w14:textId="6AA9AABC" w:rsidR="00E7045B" w:rsidRPr="001B4189"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They cover all ecosystems within a country or other geopolitical unit or are clearly defined as thematic or methodological assessments</w:t>
      </w:r>
      <w:r w:rsidRPr="001B4189">
        <w:t xml:space="preserve"> at the appropriate level</w:t>
      </w:r>
    </w:p>
    <w:p w14:paraId="4A1A9C5B" w14:textId="0A07DA6C" w:rsidR="00E7045B" w:rsidRPr="00440196"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They demonstrate the involvement of all relevant stakeholders during all stages</w:t>
      </w:r>
    </w:p>
    <w:p w14:paraId="79ED25AC" w14:textId="6A5318D4" w:rsidR="00E7045B" w:rsidRPr="00440196"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pPr>
      <w:r w:rsidRPr="00440196">
        <w:t>They demonstrate how indigenous and local knowledge will be considered</w:t>
      </w:r>
    </w:p>
    <w:p w14:paraId="19CB36CA" w14:textId="3EA44F2C" w:rsidR="00E7045B" w:rsidRPr="007831BB"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 xml:space="preserve">Criterion 12: </w:t>
      </w:r>
      <w:r w:rsidRPr="007831BB">
        <w:rPr>
          <w:lang w:val="en-GB"/>
        </w:rPr>
        <w:t xml:space="preserve">Activities should address the national capacity self-assessments, including </w:t>
      </w:r>
      <w:r w:rsidR="005B13AD">
        <w:rPr>
          <w:lang w:val="en-GB"/>
        </w:rPr>
        <w:t xml:space="preserve">in respect of </w:t>
      </w:r>
      <w:r w:rsidRPr="007831BB">
        <w:rPr>
          <w:lang w:val="en-GB"/>
        </w:rPr>
        <w:t>capacities for locating and mobilizing financial and technical resources.</w:t>
      </w:r>
    </w:p>
    <w:p w14:paraId="2401AE3D" w14:textId="77777777" w:rsidR="00E7045B" w:rsidRPr="007831BB" w:rsidRDefault="00E7045B" w:rsidP="00E7045B">
      <w:pPr>
        <w:pStyle w:val="CH2"/>
        <w:rPr>
          <w:rFonts w:eastAsia="Gulim"/>
          <w:lang w:val="en-GB" w:eastAsia="ko-KR"/>
        </w:rPr>
      </w:pPr>
      <w:r w:rsidRPr="007831BB">
        <w:rPr>
          <w:rFonts w:eastAsia="Gulim"/>
          <w:lang w:val="en-GB" w:eastAsia="ko-KR"/>
        </w:rPr>
        <w:tab/>
        <w:t>D.</w:t>
      </w:r>
      <w:r w:rsidRPr="007831BB">
        <w:rPr>
          <w:rFonts w:eastAsia="Gulim"/>
          <w:lang w:val="en-GB" w:eastAsia="ko-KR"/>
        </w:rPr>
        <w:tab/>
        <w:t>Approach to building collaboration and engagement</w:t>
      </w:r>
    </w:p>
    <w:p w14:paraId="6F861F3E" w14:textId="77777777"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A wide range of institutions are involved in capacity-building activities that relate directly to th</w:t>
      </w:r>
      <w:r w:rsidRPr="001B4189">
        <w:rPr>
          <w:sz w:val="20"/>
          <w:szCs w:val="20"/>
        </w:rPr>
        <w:t>e IPBES work programme and to the priority capacity-bui</w:t>
      </w:r>
      <w:r w:rsidRPr="00440196">
        <w:rPr>
          <w:sz w:val="20"/>
          <w:szCs w:val="20"/>
        </w:rPr>
        <w:t xml:space="preserve">lding needs approved by the IPBES Plenary: </w:t>
      </w:r>
    </w:p>
    <w:p w14:paraId="07697980" w14:textId="5A44EDC2" w:rsidR="00E7045B" w:rsidRPr="007831BB" w:rsidRDefault="00E7045B" w:rsidP="00E7045B">
      <w:pPr>
        <w:pStyle w:val="Normalnumber"/>
        <w:numPr>
          <w:ilvl w:val="0"/>
          <w:numId w:val="276"/>
        </w:numPr>
        <w:tabs>
          <w:tab w:val="clear" w:pos="1247"/>
          <w:tab w:val="clear" w:pos="1814"/>
          <w:tab w:val="clear" w:pos="2381"/>
          <w:tab w:val="clear" w:pos="2948"/>
          <w:tab w:val="clear" w:pos="3515"/>
          <w:tab w:val="clear" w:pos="4082"/>
          <w:tab w:val="left" w:pos="624"/>
        </w:tabs>
        <w:ind w:left="1247" w:firstLine="624"/>
        <w:rPr>
          <w:i/>
          <w:lang w:val="en-GB"/>
        </w:rPr>
      </w:pPr>
      <w:r w:rsidRPr="007831BB">
        <w:rPr>
          <w:i/>
          <w:lang w:val="en-GB"/>
        </w:rPr>
        <w:t xml:space="preserve">The IPBES task force on capacity-building, </w:t>
      </w:r>
      <w:r w:rsidRPr="007831BB">
        <w:rPr>
          <w:lang w:val="en-GB"/>
        </w:rPr>
        <w:t xml:space="preserve">with the support of a technical support unit established at the Norwegian Environment </w:t>
      </w:r>
      <w:r w:rsidRPr="00160BD4">
        <w:rPr>
          <w:lang w:val="en-GB"/>
        </w:rPr>
        <w:t>Agency, oversees the development and implementation of the rolling plan. In doing</w:t>
      </w:r>
      <w:r w:rsidRPr="007831BB">
        <w:rPr>
          <w:lang w:val="en-GB"/>
        </w:rPr>
        <w:t xml:space="preserve"> so it works closely with resource persons and partner organizations that can contribute to its effective implementation</w:t>
      </w:r>
      <w:r w:rsidR="00D967E8">
        <w:rPr>
          <w:lang w:val="en-GB"/>
        </w:rPr>
        <w:t>;</w:t>
      </w:r>
      <w:r w:rsidRPr="007831BB">
        <w:rPr>
          <w:lang w:val="en-GB"/>
        </w:rPr>
        <w:t xml:space="preserve"> </w:t>
      </w:r>
    </w:p>
    <w:p w14:paraId="7466CD3B" w14:textId="4AC73684" w:rsidR="00E7045B" w:rsidRPr="007831BB" w:rsidRDefault="00E7045B" w:rsidP="00E7045B">
      <w:pPr>
        <w:pStyle w:val="Normalnumber"/>
        <w:numPr>
          <w:ilvl w:val="0"/>
          <w:numId w:val="276"/>
        </w:numPr>
        <w:tabs>
          <w:tab w:val="clear" w:pos="1247"/>
          <w:tab w:val="clear" w:pos="1814"/>
          <w:tab w:val="clear" w:pos="2381"/>
          <w:tab w:val="clear" w:pos="2948"/>
          <w:tab w:val="clear" w:pos="3515"/>
          <w:tab w:val="clear" w:pos="4082"/>
          <w:tab w:val="left" w:pos="624"/>
        </w:tabs>
        <w:ind w:left="1247" w:firstLine="624"/>
        <w:rPr>
          <w:lang w:val="en-GB"/>
        </w:rPr>
      </w:pPr>
      <w:r w:rsidRPr="007831BB">
        <w:rPr>
          <w:i/>
          <w:lang w:val="en-GB"/>
        </w:rPr>
        <w:t>The IPBES capacity-building forum</w:t>
      </w:r>
      <w:r w:rsidRPr="007831BB">
        <w:rPr>
          <w:lang w:val="en-GB"/>
        </w:rPr>
        <w:t xml:space="preserve"> is a key vehicle for increasing engagement and facilitating cooperation among partners for the implementation and further development of the rolling plan. When planning and holding meetings of the </w:t>
      </w:r>
      <w:r w:rsidR="00D967E8">
        <w:rPr>
          <w:lang w:val="en-GB"/>
        </w:rPr>
        <w:t xml:space="preserve">capacity-building </w:t>
      </w:r>
      <w:r w:rsidRPr="007831BB">
        <w:rPr>
          <w:lang w:val="en-GB"/>
        </w:rPr>
        <w:t xml:space="preserve">forum, the task force will work closely with the Bureau </w:t>
      </w:r>
      <w:r w:rsidR="00D967E8">
        <w:rPr>
          <w:lang w:val="en-GB"/>
        </w:rPr>
        <w:t xml:space="preserve">of the IPBES Plenary </w:t>
      </w:r>
      <w:r w:rsidRPr="007831BB">
        <w:rPr>
          <w:lang w:val="en-GB"/>
        </w:rPr>
        <w:t xml:space="preserve">to regularly invite organizations that fund, undertake or otherwise support relevant </w:t>
      </w:r>
      <w:r w:rsidRPr="00160BD4">
        <w:rPr>
          <w:lang w:val="en-GB"/>
        </w:rPr>
        <w:t>capacity-building</w:t>
      </w:r>
      <w:r w:rsidRPr="007831BB">
        <w:rPr>
          <w:lang w:val="en-GB"/>
        </w:rPr>
        <w:t xml:space="preserve"> activities; </w:t>
      </w:r>
      <w:r w:rsidR="00D967E8">
        <w:rPr>
          <w:lang w:val="en-GB"/>
        </w:rPr>
        <w:t xml:space="preserve">to </w:t>
      </w:r>
      <w:r w:rsidRPr="007831BB">
        <w:rPr>
          <w:lang w:val="en-GB"/>
        </w:rPr>
        <w:t xml:space="preserve">develop the list of invitees and an engagement strategy for promoting their involvement in the forum well in advance of each meeting of the forum; </w:t>
      </w:r>
      <w:r w:rsidR="00D967E8">
        <w:rPr>
          <w:lang w:val="en-GB"/>
        </w:rPr>
        <w:t xml:space="preserve">to </w:t>
      </w:r>
      <w:r w:rsidRPr="007831BB">
        <w:rPr>
          <w:lang w:val="en-GB"/>
        </w:rPr>
        <w:t xml:space="preserve">invite contributions from forum participants to the development and pilot implementation of the rolling plan as supported by matchmaking activities; </w:t>
      </w:r>
      <w:r w:rsidR="00D967E8">
        <w:rPr>
          <w:lang w:val="en-GB"/>
        </w:rPr>
        <w:t xml:space="preserve">to </w:t>
      </w:r>
      <w:r w:rsidRPr="007831BB">
        <w:rPr>
          <w:lang w:val="en-GB"/>
        </w:rPr>
        <w:t xml:space="preserve">develop and implement appropriate communication and follow-up to the meetings of the forum to further strengthen engagement in IPBES-related capacity-building initiatives; and </w:t>
      </w:r>
      <w:r w:rsidR="00D967E8">
        <w:rPr>
          <w:lang w:val="en-GB"/>
        </w:rPr>
        <w:t xml:space="preserve">to </w:t>
      </w:r>
      <w:r w:rsidRPr="007831BB">
        <w:rPr>
          <w:lang w:val="en-GB"/>
        </w:rPr>
        <w:t>regularly review the effectiveness and modalities of work in the context of the forum together with partners.</w:t>
      </w:r>
      <w:r w:rsidR="00D967E8">
        <w:rPr>
          <w:lang w:val="en-GB"/>
        </w:rPr>
        <w:t>;</w:t>
      </w:r>
    </w:p>
    <w:p w14:paraId="26DC574E" w14:textId="5783311B" w:rsidR="00E7045B" w:rsidRPr="007831BB" w:rsidRDefault="00E7045B" w:rsidP="00E7045B">
      <w:pPr>
        <w:pStyle w:val="Normalnumber"/>
        <w:numPr>
          <w:ilvl w:val="0"/>
          <w:numId w:val="276"/>
        </w:numPr>
        <w:tabs>
          <w:tab w:val="clear" w:pos="1247"/>
          <w:tab w:val="clear" w:pos="1814"/>
          <w:tab w:val="clear" w:pos="2381"/>
          <w:tab w:val="clear" w:pos="2948"/>
          <w:tab w:val="clear" w:pos="3515"/>
          <w:tab w:val="clear" w:pos="4082"/>
          <w:tab w:val="left" w:pos="624"/>
        </w:tabs>
        <w:ind w:left="1247" w:firstLine="624"/>
        <w:rPr>
          <w:i/>
          <w:lang w:val="en-GB"/>
        </w:rPr>
      </w:pPr>
      <w:r w:rsidRPr="007831BB">
        <w:rPr>
          <w:i/>
          <w:lang w:val="en-GB"/>
        </w:rPr>
        <w:t>IPBES matchmaking</w:t>
      </w:r>
      <w:r w:rsidRPr="007831BB">
        <w:rPr>
          <w:lang w:val="en-GB"/>
        </w:rPr>
        <w:t xml:space="preserve">: The strategies, programmes and initiatives described </w:t>
      </w:r>
      <w:r w:rsidRPr="007352EA">
        <w:rPr>
          <w:lang w:val="en-GB"/>
        </w:rPr>
        <w:t xml:space="preserve">in the present </w:t>
      </w:r>
      <w:r w:rsidR="007352EA">
        <w:rPr>
          <w:lang w:val="en-GB"/>
        </w:rPr>
        <w:t>executive summary</w:t>
      </w:r>
      <w:r w:rsidRPr="007352EA">
        <w:rPr>
          <w:lang w:val="en-GB"/>
        </w:rPr>
        <w:t>, and the activities described in the IPBES capacity-building rolling plan</w:t>
      </w:r>
      <w:r w:rsidRPr="007831BB">
        <w:rPr>
          <w:lang w:val="en-GB"/>
        </w:rPr>
        <w:t>, will help frame cooperation among partners on how to match identified priority needs with financial and technical resources. The focus on matchmaking has seen a gradual shift from an attempt to develop a prototype facility to an incremental development of the matchmaking functions and their web-based support structures. While there are currently no plans to issue further open calls for project submissions, as was done in the trial call during the initial work on the matchmaking facility, specific calls under the rolling plan may be conducted in collaboration with strategic partners representing both implementers and conventional and potential sources of funding.</w:t>
      </w:r>
    </w:p>
    <w:p w14:paraId="6E0E2360" w14:textId="77777777" w:rsidR="00E7045B" w:rsidRPr="007831BB" w:rsidRDefault="00E7045B" w:rsidP="00E7045B">
      <w:pPr>
        <w:pStyle w:val="CH2"/>
        <w:ind w:left="0" w:firstLine="0"/>
        <w:rPr>
          <w:lang w:val="en-GB"/>
        </w:rPr>
      </w:pPr>
      <w:bookmarkStart w:id="4" w:name="_Toc464233048"/>
      <w:r w:rsidRPr="007831BB">
        <w:rPr>
          <w:lang w:val="en-GB"/>
        </w:rPr>
        <w:tab/>
        <w:t>E.</w:t>
      </w:r>
      <w:r w:rsidRPr="007831BB">
        <w:rPr>
          <w:lang w:val="en-GB"/>
        </w:rPr>
        <w:tab/>
        <w:t>Options for organizations wishing to contribute</w:t>
      </w:r>
      <w:bookmarkEnd w:id="4"/>
    </w:p>
    <w:p w14:paraId="2F700420" w14:textId="77777777" w:rsidR="00E7045B" w:rsidRPr="00440196" w:rsidRDefault="00E7045B" w:rsidP="00E7045B">
      <w:pPr>
        <w:pStyle w:val="NormalPlain"/>
        <w:numPr>
          <w:ilvl w:val="0"/>
          <w:numId w:val="273"/>
        </w:numPr>
        <w:tabs>
          <w:tab w:val="left" w:pos="624"/>
        </w:tabs>
        <w:spacing w:after="120"/>
        <w:ind w:left="1247" w:firstLine="0"/>
        <w:rPr>
          <w:sz w:val="20"/>
          <w:szCs w:val="20"/>
        </w:rPr>
      </w:pPr>
      <w:r w:rsidRPr="00440196">
        <w:rPr>
          <w:sz w:val="20"/>
          <w:szCs w:val="20"/>
        </w:rPr>
        <w:t>Institutions may choose to fund, undertake or otherwise support relevant capacity-building activities in order to help support implementation of the IPBES capacity-building rolli</w:t>
      </w:r>
      <w:r w:rsidRPr="001B4189">
        <w:rPr>
          <w:sz w:val="20"/>
          <w:szCs w:val="20"/>
        </w:rPr>
        <w:t>ng plan. Collaborative arrangements can take a number of</w:t>
      </w:r>
      <w:r w:rsidRPr="00440196">
        <w:rPr>
          <w:sz w:val="20"/>
          <w:szCs w:val="20"/>
        </w:rPr>
        <w:t xml:space="preserve"> forms, based on the parties’ degree of involvement. The IPBES guidance on the development of strategic partnerships and other collaborative arrangements</w:t>
      </w:r>
      <w:r w:rsidRPr="00440196">
        <w:rPr>
          <w:sz w:val="20"/>
          <w:szCs w:val="20"/>
          <w:vertAlign w:val="superscript"/>
        </w:rPr>
        <w:footnoteReference w:id="24"/>
      </w:r>
      <w:r w:rsidRPr="00440196">
        <w:rPr>
          <w:sz w:val="20"/>
          <w:szCs w:val="20"/>
        </w:rPr>
        <w:t xml:space="preserve"> sets out a number of the key considerations, and also the types of collaboration that may be necessary for supporting IPBES implementation. Contributions may be made directly or indirectly through one or more of the following approaches:</w:t>
      </w:r>
    </w:p>
    <w:p w14:paraId="775B08D4" w14:textId="0560BD2A" w:rsidR="00E7045B" w:rsidRPr="007831BB" w:rsidRDefault="00E7045B"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n-GB"/>
        </w:rPr>
      </w:pPr>
      <w:r w:rsidRPr="007831BB">
        <w:rPr>
          <w:i/>
          <w:lang w:val="en-GB"/>
        </w:rPr>
        <w:t xml:space="preserve">Contributions to the IPBES trust fund through the budget agreed by </w:t>
      </w:r>
      <w:r w:rsidRPr="007831BB">
        <w:rPr>
          <w:rFonts w:eastAsia="Calibri"/>
          <w:i/>
          <w:lang w:val="en-GB"/>
        </w:rPr>
        <w:t xml:space="preserve">the </w:t>
      </w:r>
      <w:r w:rsidRPr="007831BB">
        <w:rPr>
          <w:i/>
          <w:lang w:val="en-GB"/>
        </w:rPr>
        <w:t>Plenary</w:t>
      </w:r>
      <w:r w:rsidRPr="007831BB">
        <w:rPr>
          <w:lang w:val="en-GB"/>
        </w:rPr>
        <w:t xml:space="preserve">, which already supports parts of the work described in the </w:t>
      </w:r>
      <w:r w:rsidR="00E8507D">
        <w:rPr>
          <w:lang w:val="en-GB"/>
        </w:rPr>
        <w:t xml:space="preserve">rolling </w:t>
      </w:r>
      <w:r w:rsidRPr="007831BB">
        <w:rPr>
          <w:lang w:val="en-GB"/>
        </w:rPr>
        <w:t>plan. Contributions to the rolling plan can therefore be made through contributions to the IPBES trust fund itself</w:t>
      </w:r>
      <w:r w:rsidRPr="007831BB">
        <w:rPr>
          <w:i/>
          <w:lang w:val="en-GB"/>
        </w:rPr>
        <w:t xml:space="preserve"> </w:t>
      </w:r>
      <w:r w:rsidRPr="007831BB">
        <w:rPr>
          <w:lang w:val="en-GB"/>
        </w:rPr>
        <w:t>or by direct funding through earmarked contributions to the IPBES trust fund</w:t>
      </w:r>
      <w:r w:rsidRPr="007831BB">
        <w:rPr>
          <w:rFonts w:eastAsia="Calibri"/>
          <w:lang w:val="en-GB"/>
        </w:rPr>
        <w:t>.</w:t>
      </w:r>
      <w:r w:rsidRPr="007831BB">
        <w:rPr>
          <w:rStyle w:val="FootnoteReference"/>
          <w:rFonts w:eastAsia="Calibri"/>
          <w:lang w:val="en-GB"/>
        </w:rPr>
        <w:footnoteReference w:id="25"/>
      </w:r>
      <w:r w:rsidRPr="007831BB">
        <w:rPr>
          <w:lang w:val="en-GB"/>
        </w:rPr>
        <w:t xml:space="preserve"> Any institution wishing to provide direct funding through earmarked contributions to the IPBES trust fund should contact the IPBES secretariat. Acknowledgement of contributions to the trust fund is primarily </w:t>
      </w:r>
      <w:r w:rsidRPr="007831BB">
        <w:rPr>
          <w:rFonts w:eastAsia="Calibri"/>
          <w:lang w:val="en-GB"/>
        </w:rPr>
        <w:t>conveyed</w:t>
      </w:r>
      <w:r w:rsidRPr="007831BB">
        <w:rPr>
          <w:lang w:val="en-GB"/>
        </w:rPr>
        <w:t xml:space="preserve"> through the report of the Executive Secretary to the Plenary on the trust fund</w:t>
      </w:r>
      <w:r w:rsidRPr="007831BB">
        <w:rPr>
          <w:rFonts w:eastAsia="Calibri"/>
          <w:lang w:val="en-GB"/>
        </w:rPr>
        <w:t>;</w:t>
      </w:r>
    </w:p>
    <w:p w14:paraId="7A6E989C" w14:textId="5EFFB9C4" w:rsidR="00E7045B" w:rsidRPr="007831BB" w:rsidRDefault="00E7045B"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n-GB"/>
        </w:rPr>
      </w:pPr>
      <w:r w:rsidRPr="007831BB">
        <w:rPr>
          <w:i/>
          <w:lang w:val="en-GB"/>
        </w:rPr>
        <w:t>In-kind contribution</w:t>
      </w:r>
      <w:r w:rsidR="00446B6A">
        <w:rPr>
          <w:i/>
          <w:lang w:val="en-GB"/>
        </w:rPr>
        <w:t>s</w:t>
      </w:r>
      <w:r w:rsidRPr="007831BB">
        <w:rPr>
          <w:i/>
          <w:lang w:val="en-GB"/>
        </w:rPr>
        <w:t xml:space="preserve"> to the capacity-building work of IPBES </w:t>
      </w:r>
      <w:r w:rsidRPr="007831BB">
        <w:rPr>
          <w:lang w:val="en-GB"/>
        </w:rPr>
        <w:t>through various degrees of involvement where institutions may wish:</w:t>
      </w:r>
    </w:p>
    <w:p w14:paraId="7FE19294" w14:textId="2777AAD3" w:rsidR="00E7045B" w:rsidRPr="007831BB" w:rsidRDefault="00E7045B" w:rsidP="00E7045B">
      <w:pPr>
        <w:pStyle w:val="Normalnumber"/>
        <w:numPr>
          <w:ilvl w:val="0"/>
          <w:numId w:val="275"/>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To provide partial or complete support to capacity-building activities under the rolling plan that are being administered by the technical support unit or otherwise organized by IPBES. Examples of such support might include instances where the capacity-building activity is led by IPBES but carried out with the technical or financial support of one or more partner institutions or, conversely, led by a partner institution with support from the IPBES secretariat;</w:t>
      </w:r>
    </w:p>
    <w:p w14:paraId="0BC125FD" w14:textId="34E12C1B" w:rsidR="00E7045B" w:rsidRPr="007831BB" w:rsidRDefault="00E7045B" w:rsidP="00E7045B">
      <w:pPr>
        <w:pStyle w:val="Normalnumber"/>
        <w:numPr>
          <w:ilvl w:val="0"/>
          <w:numId w:val="275"/>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To offer to administer or undertake activities themselves</w:t>
      </w:r>
      <w:r w:rsidRPr="007831BB">
        <w:rPr>
          <w:rFonts w:eastAsia="Calibri"/>
          <w:lang w:val="en-GB"/>
        </w:rPr>
        <w:t>,</w:t>
      </w:r>
      <w:r w:rsidRPr="007831BB">
        <w:rPr>
          <w:lang w:val="en-GB"/>
        </w:rPr>
        <w:t xml:space="preserve"> working in collaboration with IPBES. This might include instances where institutions already have or would like to plan activities in order to support delivery of the IPBES capacity-building rolling plan and wish to seek acknowledgement or endorsement from IPBES for </w:t>
      </w:r>
      <w:r w:rsidRPr="007831BB">
        <w:rPr>
          <w:rFonts w:eastAsia="Calibri"/>
          <w:lang w:val="en-GB"/>
        </w:rPr>
        <w:t xml:space="preserve">so </w:t>
      </w:r>
      <w:r w:rsidRPr="007831BB">
        <w:rPr>
          <w:lang w:val="en-GB"/>
        </w:rPr>
        <w:t xml:space="preserve">doing. An endorsement or acknowledgement will require a review of the proposed activity to ensure that it </w:t>
      </w:r>
      <w:r w:rsidRPr="007831BB">
        <w:rPr>
          <w:rFonts w:eastAsia="Calibri"/>
          <w:lang w:val="en-GB"/>
        </w:rPr>
        <w:t>is aligned</w:t>
      </w:r>
      <w:r w:rsidRPr="007831BB">
        <w:rPr>
          <w:lang w:val="en-GB"/>
        </w:rPr>
        <w:t xml:space="preserve"> with IPBES priority capacity-building needs, operating principles, relevant procedures and criteria</w:t>
      </w:r>
      <w:bookmarkStart w:id="5" w:name="_Toc464233051"/>
      <w:r w:rsidRPr="007831BB">
        <w:rPr>
          <w:lang w:val="en-GB"/>
        </w:rPr>
        <w:t>;</w:t>
      </w:r>
    </w:p>
    <w:p w14:paraId="0BDB15E2" w14:textId="50DC3AB8" w:rsidR="00E7045B" w:rsidRPr="007831BB" w:rsidRDefault="00E7045B"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n-GB"/>
        </w:rPr>
      </w:pPr>
      <w:r w:rsidRPr="007831BB">
        <w:rPr>
          <w:lang w:val="en-GB"/>
        </w:rPr>
        <w:t>Providing direct technical or financial support to other institutions</w:t>
      </w:r>
      <w:bookmarkEnd w:id="5"/>
      <w:r w:rsidRPr="007831BB">
        <w:rPr>
          <w:lang w:val="en-GB"/>
        </w:rPr>
        <w:t xml:space="preserve"> (for example to organizations in other countries) to enable them to address in a more effective manner priority capacity</w:t>
      </w:r>
      <w:r w:rsidRPr="007831BB">
        <w:rPr>
          <w:lang w:val="en-GB"/>
        </w:rPr>
        <w:noBreakHyphen/>
        <w:t xml:space="preserve">building needs. The activities may be explicitly identified in the rolling plan and may include types of training or support for fellows or be inferred from the descriptions of the capacity-building approaches described above, for example support for national ecosystem assessments; </w:t>
      </w:r>
    </w:p>
    <w:p w14:paraId="6EE330B4" w14:textId="2BC575B1" w:rsidR="00E7045B" w:rsidRPr="007831BB" w:rsidRDefault="00E7045B"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n-GB"/>
        </w:rPr>
      </w:pPr>
      <w:r w:rsidRPr="007831BB">
        <w:rPr>
          <w:lang w:val="en-GB"/>
        </w:rPr>
        <w:t xml:space="preserve">Alignment of capacity-building activities, whereby institutions may wish to consider how their capacity-building activities can take more account of the objectives, deliverables and </w:t>
      </w:r>
      <w:proofErr w:type="spellStart"/>
      <w:r w:rsidRPr="007831BB">
        <w:rPr>
          <w:lang w:val="en-GB"/>
        </w:rPr>
        <w:t>ongoing</w:t>
      </w:r>
      <w:proofErr w:type="spellEnd"/>
      <w:r w:rsidRPr="007831BB">
        <w:rPr>
          <w:lang w:val="en-GB"/>
        </w:rPr>
        <w:t xml:space="preserve"> work of IPBES. Alignment of interests </w:t>
      </w:r>
      <w:r w:rsidRPr="007831BB">
        <w:rPr>
          <w:rFonts w:eastAsia="Calibri"/>
          <w:lang w:val="en-GB"/>
        </w:rPr>
        <w:t>may</w:t>
      </w:r>
      <w:r w:rsidRPr="007831BB">
        <w:rPr>
          <w:lang w:val="en-GB"/>
        </w:rPr>
        <w:t xml:space="preserve"> be </w:t>
      </w:r>
      <w:r w:rsidRPr="007831BB">
        <w:rPr>
          <w:rFonts w:eastAsia="Calibri"/>
          <w:lang w:val="en-GB"/>
        </w:rPr>
        <w:t>facilitated</w:t>
      </w:r>
      <w:r w:rsidRPr="007831BB">
        <w:rPr>
          <w:lang w:val="en-GB"/>
        </w:rPr>
        <w:t xml:space="preserve"> through, for instance, supporting the uptake and use of any IPBES guides, methodological assessments </w:t>
      </w:r>
      <w:r w:rsidR="00B911C9">
        <w:rPr>
          <w:lang w:val="en-GB"/>
        </w:rPr>
        <w:t>or</w:t>
      </w:r>
      <w:r w:rsidR="00B911C9" w:rsidRPr="007831BB">
        <w:rPr>
          <w:lang w:val="en-GB"/>
        </w:rPr>
        <w:t xml:space="preserve"> </w:t>
      </w:r>
      <w:r w:rsidRPr="007831BB">
        <w:rPr>
          <w:lang w:val="en-GB"/>
        </w:rPr>
        <w:t xml:space="preserve">other deliverables. The IPBES capacity-building forum also provides an opportunity for further exploring modalities for achieving </w:t>
      </w:r>
      <w:r w:rsidRPr="007831BB">
        <w:rPr>
          <w:rFonts w:eastAsia="Calibri"/>
          <w:lang w:val="en-GB"/>
        </w:rPr>
        <w:t xml:space="preserve">the </w:t>
      </w:r>
      <w:r w:rsidRPr="007831BB">
        <w:rPr>
          <w:lang w:val="en-GB"/>
        </w:rPr>
        <w:t>alignment of activities.</w:t>
      </w:r>
    </w:p>
    <w:p w14:paraId="1CD04CAC"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7E1A2FE2" w14:textId="1A8AC751" w:rsidR="00E7045B" w:rsidRPr="007831BB" w:rsidRDefault="00E7045B" w:rsidP="00E7045B">
      <w:pPr>
        <w:pStyle w:val="CH1"/>
        <w:rPr>
          <w:w w:val="103"/>
          <w:lang w:val="en-GB"/>
        </w:rPr>
      </w:pPr>
      <w:r w:rsidRPr="007831BB">
        <w:rPr>
          <w:lang w:val="en-GB"/>
        </w:rPr>
        <w:tab/>
      </w:r>
      <w:r w:rsidRPr="007831BB">
        <w:rPr>
          <w:lang w:val="en-GB"/>
        </w:rPr>
        <w:tab/>
        <w:t>Annex II to decision IPBES-5/1</w:t>
      </w:r>
    </w:p>
    <w:p w14:paraId="4DABE34B" w14:textId="5140E0C4" w:rsidR="00E7045B" w:rsidRPr="007831BB" w:rsidRDefault="00E7045B" w:rsidP="00E7045B">
      <w:pPr>
        <w:pStyle w:val="CH1"/>
        <w:rPr>
          <w:lang w:val="en-GB"/>
        </w:rPr>
      </w:pPr>
      <w:r w:rsidRPr="007831BB">
        <w:rPr>
          <w:lang w:val="en-GB"/>
        </w:rPr>
        <w:tab/>
      </w:r>
      <w:r w:rsidRPr="007831BB">
        <w:rPr>
          <w:lang w:val="en-GB"/>
        </w:rPr>
        <w:tab/>
      </w:r>
      <w:r w:rsidR="00733314">
        <w:rPr>
          <w:lang w:val="en-GB"/>
        </w:rPr>
        <w:t>Approach to r</w:t>
      </w:r>
      <w:r w:rsidRPr="007831BB">
        <w:rPr>
          <w:lang w:val="en-GB"/>
        </w:rPr>
        <w:t>ecognizing and working with indigenous and local knowledge in the Intergovernmental Science-Policy Platform on Biodiversity and Ecosystem Services</w:t>
      </w:r>
    </w:p>
    <w:p w14:paraId="563B8731" w14:textId="77777777" w:rsidR="00E7045B" w:rsidRPr="007831BB" w:rsidRDefault="00E7045B" w:rsidP="00E7045B">
      <w:pPr>
        <w:pStyle w:val="CH1"/>
        <w:rPr>
          <w:lang w:val="en-GB"/>
        </w:rPr>
      </w:pPr>
      <w:r w:rsidRPr="007831BB">
        <w:rPr>
          <w:lang w:val="en-GB"/>
        </w:rPr>
        <w:tab/>
        <w:t>I.</w:t>
      </w:r>
      <w:r w:rsidRPr="007831BB">
        <w:rPr>
          <w:lang w:val="en-GB"/>
        </w:rPr>
        <w:tab/>
        <w:t>Overall framework</w:t>
      </w:r>
    </w:p>
    <w:p w14:paraId="44BE3F90" w14:textId="5F77D331" w:rsidR="00E7045B" w:rsidRPr="00964A01" w:rsidRDefault="00E7045B" w:rsidP="0038437E">
      <w:pPr>
        <w:pStyle w:val="Normalnumber"/>
        <w:numPr>
          <w:ilvl w:val="0"/>
          <w:numId w:val="297"/>
        </w:numPr>
        <w:rPr>
          <w:lang w:val="en-US"/>
        </w:rPr>
      </w:pPr>
      <w:r w:rsidRPr="00964A01">
        <w:rPr>
          <w:lang w:val="en-US"/>
        </w:rPr>
        <w:t xml:space="preserve">The </w:t>
      </w:r>
      <w:r w:rsidR="00291734">
        <w:rPr>
          <w:lang w:val="en-US"/>
        </w:rPr>
        <w:t xml:space="preserve">present </w:t>
      </w:r>
      <w:r w:rsidRPr="00964A01">
        <w:rPr>
          <w:lang w:val="en-US"/>
        </w:rPr>
        <w:t xml:space="preserve">approach to working with indigenous and local knowledge in the Intergovernmental Science-Policy Platform on Biodiversity and Ecosystem Services (IPBES) is multifaceted; applies across the four functions of IPBES; considers various scales, from local to global; and involves activities to be undertaken or </w:t>
      </w:r>
      <w:proofErr w:type="spellStart"/>
      <w:r w:rsidRPr="00964A01">
        <w:rPr>
          <w:lang w:val="en-US"/>
        </w:rPr>
        <w:t>catalysed</w:t>
      </w:r>
      <w:proofErr w:type="spellEnd"/>
      <w:r w:rsidRPr="00964A01">
        <w:rPr>
          <w:lang w:val="en-US"/>
        </w:rPr>
        <w:t xml:space="preserve"> by IPBES (see section II below). </w:t>
      </w:r>
    </w:p>
    <w:p w14:paraId="51994C35" w14:textId="7C3B84CC" w:rsidR="00E7045B" w:rsidRPr="00AD51BD" w:rsidRDefault="00E7045B" w:rsidP="00160BD4">
      <w:pPr>
        <w:pStyle w:val="Normalnumber"/>
        <w:numPr>
          <w:ilvl w:val="0"/>
          <w:numId w:val="297"/>
        </w:numPr>
        <w:rPr>
          <w:lang w:val="en-GB"/>
        </w:rPr>
      </w:pPr>
      <w:r w:rsidRPr="00AD51BD">
        <w:rPr>
          <w:lang w:val="en-GB"/>
        </w:rPr>
        <w:t>Th</w:t>
      </w:r>
      <w:r w:rsidR="00D50C61" w:rsidRPr="00AD51BD">
        <w:rPr>
          <w:lang w:val="en-GB"/>
        </w:rPr>
        <w:t>e present</w:t>
      </w:r>
      <w:r w:rsidRPr="00AD51BD">
        <w:rPr>
          <w:lang w:val="en-GB"/>
        </w:rPr>
        <w:t xml:space="preserve"> approach will be undertaken in line with the </w:t>
      </w:r>
      <w:r w:rsidR="001A4A54" w:rsidRPr="00AD51BD">
        <w:rPr>
          <w:lang w:val="en-GB"/>
        </w:rPr>
        <w:t xml:space="preserve">approved </w:t>
      </w:r>
      <w:r w:rsidRPr="00AD51BD">
        <w:rPr>
          <w:lang w:val="en-GB"/>
        </w:rPr>
        <w:t xml:space="preserve">rules </w:t>
      </w:r>
      <w:r w:rsidR="001A4A54" w:rsidRPr="00AD51BD">
        <w:rPr>
          <w:lang w:val="en-GB"/>
        </w:rPr>
        <w:t xml:space="preserve">and </w:t>
      </w:r>
      <w:r w:rsidRPr="00AD51BD">
        <w:rPr>
          <w:lang w:val="en-GB"/>
        </w:rPr>
        <w:t xml:space="preserve">procedures of IPBES and in accordance with internationally recognized rights of indigenous peoples and relevant commitments related to local communities. </w:t>
      </w:r>
    </w:p>
    <w:p w14:paraId="010D5F61" w14:textId="38BAA4E1" w:rsidR="00E7045B" w:rsidRPr="007831BB" w:rsidRDefault="00E7045B" w:rsidP="0038437E">
      <w:pPr>
        <w:pStyle w:val="Normalnumber"/>
        <w:numPr>
          <w:ilvl w:val="0"/>
          <w:numId w:val="297"/>
        </w:numPr>
        <w:rPr>
          <w:lang w:val="en-GB"/>
        </w:rPr>
      </w:pPr>
      <w:r w:rsidRPr="00AD51BD">
        <w:rPr>
          <w:lang w:val="en-US"/>
        </w:rPr>
        <w:t xml:space="preserve">Indigenous and local knowledge experts selected by IPBES for the preparation of </w:t>
      </w:r>
      <w:r w:rsidR="001A4A54" w:rsidRPr="00AD51BD">
        <w:rPr>
          <w:lang w:val="en-US"/>
        </w:rPr>
        <w:t>IPBES</w:t>
      </w:r>
      <w:r w:rsidR="001A4A54" w:rsidRPr="00AD51BD">
        <w:rPr>
          <w:lang w:val="en-GB"/>
        </w:rPr>
        <w:t xml:space="preserve"> </w:t>
      </w:r>
      <w:r w:rsidRPr="00AD51BD">
        <w:rPr>
          <w:lang w:val="en-GB"/>
        </w:rPr>
        <w:t>deliverables will engage in the approach, which will, in addition, involve a wide community of</w:t>
      </w:r>
      <w:r w:rsidRPr="007831BB">
        <w:rPr>
          <w:lang w:val="en-GB"/>
        </w:rPr>
        <w:t xml:space="preserve"> stakeholders via the participatory mechanism for working with indigenous, local and diverse knowledge systems </w:t>
      </w:r>
      <w:r w:rsidR="00D50C61">
        <w:rPr>
          <w:lang w:val="en-GB"/>
        </w:rPr>
        <w:t xml:space="preserve">set out in </w:t>
      </w:r>
      <w:r w:rsidRPr="007831BB">
        <w:rPr>
          <w:lang w:val="en-GB"/>
        </w:rPr>
        <w:t xml:space="preserve">section III below. </w:t>
      </w:r>
    </w:p>
    <w:p w14:paraId="7910C2B5" w14:textId="6B5411A5" w:rsidR="00E7045B" w:rsidRPr="007831BB" w:rsidRDefault="00E7045B" w:rsidP="004F5524">
      <w:pPr>
        <w:pStyle w:val="Normalnumber"/>
        <w:numPr>
          <w:ilvl w:val="0"/>
          <w:numId w:val="297"/>
        </w:numPr>
        <w:rPr>
          <w:lang w:val="en-GB"/>
        </w:rPr>
      </w:pPr>
      <w:r w:rsidRPr="007831BB">
        <w:rPr>
          <w:lang w:val="en-GB"/>
        </w:rPr>
        <w:t xml:space="preserve">The approach is based on a number of overall considerations, understanding of terms and the identification of challenges as described in </w:t>
      </w:r>
      <w:r w:rsidRPr="00964A01">
        <w:rPr>
          <w:lang w:val="en-US"/>
        </w:rPr>
        <w:t>the</w:t>
      </w:r>
      <w:r w:rsidRPr="007831BB">
        <w:rPr>
          <w:lang w:val="en-GB"/>
        </w:rPr>
        <w:t xml:space="preserve"> following paragraphs.</w:t>
      </w:r>
    </w:p>
    <w:p w14:paraId="130A9BFC" w14:textId="77777777" w:rsidR="00E7045B" w:rsidRPr="007831BB" w:rsidRDefault="00E7045B" w:rsidP="004F5524">
      <w:pPr>
        <w:pStyle w:val="Normalnumber"/>
        <w:numPr>
          <w:ilvl w:val="0"/>
          <w:numId w:val="297"/>
        </w:numPr>
        <w:rPr>
          <w:lang w:val="en-GB"/>
        </w:rPr>
      </w:pPr>
      <w:r w:rsidRPr="007831BB">
        <w:rPr>
          <w:lang w:val="en-GB"/>
        </w:rPr>
        <w:t xml:space="preserve">In terms of </w:t>
      </w:r>
      <w:r w:rsidRPr="007831BB">
        <w:rPr>
          <w:b/>
          <w:lang w:val="en-GB"/>
        </w:rPr>
        <w:t>overall considerations</w:t>
      </w:r>
      <w:r w:rsidRPr="007831BB">
        <w:rPr>
          <w:lang w:val="en-GB"/>
        </w:rPr>
        <w:t xml:space="preserve"> regarding the mandate, functions, means and operating principles of IPBES, the approach will:</w:t>
      </w:r>
    </w:p>
    <w:p w14:paraId="190EC5BA" w14:textId="1335D2D7" w:rsidR="00E7045B" w:rsidRPr="007831BB" w:rsidRDefault="00E7045B" w:rsidP="00E7045B">
      <w:pPr>
        <w:pStyle w:val="Normalnumber"/>
        <w:numPr>
          <w:ilvl w:val="1"/>
          <w:numId w:val="28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Rely on activities undertaken by IPBES at the global, regional and, where appropriate, </w:t>
      </w:r>
      <w:proofErr w:type="spellStart"/>
      <w:r w:rsidRPr="007831BB">
        <w:rPr>
          <w:lang w:val="en-GB"/>
        </w:rPr>
        <w:t>subregional</w:t>
      </w:r>
      <w:proofErr w:type="spellEnd"/>
      <w:r w:rsidRPr="007831BB">
        <w:rPr>
          <w:lang w:val="en-GB"/>
        </w:rPr>
        <w:t xml:space="preserve"> levels, using available knowledge, which will be gathered, synthesized, reviewed and evaluated, and rely on the promotion and catalysis of activities by appropriate partners such as the mobilization of knowledge that is not readily available, the generation of new knowledge or </w:t>
      </w:r>
      <w:r w:rsidRPr="007831BB">
        <w:rPr>
          <w:lang w:val="en-GB"/>
        </w:rPr>
        <w:br/>
        <w:t>capacity-building activities;</w:t>
      </w:r>
    </w:p>
    <w:p w14:paraId="66C4265E" w14:textId="12E64B2A" w:rsidR="00E7045B" w:rsidRPr="007831BB" w:rsidRDefault="00E7045B" w:rsidP="00E7045B">
      <w:pPr>
        <w:pStyle w:val="Normalnumber"/>
        <w:numPr>
          <w:ilvl w:val="1"/>
          <w:numId w:val="28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Besides funding that may be available from the trust fund, rely on in</w:t>
      </w:r>
      <w:r w:rsidRPr="007831BB">
        <w:rPr>
          <w:lang w:val="en-GB"/>
        </w:rPr>
        <w:noBreakHyphen/>
        <w:t>kind support from, and collaborative activities with, strategic partners;</w:t>
      </w:r>
    </w:p>
    <w:p w14:paraId="0E00CE07" w14:textId="77777777" w:rsidR="00E7045B" w:rsidRPr="007831BB" w:rsidRDefault="00E7045B" w:rsidP="00E7045B">
      <w:pPr>
        <w:pStyle w:val="Normalnumber"/>
        <w:numPr>
          <w:ilvl w:val="1"/>
          <w:numId w:val="285"/>
        </w:numPr>
        <w:tabs>
          <w:tab w:val="clear" w:pos="1247"/>
          <w:tab w:val="clear" w:pos="1814"/>
          <w:tab w:val="clear" w:pos="2381"/>
          <w:tab w:val="clear" w:pos="2948"/>
          <w:tab w:val="clear" w:pos="3515"/>
          <w:tab w:val="clear" w:pos="4082"/>
        </w:tabs>
        <w:ind w:firstLine="624"/>
        <w:rPr>
          <w:lang w:val="en-GB"/>
        </w:rPr>
      </w:pPr>
      <w:r w:rsidRPr="007831BB">
        <w:rPr>
          <w:lang w:val="en-GB"/>
        </w:rPr>
        <w:t xml:space="preserve">Involve collaboration with relevant initiatives and build on appropriate work, guidelines and best practices that have been developed and agreed on by relevant multilateral agreements and/or other entities; </w:t>
      </w:r>
    </w:p>
    <w:p w14:paraId="4FEC88E8" w14:textId="77777777" w:rsidR="00E7045B" w:rsidRPr="007831BB" w:rsidRDefault="00E7045B" w:rsidP="00E7045B">
      <w:pPr>
        <w:pStyle w:val="Normalnumber"/>
        <w:numPr>
          <w:ilvl w:val="1"/>
          <w:numId w:val="285"/>
        </w:numPr>
        <w:tabs>
          <w:tab w:val="clear" w:pos="1247"/>
          <w:tab w:val="clear" w:pos="1814"/>
          <w:tab w:val="clear" w:pos="2381"/>
          <w:tab w:val="clear" w:pos="2948"/>
          <w:tab w:val="clear" w:pos="3515"/>
          <w:tab w:val="clear" w:pos="4082"/>
        </w:tabs>
        <w:ind w:firstLine="624"/>
        <w:rPr>
          <w:lang w:val="en-GB"/>
        </w:rPr>
      </w:pPr>
      <w:r w:rsidRPr="007831BB">
        <w:rPr>
          <w:lang w:val="en-GB"/>
        </w:rPr>
        <w:t>Use clear, transparent and credible processes for the exchange, sharing and use of data, knowledge, information and technologies from all relevant sources.</w:t>
      </w:r>
    </w:p>
    <w:p w14:paraId="404D061F" w14:textId="77777777" w:rsidR="00E7045B" w:rsidRPr="007831BB" w:rsidRDefault="00E7045B" w:rsidP="004F5524">
      <w:pPr>
        <w:pStyle w:val="Normalnumber"/>
        <w:numPr>
          <w:ilvl w:val="0"/>
          <w:numId w:val="297"/>
        </w:numPr>
        <w:rPr>
          <w:lang w:val="en-GB"/>
        </w:rPr>
      </w:pPr>
      <w:r w:rsidRPr="007831BB">
        <w:rPr>
          <w:lang w:val="en-GB"/>
        </w:rPr>
        <w:t xml:space="preserve">The approach is based on the following </w:t>
      </w:r>
      <w:r w:rsidRPr="007831BB">
        <w:rPr>
          <w:b/>
          <w:lang w:val="en-GB"/>
        </w:rPr>
        <w:t>understandings</w:t>
      </w:r>
      <w:r w:rsidRPr="007831BB">
        <w:rPr>
          <w:lang w:val="en-GB"/>
        </w:rPr>
        <w:t xml:space="preserve"> of key terms, concepts and categories:</w:t>
      </w:r>
    </w:p>
    <w:p w14:paraId="65F0A4EE" w14:textId="1485C060" w:rsidR="00E7045B" w:rsidRPr="007831BB" w:rsidRDefault="00E7045B" w:rsidP="00E7045B">
      <w:pPr>
        <w:pStyle w:val="Normalnumber"/>
        <w:numPr>
          <w:ilvl w:val="1"/>
          <w:numId w:val="28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Indigenous and local knowledge systems are in general understood to be dynamic bodies of integrated, holistic, social and ecological knowledge, practices and beliefs pertaining to the relationship of living beings, including people, with one another and with their environment</w:t>
      </w:r>
      <w:r w:rsidR="008460DF">
        <w:rPr>
          <w:lang w:val="en-GB"/>
        </w:rPr>
        <w:t>s</w:t>
      </w:r>
      <w:r w:rsidRPr="007831BB">
        <w:rPr>
          <w:lang w:val="en-GB"/>
        </w:rPr>
        <w:t xml:space="preserve">. Indigenous and local knowledge is grounded in territory, is highly diverse and is continuously evolving through the interaction of experiences, innovations and </w:t>
      </w:r>
      <w:r w:rsidR="008D1D2D">
        <w:rPr>
          <w:lang w:val="en-GB"/>
        </w:rPr>
        <w:t>various</w:t>
      </w:r>
      <w:r w:rsidR="008D1D2D" w:rsidRPr="007831BB">
        <w:rPr>
          <w:lang w:val="en-GB"/>
        </w:rPr>
        <w:t xml:space="preserve"> </w:t>
      </w:r>
      <w:r w:rsidRPr="007831BB">
        <w:rPr>
          <w:lang w:val="en-GB"/>
        </w:rPr>
        <w:t>types of knowledge (written, oral, visual, tacit, gendered, practical and scientific). Such knowledge can provide information, methods, theory and practice for sustainable ecosystem management. Many indigenous and local knowledge systems are empirically tested, applied, contested and validated through different means in different contexts;</w:t>
      </w:r>
    </w:p>
    <w:p w14:paraId="5BF43E36" w14:textId="77777777" w:rsidR="00E7045B" w:rsidRPr="007831BB" w:rsidRDefault="00E7045B" w:rsidP="00E7045B">
      <w:pPr>
        <w:pStyle w:val="Normalnumber"/>
        <w:numPr>
          <w:ilvl w:val="1"/>
          <w:numId w:val="286"/>
        </w:numPr>
        <w:tabs>
          <w:tab w:val="clear" w:pos="1247"/>
          <w:tab w:val="clear" w:pos="1814"/>
          <w:tab w:val="clear" w:pos="2381"/>
          <w:tab w:val="clear" w:pos="2948"/>
          <w:tab w:val="clear" w:pos="3515"/>
          <w:tab w:val="clear" w:pos="4082"/>
        </w:tabs>
        <w:ind w:firstLine="624"/>
        <w:rPr>
          <w:lang w:val="en-GB"/>
        </w:rPr>
      </w:pPr>
      <w:r w:rsidRPr="007831BB">
        <w:rPr>
          <w:lang w:val="en-GB"/>
        </w:rPr>
        <w:t>Maintained and produced in individual and collective ways, indigenous and local knowledge is at the interface between biological and cultural diversity. Manifestations of indigenous and local knowledge are evident in many social and ecological systems. In this context, the approach understands “</w:t>
      </w:r>
      <w:proofErr w:type="spellStart"/>
      <w:r w:rsidRPr="007831BB">
        <w:rPr>
          <w:lang w:val="en-GB"/>
        </w:rPr>
        <w:t>biocultural</w:t>
      </w:r>
      <w:proofErr w:type="spellEnd"/>
      <w:r w:rsidRPr="007831BB">
        <w:rPr>
          <w:lang w:val="en-GB"/>
        </w:rPr>
        <w:t xml:space="preserve"> diversity” as biological and cultural diversity and the links between them; </w:t>
      </w:r>
    </w:p>
    <w:p w14:paraId="44039235" w14:textId="77777777" w:rsidR="00E7045B" w:rsidRPr="007831BB" w:rsidRDefault="00E7045B" w:rsidP="00E7045B">
      <w:pPr>
        <w:pStyle w:val="Normalnumber"/>
        <w:numPr>
          <w:ilvl w:val="1"/>
          <w:numId w:val="286"/>
        </w:numPr>
        <w:tabs>
          <w:tab w:val="clear" w:pos="1247"/>
          <w:tab w:val="clear" w:pos="1814"/>
          <w:tab w:val="clear" w:pos="2381"/>
          <w:tab w:val="clear" w:pos="2948"/>
          <w:tab w:val="clear" w:pos="3515"/>
          <w:tab w:val="clear" w:pos="4082"/>
        </w:tabs>
        <w:ind w:firstLine="624"/>
        <w:rPr>
          <w:lang w:val="en-GB"/>
        </w:rPr>
      </w:pPr>
      <w:r w:rsidRPr="007831BB">
        <w:rPr>
          <w:lang w:val="en-GB"/>
        </w:rPr>
        <w:t>The approach does not intend to create or develop new definitions of what constitutes “indigenous and local knowledge” or “indigenous peoples and local communities”, as these definitions are often context specific and vary within and across regions;</w:t>
      </w:r>
    </w:p>
    <w:p w14:paraId="580CC701" w14:textId="77777777" w:rsidR="00E7045B" w:rsidRPr="007831BB" w:rsidRDefault="00E7045B" w:rsidP="004153C8">
      <w:pPr>
        <w:pStyle w:val="Normalnumber"/>
        <w:keepNext/>
        <w:keepLines/>
        <w:numPr>
          <w:ilvl w:val="1"/>
          <w:numId w:val="286"/>
        </w:numPr>
        <w:tabs>
          <w:tab w:val="clear" w:pos="1247"/>
          <w:tab w:val="clear" w:pos="1814"/>
          <w:tab w:val="clear" w:pos="2381"/>
          <w:tab w:val="clear" w:pos="2948"/>
          <w:tab w:val="clear" w:pos="3515"/>
          <w:tab w:val="clear" w:pos="4082"/>
        </w:tabs>
        <w:ind w:firstLine="624"/>
        <w:rPr>
          <w:lang w:val="en-GB"/>
        </w:rPr>
      </w:pPr>
      <w:r w:rsidRPr="007831BB">
        <w:rPr>
          <w:i/>
          <w:lang w:val="en-GB"/>
        </w:rPr>
        <w:t>Indigenous and local knowledge holders</w:t>
      </w:r>
      <w:r w:rsidRPr="007831BB">
        <w:rPr>
          <w:lang w:val="en-GB"/>
        </w:rPr>
        <w:t xml:space="preserve"> are understood to be persons situated in the collective knowledge systems of indigenous peoples and local communities with knowledge from their own indigenous peoples and local communities; </w:t>
      </w:r>
      <w:r w:rsidRPr="007831BB">
        <w:rPr>
          <w:i/>
          <w:lang w:val="en-GB"/>
        </w:rPr>
        <w:t>indigenous and local knowledge experts</w:t>
      </w:r>
      <w:r w:rsidRPr="007831BB">
        <w:rPr>
          <w:lang w:val="en-GB"/>
        </w:rPr>
        <w:t xml:space="preserve"> are understood to be persons from indigenous peoples and local communities who have knowledge about indigenous and local knowledge and associated issues (they may also be indigenous and local knowledge holders); and </w:t>
      </w:r>
      <w:r w:rsidRPr="007831BB">
        <w:rPr>
          <w:i/>
          <w:lang w:val="en-GB"/>
        </w:rPr>
        <w:t>experts on</w:t>
      </w:r>
      <w:r w:rsidRPr="007831BB">
        <w:rPr>
          <w:lang w:val="en-GB"/>
        </w:rPr>
        <w:t xml:space="preserve"> </w:t>
      </w:r>
      <w:r w:rsidRPr="007831BB">
        <w:rPr>
          <w:i/>
          <w:lang w:val="en-GB"/>
        </w:rPr>
        <w:t>indigenous and local knowledge</w:t>
      </w:r>
      <w:r w:rsidRPr="007831BB">
        <w:rPr>
          <w:lang w:val="en-GB"/>
        </w:rPr>
        <w:t xml:space="preserve"> are understood to be persons who have knowledge about indigenous and local knowledge and associated issues, not necessarily from indigenous peoples and local communities.</w:t>
      </w:r>
      <w:r w:rsidRPr="007831BB">
        <w:rPr>
          <w:rStyle w:val="FootnoteReference"/>
          <w:lang w:val="en-GB"/>
        </w:rPr>
        <w:footnoteReference w:id="26"/>
      </w:r>
    </w:p>
    <w:p w14:paraId="7D3B63B3" w14:textId="77777777" w:rsidR="00E7045B" w:rsidRPr="007831BB" w:rsidRDefault="00E7045B" w:rsidP="004F5524">
      <w:pPr>
        <w:pStyle w:val="Normalnumber"/>
        <w:numPr>
          <w:ilvl w:val="0"/>
          <w:numId w:val="297"/>
        </w:numPr>
        <w:rPr>
          <w:lang w:val="en-GB"/>
        </w:rPr>
      </w:pPr>
      <w:r w:rsidRPr="007831BB">
        <w:rPr>
          <w:lang w:val="en-GB"/>
        </w:rPr>
        <w:t xml:space="preserve">Engaging indigenous and local knowledge in a dialogue with other knowledge systems can bring important new perspectives to IPBES. This dialogue will need to respect the following </w:t>
      </w:r>
      <w:r w:rsidRPr="007831BB">
        <w:rPr>
          <w:b/>
          <w:lang w:val="en-GB"/>
        </w:rPr>
        <w:t>best practices</w:t>
      </w:r>
      <w:r w:rsidRPr="007831BB">
        <w:rPr>
          <w:lang w:val="en-GB"/>
        </w:rPr>
        <w:t xml:space="preserve">: </w:t>
      </w:r>
    </w:p>
    <w:p w14:paraId="6A6CD145" w14:textId="77777777" w:rsidR="00E7045B" w:rsidRPr="007831BB" w:rsidRDefault="00E7045B" w:rsidP="00E7045B">
      <w:pPr>
        <w:pStyle w:val="Normalnumber"/>
        <w:numPr>
          <w:ilvl w:val="1"/>
          <w:numId w:val="28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An effective dialogue will require the building of mutual trust and confidence between indigenous and local knowledge holders and natural and social scientists through cultural respect and sensitivity;</w:t>
      </w:r>
    </w:p>
    <w:p w14:paraId="6BA53F05" w14:textId="77777777" w:rsidR="00E7045B" w:rsidRPr="007831BB"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n-GB"/>
        </w:rPr>
      </w:pPr>
      <w:r w:rsidRPr="007831BB">
        <w:rPr>
          <w:lang w:val="en-GB"/>
        </w:rPr>
        <w:t>The approach will need to provide opportunities for dialogue with indigenous peoples and local communities</w:t>
      </w:r>
      <w:r w:rsidRPr="007831BB" w:rsidDel="004E784A">
        <w:rPr>
          <w:lang w:val="en-GB"/>
        </w:rPr>
        <w:t xml:space="preserve"> </w:t>
      </w:r>
      <w:r w:rsidRPr="007831BB">
        <w:rPr>
          <w:lang w:val="en-GB"/>
        </w:rPr>
        <w:t>focusing on topics relevant to IPBES, through the development of initiatives by and/or in collaboration with IPBES members and existing networks of indigenous peoples and local communities and of experts on indigenous and local knowledge;</w:t>
      </w:r>
    </w:p>
    <w:p w14:paraId="3D6FA5CB" w14:textId="6A31E9E8" w:rsidR="00E7045B" w:rsidRPr="007831BB"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n-GB"/>
        </w:rPr>
      </w:pPr>
      <w:r w:rsidRPr="007831BB">
        <w:rPr>
          <w:lang w:val="en-GB"/>
        </w:rPr>
        <w:t xml:space="preserve">The approach should acknowledge the time needed for decision-making by customary and traditional institutions through dialogues at </w:t>
      </w:r>
      <w:r w:rsidR="005D09F8">
        <w:rPr>
          <w:lang w:val="en-GB"/>
        </w:rPr>
        <w:t>various</w:t>
      </w:r>
      <w:r w:rsidR="005D09F8" w:rsidRPr="007831BB">
        <w:rPr>
          <w:lang w:val="en-GB"/>
        </w:rPr>
        <w:t xml:space="preserve"> </w:t>
      </w:r>
      <w:r w:rsidRPr="007831BB">
        <w:rPr>
          <w:lang w:val="en-GB"/>
        </w:rPr>
        <w:t>levels (for example, extended family groups, women, elders and youth and indigenous peoples who may hold different rights with respect to knowledge) with relevant institutions in order to identify common goals in the development of IPBES deliverables;</w:t>
      </w:r>
    </w:p>
    <w:p w14:paraId="7F3823B3" w14:textId="77777777" w:rsidR="00E7045B" w:rsidRPr="007831BB"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n-GB"/>
        </w:rPr>
      </w:pPr>
      <w:r w:rsidRPr="007831BB">
        <w:rPr>
          <w:lang w:val="en-GB"/>
        </w:rPr>
        <w:t>The approach should work in culturally appropriate environments, respecting diverse and interactive styles of engagement, using effective tools and strategies to allow effective dialogue across diverse knowledge systems;</w:t>
      </w:r>
    </w:p>
    <w:p w14:paraId="27BE8AC2" w14:textId="3B7102C5" w:rsidR="00E7045B" w:rsidRPr="007831BB"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n-GB"/>
        </w:rPr>
      </w:pPr>
      <w:r w:rsidRPr="007831BB">
        <w:rPr>
          <w:lang w:val="en-GB"/>
        </w:rPr>
        <w:t xml:space="preserve">The approach should promote a participatory and empowering dialogue based on </w:t>
      </w:r>
      <w:r w:rsidRPr="007831BB">
        <w:rPr>
          <w:lang w:val="en-GB"/>
        </w:rPr>
        <w:br/>
        <w:t xml:space="preserve">non-discrimination, inclusiveness and </w:t>
      </w:r>
      <w:r w:rsidR="00484762">
        <w:rPr>
          <w:lang w:val="en-GB"/>
        </w:rPr>
        <w:t xml:space="preserve">the </w:t>
      </w:r>
      <w:r w:rsidRPr="007831BB">
        <w:rPr>
          <w:lang w:val="en-GB"/>
        </w:rPr>
        <w:t xml:space="preserve">recognition of social, cultural, economic and political plurality in the world; </w:t>
      </w:r>
    </w:p>
    <w:p w14:paraId="53DDEA33" w14:textId="77777777" w:rsidR="00E7045B" w:rsidRPr="007831BB"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n-GB"/>
        </w:rPr>
      </w:pPr>
      <w:r w:rsidRPr="007831BB">
        <w:rPr>
          <w:lang w:val="en-GB"/>
        </w:rPr>
        <w:t xml:space="preserve">The approach should recognize, strengthen and promote the conservation of the </w:t>
      </w:r>
      <w:r w:rsidRPr="007831BB">
        <w:rPr>
          <w:i/>
          <w:lang w:val="en-GB"/>
        </w:rPr>
        <w:t>in situ</w:t>
      </w:r>
      <w:r w:rsidRPr="007831BB">
        <w:rPr>
          <w:lang w:val="en-GB"/>
        </w:rPr>
        <w:t xml:space="preserve"> knowledge systems of indigenous peoples and local communities where knowledge is gathered, used, applied, renewed, enhanced, tested, validated, transmitted, shared and governed,</w:t>
      </w:r>
      <w:r w:rsidRPr="007831BB">
        <w:rPr>
          <w:b/>
          <w:lang w:val="en-GB"/>
        </w:rPr>
        <w:t xml:space="preserve"> </w:t>
      </w:r>
      <w:r w:rsidRPr="007831BB">
        <w:rPr>
          <w:lang w:val="en-GB"/>
        </w:rPr>
        <w:t>as well as the dialogue between knowledge systems as an iterative two-way process. It should deliver policy-relevant knowledge and policy options to indigenous peoples and local communities</w:t>
      </w:r>
      <w:r w:rsidRPr="007831BB" w:rsidDel="004E784A">
        <w:rPr>
          <w:lang w:val="en-GB"/>
        </w:rPr>
        <w:t xml:space="preserve"> </w:t>
      </w:r>
      <w:r w:rsidRPr="007831BB">
        <w:rPr>
          <w:lang w:val="en-GB"/>
        </w:rPr>
        <w:t>in meaningful and useful forms.</w:t>
      </w:r>
    </w:p>
    <w:p w14:paraId="036E8970" w14:textId="77777777" w:rsidR="00E7045B" w:rsidRPr="007831BB" w:rsidRDefault="00E7045B" w:rsidP="004F5524">
      <w:pPr>
        <w:pStyle w:val="Normalnumber"/>
        <w:numPr>
          <w:ilvl w:val="0"/>
          <w:numId w:val="297"/>
        </w:numPr>
        <w:rPr>
          <w:lang w:val="en-GB"/>
        </w:rPr>
      </w:pPr>
      <w:r w:rsidRPr="007831BB">
        <w:rPr>
          <w:lang w:val="en-GB"/>
        </w:rPr>
        <w:t xml:space="preserve">The approach seeks to address a broad range of </w:t>
      </w:r>
      <w:r w:rsidRPr="007831BB">
        <w:rPr>
          <w:b/>
          <w:lang w:val="en-GB"/>
        </w:rPr>
        <w:t>general challenges</w:t>
      </w:r>
      <w:r w:rsidRPr="007831BB">
        <w:rPr>
          <w:lang w:val="en-GB"/>
        </w:rPr>
        <w:t>, including the following:</w:t>
      </w:r>
    </w:p>
    <w:p w14:paraId="429B382C" w14:textId="17E74A9E" w:rsidR="00E7045B" w:rsidRPr="007831BB" w:rsidRDefault="00E7045B" w:rsidP="00E7045B">
      <w:pPr>
        <w:pStyle w:val="Normalnumber"/>
        <w:numPr>
          <w:ilvl w:val="1"/>
          <w:numId w:val="288"/>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Scale.</w:t>
      </w:r>
      <w:r w:rsidRPr="007831BB">
        <w:rPr>
          <w:lang w:val="en-GB"/>
        </w:rPr>
        <w:t xml:space="preserve"> Scale matters in the definition, collation, compilation and aggregation of knowledge both horizontally (e.g., across local communities) and vertically (scaling knowledge up and down). While most indigenous and local knowledge is inherently local and contextual, IPBES operates at the regional and global levels and critically evaluates policy-relevant knowledge. Mobilizing relevant indigenous and local knowledge, and ensuring validation through the indigenous and local knowledge system from which it comes, while avoiding </w:t>
      </w:r>
      <w:r w:rsidR="00443F0D">
        <w:rPr>
          <w:lang w:val="en-GB"/>
        </w:rPr>
        <w:t xml:space="preserve">the </w:t>
      </w:r>
      <w:r w:rsidRPr="007831BB">
        <w:rPr>
          <w:lang w:val="en-GB"/>
        </w:rPr>
        <w:t xml:space="preserve">loss of legitimacy, represents a major challenge. Related challenges include representation and participation (addressed in </w:t>
      </w:r>
      <w:r w:rsidR="00F8460F">
        <w:rPr>
          <w:lang w:val="en-GB"/>
        </w:rPr>
        <w:t>subparagraph</w:t>
      </w:r>
      <w:r w:rsidR="00F8460F" w:rsidRPr="007831BB">
        <w:rPr>
          <w:lang w:val="en-GB"/>
        </w:rPr>
        <w:t xml:space="preserve"> </w:t>
      </w:r>
      <w:r w:rsidRPr="007831BB">
        <w:rPr>
          <w:lang w:val="en-GB"/>
        </w:rPr>
        <w:t>(b) below) and analytical challenges, as the type and level of complementarity across knowledge systems will vary according to the context, the issue addressed and the desired outcomes;</w:t>
      </w:r>
    </w:p>
    <w:p w14:paraId="57C6C973" w14:textId="1F264101" w:rsidR="00E7045B" w:rsidRPr="007831BB" w:rsidRDefault="00E7045B" w:rsidP="00E7045B">
      <w:pPr>
        <w:pStyle w:val="Normalnumber"/>
        <w:numPr>
          <w:ilvl w:val="1"/>
          <w:numId w:val="288"/>
        </w:numPr>
        <w:tabs>
          <w:tab w:val="clear" w:pos="1247"/>
          <w:tab w:val="clear" w:pos="1814"/>
          <w:tab w:val="clear" w:pos="2381"/>
          <w:tab w:val="clear" w:pos="2948"/>
          <w:tab w:val="clear" w:pos="3515"/>
          <w:tab w:val="clear" w:pos="4082"/>
        </w:tabs>
        <w:ind w:firstLine="624"/>
        <w:rPr>
          <w:lang w:val="en-GB"/>
        </w:rPr>
      </w:pPr>
      <w:r w:rsidRPr="007831BB">
        <w:rPr>
          <w:i/>
          <w:lang w:val="en-GB"/>
        </w:rPr>
        <w:t>Participation and representation.</w:t>
      </w:r>
      <w:r w:rsidRPr="007831BB">
        <w:rPr>
          <w:lang w:val="en-GB"/>
        </w:rPr>
        <w:t xml:space="preserve"> Meaningful participation and engagement of indigenous peoples and local communities play an important role in working with indigenous and local knowledge. The challenge is to find ways and means that allow for meaningful participation and adequate representation, including regional and gender balance, within the existing mandate, rules and procedures and available resources of IPBES; </w:t>
      </w:r>
    </w:p>
    <w:p w14:paraId="002B15FA" w14:textId="19988048" w:rsidR="00E7045B" w:rsidRPr="007831BB" w:rsidRDefault="00E7045B" w:rsidP="00E7045B">
      <w:pPr>
        <w:pStyle w:val="Normalnumber"/>
        <w:keepNext/>
        <w:keepLines/>
        <w:numPr>
          <w:ilvl w:val="1"/>
          <w:numId w:val="288"/>
        </w:numPr>
        <w:tabs>
          <w:tab w:val="clear" w:pos="1247"/>
          <w:tab w:val="clear" w:pos="1814"/>
          <w:tab w:val="clear" w:pos="2381"/>
          <w:tab w:val="clear" w:pos="2948"/>
          <w:tab w:val="clear" w:pos="3515"/>
          <w:tab w:val="clear" w:pos="4082"/>
        </w:tabs>
        <w:ind w:firstLine="624"/>
        <w:rPr>
          <w:lang w:val="en-GB"/>
        </w:rPr>
      </w:pPr>
      <w:r w:rsidRPr="007831BB">
        <w:rPr>
          <w:i/>
          <w:lang w:val="en-GB"/>
        </w:rPr>
        <w:t>Formats.</w:t>
      </w:r>
      <w:r w:rsidRPr="007831BB">
        <w:rPr>
          <w:lang w:val="en-GB"/>
        </w:rPr>
        <w:t xml:space="preserve"> Indigenous and local knowledge exists in many languages, often in written formats other than peer-reviewed literature, such as grey literature, or in other forms, such as ritual, ceremonial, oral, dance, song and visual manifestations, including symbols, documentaries and artwork. Sometimes knowledge holders have not recorded their knowledge in any form, or </w:t>
      </w:r>
      <w:r w:rsidR="0025523C">
        <w:rPr>
          <w:lang w:val="en-GB"/>
        </w:rPr>
        <w:t>their knowledge</w:t>
      </w:r>
      <w:r w:rsidR="0025523C" w:rsidRPr="007831BB">
        <w:rPr>
          <w:lang w:val="en-GB"/>
        </w:rPr>
        <w:t xml:space="preserve"> </w:t>
      </w:r>
      <w:r w:rsidRPr="007831BB">
        <w:rPr>
          <w:lang w:val="en-GB"/>
        </w:rPr>
        <w:t>has been transmitted in a non-tangible form. The variety of formats and the difficulty of accessing them pose a major challenge;</w:t>
      </w:r>
    </w:p>
    <w:p w14:paraId="0FF6B917" w14:textId="0A7E177C" w:rsidR="00E7045B" w:rsidRPr="007831BB" w:rsidRDefault="00E7045B" w:rsidP="00E7045B">
      <w:pPr>
        <w:pStyle w:val="Normalnumber"/>
        <w:numPr>
          <w:ilvl w:val="1"/>
          <w:numId w:val="288"/>
        </w:numPr>
        <w:tabs>
          <w:tab w:val="clear" w:pos="1247"/>
          <w:tab w:val="clear" w:pos="1814"/>
          <w:tab w:val="clear" w:pos="2381"/>
          <w:tab w:val="clear" w:pos="2948"/>
          <w:tab w:val="clear" w:pos="3515"/>
          <w:tab w:val="clear" w:pos="4082"/>
        </w:tabs>
        <w:ind w:firstLine="624"/>
        <w:rPr>
          <w:lang w:val="en-GB"/>
        </w:rPr>
      </w:pPr>
      <w:r w:rsidRPr="007831BB">
        <w:rPr>
          <w:i/>
          <w:lang w:val="en-GB"/>
        </w:rPr>
        <w:t>Methods and tools.</w:t>
      </w:r>
      <w:r w:rsidRPr="007831BB">
        <w:rPr>
          <w:lang w:val="en-GB"/>
        </w:rPr>
        <w:t xml:space="preserve"> Many of the methods and specific tools needed for this work, such as guidance and methods for addressing the variety of available indigenous and local knowledge formats, do not yet exist and may need to be developed by IPBES, to the extent that doing so falls within its mandate and within available resources, or by appropriate partners, taking into account all of the above</w:t>
      </w:r>
      <w:r w:rsidR="00632A54">
        <w:rPr>
          <w:lang w:val="en-GB"/>
        </w:rPr>
        <w:t>.</w:t>
      </w:r>
    </w:p>
    <w:p w14:paraId="072773B6" w14:textId="77777777" w:rsidR="00E7045B" w:rsidRPr="007831BB" w:rsidRDefault="00E7045B" w:rsidP="004F5524">
      <w:pPr>
        <w:pStyle w:val="Normalnumber"/>
        <w:numPr>
          <w:ilvl w:val="0"/>
          <w:numId w:val="297"/>
        </w:numPr>
        <w:rPr>
          <w:lang w:val="en-GB"/>
        </w:rPr>
      </w:pPr>
      <w:r w:rsidRPr="007831BB">
        <w:rPr>
          <w:lang w:val="en-GB"/>
        </w:rPr>
        <w:t>This approach, which is breaking new ground, should be understood as a first step in an iterative process in which indigenous peoples and local communities are key partners. The approach should be evaluated as part of the review of the Platform.</w:t>
      </w:r>
    </w:p>
    <w:p w14:paraId="0F8ED27C" w14:textId="77777777" w:rsidR="00E7045B" w:rsidRPr="007831BB" w:rsidRDefault="00E7045B" w:rsidP="00E7045B">
      <w:pPr>
        <w:pStyle w:val="CH1"/>
        <w:rPr>
          <w:lang w:val="en-GB"/>
        </w:rPr>
      </w:pPr>
      <w:r w:rsidRPr="007831BB">
        <w:rPr>
          <w:lang w:val="en-GB"/>
        </w:rPr>
        <w:tab/>
        <w:t>II.</w:t>
      </w:r>
      <w:r w:rsidRPr="007831BB">
        <w:rPr>
          <w:lang w:val="en-GB"/>
        </w:rPr>
        <w:tab/>
        <w:t>Overall approach to recognizing and working with indigenous and local knowledge</w:t>
      </w:r>
    </w:p>
    <w:p w14:paraId="752DA203" w14:textId="77777777" w:rsidR="00E7045B" w:rsidRPr="007831BB" w:rsidRDefault="00E7045B" w:rsidP="004F5524">
      <w:pPr>
        <w:pStyle w:val="Normalnumber"/>
        <w:numPr>
          <w:ilvl w:val="0"/>
          <w:numId w:val="297"/>
        </w:numPr>
        <w:rPr>
          <w:lang w:val="en-GB"/>
        </w:rPr>
      </w:pPr>
      <w:r w:rsidRPr="007831BB">
        <w:rPr>
          <w:lang w:val="en-GB"/>
        </w:rPr>
        <w:t xml:space="preserve">The approach described in the present section, which applies across the four functions of IPBES, sets out activities for each of the four functions. </w:t>
      </w:r>
    </w:p>
    <w:p w14:paraId="72AD3D9C" w14:textId="322EE6B4" w:rsidR="00E7045B" w:rsidRPr="007831BB" w:rsidRDefault="00E7045B" w:rsidP="00160BD4">
      <w:pPr>
        <w:pStyle w:val="Normalnumber"/>
        <w:numPr>
          <w:ilvl w:val="0"/>
          <w:numId w:val="297"/>
        </w:numPr>
        <w:rPr>
          <w:lang w:val="en-GB"/>
        </w:rPr>
      </w:pPr>
      <w:r w:rsidRPr="007831BB">
        <w:rPr>
          <w:lang w:val="en-GB"/>
        </w:rPr>
        <w:t xml:space="preserve">Within the approach, free prior informed consent will be sought, as appropriate, for accessing indigenous and local knowledge, and the activities should not occur where they would prejudice the internationally recognized rights of indigenous peoples and interests of local communities as affirmed in paragraph </w:t>
      </w:r>
      <w:r w:rsidR="00395D59">
        <w:rPr>
          <w:lang w:val="en-GB"/>
        </w:rPr>
        <w:t>2</w:t>
      </w:r>
      <w:r w:rsidRPr="007831BB">
        <w:rPr>
          <w:lang w:val="en-GB"/>
        </w:rPr>
        <w:t>. Best practices and ethical guidelines, as appropriate, should be consulted to make decisions regarding the use of indigenous and local knowledge.</w:t>
      </w:r>
    </w:p>
    <w:p w14:paraId="7B218AEB" w14:textId="77777777" w:rsidR="00E7045B" w:rsidRPr="007831BB" w:rsidRDefault="00E7045B" w:rsidP="00E7045B">
      <w:pPr>
        <w:pStyle w:val="CH2"/>
        <w:rPr>
          <w:lang w:val="en-GB"/>
        </w:rPr>
      </w:pPr>
      <w:r w:rsidRPr="007831BB">
        <w:rPr>
          <w:lang w:val="en-GB"/>
        </w:rPr>
        <w:tab/>
        <w:t>A.</w:t>
      </w:r>
      <w:r w:rsidRPr="007831BB">
        <w:rPr>
          <w:lang w:val="en-GB"/>
        </w:rPr>
        <w:tab/>
        <w:t>Assessments</w:t>
      </w:r>
    </w:p>
    <w:p w14:paraId="50DB664F" w14:textId="77777777" w:rsidR="00E7045B" w:rsidRPr="007831BB" w:rsidRDefault="00E7045B" w:rsidP="004F5524">
      <w:pPr>
        <w:pStyle w:val="Normalnumber"/>
        <w:numPr>
          <w:ilvl w:val="0"/>
          <w:numId w:val="297"/>
        </w:numPr>
        <w:rPr>
          <w:lang w:val="en-GB"/>
        </w:rPr>
      </w:pPr>
      <w:r w:rsidRPr="007831BB">
        <w:rPr>
          <w:lang w:val="en-GB"/>
        </w:rPr>
        <w:t>Assessing available knowledge forms the backbone of this approach. It includes four phases:</w:t>
      </w:r>
    </w:p>
    <w:p w14:paraId="0BF0D82B" w14:textId="02AB042B" w:rsidR="00E7045B" w:rsidRPr="007831BB" w:rsidRDefault="00E7045B" w:rsidP="004F5524">
      <w:pPr>
        <w:pStyle w:val="Normalnumber"/>
        <w:numPr>
          <w:ilvl w:val="0"/>
          <w:numId w:val="297"/>
        </w:numPr>
        <w:rPr>
          <w:lang w:val="en-GB"/>
        </w:rPr>
      </w:pPr>
      <w:r w:rsidRPr="007831BB">
        <w:rPr>
          <w:lang w:val="en-GB"/>
        </w:rPr>
        <w:t xml:space="preserve">The </w:t>
      </w:r>
      <w:r w:rsidRPr="007831BB">
        <w:rPr>
          <w:b/>
          <w:lang w:val="en-GB"/>
        </w:rPr>
        <w:t>first phase</w:t>
      </w:r>
      <w:r w:rsidRPr="007831BB">
        <w:rPr>
          <w:lang w:val="en-GB"/>
        </w:rPr>
        <w:t xml:space="preserve">, the collaborative definition of problems and goals, is to be realized during the scoping of an assessment and should result in the development of key questions specific to the assessment. In general, it is suggested that the following broad groups of questions may be considered </w:t>
      </w:r>
      <w:r w:rsidRPr="00AD51BD">
        <w:rPr>
          <w:lang w:val="en-GB"/>
        </w:rPr>
        <w:t>and ad</w:t>
      </w:r>
      <w:r w:rsidR="001A4A54" w:rsidRPr="00AD51BD">
        <w:rPr>
          <w:lang w:val="en-GB"/>
        </w:rPr>
        <w:t>a</w:t>
      </w:r>
      <w:r w:rsidRPr="00AD51BD">
        <w:rPr>
          <w:lang w:val="en-GB"/>
        </w:rPr>
        <w:t>pted as necessary</w:t>
      </w:r>
      <w:r w:rsidRPr="007831BB">
        <w:rPr>
          <w:lang w:val="en-GB"/>
        </w:rPr>
        <w:t xml:space="preserve"> to the specific subject of the assessment: </w:t>
      </w:r>
    </w:p>
    <w:p w14:paraId="31A19994" w14:textId="3EDF3F88" w:rsidR="00E7045B" w:rsidRPr="007831BB" w:rsidRDefault="00E7045B" w:rsidP="00E7045B">
      <w:pPr>
        <w:pStyle w:val="Normalnumber"/>
        <w:numPr>
          <w:ilvl w:val="1"/>
          <w:numId w:val="28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What are the contributions of indigenous peoples and local communities in terms of their knowledge, practices and world views to the management and conservation of nature, </w:t>
      </w:r>
      <w:r w:rsidR="009754F0">
        <w:rPr>
          <w:lang w:val="en-GB"/>
        </w:rPr>
        <w:t xml:space="preserve">the </w:t>
      </w:r>
      <w:r w:rsidRPr="007831BB">
        <w:rPr>
          <w:lang w:val="en-GB"/>
        </w:rPr>
        <w:t>delivery of nature’s contributions to people and ensuring a good quality of life at the regional and global scales?</w:t>
      </w:r>
    </w:p>
    <w:p w14:paraId="1F8D7FD6" w14:textId="77777777" w:rsidR="00E7045B" w:rsidRPr="007831BB" w:rsidRDefault="00E7045B" w:rsidP="00E7045B">
      <w:pPr>
        <w:pStyle w:val="Normalnumber"/>
        <w:numPr>
          <w:ilvl w:val="1"/>
          <w:numId w:val="289"/>
        </w:numPr>
        <w:tabs>
          <w:tab w:val="clear" w:pos="1247"/>
          <w:tab w:val="clear" w:pos="1814"/>
          <w:tab w:val="clear" w:pos="2381"/>
          <w:tab w:val="clear" w:pos="2948"/>
          <w:tab w:val="clear" w:pos="3515"/>
          <w:tab w:val="clear" w:pos="4082"/>
        </w:tabs>
        <w:ind w:firstLine="624"/>
        <w:rPr>
          <w:lang w:val="en-GB"/>
        </w:rPr>
      </w:pPr>
      <w:r w:rsidRPr="007831BB">
        <w:rPr>
          <w:lang w:val="en-GB"/>
        </w:rPr>
        <w:t>What are the most important pressures and factors undermining these contributions, as well as affecting the quality of life of present and future generations of indigenous peoples and local communities?</w:t>
      </w:r>
    </w:p>
    <w:p w14:paraId="126DE9A5" w14:textId="7C742266" w:rsidR="00E7045B" w:rsidRPr="007831BB" w:rsidRDefault="00E7045B" w:rsidP="00E7045B">
      <w:pPr>
        <w:pStyle w:val="Normalnumber"/>
        <w:numPr>
          <w:ilvl w:val="1"/>
          <w:numId w:val="289"/>
        </w:numPr>
        <w:tabs>
          <w:tab w:val="clear" w:pos="1247"/>
          <w:tab w:val="clear" w:pos="1814"/>
          <w:tab w:val="clear" w:pos="2381"/>
          <w:tab w:val="clear" w:pos="2948"/>
          <w:tab w:val="clear" w:pos="3515"/>
          <w:tab w:val="clear" w:pos="4082"/>
        </w:tabs>
        <w:ind w:firstLine="624"/>
        <w:rPr>
          <w:lang w:val="en-GB"/>
        </w:rPr>
      </w:pPr>
      <w:r w:rsidRPr="007831BB">
        <w:rPr>
          <w:lang w:val="en-GB"/>
        </w:rPr>
        <w:t xml:space="preserve">What policy responses, measures and processes exist </w:t>
      </w:r>
      <w:r w:rsidR="009F380E">
        <w:rPr>
          <w:lang w:val="en-GB"/>
        </w:rPr>
        <w:t>for</w:t>
      </w:r>
      <w:r w:rsidR="009F380E" w:rsidRPr="007831BB">
        <w:rPr>
          <w:lang w:val="en-GB"/>
        </w:rPr>
        <w:t xml:space="preserve"> </w:t>
      </w:r>
      <w:r w:rsidRPr="007831BB">
        <w:rPr>
          <w:lang w:val="en-GB"/>
        </w:rPr>
        <w:t>strengthen</w:t>
      </w:r>
      <w:r w:rsidR="009F380E">
        <w:rPr>
          <w:lang w:val="en-GB"/>
        </w:rPr>
        <w:t>ing</w:t>
      </w:r>
      <w:r w:rsidRPr="007831BB">
        <w:rPr>
          <w:lang w:val="en-GB"/>
        </w:rPr>
        <w:t xml:space="preserve"> and improv</w:t>
      </w:r>
      <w:r w:rsidR="009F380E">
        <w:rPr>
          <w:lang w:val="en-GB"/>
        </w:rPr>
        <w:t>ing</w:t>
      </w:r>
      <w:r w:rsidRPr="007831BB">
        <w:rPr>
          <w:lang w:val="en-GB"/>
        </w:rPr>
        <w:t xml:space="preserve"> the governance of nature and nature’s </w:t>
      </w:r>
      <w:r w:rsidR="00C6716F">
        <w:rPr>
          <w:lang w:val="en-GB"/>
        </w:rPr>
        <w:t>contributions</w:t>
      </w:r>
      <w:r w:rsidR="00C6716F" w:rsidRPr="007831BB">
        <w:rPr>
          <w:lang w:val="en-GB"/>
        </w:rPr>
        <w:t xml:space="preserve"> </w:t>
      </w:r>
      <w:r w:rsidRPr="007831BB">
        <w:rPr>
          <w:lang w:val="en-GB"/>
        </w:rPr>
        <w:t>to people with regard to indigenous peoples and local communities and their knowledge and practices?</w:t>
      </w:r>
    </w:p>
    <w:p w14:paraId="1DA91B90" w14:textId="0E58B086" w:rsidR="00E7045B" w:rsidRPr="007831BB" w:rsidRDefault="00E7045B" w:rsidP="004F5524">
      <w:pPr>
        <w:pStyle w:val="Normalnumber"/>
        <w:numPr>
          <w:ilvl w:val="0"/>
          <w:numId w:val="297"/>
        </w:numPr>
        <w:rPr>
          <w:lang w:val="en-GB"/>
        </w:rPr>
      </w:pPr>
      <w:r w:rsidRPr="007831BB">
        <w:rPr>
          <w:lang w:val="en-GB"/>
        </w:rPr>
        <w:t xml:space="preserve">The </w:t>
      </w:r>
      <w:r w:rsidRPr="007831BB">
        <w:rPr>
          <w:b/>
          <w:lang w:val="en-GB"/>
        </w:rPr>
        <w:t>second phase,</w:t>
      </w:r>
      <w:r w:rsidRPr="007831BB">
        <w:rPr>
          <w:lang w:val="en-GB"/>
        </w:rPr>
        <w:t xml:space="preserve"> occurring once the undertaking of an assessment has been approved, is about synthesizing, and incorporating into the assessment, a wide array of evidence and data from multiple sources of indigenous and local knowledge related to the assessment itself, including, as appropriate:</w:t>
      </w:r>
    </w:p>
    <w:p w14:paraId="7B9314C3" w14:textId="7B78B5C1" w:rsidR="00E7045B" w:rsidRPr="007831BB" w:rsidRDefault="00E7045B" w:rsidP="00E7045B">
      <w:pPr>
        <w:pStyle w:val="Normalnumber"/>
        <w:numPr>
          <w:ilvl w:val="1"/>
          <w:numId w:val="290"/>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Literature reviews, synthesis reports, geospatial data and sources of indigenous and local knowledge documented in accessible written form;</w:t>
      </w:r>
    </w:p>
    <w:p w14:paraId="5490788C" w14:textId="77777777" w:rsidR="00E7045B" w:rsidRPr="007831BB"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n-GB"/>
        </w:rPr>
      </w:pPr>
      <w:r w:rsidRPr="007831BB">
        <w:rPr>
          <w:lang w:val="en-GB"/>
        </w:rPr>
        <w:t xml:space="preserve">Recorded, </w:t>
      </w:r>
      <w:proofErr w:type="spellStart"/>
      <w:r w:rsidRPr="007831BB">
        <w:rPr>
          <w:lang w:val="en-GB"/>
        </w:rPr>
        <w:t>referenceable</w:t>
      </w:r>
      <w:proofErr w:type="spellEnd"/>
      <w:r w:rsidRPr="007831BB">
        <w:rPr>
          <w:lang w:val="en-GB"/>
        </w:rPr>
        <w:t xml:space="preserve"> and accessible indigenous and local knowledge manifested in forms such as ritual, ceremonial, oral, dance, song and visual manifestations, including symbols, documentaries and artwork;</w:t>
      </w:r>
    </w:p>
    <w:p w14:paraId="456D6881" w14:textId="77777777" w:rsidR="00E7045B" w:rsidRPr="007831BB"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n-GB"/>
        </w:rPr>
      </w:pPr>
      <w:r w:rsidRPr="007831BB">
        <w:rPr>
          <w:lang w:val="en-GB"/>
        </w:rPr>
        <w:t>Compilations of literature, data and cases from other IPBES assessments and related reports;</w:t>
      </w:r>
    </w:p>
    <w:p w14:paraId="114EE7F2" w14:textId="77777777" w:rsidR="00E7045B" w:rsidRPr="007831BB"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n-GB"/>
        </w:rPr>
      </w:pPr>
      <w:r w:rsidRPr="007831BB">
        <w:rPr>
          <w:lang w:val="en-GB"/>
        </w:rPr>
        <w:t xml:space="preserve">Reports, including meta-analysis and data from international research centres and institutions and relevant regional centres; </w:t>
      </w:r>
    </w:p>
    <w:p w14:paraId="1B24E28B" w14:textId="77777777" w:rsidR="00E7045B" w:rsidRPr="007831BB"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n-GB"/>
        </w:rPr>
      </w:pPr>
      <w:r w:rsidRPr="007831BB">
        <w:rPr>
          <w:lang w:val="en-GB"/>
        </w:rPr>
        <w:t>Spatially explicit data and geospatial data sources.</w:t>
      </w:r>
    </w:p>
    <w:p w14:paraId="7113A7BD" w14:textId="77777777" w:rsidR="00E7045B" w:rsidRPr="007831BB" w:rsidRDefault="00E7045B" w:rsidP="004F5524">
      <w:pPr>
        <w:pStyle w:val="Normalnumber"/>
        <w:numPr>
          <w:ilvl w:val="0"/>
          <w:numId w:val="297"/>
        </w:numPr>
        <w:rPr>
          <w:lang w:val="en-GB"/>
        </w:rPr>
      </w:pPr>
      <w:r w:rsidRPr="007831BB">
        <w:rPr>
          <w:lang w:val="en-GB"/>
        </w:rPr>
        <w:t xml:space="preserve">The </w:t>
      </w:r>
      <w:r w:rsidRPr="007831BB">
        <w:rPr>
          <w:b/>
          <w:lang w:val="en-GB"/>
        </w:rPr>
        <w:t>third phase</w:t>
      </w:r>
      <w:r w:rsidRPr="007831BB">
        <w:rPr>
          <w:lang w:val="en-GB"/>
        </w:rPr>
        <w:t xml:space="preserve"> focuses on appropriately engaging indigenous peoples and local communities in the review of the various drafts of a specific assessment.</w:t>
      </w:r>
    </w:p>
    <w:p w14:paraId="1A16F52C" w14:textId="77777777" w:rsidR="00E7045B" w:rsidRPr="007831BB" w:rsidRDefault="00E7045B" w:rsidP="004F5524">
      <w:pPr>
        <w:pStyle w:val="Normalnumber"/>
        <w:numPr>
          <w:ilvl w:val="0"/>
          <w:numId w:val="297"/>
        </w:numPr>
        <w:rPr>
          <w:lang w:val="en-GB"/>
        </w:rPr>
      </w:pPr>
      <w:r w:rsidRPr="007831BB">
        <w:rPr>
          <w:lang w:val="en-GB"/>
        </w:rPr>
        <w:t xml:space="preserve">The </w:t>
      </w:r>
      <w:r w:rsidRPr="007831BB">
        <w:rPr>
          <w:b/>
          <w:lang w:val="en-GB"/>
        </w:rPr>
        <w:t>fourth phase</w:t>
      </w:r>
      <w:r w:rsidRPr="007831BB">
        <w:rPr>
          <w:lang w:val="en-GB"/>
        </w:rPr>
        <w:t xml:space="preserve"> aims at sharing knowledge and insights gained through an assessment with indigenous peoples and local communities once the assessment is concluded. </w:t>
      </w:r>
    </w:p>
    <w:p w14:paraId="7DC86808" w14:textId="77777777" w:rsidR="00E7045B" w:rsidRPr="007831BB" w:rsidRDefault="00E7045B" w:rsidP="004F5524">
      <w:pPr>
        <w:pStyle w:val="Normalnumber"/>
        <w:numPr>
          <w:ilvl w:val="0"/>
          <w:numId w:val="297"/>
        </w:numPr>
        <w:rPr>
          <w:lang w:val="en-GB"/>
        </w:rPr>
      </w:pPr>
      <w:r w:rsidRPr="007831BB">
        <w:rPr>
          <w:lang w:val="en-GB"/>
        </w:rPr>
        <w:t xml:space="preserve">Important procedural components and activities of these </w:t>
      </w:r>
      <w:r w:rsidRPr="007831BB">
        <w:rPr>
          <w:b/>
          <w:lang w:val="en-GB"/>
        </w:rPr>
        <w:t>four phases</w:t>
      </w:r>
      <w:r w:rsidRPr="007831BB">
        <w:rPr>
          <w:lang w:val="en-GB"/>
        </w:rPr>
        <w:t xml:space="preserve"> include:</w:t>
      </w:r>
    </w:p>
    <w:p w14:paraId="0C4BECF3" w14:textId="60E1AC57" w:rsidR="00E7045B" w:rsidRPr="007831BB"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Appropriate representation of indigenous and local knowledge experts and experts on indigenous and local knowledge in the expert groups scoping and performing </w:t>
      </w:r>
      <w:r w:rsidR="00C27984">
        <w:rPr>
          <w:lang w:val="en-GB"/>
        </w:rPr>
        <w:t>an</w:t>
      </w:r>
      <w:r w:rsidR="00C27984" w:rsidRPr="007831BB">
        <w:rPr>
          <w:lang w:val="en-GB"/>
        </w:rPr>
        <w:t xml:space="preserve"> </w:t>
      </w:r>
      <w:r w:rsidRPr="007831BB">
        <w:rPr>
          <w:lang w:val="en-GB"/>
        </w:rPr>
        <w:t>assessment in line with the procedures for working with indigenous and local knowledge and the principles presented above;</w:t>
      </w:r>
    </w:p>
    <w:p w14:paraId="57CDEB49" w14:textId="4EDBCDA2" w:rsidR="00E7045B" w:rsidRPr="007831BB"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 series of broad web-based consultations via the participatory mechanism during the first, second and third phases to ensure broad participation by indigenous peoples and local communities, and reflection of their perspectives and of indigenous and local knowledge, in the scoping exercise (first phase); the fine-tuning of questions to be addressed by </w:t>
      </w:r>
      <w:r w:rsidR="004E7753">
        <w:rPr>
          <w:lang w:val="en-GB"/>
        </w:rPr>
        <w:t>an</w:t>
      </w:r>
      <w:r w:rsidR="004E7753" w:rsidRPr="007831BB">
        <w:rPr>
          <w:lang w:val="en-GB"/>
        </w:rPr>
        <w:t xml:space="preserve"> </w:t>
      </w:r>
      <w:r w:rsidRPr="007831BB">
        <w:rPr>
          <w:lang w:val="en-GB"/>
        </w:rPr>
        <w:t xml:space="preserve">assessment and the identification, mobilization and gathering of relevant indigenous and local knowledge where such knowledge exists in recorded, shareable and </w:t>
      </w:r>
      <w:proofErr w:type="spellStart"/>
      <w:r w:rsidRPr="007831BB">
        <w:rPr>
          <w:lang w:val="en-GB"/>
        </w:rPr>
        <w:t>referenceable</w:t>
      </w:r>
      <w:proofErr w:type="spellEnd"/>
      <w:r w:rsidRPr="007831BB">
        <w:rPr>
          <w:lang w:val="en-GB"/>
        </w:rPr>
        <w:t xml:space="preserve"> form (second phase); and the review of the successive drafts of the assessment (third phase);</w:t>
      </w:r>
    </w:p>
    <w:p w14:paraId="11C83487" w14:textId="616CA753" w:rsidR="00E7045B" w:rsidRPr="007831BB"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Dialogue workshops, to allow for direct exchanges on the scope and the content of drafts. These workshops would bring together the indigenous and local knowledge experts of the scoping expert group (first phase) or of the indigenous and local knowledge liaison group (third phase) with a representative selection of experts on indigenous and local knowledge and representatives of indigenous peoples and local communities. The format (in person or virtual), number and timing of the dialogue workshops should take into account financial considerations;</w:t>
      </w:r>
    </w:p>
    <w:p w14:paraId="4893CCD3" w14:textId="205C1570" w:rsidR="00E7045B" w:rsidRPr="007831BB"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The synthesis, during the second phase, of the indigenous and local knowledge gathered in accordance with the procedure</w:t>
      </w:r>
      <w:r w:rsidR="00F7324F">
        <w:rPr>
          <w:lang w:val="en-GB"/>
        </w:rPr>
        <w:t>s</w:t>
      </w:r>
      <w:r w:rsidRPr="007831BB">
        <w:rPr>
          <w:lang w:val="en-GB"/>
        </w:rPr>
        <w:t xml:space="preserve"> for the preparation of the Platform’s deliverables, using established methods such as the reflection of confidence levels as defined in the guide for assessments (IPBES/5/INF/6), seeking to balance large-scale synthesis and spatial </w:t>
      </w:r>
      <w:proofErr w:type="spellStart"/>
      <w:r w:rsidRPr="007831BB">
        <w:rPr>
          <w:lang w:val="en-GB"/>
        </w:rPr>
        <w:t>upscaling</w:t>
      </w:r>
      <w:proofErr w:type="spellEnd"/>
      <w:r w:rsidRPr="007831BB">
        <w:rPr>
          <w:lang w:val="en-GB"/>
        </w:rPr>
        <w:t xml:space="preserve"> of literature and geospatial data sources with a rich illustration of cases from different parts of the world portraying the practices, world views, voices and faces of indigenous peoples and local communities. This synthesis would include the description of different understandings resulting from different epistemologies and/or ontologies;</w:t>
      </w:r>
    </w:p>
    <w:p w14:paraId="692593D1" w14:textId="668288F5" w:rsidR="00E7045B" w:rsidRPr="007831BB"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The promotion and catalysis of activities to be undertaken by appropriate partners, such as local dialogue workshops to fill knowledge gaps when relevant knowledge does not exist in readily available formats (first and second phase), or the building of the capacity of indigenous peoples and local communities to engage in and benefit from IPBES (throughout all four phases). These efforts are part of the knowledge mobilization and capacity-building approach to indigenous and local knowledge (further described in paragraphs </w:t>
      </w:r>
      <w:r w:rsidR="00B10DC0">
        <w:rPr>
          <w:lang w:val="en-GB"/>
        </w:rPr>
        <w:t>18</w:t>
      </w:r>
      <w:r w:rsidRPr="007831BB">
        <w:rPr>
          <w:lang w:val="en-GB"/>
        </w:rPr>
        <w:t xml:space="preserve"> and </w:t>
      </w:r>
      <w:r w:rsidR="00B10DC0">
        <w:rPr>
          <w:lang w:val="en-GB"/>
        </w:rPr>
        <w:t>20</w:t>
      </w:r>
      <w:r w:rsidRPr="007831BB">
        <w:rPr>
          <w:lang w:val="en-GB"/>
        </w:rPr>
        <w:t xml:space="preserve"> below). </w:t>
      </w:r>
    </w:p>
    <w:p w14:paraId="61A4989C" w14:textId="77777777" w:rsidR="00E7045B" w:rsidRPr="007831BB" w:rsidRDefault="00E7045B" w:rsidP="00E7045B">
      <w:pPr>
        <w:pStyle w:val="CH2"/>
        <w:rPr>
          <w:lang w:val="en-GB"/>
        </w:rPr>
      </w:pPr>
      <w:r w:rsidRPr="007831BB">
        <w:rPr>
          <w:lang w:val="en-GB"/>
        </w:rPr>
        <w:tab/>
        <w:t>B.</w:t>
      </w:r>
      <w:r w:rsidRPr="007831BB">
        <w:rPr>
          <w:lang w:val="en-GB"/>
        </w:rPr>
        <w:tab/>
        <w:t>Knowledge and data</w:t>
      </w:r>
    </w:p>
    <w:p w14:paraId="027F70CB" w14:textId="77777777" w:rsidR="00E7045B" w:rsidRPr="007831BB" w:rsidRDefault="00E7045B" w:rsidP="00F163B5">
      <w:pPr>
        <w:pStyle w:val="Normalnumber"/>
        <w:numPr>
          <w:ilvl w:val="0"/>
          <w:numId w:val="297"/>
        </w:numPr>
        <w:rPr>
          <w:lang w:val="en-GB"/>
        </w:rPr>
      </w:pPr>
      <w:r w:rsidRPr="007831BB">
        <w:rPr>
          <w:lang w:val="en-GB"/>
        </w:rPr>
        <w:t>In line with its mandate regarding knowledge and data, IPBES will within the present approach:</w:t>
      </w:r>
    </w:p>
    <w:p w14:paraId="6E16C03C" w14:textId="38CD1C5C" w:rsidR="00E7045B" w:rsidRPr="00964A01" w:rsidRDefault="00E7045B" w:rsidP="005D5A98">
      <w:pPr>
        <w:pStyle w:val="Normalnumber"/>
        <w:numPr>
          <w:ilvl w:val="0"/>
          <w:numId w:val="478"/>
        </w:numPr>
        <w:tabs>
          <w:tab w:val="clear" w:pos="1247"/>
          <w:tab w:val="clear" w:pos="1814"/>
          <w:tab w:val="clear" w:pos="2381"/>
          <w:tab w:val="clear" w:pos="2948"/>
          <w:tab w:val="clear" w:pos="3515"/>
          <w:tab w:val="clear" w:pos="4082"/>
          <w:tab w:val="left" w:pos="624"/>
        </w:tabs>
        <w:ind w:left="1247" w:firstLine="624"/>
        <w:rPr>
          <w:lang w:val="en-US"/>
        </w:rPr>
      </w:pPr>
      <w:r w:rsidRPr="00964A01">
        <w:rPr>
          <w:lang w:val="en-US"/>
        </w:rPr>
        <w:t xml:space="preserve">Identify, in coordination with indigenous and local knowledge holders, indigenous and local knowledge experts and experts on indigenous and local knowledge, a set of practices to help manage evidence and data </w:t>
      </w:r>
      <w:r w:rsidR="0053514C">
        <w:rPr>
          <w:lang w:val="en-US"/>
        </w:rPr>
        <w:t>that</w:t>
      </w:r>
      <w:r w:rsidR="0053514C" w:rsidRPr="00964A01">
        <w:rPr>
          <w:lang w:val="en-US"/>
        </w:rPr>
        <w:t xml:space="preserve"> </w:t>
      </w:r>
      <w:r w:rsidRPr="00964A01">
        <w:rPr>
          <w:lang w:val="en-US"/>
        </w:rPr>
        <w:t>will be collected in the assessments;</w:t>
      </w:r>
    </w:p>
    <w:p w14:paraId="79D9A93E" w14:textId="77777777" w:rsidR="00E7045B" w:rsidRPr="00964A01" w:rsidRDefault="00E7045B" w:rsidP="007831BB">
      <w:pPr>
        <w:pStyle w:val="Normalnumber"/>
        <w:numPr>
          <w:ilvl w:val="0"/>
          <w:numId w:val="478"/>
        </w:numPr>
        <w:tabs>
          <w:tab w:val="clear" w:pos="1247"/>
          <w:tab w:val="clear" w:pos="1814"/>
          <w:tab w:val="clear" w:pos="2381"/>
          <w:tab w:val="clear" w:pos="2948"/>
          <w:tab w:val="clear" w:pos="3515"/>
          <w:tab w:val="clear" w:pos="4082"/>
          <w:tab w:val="left" w:pos="624"/>
        </w:tabs>
        <w:ind w:left="1247" w:firstLine="624"/>
        <w:rPr>
          <w:lang w:val="en-US"/>
        </w:rPr>
      </w:pPr>
      <w:r w:rsidRPr="00964A01">
        <w:rPr>
          <w:lang w:val="en-US"/>
        </w:rPr>
        <w:t>Facilitate, as appropriate, via the IPBES web-based infrastructure, the accessing and management of available sources of indigenous and local knowledge, both for internal use in developing assessments and for decision makers and scholars drawing on the work of IPBES to support their own work, in line with relevant standards and conventions;</w:t>
      </w:r>
    </w:p>
    <w:p w14:paraId="2E3EB26D" w14:textId="46CEB647" w:rsidR="00E7045B" w:rsidRPr="00964A01" w:rsidRDefault="00E7045B" w:rsidP="007831BB">
      <w:pPr>
        <w:pStyle w:val="Normalnumber"/>
        <w:numPr>
          <w:ilvl w:val="0"/>
          <w:numId w:val="478"/>
        </w:numPr>
        <w:tabs>
          <w:tab w:val="clear" w:pos="1247"/>
          <w:tab w:val="clear" w:pos="1814"/>
          <w:tab w:val="clear" w:pos="2381"/>
          <w:tab w:val="clear" w:pos="2948"/>
          <w:tab w:val="clear" w:pos="3515"/>
          <w:tab w:val="clear" w:pos="4082"/>
          <w:tab w:val="left" w:pos="624"/>
        </w:tabs>
        <w:ind w:left="1247" w:firstLine="624"/>
        <w:rPr>
          <w:lang w:val="en-US"/>
        </w:rPr>
      </w:pPr>
      <w:r w:rsidRPr="00964A01">
        <w:rPr>
          <w:lang w:val="en-US"/>
        </w:rPr>
        <w:t xml:space="preserve">Promote and </w:t>
      </w:r>
      <w:proofErr w:type="spellStart"/>
      <w:r w:rsidRPr="00964A01">
        <w:rPr>
          <w:lang w:val="en-US"/>
        </w:rPr>
        <w:t>catalyse</w:t>
      </w:r>
      <w:proofErr w:type="spellEnd"/>
      <w:r w:rsidRPr="00964A01">
        <w:rPr>
          <w:lang w:val="en-US"/>
        </w:rPr>
        <w:t xml:space="preserve"> the mobilization of indigenous and local knowledge, as appropriate, where such knowledge does not exist in readily available formats in ways that reflect the concepts of parallel validation or co-production processes, with the support of appropriate partners, focusing on gaps that emerge during each phase of an assessment; and</w:t>
      </w:r>
    </w:p>
    <w:p w14:paraId="364FBFAA" w14:textId="4A457F5D" w:rsidR="00E7045B" w:rsidRPr="00964A01" w:rsidRDefault="00E7045B" w:rsidP="004153C8">
      <w:pPr>
        <w:pStyle w:val="Normalnumber"/>
        <w:keepNext/>
        <w:keepLines/>
        <w:numPr>
          <w:ilvl w:val="0"/>
          <w:numId w:val="478"/>
        </w:numPr>
        <w:tabs>
          <w:tab w:val="clear" w:pos="1247"/>
          <w:tab w:val="clear" w:pos="1814"/>
          <w:tab w:val="clear" w:pos="2381"/>
          <w:tab w:val="clear" w:pos="2948"/>
          <w:tab w:val="clear" w:pos="3515"/>
          <w:tab w:val="clear" w:pos="4082"/>
          <w:tab w:val="left" w:pos="624"/>
        </w:tabs>
        <w:ind w:left="1247" w:firstLine="624"/>
        <w:rPr>
          <w:lang w:val="en-US"/>
        </w:rPr>
      </w:pPr>
      <w:r w:rsidRPr="00964A01">
        <w:rPr>
          <w:lang w:val="en-US"/>
        </w:rPr>
        <w:t>Take into account appropriately those aspects relevant to indigenous and local knowledge and indigenous peoples and local communities in the list of indicators, classifications of units of analysis and classification of nature’s contributions to people,</w:t>
      </w:r>
      <w:r w:rsidRPr="00160BD4">
        <w:rPr>
          <w:rStyle w:val="FootnoteReference"/>
        </w:rPr>
        <w:footnoteReference w:id="27"/>
      </w:r>
      <w:r w:rsidRPr="00964A01">
        <w:rPr>
          <w:lang w:val="en-US"/>
        </w:rPr>
        <w:t xml:space="preserve"> including ecosystem services and nature’s gifts. </w:t>
      </w:r>
    </w:p>
    <w:p w14:paraId="2C789BD9" w14:textId="77777777" w:rsidR="00E7045B" w:rsidRPr="007831BB" w:rsidRDefault="00E7045B" w:rsidP="00E7045B">
      <w:pPr>
        <w:pStyle w:val="CH2"/>
        <w:rPr>
          <w:lang w:val="en-GB"/>
        </w:rPr>
      </w:pPr>
      <w:r w:rsidRPr="007831BB">
        <w:rPr>
          <w:lang w:val="en-GB"/>
        </w:rPr>
        <w:tab/>
        <w:t>C.</w:t>
      </w:r>
      <w:r w:rsidRPr="007831BB">
        <w:rPr>
          <w:lang w:val="en-GB"/>
        </w:rPr>
        <w:tab/>
        <w:t>Policy support tools and methodologies</w:t>
      </w:r>
    </w:p>
    <w:p w14:paraId="29FFAB6D" w14:textId="77777777" w:rsidR="00E7045B" w:rsidRPr="007831BB" w:rsidRDefault="00E7045B" w:rsidP="0001341F">
      <w:pPr>
        <w:pStyle w:val="Normalnumber"/>
        <w:numPr>
          <w:ilvl w:val="0"/>
          <w:numId w:val="297"/>
        </w:numPr>
        <w:rPr>
          <w:lang w:val="en-GB"/>
        </w:rPr>
      </w:pPr>
      <w:r w:rsidRPr="007831BB">
        <w:rPr>
          <w:lang w:val="en-GB"/>
        </w:rPr>
        <w:t>In line with its mandate regarding policy support tools and methodologies, IPBES will within the present approach:</w:t>
      </w:r>
    </w:p>
    <w:p w14:paraId="50603509" w14:textId="520376A4" w:rsidR="00E7045B" w:rsidRPr="007831BB" w:rsidRDefault="00E7045B" w:rsidP="00E7045B">
      <w:pPr>
        <w:pStyle w:val="Normalnumber"/>
        <w:numPr>
          <w:ilvl w:val="1"/>
          <w:numId w:val="292"/>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Identify, describe and facilitate the use of relevant tools and methods </w:t>
      </w:r>
      <w:r w:rsidR="00744445">
        <w:rPr>
          <w:lang w:val="en-GB"/>
        </w:rPr>
        <w:t>for</w:t>
      </w:r>
      <w:r w:rsidR="00744445" w:rsidRPr="007831BB">
        <w:rPr>
          <w:lang w:val="en-GB"/>
        </w:rPr>
        <w:t xml:space="preserve"> </w:t>
      </w:r>
      <w:r w:rsidRPr="007831BB">
        <w:rPr>
          <w:lang w:val="en-GB"/>
        </w:rPr>
        <w:t>implement</w:t>
      </w:r>
      <w:r w:rsidR="00744445">
        <w:rPr>
          <w:lang w:val="en-GB"/>
        </w:rPr>
        <w:t>ing</w:t>
      </w:r>
      <w:r w:rsidRPr="007831BB">
        <w:rPr>
          <w:lang w:val="en-GB"/>
        </w:rPr>
        <w:t xml:space="preserve"> the four phases of the proposed approach. Where such tools and methods still need to be developed, IPBES </w:t>
      </w:r>
      <w:r w:rsidR="00C16C95">
        <w:rPr>
          <w:lang w:val="en-GB"/>
        </w:rPr>
        <w:t>will</w:t>
      </w:r>
      <w:r w:rsidR="00C16C95" w:rsidRPr="007831BB">
        <w:rPr>
          <w:lang w:val="en-GB"/>
        </w:rPr>
        <w:t xml:space="preserve"> </w:t>
      </w:r>
      <w:r w:rsidRPr="007831BB">
        <w:rPr>
          <w:lang w:val="en-GB"/>
        </w:rPr>
        <w:t>promote and catalyse their development with appropriate partners;</w:t>
      </w:r>
    </w:p>
    <w:p w14:paraId="15DF7C34" w14:textId="69EB57EE" w:rsidR="00E7045B" w:rsidRPr="007831BB" w:rsidRDefault="00E7045B" w:rsidP="00E7045B">
      <w:pPr>
        <w:pStyle w:val="Normalnumber"/>
        <w:numPr>
          <w:ilvl w:val="1"/>
          <w:numId w:val="292"/>
        </w:numPr>
        <w:tabs>
          <w:tab w:val="clear" w:pos="1247"/>
          <w:tab w:val="clear" w:pos="1814"/>
          <w:tab w:val="clear" w:pos="2381"/>
          <w:tab w:val="clear" w:pos="2948"/>
          <w:tab w:val="clear" w:pos="3515"/>
          <w:tab w:val="clear" w:pos="4082"/>
        </w:tabs>
        <w:ind w:firstLine="624"/>
        <w:rPr>
          <w:lang w:val="en-GB"/>
        </w:rPr>
      </w:pPr>
      <w:r w:rsidRPr="007831BB">
        <w:rPr>
          <w:lang w:val="en-GB"/>
        </w:rPr>
        <w:t xml:space="preserve">Ensure that policy responses, decision-making instruments and processes relevant to indigenous </w:t>
      </w:r>
      <w:r w:rsidRPr="00AD51BD">
        <w:rPr>
          <w:lang w:val="en-GB"/>
        </w:rPr>
        <w:t xml:space="preserve">and local knowledge and indigenous peoples and local communities are reflected in </w:t>
      </w:r>
      <w:r w:rsidR="001A4A54" w:rsidRPr="00AD51BD">
        <w:rPr>
          <w:lang w:val="en-GB"/>
        </w:rPr>
        <w:t xml:space="preserve">IPBES </w:t>
      </w:r>
      <w:r w:rsidRPr="00AD51BD">
        <w:rPr>
          <w:lang w:val="en-GB"/>
        </w:rPr>
        <w:t>assessments</w:t>
      </w:r>
      <w:r w:rsidRPr="007831BB">
        <w:rPr>
          <w:lang w:val="en-GB"/>
        </w:rPr>
        <w:t>.</w:t>
      </w:r>
    </w:p>
    <w:p w14:paraId="39AC99E1" w14:textId="77777777" w:rsidR="00E7045B" w:rsidRPr="007831BB" w:rsidRDefault="00E7045B" w:rsidP="00E7045B">
      <w:pPr>
        <w:pStyle w:val="CH2"/>
        <w:rPr>
          <w:lang w:val="en-GB"/>
        </w:rPr>
      </w:pPr>
      <w:r w:rsidRPr="007831BB">
        <w:rPr>
          <w:lang w:val="en-GB"/>
        </w:rPr>
        <w:tab/>
        <w:t>D.</w:t>
      </w:r>
      <w:r w:rsidRPr="007831BB">
        <w:rPr>
          <w:lang w:val="en-GB"/>
        </w:rPr>
        <w:tab/>
        <w:t>Capacity-building</w:t>
      </w:r>
    </w:p>
    <w:p w14:paraId="2D980F0D" w14:textId="77777777" w:rsidR="00E7045B" w:rsidRPr="007831BB" w:rsidRDefault="00E7045B" w:rsidP="0001341F">
      <w:pPr>
        <w:pStyle w:val="Normalnumber"/>
        <w:numPr>
          <w:ilvl w:val="0"/>
          <w:numId w:val="297"/>
        </w:numPr>
        <w:rPr>
          <w:lang w:val="en-GB"/>
        </w:rPr>
      </w:pPr>
      <w:r w:rsidRPr="007831BB">
        <w:rPr>
          <w:lang w:val="en-GB"/>
        </w:rPr>
        <w:t>In line with its mandate regarding capacity-building, IPBES will, within the present approach:</w:t>
      </w:r>
    </w:p>
    <w:p w14:paraId="3D86360C" w14:textId="77777777" w:rsidR="00E7045B" w:rsidRPr="007831BB" w:rsidRDefault="00E7045B" w:rsidP="00E7045B">
      <w:pPr>
        <w:pStyle w:val="Normalnumber"/>
        <w:numPr>
          <w:ilvl w:val="1"/>
          <w:numId w:val="29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Identify, prioritize and build capacity critical to its implementation, within the means available, </w:t>
      </w:r>
      <w:proofErr w:type="spellStart"/>
      <w:r w:rsidRPr="007831BB">
        <w:rPr>
          <w:lang w:val="en-GB"/>
        </w:rPr>
        <w:t>through</w:t>
      </w:r>
      <w:proofErr w:type="spellEnd"/>
      <w:r w:rsidRPr="007831BB">
        <w:rPr>
          <w:lang w:val="en-GB"/>
        </w:rPr>
        <w:t>, for example, training workshops and webinars on the approaches to and procedures for recognizing and working with indigenous and local knowledge in assessments or participation in the fellowship programme; and</w:t>
      </w:r>
    </w:p>
    <w:p w14:paraId="60D43968" w14:textId="049923F3" w:rsidR="00E7045B" w:rsidRPr="007831BB" w:rsidRDefault="00E7045B" w:rsidP="00E7045B">
      <w:pPr>
        <w:pStyle w:val="Normalnumber"/>
        <w:numPr>
          <w:ilvl w:val="1"/>
          <w:numId w:val="29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Promote and catalyse the undertaking of capacity-building activities in support of broader capacity-building needs involving, among other mechanisms, strategic partnerships where such needs go beyond the means of IPBES. In this context, the participatory mechanism could strengthen the ability of indigenous peoples and local communities to take part </w:t>
      </w:r>
      <w:proofErr w:type="gramStart"/>
      <w:r w:rsidRPr="007831BB">
        <w:rPr>
          <w:lang w:val="en-GB"/>
        </w:rPr>
        <w:t>in,</w:t>
      </w:r>
      <w:proofErr w:type="gramEnd"/>
      <w:r w:rsidRPr="007831BB">
        <w:rPr>
          <w:lang w:val="en-GB"/>
        </w:rPr>
        <w:t xml:space="preserve"> contribute to and benefit from IPBES deliverables.</w:t>
      </w:r>
    </w:p>
    <w:p w14:paraId="48AB3CD2" w14:textId="77777777" w:rsidR="00E7045B" w:rsidRPr="007831BB" w:rsidRDefault="00E7045B" w:rsidP="00E7045B">
      <w:pPr>
        <w:pStyle w:val="CH1"/>
        <w:rPr>
          <w:lang w:val="en-GB"/>
        </w:rPr>
      </w:pPr>
      <w:r w:rsidRPr="007831BB">
        <w:rPr>
          <w:lang w:val="en-GB"/>
        </w:rPr>
        <w:tab/>
        <w:t>III.</w:t>
      </w:r>
      <w:r w:rsidRPr="007831BB">
        <w:rPr>
          <w:lang w:val="en-GB"/>
        </w:rPr>
        <w:tab/>
        <w:t>Institutional arrangements and the participatory mechanism supporting the implementation of the approach</w:t>
      </w:r>
    </w:p>
    <w:p w14:paraId="6C492FA9" w14:textId="0EAA9E8E" w:rsidR="00E7045B" w:rsidRPr="007831BB" w:rsidRDefault="00E7045B" w:rsidP="0001341F">
      <w:pPr>
        <w:pStyle w:val="Normalnumber"/>
        <w:numPr>
          <w:ilvl w:val="0"/>
          <w:numId w:val="297"/>
        </w:numPr>
        <w:rPr>
          <w:lang w:val="en-GB"/>
        </w:rPr>
      </w:pPr>
      <w:r w:rsidRPr="007831BB">
        <w:rPr>
          <w:lang w:val="en-GB"/>
        </w:rPr>
        <w:t>In order to implement the approach outlined in section II, IPBES</w:t>
      </w:r>
      <w:r w:rsidRPr="007831BB" w:rsidDel="00536249">
        <w:rPr>
          <w:lang w:val="en-GB"/>
        </w:rPr>
        <w:t xml:space="preserve"> </w:t>
      </w:r>
      <w:r w:rsidR="00BD36F3">
        <w:rPr>
          <w:lang w:val="en-GB"/>
        </w:rPr>
        <w:t>will</w:t>
      </w:r>
      <w:r w:rsidR="00BD36F3" w:rsidRPr="007831BB">
        <w:rPr>
          <w:lang w:val="en-GB"/>
        </w:rPr>
        <w:t xml:space="preserve"> </w:t>
      </w:r>
      <w:r w:rsidRPr="007831BB">
        <w:rPr>
          <w:lang w:val="en-GB"/>
        </w:rPr>
        <w:t xml:space="preserve">draw on relevant existing arrangements, which </w:t>
      </w:r>
      <w:r w:rsidR="00BD36F3">
        <w:rPr>
          <w:lang w:val="en-GB"/>
        </w:rPr>
        <w:t>will</w:t>
      </w:r>
      <w:r w:rsidR="00BD36F3" w:rsidRPr="007831BB">
        <w:rPr>
          <w:lang w:val="en-GB"/>
        </w:rPr>
        <w:t xml:space="preserve"> </w:t>
      </w:r>
      <w:r w:rsidRPr="007831BB">
        <w:rPr>
          <w:lang w:val="en-GB"/>
        </w:rPr>
        <w:t>need to be complemented by the participatory mechanism.</w:t>
      </w:r>
    </w:p>
    <w:p w14:paraId="4EB64B66" w14:textId="77777777" w:rsidR="00E7045B" w:rsidRPr="007831BB" w:rsidRDefault="00E7045B" w:rsidP="00E7045B">
      <w:pPr>
        <w:pStyle w:val="CH2"/>
        <w:rPr>
          <w:lang w:val="en-GB"/>
        </w:rPr>
      </w:pPr>
      <w:bookmarkStart w:id="6" w:name="_Toc464571912"/>
      <w:bookmarkStart w:id="7" w:name="_Toc464640650"/>
      <w:r w:rsidRPr="007831BB">
        <w:rPr>
          <w:lang w:val="en-GB"/>
        </w:rPr>
        <w:tab/>
        <w:t>A.</w:t>
      </w:r>
      <w:r w:rsidRPr="007831BB">
        <w:rPr>
          <w:lang w:val="en-GB"/>
        </w:rPr>
        <w:tab/>
        <w:t xml:space="preserve">Existing arrangements relevant to the implementation of the </w:t>
      </w:r>
      <w:bookmarkEnd w:id="6"/>
      <w:bookmarkEnd w:id="7"/>
      <w:r w:rsidRPr="007831BB">
        <w:rPr>
          <w:lang w:val="en-GB"/>
        </w:rPr>
        <w:t>approach</w:t>
      </w:r>
    </w:p>
    <w:p w14:paraId="42775C33" w14:textId="42916CAE" w:rsidR="00E7045B" w:rsidRPr="007831BB" w:rsidRDefault="00E7045B" w:rsidP="0001341F">
      <w:pPr>
        <w:pStyle w:val="Normalnumber"/>
        <w:numPr>
          <w:ilvl w:val="0"/>
          <w:numId w:val="297"/>
        </w:numPr>
        <w:rPr>
          <w:lang w:val="en-GB"/>
        </w:rPr>
      </w:pPr>
      <w:r w:rsidRPr="007831BB">
        <w:rPr>
          <w:lang w:val="en-GB"/>
        </w:rPr>
        <w:t xml:space="preserve">The </w:t>
      </w:r>
      <w:r w:rsidRPr="007831BB">
        <w:rPr>
          <w:b/>
          <w:lang w:val="en-GB"/>
        </w:rPr>
        <w:t>Multidisciplinary Expert Panel</w:t>
      </w:r>
      <w:r w:rsidRPr="007831BB">
        <w:rPr>
          <w:lang w:val="en-GB"/>
        </w:rPr>
        <w:t xml:space="preserve"> will oversee the implementation of th</w:t>
      </w:r>
      <w:r w:rsidR="00BD2303">
        <w:rPr>
          <w:lang w:val="en-GB"/>
        </w:rPr>
        <w:t>e</w:t>
      </w:r>
      <w:r w:rsidRPr="007831BB">
        <w:rPr>
          <w:lang w:val="en-GB"/>
        </w:rPr>
        <w:t xml:space="preserve"> approach and any further developments under it. </w:t>
      </w:r>
    </w:p>
    <w:p w14:paraId="7818E9B0" w14:textId="77777777" w:rsidR="00E7045B" w:rsidRPr="007831BB" w:rsidRDefault="00E7045B" w:rsidP="0001341F">
      <w:pPr>
        <w:pStyle w:val="Normalnumber"/>
        <w:numPr>
          <w:ilvl w:val="0"/>
          <w:numId w:val="297"/>
        </w:numPr>
        <w:rPr>
          <w:lang w:val="en-GB"/>
        </w:rPr>
      </w:pPr>
      <w:r w:rsidRPr="007831BB">
        <w:rPr>
          <w:b/>
          <w:lang w:val="en-GB"/>
        </w:rPr>
        <w:t>Indigenous and local knowledge liaison groups</w:t>
      </w:r>
      <w:r w:rsidRPr="007831BB">
        <w:rPr>
          <w:lang w:val="en-GB"/>
        </w:rPr>
        <w:t xml:space="preserve"> will be established for each assessment. Such groups will comprise the indigenous and local knowledge experts and experts on indigenous and local knowledge selected for the various chapters of each individual assessment. The groups will be responsible for developing the key questions and topics pertaining to indigenous peoples and local communities to be covered in each assessment, for synthesizing all relevant knowledge and for ensuring that each assessment adequately reflects the perspectives resulting from different knowledge systems in accordance with the procedures for the preparation of the Platform’s deliverables.</w:t>
      </w:r>
    </w:p>
    <w:p w14:paraId="6ECA0AFB" w14:textId="60031771" w:rsidR="00E7045B" w:rsidRPr="007831BB" w:rsidRDefault="00E7045B" w:rsidP="0001341F">
      <w:pPr>
        <w:pStyle w:val="Normalnumber"/>
        <w:numPr>
          <w:ilvl w:val="0"/>
          <w:numId w:val="297"/>
        </w:numPr>
        <w:rPr>
          <w:lang w:val="en-GB"/>
        </w:rPr>
      </w:pPr>
      <w:r w:rsidRPr="007831BB">
        <w:rPr>
          <w:b/>
          <w:lang w:val="en-GB"/>
        </w:rPr>
        <w:t>Other task forces and expert groups</w:t>
      </w:r>
      <w:r w:rsidRPr="007831BB">
        <w:rPr>
          <w:lang w:val="en-GB"/>
        </w:rPr>
        <w:t xml:space="preserve"> will also provide support for the implementation of th</w:t>
      </w:r>
      <w:r w:rsidR="00BD2303">
        <w:rPr>
          <w:lang w:val="en-GB"/>
        </w:rPr>
        <w:t>e</w:t>
      </w:r>
      <w:r w:rsidRPr="007831BB">
        <w:rPr>
          <w:lang w:val="en-GB"/>
        </w:rPr>
        <w:t xml:space="preserve"> approach.</w:t>
      </w:r>
    </w:p>
    <w:p w14:paraId="58143DBD" w14:textId="71A727C9" w:rsidR="00E7045B" w:rsidRPr="007831BB" w:rsidRDefault="00E7045B" w:rsidP="0001341F">
      <w:pPr>
        <w:pStyle w:val="Normalnumber"/>
        <w:numPr>
          <w:ilvl w:val="0"/>
          <w:numId w:val="297"/>
        </w:numPr>
        <w:rPr>
          <w:lang w:val="en-GB"/>
        </w:rPr>
      </w:pPr>
      <w:r w:rsidRPr="007831BB">
        <w:rPr>
          <w:lang w:val="en-GB"/>
        </w:rPr>
        <w:t xml:space="preserve">The </w:t>
      </w:r>
      <w:r w:rsidRPr="007831BB">
        <w:rPr>
          <w:b/>
          <w:lang w:val="en-GB"/>
        </w:rPr>
        <w:t>secretariat,</w:t>
      </w:r>
      <w:r w:rsidRPr="007831BB">
        <w:rPr>
          <w:lang w:val="en-GB"/>
        </w:rPr>
        <w:t xml:space="preserve"> </w:t>
      </w:r>
      <w:r w:rsidRPr="007831BB">
        <w:rPr>
          <w:b/>
          <w:lang w:val="en-GB"/>
        </w:rPr>
        <w:t>including its technical support units,</w:t>
      </w:r>
      <w:r w:rsidRPr="007831BB">
        <w:rPr>
          <w:lang w:val="en-GB"/>
        </w:rPr>
        <w:t xml:space="preserve"> will provide support for the implementation of th</w:t>
      </w:r>
      <w:r w:rsidR="00BD2303">
        <w:rPr>
          <w:lang w:val="en-GB"/>
        </w:rPr>
        <w:t>e</w:t>
      </w:r>
      <w:r w:rsidRPr="007831BB">
        <w:rPr>
          <w:lang w:val="en-GB"/>
        </w:rPr>
        <w:t xml:space="preserve"> approach.</w:t>
      </w:r>
    </w:p>
    <w:p w14:paraId="1B914D8F" w14:textId="77777777" w:rsidR="00E7045B" w:rsidRPr="007831BB" w:rsidRDefault="00E7045B" w:rsidP="00E7045B">
      <w:pPr>
        <w:pStyle w:val="CH2"/>
        <w:rPr>
          <w:lang w:val="en-GB"/>
        </w:rPr>
      </w:pPr>
      <w:bookmarkStart w:id="8" w:name="_Toc464571916"/>
      <w:bookmarkStart w:id="9" w:name="_Toc464640654"/>
      <w:r w:rsidRPr="007831BB">
        <w:rPr>
          <w:lang w:val="en-GB"/>
        </w:rPr>
        <w:tab/>
        <w:t>B.</w:t>
      </w:r>
      <w:r w:rsidRPr="007831BB">
        <w:rPr>
          <w:lang w:val="en-GB"/>
        </w:rPr>
        <w:tab/>
        <w:t>Participatory mechanism for working with indigenous and local knowledge systems</w:t>
      </w:r>
      <w:r w:rsidRPr="007831BB" w:rsidDel="00175DD0">
        <w:rPr>
          <w:lang w:val="en-GB"/>
        </w:rPr>
        <w:t xml:space="preserve"> </w:t>
      </w:r>
      <w:bookmarkEnd w:id="8"/>
      <w:bookmarkEnd w:id="9"/>
    </w:p>
    <w:p w14:paraId="30592EE2" w14:textId="32B7B842" w:rsidR="00E7045B" w:rsidRPr="007831BB" w:rsidRDefault="00E7045B" w:rsidP="0001341F">
      <w:pPr>
        <w:pStyle w:val="Normalnumber"/>
        <w:numPr>
          <w:ilvl w:val="0"/>
          <w:numId w:val="297"/>
        </w:numPr>
        <w:rPr>
          <w:lang w:val="en-GB"/>
        </w:rPr>
      </w:pPr>
      <w:r w:rsidRPr="007831BB">
        <w:rPr>
          <w:lang w:val="en-GB"/>
        </w:rPr>
        <w:t xml:space="preserve">The objective of the participatory mechanism </w:t>
      </w:r>
      <w:r w:rsidR="001874AC">
        <w:rPr>
          <w:lang w:val="en-GB"/>
        </w:rPr>
        <w:t xml:space="preserve">for working with indigenous and local knowledge systems </w:t>
      </w:r>
      <w:r w:rsidRPr="007831BB">
        <w:rPr>
          <w:lang w:val="en-GB"/>
        </w:rPr>
        <w:t>is to facilitate the effective and meaningful engagement of indigenous and local knowledge holders, indigenous and local knowledge experts and their organizations or networks</w:t>
      </w:r>
      <w:r w:rsidRPr="007831BB" w:rsidDel="000B4FBC">
        <w:rPr>
          <w:lang w:val="en-GB"/>
        </w:rPr>
        <w:t xml:space="preserve"> </w:t>
      </w:r>
      <w:r w:rsidRPr="007831BB">
        <w:rPr>
          <w:lang w:val="en-GB"/>
        </w:rPr>
        <w:t xml:space="preserve">in order to strengthen their ability to contribute to and benefit from IPBES at all scales. </w:t>
      </w:r>
    </w:p>
    <w:p w14:paraId="686855F6" w14:textId="77777777" w:rsidR="00E7045B" w:rsidRPr="007831BB" w:rsidRDefault="00E7045B" w:rsidP="00160BD4">
      <w:pPr>
        <w:pStyle w:val="Normalnumber"/>
        <w:keepNext/>
        <w:numPr>
          <w:ilvl w:val="0"/>
          <w:numId w:val="297"/>
        </w:numPr>
        <w:rPr>
          <w:lang w:val="en-GB"/>
        </w:rPr>
      </w:pPr>
      <w:r w:rsidRPr="007831BB">
        <w:rPr>
          <w:lang w:val="en-GB"/>
        </w:rPr>
        <w:t>In line with the rules and procedures of IPBES, the participatory mechanism is to achieve this objective by inter alia:</w:t>
      </w:r>
    </w:p>
    <w:p w14:paraId="05B6B19C" w14:textId="3738C3A7" w:rsidR="00E7045B" w:rsidRPr="007831BB" w:rsidRDefault="00E7045B" w:rsidP="00E7045B">
      <w:pPr>
        <w:pStyle w:val="Normalnumber"/>
        <w:keepNext/>
        <w:keepLines/>
        <w:numPr>
          <w:ilvl w:val="1"/>
          <w:numId w:val="29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Providing a </w:t>
      </w:r>
      <w:r w:rsidRPr="007831BB">
        <w:rPr>
          <w:i/>
          <w:lang w:val="en-GB"/>
        </w:rPr>
        <w:t>web-based platform</w:t>
      </w:r>
      <w:r w:rsidRPr="007831BB">
        <w:rPr>
          <w:lang w:val="en-GB"/>
        </w:rPr>
        <w:t xml:space="preserve"> to facilitate </w:t>
      </w:r>
      <w:r w:rsidR="00CB33D5">
        <w:rPr>
          <w:lang w:val="en-GB"/>
        </w:rPr>
        <w:t xml:space="preserve">the </w:t>
      </w:r>
      <w:r w:rsidRPr="007831BB">
        <w:rPr>
          <w:lang w:val="en-GB"/>
        </w:rPr>
        <w:t xml:space="preserve">effective and meaningful engagement of existing networks of indigenous peoples and local communities and relevant experts and allowing new, perhaps self-organizing, networks to develop; </w:t>
      </w:r>
    </w:p>
    <w:p w14:paraId="4CC86F15" w14:textId="34AE2CC7" w:rsidR="00E7045B" w:rsidRPr="007831BB" w:rsidRDefault="00E7045B" w:rsidP="00E7045B">
      <w:pPr>
        <w:pStyle w:val="Normalnumber"/>
        <w:numPr>
          <w:ilvl w:val="1"/>
          <w:numId w:val="294"/>
        </w:numPr>
        <w:tabs>
          <w:tab w:val="clear" w:pos="1247"/>
          <w:tab w:val="clear" w:pos="1814"/>
          <w:tab w:val="clear" w:pos="2381"/>
          <w:tab w:val="clear" w:pos="2948"/>
          <w:tab w:val="clear" w:pos="3515"/>
          <w:tab w:val="clear" w:pos="4082"/>
        </w:tabs>
        <w:ind w:firstLine="624"/>
        <w:rPr>
          <w:lang w:val="en-GB"/>
        </w:rPr>
      </w:pPr>
      <w:r w:rsidRPr="007831BB">
        <w:rPr>
          <w:lang w:val="en-GB"/>
        </w:rPr>
        <w:t xml:space="preserve">Promoting, through </w:t>
      </w:r>
      <w:r w:rsidRPr="007831BB">
        <w:rPr>
          <w:i/>
          <w:lang w:val="en-GB"/>
        </w:rPr>
        <w:t>consultations</w:t>
      </w:r>
      <w:r w:rsidRPr="007831BB">
        <w:rPr>
          <w:lang w:val="en-GB"/>
        </w:rPr>
        <w:t xml:space="preserve">, a dialogue with </w:t>
      </w:r>
      <w:r w:rsidR="009C126E">
        <w:rPr>
          <w:lang w:val="en-GB"/>
        </w:rPr>
        <w:t>various</w:t>
      </w:r>
      <w:r w:rsidR="009C126E" w:rsidRPr="007831BB">
        <w:rPr>
          <w:lang w:val="en-GB"/>
        </w:rPr>
        <w:t xml:space="preserve"> </w:t>
      </w:r>
      <w:r w:rsidRPr="007831BB">
        <w:rPr>
          <w:lang w:val="en-GB"/>
        </w:rPr>
        <w:t xml:space="preserve">networks, relevant experts and policymakers to mobilize inputs and disseminate results during all four phases of the assessment process, including both web-based consultations and dialogue workshops; </w:t>
      </w:r>
    </w:p>
    <w:p w14:paraId="405A686C" w14:textId="77777777" w:rsidR="00E7045B" w:rsidRPr="007831BB" w:rsidRDefault="00E7045B" w:rsidP="00E7045B">
      <w:pPr>
        <w:pStyle w:val="Normalnumber"/>
        <w:numPr>
          <w:ilvl w:val="1"/>
          <w:numId w:val="294"/>
        </w:numPr>
        <w:tabs>
          <w:tab w:val="clear" w:pos="1247"/>
          <w:tab w:val="clear" w:pos="1814"/>
          <w:tab w:val="clear" w:pos="2381"/>
          <w:tab w:val="clear" w:pos="2948"/>
          <w:tab w:val="clear" w:pos="3515"/>
          <w:tab w:val="clear" w:pos="4082"/>
        </w:tabs>
        <w:ind w:firstLine="624"/>
        <w:rPr>
          <w:lang w:val="en-GB"/>
        </w:rPr>
      </w:pPr>
      <w:r w:rsidRPr="007831BB">
        <w:rPr>
          <w:lang w:val="en-GB"/>
        </w:rPr>
        <w:t xml:space="preserve">Creating opportunities for shared learning and exchange through dedicated </w:t>
      </w:r>
      <w:r w:rsidRPr="007831BB">
        <w:rPr>
          <w:i/>
          <w:lang w:val="en-GB"/>
        </w:rPr>
        <w:t>discussion forums</w:t>
      </w:r>
      <w:r w:rsidRPr="007831BB">
        <w:rPr>
          <w:lang w:val="en-GB"/>
        </w:rPr>
        <w:t xml:space="preserve"> on the web-based platform or in the context of the contribution to and use of the catalogue of policy support tools and methodologies; and</w:t>
      </w:r>
    </w:p>
    <w:p w14:paraId="6764D15F" w14:textId="12ED1957" w:rsidR="00E7045B" w:rsidRPr="007831BB" w:rsidRDefault="00E7045B" w:rsidP="00E7045B">
      <w:pPr>
        <w:pStyle w:val="Normalnumber"/>
        <w:numPr>
          <w:ilvl w:val="1"/>
          <w:numId w:val="294"/>
        </w:numPr>
        <w:tabs>
          <w:tab w:val="clear" w:pos="1247"/>
          <w:tab w:val="clear" w:pos="1814"/>
          <w:tab w:val="clear" w:pos="2381"/>
          <w:tab w:val="clear" w:pos="2948"/>
          <w:tab w:val="clear" w:pos="3515"/>
          <w:tab w:val="clear" w:pos="4082"/>
        </w:tabs>
        <w:ind w:firstLine="624"/>
        <w:rPr>
          <w:lang w:val="en-GB"/>
        </w:rPr>
      </w:pPr>
      <w:r w:rsidRPr="007831BB">
        <w:rPr>
          <w:lang w:val="en-GB"/>
        </w:rPr>
        <w:t xml:space="preserve">Supporting IPBES, by means of </w:t>
      </w:r>
      <w:r w:rsidRPr="007831BB">
        <w:rPr>
          <w:i/>
          <w:lang w:val="en-GB"/>
        </w:rPr>
        <w:t>strategic partnerships</w:t>
      </w:r>
      <w:r w:rsidRPr="007831BB">
        <w:rPr>
          <w:lang w:val="en-GB"/>
        </w:rPr>
        <w:t xml:space="preserve">, in promoting and catalysing activities by appropriate partners that build the capacity of indigenous peoples and local communities to engage effectively and meaningfully in IPBES and that mobilize indigenous and local knowledge in formats accessible to IPBES when such knowledge is missing. </w:t>
      </w:r>
    </w:p>
    <w:p w14:paraId="21C1170F" w14:textId="25B76E85" w:rsidR="00E7045B" w:rsidRPr="007831BB" w:rsidRDefault="00E7045B" w:rsidP="0001341F">
      <w:pPr>
        <w:pStyle w:val="Normalnumber"/>
        <w:numPr>
          <w:ilvl w:val="0"/>
          <w:numId w:val="297"/>
        </w:numPr>
        <w:rPr>
          <w:lang w:val="en-GB"/>
        </w:rPr>
      </w:pPr>
      <w:r w:rsidRPr="007831BB">
        <w:rPr>
          <w:lang w:val="en-GB"/>
        </w:rPr>
        <w:t xml:space="preserve">The central component of the participatory mechanism </w:t>
      </w:r>
      <w:r w:rsidR="00762AC5">
        <w:rPr>
          <w:lang w:val="en-GB"/>
        </w:rPr>
        <w:t>will</w:t>
      </w:r>
      <w:r w:rsidR="00762AC5" w:rsidRPr="007831BB">
        <w:rPr>
          <w:lang w:val="en-GB"/>
        </w:rPr>
        <w:t xml:space="preserve"> </w:t>
      </w:r>
      <w:r w:rsidRPr="007831BB">
        <w:rPr>
          <w:lang w:val="en-GB"/>
        </w:rPr>
        <w:t xml:space="preserve">be a </w:t>
      </w:r>
      <w:r w:rsidRPr="007831BB">
        <w:rPr>
          <w:b/>
          <w:lang w:val="en-GB"/>
        </w:rPr>
        <w:t>web-based platform</w:t>
      </w:r>
      <w:r w:rsidRPr="007831BB">
        <w:rPr>
          <w:lang w:val="en-GB"/>
        </w:rPr>
        <w:t xml:space="preserve">, managed by the secretariat and hosted on the IPBES website </w:t>
      </w:r>
      <w:hyperlink r:id="rId22" w:history="1">
        <w:r w:rsidRPr="007831BB">
          <w:rPr>
            <w:rStyle w:val="Hyperlink"/>
            <w:lang w:val="en-GB"/>
          </w:rPr>
          <w:t>http://www.ipbes.net/ilk-participatory-mechanism</w:t>
        </w:r>
      </w:hyperlink>
      <w:r w:rsidRPr="007831BB">
        <w:rPr>
          <w:lang w:val="en-GB"/>
        </w:rPr>
        <w:t xml:space="preserve">, comprising the following elements: </w:t>
      </w:r>
    </w:p>
    <w:p w14:paraId="079E635C" w14:textId="77777777" w:rsidR="00E7045B" w:rsidRPr="007831BB"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 </w:t>
      </w:r>
      <w:r w:rsidRPr="007831BB">
        <w:rPr>
          <w:i/>
          <w:lang w:val="en-GB"/>
        </w:rPr>
        <w:t>registry</w:t>
      </w:r>
      <w:r w:rsidRPr="007831BB">
        <w:rPr>
          <w:lang w:val="en-GB"/>
        </w:rPr>
        <w:t xml:space="preserve"> linked to the IPBES stakeholder registry, inclusion in which is mandatory for all actors wishing to participate, including individuals, social organizations, institutions and networks; </w:t>
      </w:r>
    </w:p>
    <w:p w14:paraId="625669C8" w14:textId="57C9D69F" w:rsidR="00E7045B" w:rsidRPr="00AC505F"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 </w:t>
      </w:r>
      <w:r w:rsidRPr="007831BB">
        <w:rPr>
          <w:i/>
          <w:lang w:val="en-GB"/>
        </w:rPr>
        <w:t>roster</w:t>
      </w:r>
      <w:r w:rsidRPr="007831BB">
        <w:rPr>
          <w:lang w:val="en-GB"/>
        </w:rPr>
        <w:t xml:space="preserve"> including all registered individuals or entities as well as, with their consent, all indigenous and local knowledge experts currently or formerly involved in IPBES. This roster </w:t>
      </w:r>
      <w:r w:rsidR="002B4664">
        <w:rPr>
          <w:lang w:val="en-GB"/>
        </w:rPr>
        <w:t>will</w:t>
      </w:r>
      <w:r w:rsidR="002B4664" w:rsidRPr="007831BB">
        <w:rPr>
          <w:lang w:val="en-GB"/>
        </w:rPr>
        <w:t xml:space="preserve"> </w:t>
      </w:r>
      <w:r w:rsidRPr="007831BB">
        <w:rPr>
          <w:lang w:val="en-GB"/>
        </w:rPr>
        <w:t xml:space="preserve">be searchable according to a variety of criteria </w:t>
      </w:r>
      <w:r w:rsidRPr="00AC505F">
        <w:rPr>
          <w:lang w:val="en-GB"/>
        </w:rPr>
        <w:t>and</w:t>
      </w:r>
      <w:r w:rsidR="003A483D" w:rsidRPr="00AC505F">
        <w:rPr>
          <w:lang w:val="en-GB"/>
        </w:rPr>
        <w:t xml:space="preserve"> will be</w:t>
      </w:r>
      <w:r w:rsidRPr="00AC505F">
        <w:rPr>
          <w:lang w:val="en-GB"/>
        </w:rPr>
        <w:t xml:space="preserve"> publicly available;</w:t>
      </w:r>
    </w:p>
    <w:p w14:paraId="282501B0" w14:textId="753B8047" w:rsidR="00E7045B" w:rsidRPr="007831BB"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 </w:t>
      </w:r>
      <w:r w:rsidRPr="007831BB">
        <w:rPr>
          <w:i/>
          <w:lang w:val="en-GB"/>
        </w:rPr>
        <w:t>repository</w:t>
      </w:r>
      <w:r w:rsidRPr="007831BB">
        <w:rPr>
          <w:lang w:val="en-GB"/>
        </w:rPr>
        <w:t xml:space="preserve"> </w:t>
      </w:r>
      <w:r w:rsidRPr="007831BB">
        <w:rPr>
          <w:i/>
          <w:lang w:val="en-GB"/>
        </w:rPr>
        <w:t>of relevant resources of indigenous and local knowledge</w:t>
      </w:r>
      <w:r w:rsidRPr="007831BB">
        <w:rPr>
          <w:lang w:val="en-GB"/>
        </w:rPr>
        <w:t xml:space="preserve"> displaying a broad range of relevant sources of information, knowledge and data sets related to indigenous and local knowledge, or links to such information, knowledge and data sets, and thus forming an institutional database to facilitate the mobilization of data and knowledge relevant for gap-filling and dialogue. This repository and these links must comply with the conditions set out in paragraph </w:t>
      </w:r>
      <w:r w:rsidR="001D791C">
        <w:rPr>
          <w:lang w:val="en-GB"/>
        </w:rPr>
        <w:t>11</w:t>
      </w:r>
      <w:r w:rsidRPr="007831BB">
        <w:rPr>
          <w:lang w:val="en-GB"/>
        </w:rPr>
        <w:t>;</w:t>
      </w:r>
    </w:p>
    <w:p w14:paraId="2EBE8339" w14:textId="77777777" w:rsidR="00E7045B" w:rsidRPr="007831BB"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 </w:t>
      </w:r>
      <w:r w:rsidRPr="007831BB">
        <w:rPr>
          <w:i/>
          <w:lang w:val="en-GB"/>
        </w:rPr>
        <w:t xml:space="preserve">display of </w:t>
      </w:r>
      <w:proofErr w:type="spellStart"/>
      <w:r w:rsidRPr="007831BB">
        <w:rPr>
          <w:i/>
          <w:lang w:val="en-GB"/>
        </w:rPr>
        <w:t>ongoing</w:t>
      </w:r>
      <w:proofErr w:type="spellEnd"/>
      <w:r w:rsidRPr="007831BB">
        <w:rPr>
          <w:i/>
          <w:lang w:val="en-GB"/>
        </w:rPr>
        <w:t xml:space="preserve"> activities</w:t>
      </w:r>
      <w:r w:rsidRPr="007831BB">
        <w:rPr>
          <w:lang w:val="en-GB"/>
        </w:rPr>
        <w:t xml:space="preserve"> pertaining to indigenous and local knowledge, including those described in section II above, such as web-based consultations, dialogue workshops, capacity</w:t>
      </w:r>
      <w:r w:rsidRPr="007831BB">
        <w:rPr>
          <w:lang w:val="en-GB"/>
        </w:rPr>
        <w:noBreakHyphen/>
        <w:t>building activities and activities mobilizing accessible indigenous and local knowledge;</w:t>
      </w:r>
    </w:p>
    <w:p w14:paraId="5DBCE3B8" w14:textId="77777777" w:rsidR="00E7045B" w:rsidRPr="007831BB"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 </w:t>
      </w:r>
      <w:r w:rsidRPr="007831BB">
        <w:rPr>
          <w:i/>
          <w:lang w:val="en-GB"/>
        </w:rPr>
        <w:t>discussion forum</w:t>
      </w:r>
      <w:r w:rsidRPr="007831BB">
        <w:rPr>
          <w:lang w:val="en-GB"/>
        </w:rPr>
        <w:t xml:space="preserve"> creating opportunities for shared learning and exchanges between indigenous and local knowledge systems and other knowledge systems;</w:t>
      </w:r>
    </w:p>
    <w:p w14:paraId="3278E4A8" w14:textId="06B520ED" w:rsidR="00E7045B" w:rsidRPr="007831BB"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 </w:t>
      </w:r>
      <w:r w:rsidRPr="007831BB">
        <w:rPr>
          <w:i/>
          <w:lang w:val="en-GB"/>
        </w:rPr>
        <w:t>place to self-organize</w:t>
      </w:r>
      <w:r w:rsidRPr="007831BB">
        <w:rPr>
          <w:lang w:val="en-GB"/>
        </w:rPr>
        <w:t xml:space="preserve"> for registered individuals or entities, including for subgroups that members may seek to establish, such as dedicated groups providing support </w:t>
      </w:r>
      <w:r w:rsidR="004D1EB8">
        <w:rPr>
          <w:lang w:val="en-GB"/>
        </w:rPr>
        <w:t>for</w:t>
      </w:r>
      <w:r w:rsidR="004D1EB8" w:rsidRPr="007831BB">
        <w:rPr>
          <w:lang w:val="en-GB"/>
        </w:rPr>
        <w:t xml:space="preserve"> </w:t>
      </w:r>
      <w:r w:rsidRPr="007831BB">
        <w:rPr>
          <w:lang w:val="en-GB"/>
        </w:rPr>
        <w:t xml:space="preserve">specific IPBES assessments. </w:t>
      </w:r>
    </w:p>
    <w:p w14:paraId="62E8E090" w14:textId="77777777" w:rsidR="00E7045B" w:rsidRPr="007831BB" w:rsidRDefault="00E7045B" w:rsidP="0001341F">
      <w:pPr>
        <w:pStyle w:val="Normalnumber"/>
        <w:numPr>
          <w:ilvl w:val="0"/>
          <w:numId w:val="297"/>
        </w:numPr>
        <w:rPr>
          <w:lang w:val="en-GB"/>
        </w:rPr>
      </w:pPr>
      <w:r w:rsidRPr="007831BB">
        <w:rPr>
          <w:lang w:val="en-GB"/>
        </w:rPr>
        <w:t xml:space="preserve">The participatory mechanism will support the dedicated </w:t>
      </w:r>
      <w:r w:rsidRPr="007831BB">
        <w:rPr>
          <w:b/>
          <w:lang w:val="en-GB"/>
        </w:rPr>
        <w:t>consultations</w:t>
      </w:r>
      <w:r w:rsidRPr="007831BB">
        <w:rPr>
          <w:lang w:val="en-GB"/>
        </w:rPr>
        <w:t xml:space="preserve"> foreseen as part of the four phases.</w:t>
      </w:r>
    </w:p>
    <w:p w14:paraId="1AFBE4DB" w14:textId="77777777" w:rsidR="00E7045B" w:rsidRPr="007831BB" w:rsidRDefault="00E7045B" w:rsidP="0001341F">
      <w:pPr>
        <w:pStyle w:val="Normalnumber"/>
        <w:numPr>
          <w:ilvl w:val="0"/>
          <w:numId w:val="297"/>
        </w:numPr>
        <w:rPr>
          <w:lang w:val="en-GB"/>
        </w:rPr>
      </w:pPr>
      <w:r w:rsidRPr="007831BB">
        <w:rPr>
          <w:lang w:val="en-GB"/>
        </w:rPr>
        <w:t xml:space="preserve">Through the participatory mechanism, IPBES will engage in </w:t>
      </w:r>
      <w:r w:rsidRPr="007831BB">
        <w:rPr>
          <w:b/>
          <w:lang w:val="en-GB"/>
        </w:rPr>
        <w:t>strategic partnerships</w:t>
      </w:r>
      <w:r w:rsidRPr="007831BB">
        <w:rPr>
          <w:lang w:val="en-GB"/>
        </w:rPr>
        <w:t xml:space="preserve"> to:</w:t>
      </w:r>
    </w:p>
    <w:p w14:paraId="4C8778A7" w14:textId="77777777" w:rsidR="00E7045B" w:rsidRPr="007831BB" w:rsidRDefault="00E7045B" w:rsidP="00E7045B">
      <w:pPr>
        <w:pStyle w:val="Normalnumber"/>
        <w:numPr>
          <w:ilvl w:val="1"/>
          <w:numId w:val="29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Promote the broad reach of and engagement</w:t>
      </w:r>
      <w:r w:rsidRPr="007831BB" w:rsidDel="00744439">
        <w:rPr>
          <w:lang w:val="en-GB"/>
        </w:rPr>
        <w:t xml:space="preserve"> </w:t>
      </w:r>
      <w:r w:rsidRPr="007831BB">
        <w:rPr>
          <w:lang w:val="en-GB"/>
        </w:rPr>
        <w:t xml:space="preserve">in the online consultation and dialogue workshops; </w:t>
      </w:r>
    </w:p>
    <w:p w14:paraId="042C895F" w14:textId="77777777" w:rsidR="00E7045B" w:rsidRPr="007831BB" w:rsidRDefault="00E7045B" w:rsidP="00E7045B">
      <w:pPr>
        <w:pStyle w:val="Normalnumber"/>
        <w:numPr>
          <w:ilvl w:val="1"/>
          <w:numId w:val="296"/>
        </w:numPr>
        <w:tabs>
          <w:tab w:val="clear" w:pos="1247"/>
          <w:tab w:val="clear" w:pos="1814"/>
          <w:tab w:val="clear" w:pos="2381"/>
          <w:tab w:val="clear" w:pos="2948"/>
          <w:tab w:val="clear" w:pos="3515"/>
          <w:tab w:val="clear" w:pos="4082"/>
        </w:tabs>
        <w:ind w:firstLine="624"/>
        <w:rPr>
          <w:lang w:val="en-GB"/>
        </w:rPr>
      </w:pPr>
      <w:r w:rsidRPr="007831BB">
        <w:rPr>
          <w:lang w:val="en-GB"/>
        </w:rPr>
        <w:t>Promote and catalyse the mobilization of indigenous and local knowledge in accessible formats to address gaps identified by appropriate partners;</w:t>
      </w:r>
    </w:p>
    <w:p w14:paraId="3B9EA7CD" w14:textId="591A9F3E" w:rsidR="00E7045B" w:rsidRPr="007831BB" w:rsidRDefault="00E7045B" w:rsidP="00E7045B">
      <w:pPr>
        <w:pStyle w:val="Normalnumber"/>
        <w:numPr>
          <w:ilvl w:val="1"/>
          <w:numId w:val="296"/>
        </w:numPr>
        <w:tabs>
          <w:tab w:val="clear" w:pos="1247"/>
          <w:tab w:val="clear" w:pos="1814"/>
          <w:tab w:val="clear" w:pos="2381"/>
          <w:tab w:val="clear" w:pos="2948"/>
          <w:tab w:val="clear" w:pos="3515"/>
          <w:tab w:val="clear" w:pos="4082"/>
        </w:tabs>
        <w:ind w:firstLine="624"/>
        <w:rPr>
          <w:w w:val="103"/>
          <w:lang w:val="en-GB"/>
        </w:rPr>
      </w:pPr>
      <w:r w:rsidRPr="007831BB">
        <w:rPr>
          <w:lang w:val="en-GB"/>
        </w:rPr>
        <w:t>Promote and catalyse the undertaking of capacity-building activities that strengthen the ability of indigenous peoples and local communities to take part in, contribute to and benefit from IPBES deliverables;</w:t>
      </w:r>
    </w:p>
    <w:p w14:paraId="50983658" w14:textId="77777777" w:rsidR="00E7045B" w:rsidRPr="007831BB" w:rsidRDefault="00E7045B" w:rsidP="005D5A98">
      <w:pPr>
        <w:pStyle w:val="Normalnumber"/>
        <w:numPr>
          <w:ilvl w:val="0"/>
          <w:numId w:val="297"/>
        </w:numPr>
        <w:rPr>
          <w:w w:val="103"/>
          <w:lang w:val="en-GB"/>
        </w:rPr>
      </w:pPr>
      <w:r w:rsidRPr="007831BB">
        <w:rPr>
          <w:lang w:val="en-GB"/>
        </w:rPr>
        <w:t>Raise awareness and understanding of indigenous and local knowledge systems and the application of the IPBES approach to recognizing and working with indigenous and local knowledge.</w:t>
      </w:r>
    </w:p>
    <w:p w14:paraId="7A69A3C2"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41BC48DB" w14:textId="2321B6AA" w:rsidR="00E7045B" w:rsidRPr="007831BB" w:rsidRDefault="00E7045B" w:rsidP="00E7045B">
      <w:pPr>
        <w:pStyle w:val="CH1"/>
        <w:rPr>
          <w:rFonts w:eastAsia="Calibri"/>
          <w:w w:val="103"/>
          <w:lang w:val="en-GB"/>
        </w:rPr>
      </w:pPr>
      <w:r w:rsidRPr="007831BB">
        <w:rPr>
          <w:rFonts w:eastAsia="Calibri"/>
          <w:w w:val="103"/>
          <w:lang w:val="en-GB"/>
        </w:rPr>
        <w:tab/>
      </w:r>
      <w:r w:rsidRPr="007831BB">
        <w:rPr>
          <w:rFonts w:eastAsia="Calibri"/>
          <w:w w:val="103"/>
          <w:lang w:val="en-GB"/>
        </w:rPr>
        <w:tab/>
        <w:t xml:space="preserve">Annex III to decision </w:t>
      </w:r>
      <w:r w:rsidRPr="007831BB">
        <w:rPr>
          <w:lang w:val="en-GB"/>
        </w:rPr>
        <w:t>IPBES-5/1</w:t>
      </w:r>
    </w:p>
    <w:p w14:paraId="6F43CB4E" w14:textId="6D5BF90B" w:rsidR="00E7045B" w:rsidRPr="007831BB" w:rsidRDefault="00E7045B" w:rsidP="00E7045B">
      <w:pPr>
        <w:pStyle w:val="CH1"/>
        <w:rPr>
          <w:lang w:val="en-GB"/>
        </w:rPr>
      </w:pPr>
      <w:r w:rsidRPr="007831BB">
        <w:rPr>
          <w:lang w:val="en-GB"/>
        </w:rPr>
        <w:tab/>
      </w:r>
      <w:r w:rsidRPr="007831BB">
        <w:rPr>
          <w:lang w:val="en-GB"/>
        </w:rPr>
        <w:tab/>
        <w:t xml:space="preserve">Outline </w:t>
      </w:r>
      <w:proofErr w:type="spellStart"/>
      <w:r w:rsidRPr="007831BB">
        <w:rPr>
          <w:lang w:val="en-GB"/>
        </w:rPr>
        <w:t>workplan</w:t>
      </w:r>
      <w:proofErr w:type="spellEnd"/>
      <w:r w:rsidRPr="007831BB">
        <w:rPr>
          <w:lang w:val="en-GB"/>
        </w:rPr>
        <w:t xml:space="preserve"> for 2017 and 2018</w:t>
      </w:r>
    </w:p>
    <w:tbl>
      <w:tblPr>
        <w:tblW w:w="9498" w:type="dxa"/>
        <w:tblInd w:w="164" w:type="dxa"/>
        <w:tblLayout w:type="fixed"/>
        <w:tblLook w:val="04A0" w:firstRow="1" w:lastRow="0" w:firstColumn="1" w:lastColumn="0" w:noHBand="0" w:noVBand="1"/>
      </w:tblPr>
      <w:tblGrid>
        <w:gridCol w:w="2268"/>
        <w:gridCol w:w="993"/>
        <w:gridCol w:w="850"/>
        <w:gridCol w:w="992"/>
        <w:gridCol w:w="993"/>
        <w:gridCol w:w="850"/>
        <w:gridCol w:w="851"/>
        <w:gridCol w:w="850"/>
        <w:gridCol w:w="851"/>
      </w:tblGrid>
      <w:tr w:rsidR="00E7045B" w:rsidRPr="00440196" w14:paraId="46054502" w14:textId="77777777" w:rsidTr="00440196">
        <w:trPr>
          <w:tblHeader/>
        </w:trPr>
        <w:tc>
          <w:tcPr>
            <w:tcW w:w="2268" w:type="dxa"/>
            <w:tcBorders>
              <w:top w:val="single" w:sz="4" w:space="0" w:color="auto"/>
              <w:bottom w:val="single" w:sz="12" w:space="0" w:color="auto"/>
            </w:tcBorders>
            <w:vAlign w:val="center"/>
          </w:tcPr>
          <w:p w14:paraId="16DB4FB2" w14:textId="77777777" w:rsidR="00E7045B" w:rsidRPr="001B4189" w:rsidRDefault="00E7045B" w:rsidP="00440196">
            <w:pPr>
              <w:spacing w:before="40" w:after="40"/>
              <w:jc w:val="center"/>
              <w:rPr>
                <w:i/>
                <w:sz w:val="18"/>
                <w:szCs w:val="18"/>
                <w:lang w:eastAsia="zh-CN"/>
              </w:rPr>
            </w:pPr>
            <w:r w:rsidRPr="00440196">
              <w:rPr>
                <w:i/>
                <w:sz w:val="18"/>
                <w:szCs w:val="18"/>
                <w:lang w:eastAsia="zh-CN"/>
              </w:rPr>
              <w:t>Activity</w:t>
            </w:r>
          </w:p>
        </w:tc>
        <w:tc>
          <w:tcPr>
            <w:tcW w:w="993" w:type="dxa"/>
            <w:tcBorders>
              <w:top w:val="single" w:sz="4" w:space="0" w:color="auto"/>
              <w:bottom w:val="single" w:sz="12" w:space="0" w:color="auto"/>
            </w:tcBorders>
            <w:vAlign w:val="bottom"/>
          </w:tcPr>
          <w:p w14:paraId="768D29C4" w14:textId="77777777" w:rsidR="00E7045B" w:rsidRPr="00440196" w:rsidRDefault="00E7045B" w:rsidP="00440196">
            <w:pPr>
              <w:spacing w:before="40" w:after="40"/>
              <w:jc w:val="center"/>
              <w:rPr>
                <w:i/>
                <w:sz w:val="18"/>
                <w:szCs w:val="18"/>
                <w:lang w:eastAsia="zh-CN"/>
              </w:rPr>
            </w:pPr>
            <w:r w:rsidRPr="00440196">
              <w:rPr>
                <w:i/>
                <w:spacing w:val="4"/>
                <w:w w:val="103"/>
                <w:kern w:val="14"/>
                <w:sz w:val="18"/>
                <w:szCs w:val="18"/>
                <w:lang w:eastAsia="zh-CN"/>
              </w:rPr>
              <w:t>2nd quarter 2017</w:t>
            </w:r>
          </w:p>
        </w:tc>
        <w:tc>
          <w:tcPr>
            <w:tcW w:w="850" w:type="dxa"/>
            <w:tcBorders>
              <w:top w:val="single" w:sz="4" w:space="0" w:color="auto"/>
              <w:bottom w:val="single" w:sz="12" w:space="0" w:color="auto"/>
            </w:tcBorders>
            <w:vAlign w:val="bottom"/>
          </w:tcPr>
          <w:p w14:paraId="208836B2" w14:textId="77777777" w:rsidR="00E7045B" w:rsidRPr="00440196" w:rsidRDefault="00E7045B" w:rsidP="00440196">
            <w:pPr>
              <w:spacing w:before="40" w:after="40"/>
              <w:jc w:val="center"/>
              <w:rPr>
                <w:i/>
                <w:sz w:val="18"/>
                <w:szCs w:val="18"/>
                <w:lang w:eastAsia="zh-CN"/>
              </w:rPr>
            </w:pPr>
            <w:r w:rsidRPr="00440196">
              <w:rPr>
                <w:i/>
                <w:spacing w:val="4"/>
                <w:w w:val="103"/>
                <w:kern w:val="14"/>
                <w:sz w:val="18"/>
                <w:szCs w:val="18"/>
                <w:lang w:eastAsia="zh-CN"/>
              </w:rPr>
              <w:t>3rd quarter 2017</w:t>
            </w:r>
          </w:p>
        </w:tc>
        <w:tc>
          <w:tcPr>
            <w:tcW w:w="992" w:type="dxa"/>
            <w:tcBorders>
              <w:top w:val="single" w:sz="4" w:space="0" w:color="auto"/>
              <w:bottom w:val="single" w:sz="12" w:space="0" w:color="auto"/>
            </w:tcBorders>
            <w:vAlign w:val="bottom"/>
          </w:tcPr>
          <w:p w14:paraId="24A7131F" w14:textId="77777777" w:rsidR="00E7045B" w:rsidRPr="00440196" w:rsidRDefault="00E7045B" w:rsidP="00440196">
            <w:pPr>
              <w:spacing w:before="40" w:after="40"/>
              <w:jc w:val="center"/>
              <w:rPr>
                <w:i/>
                <w:sz w:val="18"/>
                <w:szCs w:val="18"/>
                <w:lang w:eastAsia="zh-CN"/>
              </w:rPr>
            </w:pPr>
            <w:r w:rsidRPr="00440196">
              <w:rPr>
                <w:i/>
                <w:spacing w:val="4"/>
                <w:w w:val="103"/>
                <w:kern w:val="14"/>
                <w:sz w:val="18"/>
                <w:szCs w:val="18"/>
                <w:lang w:eastAsia="zh-CN"/>
              </w:rPr>
              <w:t>4th quarter 2017</w:t>
            </w:r>
          </w:p>
        </w:tc>
        <w:tc>
          <w:tcPr>
            <w:tcW w:w="993" w:type="dxa"/>
            <w:tcBorders>
              <w:top w:val="single" w:sz="4" w:space="0" w:color="auto"/>
              <w:bottom w:val="single" w:sz="12" w:space="0" w:color="auto"/>
            </w:tcBorders>
            <w:vAlign w:val="bottom"/>
          </w:tcPr>
          <w:p w14:paraId="3895588A" w14:textId="77777777" w:rsidR="00E7045B" w:rsidRPr="00440196" w:rsidRDefault="00E7045B" w:rsidP="00440196">
            <w:pPr>
              <w:spacing w:before="40" w:after="40"/>
              <w:jc w:val="center"/>
              <w:rPr>
                <w:i/>
                <w:spacing w:val="4"/>
                <w:w w:val="103"/>
                <w:kern w:val="14"/>
                <w:sz w:val="18"/>
                <w:szCs w:val="18"/>
                <w:lang w:eastAsia="zh-CN"/>
              </w:rPr>
            </w:pPr>
            <w:r w:rsidRPr="00440196">
              <w:rPr>
                <w:i/>
                <w:spacing w:val="4"/>
                <w:w w:val="103"/>
                <w:kern w:val="14"/>
                <w:sz w:val="18"/>
                <w:szCs w:val="18"/>
                <w:lang w:eastAsia="zh-CN"/>
              </w:rPr>
              <w:t>1st quarter 2018</w:t>
            </w:r>
          </w:p>
        </w:tc>
        <w:tc>
          <w:tcPr>
            <w:tcW w:w="850" w:type="dxa"/>
            <w:tcBorders>
              <w:top w:val="single" w:sz="4" w:space="0" w:color="auto"/>
              <w:bottom w:val="single" w:sz="12" w:space="0" w:color="auto"/>
            </w:tcBorders>
            <w:vAlign w:val="bottom"/>
          </w:tcPr>
          <w:p w14:paraId="54727C86" w14:textId="77777777" w:rsidR="00E7045B" w:rsidRPr="00440196" w:rsidRDefault="00E7045B" w:rsidP="00440196">
            <w:pPr>
              <w:spacing w:before="40" w:after="40"/>
              <w:jc w:val="center"/>
              <w:rPr>
                <w:i/>
                <w:spacing w:val="4"/>
                <w:w w:val="103"/>
                <w:kern w:val="14"/>
                <w:sz w:val="18"/>
                <w:szCs w:val="18"/>
                <w:lang w:eastAsia="zh-CN"/>
              </w:rPr>
            </w:pPr>
            <w:r w:rsidRPr="00440196">
              <w:rPr>
                <w:i/>
                <w:spacing w:val="4"/>
                <w:w w:val="103"/>
                <w:kern w:val="14"/>
                <w:sz w:val="18"/>
                <w:szCs w:val="18"/>
                <w:lang w:eastAsia="zh-CN"/>
              </w:rPr>
              <w:t>2nd quarter 2018</w:t>
            </w:r>
          </w:p>
        </w:tc>
        <w:tc>
          <w:tcPr>
            <w:tcW w:w="851" w:type="dxa"/>
            <w:tcBorders>
              <w:top w:val="single" w:sz="4" w:space="0" w:color="auto"/>
              <w:bottom w:val="single" w:sz="12" w:space="0" w:color="auto"/>
            </w:tcBorders>
            <w:vAlign w:val="bottom"/>
          </w:tcPr>
          <w:p w14:paraId="47200B14" w14:textId="77777777" w:rsidR="00E7045B" w:rsidRPr="00440196" w:rsidRDefault="00E7045B" w:rsidP="00440196">
            <w:pPr>
              <w:spacing w:before="40" w:after="40"/>
              <w:jc w:val="center"/>
              <w:rPr>
                <w:i/>
                <w:spacing w:val="4"/>
                <w:w w:val="103"/>
                <w:kern w:val="14"/>
                <w:sz w:val="18"/>
                <w:szCs w:val="18"/>
                <w:lang w:eastAsia="zh-CN"/>
              </w:rPr>
            </w:pPr>
            <w:r w:rsidRPr="00440196">
              <w:rPr>
                <w:i/>
                <w:spacing w:val="4"/>
                <w:w w:val="103"/>
                <w:kern w:val="14"/>
                <w:sz w:val="18"/>
                <w:szCs w:val="18"/>
                <w:lang w:eastAsia="zh-CN"/>
              </w:rPr>
              <w:t>3rd quarter 2018</w:t>
            </w:r>
          </w:p>
        </w:tc>
        <w:tc>
          <w:tcPr>
            <w:tcW w:w="850" w:type="dxa"/>
            <w:tcBorders>
              <w:top w:val="single" w:sz="4" w:space="0" w:color="auto"/>
              <w:bottom w:val="single" w:sz="12" w:space="0" w:color="auto"/>
            </w:tcBorders>
            <w:vAlign w:val="bottom"/>
          </w:tcPr>
          <w:p w14:paraId="3355D569" w14:textId="77777777" w:rsidR="00E7045B" w:rsidRPr="00440196" w:rsidRDefault="00E7045B" w:rsidP="00440196">
            <w:pPr>
              <w:spacing w:before="40" w:after="40"/>
              <w:jc w:val="center"/>
              <w:rPr>
                <w:i/>
                <w:spacing w:val="4"/>
                <w:w w:val="103"/>
                <w:kern w:val="14"/>
                <w:sz w:val="18"/>
                <w:szCs w:val="18"/>
                <w:lang w:eastAsia="zh-CN"/>
              </w:rPr>
            </w:pPr>
            <w:r w:rsidRPr="00440196">
              <w:rPr>
                <w:i/>
                <w:spacing w:val="4"/>
                <w:w w:val="103"/>
                <w:kern w:val="14"/>
                <w:sz w:val="18"/>
                <w:szCs w:val="18"/>
                <w:lang w:eastAsia="zh-CN"/>
              </w:rPr>
              <w:t>4th quarter 2018</w:t>
            </w:r>
          </w:p>
        </w:tc>
        <w:tc>
          <w:tcPr>
            <w:tcW w:w="851" w:type="dxa"/>
            <w:tcBorders>
              <w:top w:val="single" w:sz="4" w:space="0" w:color="auto"/>
              <w:bottom w:val="single" w:sz="12" w:space="0" w:color="auto"/>
            </w:tcBorders>
            <w:vAlign w:val="bottom"/>
          </w:tcPr>
          <w:p w14:paraId="7EE8DA22" w14:textId="77777777" w:rsidR="00E7045B" w:rsidRPr="00440196" w:rsidRDefault="00E7045B" w:rsidP="00440196">
            <w:pPr>
              <w:spacing w:before="40" w:after="40"/>
              <w:jc w:val="center"/>
              <w:rPr>
                <w:i/>
                <w:spacing w:val="4"/>
                <w:w w:val="103"/>
                <w:kern w:val="14"/>
                <w:sz w:val="18"/>
                <w:szCs w:val="18"/>
                <w:lang w:eastAsia="zh-CN"/>
              </w:rPr>
            </w:pPr>
            <w:r w:rsidRPr="00440196">
              <w:rPr>
                <w:i/>
                <w:spacing w:val="4"/>
                <w:w w:val="103"/>
                <w:kern w:val="14"/>
                <w:sz w:val="18"/>
                <w:szCs w:val="18"/>
                <w:lang w:eastAsia="zh-CN"/>
              </w:rPr>
              <w:t>1st quarter 2019</w:t>
            </w:r>
          </w:p>
        </w:tc>
      </w:tr>
      <w:tr w:rsidR="00E7045B" w:rsidRPr="00440196" w14:paraId="36889278" w14:textId="77777777" w:rsidTr="00440196">
        <w:tc>
          <w:tcPr>
            <w:tcW w:w="2268" w:type="dxa"/>
            <w:tcBorders>
              <w:top w:val="single" w:sz="12" w:space="0" w:color="auto"/>
            </w:tcBorders>
            <w:vAlign w:val="center"/>
          </w:tcPr>
          <w:p w14:paraId="533544E7" w14:textId="77777777" w:rsidR="00E7045B" w:rsidRPr="00440196" w:rsidRDefault="00E7045B" w:rsidP="00440196">
            <w:pPr>
              <w:spacing w:before="40" w:after="40"/>
              <w:rPr>
                <w:sz w:val="18"/>
                <w:szCs w:val="18"/>
                <w:lang w:eastAsia="zh-CN"/>
              </w:rPr>
            </w:pPr>
            <w:r w:rsidRPr="00440196">
              <w:rPr>
                <w:sz w:val="18"/>
                <w:szCs w:val="18"/>
                <w:lang w:eastAsia="zh-CN"/>
              </w:rPr>
              <w:t>Support to experts working on assessments regarding the selection and use of indicators, metrics and related data</w:t>
            </w:r>
          </w:p>
        </w:tc>
        <w:tc>
          <w:tcPr>
            <w:tcW w:w="993" w:type="dxa"/>
            <w:tcBorders>
              <w:top w:val="single" w:sz="12" w:space="0" w:color="auto"/>
            </w:tcBorders>
            <w:shd w:val="clear" w:color="auto" w:fill="D9D9D9" w:themeFill="background1" w:themeFillShade="D9"/>
            <w:vAlign w:val="center"/>
          </w:tcPr>
          <w:p w14:paraId="3DA13054"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tcBorders>
              <w:top w:val="single" w:sz="12" w:space="0" w:color="auto"/>
            </w:tcBorders>
            <w:shd w:val="clear" w:color="auto" w:fill="D9D9D9" w:themeFill="background1" w:themeFillShade="D9"/>
            <w:vAlign w:val="center"/>
          </w:tcPr>
          <w:p w14:paraId="6BC7DB42"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992" w:type="dxa"/>
            <w:tcBorders>
              <w:top w:val="single" w:sz="12" w:space="0" w:color="auto"/>
            </w:tcBorders>
            <w:shd w:val="clear" w:color="auto" w:fill="D9D9D9" w:themeFill="background1" w:themeFillShade="D9"/>
            <w:vAlign w:val="center"/>
          </w:tcPr>
          <w:p w14:paraId="6D335D86"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993" w:type="dxa"/>
            <w:tcBorders>
              <w:top w:val="single" w:sz="12" w:space="0" w:color="auto"/>
            </w:tcBorders>
            <w:shd w:val="clear" w:color="auto" w:fill="D9D9D9" w:themeFill="background1" w:themeFillShade="D9"/>
            <w:vAlign w:val="center"/>
          </w:tcPr>
          <w:p w14:paraId="6697C2C2"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tcBorders>
              <w:top w:val="single" w:sz="12" w:space="0" w:color="auto"/>
            </w:tcBorders>
            <w:shd w:val="clear" w:color="auto" w:fill="D9D9D9" w:themeFill="background1" w:themeFillShade="D9"/>
            <w:vAlign w:val="center"/>
          </w:tcPr>
          <w:p w14:paraId="671767AA"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tcBorders>
              <w:top w:val="single" w:sz="12" w:space="0" w:color="auto"/>
            </w:tcBorders>
            <w:shd w:val="clear" w:color="auto" w:fill="D9D9D9" w:themeFill="background1" w:themeFillShade="D9"/>
            <w:vAlign w:val="center"/>
          </w:tcPr>
          <w:p w14:paraId="07F0C0C6"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tcBorders>
              <w:top w:val="single" w:sz="12" w:space="0" w:color="auto"/>
            </w:tcBorders>
            <w:shd w:val="clear" w:color="auto" w:fill="D9D9D9" w:themeFill="background1" w:themeFillShade="D9"/>
            <w:vAlign w:val="center"/>
          </w:tcPr>
          <w:p w14:paraId="3A202181"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tcBorders>
              <w:top w:val="single" w:sz="12" w:space="0" w:color="auto"/>
            </w:tcBorders>
            <w:shd w:val="clear" w:color="auto" w:fill="D9D9D9" w:themeFill="background1" w:themeFillShade="D9"/>
            <w:vAlign w:val="center"/>
          </w:tcPr>
          <w:p w14:paraId="7DB226D4"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r>
      <w:tr w:rsidR="00E7045B" w:rsidRPr="00440196" w14:paraId="6B802738" w14:textId="77777777" w:rsidTr="00440196">
        <w:tc>
          <w:tcPr>
            <w:tcW w:w="2268" w:type="dxa"/>
            <w:vAlign w:val="center"/>
          </w:tcPr>
          <w:p w14:paraId="3067DE6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Survey regarding the utility of the web-based infrastructure and its further refinement</w:t>
            </w:r>
          </w:p>
        </w:tc>
        <w:tc>
          <w:tcPr>
            <w:tcW w:w="993" w:type="dxa"/>
            <w:shd w:val="clear" w:color="auto" w:fill="D9D9D9" w:themeFill="background1" w:themeFillShade="D9"/>
            <w:vAlign w:val="center"/>
          </w:tcPr>
          <w:p w14:paraId="1BCB38CF"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D9D9D9" w:themeFill="background1" w:themeFillShade="D9"/>
            <w:vAlign w:val="center"/>
          </w:tcPr>
          <w:p w14:paraId="5E4F238E" w14:textId="77777777" w:rsidR="00E7045B" w:rsidRPr="007831BB" w:rsidRDefault="00E7045B" w:rsidP="00440196">
            <w:pPr>
              <w:widowControl w:val="0"/>
              <w:tabs>
                <w:tab w:val="left" w:pos="6480"/>
                <w:tab w:val="left" w:pos="7200"/>
              </w:tabs>
              <w:spacing w:before="40" w:after="40"/>
              <w:jc w:val="center"/>
              <w:rPr>
                <w:sz w:val="18"/>
                <w:szCs w:val="18"/>
                <w:lang w:eastAsia="zh-CN"/>
              </w:rPr>
            </w:pPr>
            <w:r w:rsidRPr="00440196">
              <w:rPr>
                <w:sz w:val="18"/>
                <w:szCs w:val="18"/>
                <w:lang w:eastAsia="zh-CN"/>
              </w:rPr>
              <w:t>x</w:t>
            </w:r>
          </w:p>
        </w:tc>
        <w:tc>
          <w:tcPr>
            <w:tcW w:w="992" w:type="dxa"/>
            <w:shd w:val="clear" w:color="auto" w:fill="D9D9D9" w:themeFill="background1" w:themeFillShade="D9"/>
            <w:vAlign w:val="center"/>
          </w:tcPr>
          <w:p w14:paraId="1D13EDEF"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993" w:type="dxa"/>
          </w:tcPr>
          <w:p w14:paraId="209B9A28" w14:textId="77777777" w:rsidR="00E7045B" w:rsidRPr="00440196" w:rsidRDefault="00E7045B" w:rsidP="00440196">
            <w:pPr>
              <w:spacing w:before="40" w:after="40"/>
              <w:jc w:val="center"/>
              <w:rPr>
                <w:spacing w:val="4"/>
                <w:w w:val="103"/>
                <w:kern w:val="14"/>
                <w:sz w:val="18"/>
                <w:szCs w:val="18"/>
                <w:lang w:eastAsia="zh-CN"/>
              </w:rPr>
            </w:pPr>
          </w:p>
        </w:tc>
        <w:tc>
          <w:tcPr>
            <w:tcW w:w="850" w:type="dxa"/>
          </w:tcPr>
          <w:p w14:paraId="0C75AA14" w14:textId="77777777" w:rsidR="00E7045B" w:rsidRPr="00440196" w:rsidRDefault="00E7045B" w:rsidP="00440196">
            <w:pPr>
              <w:spacing w:before="40" w:after="40"/>
              <w:jc w:val="center"/>
              <w:rPr>
                <w:spacing w:val="4"/>
                <w:w w:val="103"/>
                <w:kern w:val="14"/>
                <w:sz w:val="18"/>
                <w:szCs w:val="18"/>
                <w:lang w:eastAsia="zh-CN"/>
              </w:rPr>
            </w:pPr>
          </w:p>
        </w:tc>
        <w:tc>
          <w:tcPr>
            <w:tcW w:w="851" w:type="dxa"/>
          </w:tcPr>
          <w:p w14:paraId="190A87ED" w14:textId="77777777" w:rsidR="00E7045B" w:rsidRPr="00440196" w:rsidRDefault="00E7045B" w:rsidP="00440196">
            <w:pPr>
              <w:spacing w:before="40" w:after="40"/>
              <w:jc w:val="center"/>
              <w:rPr>
                <w:spacing w:val="4"/>
                <w:w w:val="103"/>
                <w:kern w:val="14"/>
                <w:sz w:val="18"/>
                <w:szCs w:val="18"/>
                <w:lang w:eastAsia="zh-CN"/>
              </w:rPr>
            </w:pPr>
          </w:p>
        </w:tc>
        <w:tc>
          <w:tcPr>
            <w:tcW w:w="850" w:type="dxa"/>
          </w:tcPr>
          <w:p w14:paraId="440D4D97" w14:textId="77777777" w:rsidR="00E7045B" w:rsidRPr="00440196" w:rsidRDefault="00E7045B" w:rsidP="00440196">
            <w:pPr>
              <w:spacing w:before="40" w:after="40"/>
              <w:jc w:val="center"/>
              <w:rPr>
                <w:spacing w:val="4"/>
                <w:w w:val="103"/>
                <w:kern w:val="14"/>
                <w:sz w:val="18"/>
                <w:szCs w:val="18"/>
                <w:lang w:eastAsia="zh-CN"/>
              </w:rPr>
            </w:pPr>
          </w:p>
        </w:tc>
        <w:tc>
          <w:tcPr>
            <w:tcW w:w="851" w:type="dxa"/>
          </w:tcPr>
          <w:p w14:paraId="4D666010" w14:textId="77777777" w:rsidR="00E7045B" w:rsidRPr="00440196" w:rsidRDefault="00E7045B" w:rsidP="00440196">
            <w:pPr>
              <w:spacing w:before="40" w:after="40"/>
              <w:jc w:val="center"/>
              <w:rPr>
                <w:spacing w:val="4"/>
                <w:w w:val="103"/>
                <w:kern w:val="14"/>
                <w:sz w:val="18"/>
                <w:szCs w:val="18"/>
                <w:lang w:eastAsia="zh-CN"/>
              </w:rPr>
            </w:pPr>
          </w:p>
        </w:tc>
      </w:tr>
      <w:tr w:rsidR="00E7045B" w:rsidRPr="00440196" w14:paraId="514F1F07" w14:textId="77777777" w:rsidTr="00440196">
        <w:tc>
          <w:tcPr>
            <w:tcW w:w="2268" w:type="dxa"/>
            <w:vAlign w:val="center"/>
          </w:tcPr>
          <w:p w14:paraId="2E6D6E48"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Update of the web-based infrastructure with finalized IPBES products</w:t>
            </w:r>
          </w:p>
        </w:tc>
        <w:tc>
          <w:tcPr>
            <w:tcW w:w="993" w:type="dxa"/>
            <w:shd w:val="clear" w:color="auto" w:fill="D9D9D9" w:themeFill="background1" w:themeFillShade="D9"/>
            <w:vAlign w:val="center"/>
          </w:tcPr>
          <w:p w14:paraId="372C7907"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D9D9D9" w:themeFill="background1" w:themeFillShade="D9"/>
            <w:vAlign w:val="center"/>
          </w:tcPr>
          <w:p w14:paraId="402BD636" w14:textId="77777777" w:rsidR="00E7045B" w:rsidRPr="007831BB" w:rsidRDefault="00E7045B" w:rsidP="00440196">
            <w:pPr>
              <w:widowControl w:val="0"/>
              <w:tabs>
                <w:tab w:val="left" w:pos="6480"/>
                <w:tab w:val="left" w:pos="7200"/>
              </w:tabs>
              <w:spacing w:before="40" w:after="40"/>
              <w:jc w:val="center"/>
              <w:rPr>
                <w:sz w:val="18"/>
                <w:szCs w:val="18"/>
                <w:lang w:eastAsia="zh-CN"/>
              </w:rPr>
            </w:pPr>
            <w:r w:rsidRPr="00440196">
              <w:rPr>
                <w:sz w:val="18"/>
                <w:szCs w:val="18"/>
                <w:lang w:eastAsia="zh-CN"/>
              </w:rPr>
              <w:t>x</w:t>
            </w:r>
          </w:p>
        </w:tc>
        <w:tc>
          <w:tcPr>
            <w:tcW w:w="992" w:type="dxa"/>
            <w:shd w:val="clear" w:color="auto" w:fill="D9D9D9" w:themeFill="background1" w:themeFillShade="D9"/>
            <w:vAlign w:val="center"/>
          </w:tcPr>
          <w:p w14:paraId="6CC5B932"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993" w:type="dxa"/>
            <w:shd w:val="clear" w:color="auto" w:fill="D9D9D9" w:themeFill="background1" w:themeFillShade="D9"/>
            <w:vAlign w:val="center"/>
          </w:tcPr>
          <w:p w14:paraId="785E9C5C"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D9D9D9" w:themeFill="background1" w:themeFillShade="D9"/>
            <w:vAlign w:val="center"/>
          </w:tcPr>
          <w:p w14:paraId="60A17686"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shd w:val="clear" w:color="auto" w:fill="D9D9D9" w:themeFill="background1" w:themeFillShade="D9"/>
            <w:vAlign w:val="center"/>
          </w:tcPr>
          <w:p w14:paraId="2D4CCB52"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D9D9D9" w:themeFill="background1" w:themeFillShade="D9"/>
            <w:vAlign w:val="center"/>
          </w:tcPr>
          <w:p w14:paraId="7620DE0E"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shd w:val="clear" w:color="auto" w:fill="D9D9D9" w:themeFill="background1" w:themeFillShade="D9"/>
            <w:vAlign w:val="center"/>
          </w:tcPr>
          <w:p w14:paraId="65F3B40C"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r>
      <w:tr w:rsidR="00E7045B" w:rsidRPr="00440196" w14:paraId="51C78A76" w14:textId="77777777" w:rsidTr="00440196">
        <w:tc>
          <w:tcPr>
            <w:tcW w:w="2268" w:type="dxa"/>
            <w:vAlign w:val="center"/>
          </w:tcPr>
          <w:p w14:paraId="6366343F" w14:textId="15A5C414" w:rsidR="00E7045B" w:rsidRPr="001B4189" w:rsidRDefault="00E7045B" w:rsidP="00440196">
            <w:pPr>
              <w:spacing w:before="40" w:after="40"/>
              <w:rPr>
                <w:sz w:val="18"/>
                <w:szCs w:val="18"/>
                <w:lang w:eastAsia="zh-CN"/>
              </w:rPr>
            </w:pPr>
            <w:r w:rsidRPr="00440196">
              <w:rPr>
                <w:sz w:val="18"/>
                <w:szCs w:val="18"/>
                <w:lang w:eastAsia="zh-CN"/>
              </w:rPr>
              <w:t xml:space="preserve">Development of the </w:t>
            </w:r>
            <w:r w:rsidR="002B5903">
              <w:rPr>
                <w:sz w:val="18"/>
                <w:szCs w:val="18"/>
                <w:lang w:eastAsia="zh-CN"/>
              </w:rPr>
              <w:br/>
            </w:r>
            <w:r w:rsidRPr="001B4189">
              <w:rPr>
                <w:sz w:val="18"/>
                <w:szCs w:val="18"/>
                <w:lang w:eastAsia="zh-CN"/>
              </w:rPr>
              <w:t>web-based infrastructure into a repository of key resources pertaining to IPBES deliverables</w:t>
            </w:r>
          </w:p>
        </w:tc>
        <w:tc>
          <w:tcPr>
            <w:tcW w:w="993" w:type="dxa"/>
          </w:tcPr>
          <w:p w14:paraId="62EF3385" w14:textId="77777777" w:rsidR="00E7045B" w:rsidRPr="00440196" w:rsidRDefault="00E7045B" w:rsidP="00440196">
            <w:pPr>
              <w:spacing w:before="40" w:after="40"/>
              <w:jc w:val="center"/>
              <w:rPr>
                <w:spacing w:val="4"/>
                <w:w w:val="103"/>
                <w:kern w:val="14"/>
                <w:sz w:val="18"/>
                <w:szCs w:val="18"/>
                <w:lang w:eastAsia="zh-CN"/>
              </w:rPr>
            </w:pPr>
          </w:p>
        </w:tc>
        <w:tc>
          <w:tcPr>
            <w:tcW w:w="850" w:type="dxa"/>
            <w:shd w:val="clear" w:color="auto" w:fill="D9D9D9" w:themeFill="background1" w:themeFillShade="D9"/>
            <w:vAlign w:val="center"/>
          </w:tcPr>
          <w:p w14:paraId="0D985EF8" w14:textId="77777777" w:rsidR="00E7045B" w:rsidRPr="007831BB" w:rsidRDefault="00E7045B" w:rsidP="00440196">
            <w:pPr>
              <w:widowControl w:val="0"/>
              <w:tabs>
                <w:tab w:val="left" w:pos="6480"/>
                <w:tab w:val="left" w:pos="7200"/>
              </w:tabs>
              <w:spacing w:before="40" w:after="40"/>
              <w:jc w:val="center"/>
              <w:rPr>
                <w:sz w:val="18"/>
                <w:szCs w:val="18"/>
                <w:lang w:eastAsia="zh-CN"/>
              </w:rPr>
            </w:pPr>
            <w:r w:rsidRPr="00440196">
              <w:rPr>
                <w:sz w:val="18"/>
                <w:szCs w:val="18"/>
                <w:lang w:eastAsia="zh-CN"/>
              </w:rPr>
              <w:t>x</w:t>
            </w:r>
          </w:p>
        </w:tc>
        <w:tc>
          <w:tcPr>
            <w:tcW w:w="992" w:type="dxa"/>
            <w:shd w:val="clear" w:color="auto" w:fill="D9D9D9" w:themeFill="background1" w:themeFillShade="D9"/>
            <w:vAlign w:val="center"/>
          </w:tcPr>
          <w:p w14:paraId="298007EB"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993" w:type="dxa"/>
            <w:shd w:val="clear" w:color="auto" w:fill="D9D9D9" w:themeFill="background1" w:themeFillShade="D9"/>
            <w:vAlign w:val="center"/>
          </w:tcPr>
          <w:p w14:paraId="2FBC8236"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D9D9D9" w:themeFill="background1" w:themeFillShade="D9"/>
            <w:vAlign w:val="center"/>
          </w:tcPr>
          <w:p w14:paraId="6DDC222A"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shd w:val="clear" w:color="auto" w:fill="D9D9D9" w:themeFill="background1" w:themeFillShade="D9"/>
            <w:vAlign w:val="center"/>
          </w:tcPr>
          <w:p w14:paraId="31178937"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D9D9D9" w:themeFill="background1" w:themeFillShade="D9"/>
            <w:vAlign w:val="center"/>
          </w:tcPr>
          <w:p w14:paraId="6EF7C24B"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shd w:val="clear" w:color="auto" w:fill="D9D9D9" w:themeFill="background1" w:themeFillShade="D9"/>
            <w:vAlign w:val="center"/>
          </w:tcPr>
          <w:p w14:paraId="31E5A3BE"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r>
      <w:tr w:rsidR="00E7045B" w:rsidRPr="00440196" w14:paraId="254ED29C" w14:textId="77777777" w:rsidTr="00440196">
        <w:tc>
          <w:tcPr>
            <w:tcW w:w="2268" w:type="dxa"/>
            <w:vAlign w:val="center"/>
          </w:tcPr>
          <w:p w14:paraId="6F17B3EB"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Identification of research gaps emerging in the context of </w:t>
            </w:r>
            <w:proofErr w:type="spellStart"/>
            <w:r w:rsidRPr="00440196">
              <w:rPr>
                <w:sz w:val="18"/>
                <w:szCs w:val="18"/>
                <w:lang w:eastAsia="zh-CN"/>
              </w:rPr>
              <w:t>ongoing</w:t>
            </w:r>
            <w:proofErr w:type="spellEnd"/>
            <w:r w:rsidRPr="00440196">
              <w:rPr>
                <w:sz w:val="18"/>
                <w:szCs w:val="18"/>
                <w:lang w:eastAsia="zh-CN"/>
              </w:rPr>
              <w:t xml:space="preserve"> and completed assessments</w:t>
            </w:r>
          </w:p>
        </w:tc>
        <w:tc>
          <w:tcPr>
            <w:tcW w:w="993" w:type="dxa"/>
            <w:shd w:val="clear" w:color="auto" w:fill="D9D9D9" w:themeFill="background1" w:themeFillShade="D9"/>
            <w:vAlign w:val="center"/>
          </w:tcPr>
          <w:p w14:paraId="7B5E4384"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auto"/>
            <w:vAlign w:val="center"/>
          </w:tcPr>
          <w:p w14:paraId="6A51169D" w14:textId="77777777" w:rsidR="00E7045B" w:rsidRPr="00440196" w:rsidRDefault="00E7045B" w:rsidP="00440196">
            <w:pPr>
              <w:spacing w:before="40" w:after="40"/>
              <w:jc w:val="center"/>
              <w:rPr>
                <w:sz w:val="18"/>
                <w:szCs w:val="18"/>
                <w:lang w:eastAsia="zh-CN"/>
              </w:rPr>
            </w:pPr>
          </w:p>
        </w:tc>
        <w:tc>
          <w:tcPr>
            <w:tcW w:w="992" w:type="dxa"/>
            <w:shd w:val="clear" w:color="auto" w:fill="auto"/>
            <w:vAlign w:val="center"/>
          </w:tcPr>
          <w:p w14:paraId="43DD6205" w14:textId="77777777" w:rsidR="00E7045B" w:rsidRPr="00440196" w:rsidRDefault="00E7045B" w:rsidP="00440196">
            <w:pPr>
              <w:spacing w:before="40" w:after="40"/>
              <w:jc w:val="center"/>
              <w:rPr>
                <w:spacing w:val="4"/>
                <w:w w:val="103"/>
                <w:kern w:val="14"/>
                <w:sz w:val="18"/>
                <w:szCs w:val="18"/>
                <w:lang w:eastAsia="zh-CN"/>
              </w:rPr>
            </w:pPr>
          </w:p>
        </w:tc>
        <w:tc>
          <w:tcPr>
            <w:tcW w:w="993" w:type="dxa"/>
            <w:shd w:val="clear" w:color="auto" w:fill="auto"/>
            <w:vAlign w:val="center"/>
          </w:tcPr>
          <w:p w14:paraId="1F06439E" w14:textId="77777777" w:rsidR="00E7045B" w:rsidRPr="00440196" w:rsidRDefault="00E7045B" w:rsidP="00440196">
            <w:pPr>
              <w:spacing w:before="40" w:after="40"/>
              <w:jc w:val="center"/>
              <w:rPr>
                <w:spacing w:val="4"/>
                <w:w w:val="103"/>
                <w:kern w:val="14"/>
                <w:sz w:val="18"/>
                <w:szCs w:val="18"/>
                <w:lang w:eastAsia="zh-CN"/>
              </w:rPr>
            </w:pPr>
          </w:p>
        </w:tc>
        <w:tc>
          <w:tcPr>
            <w:tcW w:w="850" w:type="dxa"/>
            <w:shd w:val="clear" w:color="auto" w:fill="D9D9D9" w:themeFill="background1" w:themeFillShade="D9"/>
            <w:vAlign w:val="center"/>
          </w:tcPr>
          <w:p w14:paraId="4E5CCA28"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shd w:val="clear" w:color="auto" w:fill="auto"/>
            <w:vAlign w:val="center"/>
          </w:tcPr>
          <w:p w14:paraId="58C43E7D" w14:textId="77777777" w:rsidR="00E7045B" w:rsidRPr="00440196" w:rsidRDefault="00E7045B" w:rsidP="00440196">
            <w:pPr>
              <w:spacing w:before="40" w:after="40"/>
              <w:jc w:val="center"/>
              <w:rPr>
                <w:spacing w:val="4"/>
                <w:w w:val="103"/>
                <w:kern w:val="14"/>
                <w:sz w:val="18"/>
                <w:szCs w:val="18"/>
                <w:lang w:eastAsia="zh-CN"/>
              </w:rPr>
            </w:pPr>
          </w:p>
        </w:tc>
        <w:tc>
          <w:tcPr>
            <w:tcW w:w="850" w:type="dxa"/>
            <w:shd w:val="clear" w:color="auto" w:fill="auto"/>
            <w:vAlign w:val="center"/>
          </w:tcPr>
          <w:p w14:paraId="7B9E3911" w14:textId="77777777" w:rsidR="00E7045B" w:rsidRPr="00440196" w:rsidRDefault="00E7045B" w:rsidP="00440196">
            <w:pPr>
              <w:spacing w:before="40" w:after="40"/>
              <w:jc w:val="center"/>
              <w:rPr>
                <w:spacing w:val="4"/>
                <w:w w:val="103"/>
                <w:kern w:val="14"/>
                <w:sz w:val="18"/>
                <w:szCs w:val="18"/>
                <w:lang w:eastAsia="zh-CN"/>
              </w:rPr>
            </w:pPr>
          </w:p>
        </w:tc>
        <w:tc>
          <w:tcPr>
            <w:tcW w:w="851" w:type="dxa"/>
            <w:shd w:val="clear" w:color="auto" w:fill="auto"/>
            <w:vAlign w:val="center"/>
          </w:tcPr>
          <w:p w14:paraId="00004474" w14:textId="77777777" w:rsidR="00E7045B" w:rsidRPr="00440196" w:rsidRDefault="00E7045B" w:rsidP="00440196">
            <w:pPr>
              <w:spacing w:before="40" w:after="40"/>
              <w:jc w:val="center"/>
              <w:rPr>
                <w:spacing w:val="4"/>
                <w:w w:val="103"/>
                <w:kern w:val="14"/>
                <w:sz w:val="18"/>
                <w:szCs w:val="18"/>
                <w:lang w:eastAsia="zh-CN"/>
              </w:rPr>
            </w:pPr>
          </w:p>
        </w:tc>
      </w:tr>
      <w:tr w:rsidR="00E7045B" w:rsidRPr="00440196" w14:paraId="7DFBDA2D" w14:textId="77777777" w:rsidTr="00160BD4">
        <w:tc>
          <w:tcPr>
            <w:tcW w:w="2268" w:type="dxa"/>
            <w:vAlign w:val="center"/>
          </w:tcPr>
          <w:p w14:paraId="5BF2748D" w14:textId="6DBCE4C2"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Consultation</w:t>
            </w:r>
            <w:r w:rsidR="00B915C1">
              <w:rPr>
                <w:sz w:val="18"/>
                <w:szCs w:val="18"/>
                <w:lang w:eastAsia="zh-CN"/>
              </w:rPr>
              <w:t>s</w:t>
            </w:r>
            <w:r w:rsidRPr="00440196">
              <w:rPr>
                <w:sz w:val="18"/>
                <w:szCs w:val="18"/>
                <w:lang w:eastAsia="zh-CN"/>
              </w:rPr>
              <w:t xml:space="preserve"> on suggested priority areas for knowledge generation </w:t>
            </w:r>
          </w:p>
        </w:tc>
        <w:tc>
          <w:tcPr>
            <w:tcW w:w="993" w:type="dxa"/>
            <w:shd w:val="clear" w:color="auto" w:fill="D9D9D9" w:themeFill="background1" w:themeFillShade="D9"/>
            <w:vAlign w:val="center"/>
          </w:tcPr>
          <w:p w14:paraId="7F6E3097"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shd w:val="clear" w:color="auto" w:fill="D9D9D9" w:themeFill="background1" w:themeFillShade="D9"/>
            <w:vAlign w:val="center"/>
          </w:tcPr>
          <w:p w14:paraId="414B1C39" w14:textId="77777777" w:rsidR="00E7045B" w:rsidRPr="007831BB" w:rsidRDefault="00E7045B" w:rsidP="00440196">
            <w:pPr>
              <w:widowControl w:val="0"/>
              <w:tabs>
                <w:tab w:val="left" w:pos="6480"/>
                <w:tab w:val="left" w:pos="7200"/>
              </w:tabs>
              <w:spacing w:before="40" w:after="40"/>
              <w:jc w:val="center"/>
              <w:rPr>
                <w:sz w:val="18"/>
                <w:szCs w:val="18"/>
                <w:lang w:eastAsia="zh-CN"/>
              </w:rPr>
            </w:pPr>
            <w:r w:rsidRPr="00440196">
              <w:rPr>
                <w:sz w:val="18"/>
                <w:szCs w:val="18"/>
                <w:lang w:eastAsia="zh-CN"/>
              </w:rPr>
              <w:t>x</w:t>
            </w:r>
          </w:p>
        </w:tc>
        <w:tc>
          <w:tcPr>
            <w:tcW w:w="992" w:type="dxa"/>
          </w:tcPr>
          <w:p w14:paraId="79868AD9" w14:textId="77777777" w:rsidR="00E7045B" w:rsidRPr="00440196" w:rsidRDefault="00E7045B" w:rsidP="00440196">
            <w:pPr>
              <w:spacing w:before="40" w:after="40"/>
              <w:jc w:val="center"/>
              <w:rPr>
                <w:spacing w:val="4"/>
                <w:w w:val="103"/>
                <w:kern w:val="14"/>
                <w:sz w:val="18"/>
                <w:szCs w:val="18"/>
                <w:lang w:eastAsia="zh-CN"/>
              </w:rPr>
            </w:pPr>
          </w:p>
        </w:tc>
        <w:tc>
          <w:tcPr>
            <w:tcW w:w="993" w:type="dxa"/>
          </w:tcPr>
          <w:p w14:paraId="3989A65C" w14:textId="77777777" w:rsidR="00E7045B" w:rsidRPr="00440196" w:rsidRDefault="00E7045B" w:rsidP="00440196">
            <w:pPr>
              <w:spacing w:before="40" w:after="40"/>
              <w:jc w:val="center"/>
              <w:rPr>
                <w:spacing w:val="4"/>
                <w:w w:val="103"/>
                <w:kern w:val="14"/>
                <w:sz w:val="18"/>
                <w:szCs w:val="18"/>
                <w:lang w:eastAsia="zh-CN"/>
              </w:rPr>
            </w:pPr>
          </w:p>
        </w:tc>
        <w:tc>
          <w:tcPr>
            <w:tcW w:w="850" w:type="dxa"/>
          </w:tcPr>
          <w:p w14:paraId="70BFF71A" w14:textId="77777777" w:rsidR="00E7045B" w:rsidRPr="00440196" w:rsidRDefault="00E7045B" w:rsidP="00440196">
            <w:pPr>
              <w:spacing w:before="40" w:after="40"/>
              <w:jc w:val="center"/>
              <w:rPr>
                <w:spacing w:val="4"/>
                <w:w w:val="103"/>
                <w:kern w:val="14"/>
                <w:sz w:val="18"/>
                <w:szCs w:val="18"/>
                <w:lang w:eastAsia="zh-CN"/>
              </w:rPr>
            </w:pPr>
          </w:p>
        </w:tc>
        <w:tc>
          <w:tcPr>
            <w:tcW w:w="851" w:type="dxa"/>
            <w:shd w:val="clear" w:color="auto" w:fill="D9D9D9" w:themeFill="background1" w:themeFillShade="D9"/>
            <w:vAlign w:val="center"/>
          </w:tcPr>
          <w:p w14:paraId="0F779EED"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vAlign w:val="center"/>
          </w:tcPr>
          <w:p w14:paraId="7B18B4F3" w14:textId="77777777" w:rsidR="00E7045B" w:rsidRPr="00440196" w:rsidRDefault="00E7045B" w:rsidP="00440196">
            <w:pPr>
              <w:spacing w:before="40" w:after="40"/>
              <w:jc w:val="center"/>
              <w:rPr>
                <w:spacing w:val="4"/>
                <w:w w:val="103"/>
                <w:kern w:val="14"/>
                <w:sz w:val="18"/>
                <w:szCs w:val="18"/>
                <w:lang w:eastAsia="zh-CN"/>
              </w:rPr>
            </w:pPr>
          </w:p>
        </w:tc>
        <w:tc>
          <w:tcPr>
            <w:tcW w:w="851" w:type="dxa"/>
            <w:vAlign w:val="center"/>
          </w:tcPr>
          <w:p w14:paraId="7DE2B9B9" w14:textId="77777777" w:rsidR="00E7045B" w:rsidRPr="00440196" w:rsidRDefault="00E7045B" w:rsidP="00440196">
            <w:pPr>
              <w:spacing w:before="40" w:after="40"/>
              <w:jc w:val="center"/>
              <w:rPr>
                <w:spacing w:val="4"/>
                <w:w w:val="103"/>
                <w:kern w:val="14"/>
                <w:sz w:val="18"/>
                <w:szCs w:val="18"/>
                <w:lang w:eastAsia="zh-CN"/>
              </w:rPr>
            </w:pPr>
          </w:p>
        </w:tc>
      </w:tr>
      <w:tr w:rsidR="00E7045B" w:rsidRPr="00440196" w14:paraId="7614D47F" w14:textId="77777777" w:rsidTr="00440196">
        <w:tc>
          <w:tcPr>
            <w:tcW w:w="2268" w:type="dxa"/>
          </w:tcPr>
          <w:p w14:paraId="41EDE6C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Engagement with potential research funding organizations on priority areas for knowledge generation</w:t>
            </w:r>
          </w:p>
        </w:tc>
        <w:tc>
          <w:tcPr>
            <w:tcW w:w="993" w:type="dxa"/>
          </w:tcPr>
          <w:p w14:paraId="5EBC73C8" w14:textId="77777777" w:rsidR="00E7045B" w:rsidRPr="00440196" w:rsidRDefault="00E7045B" w:rsidP="00440196">
            <w:pPr>
              <w:spacing w:before="40" w:after="40"/>
              <w:jc w:val="center"/>
              <w:rPr>
                <w:sz w:val="18"/>
                <w:szCs w:val="18"/>
                <w:lang w:eastAsia="zh-CN"/>
              </w:rPr>
            </w:pPr>
          </w:p>
        </w:tc>
        <w:tc>
          <w:tcPr>
            <w:tcW w:w="850" w:type="dxa"/>
            <w:shd w:val="clear" w:color="auto" w:fill="FFFFFF" w:themeFill="background1"/>
            <w:vAlign w:val="center"/>
          </w:tcPr>
          <w:p w14:paraId="7EB29EA9" w14:textId="77777777" w:rsidR="00E7045B" w:rsidRPr="00440196" w:rsidRDefault="00E7045B" w:rsidP="00440196">
            <w:pPr>
              <w:spacing w:before="40" w:after="40"/>
              <w:jc w:val="center"/>
              <w:rPr>
                <w:b/>
                <w:i/>
                <w:sz w:val="18"/>
                <w:szCs w:val="18"/>
                <w:lang w:eastAsia="zh-CN"/>
              </w:rPr>
            </w:pPr>
          </w:p>
        </w:tc>
        <w:tc>
          <w:tcPr>
            <w:tcW w:w="992" w:type="dxa"/>
            <w:shd w:val="clear" w:color="auto" w:fill="D9D9D9" w:themeFill="background1" w:themeFillShade="D9"/>
            <w:vAlign w:val="center"/>
          </w:tcPr>
          <w:p w14:paraId="257DC5E3" w14:textId="77777777" w:rsidR="00E7045B" w:rsidRPr="007831BB" w:rsidRDefault="00E7045B" w:rsidP="00440196">
            <w:pPr>
              <w:widowControl w:val="0"/>
              <w:tabs>
                <w:tab w:val="left" w:pos="6480"/>
                <w:tab w:val="left" w:pos="7200"/>
              </w:tabs>
              <w:spacing w:before="40" w:after="40"/>
              <w:jc w:val="center"/>
              <w:rPr>
                <w:sz w:val="18"/>
                <w:szCs w:val="18"/>
                <w:lang w:eastAsia="zh-CN"/>
              </w:rPr>
            </w:pPr>
            <w:r w:rsidRPr="00440196">
              <w:rPr>
                <w:sz w:val="18"/>
                <w:szCs w:val="18"/>
                <w:lang w:eastAsia="zh-CN"/>
              </w:rPr>
              <w:t>x</w:t>
            </w:r>
          </w:p>
        </w:tc>
        <w:tc>
          <w:tcPr>
            <w:tcW w:w="993" w:type="dxa"/>
            <w:shd w:val="clear" w:color="auto" w:fill="D9D9D9" w:themeFill="background1" w:themeFillShade="D9"/>
            <w:vAlign w:val="center"/>
          </w:tcPr>
          <w:p w14:paraId="651D5F1E"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z w:val="18"/>
                <w:szCs w:val="18"/>
                <w:lang w:eastAsia="zh-CN"/>
              </w:rPr>
              <w:t>x</w:t>
            </w:r>
          </w:p>
        </w:tc>
        <w:tc>
          <w:tcPr>
            <w:tcW w:w="850" w:type="dxa"/>
          </w:tcPr>
          <w:p w14:paraId="32D6F0F1" w14:textId="77777777" w:rsidR="00E7045B" w:rsidRPr="00440196" w:rsidRDefault="00E7045B" w:rsidP="00440196">
            <w:pPr>
              <w:spacing w:before="40" w:after="40"/>
              <w:jc w:val="center"/>
              <w:rPr>
                <w:spacing w:val="4"/>
                <w:w w:val="103"/>
                <w:kern w:val="14"/>
                <w:sz w:val="18"/>
                <w:szCs w:val="18"/>
                <w:lang w:eastAsia="zh-CN"/>
              </w:rPr>
            </w:pPr>
          </w:p>
        </w:tc>
        <w:tc>
          <w:tcPr>
            <w:tcW w:w="851" w:type="dxa"/>
            <w:vAlign w:val="center"/>
          </w:tcPr>
          <w:p w14:paraId="7AE62EBB" w14:textId="77777777" w:rsidR="00E7045B" w:rsidRPr="00440196" w:rsidRDefault="00E7045B" w:rsidP="00440196">
            <w:pPr>
              <w:spacing w:before="40" w:after="40"/>
              <w:jc w:val="center"/>
              <w:rPr>
                <w:spacing w:val="4"/>
                <w:w w:val="103"/>
                <w:kern w:val="14"/>
                <w:sz w:val="18"/>
                <w:szCs w:val="18"/>
                <w:lang w:eastAsia="zh-CN"/>
              </w:rPr>
            </w:pPr>
          </w:p>
        </w:tc>
        <w:tc>
          <w:tcPr>
            <w:tcW w:w="850" w:type="dxa"/>
            <w:shd w:val="clear" w:color="auto" w:fill="D9D9D9" w:themeFill="background1" w:themeFillShade="D9"/>
            <w:vAlign w:val="center"/>
          </w:tcPr>
          <w:p w14:paraId="6B9BAC53"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shd w:val="clear" w:color="auto" w:fill="D9D9D9" w:themeFill="background1" w:themeFillShade="D9"/>
            <w:vAlign w:val="center"/>
          </w:tcPr>
          <w:p w14:paraId="4E2ED7AD"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r>
      <w:tr w:rsidR="00E7045B" w:rsidRPr="00440196" w:rsidDel="001E184E" w14:paraId="49A7D538" w14:textId="77777777" w:rsidTr="00440196">
        <w:trPr>
          <w:trHeight w:val="560"/>
        </w:trPr>
        <w:tc>
          <w:tcPr>
            <w:tcW w:w="2268" w:type="dxa"/>
            <w:tcBorders>
              <w:bottom w:val="single" w:sz="12" w:space="0" w:color="auto"/>
            </w:tcBorders>
            <w:vAlign w:val="center"/>
          </w:tcPr>
          <w:p w14:paraId="18290560" w14:textId="77777777" w:rsidR="00E7045B" w:rsidRPr="007831BB" w:rsidRDefault="00E7045B" w:rsidP="00440196">
            <w:pPr>
              <w:widowControl w:val="0"/>
              <w:tabs>
                <w:tab w:val="left" w:pos="6480"/>
                <w:tab w:val="left" w:pos="7200"/>
              </w:tabs>
              <w:spacing w:before="40" w:after="40"/>
              <w:rPr>
                <w:spacing w:val="4"/>
                <w:w w:val="103"/>
                <w:kern w:val="14"/>
                <w:sz w:val="18"/>
                <w:szCs w:val="18"/>
                <w:lang w:eastAsia="zh-CN"/>
              </w:rPr>
            </w:pPr>
            <w:r w:rsidRPr="00440196">
              <w:rPr>
                <w:sz w:val="18"/>
                <w:szCs w:val="18"/>
                <w:lang w:eastAsia="zh-CN"/>
              </w:rPr>
              <w:t>Other activities related to knowledge and data in support of IPBES assessment experts</w:t>
            </w:r>
          </w:p>
        </w:tc>
        <w:tc>
          <w:tcPr>
            <w:tcW w:w="993" w:type="dxa"/>
            <w:tcBorders>
              <w:bottom w:val="single" w:sz="12" w:space="0" w:color="auto"/>
            </w:tcBorders>
            <w:shd w:val="clear" w:color="auto" w:fill="D9D9D9" w:themeFill="background1" w:themeFillShade="D9"/>
            <w:vAlign w:val="center"/>
          </w:tcPr>
          <w:p w14:paraId="78BFE34D"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tcBorders>
              <w:bottom w:val="single" w:sz="12" w:space="0" w:color="auto"/>
            </w:tcBorders>
            <w:shd w:val="clear" w:color="auto" w:fill="D9D9D9" w:themeFill="background1" w:themeFillShade="D9"/>
            <w:vAlign w:val="center"/>
          </w:tcPr>
          <w:p w14:paraId="74800059"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992" w:type="dxa"/>
            <w:tcBorders>
              <w:bottom w:val="single" w:sz="12" w:space="0" w:color="auto"/>
            </w:tcBorders>
            <w:shd w:val="clear" w:color="auto" w:fill="D9D9D9" w:themeFill="background1" w:themeFillShade="D9"/>
            <w:vAlign w:val="center"/>
          </w:tcPr>
          <w:p w14:paraId="6D9A4E71"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993" w:type="dxa"/>
            <w:tcBorders>
              <w:bottom w:val="single" w:sz="12" w:space="0" w:color="auto"/>
            </w:tcBorders>
            <w:shd w:val="clear" w:color="auto" w:fill="D9D9D9" w:themeFill="background1" w:themeFillShade="D9"/>
            <w:vAlign w:val="center"/>
          </w:tcPr>
          <w:p w14:paraId="53C0257C"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tcBorders>
              <w:bottom w:val="single" w:sz="12" w:space="0" w:color="auto"/>
            </w:tcBorders>
            <w:shd w:val="clear" w:color="auto" w:fill="D9D9D9" w:themeFill="background1" w:themeFillShade="D9"/>
            <w:vAlign w:val="center"/>
          </w:tcPr>
          <w:p w14:paraId="0D6AD733"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tcBorders>
              <w:bottom w:val="single" w:sz="12" w:space="0" w:color="auto"/>
            </w:tcBorders>
            <w:shd w:val="clear" w:color="auto" w:fill="D9D9D9" w:themeFill="background1" w:themeFillShade="D9"/>
            <w:vAlign w:val="center"/>
          </w:tcPr>
          <w:p w14:paraId="56CE6823"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0" w:type="dxa"/>
            <w:tcBorders>
              <w:bottom w:val="single" w:sz="12" w:space="0" w:color="auto"/>
            </w:tcBorders>
            <w:shd w:val="clear" w:color="auto" w:fill="D9D9D9" w:themeFill="background1" w:themeFillShade="D9"/>
            <w:vAlign w:val="center"/>
          </w:tcPr>
          <w:p w14:paraId="477DF1CA"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c>
          <w:tcPr>
            <w:tcW w:w="851" w:type="dxa"/>
            <w:tcBorders>
              <w:bottom w:val="single" w:sz="12" w:space="0" w:color="auto"/>
            </w:tcBorders>
            <w:shd w:val="clear" w:color="auto" w:fill="D9D9D9" w:themeFill="background1" w:themeFillShade="D9"/>
            <w:vAlign w:val="center"/>
          </w:tcPr>
          <w:p w14:paraId="45B19B83" w14:textId="77777777" w:rsidR="00E7045B" w:rsidRPr="007831BB" w:rsidRDefault="00E7045B" w:rsidP="00440196">
            <w:pPr>
              <w:widowControl w:val="0"/>
              <w:tabs>
                <w:tab w:val="left" w:pos="6480"/>
                <w:tab w:val="left" w:pos="7200"/>
              </w:tabs>
              <w:spacing w:before="40" w:after="40"/>
              <w:jc w:val="center"/>
              <w:rPr>
                <w:spacing w:val="4"/>
                <w:w w:val="103"/>
                <w:kern w:val="14"/>
                <w:sz w:val="18"/>
                <w:szCs w:val="18"/>
                <w:lang w:eastAsia="zh-CN"/>
              </w:rPr>
            </w:pPr>
            <w:r w:rsidRPr="00440196">
              <w:rPr>
                <w:spacing w:val="4"/>
                <w:w w:val="103"/>
                <w:kern w:val="14"/>
                <w:sz w:val="18"/>
                <w:szCs w:val="18"/>
                <w:lang w:eastAsia="zh-CN"/>
              </w:rPr>
              <w:t>x</w:t>
            </w:r>
          </w:p>
        </w:tc>
      </w:tr>
    </w:tbl>
    <w:p w14:paraId="46AB9D03" w14:textId="02A0DD51" w:rsidR="00E7045B" w:rsidRPr="00964A01" w:rsidRDefault="00E7045B" w:rsidP="00E7045B">
      <w:pPr>
        <w:pStyle w:val="NormalNonumber"/>
        <w:rPr>
          <w:b/>
          <w:lang w:val="en-GB" w:eastAsia="en-GB"/>
        </w:rPr>
      </w:pPr>
    </w:p>
    <w:p w14:paraId="40B3437F"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38313CF3" w14:textId="77777777" w:rsidR="00E7045B" w:rsidRPr="007831BB" w:rsidRDefault="00E7045B" w:rsidP="00E7045B">
      <w:pPr>
        <w:pStyle w:val="CH1"/>
        <w:rPr>
          <w:lang w:val="en-GB"/>
        </w:rPr>
      </w:pPr>
      <w:r w:rsidRPr="007831BB">
        <w:rPr>
          <w:rFonts w:eastAsia="Calibri"/>
          <w:w w:val="103"/>
          <w:lang w:val="en-GB"/>
        </w:rPr>
        <w:tab/>
      </w:r>
      <w:r w:rsidRPr="007831BB">
        <w:rPr>
          <w:rFonts w:eastAsia="Calibri"/>
          <w:w w:val="103"/>
          <w:lang w:val="en-GB"/>
        </w:rPr>
        <w:tab/>
        <w:t>Annex IV</w:t>
      </w:r>
      <w:r w:rsidRPr="007831BB">
        <w:rPr>
          <w:lang w:val="en-GB"/>
        </w:rPr>
        <w:t xml:space="preserve"> to decision IPBES-5/1</w:t>
      </w:r>
    </w:p>
    <w:p w14:paraId="53FBF9A3" w14:textId="77777777" w:rsidR="00E7045B" w:rsidRPr="007831BB" w:rsidRDefault="00E7045B" w:rsidP="00E7045B">
      <w:pPr>
        <w:pStyle w:val="CH1"/>
        <w:rPr>
          <w:rFonts w:eastAsia="Calibri"/>
          <w:w w:val="103"/>
          <w:lang w:val="en-GB"/>
        </w:rPr>
      </w:pPr>
      <w:r w:rsidRPr="007831BB">
        <w:rPr>
          <w:rFonts w:eastAsia="Calibri"/>
          <w:w w:val="103"/>
          <w:lang w:val="en-GB"/>
        </w:rPr>
        <w:tab/>
      </w:r>
      <w:r w:rsidRPr="007831BB">
        <w:rPr>
          <w:rFonts w:eastAsia="Calibri"/>
          <w:w w:val="103"/>
          <w:lang w:val="en-GB"/>
        </w:rPr>
        <w:tab/>
        <w:t>Scoping report for a thematic assessment on the sustainable use of wild species: deliverable 3 (b) (iii)</w:t>
      </w:r>
    </w:p>
    <w:p w14:paraId="04A4C75F" w14:textId="77777777" w:rsidR="00E7045B" w:rsidRPr="007831BB" w:rsidRDefault="00E7045B" w:rsidP="00E7045B">
      <w:pPr>
        <w:pStyle w:val="CH1"/>
        <w:rPr>
          <w:lang w:val="en-GB"/>
        </w:rPr>
      </w:pPr>
      <w:r w:rsidRPr="007831BB">
        <w:rPr>
          <w:lang w:val="en-GB"/>
        </w:rPr>
        <w:tab/>
        <w:t>I.</w:t>
      </w:r>
      <w:r w:rsidRPr="007831BB">
        <w:rPr>
          <w:lang w:val="en-GB"/>
        </w:rPr>
        <w:tab/>
        <w:t>Scope, coverage, rationale, utility and methodological approach</w:t>
      </w:r>
    </w:p>
    <w:p w14:paraId="4081433B" w14:textId="77777777" w:rsidR="00E7045B" w:rsidRPr="007831BB" w:rsidRDefault="00E7045B" w:rsidP="00E7045B">
      <w:pPr>
        <w:pStyle w:val="CH2"/>
        <w:rPr>
          <w:lang w:val="en-GB"/>
        </w:rPr>
      </w:pPr>
      <w:r w:rsidRPr="007831BB">
        <w:rPr>
          <w:lang w:val="en-GB"/>
        </w:rPr>
        <w:tab/>
        <w:t>A.</w:t>
      </w:r>
      <w:r w:rsidRPr="007831BB">
        <w:rPr>
          <w:lang w:val="en-GB"/>
        </w:rPr>
        <w:tab/>
        <w:t xml:space="preserve">Scope </w:t>
      </w:r>
    </w:p>
    <w:p w14:paraId="39FCFF5B" w14:textId="68284C27" w:rsidR="00E7045B" w:rsidRPr="00964A01"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The objective of the proposed thematic assessment is to consider various approaches to the enhancement of the sustainability of the use of wild species of all organisms within the ecosystems that they inhabit and to strengthen related </w:t>
      </w:r>
      <w:r w:rsidRPr="00CA117C">
        <w:rPr>
          <w:lang w:val="en-US"/>
        </w:rPr>
        <w:t xml:space="preserve">practices, measures, capacities and tools for their conservation through such use. The assessment will focus on </w:t>
      </w:r>
      <w:r w:rsidR="00126115" w:rsidRPr="00CA117C">
        <w:rPr>
          <w:lang w:val="en-US"/>
        </w:rPr>
        <w:t>the sustainability of</w:t>
      </w:r>
      <w:r w:rsidRPr="00CA117C">
        <w:rPr>
          <w:lang w:val="en-US"/>
        </w:rPr>
        <w:t xml:space="preserve"> </w:t>
      </w:r>
      <w:r w:rsidR="008B23E8" w:rsidRPr="00CA117C">
        <w:rPr>
          <w:lang w:val="en-US"/>
        </w:rPr>
        <w:t xml:space="preserve">the </w:t>
      </w:r>
      <w:r w:rsidRPr="00CA117C">
        <w:rPr>
          <w:lang w:val="en-US"/>
        </w:rPr>
        <w:t>use of wild species, and will recognize</w:t>
      </w:r>
      <w:r w:rsidRPr="00964A01">
        <w:rPr>
          <w:lang w:val="en-US"/>
        </w:rPr>
        <w:t xml:space="preserve"> the inherent interdependencies between the use of wild species and its wider socio-ecological contexts. The assessment will be solution-oriented, with the overall aim of identifying challenges and opportunities to establish or further strengthen measures and conditions that ensure and promote th</w:t>
      </w:r>
      <w:r w:rsidR="00315491">
        <w:rPr>
          <w:lang w:val="en-US"/>
        </w:rPr>
        <w:t>e sustainable</w:t>
      </w:r>
      <w:r w:rsidRPr="00964A01">
        <w:rPr>
          <w:lang w:val="en-US"/>
        </w:rPr>
        <w:t xml:space="preserve"> use of wild species and the halting of </w:t>
      </w:r>
      <w:r w:rsidR="002B4533">
        <w:rPr>
          <w:lang w:val="en-US"/>
        </w:rPr>
        <w:t xml:space="preserve">their </w:t>
      </w:r>
      <w:r w:rsidRPr="00964A01">
        <w:rPr>
          <w:lang w:val="en-US"/>
        </w:rPr>
        <w:t xml:space="preserve">unsustainable use. Relevant dimensions of the sustainable use of wild species will be </w:t>
      </w:r>
      <w:proofErr w:type="spellStart"/>
      <w:r w:rsidRPr="00964A01">
        <w:rPr>
          <w:lang w:val="en-US"/>
        </w:rPr>
        <w:t>analysed</w:t>
      </w:r>
      <w:proofErr w:type="spellEnd"/>
      <w:r w:rsidRPr="00964A01">
        <w:rPr>
          <w:lang w:val="en-US"/>
        </w:rPr>
        <w:t>, and the status of and trends in the sustainable use of wild species will be assessed along with direct and indirect drivers of change and the contributions</w:t>
      </w:r>
      <w:r w:rsidR="009A36C8">
        <w:rPr>
          <w:lang w:val="en-US"/>
        </w:rPr>
        <w:t xml:space="preserve"> that</w:t>
      </w:r>
      <w:r w:rsidRPr="00964A01">
        <w:rPr>
          <w:lang w:val="en-US"/>
        </w:rPr>
        <w:t xml:space="preserve"> they provide. The assessment will further explore future scenarios for the use of wild species and the consequences for wild species and their evolutionary fate and will examine the range of challenges to and opportunities and policy options for the further enhancement of ensuring that the use of wild species is sustainable. The time frame of analyses will cover current status, trends up to 2020 (going back as far as 50 years) and plausible future projections, with a focus on various periods between 2030 and 2050.</w:t>
      </w:r>
    </w:p>
    <w:p w14:paraId="39DD267E" w14:textId="149CE0F1" w:rsidR="00E7045B" w:rsidRPr="003630E4"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will result in the elaboration of a common understanding of the term ”wild species” that is consistent with the assessment’s overall approach and the IPBES conceptual framework and takes into account existing definitions </w:t>
      </w:r>
      <w:r w:rsidRPr="00CA117C">
        <w:rPr>
          <w:lang w:val="en-GB"/>
        </w:rPr>
        <w:t xml:space="preserve">used </w:t>
      </w:r>
      <w:r w:rsidR="000E3964" w:rsidRPr="00CA117C">
        <w:rPr>
          <w:lang w:val="en-GB"/>
        </w:rPr>
        <w:t>under</w:t>
      </w:r>
      <w:r w:rsidRPr="00CA117C">
        <w:rPr>
          <w:lang w:val="en-GB"/>
        </w:rPr>
        <w:t xml:space="preserve"> the</w:t>
      </w:r>
      <w:r w:rsidRPr="003630E4">
        <w:rPr>
          <w:lang w:val="en-GB"/>
        </w:rPr>
        <w:t xml:space="preserve"> Convention on International Trade in Endangered Species of Wild Fauna and Flora (CITES), the Food and Agriculture Organization of the United Nations (FAO), the Convention on Biological Diversity and other relevant international bodies, as well as </w:t>
      </w:r>
      <w:r w:rsidR="00911EE2">
        <w:rPr>
          <w:lang w:val="en-GB"/>
        </w:rPr>
        <w:t>various</w:t>
      </w:r>
      <w:r w:rsidR="00911EE2" w:rsidRPr="003630E4">
        <w:rPr>
          <w:lang w:val="en-GB"/>
        </w:rPr>
        <w:t xml:space="preserve"> </w:t>
      </w:r>
      <w:r w:rsidRPr="003630E4">
        <w:rPr>
          <w:lang w:val="en-GB"/>
        </w:rPr>
        <w:t xml:space="preserve">knowledge systems recognizing that, depending on the context, there is often a continuum between what is considered wild and what is considered domestic or captive. As a starting point, the term refers to non-domesticated species and wild populations of domesticated species. The assessment will therefore not address, for example, the management of crops or livestock on farms or of populations in aquaculture facilities or in artificial plantations except insofar as they may provide alternatives to the use of wild populations. </w:t>
      </w:r>
    </w:p>
    <w:p w14:paraId="741A80D8" w14:textId="77777777" w:rsidR="00E7045B" w:rsidRPr="003630E4"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will recognize the inseparable unity of nature and humanity, including ecosystem functions and nature’s contributions to people and a good quality of life, as outlined in the IPBES conceptual framework. It will therefore take into account not only the positive and negative ecological and social effects of the use of wild species but also the effects of various approaches, practices and technologies in a range of </w:t>
      </w:r>
      <w:proofErr w:type="spellStart"/>
      <w:r w:rsidRPr="003630E4">
        <w:rPr>
          <w:lang w:val="en-GB"/>
        </w:rPr>
        <w:t>sociopolitical</w:t>
      </w:r>
      <w:proofErr w:type="spellEnd"/>
      <w:r w:rsidRPr="003630E4">
        <w:rPr>
          <w:lang w:val="en-GB"/>
        </w:rPr>
        <w:t xml:space="preserve"> contexts and their relationship to various knowledge systems, including indigenous and local knowledge and practices. </w:t>
      </w:r>
    </w:p>
    <w:p w14:paraId="37CDCCD7" w14:textId="616E48A1" w:rsidR="00E7045B" w:rsidRPr="003630E4"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will focus on the consumptive and non-consumptive uses of a number of wild species across a representative group of taxa and uses. The assessment will take into account a wide range of aspects of the actual use of wild species, including spatial and temporal scales; subsistence, commercial and recreational purposes; and customary, legal and illegal contexts. To reflect the breadth and complexity of the uses of wild species, the assessment will cover a range of the IPBES terrestrial and aquatic units of analysis, including marine ones, and their contiguity and connectedness. The assessment will not replicate the work of other assessments, but will review existing work in the context of the mandate of IPBES and the present </w:t>
      </w:r>
      <w:r w:rsidR="00DB53BB">
        <w:rPr>
          <w:lang w:val="en-GB"/>
        </w:rPr>
        <w:t>scoping report</w:t>
      </w:r>
      <w:r w:rsidRPr="003630E4">
        <w:rPr>
          <w:lang w:val="en-GB"/>
        </w:rPr>
        <w:t xml:space="preserve">. </w:t>
      </w:r>
    </w:p>
    <w:p w14:paraId="6D381D02" w14:textId="176881EE" w:rsidR="00E7045B" w:rsidRPr="003630E4"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Building on internationally recognized definitions and principles of sustainable use, such as the definition and </w:t>
      </w:r>
      <w:r w:rsidRPr="00CA117C">
        <w:rPr>
          <w:lang w:val="en-GB"/>
        </w:rPr>
        <w:t>recommendations for the sustainable use of biodiversity under article 2 of the Convention on Biological Diversity</w:t>
      </w:r>
      <w:r w:rsidR="00821D85" w:rsidRPr="00CA117C">
        <w:rPr>
          <w:lang w:val="en-GB"/>
        </w:rPr>
        <w:t>,</w:t>
      </w:r>
      <w:r w:rsidRPr="00CA117C">
        <w:rPr>
          <w:lang w:val="en-GB"/>
        </w:rPr>
        <w:t xml:space="preserve"> the Addis Ababa Principles</w:t>
      </w:r>
      <w:r w:rsidR="00821D85" w:rsidRPr="00CA117C">
        <w:rPr>
          <w:lang w:val="en-GB"/>
        </w:rPr>
        <w:t xml:space="preserve"> and Guidelines for the Sustainable Use of Biodiversity, adopted by its Conference of the Parties (decision VII/12)</w:t>
      </w:r>
      <w:r w:rsidR="00CA117C" w:rsidRPr="00CA117C">
        <w:rPr>
          <w:lang w:val="en-GB"/>
        </w:rPr>
        <w:t>,</w:t>
      </w:r>
      <w:r w:rsidRPr="00CA117C">
        <w:rPr>
          <w:lang w:val="en-GB"/>
        </w:rPr>
        <w:t xml:space="preserve"> and the concept of “non-detriment findings” under CITES, and on the guidance developed for their</w:t>
      </w:r>
      <w:r w:rsidRPr="003630E4">
        <w:rPr>
          <w:lang w:val="en-GB"/>
        </w:rPr>
        <w:t xml:space="preserve"> formulation in accordance with the various species characteristics, the assessment will include the elaboration of what could reasonably be included under the sustainable use of wild species in the context of international targets such as the Aichi Biodiversity Targets and the Sustainable Development Goals.  </w:t>
      </w:r>
    </w:p>
    <w:p w14:paraId="1CBDCBD1" w14:textId="754D27A5" w:rsidR="00E7045B" w:rsidRPr="003630E4" w:rsidRDefault="00E7045B" w:rsidP="00160BD4">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will identify opportunities and challenges in respect of the establishment or further strengthening of the conditions and measures conducive to promoting the </w:t>
      </w:r>
      <w:r w:rsidR="002D6305">
        <w:rPr>
          <w:lang w:val="en-GB"/>
        </w:rPr>
        <w:t>sustain</w:t>
      </w:r>
      <w:r w:rsidR="002A51ED">
        <w:rPr>
          <w:lang w:val="en-GB"/>
        </w:rPr>
        <w:t>ability of the</w:t>
      </w:r>
      <w:r w:rsidR="002D6305">
        <w:rPr>
          <w:lang w:val="en-GB"/>
        </w:rPr>
        <w:t xml:space="preserve"> </w:t>
      </w:r>
      <w:r w:rsidRPr="003630E4">
        <w:rPr>
          <w:lang w:val="en-GB"/>
        </w:rPr>
        <w:t xml:space="preserve">use of wild species within the ecosystems that they inhabit. The assessment will be based on the understanding of sustainable use of wild species that are important elements in the present and future functioning of ecosystems and their contributions to people. Where the assessment finds that </w:t>
      </w:r>
      <w:r w:rsidR="002A51ED">
        <w:rPr>
          <w:lang w:val="en-GB"/>
        </w:rPr>
        <w:t xml:space="preserve">the </w:t>
      </w:r>
      <w:r w:rsidRPr="003630E4">
        <w:rPr>
          <w:lang w:val="en-GB"/>
        </w:rPr>
        <w:t xml:space="preserve">use of wild species is not sustainable, it should explore possible policy options as to what level of use (if any) could be sustainable and when all use should be curtailed in order for species to recover, taking into account the ecological conditions for such recovery. Drawing on lessons learned from a wide range of perspectives and knowledge systems, the assessment will analyse the strengths and weaknesses of relevant governance systems, legislative and trade regimes, methodologies and practices. </w:t>
      </w:r>
    </w:p>
    <w:p w14:paraId="3840CE98" w14:textId="77777777" w:rsidR="00E7045B" w:rsidRPr="003630E4"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assessment will address the following questions of relevance to decision makers dealing with the sustainable use of wild species:</w:t>
      </w:r>
    </w:p>
    <w:p w14:paraId="29426381" w14:textId="3696F2A9"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n-GB"/>
        </w:rPr>
      </w:pPr>
      <w:r w:rsidRPr="00964A01">
        <w:rPr>
          <w:lang w:val="en-GB"/>
        </w:rPr>
        <w:t>How can the sustainable use of wild species be appropriately conceptualized and operationalized (chapter 2)</w:t>
      </w:r>
      <w:r w:rsidR="001669B6" w:rsidRPr="00964A01">
        <w:rPr>
          <w:lang w:val="en-GB"/>
        </w:rPr>
        <w:t>?</w:t>
      </w:r>
    </w:p>
    <w:p w14:paraId="72F00DDF" w14:textId="7AB9AE08"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n-GB"/>
        </w:rPr>
      </w:pPr>
      <w:r w:rsidRPr="00964A01">
        <w:rPr>
          <w:lang w:val="en-GB"/>
        </w:rPr>
        <w:t>What methods and tools exist for assessing, measuring and managing the sustainable use of wild species (chapter 2)</w:t>
      </w:r>
      <w:r w:rsidR="001669B6" w:rsidRPr="00964A01">
        <w:rPr>
          <w:lang w:val="en-GB"/>
        </w:rPr>
        <w:t>?</w:t>
      </w:r>
    </w:p>
    <w:p w14:paraId="7E51252F" w14:textId="4B566829"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n-GB"/>
        </w:rPr>
      </w:pPr>
      <w:r w:rsidRPr="00964A01">
        <w:rPr>
          <w:lang w:val="en-GB"/>
        </w:rPr>
        <w:t>What are the positive and negative impacts of various uses of wild species and other direct drivers on nature and nature’s contributions to people (chapter 3)</w:t>
      </w:r>
      <w:r w:rsidR="001669B6" w:rsidRPr="00964A01">
        <w:rPr>
          <w:lang w:val="en-GB"/>
        </w:rPr>
        <w:t>?</w:t>
      </w:r>
    </w:p>
    <w:p w14:paraId="0A0C81FA" w14:textId="05D8430A"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n-GB"/>
        </w:rPr>
      </w:pPr>
      <w:r w:rsidRPr="00964A01">
        <w:rPr>
          <w:lang w:val="en-GB"/>
        </w:rPr>
        <w:t xml:space="preserve">Who </w:t>
      </w:r>
      <w:r w:rsidR="00763AC3" w:rsidRPr="00964A01">
        <w:rPr>
          <w:lang w:val="en-GB"/>
        </w:rPr>
        <w:t xml:space="preserve">is </w:t>
      </w:r>
      <w:r w:rsidRPr="00964A01">
        <w:rPr>
          <w:lang w:val="en-GB"/>
        </w:rPr>
        <w:t>likely to be the main beneficiaries of the sustainable use of wild species (chapter 3)</w:t>
      </w:r>
      <w:r w:rsidR="001669B6" w:rsidRPr="00964A01">
        <w:rPr>
          <w:lang w:val="en-GB"/>
        </w:rPr>
        <w:t>?</w:t>
      </w:r>
    </w:p>
    <w:p w14:paraId="1CE2F7B7" w14:textId="4779AC92"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n-GB"/>
        </w:rPr>
      </w:pPr>
      <w:r w:rsidRPr="00964A01">
        <w:rPr>
          <w:lang w:val="en-GB"/>
        </w:rPr>
        <w:t>What are the indirect drivers that affect the sustainability of the use of wild species, including systemic obstacles and perverse incentives preventing sustainable use (chapter 4)</w:t>
      </w:r>
      <w:r w:rsidR="00D42FAA" w:rsidRPr="00964A01">
        <w:rPr>
          <w:lang w:val="en-GB"/>
        </w:rPr>
        <w:t>?</w:t>
      </w:r>
    </w:p>
    <w:p w14:paraId="4A45DB2E" w14:textId="6ABA945E"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n-GB"/>
        </w:rPr>
      </w:pPr>
      <w:r w:rsidRPr="00964A01">
        <w:rPr>
          <w:lang w:val="en-GB"/>
        </w:rPr>
        <w:t xml:space="preserve">What are the different scenarios related to </w:t>
      </w:r>
      <w:r w:rsidR="00E25118" w:rsidRPr="00964A01">
        <w:rPr>
          <w:lang w:val="en-GB"/>
        </w:rPr>
        <w:t xml:space="preserve">the </w:t>
      </w:r>
      <w:r w:rsidRPr="00964A01">
        <w:rPr>
          <w:lang w:val="en-GB"/>
        </w:rPr>
        <w:t>sustainable use of wild species (chapter</w:t>
      </w:r>
      <w:r w:rsidR="00D42FAA" w:rsidRPr="00964A01">
        <w:rPr>
          <w:lang w:val="en-GB"/>
        </w:rPr>
        <w:t> </w:t>
      </w:r>
      <w:r w:rsidRPr="00964A01">
        <w:rPr>
          <w:lang w:val="en-GB"/>
        </w:rPr>
        <w:t>5)</w:t>
      </w:r>
      <w:r w:rsidR="00D42FAA" w:rsidRPr="00964A01">
        <w:rPr>
          <w:lang w:val="en-GB"/>
        </w:rPr>
        <w:t>?</w:t>
      </w:r>
    </w:p>
    <w:p w14:paraId="74F65A49" w14:textId="2F3B05B4"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n-GB"/>
        </w:rPr>
      </w:pPr>
      <w:r w:rsidRPr="00964A01">
        <w:rPr>
          <w:lang w:val="en-GB"/>
        </w:rPr>
        <w:t xml:space="preserve"> </w:t>
      </w:r>
      <w:r w:rsidRPr="00160376">
        <w:rPr>
          <w:lang w:val="en-GB"/>
        </w:rPr>
        <w:t xml:space="preserve">What policy options and governance pathways relating to </w:t>
      </w:r>
      <w:r w:rsidR="0012397B" w:rsidRPr="00160376">
        <w:rPr>
          <w:lang w:val="en-GB"/>
        </w:rPr>
        <w:t xml:space="preserve">various </w:t>
      </w:r>
      <w:r w:rsidRPr="00160376">
        <w:rPr>
          <w:lang w:val="en-GB"/>
        </w:rPr>
        <w:t>scenarios of</w:t>
      </w:r>
      <w:r w:rsidR="00537E9C" w:rsidRPr="00160376">
        <w:rPr>
          <w:lang w:val="en-GB"/>
        </w:rPr>
        <w:t xml:space="preserve"> the</w:t>
      </w:r>
      <w:r w:rsidRPr="00160376">
        <w:rPr>
          <w:lang w:val="en-GB"/>
        </w:rPr>
        <w:t xml:space="preserve"> use of wild species, including socioeconomic and ecological considerations, can lead to the achievement of sustainability of the use of wild species in</w:t>
      </w:r>
      <w:r w:rsidRPr="00964A01">
        <w:rPr>
          <w:lang w:val="en-GB"/>
        </w:rPr>
        <w:t xml:space="preserve"> the ecosystems they inhabit (chapter 5)</w:t>
      </w:r>
      <w:r w:rsidR="0012397B" w:rsidRPr="00964A01">
        <w:rPr>
          <w:lang w:val="en-GB"/>
        </w:rPr>
        <w:t>?</w:t>
      </w:r>
    </w:p>
    <w:p w14:paraId="29F295E9" w14:textId="4240DBA0"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n-GB"/>
        </w:rPr>
      </w:pPr>
      <w:r w:rsidRPr="00964A01">
        <w:rPr>
          <w:lang w:val="en-GB"/>
        </w:rPr>
        <w:t>What policy responses and methods and tools for assessing, measuring and managing sustainable use of wild species have proved to be appropriate and effective, in which contexts and over what time frames? To what extent can they be replicated in other contexts (chapter 6)</w:t>
      </w:r>
      <w:r w:rsidR="0012397B" w:rsidRPr="00964A01">
        <w:rPr>
          <w:lang w:val="en-GB"/>
        </w:rPr>
        <w:t>?</w:t>
      </w:r>
    </w:p>
    <w:p w14:paraId="5A6DDAFE" w14:textId="3C7398E6"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n-GB"/>
        </w:rPr>
      </w:pPr>
      <w:r w:rsidRPr="00964A01">
        <w:rPr>
          <w:lang w:val="en-GB"/>
        </w:rPr>
        <w:t>What gaps in data and knowledge regarding status, drivers, impacts, policy responses and policy support tools and methods need to be addressed in order to better understand and implement the variety of options and opportunities for enhancing conservation through the sustainable use of wild species (chapter 6)</w:t>
      </w:r>
      <w:r w:rsidR="0012397B" w:rsidRPr="00964A01">
        <w:rPr>
          <w:lang w:val="en-GB"/>
        </w:rPr>
        <w:t>?</w:t>
      </w:r>
    </w:p>
    <w:p w14:paraId="437729D3" w14:textId="3901A5B5" w:rsidR="00E7045B" w:rsidRPr="00964A01"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n-GB"/>
        </w:rPr>
      </w:pPr>
      <w:r w:rsidRPr="00964A01">
        <w:rPr>
          <w:lang w:val="en-GB"/>
        </w:rPr>
        <w:t xml:space="preserve"> What opportunities does the sustainable use of wild species offer with regard to alternative land uses (for example, replacing less sustainable land use activities) (chapter 6)</w:t>
      </w:r>
      <w:r w:rsidR="00305E53" w:rsidRPr="00964A01">
        <w:rPr>
          <w:lang w:val="en-GB"/>
        </w:rPr>
        <w:t>?</w:t>
      </w:r>
    </w:p>
    <w:p w14:paraId="1D13BAA3" w14:textId="77777777" w:rsidR="00E7045B" w:rsidRPr="003630E4" w:rsidRDefault="00E7045B" w:rsidP="00E7045B">
      <w:pPr>
        <w:pStyle w:val="CH2"/>
        <w:rPr>
          <w:lang w:val="en-GB"/>
        </w:rPr>
      </w:pPr>
      <w:r w:rsidRPr="003630E4">
        <w:rPr>
          <w:lang w:val="en-GB"/>
        </w:rPr>
        <w:tab/>
        <w:t>B.</w:t>
      </w:r>
      <w:r w:rsidRPr="003630E4">
        <w:rPr>
          <w:lang w:val="en-GB"/>
        </w:rPr>
        <w:tab/>
        <w:t>Geographic coverage of the assessment</w:t>
      </w:r>
    </w:p>
    <w:p w14:paraId="18EBC547"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coverage of the assessment will be global, including terrestrial and aquatic (including marine) socio-ecological systems at a range of spatial scales, from local to global. </w:t>
      </w:r>
    </w:p>
    <w:p w14:paraId="27FBE1E7" w14:textId="77777777" w:rsidR="00E7045B" w:rsidRPr="003630E4" w:rsidRDefault="00E7045B" w:rsidP="00E7045B">
      <w:pPr>
        <w:pStyle w:val="CH2"/>
        <w:rPr>
          <w:lang w:val="en-GB"/>
        </w:rPr>
      </w:pPr>
      <w:r w:rsidRPr="003630E4">
        <w:rPr>
          <w:lang w:val="en-GB"/>
        </w:rPr>
        <w:tab/>
        <w:t>C.</w:t>
      </w:r>
      <w:r w:rsidRPr="003630E4">
        <w:rPr>
          <w:lang w:val="en-GB"/>
        </w:rPr>
        <w:tab/>
        <w:t>Rationale</w:t>
      </w:r>
    </w:p>
    <w:p w14:paraId="05161BBC"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There is a need for a comprehensive assessment of the status of and trends in the use of wild species, and of possible future scenarios of such use, in terms of the sustainability of current use in its socio-ecological context as well as the status of and trends in the direct and indirect drivers that affect that sustainability. The assessment will take into account the multiple worldviews, knowledge systems, cultural traditions and values that operate within different socio-ecological contexts. </w:t>
      </w:r>
    </w:p>
    <w:p w14:paraId="3C32B358" w14:textId="79C67164"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use of wild species is of critical importance to all communities, particularly those that live in biodiversity-rich countries or regions earmarked for global conservation efforts. The assessment provides an opportunity to address good quality of life, including the needs of indigenous peoples and local communities. For many countries the very essence of the cultures and livelihoods of their people is based on the natural resources to which they have access and the ecosystems of which they form a part. Many species are also used by populations outside the countries where they are located – for example, through international trade and tourism.</w:t>
      </w:r>
    </w:p>
    <w:p w14:paraId="00170BB8"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There is a general desire to protect wild species from extinction and decline, especially in the case of the most visible mammal and bird species. The use of these species is regarded, and publicly criticized, as a major cause of their decline. If improperly managed the use of wild species can lead to extinction, yet the sustainable use of wild species can also be a driver for long-term conservation. The sustainable use of wild species, rather than non-use, is an important aspect of sustainable and socioeconomically just development and policy that conserves the biodiversity on which people depend. </w:t>
      </w:r>
    </w:p>
    <w:p w14:paraId="0F292FAB"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assessment will yield options for policy scenarios and governance pathways that could promote the conservation of biodiversity and the maintenance of socio-ecological functions such as nature´s contributions to people.</w:t>
      </w:r>
      <w:r w:rsidRPr="003630E4" w:rsidDel="00E317C2">
        <w:rPr>
          <w:lang w:val="en-GB"/>
        </w:rPr>
        <w:t xml:space="preserve"> </w:t>
      </w:r>
      <w:r w:rsidRPr="003630E4">
        <w:rPr>
          <w:lang w:val="en-GB"/>
        </w:rPr>
        <w:t xml:space="preserve">The assessment will contribute to the development of a strengthened knowledge base relating to both the concept of sustainable use of wild species and the direct and indirect drivers of unsustainable practices and ways of countering those practices. It will focus both on existing policy instruments and policy support tools and on their effectiveness and will catalyse the development of additional policy support tools and methodologies. </w:t>
      </w:r>
    </w:p>
    <w:p w14:paraId="3A1671D7" w14:textId="77777777" w:rsidR="00E7045B" w:rsidRPr="003630E4" w:rsidRDefault="00E7045B" w:rsidP="00E7045B">
      <w:pPr>
        <w:pStyle w:val="CH2"/>
        <w:rPr>
          <w:b w:val="0"/>
          <w:lang w:val="en-GB"/>
        </w:rPr>
      </w:pPr>
      <w:r w:rsidRPr="003630E4">
        <w:rPr>
          <w:lang w:val="en-GB"/>
        </w:rPr>
        <w:tab/>
        <w:t>D.</w:t>
      </w:r>
      <w:r w:rsidRPr="003630E4">
        <w:rPr>
          <w:lang w:val="en-GB"/>
        </w:rPr>
        <w:tab/>
        <w:t>Utility</w:t>
      </w:r>
    </w:p>
    <w:p w14:paraId="0A1A0784"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will provide users and the general public, including Governments, multilateral organizations, the private sector and civil society, including indigenous peoples and local communities, and non-governmental organizations, with a relevant, credible, legitimate, authoritative, evidence-based and comprehensive analysis of the sustainable use of wild species based on the current state of knowledge stemming from scientific and other knowledge systems, including indigenous and local knowledge. </w:t>
      </w:r>
    </w:p>
    <w:p w14:paraId="239EFC04" w14:textId="40C57A75"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will contribute to the second objective of the Convention on Biological Diversity, which focuses on the sustainable use of biodiversity. It will also support the implementation of the Strategic Plan for Biodiversity 2011–2020 and Aichi </w:t>
      </w:r>
      <w:r w:rsidR="00D61648">
        <w:rPr>
          <w:lang w:val="en-GB"/>
        </w:rPr>
        <w:t>Biodiversity T</w:t>
      </w:r>
      <w:r w:rsidRPr="003630E4">
        <w:rPr>
          <w:lang w:val="en-GB"/>
        </w:rPr>
        <w:t>argets 6 (</w:t>
      </w:r>
      <w:r w:rsidR="002B128A">
        <w:rPr>
          <w:lang w:val="en-GB"/>
        </w:rPr>
        <w:t xml:space="preserve">on </w:t>
      </w:r>
      <w:r w:rsidRPr="003630E4">
        <w:rPr>
          <w:lang w:val="en-GB"/>
        </w:rPr>
        <w:t>sustainable consumptive use of fish and invertebrate stocks and aquatic plants) and 12 (</w:t>
      </w:r>
      <w:r w:rsidR="002B128A">
        <w:rPr>
          <w:lang w:val="en-GB"/>
        </w:rPr>
        <w:t xml:space="preserve">on </w:t>
      </w:r>
      <w:r w:rsidRPr="003630E4">
        <w:rPr>
          <w:lang w:val="en-GB"/>
        </w:rPr>
        <w:t>conservation of threatened species) and elements of targets 3 (</w:t>
      </w:r>
      <w:r w:rsidR="002B128A">
        <w:rPr>
          <w:lang w:val="en-GB"/>
        </w:rPr>
        <w:t xml:space="preserve">on </w:t>
      </w:r>
      <w:r w:rsidRPr="003630E4">
        <w:rPr>
          <w:lang w:val="en-GB"/>
        </w:rPr>
        <w:t>incentives), 4 (</w:t>
      </w:r>
      <w:r w:rsidR="002B128A">
        <w:rPr>
          <w:lang w:val="en-GB"/>
        </w:rPr>
        <w:t xml:space="preserve">on </w:t>
      </w:r>
      <w:r w:rsidRPr="003630E4">
        <w:rPr>
          <w:lang w:val="en-GB"/>
        </w:rPr>
        <w:t>sustainable consumption and production), 7 (</w:t>
      </w:r>
      <w:r w:rsidR="002B128A">
        <w:rPr>
          <w:lang w:val="en-GB"/>
        </w:rPr>
        <w:t xml:space="preserve">on </w:t>
      </w:r>
      <w:r w:rsidRPr="003630E4">
        <w:rPr>
          <w:lang w:val="en-GB"/>
        </w:rPr>
        <w:t>sustainable management in particular of forests), 16 (</w:t>
      </w:r>
      <w:r w:rsidR="002B128A">
        <w:rPr>
          <w:lang w:val="en-GB"/>
        </w:rPr>
        <w:t xml:space="preserve">on the </w:t>
      </w:r>
      <w:r w:rsidRPr="003630E4">
        <w:rPr>
          <w:lang w:val="en-GB"/>
        </w:rPr>
        <w:t>Nagoya Protocol) and 18 (</w:t>
      </w:r>
      <w:r w:rsidR="002B128A">
        <w:rPr>
          <w:lang w:val="en-GB"/>
        </w:rPr>
        <w:t xml:space="preserve">on </w:t>
      </w:r>
      <w:r w:rsidRPr="003630E4">
        <w:rPr>
          <w:lang w:val="en-GB"/>
        </w:rPr>
        <w:t xml:space="preserve">customary use of biological resources). The assessment will also support the implementation of a number of decisions adopted by the Conference of the Parties to the Convention on Biological Diversity, including on the Addis Ababa Principles and Guidelines for the Sustainable Use of </w:t>
      </w:r>
      <w:r w:rsidRPr="00D61648">
        <w:rPr>
          <w:lang w:val="en-GB"/>
        </w:rPr>
        <w:t>Biodiversity and on the differentiation</w:t>
      </w:r>
      <w:r w:rsidRPr="003630E4">
        <w:rPr>
          <w:lang w:val="en-GB"/>
        </w:rPr>
        <w:t xml:space="preserve"> of subsistence uses, legal and illegal hunting, overharvesting and domestic and international trade in specimens of wild species and products.</w:t>
      </w:r>
    </w:p>
    <w:p w14:paraId="2536ED9C" w14:textId="72F7B3E4"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assessment will contribute to attainment of the goal of CITES, which is to ensure that international trade in endangered wild animals and plants does not threaten their survival in the wild. The assessment will contribute by providing information to CITES parties that they may use in the issuance of permits. It will also provide information as to whether international trade will be detrimental or beneficial to the survival of species and will demonstrate the importance and value of sustainable practices for species conservation. The assessment will take into account the knowledge needs of national scientific and management authorities to foster the use of applied science for the implementation of CITES, including the making of non-detriment and legal acquisition findings and related trade decisions. It will also contribute to the exploration of the conditions that contribute to the sustainable use of wild species and the identification of methods and tools for assessing, measuring and managing the sustainable use of wild species.</w:t>
      </w:r>
    </w:p>
    <w:p w14:paraId="47465070"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Countries could make use of the assessment while working to achieve the Sustainable Development Goals, specifically goals 2 (on ending hunger), 12 (on sustainable production and consumption), 13 (on combating climate change), 14 (on conservation and sustainable use of oceans, seas and marine resources), 15 (on sustainable use of terrestrial ecosystems) and 17 (on revitalizing the Global Partnership for Sustainable Development).</w:t>
      </w:r>
      <w:r w:rsidRPr="003630E4" w:rsidDel="008242A7">
        <w:rPr>
          <w:lang w:val="en-GB"/>
        </w:rPr>
        <w:t xml:space="preserve"> </w:t>
      </w:r>
      <w:r w:rsidRPr="003630E4">
        <w:rPr>
          <w:lang w:val="en-GB"/>
        </w:rPr>
        <w:t xml:space="preserve">In addition, the assessment aims to contribute to efforts to counter the unsustainable and illegal use of wild species, which undermines the achievement of broader societal goals and targets. It will also contribute to goals 1 (on ending poverty), 3 (on ensuring healthy lives and well-being), 5 (on achieving gender equality), 6 (on sustainable water and sanitation), 7 (on sustainable energy) and 16 (on peaceful and inclusive societies). </w:t>
      </w:r>
    </w:p>
    <w:p w14:paraId="6C29E036" w14:textId="77777777" w:rsidR="00E7045B" w:rsidRPr="003630E4" w:rsidRDefault="00E7045B" w:rsidP="00E7045B">
      <w:pPr>
        <w:pStyle w:val="CH2"/>
        <w:rPr>
          <w:lang w:val="en-GB"/>
        </w:rPr>
      </w:pPr>
      <w:r w:rsidRPr="003630E4">
        <w:rPr>
          <w:lang w:val="en-GB"/>
        </w:rPr>
        <w:tab/>
        <w:t>E.</w:t>
      </w:r>
      <w:r w:rsidRPr="003630E4">
        <w:rPr>
          <w:lang w:val="en-GB"/>
        </w:rPr>
        <w:tab/>
        <w:t>Methodological approach</w:t>
      </w:r>
    </w:p>
    <w:p w14:paraId="1D8B5CD9" w14:textId="7558E653"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assessment will be based on existing scientific literature, national assessments and sources from other knowledge systems, including indigenous and local knowledge, and will draw on the work of existing institutions and networks (see section IV below, on relevant stakeholders and initiatives). It will consider relevant work such as CITES advances on the context of non-detriment findings</w:t>
      </w:r>
      <w:r w:rsidRPr="003630E4" w:rsidDel="00070E95">
        <w:rPr>
          <w:lang w:val="en-GB"/>
        </w:rPr>
        <w:t xml:space="preserve"> </w:t>
      </w:r>
      <w:r w:rsidRPr="003630E4">
        <w:rPr>
          <w:lang w:val="en-GB"/>
        </w:rPr>
        <w:t xml:space="preserve">and the definition of sustainable use and trade of wildlife. It will also take into </w:t>
      </w:r>
      <w:r w:rsidRPr="00D61648">
        <w:rPr>
          <w:lang w:val="en-GB"/>
        </w:rPr>
        <w:t xml:space="preserve">account the </w:t>
      </w:r>
      <w:r w:rsidR="00A01A88" w:rsidRPr="00D61648">
        <w:rPr>
          <w:lang w:val="en-GB"/>
        </w:rPr>
        <w:t xml:space="preserve">IPBES </w:t>
      </w:r>
      <w:r w:rsidRPr="00D61648">
        <w:rPr>
          <w:lang w:val="en-GB"/>
        </w:rPr>
        <w:t xml:space="preserve">regional and global assessments of </w:t>
      </w:r>
      <w:r w:rsidR="00A01A88" w:rsidRPr="00D61648">
        <w:rPr>
          <w:lang w:val="en-GB"/>
        </w:rPr>
        <w:t>biodiversity and ecosystem services</w:t>
      </w:r>
      <w:r w:rsidRPr="00D61648">
        <w:rPr>
          <w:lang w:val="en-GB"/>
        </w:rPr>
        <w:t xml:space="preserve">, as well as its assessment of land degradation and restoration, which cover many aspects of sustainable use. The assessment should also take into account the preliminary guide on </w:t>
      </w:r>
      <w:r w:rsidR="003C6CAC" w:rsidRPr="00D61648">
        <w:rPr>
          <w:lang w:val="en-GB"/>
        </w:rPr>
        <w:t xml:space="preserve">the </w:t>
      </w:r>
      <w:r w:rsidRPr="00D61648">
        <w:rPr>
          <w:lang w:val="en-GB"/>
        </w:rPr>
        <w:t xml:space="preserve">conceptualizations of values </w:t>
      </w:r>
      <w:r w:rsidR="003C6CAC" w:rsidRPr="00D61648">
        <w:rPr>
          <w:lang w:val="en-GB"/>
        </w:rPr>
        <w:t xml:space="preserve">of biodiversity and nature’s </w:t>
      </w:r>
      <w:r w:rsidR="00126115" w:rsidRPr="00160BD4">
        <w:rPr>
          <w:lang w:val="en-GB"/>
        </w:rPr>
        <w:t>contributions</w:t>
      </w:r>
      <w:r w:rsidR="003C6CAC" w:rsidRPr="00D61648">
        <w:rPr>
          <w:lang w:val="en-GB"/>
        </w:rPr>
        <w:t xml:space="preserve"> to people (IPBES/4/INF/13)</w:t>
      </w:r>
      <w:r w:rsidRPr="00D61648">
        <w:rPr>
          <w:lang w:val="en-GB"/>
        </w:rPr>
        <w:t>. Materials collected</w:t>
      </w:r>
      <w:r w:rsidRPr="003630E4">
        <w:rPr>
          <w:lang w:val="en-GB"/>
        </w:rPr>
        <w:t xml:space="preserve"> during the scoping process, including references to published and grey literature, will be available to the assessment expert group. The preparation of the assessment will follow agreed procedures. Confidence terms, as outlined in the IPBES guide for assessments, will be assigned to all key findings in the executive summaries of the technical chapters in the assessment report and to the key messages in the summary for policymakers. </w:t>
      </w:r>
    </w:p>
    <w:p w14:paraId="0675B399"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expert group should ensure disciplinary, regional and gender balance, should represent a diversity of worldviews and will comprise 2 co-chairs, 12 coordinating lead authors, 36 lead authors and 12 review editors, who will be selected in accordance with the procedures for the preparation of the Platform’s deliverables following a call for nominations after approval of the scoping report by the Plenary. </w:t>
      </w:r>
    </w:p>
    <w:p w14:paraId="6C77A1FC"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Technical support for the assessment will be provided by a technical support unit working as part of the secretariat. </w:t>
      </w:r>
    </w:p>
    <w:p w14:paraId="448E4399"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assessment will be prepared over three years. The preparation process and timetable are outlined in section VI below. </w:t>
      </w:r>
    </w:p>
    <w:p w14:paraId="20C41296" w14:textId="77777777" w:rsidR="00E7045B" w:rsidRPr="003630E4" w:rsidRDefault="00E7045B" w:rsidP="00E7045B">
      <w:pPr>
        <w:pStyle w:val="CH1"/>
        <w:rPr>
          <w:lang w:val="en-GB"/>
        </w:rPr>
      </w:pPr>
      <w:r w:rsidRPr="003630E4">
        <w:rPr>
          <w:lang w:val="en-GB"/>
        </w:rPr>
        <w:tab/>
        <w:t>II.</w:t>
      </w:r>
      <w:r w:rsidRPr="003630E4">
        <w:rPr>
          <w:lang w:val="en-GB"/>
        </w:rPr>
        <w:tab/>
        <w:t xml:space="preserve">Chapter outline </w:t>
      </w:r>
    </w:p>
    <w:p w14:paraId="1D09BB58" w14:textId="3E3D6021"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thematic assessment will consist of a set of six chapters and their executive summaries and a summary for policymakers drawing key messages from those chapters. The assessment will also include a glossary with all relevant terms and definitions.</w:t>
      </w:r>
    </w:p>
    <w:p w14:paraId="1964D0F3" w14:textId="77777777" w:rsidR="00E7045B" w:rsidRPr="003630E4" w:rsidRDefault="00E7045B" w:rsidP="00E7045B">
      <w:pPr>
        <w:pStyle w:val="CH3"/>
        <w:rPr>
          <w:lang w:val="en-GB"/>
        </w:rPr>
      </w:pPr>
      <w:r w:rsidRPr="003630E4">
        <w:rPr>
          <w:lang w:val="en-GB"/>
        </w:rPr>
        <w:tab/>
      </w:r>
      <w:r w:rsidRPr="003630E4">
        <w:rPr>
          <w:lang w:val="en-GB"/>
        </w:rPr>
        <w:tab/>
      </w:r>
      <w:proofErr w:type="gramStart"/>
      <w:r w:rsidRPr="003630E4">
        <w:rPr>
          <w:lang w:val="en-GB"/>
        </w:rPr>
        <w:t>Chapter 1.</w:t>
      </w:r>
      <w:proofErr w:type="gramEnd"/>
      <w:r w:rsidRPr="003630E4">
        <w:rPr>
          <w:lang w:val="en-GB"/>
        </w:rPr>
        <w:t xml:space="preserve"> Setting the scene </w:t>
      </w:r>
    </w:p>
    <w:p w14:paraId="4BB0B3AC" w14:textId="046AECDB"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Chapter 1 will set the scene for the assessment by outlining how the sustainable use of wild </w:t>
      </w:r>
      <w:r w:rsidRPr="00D61648">
        <w:rPr>
          <w:lang w:val="en-GB"/>
        </w:rPr>
        <w:t xml:space="preserve">species and their contributions will be addressed in the context of the IPBES conceptual framework. Chapter 1 will define what is meant by “wild species”, taking into consideration definitions used </w:t>
      </w:r>
      <w:r w:rsidR="003C6CAC" w:rsidRPr="00D61648">
        <w:rPr>
          <w:lang w:val="en-GB"/>
        </w:rPr>
        <w:t xml:space="preserve">under </w:t>
      </w:r>
      <w:r w:rsidRPr="00D61648">
        <w:rPr>
          <w:lang w:val="en-GB"/>
        </w:rPr>
        <w:t xml:space="preserve">CITES, FAO, </w:t>
      </w:r>
      <w:r w:rsidR="00727F77" w:rsidRPr="00D61648">
        <w:rPr>
          <w:lang w:val="en-GB"/>
        </w:rPr>
        <w:t xml:space="preserve">the Convention on Biological Diversity </w:t>
      </w:r>
      <w:r w:rsidRPr="00D61648">
        <w:rPr>
          <w:lang w:val="en-GB"/>
        </w:rPr>
        <w:t xml:space="preserve">and other relevant international bodies, as well as </w:t>
      </w:r>
      <w:r w:rsidR="00C7195A" w:rsidRPr="00D61648">
        <w:rPr>
          <w:lang w:val="en-GB"/>
        </w:rPr>
        <w:t xml:space="preserve">various </w:t>
      </w:r>
      <w:r w:rsidRPr="00D61648">
        <w:rPr>
          <w:lang w:val="en-GB"/>
        </w:rPr>
        <w:t>knowledge systems, and their sustainable use, taking into account biological</w:t>
      </w:r>
      <w:r w:rsidRPr="003630E4">
        <w:rPr>
          <w:lang w:val="en-GB"/>
        </w:rPr>
        <w:t xml:space="preserve">, ecological and evolutionary aspects. </w:t>
      </w:r>
    </w:p>
    <w:p w14:paraId="54E9AC91"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This chapter will provide a road map and overarching rationale for the sequence of chapters in the assessment, as well as for the focus on consumptive and non</w:t>
      </w:r>
      <w:r w:rsidRPr="003630E4">
        <w:rPr>
          <w:lang w:val="en-GB"/>
        </w:rPr>
        <w:noBreakHyphen/>
        <w:t xml:space="preserve">consumptive uses of a number of wild species across a representative group of taxa and uses. The assessment will take into account a wide range of aspects of the actual use of wild species, including spatial and temporal scales; subsistence, commercial or recreational purposes; and customary, legal and illegal contexts. The chapter will explain the integrative socio-ecological approach taken, recognizing the inseparable unity of nature and humanity, including ecosystem functions and nature’s contributions to people and a good quality of life. The chapter will outline how the assessment will strengthen related practices, measures, capacities and tools and help to achieve relevant internationally agreed targets and goals such as the CITES goals, the Aichi Biodiversity Targets and the Sustainable Development Goals. </w:t>
      </w:r>
    </w:p>
    <w:p w14:paraId="238E23C6" w14:textId="77777777" w:rsidR="00E7045B" w:rsidRPr="003630E4" w:rsidRDefault="00E7045B" w:rsidP="00E7045B">
      <w:pPr>
        <w:pStyle w:val="CH3"/>
        <w:rPr>
          <w:lang w:val="en-GB"/>
        </w:rPr>
      </w:pPr>
      <w:r w:rsidRPr="003630E4">
        <w:rPr>
          <w:lang w:val="en-GB"/>
        </w:rPr>
        <w:tab/>
      </w:r>
      <w:r w:rsidRPr="003630E4">
        <w:rPr>
          <w:lang w:val="en-GB"/>
        </w:rPr>
        <w:tab/>
      </w:r>
      <w:proofErr w:type="gramStart"/>
      <w:r w:rsidRPr="003630E4">
        <w:rPr>
          <w:lang w:val="en-GB"/>
        </w:rPr>
        <w:t>Chapter 2.</w:t>
      </w:r>
      <w:proofErr w:type="gramEnd"/>
      <w:r w:rsidRPr="003630E4">
        <w:rPr>
          <w:lang w:val="en-GB"/>
        </w:rPr>
        <w:t xml:space="preserve"> Conceptualizing the sustainable use of wild species</w:t>
      </w:r>
    </w:p>
    <w:p w14:paraId="1EFF2864" w14:textId="7112F6DE"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color w:val="000000" w:themeColor="text1"/>
          <w:lang w:val="en-GB"/>
        </w:rPr>
      </w:pPr>
      <w:r w:rsidRPr="003630E4">
        <w:rPr>
          <w:lang w:val="en-GB"/>
        </w:rPr>
        <w:t>Chapter 2 will elaborate on the conditions that are necessary for the sustainable use of wild species and on the criteria and elements that are essential to ensure that the impacts of wild species use are socially sound and within ecological limits. The chapter will provide a critical assessment of sustainable use principles, including recognized standards for the sustainable use of wild species</w:t>
      </w:r>
      <w:r w:rsidRPr="003630E4">
        <w:rPr>
          <w:color w:val="000000" w:themeColor="text1"/>
          <w:lang w:val="en-GB"/>
        </w:rPr>
        <w:t xml:space="preserve">. </w:t>
      </w:r>
    </w:p>
    <w:p w14:paraId="3DBD466A" w14:textId="4C4B8647" w:rsidR="00E7045B" w:rsidRPr="00D61648"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Building on internationally recognized definitions, principles and concepts of sustainable use, the chapter will elaborate on what sustainable use of wild species means in the context of international targets such as the Aichi Biodiversity Targets and the Sustainable Development Goals and its implications for conventions such as CITES. It will reflect on the methods and tools needed to assess, measure and manage the use of wild species sustainably, as well as the contributions </w:t>
      </w:r>
      <w:r w:rsidR="00F925BD">
        <w:rPr>
          <w:lang w:val="en-GB"/>
        </w:rPr>
        <w:t xml:space="preserve">that </w:t>
      </w:r>
      <w:r w:rsidRPr="003630E4">
        <w:rPr>
          <w:lang w:val="en-GB"/>
        </w:rPr>
        <w:t xml:space="preserve">they provide, taking into account a wide range of aspects of their actual use, including spatial, temporal and quantitative scales, subsistence commercial or recreational purposes, sustainable customary use, legal or illegal contexts, how they are perceived and classified by local people and other considerations. It will also consider the non-anthropocentric value of sustainable use of species, particularly for maintaining the evolutionary </w:t>
      </w:r>
      <w:r w:rsidRPr="00D61648">
        <w:rPr>
          <w:lang w:val="en-GB"/>
        </w:rPr>
        <w:t>perspectives of ecosystems and species. The chapter will draw on the preliminary guide o</w:t>
      </w:r>
      <w:r w:rsidR="00A52590" w:rsidRPr="00D61648">
        <w:rPr>
          <w:lang w:val="en-GB"/>
        </w:rPr>
        <w:t>n</w:t>
      </w:r>
      <w:r w:rsidRPr="00D61648">
        <w:rPr>
          <w:lang w:val="en-GB"/>
        </w:rPr>
        <w:t xml:space="preserve"> the conceptualizations of values </w:t>
      </w:r>
      <w:r w:rsidR="00A52590" w:rsidRPr="00D61648">
        <w:rPr>
          <w:lang w:val="en-GB"/>
        </w:rPr>
        <w:t xml:space="preserve">of biodiversity and nature’s </w:t>
      </w:r>
      <w:r w:rsidR="00C6716F" w:rsidRPr="00160BD4">
        <w:rPr>
          <w:lang w:val="en-GB"/>
        </w:rPr>
        <w:t>contributions</w:t>
      </w:r>
      <w:r w:rsidR="00A52590" w:rsidRPr="00D61648">
        <w:rPr>
          <w:lang w:val="en-GB"/>
        </w:rPr>
        <w:t xml:space="preserve"> to people</w:t>
      </w:r>
      <w:r w:rsidRPr="00D61648">
        <w:rPr>
          <w:lang w:val="en-GB"/>
        </w:rPr>
        <w:t>.</w:t>
      </w:r>
    </w:p>
    <w:p w14:paraId="2143324B" w14:textId="77777777" w:rsidR="00E7045B" w:rsidRPr="003630E4" w:rsidRDefault="00E7045B" w:rsidP="00E7045B">
      <w:pPr>
        <w:pStyle w:val="CH3"/>
        <w:rPr>
          <w:lang w:val="en-GB"/>
        </w:rPr>
      </w:pPr>
      <w:r w:rsidRPr="003630E4">
        <w:rPr>
          <w:lang w:val="en-GB"/>
        </w:rPr>
        <w:tab/>
      </w:r>
      <w:r w:rsidRPr="003630E4">
        <w:rPr>
          <w:lang w:val="en-GB"/>
        </w:rPr>
        <w:tab/>
      </w:r>
      <w:proofErr w:type="gramStart"/>
      <w:r w:rsidRPr="003630E4">
        <w:rPr>
          <w:lang w:val="en-GB"/>
        </w:rPr>
        <w:t>Chapter 3.</w:t>
      </w:r>
      <w:proofErr w:type="gramEnd"/>
      <w:r w:rsidRPr="003630E4">
        <w:rPr>
          <w:lang w:val="en-GB"/>
        </w:rPr>
        <w:t xml:space="preserve"> Status of and trends in the use of wild species and its implications for wild species, the environment and people</w:t>
      </w:r>
    </w:p>
    <w:p w14:paraId="29ED1C4C" w14:textId="13F12675" w:rsidR="00E7045B" w:rsidRPr="00D61648"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Chapter 3 will assess the use of wild species and its effect on their conservation status and trends and the positive and negative environmental aspects of the various categories of consumptive and non-consumptive uses introduced in chapter 1 with regard to a selection of wild species covering a range of taxa, and </w:t>
      </w:r>
      <w:r w:rsidRPr="00D61648">
        <w:rPr>
          <w:lang w:val="en-GB"/>
        </w:rPr>
        <w:t xml:space="preserve">relevant terrestrial and aquatic units of analysis, including marine ones. This will be done in relation to the Aichi </w:t>
      </w:r>
      <w:r w:rsidR="00A52590" w:rsidRPr="00D61648">
        <w:rPr>
          <w:lang w:val="en-GB"/>
        </w:rPr>
        <w:t>Biodiversity T</w:t>
      </w:r>
      <w:r w:rsidRPr="00D61648">
        <w:rPr>
          <w:lang w:val="en-GB"/>
        </w:rPr>
        <w:t>argets and the Sustainable Development Goals. Thus it will undertake an analysis of the sustainable use of wild species covering all of the IPBES regions, taking a balanced approach to the treatment of taxa and of species in each taxon and building on relevant work such as CITES non</w:t>
      </w:r>
      <w:r w:rsidRPr="00D61648">
        <w:rPr>
          <w:lang w:val="en-GB"/>
        </w:rPr>
        <w:noBreakHyphen/>
        <w:t xml:space="preserve">detriment findings. Criteria for the selection of wild species could entail risk of extinction, importance to communities, examples of best practices, </w:t>
      </w:r>
      <w:r w:rsidR="00A52590" w:rsidRPr="00D61648">
        <w:rPr>
          <w:lang w:val="en-GB"/>
        </w:rPr>
        <w:t xml:space="preserve">and </w:t>
      </w:r>
      <w:r w:rsidRPr="00D61648">
        <w:rPr>
          <w:lang w:val="en-GB"/>
        </w:rPr>
        <w:t xml:space="preserve">division </w:t>
      </w:r>
      <w:r w:rsidR="00A52590" w:rsidRPr="00160BD4">
        <w:rPr>
          <w:lang w:val="en-GB"/>
        </w:rPr>
        <w:t xml:space="preserve">into </w:t>
      </w:r>
      <w:r w:rsidRPr="00D61648">
        <w:rPr>
          <w:lang w:val="en-GB"/>
        </w:rPr>
        <w:t xml:space="preserve">consumptive and non-consumptive use. </w:t>
      </w:r>
    </w:p>
    <w:p w14:paraId="08635A2B" w14:textId="7E9028A9"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chapter will assess knowledge on what levels of use (if any) could be sustainable and/or when management is required in order for species to recover, taking into account ecological conditions for such recovery. Looking at </w:t>
      </w:r>
      <w:r w:rsidR="001D1354">
        <w:rPr>
          <w:lang w:val="en-GB"/>
        </w:rPr>
        <w:t>various</w:t>
      </w:r>
      <w:r w:rsidR="001D1354" w:rsidRPr="003630E4">
        <w:rPr>
          <w:lang w:val="en-GB"/>
        </w:rPr>
        <w:t xml:space="preserve"> </w:t>
      </w:r>
      <w:r w:rsidRPr="003630E4">
        <w:rPr>
          <w:lang w:val="en-GB"/>
        </w:rPr>
        <w:t xml:space="preserve">management practices, in particular those promoted in the context of </w:t>
      </w:r>
      <w:r w:rsidRPr="00964A01">
        <w:rPr>
          <w:lang w:val="en-GB"/>
        </w:rPr>
        <w:t>CITES</w:t>
      </w:r>
      <w:r w:rsidRPr="003630E4">
        <w:rPr>
          <w:lang w:val="en-GB"/>
        </w:rPr>
        <w:t xml:space="preserve">, </w:t>
      </w:r>
      <w:r w:rsidR="00727F77">
        <w:rPr>
          <w:lang w:val="en-GB"/>
        </w:rPr>
        <w:t xml:space="preserve">the Convention on Biological </w:t>
      </w:r>
      <w:r w:rsidR="00727F77" w:rsidRPr="00964A01">
        <w:rPr>
          <w:lang w:val="en-GB"/>
        </w:rPr>
        <w:t>Diversity</w:t>
      </w:r>
      <w:r w:rsidRPr="00964A01">
        <w:rPr>
          <w:lang w:val="en-GB"/>
        </w:rPr>
        <w:t>, the Convention on the Conservation of Migratory Species of Wild Animals and other relevant conventions, as well as assessments carried out by FAO and regional fisheries management organizations</w:t>
      </w:r>
      <w:r w:rsidRPr="003630E4">
        <w:rPr>
          <w:lang w:val="en-GB"/>
        </w:rPr>
        <w:t xml:space="preserve">, the chapter will assess the impact of the use of selected wild species on nature, including its effects on the ecology, dynamics and genetic diversity of species populations or on corresponding ecosystem functioning. In assessing the environmental context of the use of wild species, the chapter will also take into account relevant direct drivers such as degradation, land-use change, habitat conversion, urban development, pollution, acidification, eutrophication, invasive alien species and climate change. </w:t>
      </w:r>
    </w:p>
    <w:p w14:paraId="6686CCD4" w14:textId="4A005C93" w:rsidR="00E7045B" w:rsidRPr="00D61648"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Chapter 3 will also assess the implications of the use of wild species with regard to nature’s contributions to people and to a good quality of life, taking into account </w:t>
      </w:r>
      <w:r w:rsidR="00D17A73">
        <w:rPr>
          <w:lang w:val="en-GB"/>
        </w:rPr>
        <w:t xml:space="preserve">the </w:t>
      </w:r>
      <w:r w:rsidRPr="003630E4">
        <w:rPr>
          <w:lang w:val="en-GB"/>
        </w:rPr>
        <w:t xml:space="preserve">conditions, criteria and elements of the sustainability of their </w:t>
      </w:r>
      <w:r w:rsidRPr="00D61648">
        <w:rPr>
          <w:lang w:val="en-GB"/>
        </w:rPr>
        <w:t xml:space="preserve">use elaborated in chapter 2. The chapter will draw on the preliminary guide </w:t>
      </w:r>
      <w:r w:rsidR="00A52590" w:rsidRPr="00D61648">
        <w:rPr>
          <w:lang w:val="en-GB"/>
        </w:rPr>
        <w:t xml:space="preserve">on </w:t>
      </w:r>
      <w:r w:rsidRPr="00D61648">
        <w:rPr>
          <w:lang w:val="en-GB"/>
        </w:rPr>
        <w:t xml:space="preserve">the conceptualization of values </w:t>
      </w:r>
      <w:r w:rsidR="00A52590" w:rsidRPr="00D61648">
        <w:rPr>
          <w:lang w:val="en-GB"/>
        </w:rPr>
        <w:t xml:space="preserve">of biodiversity and nature’s </w:t>
      </w:r>
      <w:r w:rsidR="00C6716F" w:rsidRPr="00160BD4">
        <w:rPr>
          <w:lang w:val="en-GB"/>
        </w:rPr>
        <w:t>contributions</w:t>
      </w:r>
      <w:r w:rsidR="00A52590" w:rsidRPr="00D61648">
        <w:rPr>
          <w:lang w:val="en-GB"/>
        </w:rPr>
        <w:t xml:space="preserve"> to people</w:t>
      </w:r>
      <w:r w:rsidRPr="00D61648">
        <w:rPr>
          <w:lang w:val="en-GB"/>
        </w:rPr>
        <w:t>.</w:t>
      </w:r>
    </w:p>
    <w:p w14:paraId="5C6CDD78" w14:textId="77777777" w:rsidR="00E7045B" w:rsidRPr="003630E4" w:rsidRDefault="00E7045B" w:rsidP="00E7045B">
      <w:pPr>
        <w:pStyle w:val="CH3"/>
        <w:rPr>
          <w:lang w:val="en-GB"/>
        </w:rPr>
      </w:pPr>
      <w:r w:rsidRPr="003630E4">
        <w:rPr>
          <w:lang w:val="en-GB"/>
        </w:rPr>
        <w:tab/>
      </w:r>
      <w:r w:rsidRPr="003630E4">
        <w:rPr>
          <w:lang w:val="en-GB"/>
        </w:rPr>
        <w:tab/>
      </w:r>
      <w:proofErr w:type="gramStart"/>
      <w:r w:rsidRPr="003630E4">
        <w:rPr>
          <w:lang w:val="en-GB"/>
        </w:rPr>
        <w:t>Chapter 4.</w:t>
      </w:r>
      <w:proofErr w:type="gramEnd"/>
      <w:r w:rsidRPr="003630E4">
        <w:rPr>
          <w:lang w:val="en-GB"/>
        </w:rPr>
        <w:t xml:space="preserve"> Indirect drivers of the sustainable use of wild species</w:t>
      </w:r>
    </w:p>
    <w:p w14:paraId="5779397B" w14:textId="35C515A9" w:rsidR="00E7045B" w:rsidRPr="003630E4" w:rsidRDefault="009576ED"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Pr>
          <w:lang w:val="en-GB"/>
        </w:rPr>
        <w:t>C</w:t>
      </w:r>
      <w:r w:rsidR="00E7045B" w:rsidRPr="003630E4">
        <w:rPr>
          <w:lang w:val="en-GB"/>
        </w:rPr>
        <w:t xml:space="preserve">hapter </w:t>
      </w:r>
      <w:r>
        <w:rPr>
          <w:lang w:val="en-GB"/>
        </w:rPr>
        <w:t xml:space="preserve">4 </w:t>
      </w:r>
      <w:r w:rsidR="00E7045B" w:rsidRPr="003630E4">
        <w:rPr>
          <w:lang w:val="en-GB"/>
        </w:rPr>
        <w:t xml:space="preserve">will assess the positive and negative indirect drivers of the sustainable use of wild species, exploring institutional arrangements, governance regimes and the </w:t>
      </w:r>
      <w:proofErr w:type="spellStart"/>
      <w:r w:rsidR="00E7045B" w:rsidRPr="003630E4">
        <w:rPr>
          <w:lang w:val="en-GB"/>
        </w:rPr>
        <w:t>sociopolitical</w:t>
      </w:r>
      <w:proofErr w:type="spellEnd"/>
      <w:r w:rsidR="00E7045B" w:rsidRPr="003630E4">
        <w:rPr>
          <w:lang w:val="en-GB"/>
        </w:rPr>
        <w:t>, economic, legal, cultural and technological context of the use of wild species across scales. It will assess conditions such as tenure systems, urban management, land-management practices and relevant environmental legislation and schemes of illegal use. The indirect drivers considered will include demography, income levels, consumption patterns, value systems and others</w:t>
      </w:r>
      <w:r w:rsidR="00E7045B" w:rsidRPr="003630E4">
        <w:rPr>
          <w:color w:val="FF0000"/>
          <w:lang w:val="en-GB"/>
        </w:rPr>
        <w:t xml:space="preserve">. </w:t>
      </w:r>
      <w:r w:rsidR="00E7045B" w:rsidRPr="003630E4">
        <w:rPr>
          <w:lang w:val="en-GB"/>
        </w:rPr>
        <w:t>Consideration will be given to how institutional and governance arrangements contribute positively and negatively to changes in the use of wild species, interactions among drivers and environmental outcomes.</w:t>
      </w:r>
    </w:p>
    <w:p w14:paraId="609F0B4F" w14:textId="598D4AF0" w:rsidR="00E7045B" w:rsidRPr="003630E4" w:rsidRDefault="00E7045B" w:rsidP="00E7045B">
      <w:pPr>
        <w:pStyle w:val="CH3"/>
        <w:rPr>
          <w:lang w:val="en-GB"/>
        </w:rPr>
      </w:pPr>
      <w:r w:rsidRPr="003630E4">
        <w:rPr>
          <w:lang w:val="en-GB"/>
        </w:rPr>
        <w:tab/>
      </w:r>
      <w:r w:rsidRPr="003630E4">
        <w:rPr>
          <w:lang w:val="en-GB"/>
        </w:rPr>
        <w:tab/>
      </w:r>
      <w:proofErr w:type="gramStart"/>
      <w:r w:rsidRPr="003630E4">
        <w:rPr>
          <w:lang w:val="en-GB"/>
        </w:rPr>
        <w:t>Chapter 5.</w:t>
      </w:r>
      <w:proofErr w:type="gramEnd"/>
      <w:r w:rsidRPr="003630E4">
        <w:rPr>
          <w:lang w:val="en-GB"/>
        </w:rPr>
        <w:t xml:space="preserve"> Future scenarios of </w:t>
      </w:r>
      <w:r w:rsidR="0051315C">
        <w:rPr>
          <w:lang w:val="en-GB"/>
        </w:rPr>
        <w:t xml:space="preserve">the </w:t>
      </w:r>
      <w:r w:rsidRPr="003630E4">
        <w:rPr>
          <w:lang w:val="en-GB"/>
        </w:rPr>
        <w:t>sustainable use of wild species</w:t>
      </w:r>
    </w:p>
    <w:p w14:paraId="5081B78E" w14:textId="44B7F10C"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Chapter 5 will present possible future scenarios for sustainable use and its effects on </w:t>
      </w:r>
      <w:r w:rsidR="0063780E">
        <w:rPr>
          <w:lang w:val="en-GB"/>
        </w:rPr>
        <w:t xml:space="preserve">the </w:t>
      </w:r>
      <w:r w:rsidRPr="003630E4">
        <w:rPr>
          <w:lang w:val="en-GB"/>
        </w:rPr>
        <w:t xml:space="preserve">conservation of wild species in their wider socio-ecological context. In assessing trends in and scenarios for the use of wild species, the chapter will take into consideration the conditions, criteria and elements fundamental to the sustainability of such use elaborated in chapter 2 and the analysis of the direct and indirect drivers as assessed in chapters 3 and 4. In considering the scenarios, the chapter will also draw on the IPBES methodological </w:t>
      </w:r>
      <w:r w:rsidRPr="00D61648">
        <w:rPr>
          <w:lang w:val="en-GB"/>
        </w:rPr>
        <w:t>assessment of scenarios and models of biodiversity and ecosystem services (</w:t>
      </w:r>
      <w:r w:rsidR="00A52590" w:rsidRPr="00D61648">
        <w:rPr>
          <w:lang w:val="en-GB"/>
        </w:rPr>
        <w:t>decision IPBES-4/1, section V, paragraph 1 and annex IV</w:t>
      </w:r>
      <w:r w:rsidRPr="00D61648">
        <w:rPr>
          <w:lang w:val="en-GB"/>
        </w:rPr>
        <w:t xml:space="preserve">), the preliminary guide to the conceptualizations of values </w:t>
      </w:r>
      <w:r w:rsidR="00A52590" w:rsidRPr="00D61648">
        <w:rPr>
          <w:lang w:val="en-GB"/>
        </w:rPr>
        <w:t xml:space="preserve">of biodiversity and nature’s </w:t>
      </w:r>
      <w:r w:rsidR="00C6716F" w:rsidRPr="00160BD4">
        <w:rPr>
          <w:lang w:val="en-GB"/>
        </w:rPr>
        <w:t>contributions</w:t>
      </w:r>
      <w:r w:rsidR="00A52590" w:rsidRPr="00D61648">
        <w:rPr>
          <w:lang w:val="en-GB"/>
        </w:rPr>
        <w:t xml:space="preserve"> to people </w:t>
      </w:r>
      <w:r w:rsidRPr="00D61648">
        <w:rPr>
          <w:lang w:val="en-GB"/>
        </w:rPr>
        <w:t>and the assessment of the effectiveness of policy responses provided in chapter 6. It will make use of exploratory</w:t>
      </w:r>
      <w:r w:rsidRPr="003630E4">
        <w:rPr>
          <w:lang w:val="en-GB"/>
        </w:rPr>
        <w:t xml:space="preserve"> scenarios for plausible futures for wild species and the contributions they provide, subject to levels of use, and will also examine policy</w:t>
      </w:r>
      <w:r w:rsidRPr="003630E4">
        <w:rPr>
          <w:lang w:val="en-GB"/>
        </w:rPr>
        <w:noBreakHyphen/>
        <w:t xml:space="preserve">screening scenarios and governance pathways that could lead to more sustainable futures. The possible futures and scenarios for </w:t>
      </w:r>
      <w:r w:rsidR="0063780E">
        <w:rPr>
          <w:lang w:val="en-GB"/>
        </w:rPr>
        <w:t xml:space="preserve">the </w:t>
      </w:r>
      <w:r w:rsidRPr="003630E4">
        <w:rPr>
          <w:lang w:val="en-GB"/>
        </w:rPr>
        <w:t xml:space="preserve">sustainable use of wild species will take into account regional </w:t>
      </w:r>
      <w:proofErr w:type="gramStart"/>
      <w:r w:rsidRPr="003630E4">
        <w:rPr>
          <w:lang w:val="en-GB"/>
        </w:rPr>
        <w:t>specificities,</w:t>
      </w:r>
      <w:proofErr w:type="gramEnd"/>
      <w:r w:rsidRPr="003630E4">
        <w:rPr>
          <w:lang w:val="en-GB"/>
        </w:rPr>
        <w:t xml:space="preserve"> including those of small island States.</w:t>
      </w:r>
    </w:p>
    <w:p w14:paraId="1B6BA4F8" w14:textId="77777777" w:rsidR="00E7045B" w:rsidRPr="003630E4" w:rsidRDefault="00E7045B" w:rsidP="00E7045B">
      <w:pPr>
        <w:pStyle w:val="CH3"/>
        <w:rPr>
          <w:lang w:val="en-GB"/>
        </w:rPr>
      </w:pPr>
      <w:r w:rsidRPr="003630E4">
        <w:rPr>
          <w:lang w:val="en-GB"/>
        </w:rPr>
        <w:tab/>
      </w:r>
      <w:r w:rsidRPr="003630E4">
        <w:rPr>
          <w:lang w:val="en-GB"/>
        </w:rPr>
        <w:tab/>
      </w:r>
      <w:proofErr w:type="gramStart"/>
      <w:r w:rsidRPr="003630E4">
        <w:rPr>
          <w:lang w:val="en-GB"/>
        </w:rPr>
        <w:t>Chapter 6.</w:t>
      </w:r>
      <w:proofErr w:type="gramEnd"/>
      <w:r w:rsidRPr="003630E4">
        <w:rPr>
          <w:lang w:val="en-GB"/>
        </w:rPr>
        <w:t xml:space="preserve"> Policy options and responses </w:t>
      </w:r>
    </w:p>
    <w:p w14:paraId="0BA48488"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Chapter 6 will assess knowledge on the effectiveness of policy responses with regard to the sustainable use of wild species and will outline possible options for and impediments faced by decision makers regarding the policy-relevant issues discussed in the preceding chapters. Options explored will include various policy instruments, including legal and regulatory instruments, and best practices. Options explored should also include communication measures that promote sustainable use through awareness-raising, networking and capacity-building. In addition, the combining of policy instruments and their integration with other environmental policy and governance pathways will be emphasized as policy strategies for promoting the sustainable use of wild species and their habitats. </w:t>
      </w:r>
    </w:p>
    <w:p w14:paraId="417CFEFE"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chapter will explore options at various hierarchical, spatial and temporal scales, looking at a range of governance systems and considering knowledge about who would gain from them or bear the costs and benefits of their implementation. It will look at knowledge on both statutory and traditional tenure systems and at the role of informal institutions and will also identify existing data, the enabling environments and limitations for policy uptake and lessons learned, including solutions and methods for ensuring success and capacity-building needs in diverse contexts.</w:t>
      </w:r>
    </w:p>
    <w:p w14:paraId="734F28D7" w14:textId="77777777" w:rsidR="00E7045B" w:rsidRPr="003630E4" w:rsidRDefault="00E7045B" w:rsidP="00E7045B">
      <w:pPr>
        <w:pStyle w:val="CH1"/>
        <w:rPr>
          <w:lang w:val="en-GB"/>
        </w:rPr>
      </w:pPr>
      <w:r w:rsidRPr="003630E4">
        <w:rPr>
          <w:lang w:val="en-GB"/>
        </w:rPr>
        <w:tab/>
        <w:t>III.</w:t>
      </w:r>
      <w:r w:rsidRPr="003630E4">
        <w:rPr>
          <w:lang w:val="en-GB"/>
        </w:rPr>
        <w:tab/>
        <w:t>Indicators, metrics and data sets</w:t>
      </w:r>
    </w:p>
    <w:p w14:paraId="3EDEC6C1" w14:textId="5FA739DE"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With support from the IPBES task force </w:t>
      </w:r>
      <w:r w:rsidRPr="006A5BCE">
        <w:rPr>
          <w:lang w:val="en-GB"/>
        </w:rPr>
        <w:t xml:space="preserve">on </w:t>
      </w:r>
      <w:r w:rsidR="00A52590" w:rsidRPr="006A5BCE">
        <w:rPr>
          <w:lang w:val="en-GB"/>
        </w:rPr>
        <w:t xml:space="preserve">knowledge and </w:t>
      </w:r>
      <w:r w:rsidRPr="006A5BCE">
        <w:rPr>
          <w:lang w:val="en-GB"/>
        </w:rPr>
        <w:t>data, and</w:t>
      </w:r>
      <w:r w:rsidRPr="003630E4">
        <w:rPr>
          <w:lang w:val="en-GB"/>
        </w:rPr>
        <w:t xml:space="preserve"> taking into account the core and highlighted indicators selected for the regional and global assessments of biodiversity and ecosystem services and the assessment of land degradation and restoration, the assessment will review the use and effectiveness of existing indicators for assessing sustainable use, such as those developed by the Biodiversity Indicators Partnership, and will explore other possible indicators and data sets that could be used. </w:t>
      </w:r>
    </w:p>
    <w:p w14:paraId="037B9D54"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assessment will survey the extent to which data are available and current and will determine data and knowledge gaps. Data selected for use in the assessment should allow for disaggregation according to relevant variables such as biotope, taxa and level of income. Attention will be given, in accordance with the data and information management plan of IPBES, to ensuring access to metadata and, whenever possible, to the corresponding underlying data, through an interoperable process to ensure comparability between assessments. In addition, the task force on data and knowledge will develop recommendations and procedures to ensure that data and information used in the assessment is widely available for future IPBES assessments and other uses.</w:t>
      </w:r>
    </w:p>
    <w:p w14:paraId="384F505F"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assessment will also identify and seek access to any other relevant data and information sources that may exist or emerge. Such sources include global, regional and national institutions and organizations, as well as literature by scientific and indigenous and local communities. The requirements of the assessment process will be communicated widely in order to identify and encourage the sharing of relevant data and information.</w:t>
      </w:r>
    </w:p>
    <w:p w14:paraId="55CB1078"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The task force on indigenous and local knowledge systems, together with relevant indigenous and local knowledge-holders and experts, will guide the procedures for the analysis and use of indigenous and local knowledge. The collective ability to perform these tasks will be strengthened through capacity-building, knowledge-sharing and international collaboration.</w:t>
      </w:r>
    </w:p>
    <w:p w14:paraId="6A43C221" w14:textId="77777777" w:rsidR="00E7045B" w:rsidRPr="003630E4" w:rsidRDefault="00E7045B" w:rsidP="00E7045B">
      <w:pPr>
        <w:pStyle w:val="CH1"/>
        <w:rPr>
          <w:lang w:val="en-GB"/>
        </w:rPr>
      </w:pPr>
      <w:r w:rsidRPr="003630E4">
        <w:rPr>
          <w:lang w:val="en-GB"/>
        </w:rPr>
        <w:tab/>
        <w:t>IV.</w:t>
      </w:r>
      <w:r w:rsidRPr="003630E4">
        <w:rPr>
          <w:lang w:val="en-GB"/>
        </w:rPr>
        <w:tab/>
        <w:t>Relevant stakeholders and initiatives</w:t>
      </w:r>
    </w:p>
    <w:p w14:paraId="447B5377" w14:textId="6970372F"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Under the operating principles of IPBES, partnerships are important in order to avoid duplication and promote synergies with </w:t>
      </w:r>
      <w:proofErr w:type="spellStart"/>
      <w:r w:rsidRPr="003630E4">
        <w:rPr>
          <w:lang w:val="en-GB"/>
        </w:rPr>
        <w:t>ongoing</w:t>
      </w:r>
      <w:proofErr w:type="spellEnd"/>
      <w:r w:rsidRPr="003630E4">
        <w:rPr>
          <w:lang w:val="en-GB"/>
        </w:rPr>
        <w:t xml:space="preserve"> activities. Strategic partnerships are a critical subset of the many possible forms of partnership </w:t>
      </w:r>
      <w:r w:rsidRPr="006A5BCE">
        <w:rPr>
          <w:lang w:val="en-GB"/>
        </w:rPr>
        <w:t xml:space="preserve">with </w:t>
      </w:r>
      <w:r w:rsidR="00285642" w:rsidRPr="006A5BCE">
        <w:rPr>
          <w:lang w:val="en-GB"/>
        </w:rPr>
        <w:t>IPBES</w:t>
      </w:r>
      <w:r w:rsidRPr="006A5BCE">
        <w:rPr>
          <w:lang w:val="en-GB"/>
        </w:rPr>
        <w:t>. In the context</w:t>
      </w:r>
      <w:r w:rsidRPr="003630E4">
        <w:rPr>
          <w:lang w:val="en-GB"/>
        </w:rPr>
        <w:t xml:space="preserve"> of the assessment </w:t>
      </w:r>
      <w:r w:rsidR="00E54AEB" w:rsidRPr="003630E4">
        <w:rPr>
          <w:lang w:val="en-GB"/>
        </w:rPr>
        <w:t>o</w:t>
      </w:r>
      <w:r w:rsidR="00E54AEB">
        <w:rPr>
          <w:lang w:val="en-GB"/>
        </w:rPr>
        <w:t>n</w:t>
      </w:r>
      <w:r w:rsidR="00E54AEB" w:rsidRPr="003630E4">
        <w:rPr>
          <w:lang w:val="en-GB"/>
        </w:rPr>
        <w:t xml:space="preserve"> </w:t>
      </w:r>
      <w:r w:rsidRPr="003630E4">
        <w:rPr>
          <w:lang w:val="en-GB"/>
        </w:rPr>
        <w:t xml:space="preserve">the sustainable use of wild species, strategic partnerships are those that promote, for example, relationships with multiple relevant bodies under a single global umbrella. Strategic partners for the assessment process should be identified in accordance with the IPBES guidance on the development of strategic partnerships and other collaborative arrangements (decision IPBES-3/4, annex III). Other interested organizations are invited to engage with the assessment process. </w:t>
      </w:r>
    </w:p>
    <w:p w14:paraId="4A3DD026"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Indigenous and local people generally possess significant knowledge on the wild species that surround them, including knowledge about their habitat, seasonal availability, species ethology in the case of animal species and other matters, and they often use them for subsistence and other purposes. Consequently, indigenous and local people are major stakeholders and key partners for national Governments and international agencies seeking to safeguard biodiversity through conservation measures or regulatory interventions. The livelihoods of indigenous and local people are often strongly intertwined with the use of wild species. Incentives for the sustainable use of wild species can be used by local populations as tools for the sustainability of the use of wild species.</w:t>
      </w:r>
    </w:p>
    <w:p w14:paraId="40672C6E" w14:textId="77777777" w:rsidR="00E7045B" w:rsidRPr="003630E4" w:rsidRDefault="00E7045B" w:rsidP="00E7045B">
      <w:pPr>
        <w:pStyle w:val="CH1"/>
        <w:rPr>
          <w:lang w:val="en-GB"/>
        </w:rPr>
      </w:pPr>
      <w:r w:rsidRPr="003630E4">
        <w:rPr>
          <w:lang w:val="en-GB"/>
        </w:rPr>
        <w:tab/>
        <w:t>V.</w:t>
      </w:r>
      <w:r w:rsidRPr="003630E4">
        <w:rPr>
          <w:lang w:val="en-GB"/>
        </w:rPr>
        <w:tab/>
        <w:t xml:space="preserve">Capacity-building </w:t>
      </w:r>
    </w:p>
    <w:p w14:paraId="51203DA5" w14:textId="1101F5A5"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A key objective of the assessment is to support the development and improvement of approaches to ensure that the use of wild species is sustainable and to strengthen related practices, measures, techniques, capacities and tools. The assessment will aim to strengthen the scientific underpinnings of informed decision-making on this issue. It will provide the basis for </w:t>
      </w:r>
      <w:r w:rsidRPr="003630E4">
        <w:rPr>
          <w:lang w:val="en-GB"/>
        </w:rPr>
        <w:br/>
        <w:t xml:space="preserve">capacity-building activities to improve human, institutional and technical capacities to foster the implementation of its key messages. This includes building capacities to provide the science-based data necessary to determine the sustainability of wild species use. Capacity-building will aim in the long term at the development and use of policy support tools and methodologies and improving access to the necessary data, information and knowledge and to indigenous and local knowledge systems. </w:t>
      </w:r>
    </w:p>
    <w:p w14:paraId="5CE9B9EF"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In addition, capacity-building activities will be designed to enable the effective participation of experts from developing countries in the assessment. The assessment will be supported by the task force on capacity-building, in particular through the implementation of the IPBES capacity-building rolling plan. In line with the plan, capacity</w:t>
      </w:r>
      <w:r w:rsidRPr="003630E4">
        <w:rPr>
          <w:lang w:val="en-GB"/>
        </w:rPr>
        <w:noBreakHyphen/>
        <w:t>building will also include strengthening the effectiveness of the contributions of indigenous and local knowledge systems to assessments.</w:t>
      </w:r>
    </w:p>
    <w:p w14:paraId="0D8EDB3F" w14:textId="77777777" w:rsidR="00E7045B" w:rsidRPr="003630E4" w:rsidRDefault="00E7045B" w:rsidP="00E7045B">
      <w:pPr>
        <w:pStyle w:val="CH1"/>
        <w:rPr>
          <w:lang w:val="en-GB"/>
        </w:rPr>
      </w:pPr>
      <w:r w:rsidRPr="003630E4">
        <w:rPr>
          <w:lang w:val="en-GB"/>
        </w:rPr>
        <w:tab/>
        <w:t>VI.</w:t>
      </w:r>
      <w:r w:rsidRPr="003630E4">
        <w:rPr>
          <w:lang w:val="en-GB"/>
        </w:rPr>
        <w:tab/>
        <w:t>Process and timetable</w:t>
      </w:r>
    </w:p>
    <w:p w14:paraId="3C7DB60F" w14:textId="77777777" w:rsidR="00E7045B" w:rsidRPr="003630E4"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3630E4">
        <w:rPr>
          <w:lang w:val="en-GB"/>
        </w:rPr>
        <w:t xml:space="preserve">The proposed process and timetable for preparing the assessment report, including actions, milestones and institutional arrangements, are set out below. </w:t>
      </w:r>
    </w:p>
    <w:tbl>
      <w:tblPr>
        <w:tblW w:w="8221" w:type="dxa"/>
        <w:tblInd w:w="1385" w:type="dxa"/>
        <w:tblLook w:val="04A0" w:firstRow="1" w:lastRow="0" w:firstColumn="1" w:lastColumn="0" w:noHBand="0" w:noVBand="1"/>
      </w:tblPr>
      <w:tblGrid>
        <w:gridCol w:w="1963"/>
        <w:gridCol w:w="6258"/>
      </w:tblGrid>
      <w:tr w:rsidR="00E7045B" w:rsidRPr="00440196" w14:paraId="6124ABB7" w14:textId="77777777" w:rsidTr="00440196">
        <w:trPr>
          <w:tblHeader/>
        </w:trPr>
        <w:tc>
          <w:tcPr>
            <w:tcW w:w="1963" w:type="dxa"/>
            <w:tcBorders>
              <w:top w:val="single" w:sz="4" w:space="0" w:color="auto"/>
              <w:bottom w:val="single" w:sz="12" w:space="0" w:color="auto"/>
            </w:tcBorders>
          </w:tcPr>
          <w:p w14:paraId="3DBE43CD" w14:textId="77777777" w:rsidR="00E7045B" w:rsidRPr="00980369" w:rsidRDefault="00E7045B" w:rsidP="00F2330E">
            <w:pPr>
              <w:pStyle w:val="Normal-pool"/>
              <w:spacing w:before="40" w:after="40"/>
              <w:rPr>
                <w:i/>
                <w:w w:val="103"/>
                <w:sz w:val="18"/>
                <w:szCs w:val="18"/>
              </w:rPr>
            </w:pPr>
            <w:r w:rsidRPr="00980369">
              <w:rPr>
                <w:i/>
                <w:w w:val="103"/>
                <w:sz w:val="18"/>
                <w:szCs w:val="18"/>
              </w:rPr>
              <w:t>Date</w:t>
            </w:r>
          </w:p>
        </w:tc>
        <w:tc>
          <w:tcPr>
            <w:tcW w:w="6258" w:type="dxa"/>
            <w:tcBorders>
              <w:top w:val="single" w:sz="4" w:space="0" w:color="auto"/>
              <w:bottom w:val="single" w:sz="12" w:space="0" w:color="auto"/>
            </w:tcBorders>
          </w:tcPr>
          <w:p w14:paraId="473BEDF5" w14:textId="77777777" w:rsidR="00E7045B" w:rsidRPr="00980369" w:rsidRDefault="00E7045B" w:rsidP="00F2330E">
            <w:pPr>
              <w:pStyle w:val="Normal-pool"/>
              <w:spacing w:before="40" w:after="40"/>
              <w:rPr>
                <w:i/>
                <w:w w:val="103"/>
                <w:sz w:val="18"/>
                <w:szCs w:val="18"/>
              </w:rPr>
            </w:pPr>
            <w:r w:rsidRPr="00980369">
              <w:rPr>
                <w:i/>
                <w:w w:val="103"/>
                <w:sz w:val="18"/>
                <w:szCs w:val="18"/>
                <w:lang w:eastAsia="zh-CN"/>
              </w:rPr>
              <w:t xml:space="preserve">Actions and institutional arrangements </w:t>
            </w:r>
          </w:p>
        </w:tc>
      </w:tr>
      <w:tr w:rsidR="00E7045B" w:rsidRPr="00440196" w14:paraId="620AB6BB" w14:textId="77777777" w:rsidTr="00440196">
        <w:tc>
          <w:tcPr>
            <w:tcW w:w="8221" w:type="dxa"/>
            <w:gridSpan w:val="2"/>
            <w:tcBorders>
              <w:top w:val="single" w:sz="12" w:space="0" w:color="auto"/>
              <w:bottom w:val="single" w:sz="4" w:space="0" w:color="auto"/>
            </w:tcBorders>
          </w:tcPr>
          <w:p w14:paraId="56DC71E8" w14:textId="77777777" w:rsidR="00E7045B" w:rsidRPr="00F2330E" w:rsidRDefault="00E7045B" w:rsidP="00F2330E">
            <w:pPr>
              <w:pStyle w:val="Normal-pool"/>
              <w:spacing w:before="40" w:after="40"/>
              <w:rPr>
                <w:b/>
                <w:w w:val="103"/>
                <w:sz w:val="18"/>
                <w:szCs w:val="18"/>
              </w:rPr>
            </w:pPr>
            <w:r w:rsidRPr="00F2330E">
              <w:rPr>
                <w:b/>
                <w:w w:val="103"/>
                <w:sz w:val="18"/>
                <w:szCs w:val="18"/>
              </w:rPr>
              <w:t>Year 1</w:t>
            </w:r>
          </w:p>
        </w:tc>
      </w:tr>
      <w:tr w:rsidR="00E7045B" w:rsidRPr="00440196" w14:paraId="13D45AA3" w14:textId="77777777" w:rsidTr="00440196">
        <w:tc>
          <w:tcPr>
            <w:tcW w:w="1963" w:type="dxa"/>
            <w:vMerge w:val="restart"/>
            <w:tcBorders>
              <w:top w:val="single" w:sz="4" w:space="0" w:color="auto"/>
            </w:tcBorders>
            <w:shd w:val="clear" w:color="auto" w:fill="auto"/>
          </w:tcPr>
          <w:p w14:paraId="501121E3" w14:textId="77777777" w:rsidR="00E7045B" w:rsidRPr="007831BB" w:rsidRDefault="00E7045B" w:rsidP="00F2330E">
            <w:pPr>
              <w:pStyle w:val="Normal-pool"/>
              <w:spacing w:before="40" w:after="40"/>
              <w:rPr>
                <w:w w:val="103"/>
                <w:sz w:val="18"/>
                <w:szCs w:val="18"/>
              </w:rPr>
            </w:pPr>
            <w:r w:rsidRPr="00F2330E">
              <w:rPr>
                <w:w w:val="103"/>
                <w:sz w:val="18"/>
                <w:szCs w:val="18"/>
              </w:rPr>
              <w:t>First quarter</w:t>
            </w:r>
          </w:p>
        </w:tc>
        <w:tc>
          <w:tcPr>
            <w:tcW w:w="6258" w:type="dxa"/>
            <w:tcBorders>
              <w:top w:val="single" w:sz="4" w:space="0" w:color="auto"/>
            </w:tcBorders>
            <w:shd w:val="clear" w:color="auto" w:fill="auto"/>
          </w:tcPr>
          <w:p w14:paraId="3C4DE844" w14:textId="237A852B" w:rsidR="00E7045B" w:rsidRPr="007831BB" w:rsidRDefault="00E7045B" w:rsidP="00F2330E">
            <w:pPr>
              <w:pStyle w:val="Normal-pool"/>
              <w:spacing w:before="40" w:after="40"/>
              <w:rPr>
                <w:w w:val="103"/>
                <w:sz w:val="18"/>
                <w:szCs w:val="18"/>
              </w:rPr>
            </w:pPr>
            <w:r w:rsidRPr="00F2330E">
              <w:rPr>
                <w:w w:val="103"/>
                <w:sz w:val="18"/>
                <w:szCs w:val="18"/>
              </w:rPr>
              <w:t xml:space="preserve">The Plenary approves the conduct of the thematic assessment of sustainable use of wild species, </w:t>
            </w:r>
            <w:r w:rsidRPr="00F2330E">
              <w:rPr>
                <w:w w:val="103"/>
                <w:sz w:val="18"/>
                <w:szCs w:val="18"/>
                <w:lang w:eastAsia="zh-CN"/>
              </w:rPr>
              <w:t xml:space="preserve">asks for offers of in-kind technical support </w:t>
            </w:r>
            <w:r w:rsidRPr="00F2330E">
              <w:rPr>
                <w:w w:val="103"/>
                <w:sz w:val="18"/>
                <w:szCs w:val="18"/>
              </w:rPr>
              <w:t>for the assessment</w:t>
            </w:r>
            <w:r w:rsidRPr="00F2330E">
              <w:rPr>
                <w:w w:val="103"/>
                <w:sz w:val="18"/>
                <w:szCs w:val="18"/>
                <w:lang w:eastAsia="zh-CN"/>
              </w:rPr>
              <w:t xml:space="preserve"> and requests the secretariat, advised by the Bureau, to establish the necessary institutional arrangements to put technical support in place</w:t>
            </w:r>
          </w:p>
        </w:tc>
      </w:tr>
      <w:tr w:rsidR="00E7045B" w:rsidRPr="00440196" w14:paraId="0A924638" w14:textId="77777777" w:rsidTr="00440196">
        <w:tc>
          <w:tcPr>
            <w:tcW w:w="1963" w:type="dxa"/>
            <w:vMerge/>
            <w:shd w:val="clear" w:color="auto" w:fill="auto"/>
          </w:tcPr>
          <w:p w14:paraId="54A5E233" w14:textId="77777777" w:rsidR="00E7045B" w:rsidRPr="00F2330E" w:rsidRDefault="00E7045B" w:rsidP="00F2330E">
            <w:pPr>
              <w:pStyle w:val="Normal-pool"/>
              <w:spacing w:before="40" w:after="40"/>
              <w:rPr>
                <w:b/>
                <w:w w:val="103"/>
                <w:sz w:val="18"/>
                <w:szCs w:val="18"/>
              </w:rPr>
            </w:pPr>
          </w:p>
        </w:tc>
        <w:tc>
          <w:tcPr>
            <w:tcW w:w="6258" w:type="dxa"/>
            <w:shd w:val="clear" w:color="auto" w:fill="auto"/>
          </w:tcPr>
          <w:p w14:paraId="7AE3A733" w14:textId="77777777" w:rsidR="00E7045B" w:rsidRPr="007831BB" w:rsidRDefault="00E7045B" w:rsidP="00F2330E">
            <w:pPr>
              <w:pStyle w:val="Normal-pool"/>
              <w:spacing w:before="40" w:after="40"/>
              <w:rPr>
                <w:w w:val="103"/>
                <w:sz w:val="18"/>
                <w:szCs w:val="18"/>
              </w:rPr>
            </w:pPr>
            <w:r w:rsidRPr="00F2330E">
              <w:rPr>
                <w:w w:val="103"/>
                <w:sz w:val="18"/>
                <w:szCs w:val="18"/>
                <w:lang w:eastAsia="zh-CN"/>
              </w:rPr>
              <w:t xml:space="preserve">The Chair, through the secretariat, requests nominations of experts from Governments and other stakeholders </w:t>
            </w:r>
          </w:p>
        </w:tc>
      </w:tr>
      <w:tr w:rsidR="00E7045B" w:rsidRPr="00440196" w14:paraId="31981881" w14:textId="77777777" w:rsidTr="00440196">
        <w:tc>
          <w:tcPr>
            <w:tcW w:w="1963" w:type="dxa"/>
            <w:vMerge w:val="restart"/>
            <w:shd w:val="clear" w:color="auto" w:fill="auto"/>
          </w:tcPr>
          <w:p w14:paraId="289C7B08" w14:textId="77777777" w:rsidR="00E7045B" w:rsidRPr="007831BB" w:rsidRDefault="00E7045B" w:rsidP="00F2330E">
            <w:pPr>
              <w:pStyle w:val="Normal-pool"/>
              <w:spacing w:before="40" w:after="40"/>
              <w:rPr>
                <w:w w:val="103"/>
                <w:sz w:val="18"/>
                <w:szCs w:val="18"/>
              </w:rPr>
            </w:pPr>
            <w:r w:rsidRPr="00F2330E">
              <w:rPr>
                <w:w w:val="103"/>
                <w:sz w:val="18"/>
                <w:szCs w:val="18"/>
              </w:rPr>
              <w:t>Second quarter</w:t>
            </w:r>
          </w:p>
        </w:tc>
        <w:tc>
          <w:tcPr>
            <w:tcW w:w="6258" w:type="dxa"/>
            <w:shd w:val="clear" w:color="auto" w:fill="auto"/>
          </w:tcPr>
          <w:p w14:paraId="1628AD96" w14:textId="77777777" w:rsidR="00E7045B" w:rsidRPr="007831BB" w:rsidRDefault="00E7045B" w:rsidP="00F2330E">
            <w:pPr>
              <w:pStyle w:val="Normal-pool"/>
              <w:spacing w:before="40" w:after="40"/>
              <w:rPr>
                <w:w w:val="103"/>
                <w:sz w:val="18"/>
                <w:szCs w:val="18"/>
              </w:rPr>
            </w:pPr>
            <w:r w:rsidRPr="00F2330E">
              <w:rPr>
                <w:w w:val="103"/>
                <w:sz w:val="18"/>
                <w:szCs w:val="18"/>
              </w:rPr>
              <w:t xml:space="preserve">The Secretariat compiles lists of nominations </w:t>
            </w:r>
          </w:p>
        </w:tc>
      </w:tr>
      <w:tr w:rsidR="00E7045B" w:rsidRPr="00440196" w14:paraId="75C06DE3" w14:textId="77777777" w:rsidTr="00440196">
        <w:tc>
          <w:tcPr>
            <w:tcW w:w="1963" w:type="dxa"/>
            <w:vMerge/>
            <w:shd w:val="clear" w:color="auto" w:fill="auto"/>
          </w:tcPr>
          <w:p w14:paraId="32F0CB81" w14:textId="77777777" w:rsidR="00E7045B" w:rsidRPr="00F2330E" w:rsidRDefault="00E7045B" w:rsidP="00F2330E">
            <w:pPr>
              <w:pStyle w:val="Normal-pool"/>
              <w:spacing w:before="40" w:after="40"/>
              <w:rPr>
                <w:b/>
                <w:w w:val="103"/>
                <w:sz w:val="18"/>
                <w:szCs w:val="18"/>
              </w:rPr>
            </w:pPr>
          </w:p>
        </w:tc>
        <w:tc>
          <w:tcPr>
            <w:tcW w:w="6258" w:type="dxa"/>
            <w:shd w:val="clear" w:color="auto" w:fill="auto"/>
          </w:tcPr>
          <w:p w14:paraId="5ABBE802" w14:textId="77777777" w:rsidR="00E7045B" w:rsidRPr="007831BB" w:rsidRDefault="00E7045B" w:rsidP="00F2330E">
            <w:pPr>
              <w:pStyle w:val="Normal-pool"/>
              <w:spacing w:before="40" w:after="40"/>
              <w:rPr>
                <w:w w:val="103"/>
                <w:sz w:val="18"/>
                <w:szCs w:val="18"/>
              </w:rPr>
            </w:pPr>
            <w:r w:rsidRPr="00F2330E">
              <w:rPr>
                <w:w w:val="103"/>
                <w:sz w:val="18"/>
                <w:szCs w:val="18"/>
                <w:lang w:eastAsia="zh-CN"/>
              </w:rPr>
              <w:t>The Multidisciplinary Expert Panel selects the assessment co-chairs, coordinating lead authors, lead authors and review editors using the approved selection criteria</w:t>
            </w:r>
          </w:p>
        </w:tc>
      </w:tr>
      <w:tr w:rsidR="00E7045B" w:rsidRPr="00440196" w14:paraId="4927BA8D" w14:textId="77777777" w:rsidTr="00440196">
        <w:trPr>
          <w:trHeight w:val="730"/>
        </w:trPr>
        <w:tc>
          <w:tcPr>
            <w:tcW w:w="1963" w:type="dxa"/>
            <w:vMerge/>
            <w:shd w:val="clear" w:color="auto" w:fill="auto"/>
          </w:tcPr>
          <w:p w14:paraId="7244A382" w14:textId="77777777" w:rsidR="00E7045B" w:rsidRPr="00F2330E" w:rsidRDefault="00E7045B" w:rsidP="00F2330E">
            <w:pPr>
              <w:pStyle w:val="Normal-pool"/>
              <w:spacing w:before="40" w:after="40"/>
              <w:rPr>
                <w:b/>
                <w:w w:val="103"/>
                <w:sz w:val="18"/>
                <w:szCs w:val="18"/>
              </w:rPr>
            </w:pPr>
          </w:p>
        </w:tc>
        <w:tc>
          <w:tcPr>
            <w:tcW w:w="6258" w:type="dxa"/>
            <w:shd w:val="clear" w:color="auto" w:fill="auto"/>
          </w:tcPr>
          <w:p w14:paraId="4E41B0C8" w14:textId="77777777" w:rsidR="00E7045B" w:rsidRPr="007831BB" w:rsidRDefault="00E7045B" w:rsidP="00F2330E">
            <w:pPr>
              <w:pStyle w:val="Normal-pool"/>
              <w:spacing w:before="40" w:after="40"/>
              <w:rPr>
                <w:w w:val="103"/>
                <w:sz w:val="18"/>
                <w:szCs w:val="18"/>
              </w:rPr>
            </w:pPr>
            <w:r w:rsidRPr="00F2330E">
              <w:rPr>
                <w:w w:val="103"/>
                <w:sz w:val="18"/>
                <w:szCs w:val="18"/>
              </w:rPr>
              <w:t>Meeting of the Management Committee (co-chairs, head of the technical support unit and Multidisciplinary Expert Panel and Bureau members) to plan first author meeting</w:t>
            </w:r>
          </w:p>
        </w:tc>
      </w:tr>
      <w:tr w:rsidR="00E7045B" w:rsidRPr="00440196" w14:paraId="38FB0A97" w14:textId="77777777" w:rsidTr="00440196">
        <w:trPr>
          <w:trHeight w:val="229"/>
        </w:trPr>
        <w:tc>
          <w:tcPr>
            <w:tcW w:w="1963" w:type="dxa"/>
            <w:vMerge/>
            <w:shd w:val="clear" w:color="auto" w:fill="auto"/>
          </w:tcPr>
          <w:p w14:paraId="142CA185" w14:textId="77777777" w:rsidR="00E7045B" w:rsidRPr="00F2330E" w:rsidRDefault="00E7045B" w:rsidP="00F2330E">
            <w:pPr>
              <w:pStyle w:val="Normal-pool"/>
              <w:spacing w:before="40" w:after="40"/>
              <w:rPr>
                <w:b/>
                <w:w w:val="103"/>
                <w:sz w:val="18"/>
                <w:szCs w:val="18"/>
              </w:rPr>
            </w:pPr>
          </w:p>
        </w:tc>
        <w:tc>
          <w:tcPr>
            <w:tcW w:w="6258" w:type="dxa"/>
            <w:shd w:val="clear" w:color="auto" w:fill="auto"/>
          </w:tcPr>
          <w:p w14:paraId="0F3D2D2F" w14:textId="77777777" w:rsidR="00E7045B" w:rsidRPr="007831BB" w:rsidRDefault="00E7045B" w:rsidP="00F2330E">
            <w:pPr>
              <w:pStyle w:val="Normal-pool"/>
              <w:spacing w:before="40" w:after="40"/>
              <w:rPr>
                <w:w w:val="103"/>
                <w:sz w:val="18"/>
                <w:szCs w:val="18"/>
              </w:rPr>
            </w:pPr>
            <w:r w:rsidRPr="00F2330E">
              <w:rPr>
                <w:w w:val="103"/>
                <w:sz w:val="18"/>
                <w:szCs w:val="18"/>
              </w:rPr>
              <w:t xml:space="preserve">Selected nominees contacted, gaps filled and the list of co-chairs, authors and review editors finalized </w:t>
            </w:r>
          </w:p>
        </w:tc>
      </w:tr>
      <w:tr w:rsidR="00E7045B" w:rsidRPr="00440196" w14:paraId="681FA646" w14:textId="77777777" w:rsidTr="00440196">
        <w:tc>
          <w:tcPr>
            <w:tcW w:w="1963" w:type="dxa"/>
            <w:shd w:val="clear" w:color="auto" w:fill="auto"/>
          </w:tcPr>
          <w:p w14:paraId="11D20445" w14:textId="77777777" w:rsidR="00E7045B" w:rsidRPr="007831BB" w:rsidRDefault="00E7045B" w:rsidP="00F2330E">
            <w:pPr>
              <w:pStyle w:val="Normal-pool"/>
              <w:spacing w:before="40" w:after="40"/>
              <w:rPr>
                <w:w w:val="103"/>
                <w:sz w:val="18"/>
                <w:szCs w:val="18"/>
              </w:rPr>
            </w:pPr>
            <w:r w:rsidRPr="00F2330E">
              <w:rPr>
                <w:w w:val="103"/>
                <w:sz w:val="18"/>
                <w:szCs w:val="18"/>
              </w:rPr>
              <w:t>Second and early third quarters</w:t>
            </w:r>
          </w:p>
        </w:tc>
        <w:tc>
          <w:tcPr>
            <w:tcW w:w="6258" w:type="dxa"/>
            <w:shd w:val="clear" w:color="auto" w:fill="auto"/>
          </w:tcPr>
          <w:p w14:paraId="40FA947F" w14:textId="77777777" w:rsidR="00E7045B" w:rsidRPr="007831BB" w:rsidRDefault="00E7045B" w:rsidP="00F2330E">
            <w:pPr>
              <w:pStyle w:val="Normal-pool"/>
              <w:spacing w:before="40" w:after="40"/>
              <w:rPr>
                <w:b/>
                <w:w w:val="103"/>
                <w:sz w:val="18"/>
                <w:szCs w:val="18"/>
              </w:rPr>
            </w:pPr>
            <w:r w:rsidRPr="00F2330E">
              <w:rPr>
                <w:w w:val="103"/>
                <w:sz w:val="18"/>
                <w:szCs w:val="18"/>
                <w:lang w:eastAsia="zh-CN"/>
              </w:rPr>
              <w:t>First author meeting with 56 participants: 2 co-chairs, 12 coordinating lead authors, 36 lead authors, 6 Panel and Bureau members</w:t>
            </w:r>
          </w:p>
        </w:tc>
      </w:tr>
      <w:tr w:rsidR="00E7045B" w:rsidRPr="00440196" w14:paraId="2AB60A4C" w14:textId="77777777" w:rsidTr="00440196">
        <w:tc>
          <w:tcPr>
            <w:tcW w:w="1963" w:type="dxa"/>
            <w:tcBorders>
              <w:bottom w:val="single" w:sz="4" w:space="0" w:color="auto"/>
            </w:tcBorders>
            <w:shd w:val="clear" w:color="auto" w:fill="auto"/>
          </w:tcPr>
          <w:p w14:paraId="213AB8FA" w14:textId="77777777" w:rsidR="00E7045B" w:rsidRPr="007831BB" w:rsidRDefault="00E7045B" w:rsidP="00F2330E">
            <w:pPr>
              <w:pStyle w:val="Normal-pool"/>
              <w:spacing w:before="40" w:after="40"/>
              <w:rPr>
                <w:w w:val="103"/>
                <w:sz w:val="18"/>
                <w:szCs w:val="18"/>
              </w:rPr>
            </w:pPr>
            <w:r w:rsidRPr="00F2330E">
              <w:rPr>
                <w:w w:val="103"/>
                <w:sz w:val="18"/>
                <w:szCs w:val="18"/>
              </w:rPr>
              <w:t>Fourth quarter</w:t>
            </w:r>
          </w:p>
        </w:tc>
        <w:tc>
          <w:tcPr>
            <w:tcW w:w="6258" w:type="dxa"/>
            <w:tcBorders>
              <w:bottom w:val="single" w:sz="4" w:space="0" w:color="auto"/>
            </w:tcBorders>
            <w:shd w:val="clear" w:color="auto" w:fill="auto"/>
          </w:tcPr>
          <w:p w14:paraId="64D717B9" w14:textId="77777777" w:rsidR="00E7045B" w:rsidRPr="007831BB" w:rsidRDefault="00E7045B" w:rsidP="00F2330E">
            <w:pPr>
              <w:pStyle w:val="Normal-pool"/>
              <w:spacing w:before="40" w:after="40"/>
              <w:rPr>
                <w:w w:val="103"/>
                <w:sz w:val="18"/>
                <w:szCs w:val="18"/>
                <w:lang w:eastAsia="zh-CN"/>
              </w:rPr>
            </w:pPr>
            <w:r w:rsidRPr="00F2330E">
              <w:rPr>
                <w:w w:val="103"/>
                <w:sz w:val="18"/>
                <w:szCs w:val="18"/>
                <w:lang w:eastAsia="zh-CN"/>
              </w:rPr>
              <w:t>Zero-order drafts of chapters prepared and sent to the secretariat (technical support unit)</w:t>
            </w:r>
          </w:p>
        </w:tc>
      </w:tr>
      <w:tr w:rsidR="00E7045B" w:rsidRPr="00440196" w14:paraId="6C114113" w14:textId="77777777" w:rsidTr="00440196">
        <w:tc>
          <w:tcPr>
            <w:tcW w:w="8221" w:type="dxa"/>
            <w:gridSpan w:val="2"/>
            <w:tcBorders>
              <w:top w:val="single" w:sz="4" w:space="0" w:color="auto"/>
              <w:bottom w:val="single" w:sz="4" w:space="0" w:color="auto"/>
            </w:tcBorders>
            <w:shd w:val="clear" w:color="auto" w:fill="auto"/>
          </w:tcPr>
          <w:p w14:paraId="24B5C347" w14:textId="77777777" w:rsidR="00E7045B" w:rsidRPr="007831BB" w:rsidRDefault="00E7045B" w:rsidP="00F2330E">
            <w:pPr>
              <w:pStyle w:val="Normal-pool"/>
              <w:spacing w:before="40" w:after="40"/>
              <w:rPr>
                <w:b/>
                <w:w w:val="103"/>
                <w:sz w:val="18"/>
                <w:szCs w:val="18"/>
              </w:rPr>
            </w:pPr>
            <w:r w:rsidRPr="00F2330E">
              <w:rPr>
                <w:b/>
                <w:w w:val="103"/>
                <w:sz w:val="18"/>
                <w:szCs w:val="18"/>
              </w:rPr>
              <w:t>Year 2</w:t>
            </w:r>
          </w:p>
        </w:tc>
      </w:tr>
      <w:tr w:rsidR="00E7045B" w:rsidRPr="00440196" w14:paraId="795D8DC9" w14:textId="77777777" w:rsidTr="00440196">
        <w:tc>
          <w:tcPr>
            <w:tcW w:w="1963" w:type="dxa"/>
            <w:vMerge w:val="restart"/>
            <w:tcBorders>
              <w:top w:val="single" w:sz="4" w:space="0" w:color="auto"/>
            </w:tcBorders>
            <w:shd w:val="clear" w:color="auto" w:fill="auto"/>
          </w:tcPr>
          <w:p w14:paraId="6CFA5E46" w14:textId="77777777" w:rsidR="00E7045B" w:rsidRPr="007831BB" w:rsidRDefault="00E7045B" w:rsidP="00F2330E">
            <w:pPr>
              <w:pStyle w:val="Normal-pool"/>
              <w:spacing w:before="40" w:after="40"/>
              <w:rPr>
                <w:w w:val="103"/>
                <w:sz w:val="18"/>
                <w:szCs w:val="18"/>
              </w:rPr>
            </w:pPr>
            <w:r w:rsidRPr="00F2330E">
              <w:rPr>
                <w:w w:val="103"/>
                <w:sz w:val="18"/>
                <w:szCs w:val="18"/>
              </w:rPr>
              <w:t>First quarter</w:t>
            </w:r>
          </w:p>
        </w:tc>
        <w:tc>
          <w:tcPr>
            <w:tcW w:w="6258" w:type="dxa"/>
            <w:tcBorders>
              <w:top w:val="single" w:sz="4" w:space="0" w:color="auto"/>
            </w:tcBorders>
            <w:shd w:val="clear" w:color="auto" w:fill="auto"/>
          </w:tcPr>
          <w:p w14:paraId="5BFFA4AE" w14:textId="77777777" w:rsidR="00E7045B" w:rsidRPr="007831BB" w:rsidRDefault="00E7045B" w:rsidP="00F2330E">
            <w:pPr>
              <w:pStyle w:val="Normal-pool"/>
              <w:spacing w:before="40" w:after="40"/>
              <w:rPr>
                <w:b/>
                <w:w w:val="103"/>
                <w:sz w:val="18"/>
                <w:szCs w:val="18"/>
              </w:rPr>
            </w:pPr>
            <w:r w:rsidRPr="00F2330E">
              <w:rPr>
                <w:w w:val="103"/>
                <w:sz w:val="18"/>
                <w:szCs w:val="18"/>
              </w:rPr>
              <w:t>First-order drafts of chapters prepared and sent to the secretariat (technical support unit)</w:t>
            </w:r>
          </w:p>
        </w:tc>
      </w:tr>
      <w:tr w:rsidR="00E7045B" w:rsidRPr="00440196" w14:paraId="6C372B52" w14:textId="77777777" w:rsidTr="00440196">
        <w:tc>
          <w:tcPr>
            <w:tcW w:w="1963" w:type="dxa"/>
            <w:vMerge/>
            <w:shd w:val="clear" w:color="auto" w:fill="auto"/>
          </w:tcPr>
          <w:p w14:paraId="15154B69" w14:textId="77777777" w:rsidR="00E7045B" w:rsidRPr="00F2330E" w:rsidRDefault="00E7045B" w:rsidP="00F2330E">
            <w:pPr>
              <w:pStyle w:val="Normal-pool"/>
              <w:spacing w:before="40" w:after="40"/>
              <w:rPr>
                <w:b/>
                <w:w w:val="103"/>
                <w:sz w:val="18"/>
                <w:szCs w:val="18"/>
              </w:rPr>
            </w:pPr>
          </w:p>
        </w:tc>
        <w:tc>
          <w:tcPr>
            <w:tcW w:w="6258" w:type="dxa"/>
            <w:shd w:val="clear" w:color="auto" w:fill="auto"/>
          </w:tcPr>
          <w:p w14:paraId="6CFACA7E" w14:textId="77777777" w:rsidR="00E7045B" w:rsidRPr="007831BB" w:rsidRDefault="00E7045B" w:rsidP="00F2330E">
            <w:pPr>
              <w:pStyle w:val="Normal-pool"/>
              <w:spacing w:before="40" w:after="40"/>
              <w:rPr>
                <w:w w:val="103"/>
                <w:sz w:val="18"/>
                <w:szCs w:val="18"/>
              </w:rPr>
            </w:pPr>
            <w:r w:rsidRPr="00F2330E">
              <w:rPr>
                <w:w w:val="103"/>
                <w:sz w:val="18"/>
                <w:szCs w:val="18"/>
              </w:rPr>
              <w:t xml:space="preserve">Compilation of chapters into first-order draft (6 weeks) </w:t>
            </w:r>
          </w:p>
        </w:tc>
      </w:tr>
      <w:tr w:rsidR="00E7045B" w:rsidRPr="00440196" w14:paraId="225AACA5" w14:textId="77777777" w:rsidTr="00440196">
        <w:tc>
          <w:tcPr>
            <w:tcW w:w="1963" w:type="dxa"/>
            <w:vMerge w:val="restart"/>
            <w:shd w:val="clear" w:color="auto" w:fill="auto"/>
          </w:tcPr>
          <w:p w14:paraId="1B85EA0B" w14:textId="77777777" w:rsidR="00E7045B" w:rsidRPr="007831BB" w:rsidRDefault="00E7045B" w:rsidP="00F2330E">
            <w:pPr>
              <w:pStyle w:val="Normal-pool"/>
              <w:spacing w:before="40" w:after="40"/>
              <w:rPr>
                <w:w w:val="103"/>
                <w:sz w:val="18"/>
                <w:szCs w:val="18"/>
              </w:rPr>
            </w:pPr>
            <w:r w:rsidRPr="00F2330E">
              <w:rPr>
                <w:w w:val="103"/>
                <w:sz w:val="18"/>
                <w:szCs w:val="18"/>
              </w:rPr>
              <w:t>Second quarter</w:t>
            </w:r>
          </w:p>
        </w:tc>
        <w:tc>
          <w:tcPr>
            <w:tcW w:w="6258" w:type="dxa"/>
            <w:shd w:val="clear" w:color="auto" w:fill="auto"/>
          </w:tcPr>
          <w:p w14:paraId="7B706835" w14:textId="77777777" w:rsidR="00E7045B" w:rsidRPr="007831BB" w:rsidRDefault="00E7045B" w:rsidP="00F2330E">
            <w:pPr>
              <w:pStyle w:val="Normal-pool"/>
              <w:spacing w:before="40" w:after="40"/>
              <w:rPr>
                <w:w w:val="103"/>
                <w:sz w:val="18"/>
                <w:szCs w:val="18"/>
              </w:rPr>
            </w:pPr>
            <w:r w:rsidRPr="00F2330E">
              <w:rPr>
                <w:w w:val="103"/>
                <w:sz w:val="18"/>
                <w:szCs w:val="18"/>
              </w:rPr>
              <w:t xml:space="preserve">First-order draft sent for external expert peer review (6 weeks, June and July) </w:t>
            </w:r>
          </w:p>
        </w:tc>
      </w:tr>
      <w:tr w:rsidR="00E7045B" w:rsidRPr="00440196" w14:paraId="064BB037" w14:textId="77777777" w:rsidTr="00440196">
        <w:tc>
          <w:tcPr>
            <w:tcW w:w="1963" w:type="dxa"/>
            <w:vMerge/>
            <w:shd w:val="clear" w:color="auto" w:fill="auto"/>
          </w:tcPr>
          <w:p w14:paraId="0B9E054B" w14:textId="77777777" w:rsidR="00E7045B" w:rsidRPr="00F2330E" w:rsidRDefault="00E7045B" w:rsidP="00F2330E">
            <w:pPr>
              <w:pStyle w:val="Normal-pool"/>
              <w:spacing w:before="40" w:after="40"/>
              <w:rPr>
                <w:b/>
                <w:w w:val="103"/>
                <w:sz w:val="18"/>
                <w:szCs w:val="18"/>
              </w:rPr>
            </w:pPr>
          </w:p>
        </w:tc>
        <w:tc>
          <w:tcPr>
            <w:tcW w:w="6258" w:type="dxa"/>
            <w:shd w:val="clear" w:color="auto" w:fill="auto"/>
          </w:tcPr>
          <w:p w14:paraId="483DCF6F" w14:textId="77777777" w:rsidR="00E7045B" w:rsidRPr="007831BB" w:rsidRDefault="00E7045B" w:rsidP="00F2330E">
            <w:pPr>
              <w:pStyle w:val="Normal-pool"/>
              <w:spacing w:before="40" w:after="40"/>
              <w:rPr>
                <w:w w:val="103"/>
                <w:sz w:val="18"/>
                <w:szCs w:val="18"/>
              </w:rPr>
            </w:pPr>
            <w:r w:rsidRPr="00F2330E">
              <w:rPr>
                <w:w w:val="103"/>
                <w:sz w:val="18"/>
                <w:szCs w:val="18"/>
              </w:rPr>
              <w:t xml:space="preserve">Review comments collated by technical support unit and sent to authors (2 weeks) </w:t>
            </w:r>
          </w:p>
        </w:tc>
      </w:tr>
      <w:tr w:rsidR="00E7045B" w:rsidRPr="00440196" w14:paraId="1C4ADA43" w14:textId="77777777" w:rsidTr="00440196">
        <w:tc>
          <w:tcPr>
            <w:tcW w:w="1963" w:type="dxa"/>
            <w:shd w:val="clear" w:color="auto" w:fill="auto"/>
          </w:tcPr>
          <w:p w14:paraId="20B3EE1F" w14:textId="77777777" w:rsidR="00E7045B" w:rsidRPr="007831BB" w:rsidRDefault="00E7045B" w:rsidP="00F2330E">
            <w:pPr>
              <w:pStyle w:val="Normal-pool"/>
              <w:spacing w:before="40" w:after="40"/>
              <w:rPr>
                <w:w w:val="103"/>
                <w:sz w:val="18"/>
                <w:szCs w:val="18"/>
              </w:rPr>
            </w:pPr>
            <w:r w:rsidRPr="00F2330E">
              <w:rPr>
                <w:w w:val="103"/>
                <w:sz w:val="18"/>
                <w:szCs w:val="18"/>
              </w:rPr>
              <w:t xml:space="preserve">Early third quarter </w:t>
            </w:r>
          </w:p>
        </w:tc>
        <w:tc>
          <w:tcPr>
            <w:tcW w:w="6258" w:type="dxa"/>
            <w:shd w:val="clear" w:color="auto" w:fill="auto"/>
          </w:tcPr>
          <w:p w14:paraId="31C2E152" w14:textId="77777777" w:rsidR="00E7045B" w:rsidRPr="007831BB" w:rsidRDefault="00E7045B" w:rsidP="00F2330E">
            <w:pPr>
              <w:pStyle w:val="Normal-pool"/>
              <w:spacing w:before="40" w:after="40"/>
              <w:rPr>
                <w:b/>
                <w:w w:val="103"/>
                <w:sz w:val="18"/>
                <w:szCs w:val="18"/>
              </w:rPr>
            </w:pPr>
            <w:r w:rsidRPr="00F2330E">
              <w:rPr>
                <w:w w:val="103"/>
                <w:sz w:val="18"/>
                <w:szCs w:val="18"/>
                <w:lang w:eastAsia="zh-CN"/>
              </w:rPr>
              <w:t xml:space="preserve">Second author meeting </w:t>
            </w:r>
            <w:r w:rsidRPr="00F2330E">
              <w:rPr>
                <w:w w:val="103"/>
                <w:sz w:val="18"/>
                <w:szCs w:val="18"/>
              </w:rPr>
              <w:t xml:space="preserve">with </w:t>
            </w:r>
            <w:r w:rsidRPr="00F2330E">
              <w:rPr>
                <w:w w:val="103"/>
                <w:sz w:val="18"/>
                <w:szCs w:val="18"/>
                <w:lang w:eastAsia="zh-CN"/>
              </w:rPr>
              <w:t>68 participants: 2 co-chairs, 12 coordinating lead authors, 36 lead authors, 12 review editors and 6 Panel and Bureau members</w:t>
            </w:r>
          </w:p>
        </w:tc>
      </w:tr>
      <w:tr w:rsidR="00E7045B" w:rsidRPr="00440196" w14:paraId="7B7DC582" w14:textId="77777777" w:rsidTr="00440196">
        <w:tc>
          <w:tcPr>
            <w:tcW w:w="1963" w:type="dxa"/>
            <w:tcBorders>
              <w:bottom w:val="single" w:sz="4" w:space="0" w:color="auto"/>
            </w:tcBorders>
            <w:shd w:val="clear" w:color="auto" w:fill="auto"/>
          </w:tcPr>
          <w:p w14:paraId="7EA3FD26" w14:textId="77777777" w:rsidR="00E7045B" w:rsidRPr="007831BB" w:rsidRDefault="00E7045B" w:rsidP="00F2330E">
            <w:pPr>
              <w:pStyle w:val="Normal-pool"/>
              <w:spacing w:before="40" w:after="40"/>
              <w:rPr>
                <w:w w:val="103"/>
                <w:sz w:val="18"/>
                <w:szCs w:val="18"/>
              </w:rPr>
            </w:pPr>
            <w:r w:rsidRPr="00F2330E">
              <w:rPr>
                <w:w w:val="103"/>
                <w:sz w:val="18"/>
                <w:szCs w:val="18"/>
              </w:rPr>
              <w:t>Third quarter</w:t>
            </w:r>
          </w:p>
        </w:tc>
        <w:tc>
          <w:tcPr>
            <w:tcW w:w="6258" w:type="dxa"/>
            <w:tcBorders>
              <w:bottom w:val="single" w:sz="4" w:space="0" w:color="auto"/>
            </w:tcBorders>
            <w:shd w:val="clear" w:color="auto" w:fill="auto"/>
          </w:tcPr>
          <w:p w14:paraId="74339F93" w14:textId="1339802E" w:rsidR="00E7045B" w:rsidRPr="007831BB" w:rsidRDefault="00E7045B" w:rsidP="00F2330E">
            <w:pPr>
              <w:pStyle w:val="Normal-pool"/>
              <w:spacing w:before="40" w:after="40"/>
              <w:rPr>
                <w:w w:val="103"/>
                <w:sz w:val="18"/>
                <w:szCs w:val="18"/>
              </w:rPr>
            </w:pPr>
            <w:r w:rsidRPr="00F2330E">
              <w:rPr>
                <w:w w:val="103"/>
                <w:sz w:val="18"/>
                <w:szCs w:val="18"/>
              </w:rPr>
              <w:t>Second-order drafts of chapters and first-order draft of summary for policymakers prepared (5</w:t>
            </w:r>
            <w:r w:rsidR="00DA0C21">
              <w:rPr>
                <w:w w:val="103"/>
                <w:sz w:val="18"/>
                <w:szCs w:val="18"/>
              </w:rPr>
              <w:t>–</w:t>
            </w:r>
            <w:r w:rsidRPr="00F2330E">
              <w:rPr>
                <w:w w:val="103"/>
                <w:sz w:val="18"/>
                <w:szCs w:val="18"/>
              </w:rPr>
              <w:t xml:space="preserve">6 months) </w:t>
            </w:r>
          </w:p>
        </w:tc>
      </w:tr>
      <w:tr w:rsidR="00E7045B" w:rsidRPr="00440196" w14:paraId="1020CEF5" w14:textId="77777777" w:rsidTr="00440196">
        <w:tc>
          <w:tcPr>
            <w:tcW w:w="8221" w:type="dxa"/>
            <w:gridSpan w:val="2"/>
            <w:tcBorders>
              <w:top w:val="single" w:sz="4" w:space="0" w:color="auto"/>
              <w:bottom w:val="single" w:sz="4" w:space="0" w:color="auto"/>
            </w:tcBorders>
            <w:shd w:val="clear" w:color="auto" w:fill="auto"/>
          </w:tcPr>
          <w:p w14:paraId="230EF6DA" w14:textId="77777777" w:rsidR="00E7045B" w:rsidRPr="007831BB" w:rsidRDefault="00E7045B" w:rsidP="00F2330E">
            <w:pPr>
              <w:pStyle w:val="Normal-pool"/>
              <w:spacing w:before="40" w:after="40"/>
              <w:rPr>
                <w:w w:val="103"/>
                <w:sz w:val="18"/>
                <w:szCs w:val="18"/>
              </w:rPr>
            </w:pPr>
            <w:r w:rsidRPr="00F2330E">
              <w:rPr>
                <w:b/>
                <w:w w:val="103"/>
                <w:sz w:val="18"/>
                <w:szCs w:val="18"/>
              </w:rPr>
              <w:t xml:space="preserve">Year 3 </w:t>
            </w:r>
          </w:p>
        </w:tc>
      </w:tr>
      <w:tr w:rsidR="00E7045B" w:rsidRPr="00440196" w14:paraId="70B7BC6F" w14:textId="77777777" w:rsidTr="00440196">
        <w:tc>
          <w:tcPr>
            <w:tcW w:w="1963" w:type="dxa"/>
            <w:tcBorders>
              <w:top w:val="single" w:sz="4" w:space="0" w:color="auto"/>
            </w:tcBorders>
            <w:shd w:val="clear" w:color="auto" w:fill="auto"/>
          </w:tcPr>
          <w:p w14:paraId="55B0449A" w14:textId="77777777" w:rsidR="00E7045B" w:rsidRPr="007831BB" w:rsidRDefault="00E7045B" w:rsidP="00F2330E">
            <w:pPr>
              <w:pStyle w:val="Normal-pool"/>
              <w:spacing w:before="40" w:after="40"/>
              <w:rPr>
                <w:w w:val="103"/>
                <w:sz w:val="18"/>
                <w:szCs w:val="18"/>
              </w:rPr>
            </w:pPr>
            <w:r w:rsidRPr="00F2330E">
              <w:rPr>
                <w:w w:val="103"/>
                <w:sz w:val="18"/>
                <w:szCs w:val="18"/>
              </w:rPr>
              <w:t xml:space="preserve">First quarter </w:t>
            </w:r>
          </w:p>
        </w:tc>
        <w:tc>
          <w:tcPr>
            <w:tcW w:w="6258" w:type="dxa"/>
            <w:tcBorders>
              <w:top w:val="single" w:sz="4" w:space="0" w:color="auto"/>
            </w:tcBorders>
            <w:shd w:val="clear" w:color="auto" w:fill="auto"/>
          </w:tcPr>
          <w:p w14:paraId="6644993E" w14:textId="77777777" w:rsidR="00E7045B" w:rsidRPr="007831BB" w:rsidRDefault="00E7045B" w:rsidP="00F2330E">
            <w:pPr>
              <w:pStyle w:val="Normal-pool"/>
              <w:spacing w:before="40" w:after="40"/>
              <w:rPr>
                <w:w w:val="103"/>
                <w:sz w:val="18"/>
                <w:szCs w:val="18"/>
              </w:rPr>
            </w:pPr>
            <w:r w:rsidRPr="00F2330E">
              <w:rPr>
                <w:w w:val="103"/>
                <w:sz w:val="18"/>
                <w:szCs w:val="18"/>
              </w:rPr>
              <w:t>Second-order draft of</w:t>
            </w:r>
            <w:r w:rsidRPr="00F2330E">
              <w:rPr>
                <w:w w:val="103"/>
                <w:sz w:val="18"/>
                <w:szCs w:val="18"/>
                <w:lang w:eastAsia="zh-CN"/>
              </w:rPr>
              <w:t xml:space="preserve"> </w:t>
            </w:r>
            <w:r w:rsidRPr="00F2330E">
              <w:rPr>
                <w:w w:val="103"/>
                <w:sz w:val="18"/>
                <w:szCs w:val="18"/>
              </w:rPr>
              <w:t xml:space="preserve">the assessment and first-order draft of the summary for policymakers sent for review by Governments and experts (2 months) </w:t>
            </w:r>
          </w:p>
        </w:tc>
      </w:tr>
      <w:tr w:rsidR="00E7045B" w:rsidRPr="00440196" w14:paraId="3D773A9A" w14:textId="77777777" w:rsidTr="00440196">
        <w:tc>
          <w:tcPr>
            <w:tcW w:w="1963" w:type="dxa"/>
            <w:shd w:val="clear" w:color="auto" w:fill="auto"/>
          </w:tcPr>
          <w:p w14:paraId="53C4D127" w14:textId="77777777" w:rsidR="00E7045B" w:rsidRPr="007831BB" w:rsidRDefault="00E7045B" w:rsidP="00F2330E">
            <w:pPr>
              <w:pStyle w:val="Normal-pool"/>
              <w:spacing w:before="40" w:after="40"/>
              <w:rPr>
                <w:w w:val="103"/>
                <w:sz w:val="18"/>
                <w:szCs w:val="18"/>
              </w:rPr>
            </w:pPr>
            <w:r w:rsidRPr="00F2330E">
              <w:rPr>
                <w:w w:val="103"/>
                <w:sz w:val="18"/>
                <w:szCs w:val="18"/>
              </w:rPr>
              <w:t>First quarter</w:t>
            </w:r>
          </w:p>
        </w:tc>
        <w:tc>
          <w:tcPr>
            <w:tcW w:w="6258" w:type="dxa"/>
            <w:shd w:val="clear" w:color="auto" w:fill="auto"/>
          </w:tcPr>
          <w:p w14:paraId="4098B57C" w14:textId="77777777" w:rsidR="00E7045B" w:rsidRPr="007831BB" w:rsidRDefault="00E7045B" w:rsidP="00F2330E">
            <w:pPr>
              <w:pStyle w:val="Normal-pool"/>
              <w:spacing w:before="40" w:after="40"/>
              <w:rPr>
                <w:w w:val="103"/>
                <w:sz w:val="18"/>
                <w:szCs w:val="18"/>
              </w:rPr>
            </w:pPr>
            <w:r w:rsidRPr="00F2330E">
              <w:rPr>
                <w:w w:val="103"/>
                <w:sz w:val="18"/>
                <w:szCs w:val="18"/>
              </w:rPr>
              <w:t>Review comments collated by technical support unit and sent to authors (2 weeks)</w:t>
            </w:r>
          </w:p>
        </w:tc>
      </w:tr>
      <w:tr w:rsidR="00E7045B" w:rsidRPr="00440196" w14:paraId="1AA45008" w14:textId="77777777" w:rsidTr="00440196">
        <w:tc>
          <w:tcPr>
            <w:tcW w:w="1963" w:type="dxa"/>
            <w:shd w:val="clear" w:color="auto" w:fill="auto"/>
          </w:tcPr>
          <w:p w14:paraId="220FF6A5" w14:textId="77777777" w:rsidR="00E7045B" w:rsidRPr="007831BB" w:rsidRDefault="00E7045B" w:rsidP="00F2330E">
            <w:pPr>
              <w:pStyle w:val="Normal-pool"/>
              <w:spacing w:before="40" w:after="40"/>
              <w:rPr>
                <w:w w:val="103"/>
                <w:sz w:val="18"/>
                <w:szCs w:val="18"/>
              </w:rPr>
            </w:pPr>
            <w:r w:rsidRPr="00F2330E">
              <w:rPr>
                <w:w w:val="103"/>
                <w:sz w:val="18"/>
                <w:szCs w:val="18"/>
              </w:rPr>
              <w:t>Second and early third quarters</w:t>
            </w:r>
          </w:p>
        </w:tc>
        <w:tc>
          <w:tcPr>
            <w:tcW w:w="6258" w:type="dxa"/>
            <w:shd w:val="clear" w:color="auto" w:fill="auto"/>
          </w:tcPr>
          <w:p w14:paraId="5975E378" w14:textId="77777777" w:rsidR="00E7045B" w:rsidRPr="007831BB" w:rsidRDefault="00E7045B" w:rsidP="00F2330E">
            <w:pPr>
              <w:pStyle w:val="Normal-pool"/>
              <w:spacing w:before="40" w:after="40"/>
              <w:rPr>
                <w:w w:val="103"/>
                <w:sz w:val="18"/>
                <w:szCs w:val="18"/>
              </w:rPr>
            </w:pPr>
            <w:r w:rsidRPr="00F2330E">
              <w:rPr>
                <w:w w:val="103"/>
                <w:sz w:val="18"/>
                <w:szCs w:val="18"/>
                <w:lang w:eastAsia="zh-CN"/>
              </w:rPr>
              <w:t>Third author meeting with 68 participants: 2 co-chairs, 12 coordinating lead authors, 36 lead authors, 12 review editors and 6 Panel and Bureau members</w:t>
            </w:r>
          </w:p>
        </w:tc>
      </w:tr>
      <w:tr w:rsidR="00E7045B" w:rsidRPr="00440196" w14:paraId="08E57B81" w14:textId="77777777" w:rsidTr="00440196">
        <w:tc>
          <w:tcPr>
            <w:tcW w:w="1963" w:type="dxa"/>
            <w:tcBorders>
              <w:bottom w:val="single" w:sz="4" w:space="0" w:color="auto"/>
            </w:tcBorders>
            <w:shd w:val="clear" w:color="auto" w:fill="auto"/>
          </w:tcPr>
          <w:p w14:paraId="2C9F09CA" w14:textId="77777777" w:rsidR="00E7045B" w:rsidRPr="007831BB" w:rsidRDefault="00E7045B" w:rsidP="00F2330E">
            <w:pPr>
              <w:pStyle w:val="Normal-pool"/>
              <w:spacing w:before="40" w:after="40"/>
              <w:rPr>
                <w:w w:val="103"/>
                <w:sz w:val="18"/>
                <w:szCs w:val="18"/>
              </w:rPr>
            </w:pPr>
            <w:r w:rsidRPr="00F2330E">
              <w:rPr>
                <w:w w:val="103"/>
                <w:sz w:val="18"/>
                <w:szCs w:val="18"/>
              </w:rPr>
              <w:t>Third and fourth quarters</w:t>
            </w:r>
          </w:p>
        </w:tc>
        <w:tc>
          <w:tcPr>
            <w:tcW w:w="6258" w:type="dxa"/>
            <w:tcBorders>
              <w:bottom w:val="single" w:sz="4" w:space="0" w:color="auto"/>
            </w:tcBorders>
            <w:shd w:val="clear" w:color="auto" w:fill="auto"/>
          </w:tcPr>
          <w:p w14:paraId="6C475DC7" w14:textId="77777777" w:rsidR="00E7045B" w:rsidRPr="007831BB" w:rsidRDefault="00E7045B" w:rsidP="00F2330E">
            <w:pPr>
              <w:pStyle w:val="Normal-pool"/>
              <w:spacing w:before="40" w:after="40"/>
              <w:rPr>
                <w:w w:val="103"/>
                <w:sz w:val="18"/>
                <w:szCs w:val="18"/>
              </w:rPr>
            </w:pPr>
            <w:r w:rsidRPr="00F2330E">
              <w:rPr>
                <w:w w:val="103"/>
                <w:sz w:val="18"/>
                <w:szCs w:val="18"/>
              </w:rPr>
              <w:t xml:space="preserve">Final revisions of assessment and summary for policymakers (6 months) </w:t>
            </w:r>
          </w:p>
        </w:tc>
      </w:tr>
      <w:tr w:rsidR="00E7045B" w:rsidRPr="00440196" w14:paraId="6536C746" w14:textId="77777777" w:rsidTr="00440196">
        <w:tc>
          <w:tcPr>
            <w:tcW w:w="8221" w:type="dxa"/>
            <w:gridSpan w:val="2"/>
            <w:tcBorders>
              <w:top w:val="single" w:sz="4" w:space="0" w:color="auto"/>
              <w:bottom w:val="single" w:sz="4" w:space="0" w:color="auto"/>
            </w:tcBorders>
            <w:shd w:val="clear" w:color="auto" w:fill="auto"/>
          </w:tcPr>
          <w:p w14:paraId="66BFC007" w14:textId="77777777" w:rsidR="00E7045B" w:rsidRPr="007831BB" w:rsidRDefault="00E7045B" w:rsidP="004153C8">
            <w:pPr>
              <w:pStyle w:val="Normal-pool"/>
              <w:keepNext/>
              <w:keepLines/>
              <w:spacing w:before="40" w:after="40"/>
              <w:rPr>
                <w:b/>
                <w:w w:val="103"/>
                <w:sz w:val="18"/>
                <w:szCs w:val="18"/>
              </w:rPr>
            </w:pPr>
            <w:r w:rsidRPr="00F2330E">
              <w:rPr>
                <w:b/>
                <w:w w:val="103"/>
                <w:sz w:val="18"/>
                <w:szCs w:val="18"/>
              </w:rPr>
              <w:t>Year 4</w:t>
            </w:r>
          </w:p>
        </w:tc>
      </w:tr>
      <w:tr w:rsidR="00E7045B" w:rsidRPr="00440196" w14:paraId="64DE9487" w14:textId="77777777" w:rsidTr="00440196">
        <w:tc>
          <w:tcPr>
            <w:tcW w:w="1963" w:type="dxa"/>
            <w:tcBorders>
              <w:top w:val="single" w:sz="4" w:space="0" w:color="auto"/>
            </w:tcBorders>
            <w:shd w:val="clear" w:color="auto" w:fill="auto"/>
          </w:tcPr>
          <w:p w14:paraId="0187B681" w14:textId="77777777" w:rsidR="00E7045B" w:rsidRPr="007831BB" w:rsidRDefault="00E7045B" w:rsidP="00F2330E">
            <w:pPr>
              <w:pStyle w:val="Normal-pool"/>
              <w:spacing w:before="40" w:after="40"/>
              <w:rPr>
                <w:w w:val="103"/>
                <w:sz w:val="18"/>
                <w:szCs w:val="18"/>
              </w:rPr>
            </w:pPr>
            <w:r w:rsidRPr="00F2330E">
              <w:rPr>
                <w:w w:val="103"/>
                <w:sz w:val="18"/>
                <w:szCs w:val="18"/>
              </w:rPr>
              <w:t>First quarter</w:t>
            </w:r>
          </w:p>
        </w:tc>
        <w:tc>
          <w:tcPr>
            <w:tcW w:w="6258" w:type="dxa"/>
            <w:tcBorders>
              <w:top w:val="single" w:sz="4" w:space="0" w:color="auto"/>
            </w:tcBorders>
            <w:shd w:val="clear" w:color="auto" w:fill="auto"/>
          </w:tcPr>
          <w:p w14:paraId="4E711FD2" w14:textId="77777777" w:rsidR="00E7045B" w:rsidRPr="007831BB" w:rsidRDefault="00E7045B" w:rsidP="004153C8">
            <w:pPr>
              <w:pStyle w:val="Normal-pool"/>
              <w:keepNext/>
              <w:keepLines/>
              <w:spacing w:before="40" w:after="40"/>
              <w:rPr>
                <w:b/>
                <w:w w:val="103"/>
                <w:sz w:val="18"/>
                <w:szCs w:val="18"/>
              </w:rPr>
            </w:pPr>
            <w:r w:rsidRPr="00F2330E">
              <w:rPr>
                <w:w w:val="103"/>
                <w:sz w:val="18"/>
                <w:szCs w:val="18"/>
              </w:rPr>
              <w:t>Translation of the summary for policymakers into the 6 official languages of the United Nations</w:t>
            </w:r>
          </w:p>
        </w:tc>
      </w:tr>
      <w:tr w:rsidR="00E7045B" w:rsidRPr="00440196" w14:paraId="76EDB4E4" w14:textId="77777777" w:rsidTr="00440196">
        <w:tc>
          <w:tcPr>
            <w:tcW w:w="1963" w:type="dxa"/>
            <w:shd w:val="clear" w:color="auto" w:fill="auto"/>
          </w:tcPr>
          <w:p w14:paraId="49F4F129" w14:textId="77777777" w:rsidR="00E7045B" w:rsidRPr="007831BB" w:rsidRDefault="00E7045B" w:rsidP="00F2330E">
            <w:pPr>
              <w:pStyle w:val="Normal-pool"/>
              <w:spacing w:before="40" w:after="40"/>
              <w:rPr>
                <w:w w:val="103"/>
                <w:sz w:val="18"/>
                <w:szCs w:val="18"/>
              </w:rPr>
            </w:pPr>
            <w:r w:rsidRPr="00F2330E">
              <w:rPr>
                <w:w w:val="103"/>
                <w:sz w:val="18"/>
                <w:szCs w:val="18"/>
              </w:rPr>
              <w:t>First quarter</w:t>
            </w:r>
          </w:p>
        </w:tc>
        <w:tc>
          <w:tcPr>
            <w:tcW w:w="6258" w:type="dxa"/>
            <w:shd w:val="clear" w:color="auto" w:fill="auto"/>
          </w:tcPr>
          <w:p w14:paraId="54D47DDF" w14:textId="77777777" w:rsidR="00E7045B" w:rsidRPr="007831BB" w:rsidRDefault="00E7045B" w:rsidP="00F2330E">
            <w:pPr>
              <w:pStyle w:val="Normal-pool"/>
              <w:spacing w:before="40" w:after="40"/>
              <w:rPr>
                <w:w w:val="103"/>
                <w:sz w:val="18"/>
                <w:szCs w:val="18"/>
              </w:rPr>
            </w:pPr>
            <w:r w:rsidRPr="00F2330E">
              <w:rPr>
                <w:w w:val="103"/>
                <w:sz w:val="18"/>
                <w:szCs w:val="18"/>
              </w:rPr>
              <w:t xml:space="preserve">Submission of </w:t>
            </w:r>
            <w:r w:rsidRPr="00F2330E">
              <w:rPr>
                <w:w w:val="103"/>
                <w:sz w:val="18"/>
                <w:szCs w:val="18"/>
                <w:lang w:eastAsia="zh-CN"/>
              </w:rPr>
              <w:t xml:space="preserve">the </w:t>
            </w:r>
            <w:r w:rsidRPr="00F2330E">
              <w:rPr>
                <w:w w:val="103"/>
                <w:sz w:val="18"/>
                <w:szCs w:val="18"/>
              </w:rPr>
              <w:t>assessment, including the translated summary for policymakers, to Governments for final review prior to the Plenary session (6 weeks)</w:t>
            </w:r>
          </w:p>
        </w:tc>
      </w:tr>
      <w:tr w:rsidR="00E7045B" w:rsidRPr="00440196" w14:paraId="115763EC" w14:textId="77777777" w:rsidTr="00440196">
        <w:tc>
          <w:tcPr>
            <w:tcW w:w="1963" w:type="dxa"/>
            <w:shd w:val="clear" w:color="auto" w:fill="auto"/>
          </w:tcPr>
          <w:p w14:paraId="184189B7" w14:textId="77777777" w:rsidR="00E7045B" w:rsidRPr="007831BB" w:rsidRDefault="00E7045B" w:rsidP="00F2330E">
            <w:pPr>
              <w:pStyle w:val="Normal-pool"/>
              <w:spacing w:before="40" w:after="40"/>
              <w:rPr>
                <w:w w:val="103"/>
                <w:sz w:val="18"/>
                <w:szCs w:val="18"/>
              </w:rPr>
            </w:pPr>
            <w:r w:rsidRPr="00F2330E">
              <w:rPr>
                <w:w w:val="103"/>
                <w:sz w:val="18"/>
                <w:szCs w:val="18"/>
              </w:rPr>
              <w:t>First quarter</w:t>
            </w:r>
          </w:p>
        </w:tc>
        <w:tc>
          <w:tcPr>
            <w:tcW w:w="6258" w:type="dxa"/>
            <w:shd w:val="clear" w:color="auto" w:fill="auto"/>
          </w:tcPr>
          <w:p w14:paraId="254CE0C3" w14:textId="77777777" w:rsidR="00E7045B" w:rsidRPr="007831BB" w:rsidRDefault="00E7045B" w:rsidP="00F2330E">
            <w:pPr>
              <w:pStyle w:val="Normal-pool"/>
              <w:spacing w:before="40" w:after="40"/>
              <w:rPr>
                <w:w w:val="103"/>
                <w:sz w:val="18"/>
                <w:szCs w:val="18"/>
              </w:rPr>
            </w:pPr>
            <w:r w:rsidRPr="00F2330E">
              <w:rPr>
                <w:w w:val="103"/>
                <w:sz w:val="18"/>
                <w:szCs w:val="18"/>
              </w:rPr>
              <w:t>Final government comments on the summary for policymakers considered by authors prior to the Plenary session</w:t>
            </w:r>
          </w:p>
        </w:tc>
      </w:tr>
      <w:tr w:rsidR="00E7045B" w:rsidRPr="00440196" w14:paraId="222AB10E" w14:textId="77777777" w:rsidTr="00440196">
        <w:tc>
          <w:tcPr>
            <w:tcW w:w="1963" w:type="dxa"/>
            <w:shd w:val="clear" w:color="auto" w:fill="auto"/>
          </w:tcPr>
          <w:p w14:paraId="60A1085C" w14:textId="77777777" w:rsidR="00E7045B" w:rsidRPr="007831BB" w:rsidRDefault="00E7045B" w:rsidP="00F2330E">
            <w:pPr>
              <w:pStyle w:val="Normal-pool"/>
              <w:spacing w:before="40" w:after="40"/>
              <w:rPr>
                <w:w w:val="103"/>
                <w:sz w:val="18"/>
                <w:szCs w:val="18"/>
              </w:rPr>
            </w:pPr>
            <w:r w:rsidRPr="00F2330E">
              <w:rPr>
                <w:w w:val="103"/>
                <w:sz w:val="18"/>
                <w:szCs w:val="18"/>
              </w:rPr>
              <w:t>May (to be confirmed)</w:t>
            </w:r>
          </w:p>
        </w:tc>
        <w:tc>
          <w:tcPr>
            <w:tcW w:w="6258" w:type="dxa"/>
            <w:shd w:val="clear" w:color="auto" w:fill="auto"/>
          </w:tcPr>
          <w:p w14:paraId="1CCA9108" w14:textId="77777777" w:rsidR="00E7045B" w:rsidRPr="007831BB" w:rsidRDefault="00E7045B" w:rsidP="00F2330E">
            <w:pPr>
              <w:pStyle w:val="Normal-pool"/>
              <w:spacing w:before="40" w:after="40"/>
              <w:rPr>
                <w:w w:val="103"/>
                <w:sz w:val="18"/>
                <w:szCs w:val="18"/>
              </w:rPr>
            </w:pPr>
            <w:r w:rsidRPr="00F2330E">
              <w:rPr>
                <w:w w:val="103"/>
                <w:sz w:val="18"/>
                <w:szCs w:val="18"/>
              </w:rPr>
              <w:t xml:space="preserve">Plenary approves the summary for policymakers and accepts the chapters and their executive summaries </w:t>
            </w:r>
          </w:p>
        </w:tc>
      </w:tr>
      <w:tr w:rsidR="00E7045B" w:rsidRPr="00440196" w14:paraId="6FF8BCCF" w14:textId="77777777" w:rsidTr="00440196">
        <w:tc>
          <w:tcPr>
            <w:tcW w:w="1963" w:type="dxa"/>
            <w:tcBorders>
              <w:bottom w:val="single" w:sz="12" w:space="0" w:color="auto"/>
            </w:tcBorders>
            <w:shd w:val="clear" w:color="auto" w:fill="auto"/>
          </w:tcPr>
          <w:p w14:paraId="5AD7350F" w14:textId="77777777" w:rsidR="00E7045B" w:rsidRPr="007831BB" w:rsidRDefault="00E7045B" w:rsidP="00F2330E">
            <w:pPr>
              <w:pStyle w:val="Normal-pool"/>
              <w:spacing w:before="40" w:after="40"/>
              <w:rPr>
                <w:w w:val="103"/>
                <w:sz w:val="18"/>
                <w:szCs w:val="18"/>
              </w:rPr>
            </w:pPr>
            <w:r w:rsidRPr="00F2330E">
              <w:rPr>
                <w:w w:val="103"/>
                <w:sz w:val="18"/>
                <w:szCs w:val="18"/>
              </w:rPr>
              <w:t>Second and third quarters</w:t>
            </w:r>
          </w:p>
        </w:tc>
        <w:tc>
          <w:tcPr>
            <w:tcW w:w="6258" w:type="dxa"/>
            <w:tcBorders>
              <w:bottom w:val="single" w:sz="12" w:space="0" w:color="auto"/>
            </w:tcBorders>
            <w:shd w:val="clear" w:color="auto" w:fill="auto"/>
          </w:tcPr>
          <w:p w14:paraId="0D1B6B86" w14:textId="77777777" w:rsidR="00E7045B" w:rsidRPr="007831BB" w:rsidRDefault="00E7045B" w:rsidP="00F2330E">
            <w:pPr>
              <w:pStyle w:val="Normal-pool"/>
              <w:spacing w:before="40" w:after="40"/>
              <w:rPr>
                <w:w w:val="103"/>
                <w:sz w:val="18"/>
                <w:szCs w:val="18"/>
              </w:rPr>
            </w:pPr>
            <w:r w:rsidRPr="00F2330E">
              <w:rPr>
                <w:w w:val="103"/>
                <w:sz w:val="18"/>
                <w:szCs w:val="18"/>
              </w:rPr>
              <w:t>Communication activities in relation to the assessment</w:t>
            </w:r>
          </w:p>
        </w:tc>
      </w:tr>
    </w:tbl>
    <w:p w14:paraId="347035D4" w14:textId="77777777" w:rsidR="00E7045B" w:rsidRPr="007831BB" w:rsidRDefault="00E7045B" w:rsidP="00E7045B">
      <w:pPr>
        <w:pStyle w:val="CH1"/>
        <w:rPr>
          <w:lang w:val="en-GB"/>
        </w:rPr>
      </w:pPr>
      <w:r w:rsidRPr="007831BB">
        <w:rPr>
          <w:lang w:val="en-GB"/>
        </w:rPr>
        <w:tab/>
        <w:t>VII.</w:t>
      </w:r>
      <w:r w:rsidRPr="007831BB">
        <w:rPr>
          <w:lang w:val="en-GB"/>
        </w:rPr>
        <w:tab/>
        <w:t>Cost estimate</w:t>
      </w:r>
    </w:p>
    <w:p w14:paraId="4FCDDDC2" w14:textId="77777777" w:rsidR="00E7045B" w:rsidRPr="007831BB"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n-GB"/>
        </w:rPr>
      </w:pPr>
      <w:r w:rsidRPr="007831BB">
        <w:rPr>
          <w:lang w:val="en-GB"/>
        </w:rPr>
        <w:t>The table below shows the estimated cost of conducting the assessment and preparing the assessment report. The cost includes three author meetings, all involving the lead authors. The total estimated cost is $997,000.</w:t>
      </w:r>
    </w:p>
    <w:tbl>
      <w:tblPr>
        <w:tblW w:w="8222" w:type="dxa"/>
        <w:tblInd w:w="1384" w:type="dxa"/>
        <w:tblLayout w:type="fixed"/>
        <w:tblLook w:val="04A0" w:firstRow="1" w:lastRow="0" w:firstColumn="1" w:lastColumn="0" w:noHBand="0" w:noVBand="1"/>
      </w:tblPr>
      <w:tblGrid>
        <w:gridCol w:w="993"/>
        <w:gridCol w:w="2976"/>
        <w:gridCol w:w="2835"/>
        <w:gridCol w:w="1418"/>
      </w:tblGrid>
      <w:tr w:rsidR="00E7045B" w:rsidRPr="00440196" w14:paraId="4603B55F" w14:textId="77777777" w:rsidTr="004153C8">
        <w:trPr>
          <w:tblHeader/>
        </w:trPr>
        <w:tc>
          <w:tcPr>
            <w:tcW w:w="993" w:type="dxa"/>
            <w:tcBorders>
              <w:top w:val="single" w:sz="4" w:space="0" w:color="auto"/>
              <w:bottom w:val="single" w:sz="12" w:space="0" w:color="auto"/>
            </w:tcBorders>
            <w:shd w:val="clear" w:color="auto" w:fill="auto"/>
            <w:vAlign w:val="bottom"/>
          </w:tcPr>
          <w:p w14:paraId="27C129DA" w14:textId="77777777" w:rsidR="00E7045B" w:rsidRPr="00440196" w:rsidRDefault="00E7045B" w:rsidP="00440196">
            <w:pPr>
              <w:keepNext/>
              <w:keepLines/>
              <w:spacing w:before="40" w:after="40"/>
              <w:rPr>
                <w:i/>
                <w:sz w:val="18"/>
                <w:szCs w:val="18"/>
              </w:rPr>
            </w:pPr>
            <w:r w:rsidRPr="00440196">
              <w:rPr>
                <w:i/>
                <w:sz w:val="18"/>
                <w:szCs w:val="18"/>
              </w:rPr>
              <w:t>Year</w:t>
            </w:r>
          </w:p>
        </w:tc>
        <w:tc>
          <w:tcPr>
            <w:tcW w:w="2976" w:type="dxa"/>
            <w:tcBorders>
              <w:top w:val="single" w:sz="4" w:space="0" w:color="auto"/>
              <w:bottom w:val="single" w:sz="12" w:space="0" w:color="auto"/>
            </w:tcBorders>
            <w:shd w:val="clear" w:color="auto" w:fill="auto"/>
            <w:vAlign w:val="bottom"/>
          </w:tcPr>
          <w:p w14:paraId="386F69E3" w14:textId="77777777" w:rsidR="00E7045B" w:rsidRPr="001B4189" w:rsidRDefault="00E7045B" w:rsidP="00440196">
            <w:pPr>
              <w:keepNext/>
              <w:keepLines/>
              <w:spacing w:before="40" w:after="40"/>
              <w:rPr>
                <w:i/>
                <w:sz w:val="18"/>
                <w:szCs w:val="18"/>
              </w:rPr>
            </w:pPr>
            <w:r w:rsidRPr="001B4189">
              <w:rPr>
                <w:i/>
                <w:sz w:val="18"/>
                <w:szCs w:val="18"/>
              </w:rPr>
              <w:t>Cost item</w:t>
            </w:r>
          </w:p>
        </w:tc>
        <w:tc>
          <w:tcPr>
            <w:tcW w:w="2835" w:type="dxa"/>
            <w:tcBorders>
              <w:top w:val="single" w:sz="4" w:space="0" w:color="auto"/>
              <w:bottom w:val="single" w:sz="12" w:space="0" w:color="auto"/>
            </w:tcBorders>
            <w:shd w:val="clear" w:color="auto" w:fill="auto"/>
            <w:vAlign w:val="bottom"/>
          </w:tcPr>
          <w:p w14:paraId="253DED34" w14:textId="77777777" w:rsidR="00E7045B" w:rsidRPr="00440196" w:rsidRDefault="00E7045B" w:rsidP="00440196">
            <w:pPr>
              <w:keepNext/>
              <w:keepLines/>
              <w:spacing w:before="40" w:after="40"/>
              <w:rPr>
                <w:i/>
                <w:sz w:val="18"/>
                <w:szCs w:val="18"/>
              </w:rPr>
            </w:pPr>
            <w:r w:rsidRPr="00440196">
              <w:rPr>
                <w:i/>
                <w:sz w:val="18"/>
                <w:szCs w:val="18"/>
              </w:rPr>
              <w:t>Assumptions</w:t>
            </w:r>
          </w:p>
        </w:tc>
        <w:tc>
          <w:tcPr>
            <w:tcW w:w="1418" w:type="dxa"/>
            <w:tcBorders>
              <w:top w:val="single" w:sz="4" w:space="0" w:color="auto"/>
              <w:bottom w:val="single" w:sz="12" w:space="0" w:color="auto"/>
            </w:tcBorders>
            <w:shd w:val="clear" w:color="auto" w:fill="auto"/>
            <w:vAlign w:val="bottom"/>
          </w:tcPr>
          <w:p w14:paraId="53C19F28" w14:textId="77777777" w:rsidR="00E7045B" w:rsidRPr="00440196" w:rsidRDefault="00E7045B" w:rsidP="00440196">
            <w:pPr>
              <w:keepNext/>
              <w:keepLines/>
              <w:spacing w:before="40" w:after="40"/>
              <w:jc w:val="right"/>
              <w:rPr>
                <w:i/>
                <w:sz w:val="18"/>
                <w:szCs w:val="18"/>
              </w:rPr>
            </w:pPr>
            <w:r w:rsidRPr="00440196">
              <w:rPr>
                <w:i/>
                <w:sz w:val="18"/>
                <w:szCs w:val="18"/>
              </w:rPr>
              <w:t xml:space="preserve">Estimated costs </w:t>
            </w:r>
            <w:r w:rsidRPr="00440196">
              <w:rPr>
                <w:i/>
                <w:sz w:val="18"/>
                <w:szCs w:val="18"/>
              </w:rPr>
              <w:br/>
              <w:t xml:space="preserve">(United States </w:t>
            </w:r>
            <w:r w:rsidRPr="00440196">
              <w:rPr>
                <w:i/>
                <w:sz w:val="18"/>
                <w:szCs w:val="18"/>
                <w:lang w:eastAsia="zh-CN"/>
              </w:rPr>
              <w:t>dollars</w:t>
            </w:r>
            <w:r w:rsidRPr="00440196">
              <w:rPr>
                <w:i/>
                <w:sz w:val="18"/>
                <w:szCs w:val="18"/>
              </w:rPr>
              <w:t>)</w:t>
            </w:r>
          </w:p>
        </w:tc>
      </w:tr>
      <w:tr w:rsidR="00E7045B" w:rsidRPr="00440196" w14:paraId="30FB407E" w14:textId="77777777" w:rsidTr="004153C8">
        <w:tc>
          <w:tcPr>
            <w:tcW w:w="993" w:type="dxa"/>
            <w:vMerge w:val="restart"/>
            <w:tcBorders>
              <w:top w:val="single" w:sz="12" w:space="0" w:color="auto"/>
            </w:tcBorders>
            <w:shd w:val="clear" w:color="auto" w:fill="auto"/>
          </w:tcPr>
          <w:p w14:paraId="1751D04F" w14:textId="77777777" w:rsidR="00E7045B" w:rsidRPr="00440196" w:rsidRDefault="00E7045B" w:rsidP="00440196">
            <w:pPr>
              <w:spacing w:before="40" w:after="40"/>
              <w:rPr>
                <w:b/>
                <w:sz w:val="18"/>
                <w:szCs w:val="18"/>
              </w:rPr>
            </w:pPr>
            <w:r w:rsidRPr="00440196">
              <w:rPr>
                <w:b/>
                <w:sz w:val="18"/>
                <w:szCs w:val="18"/>
              </w:rPr>
              <w:t>Year 1</w:t>
            </w:r>
          </w:p>
        </w:tc>
        <w:tc>
          <w:tcPr>
            <w:tcW w:w="2976" w:type="dxa"/>
            <w:vMerge w:val="restart"/>
            <w:tcBorders>
              <w:top w:val="single" w:sz="12" w:space="0" w:color="auto"/>
            </w:tcBorders>
            <w:shd w:val="clear" w:color="auto" w:fill="auto"/>
          </w:tcPr>
          <w:p w14:paraId="38B13586"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Management meeting on assessment (with co-chairs and </w:t>
            </w:r>
            <w:r w:rsidRPr="00440196">
              <w:rPr>
                <w:sz w:val="18"/>
                <w:szCs w:val="18"/>
                <w:lang w:eastAsia="zh-CN"/>
              </w:rPr>
              <w:t xml:space="preserve">members of the </w:t>
            </w:r>
            <w:r w:rsidRPr="00440196">
              <w:rPr>
                <w:sz w:val="18"/>
                <w:szCs w:val="18"/>
              </w:rPr>
              <w:t>secretariat</w:t>
            </w:r>
            <w:r w:rsidRPr="00440196">
              <w:rPr>
                <w:sz w:val="18"/>
                <w:szCs w:val="18"/>
                <w:lang w:eastAsia="zh-CN"/>
              </w:rPr>
              <w:t xml:space="preserve">, </w:t>
            </w:r>
            <w:r w:rsidRPr="00440196">
              <w:rPr>
                <w:sz w:val="18"/>
                <w:szCs w:val="18"/>
              </w:rPr>
              <w:t xml:space="preserve">technical support unit, Multidisciplinary Expert Panel </w:t>
            </w:r>
            <w:r w:rsidRPr="00440196">
              <w:rPr>
                <w:sz w:val="18"/>
                <w:szCs w:val="18"/>
                <w:lang w:eastAsia="zh-CN"/>
              </w:rPr>
              <w:t>and</w:t>
            </w:r>
            <w:r w:rsidRPr="00440196">
              <w:rPr>
                <w:sz w:val="18"/>
                <w:szCs w:val="18"/>
              </w:rPr>
              <w:t xml:space="preserve"> Bureau)</w:t>
            </w:r>
          </w:p>
        </w:tc>
        <w:tc>
          <w:tcPr>
            <w:tcW w:w="2835" w:type="dxa"/>
            <w:tcBorders>
              <w:top w:val="single" w:sz="12" w:space="0" w:color="auto"/>
            </w:tcBorders>
            <w:shd w:val="clear" w:color="auto" w:fill="auto"/>
          </w:tcPr>
          <w:p w14:paraId="015F32D2"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Cost of venue (1/2 week, 6 participants, in Bonn)</w:t>
            </w:r>
            <w:r w:rsidRPr="00440196">
              <w:rPr>
                <w:b/>
                <w:i/>
                <w:sz w:val="18"/>
                <w:szCs w:val="18"/>
                <w:lang w:eastAsia="zh-CN"/>
              </w:rPr>
              <w:t xml:space="preserve"> </w:t>
            </w:r>
          </w:p>
        </w:tc>
        <w:tc>
          <w:tcPr>
            <w:tcW w:w="1418" w:type="dxa"/>
            <w:tcBorders>
              <w:top w:val="single" w:sz="12" w:space="0" w:color="auto"/>
            </w:tcBorders>
            <w:shd w:val="clear" w:color="auto" w:fill="auto"/>
          </w:tcPr>
          <w:p w14:paraId="3C2D4D4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0</w:t>
            </w:r>
          </w:p>
        </w:tc>
      </w:tr>
      <w:tr w:rsidR="00E7045B" w:rsidRPr="00440196" w14:paraId="30525AEF" w14:textId="77777777" w:rsidTr="004153C8">
        <w:trPr>
          <w:trHeight w:val="613"/>
        </w:trPr>
        <w:tc>
          <w:tcPr>
            <w:tcW w:w="993" w:type="dxa"/>
            <w:vMerge/>
            <w:shd w:val="clear" w:color="auto" w:fill="auto"/>
            <w:vAlign w:val="center"/>
          </w:tcPr>
          <w:p w14:paraId="31E5E596" w14:textId="77777777" w:rsidR="00E7045B" w:rsidRPr="00440196" w:rsidRDefault="00E7045B" w:rsidP="00440196">
            <w:pPr>
              <w:spacing w:before="40" w:after="40"/>
              <w:rPr>
                <w:sz w:val="18"/>
                <w:szCs w:val="18"/>
              </w:rPr>
            </w:pPr>
          </w:p>
        </w:tc>
        <w:tc>
          <w:tcPr>
            <w:tcW w:w="2976" w:type="dxa"/>
            <w:vMerge/>
            <w:shd w:val="clear" w:color="auto" w:fill="auto"/>
          </w:tcPr>
          <w:p w14:paraId="5BA56DBA" w14:textId="77777777" w:rsidR="00E7045B" w:rsidRPr="00440196" w:rsidRDefault="00E7045B" w:rsidP="00440196">
            <w:pPr>
              <w:spacing w:before="40" w:after="40"/>
              <w:rPr>
                <w:sz w:val="18"/>
                <w:szCs w:val="18"/>
              </w:rPr>
            </w:pPr>
          </w:p>
        </w:tc>
        <w:tc>
          <w:tcPr>
            <w:tcW w:w="2835" w:type="dxa"/>
            <w:shd w:val="clear" w:color="auto" w:fill="auto"/>
          </w:tcPr>
          <w:p w14:paraId="746F6849"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Travel and daily subsistence allowance </w:t>
            </w:r>
          </w:p>
          <w:p w14:paraId="7100B20D" w14:textId="77777777" w:rsidR="00E7045B" w:rsidRPr="00440196" w:rsidRDefault="00E7045B" w:rsidP="00440196">
            <w:pPr>
              <w:spacing w:before="40" w:after="40"/>
              <w:rPr>
                <w:sz w:val="18"/>
                <w:szCs w:val="18"/>
              </w:rPr>
            </w:pPr>
            <w:r w:rsidRPr="00440196">
              <w:rPr>
                <w:sz w:val="18"/>
                <w:szCs w:val="18"/>
              </w:rPr>
              <w:t>(4 × $3,750)</w:t>
            </w:r>
          </w:p>
        </w:tc>
        <w:tc>
          <w:tcPr>
            <w:tcW w:w="1418" w:type="dxa"/>
            <w:shd w:val="clear" w:color="auto" w:fill="auto"/>
          </w:tcPr>
          <w:p w14:paraId="42BB8E64"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15</w:t>
            </w:r>
            <w:r w:rsidRPr="00440196">
              <w:rPr>
                <w:sz w:val="18"/>
                <w:szCs w:val="18"/>
                <w:lang w:eastAsia="zh-CN"/>
              </w:rPr>
              <w:t xml:space="preserve"> </w:t>
            </w:r>
            <w:r w:rsidRPr="00440196">
              <w:rPr>
                <w:sz w:val="18"/>
                <w:szCs w:val="18"/>
              </w:rPr>
              <w:t>000</w:t>
            </w:r>
          </w:p>
        </w:tc>
      </w:tr>
      <w:tr w:rsidR="00E7045B" w:rsidRPr="00440196" w14:paraId="05739056" w14:textId="77777777" w:rsidTr="004153C8">
        <w:trPr>
          <w:trHeight w:val="420"/>
        </w:trPr>
        <w:tc>
          <w:tcPr>
            <w:tcW w:w="993" w:type="dxa"/>
            <w:vMerge/>
            <w:shd w:val="clear" w:color="auto" w:fill="auto"/>
          </w:tcPr>
          <w:p w14:paraId="62775D09" w14:textId="77777777" w:rsidR="00E7045B" w:rsidRPr="00440196" w:rsidRDefault="00E7045B" w:rsidP="00440196">
            <w:pPr>
              <w:spacing w:before="40" w:after="40"/>
              <w:rPr>
                <w:sz w:val="18"/>
                <w:szCs w:val="18"/>
              </w:rPr>
            </w:pPr>
          </w:p>
        </w:tc>
        <w:tc>
          <w:tcPr>
            <w:tcW w:w="2976" w:type="dxa"/>
            <w:vMerge w:val="restart"/>
            <w:shd w:val="clear" w:color="auto" w:fill="auto"/>
          </w:tcPr>
          <w:p w14:paraId="183916C9"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First author meeting (participants: 2 co</w:t>
            </w:r>
            <w:r w:rsidRPr="00440196">
              <w:rPr>
                <w:sz w:val="18"/>
                <w:szCs w:val="18"/>
              </w:rPr>
              <w:noBreakHyphen/>
              <w:t>chairs, 12 coordinating lead authors, 36 lead authors and 6 Multidisciplinary Expert Panel and Bureau members)</w:t>
            </w:r>
          </w:p>
        </w:tc>
        <w:tc>
          <w:tcPr>
            <w:tcW w:w="2835" w:type="dxa"/>
            <w:shd w:val="clear" w:color="auto" w:fill="auto"/>
          </w:tcPr>
          <w:p w14:paraId="612BE1CD"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Cost of venue (corresponding to 75 per cent, to be complemented with 25 per cent in kind); 56 participants (42 supported)</w:t>
            </w:r>
          </w:p>
        </w:tc>
        <w:tc>
          <w:tcPr>
            <w:tcW w:w="1418" w:type="dxa"/>
            <w:shd w:val="clear" w:color="auto" w:fill="auto"/>
          </w:tcPr>
          <w:p w14:paraId="6B826BE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18</w:t>
            </w:r>
            <w:r w:rsidRPr="00440196">
              <w:rPr>
                <w:sz w:val="18"/>
                <w:szCs w:val="18"/>
                <w:lang w:eastAsia="zh-CN"/>
              </w:rPr>
              <w:t xml:space="preserve"> </w:t>
            </w:r>
            <w:r w:rsidRPr="00440196">
              <w:rPr>
                <w:sz w:val="18"/>
                <w:szCs w:val="18"/>
              </w:rPr>
              <w:t>750</w:t>
            </w:r>
          </w:p>
        </w:tc>
      </w:tr>
      <w:tr w:rsidR="00E7045B" w:rsidRPr="00440196" w14:paraId="29848210" w14:textId="77777777" w:rsidTr="004153C8">
        <w:trPr>
          <w:trHeight w:val="129"/>
        </w:trPr>
        <w:tc>
          <w:tcPr>
            <w:tcW w:w="993" w:type="dxa"/>
            <w:vMerge/>
            <w:shd w:val="clear" w:color="auto" w:fill="auto"/>
            <w:vAlign w:val="center"/>
          </w:tcPr>
          <w:p w14:paraId="3D74E4EC" w14:textId="77777777" w:rsidR="00E7045B" w:rsidRPr="00440196" w:rsidRDefault="00E7045B" w:rsidP="00440196">
            <w:pPr>
              <w:spacing w:before="40" w:after="40"/>
              <w:rPr>
                <w:sz w:val="18"/>
                <w:szCs w:val="18"/>
              </w:rPr>
            </w:pPr>
          </w:p>
        </w:tc>
        <w:tc>
          <w:tcPr>
            <w:tcW w:w="2976" w:type="dxa"/>
            <w:vMerge/>
            <w:shd w:val="clear" w:color="auto" w:fill="auto"/>
          </w:tcPr>
          <w:p w14:paraId="487EF59F" w14:textId="77777777" w:rsidR="00E7045B" w:rsidRPr="00440196" w:rsidRDefault="00E7045B" w:rsidP="00440196">
            <w:pPr>
              <w:spacing w:before="40" w:after="40"/>
              <w:rPr>
                <w:sz w:val="18"/>
                <w:szCs w:val="18"/>
              </w:rPr>
            </w:pPr>
          </w:p>
        </w:tc>
        <w:tc>
          <w:tcPr>
            <w:tcW w:w="2835" w:type="dxa"/>
            <w:shd w:val="clear" w:color="auto" w:fill="auto"/>
          </w:tcPr>
          <w:p w14:paraId="49A19DF7"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Travel and DSA (42 × $3,750)</w:t>
            </w:r>
          </w:p>
        </w:tc>
        <w:tc>
          <w:tcPr>
            <w:tcW w:w="1418" w:type="dxa"/>
            <w:shd w:val="clear" w:color="auto" w:fill="auto"/>
          </w:tcPr>
          <w:p w14:paraId="5835F854"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157</w:t>
            </w:r>
            <w:r w:rsidRPr="00440196">
              <w:rPr>
                <w:sz w:val="18"/>
                <w:szCs w:val="18"/>
                <w:lang w:eastAsia="zh-CN"/>
              </w:rPr>
              <w:t xml:space="preserve"> </w:t>
            </w:r>
            <w:r w:rsidRPr="00440196">
              <w:rPr>
                <w:sz w:val="18"/>
                <w:szCs w:val="18"/>
              </w:rPr>
              <w:t>500</w:t>
            </w:r>
          </w:p>
        </w:tc>
      </w:tr>
      <w:tr w:rsidR="00E7045B" w:rsidRPr="00440196" w14:paraId="287D111D" w14:textId="77777777" w:rsidTr="004153C8">
        <w:trPr>
          <w:trHeight w:val="452"/>
        </w:trPr>
        <w:tc>
          <w:tcPr>
            <w:tcW w:w="993" w:type="dxa"/>
            <w:vMerge/>
            <w:shd w:val="clear" w:color="auto" w:fill="auto"/>
          </w:tcPr>
          <w:p w14:paraId="5B7E6798" w14:textId="77777777" w:rsidR="00E7045B" w:rsidRPr="00440196" w:rsidRDefault="00E7045B" w:rsidP="00440196">
            <w:pPr>
              <w:spacing w:before="40" w:after="40"/>
              <w:rPr>
                <w:sz w:val="18"/>
                <w:szCs w:val="18"/>
              </w:rPr>
            </w:pPr>
          </w:p>
        </w:tc>
        <w:tc>
          <w:tcPr>
            <w:tcW w:w="2976" w:type="dxa"/>
            <w:shd w:val="clear" w:color="auto" w:fill="auto"/>
          </w:tcPr>
          <w:p w14:paraId="1B590C83" w14:textId="77777777" w:rsidR="00E7045B" w:rsidRPr="007831BB" w:rsidRDefault="00E7045B" w:rsidP="00440196">
            <w:pPr>
              <w:widowControl w:val="0"/>
              <w:tabs>
                <w:tab w:val="left" w:pos="6480"/>
                <w:tab w:val="left" w:pos="7200"/>
              </w:tabs>
              <w:spacing w:before="40" w:after="40"/>
              <w:rPr>
                <w:b/>
                <w:sz w:val="18"/>
                <w:szCs w:val="18"/>
              </w:rPr>
            </w:pPr>
            <w:r w:rsidRPr="00440196">
              <w:rPr>
                <w:sz w:val="18"/>
                <w:szCs w:val="18"/>
              </w:rPr>
              <w:t>Technical support unit</w:t>
            </w:r>
          </w:p>
        </w:tc>
        <w:tc>
          <w:tcPr>
            <w:tcW w:w="2835" w:type="dxa"/>
            <w:shd w:val="clear" w:color="auto" w:fill="auto"/>
          </w:tcPr>
          <w:p w14:paraId="4241AC58"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lang w:eastAsia="zh-CN"/>
              </w:rPr>
              <w:t>Corresponding to half the costs of one full-time equivalent professional position, including travel and overhead (to be matched by an in-kind offer of an equivalent value)</w:t>
            </w:r>
          </w:p>
        </w:tc>
        <w:tc>
          <w:tcPr>
            <w:tcW w:w="1418" w:type="dxa"/>
            <w:shd w:val="clear" w:color="auto" w:fill="auto"/>
          </w:tcPr>
          <w:p w14:paraId="6C7D92FE"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sz w:val="18"/>
                <w:szCs w:val="18"/>
              </w:rPr>
              <w:t>75</w:t>
            </w:r>
            <w:r w:rsidRPr="00440196">
              <w:rPr>
                <w:sz w:val="18"/>
                <w:szCs w:val="18"/>
                <w:lang w:eastAsia="zh-CN"/>
              </w:rPr>
              <w:t xml:space="preserve"> </w:t>
            </w:r>
            <w:r w:rsidRPr="00440196">
              <w:rPr>
                <w:sz w:val="18"/>
                <w:szCs w:val="18"/>
              </w:rPr>
              <w:t>000</w:t>
            </w:r>
          </w:p>
        </w:tc>
      </w:tr>
      <w:tr w:rsidR="00E7045B" w:rsidRPr="00440196" w14:paraId="579C64A5" w14:textId="77777777" w:rsidTr="004153C8">
        <w:trPr>
          <w:trHeight w:val="271"/>
        </w:trPr>
        <w:tc>
          <w:tcPr>
            <w:tcW w:w="993" w:type="dxa"/>
            <w:shd w:val="clear" w:color="auto" w:fill="auto"/>
          </w:tcPr>
          <w:p w14:paraId="61063C28" w14:textId="77777777" w:rsidR="00E7045B" w:rsidRPr="00440196" w:rsidRDefault="00E7045B" w:rsidP="00440196">
            <w:pPr>
              <w:spacing w:before="40" w:after="40"/>
              <w:rPr>
                <w:sz w:val="18"/>
                <w:szCs w:val="18"/>
              </w:rPr>
            </w:pPr>
          </w:p>
        </w:tc>
        <w:tc>
          <w:tcPr>
            <w:tcW w:w="2976" w:type="dxa"/>
            <w:tcBorders>
              <w:bottom w:val="single" w:sz="4" w:space="0" w:color="auto"/>
            </w:tcBorders>
            <w:shd w:val="clear" w:color="auto" w:fill="auto"/>
          </w:tcPr>
          <w:p w14:paraId="473EB454" w14:textId="1FF711E5" w:rsidR="00E7045B" w:rsidRPr="007831BB" w:rsidRDefault="00E7045B" w:rsidP="00440196">
            <w:pPr>
              <w:keepNext/>
              <w:keepLines/>
              <w:widowControl w:val="0"/>
              <w:tabs>
                <w:tab w:val="left" w:pos="6480"/>
                <w:tab w:val="left" w:pos="7200"/>
              </w:tabs>
              <w:spacing w:before="40" w:after="40"/>
              <w:rPr>
                <w:sz w:val="18"/>
                <w:szCs w:val="18"/>
              </w:rPr>
            </w:pPr>
            <w:r w:rsidRPr="00440196">
              <w:rPr>
                <w:b/>
                <w:sz w:val="18"/>
                <w:szCs w:val="18"/>
              </w:rPr>
              <w:t>Total year 1</w:t>
            </w:r>
          </w:p>
        </w:tc>
        <w:tc>
          <w:tcPr>
            <w:tcW w:w="2835" w:type="dxa"/>
            <w:tcBorders>
              <w:bottom w:val="single" w:sz="4" w:space="0" w:color="auto"/>
            </w:tcBorders>
            <w:shd w:val="clear" w:color="auto" w:fill="auto"/>
          </w:tcPr>
          <w:p w14:paraId="4B98E6A3" w14:textId="77777777" w:rsidR="00E7045B" w:rsidRPr="00440196" w:rsidRDefault="00E7045B" w:rsidP="00440196">
            <w:pPr>
              <w:spacing w:before="40" w:after="40"/>
              <w:rPr>
                <w:sz w:val="18"/>
                <w:szCs w:val="18"/>
              </w:rPr>
            </w:pPr>
          </w:p>
        </w:tc>
        <w:tc>
          <w:tcPr>
            <w:tcW w:w="1418" w:type="dxa"/>
            <w:tcBorders>
              <w:bottom w:val="single" w:sz="4" w:space="0" w:color="auto"/>
            </w:tcBorders>
            <w:shd w:val="clear" w:color="auto" w:fill="auto"/>
          </w:tcPr>
          <w:p w14:paraId="43D4D92D" w14:textId="77777777" w:rsidR="00E7045B" w:rsidRPr="007831BB" w:rsidRDefault="00E7045B" w:rsidP="00440196">
            <w:pPr>
              <w:widowControl w:val="0"/>
              <w:tabs>
                <w:tab w:val="left" w:pos="6480"/>
                <w:tab w:val="left" w:pos="7200"/>
              </w:tabs>
              <w:spacing w:before="40" w:after="40"/>
              <w:jc w:val="right"/>
              <w:rPr>
                <w:sz w:val="18"/>
                <w:szCs w:val="18"/>
              </w:rPr>
            </w:pPr>
            <w:r w:rsidRPr="00440196">
              <w:rPr>
                <w:b/>
                <w:sz w:val="18"/>
                <w:szCs w:val="18"/>
              </w:rPr>
              <w:t>266</w:t>
            </w:r>
            <w:r w:rsidRPr="00440196">
              <w:rPr>
                <w:b/>
                <w:sz w:val="18"/>
                <w:szCs w:val="18"/>
                <w:lang w:eastAsia="zh-CN"/>
              </w:rPr>
              <w:t xml:space="preserve"> </w:t>
            </w:r>
            <w:r w:rsidRPr="00440196">
              <w:rPr>
                <w:b/>
                <w:sz w:val="18"/>
                <w:szCs w:val="18"/>
              </w:rPr>
              <w:t>250</w:t>
            </w:r>
          </w:p>
        </w:tc>
      </w:tr>
      <w:tr w:rsidR="00E7045B" w:rsidRPr="00440196" w14:paraId="02727F1D" w14:textId="77777777" w:rsidTr="004153C8">
        <w:trPr>
          <w:trHeight w:val="516"/>
        </w:trPr>
        <w:tc>
          <w:tcPr>
            <w:tcW w:w="993" w:type="dxa"/>
            <w:vMerge w:val="restart"/>
            <w:tcBorders>
              <w:top w:val="single" w:sz="4" w:space="0" w:color="auto"/>
            </w:tcBorders>
            <w:shd w:val="clear" w:color="auto" w:fill="auto"/>
          </w:tcPr>
          <w:p w14:paraId="25CDEADB"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Year 2</w:t>
            </w:r>
          </w:p>
        </w:tc>
        <w:tc>
          <w:tcPr>
            <w:tcW w:w="2976" w:type="dxa"/>
            <w:vMerge w:val="restart"/>
            <w:tcBorders>
              <w:top w:val="single" w:sz="4" w:space="0" w:color="auto"/>
            </w:tcBorders>
            <w:shd w:val="clear" w:color="auto" w:fill="auto"/>
          </w:tcPr>
          <w:p w14:paraId="67B79006"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szCs w:val="18"/>
              </w:rPr>
              <w:t>Second author meeting (participants: 2 co</w:t>
            </w:r>
            <w:r w:rsidRPr="00440196">
              <w:rPr>
                <w:sz w:val="18"/>
                <w:szCs w:val="18"/>
              </w:rPr>
              <w:noBreakHyphen/>
              <w:t>chairs, 12 coordinating lead authors, 36 lead authors, 12 review editors and 6 Multidisciplinary Expert Panel and Bureau members)</w:t>
            </w:r>
          </w:p>
        </w:tc>
        <w:tc>
          <w:tcPr>
            <w:tcW w:w="2835" w:type="dxa"/>
            <w:tcBorders>
              <w:top w:val="single" w:sz="4" w:space="0" w:color="auto"/>
            </w:tcBorders>
            <w:shd w:val="clear" w:color="auto" w:fill="auto"/>
          </w:tcPr>
          <w:p w14:paraId="081D266D"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Cost of venue (corresponding to 75 per cent, to be complemented with 25 per cent in kind); 68 participants (51 supported)</w:t>
            </w:r>
          </w:p>
        </w:tc>
        <w:tc>
          <w:tcPr>
            <w:tcW w:w="1418" w:type="dxa"/>
            <w:tcBorders>
              <w:top w:val="single" w:sz="4" w:space="0" w:color="auto"/>
            </w:tcBorders>
            <w:shd w:val="clear" w:color="auto" w:fill="auto"/>
          </w:tcPr>
          <w:p w14:paraId="6157DAD1"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20</w:t>
            </w:r>
            <w:r w:rsidRPr="00440196">
              <w:rPr>
                <w:sz w:val="18"/>
                <w:szCs w:val="18"/>
                <w:lang w:eastAsia="zh-CN"/>
              </w:rPr>
              <w:t xml:space="preserve"> </w:t>
            </w:r>
            <w:r w:rsidRPr="00440196">
              <w:rPr>
                <w:sz w:val="18"/>
                <w:szCs w:val="18"/>
              </w:rPr>
              <w:t>000</w:t>
            </w:r>
          </w:p>
        </w:tc>
      </w:tr>
      <w:tr w:rsidR="00E7045B" w:rsidRPr="00440196" w14:paraId="473D935E" w14:textId="77777777" w:rsidTr="004153C8">
        <w:trPr>
          <w:trHeight w:val="63"/>
        </w:trPr>
        <w:tc>
          <w:tcPr>
            <w:tcW w:w="993" w:type="dxa"/>
            <w:vMerge/>
            <w:shd w:val="clear" w:color="auto" w:fill="auto"/>
            <w:vAlign w:val="center"/>
          </w:tcPr>
          <w:p w14:paraId="7D832052" w14:textId="77777777" w:rsidR="00E7045B" w:rsidRPr="00440196" w:rsidRDefault="00E7045B" w:rsidP="00440196">
            <w:pPr>
              <w:spacing w:before="40" w:after="40"/>
              <w:rPr>
                <w:sz w:val="18"/>
                <w:szCs w:val="18"/>
              </w:rPr>
            </w:pPr>
          </w:p>
        </w:tc>
        <w:tc>
          <w:tcPr>
            <w:tcW w:w="2976" w:type="dxa"/>
            <w:vMerge/>
            <w:shd w:val="clear" w:color="auto" w:fill="auto"/>
          </w:tcPr>
          <w:p w14:paraId="2A7BF11D" w14:textId="77777777" w:rsidR="00E7045B" w:rsidRPr="00440196" w:rsidRDefault="00E7045B" w:rsidP="00440196">
            <w:pPr>
              <w:spacing w:before="40" w:after="40"/>
              <w:rPr>
                <w:sz w:val="18"/>
                <w:szCs w:val="18"/>
              </w:rPr>
            </w:pPr>
          </w:p>
        </w:tc>
        <w:tc>
          <w:tcPr>
            <w:tcW w:w="2835" w:type="dxa"/>
            <w:shd w:val="clear" w:color="auto" w:fill="auto"/>
          </w:tcPr>
          <w:p w14:paraId="6FDDB196"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Travel and daily subsistence allowance (51 × $3,750)</w:t>
            </w:r>
          </w:p>
        </w:tc>
        <w:tc>
          <w:tcPr>
            <w:tcW w:w="1418" w:type="dxa"/>
            <w:shd w:val="clear" w:color="auto" w:fill="auto"/>
          </w:tcPr>
          <w:p w14:paraId="26F2AF5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191</w:t>
            </w:r>
            <w:r w:rsidRPr="00440196">
              <w:rPr>
                <w:sz w:val="18"/>
                <w:szCs w:val="18"/>
                <w:lang w:eastAsia="zh-CN"/>
              </w:rPr>
              <w:t xml:space="preserve"> </w:t>
            </w:r>
            <w:r w:rsidRPr="00440196">
              <w:rPr>
                <w:sz w:val="18"/>
                <w:szCs w:val="18"/>
              </w:rPr>
              <w:t>250</w:t>
            </w:r>
          </w:p>
        </w:tc>
      </w:tr>
      <w:tr w:rsidR="00E7045B" w:rsidRPr="00440196" w14:paraId="0793F501" w14:textId="77777777" w:rsidTr="004153C8">
        <w:trPr>
          <w:trHeight w:val="139"/>
        </w:trPr>
        <w:tc>
          <w:tcPr>
            <w:tcW w:w="993" w:type="dxa"/>
            <w:vMerge/>
            <w:tcBorders>
              <w:bottom w:val="single" w:sz="4" w:space="0" w:color="auto"/>
            </w:tcBorders>
            <w:shd w:val="clear" w:color="auto" w:fill="auto"/>
            <w:vAlign w:val="center"/>
          </w:tcPr>
          <w:p w14:paraId="204B532B" w14:textId="77777777" w:rsidR="00E7045B" w:rsidRPr="00440196" w:rsidRDefault="00E7045B" w:rsidP="00440196">
            <w:pPr>
              <w:spacing w:before="40" w:after="40"/>
              <w:rPr>
                <w:sz w:val="18"/>
                <w:szCs w:val="18"/>
              </w:rPr>
            </w:pPr>
          </w:p>
        </w:tc>
        <w:tc>
          <w:tcPr>
            <w:tcW w:w="2976" w:type="dxa"/>
            <w:shd w:val="clear" w:color="auto" w:fill="auto"/>
          </w:tcPr>
          <w:p w14:paraId="04C2602E"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Technical support unit</w:t>
            </w:r>
          </w:p>
        </w:tc>
        <w:tc>
          <w:tcPr>
            <w:tcW w:w="2835" w:type="dxa"/>
            <w:shd w:val="clear" w:color="auto" w:fill="auto"/>
          </w:tcPr>
          <w:p w14:paraId="2FF08A19"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Corresponding to half the costs of one full-time equivalent professional position, including travel and overhead (to be matched by an in-kind offer of an equivalent value)</w:t>
            </w:r>
          </w:p>
        </w:tc>
        <w:tc>
          <w:tcPr>
            <w:tcW w:w="1418" w:type="dxa"/>
            <w:shd w:val="clear" w:color="auto" w:fill="auto"/>
          </w:tcPr>
          <w:p w14:paraId="39EE9C3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75</w:t>
            </w:r>
            <w:r w:rsidRPr="00440196">
              <w:rPr>
                <w:sz w:val="18"/>
                <w:szCs w:val="18"/>
                <w:lang w:eastAsia="zh-CN"/>
              </w:rPr>
              <w:t xml:space="preserve"> </w:t>
            </w:r>
            <w:r w:rsidRPr="00440196">
              <w:rPr>
                <w:sz w:val="18"/>
                <w:szCs w:val="18"/>
              </w:rPr>
              <w:t>000</w:t>
            </w:r>
          </w:p>
          <w:p w14:paraId="11EB366F" w14:textId="77777777" w:rsidR="00E7045B" w:rsidRPr="00440196" w:rsidRDefault="00E7045B" w:rsidP="00440196">
            <w:pPr>
              <w:spacing w:before="40" w:after="40"/>
              <w:jc w:val="right"/>
              <w:rPr>
                <w:sz w:val="18"/>
                <w:szCs w:val="18"/>
              </w:rPr>
            </w:pPr>
          </w:p>
        </w:tc>
      </w:tr>
      <w:tr w:rsidR="00E7045B" w:rsidRPr="00440196" w14:paraId="5119644B" w14:textId="77777777" w:rsidTr="004153C8">
        <w:trPr>
          <w:trHeight w:val="139"/>
        </w:trPr>
        <w:tc>
          <w:tcPr>
            <w:tcW w:w="993" w:type="dxa"/>
            <w:vMerge/>
            <w:tcBorders>
              <w:bottom w:val="single" w:sz="4" w:space="0" w:color="auto"/>
            </w:tcBorders>
            <w:shd w:val="clear" w:color="auto" w:fill="auto"/>
            <w:vAlign w:val="center"/>
          </w:tcPr>
          <w:p w14:paraId="522ACF13" w14:textId="77777777" w:rsidR="00E7045B" w:rsidRPr="00440196" w:rsidRDefault="00E7045B" w:rsidP="00440196">
            <w:pPr>
              <w:spacing w:before="40" w:after="40"/>
              <w:rPr>
                <w:sz w:val="18"/>
                <w:szCs w:val="18"/>
              </w:rPr>
            </w:pPr>
          </w:p>
        </w:tc>
        <w:tc>
          <w:tcPr>
            <w:tcW w:w="2976" w:type="dxa"/>
            <w:tcBorders>
              <w:bottom w:val="single" w:sz="4" w:space="0" w:color="auto"/>
            </w:tcBorders>
            <w:shd w:val="clear" w:color="auto" w:fill="auto"/>
          </w:tcPr>
          <w:p w14:paraId="4F56F015" w14:textId="647645F9"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Total year 2</w:t>
            </w:r>
          </w:p>
        </w:tc>
        <w:tc>
          <w:tcPr>
            <w:tcW w:w="2835" w:type="dxa"/>
            <w:tcBorders>
              <w:bottom w:val="single" w:sz="4" w:space="0" w:color="auto"/>
            </w:tcBorders>
            <w:shd w:val="clear" w:color="auto" w:fill="auto"/>
          </w:tcPr>
          <w:p w14:paraId="554529D9" w14:textId="77777777" w:rsidR="00E7045B" w:rsidRPr="00440196" w:rsidRDefault="00E7045B" w:rsidP="00440196">
            <w:pPr>
              <w:spacing w:before="40" w:after="40"/>
              <w:rPr>
                <w:sz w:val="18"/>
                <w:szCs w:val="18"/>
              </w:rPr>
            </w:pPr>
          </w:p>
        </w:tc>
        <w:tc>
          <w:tcPr>
            <w:tcW w:w="1418" w:type="dxa"/>
            <w:tcBorders>
              <w:bottom w:val="single" w:sz="4" w:space="0" w:color="auto"/>
            </w:tcBorders>
            <w:shd w:val="clear" w:color="auto" w:fill="auto"/>
          </w:tcPr>
          <w:p w14:paraId="596349F7"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286</w:t>
            </w:r>
            <w:r w:rsidRPr="00440196">
              <w:rPr>
                <w:b/>
                <w:sz w:val="18"/>
                <w:szCs w:val="18"/>
                <w:lang w:eastAsia="zh-CN"/>
              </w:rPr>
              <w:t xml:space="preserve"> </w:t>
            </w:r>
            <w:r w:rsidRPr="00440196">
              <w:rPr>
                <w:b/>
                <w:sz w:val="18"/>
                <w:szCs w:val="18"/>
              </w:rPr>
              <w:t>250</w:t>
            </w:r>
          </w:p>
        </w:tc>
      </w:tr>
      <w:tr w:rsidR="00E7045B" w:rsidRPr="00440196" w14:paraId="28AB7105" w14:textId="77777777" w:rsidTr="004153C8">
        <w:trPr>
          <w:trHeight w:val="363"/>
        </w:trPr>
        <w:tc>
          <w:tcPr>
            <w:tcW w:w="993" w:type="dxa"/>
            <w:vMerge w:val="restart"/>
            <w:tcBorders>
              <w:top w:val="single" w:sz="4" w:space="0" w:color="auto"/>
            </w:tcBorders>
            <w:shd w:val="clear" w:color="auto" w:fill="auto"/>
          </w:tcPr>
          <w:p w14:paraId="562969BC" w14:textId="77777777" w:rsidR="00E7045B" w:rsidRPr="007831BB" w:rsidRDefault="00E7045B" w:rsidP="00440196">
            <w:pPr>
              <w:keepNext/>
              <w:keepLines/>
              <w:widowControl w:val="0"/>
              <w:tabs>
                <w:tab w:val="left" w:pos="6480"/>
                <w:tab w:val="left" w:pos="7200"/>
              </w:tabs>
              <w:spacing w:before="40" w:after="40"/>
              <w:rPr>
                <w:b/>
                <w:sz w:val="18"/>
                <w:szCs w:val="18"/>
              </w:rPr>
            </w:pPr>
            <w:r w:rsidRPr="00440196">
              <w:rPr>
                <w:b/>
                <w:sz w:val="18"/>
                <w:szCs w:val="18"/>
              </w:rPr>
              <w:t>Year 3</w:t>
            </w:r>
          </w:p>
        </w:tc>
        <w:tc>
          <w:tcPr>
            <w:tcW w:w="2976" w:type="dxa"/>
            <w:vMerge w:val="restart"/>
            <w:tcBorders>
              <w:top w:val="single" w:sz="4" w:space="0" w:color="auto"/>
            </w:tcBorders>
            <w:shd w:val="clear" w:color="auto" w:fill="auto"/>
          </w:tcPr>
          <w:p w14:paraId="0DCA3EFF"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szCs w:val="18"/>
              </w:rPr>
              <w:t>Third author meeting (participants: 2 co</w:t>
            </w:r>
            <w:r w:rsidRPr="00440196">
              <w:rPr>
                <w:sz w:val="18"/>
                <w:szCs w:val="18"/>
              </w:rPr>
              <w:noBreakHyphen/>
              <w:t>chairs, 12 coordinating lead authors, 36 lead authors, 12 review editors and 6 Multidisciplinary Expert Panel and Bureau members)</w:t>
            </w:r>
          </w:p>
        </w:tc>
        <w:tc>
          <w:tcPr>
            <w:tcW w:w="2835" w:type="dxa"/>
            <w:tcBorders>
              <w:top w:val="single" w:sz="4" w:space="0" w:color="auto"/>
            </w:tcBorders>
            <w:shd w:val="clear" w:color="auto" w:fill="auto"/>
          </w:tcPr>
          <w:p w14:paraId="22DF6D1E"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szCs w:val="18"/>
              </w:rPr>
              <w:t>Cost of venue (corresponding to 75 per cent, to be complemented with 25 per cent in kind); 68 participants (51 supported)</w:t>
            </w:r>
          </w:p>
        </w:tc>
        <w:tc>
          <w:tcPr>
            <w:tcW w:w="1418" w:type="dxa"/>
            <w:tcBorders>
              <w:top w:val="single" w:sz="4" w:space="0" w:color="auto"/>
            </w:tcBorders>
            <w:shd w:val="clear" w:color="auto" w:fill="auto"/>
          </w:tcPr>
          <w:p w14:paraId="7069DF61"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szCs w:val="18"/>
              </w:rPr>
              <w:t>20</w:t>
            </w:r>
            <w:r w:rsidRPr="00440196">
              <w:rPr>
                <w:sz w:val="18"/>
                <w:szCs w:val="18"/>
                <w:lang w:eastAsia="zh-CN"/>
              </w:rPr>
              <w:t xml:space="preserve"> </w:t>
            </w:r>
            <w:r w:rsidRPr="00440196">
              <w:rPr>
                <w:sz w:val="18"/>
                <w:szCs w:val="18"/>
              </w:rPr>
              <w:t>000</w:t>
            </w:r>
          </w:p>
        </w:tc>
      </w:tr>
      <w:tr w:rsidR="00E7045B" w:rsidRPr="00440196" w14:paraId="298B253B" w14:textId="77777777" w:rsidTr="004153C8">
        <w:trPr>
          <w:trHeight w:val="61"/>
        </w:trPr>
        <w:tc>
          <w:tcPr>
            <w:tcW w:w="993" w:type="dxa"/>
            <w:vMerge/>
            <w:shd w:val="clear" w:color="auto" w:fill="auto"/>
            <w:vAlign w:val="center"/>
          </w:tcPr>
          <w:p w14:paraId="541B8C21" w14:textId="77777777" w:rsidR="00E7045B" w:rsidRPr="00440196" w:rsidRDefault="00E7045B" w:rsidP="00440196">
            <w:pPr>
              <w:keepNext/>
              <w:keepLines/>
              <w:spacing w:before="40" w:after="40"/>
              <w:rPr>
                <w:sz w:val="18"/>
                <w:szCs w:val="18"/>
              </w:rPr>
            </w:pPr>
          </w:p>
        </w:tc>
        <w:tc>
          <w:tcPr>
            <w:tcW w:w="2976" w:type="dxa"/>
            <w:vMerge/>
            <w:shd w:val="clear" w:color="auto" w:fill="auto"/>
          </w:tcPr>
          <w:p w14:paraId="3FDBBA7C" w14:textId="77777777" w:rsidR="00E7045B" w:rsidRPr="00440196" w:rsidRDefault="00E7045B" w:rsidP="00440196">
            <w:pPr>
              <w:keepNext/>
              <w:keepLines/>
              <w:spacing w:before="40" w:after="40"/>
              <w:rPr>
                <w:sz w:val="18"/>
                <w:szCs w:val="18"/>
              </w:rPr>
            </w:pPr>
          </w:p>
        </w:tc>
        <w:tc>
          <w:tcPr>
            <w:tcW w:w="2835" w:type="dxa"/>
            <w:shd w:val="clear" w:color="auto" w:fill="auto"/>
          </w:tcPr>
          <w:p w14:paraId="6B8E017C"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szCs w:val="18"/>
              </w:rPr>
              <w:t>Travel and daily subsistence allowance (51 × $3,750)</w:t>
            </w:r>
          </w:p>
        </w:tc>
        <w:tc>
          <w:tcPr>
            <w:tcW w:w="1418" w:type="dxa"/>
            <w:shd w:val="clear" w:color="auto" w:fill="auto"/>
          </w:tcPr>
          <w:p w14:paraId="41DBD51A"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szCs w:val="18"/>
              </w:rPr>
              <w:t>191</w:t>
            </w:r>
            <w:r w:rsidRPr="00440196">
              <w:rPr>
                <w:sz w:val="18"/>
                <w:szCs w:val="18"/>
                <w:lang w:eastAsia="zh-CN"/>
              </w:rPr>
              <w:t xml:space="preserve"> </w:t>
            </w:r>
            <w:r w:rsidRPr="00440196">
              <w:rPr>
                <w:sz w:val="18"/>
                <w:szCs w:val="18"/>
              </w:rPr>
              <w:t>250</w:t>
            </w:r>
          </w:p>
        </w:tc>
      </w:tr>
      <w:tr w:rsidR="00E7045B" w:rsidRPr="00440196" w14:paraId="23D9B46A" w14:textId="77777777" w:rsidTr="004153C8">
        <w:trPr>
          <w:trHeight w:val="361"/>
        </w:trPr>
        <w:tc>
          <w:tcPr>
            <w:tcW w:w="993" w:type="dxa"/>
            <w:vMerge/>
            <w:shd w:val="clear" w:color="auto" w:fill="auto"/>
            <w:vAlign w:val="center"/>
          </w:tcPr>
          <w:p w14:paraId="5A2019A8" w14:textId="77777777" w:rsidR="00E7045B" w:rsidRPr="00440196" w:rsidRDefault="00E7045B" w:rsidP="00440196">
            <w:pPr>
              <w:keepNext/>
              <w:keepLines/>
              <w:spacing w:before="40" w:after="40"/>
              <w:rPr>
                <w:sz w:val="18"/>
                <w:szCs w:val="18"/>
              </w:rPr>
            </w:pPr>
          </w:p>
        </w:tc>
        <w:tc>
          <w:tcPr>
            <w:tcW w:w="2976" w:type="dxa"/>
            <w:shd w:val="clear" w:color="auto" w:fill="auto"/>
          </w:tcPr>
          <w:p w14:paraId="1C8517FA"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szCs w:val="18"/>
              </w:rPr>
              <w:t>Technical support unit</w:t>
            </w:r>
          </w:p>
        </w:tc>
        <w:tc>
          <w:tcPr>
            <w:tcW w:w="2835" w:type="dxa"/>
            <w:shd w:val="clear" w:color="auto" w:fill="auto"/>
          </w:tcPr>
          <w:p w14:paraId="38F59269"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szCs w:val="18"/>
                <w:lang w:eastAsia="zh-CN"/>
              </w:rPr>
              <w:t>Corresponding to half the costs of one full-time equivalent professional position, including travel and overhead (to be matched by an in-kind offer of an equivalent value)</w:t>
            </w:r>
          </w:p>
        </w:tc>
        <w:tc>
          <w:tcPr>
            <w:tcW w:w="1418" w:type="dxa"/>
            <w:shd w:val="clear" w:color="auto" w:fill="auto"/>
          </w:tcPr>
          <w:p w14:paraId="3FFE8FA6"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szCs w:val="18"/>
              </w:rPr>
              <w:t>75</w:t>
            </w:r>
            <w:r w:rsidRPr="00440196">
              <w:rPr>
                <w:sz w:val="18"/>
                <w:szCs w:val="18"/>
                <w:lang w:eastAsia="zh-CN"/>
              </w:rPr>
              <w:t xml:space="preserve"> </w:t>
            </w:r>
            <w:r w:rsidRPr="00440196">
              <w:rPr>
                <w:sz w:val="18"/>
                <w:szCs w:val="18"/>
              </w:rPr>
              <w:t>000</w:t>
            </w:r>
          </w:p>
        </w:tc>
      </w:tr>
      <w:tr w:rsidR="00E7045B" w:rsidRPr="00440196" w14:paraId="6BEDC62E" w14:textId="77777777" w:rsidTr="004153C8">
        <w:trPr>
          <w:trHeight w:val="221"/>
        </w:trPr>
        <w:tc>
          <w:tcPr>
            <w:tcW w:w="993" w:type="dxa"/>
            <w:vMerge/>
            <w:shd w:val="clear" w:color="auto" w:fill="auto"/>
          </w:tcPr>
          <w:p w14:paraId="71EB0991" w14:textId="77777777" w:rsidR="00E7045B" w:rsidRPr="00440196" w:rsidRDefault="00E7045B" w:rsidP="00440196">
            <w:pPr>
              <w:spacing w:before="40" w:after="40"/>
              <w:rPr>
                <w:sz w:val="18"/>
                <w:szCs w:val="18"/>
              </w:rPr>
            </w:pPr>
          </w:p>
        </w:tc>
        <w:tc>
          <w:tcPr>
            <w:tcW w:w="2976" w:type="dxa"/>
            <w:shd w:val="clear" w:color="auto" w:fill="auto"/>
          </w:tcPr>
          <w:p w14:paraId="60DAEF51"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szCs w:val="18"/>
              </w:rPr>
              <w:t>Dissemination and outreach</w:t>
            </w:r>
          </w:p>
        </w:tc>
        <w:tc>
          <w:tcPr>
            <w:tcW w:w="2835" w:type="dxa"/>
            <w:shd w:val="clear" w:color="auto" w:fill="auto"/>
          </w:tcPr>
          <w:p w14:paraId="4A1BE8FE" w14:textId="77777777" w:rsidR="00E7045B" w:rsidRPr="00440196" w:rsidRDefault="00E7045B" w:rsidP="00440196">
            <w:pPr>
              <w:keepNext/>
              <w:keepLines/>
              <w:spacing w:before="40" w:after="40"/>
              <w:rPr>
                <w:sz w:val="18"/>
                <w:szCs w:val="18"/>
              </w:rPr>
            </w:pPr>
          </w:p>
        </w:tc>
        <w:tc>
          <w:tcPr>
            <w:tcW w:w="1418" w:type="dxa"/>
            <w:shd w:val="clear" w:color="auto" w:fill="auto"/>
          </w:tcPr>
          <w:p w14:paraId="2BC627B3"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szCs w:val="18"/>
              </w:rPr>
              <w:t>50</w:t>
            </w:r>
            <w:r w:rsidRPr="00440196">
              <w:rPr>
                <w:sz w:val="18"/>
                <w:szCs w:val="18"/>
                <w:lang w:eastAsia="zh-CN"/>
              </w:rPr>
              <w:t xml:space="preserve"> </w:t>
            </w:r>
            <w:r w:rsidRPr="00440196">
              <w:rPr>
                <w:sz w:val="18"/>
                <w:szCs w:val="18"/>
              </w:rPr>
              <w:t>000</w:t>
            </w:r>
          </w:p>
        </w:tc>
      </w:tr>
      <w:tr w:rsidR="00E7045B" w:rsidRPr="00440196" w14:paraId="4BB2279C" w14:textId="77777777" w:rsidTr="004153C8">
        <w:trPr>
          <w:trHeight w:val="141"/>
        </w:trPr>
        <w:tc>
          <w:tcPr>
            <w:tcW w:w="993" w:type="dxa"/>
            <w:vMerge/>
            <w:shd w:val="clear" w:color="auto" w:fill="auto"/>
          </w:tcPr>
          <w:p w14:paraId="1BD8CFD8" w14:textId="77777777" w:rsidR="00E7045B" w:rsidRPr="00440196" w:rsidRDefault="00E7045B" w:rsidP="00440196">
            <w:pPr>
              <w:spacing w:before="40" w:after="40"/>
              <w:rPr>
                <w:sz w:val="18"/>
                <w:szCs w:val="18"/>
              </w:rPr>
            </w:pPr>
          </w:p>
        </w:tc>
        <w:tc>
          <w:tcPr>
            <w:tcW w:w="2976" w:type="dxa"/>
            <w:tcBorders>
              <w:bottom w:val="single" w:sz="4" w:space="0" w:color="auto"/>
            </w:tcBorders>
            <w:shd w:val="clear" w:color="auto" w:fill="auto"/>
          </w:tcPr>
          <w:p w14:paraId="67AA51FB" w14:textId="28673BBF" w:rsidR="00E7045B" w:rsidRPr="007831BB" w:rsidRDefault="00E7045B" w:rsidP="00440196">
            <w:pPr>
              <w:keepNext/>
              <w:keepLines/>
              <w:widowControl w:val="0"/>
              <w:tabs>
                <w:tab w:val="left" w:pos="6480"/>
                <w:tab w:val="left" w:pos="7200"/>
              </w:tabs>
              <w:spacing w:before="40" w:after="40"/>
              <w:rPr>
                <w:b/>
                <w:sz w:val="18"/>
                <w:szCs w:val="18"/>
              </w:rPr>
            </w:pPr>
            <w:r w:rsidRPr="00440196">
              <w:rPr>
                <w:b/>
                <w:sz w:val="18"/>
                <w:szCs w:val="18"/>
              </w:rPr>
              <w:t>Total year 3</w:t>
            </w:r>
          </w:p>
        </w:tc>
        <w:tc>
          <w:tcPr>
            <w:tcW w:w="2835" w:type="dxa"/>
            <w:tcBorders>
              <w:bottom w:val="single" w:sz="4" w:space="0" w:color="auto"/>
            </w:tcBorders>
            <w:shd w:val="clear" w:color="auto" w:fill="auto"/>
          </w:tcPr>
          <w:p w14:paraId="0C17F316" w14:textId="77777777" w:rsidR="00E7045B" w:rsidRPr="00440196" w:rsidRDefault="00E7045B" w:rsidP="00440196">
            <w:pPr>
              <w:keepNext/>
              <w:keepLines/>
              <w:spacing w:before="40" w:after="40"/>
              <w:rPr>
                <w:sz w:val="18"/>
                <w:szCs w:val="18"/>
              </w:rPr>
            </w:pPr>
          </w:p>
        </w:tc>
        <w:tc>
          <w:tcPr>
            <w:tcW w:w="1418" w:type="dxa"/>
            <w:tcBorders>
              <w:bottom w:val="single" w:sz="4" w:space="0" w:color="auto"/>
            </w:tcBorders>
            <w:shd w:val="clear" w:color="auto" w:fill="auto"/>
          </w:tcPr>
          <w:p w14:paraId="0DD551DC" w14:textId="77777777" w:rsidR="00E7045B" w:rsidRPr="007831BB" w:rsidRDefault="00E7045B" w:rsidP="00440196">
            <w:pPr>
              <w:keepNext/>
              <w:keepLines/>
              <w:widowControl w:val="0"/>
              <w:tabs>
                <w:tab w:val="left" w:pos="6480"/>
                <w:tab w:val="left" w:pos="7200"/>
              </w:tabs>
              <w:spacing w:before="40" w:after="40"/>
              <w:jc w:val="right"/>
              <w:rPr>
                <w:b/>
                <w:sz w:val="18"/>
                <w:szCs w:val="18"/>
              </w:rPr>
            </w:pPr>
            <w:r w:rsidRPr="00440196">
              <w:rPr>
                <w:b/>
                <w:sz w:val="18"/>
                <w:szCs w:val="18"/>
              </w:rPr>
              <w:t>336</w:t>
            </w:r>
            <w:r w:rsidRPr="00440196">
              <w:rPr>
                <w:b/>
                <w:sz w:val="18"/>
                <w:szCs w:val="18"/>
                <w:lang w:eastAsia="zh-CN"/>
              </w:rPr>
              <w:t xml:space="preserve"> </w:t>
            </w:r>
            <w:r w:rsidRPr="00440196">
              <w:rPr>
                <w:b/>
                <w:sz w:val="18"/>
                <w:szCs w:val="18"/>
              </w:rPr>
              <w:t xml:space="preserve">250 </w:t>
            </w:r>
          </w:p>
        </w:tc>
      </w:tr>
      <w:tr w:rsidR="00E7045B" w:rsidRPr="00440196" w14:paraId="1381C72B" w14:textId="77777777" w:rsidTr="004153C8">
        <w:trPr>
          <w:trHeight w:val="927"/>
        </w:trPr>
        <w:tc>
          <w:tcPr>
            <w:tcW w:w="993" w:type="dxa"/>
            <w:vMerge w:val="restart"/>
            <w:tcBorders>
              <w:top w:val="single" w:sz="4" w:space="0" w:color="auto"/>
            </w:tcBorders>
            <w:shd w:val="clear" w:color="auto" w:fill="auto"/>
          </w:tcPr>
          <w:p w14:paraId="0CA6587A" w14:textId="77777777" w:rsidR="00E7045B" w:rsidRPr="007831BB" w:rsidRDefault="00E7045B" w:rsidP="00440196">
            <w:pPr>
              <w:widowControl w:val="0"/>
              <w:tabs>
                <w:tab w:val="left" w:pos="6480"/>
                <w:tab w:val="left" w:pos="7200"/>
              </w:tabs>
              <w:spacing w:before="40" w:after="40"/>
              <w:rPr>
                <w:sz w:val="18"/>
                <w:szCs w:val="18"/>
              </w:rPr>
            </w:pPr>
            <w:r w:rsidRPr="00440196">
              <w:rPr>
                <w:b/>
                <w:sz w:val="18"/>
                <w:szCs w:val="18"/>
              </w:rPr>
              <w:t>Year 4</w:t>
            </w:r>
            <w:r w:rsidRPr="00440196">
              <w:rPr>
                <w:sz w:val="18"/>
                <w:szCs w:val="18"/>
              </w:rPr>
              <w:t xml:space="preserve"> (assessment launch and post-launch activities)</w:t>
            </w:r>
          </w:p>
        </w:tc>
        <w:tc>
          <w:tcPr>
            <w:tcW w:w="2976" w:type="dxa"/>
            <w:tcBorders>
              <w:top w:val="single" w:sz="4" w:space="0" w:color="auto"/>
            </w:tcBorders>
            <w:shd w:val="clear" w:color="auto" w:fill="auto"/>
          </w:tcPr>
          <w:p w14:paraId="649CFAC3" w14:textId="33E4AE1A" w:rsidR="00E7045B" w:rsidRPr="007831BB" w:rsidRDefault="00E7045B" w:rsidP="00440196">
            <w:pPr>
              <w:widowControl w:val="0"/>
              <w:tabs>
                <w:tab w:val="left" w:pos="6480"/>
                <w:tab w:val="left" w:pos="7200"/>
              </w:tabs>
              <w:spacing w:before="40" w:after="40"/>
              <w:rPr>
                <w:sz w:val="18"/>
                <w:szCs w:val="18"/>
              </w:rPr>
            </w:pPr>
            <w:r w:rsidRPr="00440196">
              <w:rPr>
                <w:sz w:val="18"/>
                <w:szCs w:val="18"/>
              </w:rPr>
              <w:t>Participation of 8 experts, including 2 co</w:t>
            </w:r>
            <w:r w:rsidRPr="00440196">
              <w:rPr>
                <w:sz w:val="18"/>
                <w:szCs w:val="18"/>
              </w:rPr>
              <w:noBreakHyphen/>
              <w:t>chairs and 6 coordinating lead authors or lead authors</w:t>
            </w:r>
            <w:r w:rsidR="008B4386">
              <w:rPr>
                <w:sz w:val="18"/>
                <w:szCs w:val="18"/>
              </w:rPr>
              <w:t>,</w:t>
            </w:r>
            <w:r w:rsidRPr="00440196">
              <w:rPr>
                <w:sz w:val="18"/>
                <w:szCs w:val="18"/>
              </w:rPr>
              <w:t xml:space="preserve"> in the Plenary </w:t>
            </w:r>
            <w:r w:rsidR="008B4386">
              <w:rPr>
                <w:sz w:val="18"/>
                <w:szCs w:val="18"/>
              </w:rPr>
              <w:t>session</w:t>
            </w:r>
          </w:p>
        </w:tc>
        <w:tc>
          <w:tcPr>
            <w:tcW w:w="2835" w:type="dxa"/>
            <w:tcBorders>
              <w:top w:val="single" w:sz="4" w:space="0" w:color="auto"/>
            </w:tcBorders>
            <w:shd w:val="clear" w:color="auto" w:fill="auto"/>
          </w:tcPr>
          <w:p w14:paraId="754CFEC0"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Travel and daily subsistence allowance</w:t>
            </w:r>
          </w:p>
          <w:p w14:paraId="25D60BE1" w14:textId="77777777" w:rsidR="00E7045B" w:rsidRPr="00440196" w:rsidRDefault="00E7045B" w:rsidP="00440196">
            <w:pPr>
              <w:spacing w:before="40" w:after="40"/>
              <w:rPr>
                <w:sz w:val="18"/>
                <w:szCs w:val="18"/>
              </w:rPr>
            </w:pPr>
            <w:r w:rsidRPr="00440196">
              <w:rPr>
                <w:sz w:val="18"/>
                <w:szCs w:val="18"/>
              </w:rPr>
              <w:t xml:space="preserve">8 participants (6 supported) </w:t>
            </w:r>
          </w:p>
          <w:p w14:paraId="1F928172" w14:textId="77777777" w:rsidR="00E7045B" w:rsidRPr="00440196" w:rsidRDefault="00E7045B" w:rsidP="00440196">
            <w:pPr>
              <w:spacing w:before="40" w:after="40"/>
              <w:rPr>
                <w:sz w:val="18"/>
                <w:szCs w:val="18"/>
              </w:rPr>
            </w:pPr>
            <w:r w:rsidRPr="00440196">
              <w:rPr>
                <w:sz w:val="18"/>
                <w:szCs w:val="18"/>
              </w:rPr>
              <w:t>(6 × $3,750)</w:t>
            </w:r>
          </w:p>
        </w:tc>
        <w:tc>
          <w:tcPr>
            <w:tcW w:w="1418" w:type="dxa"/>
            <w:tcBorders>
              <w:top w:val="single" w:sz="4" w:space="0" w:color="auto"/>
            </w:tcBorders>
            <w:shd w:val="clear" w:color="auto" w:fill="auto"/>
          </w:tcPr>
          <w:p w14:paraId="527CA98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22</w:t>
            </w:r>
            <w:r w:rsidRPr="00440196">
              <w:rPr>
                <w:sz w:val="18"/>
                <w:szCs w:val="18"/>
                <w:lang w:eastAsia="zh-CN"/>
              </w:rPr>
              <w:t xml:space="preserve"> </w:t>
            </w:r>
            <w:r w:rsidRPr="00440196">
              <w:rPr>
                <w:sz w:val="18"/>
                <w:szCs w:val="18"/>
              </w:rPr>
              <w:t>500</w:t>
            </w:r>
          </w:p>
        </w:tc>
      </w:tr>
      <w:tr w:rsidR="00E7045B" w:rsidRPr="00440196" w14:paraId="5D7BACF8" w14:textId="77777777" w:rsidTr="004153C8">
        <w:trPr>
          <w:trHeight w:val="756"/>
        </w:trPr>
        <w:tc>
          <w:tcPr>
            <w:tcW w:w="993" w:type="dxa"/>
            <w:vMerge/>
            <w:shd w:val="clear" w:color="auto" w:fill="auto"/>
          </w:tcPr>
          <w:p w14:paraId="74C26587" w14:textId="77777777" w:rsidR="00E7045B" w:rsidRPr="00440196" w:rsidRDefault="00E7045B" w:rsidP="00440196">
            <w:pPr>
              <w:spacing w:before="40" w:after="40"/>
              <w:rPr>
                <w:sz w:val="18"/>
                <w:szCs w:val="18"/>
              </w:rPr>
            </w:pPr>
          </w:p>
        </w:tc>
        <w:tc>
          <w:tcPr>
            <w:tcW w:w="2976" w:type="dxa"/>
            <w:shd w:val="clear" w:color="auto" w:fill="auto"/>
          </w:tcPr>
          <w:p w14:paraId="60BDF2FD" w14:textId="4FD7B6B8" w:rsidR="00E7045B" w:rsidRPr="007831BB" w:rsidRDefault="00E7045B" w:rsidP="00440196">
            <w:pPr>
              <w:widowControl w:val="0"/>
              <w:tabs>
                <w:tab w:val="left" w:pos="6480"/>
                <w:tab w:val="left" w:pos="7200"/>
              </w:tabs>
              <w:spacing w:before="40" w:after="40"/>
              <w:rPr>
                <w:b/>
                <w:sz w:val="18"/>
                <w:szCs w:val="18"/>
              </w:rPr>
            </w:pPr>
            <w:r w:rsidRPr="00440196">
              <w:rPr>
                <w:sz w:val="18"/>
                <w:szCs w:val="18"/>
              </w:rPr>
              <w:t xml:space="preserve">Technical support (for 3 months after launch of the assessment report at </w:t>
            </w:r>
            <w:r w:rsidR="008B4386">
              <w:rPr>
                <w:sz w:val="18"/>
                <w:szCs w:val="18"/>
              </w:rPr>
              <w:t xml:space="preserve">the </w:t>
            </w:r>
            <w:r w:rsidRPr="00440196">
              <w:rPr>
                <w:sz w:val="18"/>
                <w:szCs w:val="18"/>
              </w:rPr>
              <w:t>Plenary</w:t>
            </w:r>
            <w:r w:rsidR="008B4386">
              <w:rPr>
                <w:sz w:val="18"/>
                <w:szCs w:val="18"/>
              </w:rPr>
              <w:t xml:space="preserve"> session</w:t>
            </w:r>
            <w:r w:rsidRPr="00440196">
              <w:rPr>
                <w:sz w:val="18"/>
                <w:szCs w:val="18"/>
              </w:rPr>
              <w:t>)</w:t>
            </w:r>
            <w:r w:rsidRPr="00440196">
              <w:rPr>
                <w:b/>
                <w:sz w:val="18"/>
                <w:szCs w:val="18"/>
              </w:rPr>
              <w:t xml:space="preserve"> </w:t>
            </w:r>
          </w:p>
        </w:tc>
        <w:tc>
          <w:tcPr>
            <w:tcW w:w="2835" w:type="dxa"/>
            <w:shd w:val="clear" w:color="auto" w:fill="auto"/>
          </w:tcPr>
          <w:p w14:paraId="721FB2FE"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lang w:eastAsia="zh-CN"/>
              </w:rPr>
              <w:t>Corresponding to half the costs of one full-time equivalent professional position, including travel and overhead (to be matched by an in-kind offer of an equivalent value)</w:t>
            </w:r>
          </w:p>
        </w:tc>
        <w:tc>
          <w:tcPr>
            <w:tcW w:w="1418" w:type="dxa"/>
            <w:shd w:val="clear" w:color="auto" w:fill="auto"/>
          </w:tcPr>
          <w:p w14:paraId="4522A75E"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sz w:val="18"/>
                <w:szCs w:val="18"/>
              </w:rPr>
              <w:t>18</w:t>
            </w:r>
            <w:r w:rsidRPr="00440196">
              <w:rPr>
                <w:sz w:val="18"/>
                <w:szCs w:val="18"/>
                <w:lang w:eastAsia="zh-CN"/>
              </w:rPr>
              <w:t xml:space="preserve"> </w:t>
            </w:r>
            <w:r w:rsidRPr="00440196">
              <w:rPr>
                <w:sz w:val="18"/>
                <w:szCs w:val="18"/>
              </w:rPr>
              <w:t>750</w:t>
            </w:r>
          </w:p>
        </w:tc>
      </w:tr>
      <w:tr w:rsidR="00E7045B" w:rsidRPr="00440196" w14:paraId="11BA409D" w14:textId="77777777" w:rsidTr="004153C8">
        <w:tc>
          <w:tcPr>
            <w:tcW w:w="993" w:type="dxa"/>
            <w:vMerge/>
            <w:shd w:val="clear" w:color="auto" w:fill="auto"/>
          </w:tcPr>
          <w:p w14:paraId="6CA78E8B" w14:textId="77777777" w:rsidR="00E7045B" w:rsidRPr="00440196" w:rsidRDefault="00E7045B" w:rsidP="00440196">
            <w:pPr>
              <w:spacing w:before="40" w:after="40"/>
              <w:rPr>
                <w:b/>
                <w:sz w:val="18"/>
                <w:szCs w:val="18"/>
              </w:rPr>
            </w:pPr>
          </w:p>
        </w:tc>
        <w:tc>
          <w:tcPr>
            <w:tcW w:w="2976" w:type="dxa"/>
            <w:shd w:val="clear" w:color="auto" w:fill="auto"/>
          </w:tcPr>
          <w:p w14:paraId="73144C46" w14:textId="77777777" w:rsidR="00E7045B" w:rsidRPr="007831BB" w:rsidRDefault="00E7045B" w:rsidP="00440196">
            <w:pPr>
              <w:widowControl w:val="0"/>
              <w:tabs>
                <w:tab w:val="left" w:pos="6480"/>
                <w:tab w:val="left" w:pos="7200"/>
              </w:tabs>
              <w:spacing w:before="40" w:after="40"/>
              <w:rPr>
                <w:b/>
                <w:sz w:val="18"/>
                <w:szCs w:val="18"/>
              </w:rPr>
            </w:pPr>
            <w:r w:rsidRPr="00440196">
              <w:rPr>
                <w:sz w:val="18"/>
                <w:szCs w:val="18"/>
              </w:rPr>
              <w:t>Dissemination and outreach</w:t>
            </w:r>
          </w:p>
        </w:tc>
        <w:tc>
          <w:tcPr>
            <w:tcW w:w="2835" w:type="dxa"/>
            <w:shd w:val="clear" w:color="auto" w:fill="auto"/>
          </w:tcPr>
          <w:p w14:paraId="6CBF1B47" w14:textId="77777777" w:rsidR="00E7045B" w:rsidRPr="00440196" w:rsidRDefault="00E7045B" w:rsidP="00440196">
            <w:pPr>
              <w:spacing w:before="40" w:after="40"/>
              <w:rPr>
                <w:b/>
                <w:sz w:val="18"/>
                <w:szCs w:val="18"/>
              </w:rPr>
            </w:pPr>
          </w:p>
        </w:tc>
        <w:tc>
          <w:tcPr>
            <w:tcW w:w="1418" w:type="dxa"/>
            <w:shd w:val="clear" w:color="auto" w:fill="auto"/>
          </w:tcPr>
          <w:p w14:paraId="7A866AC0"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sz w:val="18"/>
                <w:szCs w:val="18"/>
              </w:rPr>
              <w:t>67</w:t>
            </w:r>
            <w:r w:rsidRPr="00440196">
              <w:rPr>
                <w:sz w:val="18"/>
                <w:szCs w:val="18"/>
                <w:lang w:eastAsia="zh-CN"/>
              </w:rPr>
              <w:t xml:space="preserve"> </w:t>
            </w:r>
            <w:r w:rsidRPr="00440196">
              <w:rPr>
                <w:sz w:val="18"/>
                <w:szCs w:val="18"/>
              </w:rPr>
              <w:t>000</w:t>
            </w:r>
          </w:p>
        </w:tc>
      </w:tr>
      <w:tr w:rsidR="00E7045B" w:rsidRPr="00440196" w14:paraId="3EFAFC6F" w14:textId="77777777" w:rsidTr="004153C8">
        <w:tc>
          <w:tcPr>
            <w:tcW w:w="993" w:type="dxa"/>
            <w:vMerge/>
            <w:tcBorders>
              <w:bottom w:val="single" w:sz="4" w:space="0" w:color="auto"/>
            </w:tcBorders>
            <w:shd w:val="clear" w:color="auto" w:fill="auto"/>
          </w:tcPr>
          <w:p w14:paraId="314D7A10" w14:textId="77777777" w:rsidR="00E7045B" w:rsidRPr="00440196" w:rsidRDefault="00E7045B" w:rsidP="00440196">
            <w:pPr>
              <w:spacing w:before="40" w:after="40"/>
              <w:rPr>
                <w:b/>
                <w:sz w:val="18"/>
                <w:szCs w:val="18"/>
              </w:rPr>
            </w:pPr>
          </w:p>
        </w:tc>
        <w:tc>
          <w:tcPr>
            <w:tcW w:w="2976" w:type="dxa"/>
            <w:tcBorders>
              <w:bottom w:val="single" w:sz="4" w:space="0" w:color="auto"/>
            </w:tcBorders>
            <w:shd w:val="clear" w:color="auto" w:fill="auto"/>
          </w:tcPr>
          <w:p w14:paraId="0450860B" w14:textId="1B6BE382" w:rsidR="00E7045B" w:rsidRPr="007831BB" w:rsidRDefault="00E7045B" w:rsidP="00440196">
            <w:pPr>
              <w:keepNext/>
              <w:keepLines/>
              <w:widowControl w:val="0"/>
              <w:tabs>
                <w:tab w:val="left" w:pos="6480"/>
                <w:tab w:val="left" w:pos="7200"/>
              </w:tabs>
              <w:spacing w:before="40" w:after="40"/>
              <w:rPr>
                <w:b/>
                <w:sz w:val="18"/>
                <w:szCs w:val="18"/>
              </w:rPr>
            </w:pPr>
            <w:r w:rsidRPr="00440196">
              <w:rPr>
                <w:b/>
                <w:sz w:val="18"/>
                <w:szCs w:val="18"/>
              </w:rPr>
              <w:t>Total year 4</w:t>
            </w:r>
          </w:p>
        </w:tc>
        <w:tc>
          <w:tcPr>
            <w:tcW w:w="2835" w:type="dxa"/>
            <w:tcBorders>
              <w:bottom w:val="single" w:sz="4" w:space="0" w:color="auto"/>
            </w:tcBorders>
            <w:shd w:val="clear" w:color="auto" w:fill="auto"/>
          </w:tcPr>
          <w:p w14:paraId="2032F963" w14:textId="77777777" w:rsidR="00E7045B" w:rsidRPr="00440196" w:rsidRDefault="00E7045B" w:rsidP="00440196">
            <w:pPr>
              <w:spacing w:before="40" w:after="40"/>
              <w:rPr>
                <w:b/>
                <w:sz w:val="18"/>
                <w:szCs w:val="18"/>
              </w:rPr>
            </w:pPr>
          </w:p>
        </w:tc>
        <w:tc>
          <w:tcPr>
            <w:tcW w:w="1418" w:type="dxa"/>
            <w:tcBorders>
              <w:bottom w:val="single" w:sz="4" w:space="0" w:color="auto"/>
            </w:tcBorders>
            <w:shd w:val="clear" w:color="auto" w:fill="auto"/>
          </w:tcPr>
          <w:p w14:paraId="5E9616F1"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108</w:t>
            </w:r>
            <w:r w:rsidRPr="00440196">
              <w:rPr>
                <w:b/>
                <w:sz w:val="18"/>
                <w:szCs w:val="18"/>
                <w:lang w:eastAsia="zh-CN"/>
              </w:rPr>
              <w:t xml:space="preserve"> </w:t>
            </w:r>
            <w:r w:rsidRPr="00440196">
              <w:rPr>
                <w:b/>
                <w:sz w:val="18"/>
                <w:szCs w:val="18"/>
              </w:rPr>
              <w:t>250</w:t>
            </w:r>
          </w:p>
        </w:tc>
      </w:tr>
      <w:tr w:rsidR="00E7045B" w:rsidRPr="00440196" w14:paraId="3B6B23CA" w14:textId="77777777" w:rsidTr="004153C8">
        <w:tc>
          <w:tcPr>
            <w:tcW w:w="993" w:type="dxa"/>
            <w:tcBorders>
              <w:top w:val="single" w:sz="4" w:space="0" w:color="auto"/>
              <w:bottom w:val="single" w:sz="12" w:space="0" w:color="auto"/>
            </w:tcBorders>
            <w:shd w:val="clear" w:color="auto" w:fill="auto"/>
          </w:tcPr>
          <w:p w14:paraId="3DB302D8" w14:textId="77777777" w:rsidR="00E7045B" w:rsidRPr="00440196" w:rsidRDefault="00E7045B" w:rsidP="00440196">
            <w:pPr>
              <w:spacing w:before="40" w:after="40"/>
              <w:rPr>
                <w:b/>
                <w:sz w:val="18"/>
                <w:szCs w:val="18"/>
              </w:rPr>
            </w:pPr>
          </w:p>
        </w:tc>
        <w:tc>
          <w:tcPr>
            <w:tcW w:w="2976" w:type="dxa"/>
            <w:tcBorders>
              <w:top w:val="single" w:sz="4" w:space="0" w:color="auto"/>
              <w:bottom w:val="single" w:sz="12" w:space="0" w:color="auto"/>
            </w:tcBorders>
            <w:shd w:val="clear" w:color="auto" w:fill="auto"/>
          </w:tcPr>
          <w:p w14:paraId="1780EE1D" w14:textId="77777777" w:rsidR="00E7045B" w:rsidRPr="00440196" w:rsidRDefault="00E7045B" w:rsidP="00440196">
            <w:pPr>
              <w:keepNext/>
              <w:keepLines/>
              <w:spacing w:before="40" w:after="40"/>
              <w:rPr>
                <w:b/>
                <w:sz w:val="18"/>
                <w:szCs w:val="18"/>
              </w:rPr>
            </w:pPr>
          </w:p>
        </w:tc>
        <w:tc>
          <w:tcPr>
            <w:tcW w:w="2835" w:type="dxa"/>
            <w:tcBorders>
              <w:top w:val="single" w:sz="4" w:space="0" w:color="auto"/>
              <w:bottom w:val="single" w:sz="12" w:space="0" w:color="auto"/>
            </w:tcBorders>
            <w:shd w:val="clear" w:color="auto" w:fill="auto"/>
          </w:tcPr>
          <w:p w14:paraId="483B999D" w14:textId="77777777" w:rsidR="00E7045B" w:rsidRPr="00440196" w:rsidRDefault="00E7045B" w:rsidP="00440196">
            <w:pPr>
              <w:spacing w:before="40" w:after="40"/>
              <w:rPr>
                <w:b/>
                <w:sz w:val="18"/>
                <w:szCs w:val="18"/>
              </w:rPr>
            </w:pPr>
          </w:p>
        </w:tc>
        <w:tc>
          <w:tcPr>
            <w:tcW w:w="1418" w:type="dxa"/>
            <w:tcBorders>
              <w:top w:val="single" w:sz="4" w:space="0" w:color="auto"/>
              <w:bottom w:val="single" w:sz="12" w:space="0" w:color="auto"/>
            </w:tcBorders>
            <w:shd w:val="clear" w:color="auto" w:fill="auto"/>
          </w:tcPr>
          <w:p w14:paraId="3180F60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997</w:t>
            </w:r>
            <w:r w:rsidRPr="00440196">
              <w:rPr>
                <w:b/>
                <w:sz w:val="18"/>
                <w:szCs w:val="18"/>
                <w:lang w:eastAsia="zh-CN"/>
              </w:rPr>
              <w:t xml:space="preserve"> </w:t>
            </w:r>
            <w:r w:rsidRPr="00440196">
              <w:rPr>
                <w:b/>
                <w:sz w:val="18"/>
                <w:szCs w:val="18"/>
              </w:rPr>
              <w:t>000</w:t>
            </w:r>
          </w:p>
        </w:tc>
      </w:tr>
    </w:tbl>
    <w:p w14:paraId="1848CD88" w14:textId="77777777" w:rsidR="00E7045B" w:rsidRPr="00440196" w:rsidRDefault="00E7045B" w:rsidP="00E7045B"/>
    <w:p w14:paraId="3C01A962"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26CBD950" w14:textId="578C7936" w:rsidR="00E7045B" w:rsidRPr="007831BB" w:rsidRDefault="00E7045B" w:rsidP="00E7045B">
      <w:pPr>
        <w:pStyle w:val="CH1"/>
        <w:rPr>
          <w:lang w:val="en-GB"/>
        </w:rPr>
      </w:pPr>
      <w:r w:rsidRPr="007831BB">
        <w:rPr>
          <w:lang w:val="en-GB"/>
        </w:rPr>
        <w:tab/>
      </w:r>
      <w:r w:rsidRPr="007831BB">
        <w:rPr>
          <w:lang w:val="en-GB"/>
        </w:rPr>
        <w:tab/>
        <w:t>IPBES-5/2: Review of the Platform</w:t>
      </w:r>
    </w:p>
    <w:p w14:paraId="79E72D5B" w14:textId="2FF78A99" w:rsidR="00346797" w:rsidRPr="007831BB" w:rsidRDefault="001E202C" w:rsidP="00964A01">
      <w:pPr>
        <w:pStyle w:val="Normalnumber"/>
        <w:tabs>
          <w:tab w:val="clear" w:pos="1247"/>
          <w:tab w:val="clear" w:pos="1814"/>
          <w:tab w:val="clear" w:pos="2381"/>
          <w:tab w:val="clear" w:pos="2948"/>
          <w:tab w:val="clear" w:pos="3515"/>
          <w:tab w:val="clear" w:pos="4082"/>
        </w:tabs>
        <w:autoSpaceDE w:val="0"/>
        <w:autoSpaceDN w:val="0"/>
        <w:adjustRightInd w:val="0"/>
        <w:ind w:left="1247" w:firstLine="624"/>
        <w:rPr>
          <w:color w:val="000000" w:themeColor="text1"/>
          <w:lang w:val="en-GB"/>
        </w:rPr>
      </w:pPr>
      <w:r>
        <w:rPr>
          <w:i/>
          <w:iCs/>
          <w:color w:val="000000" w:themeColor="text1"/>
          <w:lang w:val="en-GB"/>
        </w:rPr>
        <w:t>The Plenary</w:t>
      </w:r>
      <w:r w:rsidR="00346797" w:rsidRPr="007831BB">
        <w:rPr>
          <w:i/>
          <w:iCs/>
          <w:color w:val="000000" w:themeColor="text1"/>
          <w:lang w:val="en-GB"/>
        </w:rPr>
        <w:t xml:space="preserve"> </w:t>
      </w:r>
    </w:p>
    <w:p w14:paraId="755C9B31" w14:textId="4A16C609" w:rsidR="00E7045B" w:rsidRPr="00964A01" w:rsidRDefault="00E7045B" w:rsidP="002B5903">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lang w:val="en-US"/>
        </w:rPr>
      </w:pPr>
      <w:r w:rsidRPr="00964A01">
        <w:rPr>
          <w:i/>
          <w:lang w:val="en-US"/>
        </w:rPr>
        <w:t>Approves</w:t>
      </w:r>
      <w:r w:rsidRPr="00964A01">
        <w:rPr>
          <w:lang w:val="en-US"/>
        </w:rPr>
        <w:t xml:space="preserve"> the terms of reference for the review of the Platform at the end of its first work </w:t>
      </w:r>
      <w:proofErr w:type="spellStart"/>
      <w:r w:rsidRPr="00964A01">
        <w:rPr>
          <w:lang w:val="en-US"/>
        </w:rPr>
        <w:t>programme</w:t>
      </w:r>
      <w:proofErr w:type="spellEnd"/>
      <w:r w:rsidRPr="00964A01">
        <w:rPr>
          <w:lang w:val="en-US"/>
        </w:rPr>
        <w:t xml:space="preserve"> set out in the annex to the present decision;</w:t>
      </w:r>
    </w:p>
    <w:p w14:paraId="7CBA8B6D" w14:textId="3EB8D96B" w:rsidR="00E7045B" w:rsidRPr="00964A01"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lang w:val="en-US"/>
        </w:rPr>
      </w:pPr>
      <w:r w:rsidRPr="00964A01">
        <w:rPr>
          <w:i/>
          <w:lang w:val="en-US"/>
        </w:rPr>
        <w:t xml:space="preserve">Also approves </w:t>
      </w:r>
      <w:r w:rsidRPr="00964A01">
        <w:rPr>
          <w:lang w:val="en-US"/>
        </w:rPr>
        <w:t>the execution of an internal review by the Multidisciplinary Expert Panel and the Bureau and transmission of its conclusions to the external reviewers;</w:t>
      </w:r>
    </w:p>
    <w:p w14:paraId="1B83D2B4" w14:textId="59143A9F" w:rsidR="00E7045B" w:rsidRPr="00160BD4"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n-US"/>
        </w:rPr>
      </w:pPr>
      <w:r w:rsidRPr="00160BD4">
        <w:rPr>
          <w:i/>
          <w:lang w:val="en-US"/>
        </w:rPr>
        <w:t xml:space="preserve">Requests </w:t>
      </w:r>
      <w:r w:rsidRPr="00160BD4">
        <w:rPr>
          <w:lang w:val="en-US"/>
        </w:rPr>
        <w:t>the Bureau, in consultation with the Multidisciplinary Expert Panel, taking into account comments received at the fifth session of the Plenary, to revise the questionnaire set out in the appendix to the terms of reference;</w:t>
      </w:r>
    </w:p>
    <w:p w14:paraId="2B3711D8" w14:textId="1503B2E5" w:rsidR="00E7045B" w:rsidRPr="00160BD4"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n-US"/>
        </w:rPr>
      </w:pPr>
      <w:r w:rsidRPr="00160BD4">
        <w:rPr>
          <w:i/>
          <w:lang w:val="en-US"/>
        </w:rPr>
        <w:t xml:space="preserve">Requests </w:t>
      </w:r>
      <w:r w:rsidRPr="00160BD4">
        <w:rPr>
          <w:lang w:val="en-US"/>
        </w:rPr>
        <w:t xml:space="preserve">the Secretariat to make the revised questionnaire available to members and stakeholders of the Platform </w:t>
      </w:r>
      <w:r w:rsidR="00614E1B" w:rsidRPr="00160BD4">
        <w:rPr>
          <w:lang w:val="en-US"/>
        </w:rPr>
        <w:t xml:space="preserve">for </w:t>
      </w:r>
      <w:r w:rsidR="00614E1B" w:rsidRPr="00077CF9">
        <w:rPr>
          <w:lang w:val="en-US"/>
        </w:rPr>
        <w:t xml:space="preserve">review </w:t>
      </w:r>
      <w:r w:rsidRPr="00964A01">
        <w:rPr>
          <w:lang w:val="en-US"/>
        </w:rPr>
        <w:t xml:space="preserve">for </w:t>
      </w:r>
      <w:r w:rsidRPr="00160BD4">
        <w:rPr>
          <w:lang w:val="en-US"/>
        </w:rPr>
        <w:t xml:space="preserve">a period of two weeks after the fifth session of the Plenary; </w:t>
      </w:r>
    </w:p>
    <w:p w14:paraId="7AB445C2" w14:textId="3C6D0852" w:rsidR="00E7045B" w:rsidRPr="00964A01"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n-US"/>
        </w:rPr>
      </w:pPr>
      <w:r w:rsidRPr="00964A01">
        <w:rPr>
          <w:i/>
          <w:lang w:val="en-US"/>
        </w:rPr>
        <w:t xml:space="preserve">Requests </w:t>
      </w:r>
      <w:r w:rsidRPr="00964A01">
        <w:rPr>
          <w:lang w:val="en-US"/>
        </w:rPr>
        <w:t xml:space="preserve">the Bureau, in consultation with the Multidisciplinary Expert Panel, to finalize the questionnaire, taking into account the comments received during the period referred to in paragraph 4 above; </w:t>
      </w:r>
    </w:p>
    <w:p w14:paraId="70E52FD1" w14:textId="3590A999" w:rsidR="00E7045B" w:rsidRPr="00964A01"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n-US"/>
        </w:rPr>
      </w:pPr>
      <w:r w:rsidRPr="00964A01">
        <w:rPr>
          <w:i/>
          <w:lang w:val="en-US"/>
        </w:rPr>
        <w:t xml:space="preserve">Requests </w:t>
      </w:r>
      <w:r w:rsidRPr="00964A01">
        <w:rPr>
          <w:lang w:val="en-US"/>
        </w:rPr>
        <w:t>the Executive Secretary to call for the nomination of candidates for the review panel, with a view to ensuring regional representation, and to conduct a competitive bidding process for an external professional organization to coordinate the review with a view to initiation of the work of the organization by the beginning of 2018, subject to the availability of financial resources;</w:t>
      </w:r>
    </w:p>
    <w:p w14:paraId="23684702" w14:textId="36AA17CF" w:rsidR="00E7045B" w:rsidRPr="00964A01"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n-US"/>
        </w:rPr>
      </w:pPr>
      <w:r w:rsidRPr="00964A01">
        <w:rPr>
          <w:i/>
          <w:lang w:val="en-US"/>
        </w:rPr>
        <w:t xml:space="preserve">Requests </w:t>
      </w:r>
      <w:r w:rsidRPr="00964A01">
        <w:rPr>
          <w:lang w:val="en-US"/>
        </w:rPr>
        <w:t xml:space="preserve">the review panel, in accordance with the terms of reference, to provide a final report on the review, including recommendations on the implementation of the second work </w:t>
      </w:r>
      <w:proofErr w:type="spellStart"/>
      <w:r w:rsidRPr="00964A01">
        <w:rPr>
          <w:lang w:val="en-US"/>
        </w:rPr>
        <w:t>programme</w:t>
      </w:r>
      <w:proofErr w:type="spellEnd"/>
      <w:r w:rsidRPr="00964A01">
        <w:rPr>
          <w:lang w:val="en-US"/>
        </w:rPr>
        <w:t xml:space="preserve"> of the Platform, to the Plenary at its seventh session;</w:t>
      </w:r>
    </w:p>
    <w:p w14:paraId="7278E8B9" w14:textId="20C84F89" w:rsidR="00E7045B" w:rsidRPr="00964A01"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n-US"/>
        </w:rPr>
      </w:pPr>
      <w:r w:rsidRPr="00964A01">
        <w:rPr>
          <w:i/>
          <w:lang w:val="en-US"/>
        </w:rPr>
        <w:t xml:space="preserve">Requests </w:t>
      </w:r>
      <w:r w:rsidRPr="00964A01">
        <w:rPr>
          <w:lang w:val="en-US"/>
        </w:rPr>
        <w:t>the internal review team to provide the report called for in paragraph 11 of the terms of reference to the Plenary at its sixth session.</w:t>
      </w:r>
      <w:r w:rsidRPr="00964A01">
        <w:rPr>
          <w:i/>
          <w:lang w:val="en-US"/>
        </w:rPr>
        <w:t xml:space="preserve"> </w:t>
      </w:r>
    </w:p>
    <w:p w14:paraId="3CDC75A0" w14:textId="77777777" w:rsidR="00E7045B" w:rsidRPr="007831BB" w:rsidRDefault="00E7045B" w:rsidP="002B3A9B">
      <w:pPr>
        <w:pStyle w:val="Normal-pool"/>
        <w:rPr>
          <w:lang w:eastAsia="en-GB"/>
        </w:rPr>
      </w:pPr>
      <w:r w:rsidRPr="007831BB">
        <w:rPr>
          <w:lang w:eastAsia="en-GB"/>
        </w:rPr>
        <w:br w:type="page"/>
      </w:r>
    </w:p>
    <w:p w14:paraId="70994381" w14:textId="77777777" w:rsidR="00E7045B" w:rsidRPr="007831BB" w:rsidRDefault="00E7045B" w:rsidP="00E7045B">
      <w:pPr>
        <w:pStyle w:val="CH1"/>
        <w:rPr>
          <w:rFonts w:eastAsia="Calibri"/>
          <w:lang w:val="en-GB"/>
        </w:rPr>
      </w:pPr>
      <w:r w:rsidRPr="007831BB">
        <w:rPr>
          <w:rFonts w:eastAsia="Calibri"/>
          <w:w w:val="103"/>
          <w:lang w:val="en-GB"/>
        </w:rPr>
        <w:tab/>
      </w:r>
      <w:r w:rsidRPr="007831BB">
        <w:rPr>
          <w:rFonts w:eastAsia="Calibri"/>
          <w:w w:val="103"/>
          <w:lang w:val="en-GB"/>
        </w:rPr>
        <w:tab/>
        <w:t>Annex to decision IPBES-5/2</w:t>
      </w:r>
    </w:p>
    <w:p w14:paraId="42BF9789" w14:textId="2AD8EAEC" w:rsidR="00E7045B" w:rsidRPr="00964A01" w:rsidRDefault="002B5903" w:rsidP="002B5903">
      <w:pPr>
        <w:pStyle w:val="CH1"/>
        <w:rPr>
          <w:lang w:val="en-US"/>
        </w:rPr>
      </w:pPr>
      <w:r w:rsidRPr="00964A01">
        <w:rPr>
          <w:lang w:val="en-US"/>
        </w:rPr>
        <w:tab/>
      </w:r>
      <w:r w:rsidRPr="00964A01">
        <w:rPr>
          <w:lang w:val="en-US"/>
        </w:rPr>
        <w:tab/>
      </w:r>
      <w:r w:rsidR="00E7045B" w:rsidRPr="00964A01">
        <w:rPr>
          <w:lang w:val="en-US"/>
        </w:rPr>
        <w:t xml:space="preserve">Terms of reference for the review of the Platform at the end of its first work </w:t>
      </w:r>
      <w:proofErr w:type="spellStart"/>
      <w:r w:rsidR="00E7045B" w:rsidRPr="00964A01">
        <w:rPr>
          <w:lang w:val="en-US"/>
        </w:rPr>
        <w:t>programme</w:t>
      </w:r>
      <w:proofErr w:type="spellEnd"/>
    </w:p>
    <w:p w14:paraId="4B253D5C" w14:textId="77777777" w:rsidR="00E7045B" w:rsidRPr="007831BB" w:rsidRDefault="00E7045B" w:rsidP="00E7045B">
      <w:pPr>
        <w:pStyle w:val="CH1"/>
        <w:rPr>
          <w:lang w:val="en-GB"/>
        </w:rPr>
      </w:pPr>
      <w:r w:rsidRPr="007831BB">
        <w:rPr>
          <w:lang w:val="en-GB"/>
        </w:rPr>
        <w:tab/>
        <w:t>I.</w:t>
      </w:r>
      <w:r w:rsidRPr="007831BB">
        <w:rPr>
          <w:lang w:val="en-GB"/>
        </w:rPr>
        <w:tab/>
        <w:t xml:space="preserve">Objectives, timing and expected outputs of the review </w:t>
      </w:r>
    </w:p>
    <w:p w14:paraId="6EAFBD0C" w14:textId="3F0E1398" w:rsidR="00E7045B" w:rsidRPr="007831BB" w:rsidRDefault="00C52EB6" w:rsidP="002B5903">
      <w:pPr>
        <w:pStyle w:val="Normalnumber"/>
        <w:numPr>
          <w:ilvl w:val="0"/>
          <w:numId w:val="377"/>
        </w:numPr>
        <w:tabs>
          <w:tab w:val="clear" w:pos="1247"/>
          <w:tab w:val="clear" w:pos="1814"/>
          <w:tab w:val="clear" w:pos="2381"/>
          <w:tab w:val="clear" w:pos="2948"/>
          <w:tab w:val="clear" w:pos="3515"/>
          <w:tab w:val="clear" w:pos="4082"/>
          <w:tab w:val="left" w:pos="624"/>
        </w:tabs>
        <w:rPr>
          <w:lang w:val="en-GB"/>
        </w:rPr>
      </w:pPr>
      <w:r w:rsidRPr="001F026A">
        <w:rPr>
          <w:lang w:val="en-GB"/>
        </w:rPr>
        <w:t xml:space="preserve">A single review of IPBES </w:t>
      </w:r>
      <w:r w:rsidR="006A5BCE" w:rsidRPr="00160BD4">
        <w:rPr>
          <w:lang w:val="en-GB"/>
        </w:rPr>
        <w:t xml:space="preserve">will be undertaken </w:t>
      </w:r>
      <w:r w:rsidRPr="001F026A">
        <w:rPr>
          <w:lang w:val="en-GB"/>
        </w:rPr>
        <w:t xml:space="preserve">at the end of its first work programme (hereinafter referred to as “the review”). </w:t>
      </w:r>
      <w:r w:rsidR="00E7045B" w:rsidRPr="001F026A">
        <w:rPr>
          <w:lang w:val="en-GB"/>
        </w:rPr>
        <w:t>The review will evaluate the effectiveness of IPBES as a science-policy interface. In particular, the review</w:t>
      </w:r>
      <w:r w:rsidR="00E7045B" w:rsidRPr="007831BB">
        <w:rPr>
          <w:lang w:val="en-GB"/>
        </w:rPr>
        <w:t xml:space="preserve"> will analyse IPBES with regard to its effectiveness and efficiency and, where possible, relevance, as measured against its current objectives, operating principles, four functions and administrative and scientific processes for implementing the work programme as set out in the report of the second session of the plenary meeting to determine the future Platform’s modalities and institutional arrangements (document UNEP/IPBES.MI/2/9). It will also evaluate the efficiency of the delivery of the work programme and established support structures, as governed by the rules of procedure (see decision IPBES</w:t>
      </w:r>
      <w:r w:rsidR="00E7045B" w:rsidRPr="007831BB">
        <w:rPr>
          <w:lang w:val="en-GB"/>
        </w:rPr>
        <w:noBreakHyphen/>
        <w:t>1/1, annex), the procedures for the preparation of IPBES deliverables (see decision IPBES</w:t>
      </w:r>
      <w:r w:rsidR="00E7045B" w:rsidRPr="007831BB">
        <w:rPr>
          <w:lang w:val="en-GB"/>
        </w:rPr>
        <w:noBreakHyphen/>
        <w:t>3/3, annex I) and other relevant decisions by the IPBES Plenary. The review will evaluate:</w:t>
      </w:r>
    </w:p>
    <w:p w14:paraId="66F47243" w14:textId="77777777"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Implementation of the four functions of IPBES;</w:t>
      </w:r>
    </w:p>
    <w:p w14:paraId="4AD06CC0" w14:textId="77777777"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Application of the operating principles of IPBES;</w:t>
      </w:r>
    </w:p>
    <w:p w14:paraId="38E8D79E" w14:textId="75B7849F"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Effectiveness of the procedures for the development of IPBES deliverables, including the policy on conflict of interest and its implementation procedures;</w:t>
      </w:r>
    </w:p>
    <w:p w14:paraId="57A4A861" w14:textId="1A128C2E" w:rsidR="00E7045B" w:rsidRPr="007831BB"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Effectiveness of the institutional arrangements of IPBES, including the Plenary, the Bureau, the Multidisciplinary Expert Panel and the secretariat, including technical support units, the United Nations collaborative partnership arrangement and other arrangements with strategic partners and their interactions and procedures; </w:t>
      </w:r>
    </w:p>
    <w:p w14:paraId="62DC853A" w14:textId="77777777" w:rsidR="00E7045B" w:rsidRPr="007831BB"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Effectiveness of the IPBES task forces and expert groups, including the management of their work and the level of commitment of members;</w:t>
      </w:r>
    </w:p>
    <w:p w14:paraId="40EFE2CE" w14:textId="77777777" w:rsidR="00E7045B" w:rsidRPr="007831BB"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Effectiveness of the implementation of the financial and budgetary arrangements, including fundraising strategies;</w:t>
      </w:r>
    </w:p>
    <w:p w14:paraId="4DDCBF6B" w14:textId="54989202" w:rsidR="00E7045B" w:rsidRPr="007831BB"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Effectiveness of processes </w:t>
      </w:r>
      <w:r w:rsidR="00722DE5">
        <w:rPr>
          <w:lang w:val="en-GB"/>
        </w:rPr>
        <w:t>for</w:t>
      </w:r>
      <w:r w:rsidRPr="007831BB">
        <w:rPr>
          <w:lang w:val="en-GB"/>
        </w:rPr>
        <w:t xml:space="preserve"> stakeholder engagement and communication.</w:t>
      </w:r>
    </w:p>
    <w:p w14:paraId="28A849C2" w14:textId="7C2633A2"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 w:val="num" w:pos="1134"/>
        </w:tabs>
        <w:rPr>
          <w:lang w:val="en-GB"/>
        </w:rPr>
      </w:pPr>
      <w:r w:rsidRPr="007831BB">
        <w:rPr>
          <w:lang w:val="en-GB"/>
        </w:rPr>
        <w:t>The review will be used as the basis for the development of a second work programme for IPBES with lessons learned from the implementation of the first work programme and recommendations that will enable</w:t>
      </w:r>
      <w:r w:rsidR="004359F3">
        <w:rPr>
          <w:lang w:val="en-GB"/>
        </w:rPr>
        <w:t xml:space="preserve"> IPBES</w:t>
      </w:r>
      <w:r w:rsidRPr="007831BB">
        <w:rPr>
          <w:lang w:val="en-GB"/>
        </w:rPr>
        <w:t xml:space="preserve"> to strengthen implementation of its four functions and, ultimately, its effectiveness as a science-policy interface. </w:t>
      </w:r>
    </w:p>
    <w:p w14:paraId="5B2261CE" w14:textId="6097D70B"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 w:val="left" w:pos="624"/>
        </w:tabs>
        <w:rPr>
          <w:lang w:val="en-GB"/>
        </w:rPr>
      </w:pPr>
      <w:r w:rsidRPr="007831BB">
        <w:rPr>
          <w:lang w:val="en-GB"/>
        </w:rPr>
        <w:t xml:space="preserve">The results of the review will be considered by the Plenary at its seventh session, in May 2019. A report on progress in the review process and interim results will be made available for the information of </w:t>
      </w:r>
      <w:r w:rsidR="00E42079">
        <w:rPr>
          <w:lang w:val="en-GB"/>
        </w:rPr>
        <w:t xml:space="preserve">the </w:t>
      </w:r>
      <w:r w:rsidRPr="007831BB">
        <w:rPr>
          <w:lang w:val="en-GB"/>
        </w:rPr>
        <w:t xml:space="preserve">Plenary at its sixth session. The review will integrate an internal and an external element. </w:t>
      </w:r>
    </w:p>
    <w:p w14:paraId="510EFCDE" w14:textId="79B10872"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 w:val="left" w:pos="624"/>
          <w:tab w:val="num" w:pos="1134"/>
        </w:tabs>
        <w:rPr>
          <w:lang w:val="en-GB"/>
        </w:rPr>
      </w:pPr>
      <w:r w:rsidRPr="007831BB">
        <w:rPr>
          <w:lang w:val="en-GB"/>
        </w:rPr>
        <w:t xml:space="preserve">The review will result in a report on the performance of IPBES with regard to the dimensions listed in paragraph 1 above. The report will include proposals on how to improve the effectiveness of IPBES. In particular, it will include, as necessary, recommendations regarding the amendment of existing institutional arrangements, including procedures and structures, to support implementation of the second work programme. </w:t>
      </w:r>
    </w:p>
    <w:p w14:paraId="4707B31B" w14:textId="77777777" w:rsidR="00E7045B" w:rsidRPr="007831BB" w:rsidRDefault="00E7045B" w:rsidP="00E7045B">
      <w:pPr>
        <w:pStyle w:val="CH1"/>
        <w:rPr>
          <w:lang w:val="en-GB"/>
        </w:rPr>
      </w:pPr>
      <w:r w:rsidRPr="007831BB">
        <w:rPr>
          <w:lang w:val="en-GB"/>
        </w:rPr>
        <w:tab/>
        <w:t>II.</w:t>
      </w:r>
      <w:r w:rsidRPr="007831BB">
        <w:rPr>
          <w:lang w:val="en-GB"/>
        </w:rPr>
        <w:tab/>
        <w:t>Institutional structure of the review</w:t>
      </w:r>
    </w:p>
    <w:p w14:paraId="0D6EE037" w14:textId="77777777" w:rsidR="00E7045B" w:rsidRPr="007831BB" w:rsidRDefault="00E7045B" w:rsidP="00E7045B">
      <w:pPr>
        <w:pStyle w:val="CH2"/>
        <w:rPr>
          <w:lang w:val="en-GB"/>
        </w:rPr>
      </w:pPr>
      <w:r w:rsidRPr="007831BB">
        <w:rPr>
          <w:lang w:val="en-GB"/>
        </w:rPr>
        <w:tab/>
        <w:t>A.</w:t>
      </w:r>
      <w:r w:rsidRPr="007831BB">
        <w:rPr>
          <w:lang w:val="en-GB"/>
        </w:rPr>
        <w:tab/>
        <w:t>Internal element</w:t>
      </w:r>
    </w:p>
    <w:p w14:paraId="719C4371" w14:textId="739C2E9D"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 w:val="num" w:pos="1134"/>
        </w:tabs>
        <w:rPr>
          <w:lang w:val="en-GB"/>
        </w:rPr>
      </w:pPr>
      <w:r w:rsidRPr="007831BB">
        <w:rPr>
          <w:lang w:val="en-GB"/>
        </w:rPr>
        <w:t xml:space="preserve">The Bureau and the Multidisciplinary Expert Panel have designated an internal review team comprising </w:t>
      </w:r>
      <w:r w:rsidRPr="00E0653E">
        <w:rPr>
          <w:lang w:val="en-GB"/>
        </w:rPr>
        <w:t>the IPBES Chair,</w:t>
      </w:r>
      <w:r w:rsidR="00EE59E3" w:rsidRPr="00E0653E">
        <w:rPr>
          <w:lang w:val="en-GB"/>
        </w:rPr>
        <w:t xml:space="preserve"> </w:t>
      </w:r>
      <w:r w:rsidRPr="00E0653E">
        <w:rPr>
          <w:lang w:val="en-GB"/>
        </w:rPr>
        <w:t>a</w:t>
      </w:r>
      <w:r w:rsidRPr="007831BB">
        <w:rPr>
          <w:lang w:val="en-GB"/>
        </w:rPr>
        <w:t xml:space="preserve"> member of the Bureau, a co-chair and two members of the Panel and the Executive Secretary, which will coordinate the internal review and, working in consultation with the Bureau and Panel, develop a report </w:t>
      </w:r>
      <w:r w:rsidR="008A45ED">
        <w:rPr>
          <w:lang w:val="en-GB"/>
        </w:rPr>
        <w:t>that</w:t>
      </w:r>
      <w:r w:rsidR="008A45ED" w:rsidRPr="007831BB">
        <w:rPr>
          <w:lang w:val="en-GB"/>
        </w:rPr>
        <w:t xml:space="preserve"> </w:t>
      </w:r>
      <w:r w:rsidRPr="007831BB">
        <w:rPr>
          <w:lang w:val="en-GB"/>
        </w:rPr>
        <w:t xml:space="preserve">summarizes the findings of the internal review. </w:t>
      </w:r>
    </w:p>
    <w:p w14:paraId="12D43F5D" w14:textId="77777777" w:rsidR="00E7045B" w:rsidRPr="007831BB" w:rsidRDefault="00E7045B" w:rsidP="00E7045B">
      <w:pPr>
        <w:pStyle w:val="CH2"/>
        <w:rPr>
          <w:lang w:val="en-GB"/>
        </w:rPr>
      </w:pPr>
      <w:r w:rsidRPr="007831BB">
        <w:rPr>
          <w:lang w:val="en-GB"/>
        </w:rPr>
        <w:tab/>
        <w:t>B.</w:t>
      </w:r>
      <w:r w:rsidRPr="007831BB">
        <w:rPr>
          <w:lang w:val="en-GB"/>
        </w:rPr>
        <w:tab/>
        <w:t>External element</w:t>
      </w:r>
    </w:p>
    <w:p w14:paraId="738F8941" w14:textId="77777777" w:rsidR="00E7045B" w:rsidRPr="00440196" w:rsidRDefault="00E7045B" w:rsidP="002B5903">
      <w:pPr>
        <w:numPr>
          <w:ilvl w:val="0"/>
          <w:numId w:val="377"/>
        </w:numPr>
        <w:tabs>
          <w:tab w:val="clear" w:pos="1247"/>
          <w:tab w:val="clear" w:pos="1814"/>
          <w:tab w:val="clear" w:pos="2381"/>
          <w:tab w:val="clear" w:pos="2948"/>
          <w:tab w:val="clear" w:pos="3515"/>
        </w:tabs>
        <w:spacing w:after="120"/>
      </w:pPr>
      <w:r w:rsidRPr="00440196">
        <w:t>The external review will be conducted by a review panel and coordinated by a competent external professional organization. The review panel and the external professional organization will be subject to the IPBES conflict of interest policy. It will b</w:t>
      </w:r>
      <w:r w:rsidRPr="001B4189">
        <w:t>e guided by the questio</w:t>
      </w:r>
      <w:r w:rsidRPr="00440196">
        <w:t xml:space="preserve">nnaire set out in the appendix to the present annex. </w:t>
      </w:r>
    </w:p>
    <w:p w14:paraId="649184D6" w14:textId="49B53419" w:rsidR="00E7045B" w:rsidRPr="00440196" w:rsidRDefault="00E7045B" w:rsidP="002B5903">
      <w:pPr>
        <w:numPr>
          <w:ilvl w:val="0"/>
          <w:numId w:val="377"/>
        </w:numPr>
        <w:tabs>
          <w:tab w:val="clear" w:pos="1247"/>
          <w:tab w:val="clear" w:pos="1814"/>
          <w:tab w:val="clear" w:pos="2381"/>
          <w:tab w:val="clear" w:pos="2948"/>
          <w:tab w:val="clear" w:pos="3515"/>
        </w:tabs>
        <w:spacing w:after="120"/>
      </w:pPr>
      <w:r w:rsidRPr="00440196">
        <w:t xml:space="preserve">The review panel will comprise no more than 10 reviewers with a balanced composition of government representatives, scientists and representatives of non-governmental organizations. </w:t>
      </w:r>
      <w:r w:rsidR="00E44C94">
        <w:t>The members of the panel</w:t>
      </w:r>
      <w:r w:rsidR="00E44C94" w:rsidRPr="00440196">
        <w:t xml:space="preserve"> </w:t>
      </w:r>
      <w:r w:rsidRPr="00440196">
        <w:t xml:space="preserve">will be selected, in response to a call from the </w:t>
      </w:r>
      <w:r w:rsidRPr="007C04F7">
        <w:t>IPBES Chair</w:t>
      </w:r>
      <w:r w:rsidRPr="00440196">
        <w:t xml:space="preserve"> and using agreed criteria (as listed in </w:t>
      </w:r>
      <w:proofErr w:type="spellStart"/>
      <w:r w:rsidRPr="00440196">
        <w:t>para</w:t>
      </w:r>
      <w:proofErr w:type="spellEnd"/>
      <w:r w:rsidRPr="00440196">
        <w:t>. 9 below), by the Bureau in consultation with the Multidisciplinary Expert Panel.</w:t>
      </w:r>
    </w:p>
    <w:p w14:paraId="3DA1FA1B" w14:textId="479C6EAF" w:rsidR="00E7045B" w:rsidRPr="00440196" w:rsidRDefault="00E7045B" w:rsidP="002B5903">
      <w:pPr>
        <w:numPr>
          <w:ilvl w:val="0"/>
          <w:numId w:val="377"/>
        </w:numPr>
        <w:tabs>
          <w:tab w:val="clear" w:pos="1247"/>
          <w:tab w:val="clear" w:pos="1814"/>
          <w:tab w:val="clear" w:pos="2381"/>
          <w:tab w:val="clear" w:pos="2948"/>
          <w:tab w:val="clear" w:pos="3515"/>
        </w:tabs>
        <w:spacing w:after="120"/>
      </w:pPr>
      <w:r w:rsidRPr="00440196">
        <w:t xml:space="preserve">The review will be coordinated by an external professional organization selected by the Bureau and the Multidisciplinary Expert Panel in response to a call for expressions of interest by the </w:t>
      </w:r>
      <w:r w:rsidR="007C04F7">
        <w:t xml:space="preserve">IPBES </w:t>
      </w:r>
      <w:r w:rsidRPr="007C04F7">
        <w:t>Chair</w:t>
      </w:r>
      <w:r w:rsidRPr="00D84C5E">
        <w:t>.</w:t>
      </w:r>
      <w:r w:rsidRPr="00440196">
        <w:t xml:space="preserve"> </w:t>
      </w:r>
    </w:p>
    <w:p w14:paraId="0A04BB06" w14:textId="77777777"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 w:val="num" w:pos="1260"/>
        </w:tabs>
        <w:ind w:left="1260"/>
        <w:rPr>
          <w:lang w:val="en-GB"/>
        </w:rPr>
      </w:pPr>
      <w:r w:rsidRPr="007831BB">
        <w:rPr>
          <w:lang w:val="en-GB"/>
        </w:rPr>
        <w:t xml:space="preserve">The selection of the external professional organization, and of members of the review panel, will be guided by the following criteria: </w:t>
      </w:r>
    </w:p>
    <w:p w14:paraId="72878727" w14:textId="77777777"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Relevant qualifications of the organization and the reviewers to conduct institutional reviews at the global level;</w:t>
      </w:r>
    </w:p>
    <w:p w14:paraId="5458E94A" w14:textId="574F13FA"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Demonstrated track record of the organization and the reviewers in working with </w:t>
      </w:r>
      <w:r w:rsidRPr="007831BB">
        <w:rPr>
          <w:lang w:val="en-GB"/>
        </w:rPr>
        <w:br/>
        <w:t>science-policy interfaces and in understanding the roles and functions of a global environmental assessment process in general and of IPBES in particular.</w:t>
      </w:r>
    </w:p>
    <w:p w14:paraId="71FA9AF7" w14:textId="179DFEAB" w:rsidR="00E7045B" w:rsidRPr="00440196" w:rsidRDefault="00E7045B" w:rsidP="002B5903">
      <w:pPr>
        <w:numPr>
          <w:ilvl w:val="0"/>
          <w:numId w:val="377"/>
        </w:numPr>
        <w:tabs>
          <w:tab w:val="clear" w:pos="1247"/>
          <w:tab w:val="clear" w:pos="1814"/>
          <w:tab w:val="clear" w:pos="2381"/>
          <w:tab w:val="clear" w:pos="2948"/>
          <w:tab w:val="clear" w:pos="3515"/>
        </w:tabs>
        <w:spacing w:after="120"/>
      </w:pPr>
      <w:r w:rsidRPr="00440196">
        <w:t>The Bureau working with the Multidisciplinary Expert Panel will develop a request for proposals based on the present terms of referen</w:t>
      </w:r>
      <w:r w:rsidRPr="001B4189">
        <w:t>ce, on the basis of whi</w:t>
      </w:r>
      <w:r w:rsidRPr="00440196">
        <w:t xml:space="preserve">ch the Secretariat will then conduct a competitive bidding process. The Secretariat working with the Bureau will review the proposals and if no proposals meet the criteria outlined in paragraph 9 of the terms of reference or fall within the financial resources available the Bureau may choose to hire an administrative officer located outside of the Secretariat to coordinate the review.   </w:t>
      </w:r>
    </w:p>
    <w:p w14:paraId="3617E2D4" w14:textId="77777777" w:rsidR="00E7045B" w:rsidRPr="007831BB" w:rsidRDefault="00E7045B" w:rsidP="00E7045B">
      <w:pPr>
        <w:pStyle w:val="CH1"/>
        <w:rPr>
          <w:lang w:val="en-GB"/>
        </w:rPr>
      </w:pPr>
      <w:r w:rsidRPr="007831BB">
        <w:rPr>
          <w:lang w:val="en-GB"/>
        </w:rPr>
        <w:tab/>
        <w:t>III.</w:t>
      </w:r>
      <w:r w:rsidRPr="007831BB">
        <w:rPr>
          <w:lang w:val="en-GB"/>
        </w:rPr>
        <w:tab/>
        <w:t>Methodology</w:t>
      </w:r>
    </w:p>
    <w:p w14:paraId="4D65A479" w14:textId="77777777" w:rsidR="00E7045B" w:rsidRPr="007831BB" w:rsidRDefault="00E7045B" w:rsidP="00E7045B">
      <w:pPr>
        <w:pStyle w:val="CH2"/>
        <w:rPr>
          <w:lang w:val="en-GB"/>
        </w:rPr>
      </w:pPr>
      <w:r w:rsidRPr="007831BB">
        <w:rPr>
          <w:lang w:val="en-GB"/>
        </w:rPr>
        <w:tab/>
        <w:t>A.</w:t>
      </w:r>
      <w:r w:rsidRPr="007831BB">
        <w:rPr>
          <w:lang w:val="en-GB"/>
        </w:rPr>
        <w:tab/>
        <w:t>Internal element</w:t>
      </w:r>
    </w:p>
    <w:p w14:paraId="4F639E68" w14:textId="11B485B0"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n-GB"/>
        </w:rPr>
      </w:pPr>
      <w:r w:rsidRPr="007831BB">
        <w:rPr>
          <w:lang w:val="en-GB"/>
        </w:rPr>
        <w:t xml:space="preserve">The internal element consists of a self-assessment based on the questionnaire contained in the </w:t>
      </w:r>
      <w:r w:rsidRPr="001139E9">
        <w:rPr>
          <w:lang w:val="en-GB"/>
        </w:rPr>
        <w:t>appendix</w:t>
      </w:r>
      <w:r w:rsidR="00406FAC" w:rsidRPr="001139E9">
        <w:rPr>
          <w:lang w:val="en-GB"/>
        </w:rPr>
        <w:t>, finalized in accordance with paragraphs 3</w:t>
      </w:r>
      <w:r w:rsidR="001139E9" w:rsidRPr="00160BD4">
        <w:rPr>
          <w:lang w:val="en-GB"/>
        </w:rPr>
        <w:t>–</w:t>
      </w:r>
      <w:r w:rsidR="00406FAC" w:rsidRPr="001139E9">
        <w:rPr>
          <w:lang w:val="en-GB"/>
        </w:rPr>
        <w:t>5 of decision</w:t>
      </w:r>
      <w:r w:rsidR="001139E9">
        <w:rPr>
          <w:lang w:val="en-GB"/>
        </w:rPr>
        <w:t xml:space="preserve"> IPBES-5/2</w:t>
      </w:r>
      <w:r w:rsidRPr="001139E9">
        <w:rPr>
          <w:lang w:val="en-GB"/>
        </w:rPr>
        <w:t>. The</w:t>
      </w:r>
      <w:r w:rsidRPr="007831BB">
        <w:rPr>
          <w:lang w:val="en-GB"/>
        </w:rPr>
        <w:t xml:space="preserve"> questionnaire will be distributed to former and current members of the Multidisciplinary Expert Panel and the Bureau; the secretariat, including the technical support units; members of IPBES task forces; co-chairs and coordinating lead authors of completed and </w:t>
      </w:r>
      <w:proofErr w:type="spellStart"/>
      <w:r w:rsidRPr="007831BB">
        <w:rPr>
          <w:lang w:val="en-GB"/>
        </w:rPr>
        <w:t>ongoing</w:t>
      </w:r>
      <w:proofErr w:type="spellEnd"/>
      <w:r w:rsidRPr="007831BB">
        <w:rPr>
          <w:lang w:val="en-GB"/>
        </w:rPr>
        <w:t xml:space="preserve"> IPBES assessments; and national focal points. On the basis of the results of the questionnaire, the internal review team (see </w:t>
      </w:r>
      <w:proofErr w:type="spellStart"/>
      <w:r w:rsidRPr="007831BB">
        <w:rPr>
          <w:lang w:val="en-GB"/>
        </w:rPr>
        <w:t>para</w:t>
      </w:r>
      <w:proofErr w:type="spellEnd"/>
      <w:r w:rsidRPr="007831BB">
        <w:rPr>
          <w:lang w:val="en-GB"/>
        </w:rPr>
        <w:t>. 5 above) will prepare, in consultation with all members of the Bureau and Multidisciplinary Expert Panel, a report from an internal perspective. The report will be presented for the information of the Plenary at its sixth session, and will serve as an input to the overall review process.</w:t>
      </w:r>
    </w:p>
    <w:p w14:paraId="3BC0DD90" w14:textId="77777777" w:rsidR="00E7045B" w:rsidRPr="007831BB" w:rsidRDefault="00E7045B" w:rsidP="00E7045B">
      <w:pPr>
        <w:pStyle w:val="CH2"/>
        <w:rPr>
          <w:lang w:val="en-GB"/>
        </w:rPr>
      </w:pPr>
      <w:r w:rsidRPr="007831BB">
        <w:rPr>
          <w:lang w:val="en-GB"/>
        </w:rPr>
        <w:tab/>
        <w:t>B.</w:t>
      </w:r>
      <w:r w:rsidRPr="007831BB">
        <w:rPr>
          <w:lang w:val="en-GB"/>
        </w:rPr>
        <w:tab/>
        <w:t xml:space="preserve">External element </w:t>
      </w:r>
    </w:p>
    <w:p w14:paraId="7100B8B9" w14:textId="77777777"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 w:val="num" w:pos="1134"/>
        </w:tabs>
        <w:rPr>
          <w:lang w:val="en-GB"/>
        </w:rPr>
      </w:pPr>
      <w:r w:rsidRPr="007831BB">
        <w:rPr>
          <w:lang w:val="en-GB"/>
        </w:rPr>
        <w:t>The methods to be used by the reviewers are to include:</w:t>
      </w:r>
    </w:p>
    <w:p w14:paraId="43BB8220" w14:textId="77777777"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The review of the internal report, relevant documents and literature produced by IPBES and relevant expert and stakeholder communities;</w:t>
      </w:r>
    </w:p>
    <w:p w14:paraId="0B7BD547" w14:textId="6CD05DF1"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The use, as guidance for the review, of the questionnaire set out in the appendix to th</w:t>
      </w:r>
      <w:r w:rsidR="00542023">
        <w:rPr>
          <w:lang w:val="en-GB"/>
        </w:rPr>
        <w:t xml:space="preserve">e </w:t>
      </w:r>
      <w:r w:rsidR="00542023" w:rsidRPr="004522D4">
        <w:rPr>
          <w:lang w:val="en-GB"/>
        </w:rPr>
        <w:t>present</w:t>
      </w:r>
      <w:r w:rsidRPr="004522D4">
        <w:rPr>
          <w:lang w:val="en-GB"/>
        </w:rPr>
        <w:t xml:space="preserve"> annex</w:t>
      </w:r>
      <w:r w:rsidR="00CE1EF8" w:rsidRPr="00160BD4">
        <w:rPr>
          <w:lang w:val="en-GB"/>
        </w:rPr>
        <w:t>, finalized in accordance with paragraphs 3</w:t>
      </w:r>
      <w:r w:rsidR="001139E9" w:rsidRPr="00160BD4">
        <w:rPr>
          <w:lang w:val="en-GB"/>
        </w:rPr>
        <w:t>–</w:t>
      </w:r>
      <w:r w:rsidR="00CE1EF8" w:rsidRPr="00160BD4">
        <w:rPr>
          <w:lang w:val="en-GB"/>
        </w:rPr>
        <w:t>5 of decision</w:t>
      </w:r>
      <w:r w:rsidR="001139E9" w:rsidRPr="004522D4">
        <w:rPr>
          <w:lang w:val="en-GB"/>
        </w:rPr>
        <w:t xml:space="preserve"> IPBES</w:t>
      </w:r>
      <w:r w:rsidR="001139E9">
        <w:rPr>
          <w:lang w:val="en-GB"/>
        </w:rPr>
        <w:t>-5/2</w:t>
      </w:r>
      <w:r w:rsidRPr="007831BB">
        <w:rPr>
          <w:lang w:val="en-GB"/>
        </w:rPr>
        <w:t>, tailored as appropriate and soliciting the views of Governments and relevant stakeholders on issues to be reviewed. An external organization will support the review panel in the collation and analysis of responses to the questionnaire.</w:t>
      </w:r>
    </w:p>
    <w:p w14:paraId="28B1BB7E" w14:textId="77777777" w:rsidR="00E7045B" w:rsidRPr="007831BB" w:rsidRDefault="00E7045B" w:rsidP="002B3A9B">
      <w:pPr>
        <w:pStyle w:val="Normalnumber"/>
        <w:numPr>
          <w:ilvl w:val="0"/>
          <w:numId w:val="377"/>
        </w:numPr>
        <w:tabs>
          <w:tab w:val="clear" w:pos="1247"/>
          <w:tab w:val="clear" w:pos="1814"/>
          <w:tab w:val="clear" w:pos="2381"/>
          <w:tab w:val="clear" w:pos="2948"/>
          <w:tab w:val="clear" w:pos="3515"/>
          <w:tab w:val="clear" w:pos="4082"/>
          <w:tab w:val="num" w:pos="1134"/>
        </w:tabs>
        <w:rPr>
          <w:lang w:val="en-GB"/>
        </w:rPr>
      </w:pPr>
      <w:r w:rsidRPr="007831BB">
        <w:rPr>
          <w:lang w:val="en-GB"/>
        </w:rPr>
        <w:t>Where useful, methods could also include:</w:t>
      </w:r>
    </w:p>
    <w:p w14:paraId="45729B2D" w14:textId="6DF5E768"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Interviews with key informants, including members of the Bureau and the Multidisciplinary Expert Panel, the secretariat and technical support units, experts involved in the work of IPBES, United Nations collaborative partner agencies, other strategic partners, Governments and stakeholders;</w:t>
      </w:r>
    </w:p>
    <w:p w14:paraId="58B7F559" w14:textId="0DBB7154"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Focus group discussions or focused workshops, held in conjunction with other meetings organized under the auspices of IPBES, where resources permit, or by teleconference, on particular issues relating to IPBES, such as IPBES institutional arrangements, the policy relevance of IPBES or the IPBES approach to indigenous and local knowledge systems. These discussions could involve a representative range of members of the Bureau and the Multidisciplinary Expert Panel, the secretariat (including relevant technical support units), experts involved in the work of </w:t>
      </w:r>
      <w:r w:rsidR="00734094">
        <w:rPr>
          <w:lang w:val="en-GB"/>
        </w:rPr>
        <w:t>IPBES</w:t>
      </w:r>
      <w:r w:rsidRPr="007831BB">
        <w:rPr>
          <w:lang w:val="en-GB"/>
        </w:rPr>
        <w:t xml:space="preserve">, the United Nations collaborative partner agencies, other strategic partners, Governments and stakeholders; </w:t>
      </w:r>
    </w:p>
    <w:p w14:paraId="244C35AB" w14:textId="4A4FA6CB"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Direct observation during key </w:t>
      </w:r>
      <w:r w:rsidR="001812AC">
        <w:rPr>
          <w:lang w:val="en-GB"/>
        </w:rPr>
        <w:t xml:space="preserve">IPBES </w:t>
      </w:r>
      <w:r w:rsidRPr="007831BB">
        <w:rPr>
          <w:lang w:val="en-GB"/>
        </w:rPr>
        <w:t xml:space="preserve">meetings in 2017 and 2018, </w:t>
      </w:r>
      <w:r w:rsidRPr="00AC6500">
        <w:rPr>
          <w:lang w:val="en-GB"/>
        </w:rPr>
        <w:t xml:space="preserve">including </w:t>
      </w:r>
      <w:r w:rsidR="00CE1EF8" w:rsidRPr="00AC6500">
        <w:rPr>
          <w:lang w:val="en-GB"/>
        </w:rPr>
        <w:t xml:space="preserve">a session </w:t>
      </w:r>
      <w:r w:rsidRPr="00AC6500">
        <w:rPr>
          <w:lang w:val="en-GB"/>
        </w:rPr>
        <w:t xml:space="preserve">of the Plenary, </w:t>
      </w:r>
      <w:r w:rsidR="00CE1EF8" w:rsidRPr="00AC6500">
        <w:rPr>
          <w:lang w:val="en-GB"/>
        </w:rPr>
        <w:t xml:space="preserve">and meetings of </w:t>
      </w:r>
      <w:r w:rsidRPr="00AC6500">
        <w:rPr>
          <w:lang w:val="en-GB"/>
        </w:rPr>
        <w:t>the Multidisciplinary</w:t>
      </w:r>
      <w:r w:rsidRPr="007831BB">
        <w:rPr>
          <w:lang w:val="en-GB"/>
        </w:rPr>
        <w:t xml:space="preserve"> Expert Panel</w:t>
      </w:r>
      <w:r w:rsidR="000916E6">
        <w:rPr>
          <w:lang w:val="en-GB"/>
        </w:rPr>
        <w:t>,</w:t>
      </w:r>
      <w:r w:rsidRPr="007831BB">
        <w:rPr>
          <w:lang w:val="en-GB"/>
        </w:rPr>
        <w:t xml:space="preserve"> the Bureau</w:t>
      </w:r>
      <w:r w:rsidR="000916E6">
        <w:rPr>
          <w:lang w:val="en-GB"/>
        </w:rPr>
        <w:t>,</w:t>
      </w:r>
      <w:r w:rsidRPr="007831BB">
        <w:rPr>
          <w:lang w:val="en-GB"/>
        </w:rPr>
        <w:t xml:space="preserve"> task force</w:t>
      </w:r>
      <w:r w:rsidR="000916E6">
        <w:rPr>
          <w:lang w:val="en-GB"/>
        </w:rPr>
        <w:t>s</w:t>
      </w:r>
      <w:r w:rsidRPr="007831BB">
        <w:rPr>
          <w:lang w:val="en-GB"/>
        </w:rPr>
        <w:t xml:space="preserve"> and assessment expert group</w:t>
      </w:r>
      <w:r w:rsidR="000916E6">
        <w:rPr>
          <w:lang w:val="en-GB"/>
        </w:rPr>
        <w:t>s</w:t>
      </w:r>
      <w:r w:rsidRPr="007831BB">
        <w:rPr>
          <w:lang w:val="en-GB"/>
        </w:rPr>
        <w:t>.</w:t>
      </w:r>
    </w:p>
    <w:p w14:paraId="1AB3AEE6" w14:textId="647BC6D2"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n-GB"/>
        </w:rPr>
      </w:pPr>
      <w:r w:rsidRPr="007831BB">
        <w:rPr>
          <w:lang w:val="en-GB"/>
        </w:rPr>
        <w:t xml:space="preserve">The Multidisciplinary Expert Panel, the Bureau and the secretariat, including its technical support units, will support the review panel by providing information on administrative and operational aspects for preparation of </w:t>
      </w:r>
      <w:r w:rsidR="00D12985">
        <w:rPr>
          <w:lang w:val="en-GB"/>
        </w:rPr>
        <w:t>IPBES</w:t>
      </w:r>
      <w:r w:rsidR="00D12985" w:rsidRPr="007831BB">
        <w:rPr>
          <w:lang w:val="en-GB"/>
        </w:rPr>
        <w:t xml:space="preserve"> </w:t>
      </w:r>
      <w:r w:rsidRPr="007831BB">
        <w:rPr>
          <w:lang w:val="en-GB"/>
        </w:rPr>
        <w:t xml:space="preserve">deliverables. </w:t>
      </w:r>
    </w:p>
    <w:p w14:paraId="7A4975DB" w14:textId="77777777" w:rsidR="00E7045B" w:rsidRPr="007831BB" w:rsidRDefault="00E7045B" w:rsidP="006F57F3">
      <w:pPr>
        <w:pStyle w:val="Normalnumber"/>
        <w:numPr>
          <w:ilvl w:val="0"/>
          <w:numId w:val="377"/>
        </w:numPr>
        <w:tabs>
          <w:tab w:val="clear" w:pos="1247"/>
          <w:tab w:val="clear" w:pos="1814"/>
          <w:tab w:val="clear" w:pos="2381"/>
          <w:tab w:val="clear" w:pos="2948"/>
          <w:tab w:val="clear" w:pos="3515"/>
          <w:tab w:val="clear" w:pos="4082"/>
        </w:tabs>
        <w:rPr>
          <w:lang w:val="en-GB"/>
        </w:rPr>
      </w:pPr>
      <w:r w:rsidRPr="007831BB">
        <w:rPr>
          <w:lang w:val="en-GB"/>
        </w:rPr>
        <w:t xml:space="preserve">The review panel will prepare a report to the Plenary. The report will include recommendations as outlined in paragraph 4. </w:t>
      </w:r>
    </w:p>
    <w:p w14:paraId="6F3B5D9F" w14:textId="77777777" w:rsidR="00E7045B" w:rsidRPr="007831BB" w:rsidRDefault="00E7045B" w:rsidP="00E7045B">
      <w:pPr>
        <w:pStyle w:val="CH1"/>
        <w:rPr>
          <w:lang w:val="en-GB"/>
        </w:rPr>
      </w:pPr>
      <w:r w:rsidRPr="007831BB">
        <w:rPr>
          <w:lang w:val="en-GB"/>
        </w:rPr>
        <w:tab/>
        <w:t>V.</w:t>
      </w:r>
      <w:r w:rsidRPr="007831BB">
        <w:rPr>
          <w:lang w:val="en-GB"/>
        </w:rPr>
        <w:tab/>
        <w:t>Budget</w:t>
      </w:r>
    </w:p>
    <w:p w14:paraId="5383A1C2" w14:textId="77777777"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n-GB"/>
        </w:rPr>
      </w:pPr>
      <w:r w:rsidRPr="007831BB">
        <w:rPr>
          <w:lang w:val="en-GB"/>
        </w:rPr>
        <w:t>The requested budget of $183,160 will cover the following costs:</w:t>
      </w:r>
    </w:p>
    <w:p w14:paraId="7BE17932" w14:textId="108B6E74"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Technical and administrative support for the review is estimated at $63,160, based on half of the cost per year of a professional position at the P-2 level in the United Nations system ($126,320) for a one-year period starting shortly before the sixth session of the Plenary and ending shortly after its seventh session;</w:t>
      </w:r>
    </w:p>
    <w:p w14:paraId="13F37EAF" w14:textId="77777777"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It is assumed that the members of the review panel will provide their services on a </w:t>
      </w:r>
      <w:r w:rsidRPr="007831BB">
        <w:rPr>
          <w:lang w:val="en-GB"/>
        </w:rPr>
        <w:br/>
        <w:t xml:space="preserve">pro-bono basis; </w:t>
      </w:r>
    </w:p>
    <w:p w14:paraId="7F4FBB4A" w14:textId="68905538" w:rsidR="00E7045B" w:rsidRPr="007831BB"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Travel support and a daily subsistence allowance will be provided to reviewers from all regions </w:t>
      </w:r>
      <w:r w:rsidR="007C04F7">
        <w:rPr>
          <w:lang w:val="en-GB"/>
        </w:rPr>
        <w:t>based on</w:t>
      </w:r>
      <w:r w:rsidR="007C04F7" w:rsidRPr="007831BB">
        <w:rPr>
          <w:lang w:val="en-GB"/>
        </w:rPr>
        <w:t xml:space="preserve"> </w:t>
      </w:r>
      <w:r w:rsidRPr="007831BB">
        <w:rPr>
          <w:lang w:val="en-GB"/>
        </w:rPr>
        <w:t xml:space="preserve">the following </w:t>
      </w:r>
      <w:r w:rsidR="007C04F7">
        <w:rPr>
          <w:lang w:val="en-GB"/>
        </w:rPr>
        <w:t xml:space="preserve">maximum </w:t>
      </w:r>
      <w:r w:rsidRPr="007831BB">
        <w:rPr>
          <w:lang w:val="en-GB"/>
        </w:rPr>
        <w:t xml:space="preserve">rate: $3,750 per person per meeting. The members of the panel are expected to have one initial and one final meeting, which, to save costs, will be held </w:t>
      </w:r>
      <w:r w:rsidR="006F57F3">
        <w:rPr>
          <w:lang w:val="en-GB"/>
        </w:rPr>
        <w:br/>
      </w:r>
      <w:r w:rsidRPr="007831BB">
        <w:rPr>
          <w:lang w:val="en-GB"/>
        </w:rPr>
        <w:t xml:space="preserve">back-to-back with scheduled </w:t>
      </w:r>
      <w:r w:rsidR="00B822AA">
        <w:rPr>
          <w:lang w:val="en-GB"/>
        </w:rPr>
        <w:t xml:space="preserve">IPBES </w:t>
      </w:r>
      <w:r w:rsidRPr="007831BB">
        <w:rPr>
          <w:lang w:val="en-GB"/>
        </w:rPr>
        <w:t xml:space="preserve">meetings, which the panel would be invited to observe. A subset of the panel would also attend the sixth session of the Plenary to observe and conduct interviews and </w:t>
      </w:r>
      <w:r w:rsidR="00C935E8">
        <w:rPr>
          <w:lang w:val="en-GB"/>
        </w:rPr>
        <w:t>the</w:t>
      </w:r>
      <w:r w:rsidR="00C935E8" w:rsidRPr="007831BB">
        <w:rPr>
          <w:lang w:val="en-GB"/>
        </w:rPr>
        <w:t xml:space="preserve"> </w:t>
      </w:r>
      <w:r w:rsidRPr="007831BB">
        <w:rPr>
          <w:lang w:val="en-GB"/>
        </w:rPr>
        <w:t>seventh session to present the outcome of the report (two members). The schedule is as follows:</w:t>
      </w:r>
    </w:p>
    <w:p w14:paraId="30D0FD2B" w14:textId="2C60BC41" w:rsidR="00E7045B" w:rsidRPr="007831BB"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n-GB"/>
        </w:rPr>
      </w:pPr>
      <w:r w:rsidRPr="007831BB">
        <w:rPr>
          <w:lang w:val="en-GB"/>
        </w:rPr>
        <w:t>Initial meeting back-to-back with the sixth session of the IPBES Plenary (March</w:t>
      </w:r>
      <w:r w:rsidR="006F57F3">
        <w:rPr>
          <w:lang w:val="en-GB"/>
        </w:rPr>
        <w:t> </w:t>
      </w:r>
      <w:r w:rsidRPr="007831BB">
        <w:rPr>
          <w:lang w:val="en-GB"/>
        </w:rPr>
        <w:t>2018);</w:t>
      </w:r>
    </w:p>
    <w:p w14:paraId="5C8D3B0D" w14:textId="77777777" w:rsidR="00E7045B" w:rsidRPr="007831BB"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n-GB"/>
        </w:rPr>
      </w:pPr>
      <w:r w:rsidRPr="007831BB">
        <w:rPr>
          <w:lang w:val="en-GB"/>
        </w:rPr>
        <w:t>Sixth session of the IPBES Plenary (March 2018), to observe and conduct interviews;</w:t>
      </w:r>
    </w:p>
    <w:p w14:paraId="311F5929" w14:textId="77777777" w:rsidR="00E7045B" w:rsidRPr="007831BB"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n-GB"/>
        </w:rPr>
      </w:pPr>
      <w:r w:rsidRPr="007831BB">
        <w:rPr>
          <w:lang w:val="en-GB"/>
        </w:rPr>
        <w:t>Eleventh meetings of the Multidisciplinary Expert Panel and the Bureau (mid-2018), to observe and conduct interviews;</w:t>
      </w:r>
    </w:p>
    <w:p w14:paraId="1AAC41E7" w14:textId="77777777" w:rsidR="00E7045B" w:rsidRPr="007831BB"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n-GB"/>
        </w:rPr>
      </w:pPr>
      <w:r w:rsidRPr="007831BB">
        <w:rPr>
          <w:lang w:val="en-GB"/>
        </w:rPr>
        <w:t xml:space="preserve">Final meeting held back-to-back with the twelfth meetings of the Multidisciplinary Expert Panel and the Bureau (late 2018); </w:t>
      </w:r>
    </w:p>
    <w:p w14:paraId="5D6903BF" w14:textId="77777777" w:rsidR="00E7045B" w:rsidRPr="007831BB"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n-GB"/>
        </w:rPr>
      </w:pPr>
      <w:r w:rsidRPr="007831BB">
        <w:rPr>
          <w:lang w:val="en-GB"/>
        </w:rPr>
        <w:t>Seventh session of the IPBES Plenary (May 2019).</w:t>
      </w:r>
    </w:p>
    <w:p w14:paraId="20C1A582" w14:textId="77777777" w:rsidR="00E7045B" w:rsidRPr="007831BB"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n-GB"/>
        </w:rPr>
      </w:pPr>
      <w:r w:rsidRPr="007831BB">
        <w:rPr>
          <w:lang w:val="en-GB"/>
        </w:rPr>
        <w:t>The projected costs are summarized in the following table and amount to $183,160.</w:t>
      </w:r>
    </w:p>
    <w:tbl>
      <w:tblPr>
        <w:tblW w:w="0" w:type="auto"/>
        <w:tblInd w:w="1967" w:type="dxa"/>
        <w:tblLook w:val="04A0" w:firstRow="1" w:lastRow="0" w:firstColumn="1" w:lastColumn="0" w:noHBand="0" w:noVBand="1"/>
      </w:tblPr>
      <w:tblGrid>
        <w:gridCol w:w="5230"/>
        <w:gridCol w:w="2409"/>
      </w:tblGrid>
      <w:tr w:rsidR="00E7045B" w:rsidRPr="00440196" w14:paraId="73195651" w14:textId="77777777" w:rsidTr="00440196">
        <w:tc>
          <w:tcPr>
            <w:tcW w:w="5230" w:type="dxa"/>
            <w:tcBorders>
              <w:top w:val="single" w:sz="4" w:space="0" w:color="auto"/>
              <w:bottom w:val="single" w:sz="12" w:space="0" w:color="auto"/>
            </w:tcBorders>
            <w:shd w:val="clear" w:color="auto" w:fill="auto"/>
          </w:tcPr>
          <w:p w14:paraId="3FF72E04" w14:textId="77777777" w:rsidR="00E7045B" w:rsidRPr="001B4189" w:rsidRDefault="00E7045B" w:rsidP="00440196">
            <w:pPr>
              <w:tabs>
                <w:tab w:val="clear" w:pos="1247"/>
                <w:tab w:val="clear" w:pos="1814"/>
                <w:tab w:val="clear" w:pos="2381"/>
                <w:tab w:val="clear" w:pos="2948"/>
                <w:tab w:val="clear" w:pos="3515"/>
              </w:tabs>
              <w:spacing w:before="40" w:after="40"/>
              <w:rPr>
                <w:i/>
                <w:sz w:val="18"/>
                <w:szCs w:val="18"/>
              </w:rPr>
            </w:pPr>
            <w:r w:rsidRPr="00440196">
              <w:rPr>
                <w:i/>
                <w:sz w:val="18"/>
                <w:szCs w:val="18"/>
              </w:rPr>
              <w:t>Item</w:t>
            </w:r>
          </w:p>
        </w:tc>
        <w:tc>
          <w:tcPr>
            <w:tcW w:w="2409" w:type="dxa"/>
            <w:tcBorders>
              <w:top w:val="single" w:sz="4" w:space="0" w:color="auto"/>
              <w:bottom w:val="single" w:sz="12" w:space="0" w:color="auto"/>
            </w:tcBorders>
            <w:shd w:val="clear" w:color="auto" w:fill="auto"/>
          </w:tcPr>
          <w:p w14:paraId="08AD155D" w14:textId="77777777" w:rsidR="00E7045B" w:rsidRPr="00440196" w:rsidRDefault="00E7045B" w:rsidP="00440196">
            <w:pPr>
              <w:tabs>
                <w:tab w:val="clear" w:pos="1247"/>
                <w:tab w:val="clear" w:pos="1814"/>
                <w:tab w:val="clear" w:pos="2381"/>
                <w:tab w:val="clear" w:pos="2948"/>
                <w:tab w:val="clear" w:pos="3515"/>
              </w:tabs>
              <w:spacing w:before="40" w:after="40"/>
              <w:rPr>
                <w:i/>
                <w:sz w:val="18"/>
                <w:szCs w:val="18"/>
              </w:rPr>
            </w:pPr>
            <w:r w:rsidRPr="00440196">
              <w:rPr>
                <w:i/>
                <w:sz w:val="18"/>
                <w:szCs w:val="18"/>
              </w:rPr>
              <w:t>Cost in United States dollars</w:t>
            </w:r>
          </w:p>
        </w:tc>
      </w:tr>
      <w:tr w:rsidR="00E7045B" w:rsidRPr="00440196" w14:paraId="551349A5" w14:textId="77777777" w:rsidTr="006F57F3">
        <w:trPr>
          <w:trHeight w:val="34"/>
        </w:trPr>
        <w:tc>
          <w:tcPr>
            <w:tcW w:w="5230" w:type="dxa"/>
            <w:shd w:val="clear" w:color="auto" w:fill="auto"/>
          </w:tcPr>
          <w:p w14:paraId="2E1150D8" w14:textId="77777777" w:rsidR="00E7045B" w:rsidRPr="006F57F3" w:rsidRDefault="00E7045B" w:rsidP="00440196">
            <w:pPr>
              <w:tabs>
                <w:tab w:val="clear" w:pos="1247"/>
                <w:tab w:val="clear" w:pos="1814"/>
                <w:tab w:val="clear" w:pos="2381"/>
                <w:tab w:val="clear" w:pos="2948"/>
                <w:tab w:val="clear" w:pos="3515"/>
              </w:tabs>
              <w:spacing w:before="40" w:after="40"/>
              <w:rPr>
                <w:rFonts w:eastAsia="MS Mincho"/>
                <w:b/>
                <w:sz w:val="4"/>
                <w:szCs w:val="4"/>
              </w:rPr>
            </w:pPr>
          </w:p>
        </w:tc>
        <w:tc>
          <w:tcPr>
            <w:tcW w:w="2409" w:type="dxa"/>
            <w:shd w:val="clear" w:color="auto" w:fill="auto"/>
          </w:tcPr>
          <w:p w14:paraId="69574C34" w14:textId="77777777" w:rsidR="00E7045B" w:rsidRPr="006F57F3" w:rsidRDefault="00E7045B" w:rsidP="00440196">
            <w:pPr>
              <w:tabs>
                <w:tab w:val="clear" w:pos="1247"/>
                <w:tab w:val="clear" w:pos="1814"/>
                <w:tab w:val="clear" w:pos="2381"/>
                <w:tab w:val="clear" w:pos="2948"/>
                <w:tab w:val="clear" w:pos="3515"/>
              </w:tabs>
              <w:spacing w:before="40" w:after="40"/>
              <w:rPr>
                <w:rFonts w:eastAsia="MS Mincho"/>
                <w:sz w:val="4"/>
                <w:szCs w:val="4"/>
              </w:rPr>
            </w:pPr>
          </w:p>
        </w:tc>
      </w:tr>
      <w:tr w:rsidR="00E7045B" w:rsidRPr="00440196" w14:paraId="30B9DF62" w14:textId="77777777" w:rsidTr="00440196">
        <w:tc>
          <w:tcPr>
            <w:tcW w:w="5230" w:type="dxa"/>
            <w:shd w:val="clear" w:color="auto" w:fill="auto"/>
          </w:tcPr>
          <w:p w14:paraId="5FFD2837"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b/>
                <w:sz w:val="18"/>
                <w:szCs w:val="18"/>
              </w:rPr>
            </w:pPr>
            <w:r w:rsidRPr="00440196">
              <w:rPr>
                <w:sz w:val="18"/>
                <w:szCs w:val="18"/>
              </w:rPr>
              <w:t xml:space="preserve">Administrative support </w:t>
            </w:r>
          </w:p>
        </w:tc>
        <w:tc>
          <w:tcPr>
            <w:tcW w:w="2409" w:type="dxa"/>
            <w:shd w:val="clear" w:color="auto" w:fill="auto"/>
          </w:tcPr>
          <w:p w14:paraId="0DFCA7B1"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rPr>
            </w:pPr>
            <w:r w:rsidRPr="00440196">
              <w:rPr>
                <w:sz w:val="18"/>
                <w:szCs w:val="18"/>
              </w:rPr>
              <w:t>63 160</w:t>
            </w:r>
          </w:p>
        </w:tc>
      </w:tr>
      <w:tr w:rsidR="00E7045B" w:rsidRPr="00440196" w14:paraId="7B189CE2" w14:textId="77777777" w:rsidTr="00440196">
        <w:trPr>
          <w:trHeight w:val="461"/>
        </w:trPr>
        <w:tc>
          <w:tcPr>
            <w:tcW w:w="5230" w:type="dxa"/>
            <w:shd w:val="clear" w:color="auto" w:fill="auto"/>
          </w:tcPr>
          <w:p w14:paraId="65BB8146"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i/>
                <w:sz w:val="18"/>
                <w:szCs w:val="18"/>
              </w:rPr>
            </w:pPr>
            <w:r w:rsidRPr="00440196">
              <w:rPr>
                <w:sz w:val="18"/>
                <w:szCs w:val="18"/>
              </w:rPr>
              <w:t>Travel support plus daily subsistence allowance for 10 people to attend sixth session of the Plenary</w:t>
            </w:r>
          </w:p>
        </w:tc>
        <w:tc>
          <w:tcPr>
            <w:tcW w:w="2409" w:type="dxa"/>
            <w:shd w:val="clear" w:color="auto" w:fill="auto"/>
          </w:tcPr>
          <w:p w14:paraId="655B4FFD"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rPr>
            </w:pPr>
            <w:r w:rsidRPr="00440196">
              <w:rPr>
                <w:sz w:val="18"/>
                <w:szCs w:val="18"/>
              </w:rPr>
              <w:t>37 500</w:t>
            </w:r>
          </w:p>
        </w:tc>
      </w:tr>
      <w:tr w:rsidR="00E7045B" w:rsidRPr="00440196" w14:paraId="496BE481" w14:textId="77777777" w:rsidTr="006F57F3">
        <w:trPr>
          <w:trHeight w:val="542"/>
        </w:trPr>
        <w:tc>
          <w:tcPr>
            <w:tcW w:w="5230" w:type="dxa"/>
            <w:shd w:val="clear" w:color="auto" w:fill="auto"/>
          </w:tcPr>
          <w:p w14:paraId="7A479397"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i/>
                <w:sz w:val="18"/>
                <w:szCs w:val="18"/>
              </w:rPr>
            </w:pPr>
            <w:r w:rsidRPr="00440196">
              <w:rPr>
                <w:sz w:val="18"/>
                <w:szCs w:val="18"/>
              </w:rPr>
              <w:t xml:space="preserve">Travel support plus daily subsistence allowance for 10 people to attend the eleventh meetings of the Multidisciplinary Expert Panel and the Bureau </w:t>
            </w:r>
          </w:p>
        </w:tc>
        <w:tc>
          <w:tcPr>
            <w:tcW w:w="2409" w:type="dxa"/>
            <w:shd w:val="clear" w:color="auto" w:fill="auto"/>
          </w:tcPr>
          <w:p w14:paraId="26F6140C"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rPr>
            </w:pPr>
            <w:r w:rsidRPr="00440196">
              <w:rPr>
                <w:sz w:val="18"/>
                <w:szCs w:val="18"/>
              </w:rPr>
              <w:t>37 500</w:t>
            </w:r>
          </w:p>
        </w:tc>
      </w:tr>
      <w:tr w:rsidR="00E7045B" w:rsidRPr="00440196" w14:paraId="05A1D731" w14:textId="77777777" w:rsidTr="00440196">
        <w:trPr>
          <w:trHeight w:val="452"/>
        </w:trPr>
        <w:tc>
          <w:tcPr>
            <w:tcW w:w="5230" w:type="dxa"/>
            <w:shd w:val="clear" w:color="auto" w:fill="auto"/>
          </w:tcPr>
          <w:p w14:paraId="4B2A0207"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i/>
                <w:sz w:val="18"/>
                <w:szCs w:val="18"/>
              </w:rPr>
            </w:pPr>
            <w:r w:rsidRPr="00440196">
              <w:rPr>
                <w:sz w:val="18"/>
                <w:szCs w:val="18"/>
              </w:rPr>
              <w:t xml:space="preserve">Travel support plus daily subsistence allowance for 10 people to attend the twelfth meetings of the Multidisciplinary Expert Panel and the Bureau </w:t>
            </w:r>
          </w:p>
        </w:tc>
        <w:tc>
          <w:tcPr>
            <w:tcW w:w="2409" w:type="dxa"/>
            <w:shd w:val="clear" w:color="auto" w:fill="auto"/>
          </w:tcPr>
          <w:p w14:paraId="259CA63A"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rPr>
            </w:pPr>
            <w:r w:rsidRPr="00440196">
              <w:rPr>
                <w:sz w:val="18"/>
                <w:szCs w:val="18"/>
              </w:rPr>
              <w:t>37 500</w:t>
            </w:r>
          </w:p>
        </w:tc>
      </w:tr>
      <w:tr w:rsidR="00E7045B" w:rsidRPr="00440196" w14:paraId="4BFC4B7D" w14:textId="77777777" w:rsidTr="00440196">
        <w:trPr>
          <w:trHeight w:val="400"/>
        </w:trPr>
        <w:tc>
          <w:tcPr>
            <w:tcW w:w="5230" w:type="dxa"/>
            <w:shd w:val="clear" w:color="auto" w:fill="auto"/>
          </w:tcPr>
          <w:p w14:paraId="2CC9174B"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rPr>
                <w:sz w:val="18"/>
                <w:szCs w:val="18"/>
              </w:rPr>
            </w:pPr>
            <w:r w:rsidRPr="00440196">
              <w:rPr>
                <w:sz w:val="18"/>
                <w:szCs w:val="18"/>
              </w:rPr>
              <w:t>Travel support plus daily subsistence allowance for two reviewers to attend the seventh session of the Plenary</w:t>
            </w:r>
          </w:p>
        </w:tc>
        <w:tc>
          <w:tcPr>
            <w:tcW w:w="2409" w:type="dxa"/>
            <w:shd w:val="clear" w:color="auto" w:fill="auto"/>
          </w:tcPr>
          <w:p w14:paraId="398F5D55"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sz w:val="18"/>
                <w:szCs w:val="18"/>
              </w:rPr>
            </w:pPr>
            <w:r w:rsidRPr="00440196">
              <w:rPr>
                <w:sz w:val="18"/>
                <w:szCs w:val="18"/>
              </w:rPr>
              <w:t>7 500</w:t>
            </w:r>
          </w:p>
        </w:tc>
      </w:tr>
      <w:tr w:rsidR="00E7045B" w:rsidRPr="00440196" w14:paraId="070E4373" w14:textId="77777777" w:rsidTr="006F57F3">
        <w:trPr>
          <w:trHeight w:val="64"/>
        </w:trPr>
        <w:tc>
          <w:tcPr>
            <w:tcW w:w="5230" w:type="dxa"/>
            <w:tcBorders>
              <w:bottom w:val="single" w:sz="4" w:space="0" w:color="auto"/>
            </w:tcBorders>
            <w:shd w:val="clear" w:color="auto" w:fill="auto"/>
          </w:tcPr>
          <w:p w14:paraId="28E8CA6F"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rPr>
                <w:sz w:val="18"/>
                <w:szCs w:val="18"/>
              </w:rPr>
            </w:pPr>
            <w:r w:rsidRPr="00440196">
              <w:rPr>
                <w:sz w:val="18"/>
                <w:szCs w:val="18"/>
              </w:rPr>
              <w:t>Honorariums for reviewers</w:t>
            </w:r>
          </w:p>
        </w:tc>
        <w:tc>
          <w:tcPr>
            <w:tcW w:w="2409" w:type="dxa"/>
            <w:tcBorders>
              <w:bottom w:val="single" w:sz="4" w:space="0" w:color="auto"/>
            </w:tcBorders>
            <w:shd w:val="clear" w:color="auto" w:fill="auto"/>
          </w:tcPr>
          <w:p w14:paraId="05AADDDE"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sz w:val="18"/>
                <w:szCs w:val="18"/>
              </w:rPr>
            </w:pPr>
            <w:r w:rsidRPr="00440196">
              <w:rPr>
                <w:sz w:val="18"/>
                <w:szCs w:val="18"/>
              </w:rPr>
              <w:t>Not included</w:t>
            </w:r>
          </w:p>
        </w:tc>
      </w:tr>
      <w:tr w:rsidR="00E7045B" w:rsidRPr="00440196" w14:paraId="2FF33783" w14:textId="77777777" w:rsidTr="006F57F3">
        <w:trPr>
          <w:trHeight w:val="137"/>
        </w:trPr>
        <w:tc>
          <w:tcPr>
            <w:tcW w:w="5230" w:type="dxa"/>
            <w:tcBorders>
              <w:top w:val="single" w:sz="4" w:space="0" w:color="auto"/>
              <w:bottom w:val="single" w:sz="12" w:space="0" w:color="auto"/>
            </w:tcBorders>
            <w:shd w:val="clear" w:color="auto" w:fill="auto"/>
          </w:tcPr>
          <w:p w14:paraId="493E564A"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b/>
                <w:sz w:val="18"/>
                <w:szCs w:val="18"/>
              </w:rPr>
            </w:pPr>
            <w:r w:rsidRPr="00440196">
              <w:rPr>
                <w:b/>
                <w:sz w:val="18"/>
                <w:szCs w:val="18"/>
              </w:rPr>
              <w:t>Total</w:t>
            </w:r>
          </w:p>
        </w:tc>
        <w:tc>
          <w:tcPr>
            <w:tcW w:w="2409" w:type="dxa"/>
            <w:tcBorders>
              <w:top w:val="single" w:sz="4" w:space="0" w:color="auto"/>
              <w:bottom w:val="single" w:sz="12" w:space="0" w:color="auto"/>
            </w:tcBorders>
            <w:shd w:val="clear" w:color="auto" w:fill="auto"/>
          </w:tcPr>
          <w:p w14:paraId="7781219B" w14:textId="77777777" w:rsidR="00E7045B" w:rsidRPr="007831BB"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b/>
                <w:sz w:val="18"/>
                <w:szCs w:val="18"/>
              </w:rPr>
            </w:pPr>
            <w:r w:rsidRPr="00440196">
              <w:rPr>
                <w:b/>
                <w:sz w:val="18"/>
                <w:szCs w:val="18"/>
              </w:rPr>
              <w:t>183 160</w:t>
            </w:r>
          </w:p>
        </w:tc>
      </w:tr>
    </w:tbl>
    <w:p w14:paraId="20A56E57" w14:textId="77777777" w:rsidR="00E7045B" w:rsidRPr="007831BB" w:rsidRDefault="00E7045B" w:rsidP="00E7045B">
      <w:pPr>
        <w:pStyle w:val="CH2"/>
        <w:rPr>
          <w:rFonts w:eastAsia="Calibri"/>
          <w:w w:val="103"/>
          <w:lang w:val="en-GB"/>
        </w:rPr>
      </w:pPr>
      <w:r w:rsidRPr="007831BB">
        <w:rPr>
          <w:rFonts w:eastAsia="Calibri"/>
          <w:w w:val="103"/>
          <w:lang w:val="en-GB"/>
        </w:rPr>
        <w:tab/>
      </w:r>
      <w:r w:rsidRPr="007831BB">
        <w:rPr>
          <w:rFonts w:eastAsia="Calibri"/>
          <w:w w:val="103"/>
          <w:lang w:val="en-GB"/>
        </w:rPr>
        <w:tab/>
        <w:t>A</w:t>
      </w:r>
      <w:r w:rsidRPr="007831BB">
        <w:rPr>
          <w:lang w:val="en-GB"/>
        </w:rPr>
        <w:t>ppendix</w:t>
      </w:r>
    </w:p>
    <w:p w14:paraId="0586B99B" w14:textId="77777777" w:rsidR="00E7045B" w:rsidRPr="007831BB" w:rsidRDefault="00E7045B" w:rsidP="00E7045B">
      <w:pPr>
        <w:pStyle w:val="CH2"/>
        <w:rPr>
          <w:lang w:val="en-GB"/>
        </w:rPr>
      </w:pPr>
      <w:r w:rsidRPr="007831BB">
        <w:rPr>
          <w:lang w:val="en-GB"/>
        </w:rPr>
        <w:tab/>
      </w:r>
      <w:r w:rsidRPr="007831BB">
        <w:rPr>
          <w:lang w:val="en-GB"/>
        </w:rPr>
        <w:tab/>
        <w:t>Draft questionnaire for the review of IPBES at the end of its first work programme</w:t>
      </w:r>
    </w:p>
    <w:p w14:paraId="1C8B130D" w14:textId="24A23E0D" w:rsidR="00E7045B" w:rsidRPr="006C5428" w:rsidRDefault="00E7045B" w:rsidP="00E7045B">
      <w:pPr>
        <w:pStyle w:val="Normalnumber"/>
        <w:numPr>
          <w:ilvl w:val="0"/>
          <w:numId w:val="303"/>
        </w:numPr>
        <w:tabs>
          <w:tab w:val="clear" w:pos="1247"/>
          <w:tab w:val="clear" w:pos="1814"/>
          <w:tab w:val="clear" w:pos="2381"/>
          <w:tab w:val="clear" w:pos="2948"/>
          <w:tab w:val="clear" w:pos="3515"/>
          <w:tab w:val="clear" w:pos="4082"/>
          <w:tab w:val="left" w:pos="624"/>
        </w:tabs>
        <w:rPr>
          <w:lang w:val="en-GB"/>
        </w:rPr>
      </w:pPr>
      <w:r w:rsidRPr="006C5428">
        <w:rPr>
          <w:lang w:val="en-GB"/>
        </w:rPr>
        <w:t>This questionnaire</w:t>
      </w:r>
      <w:r w:rsidR="007020A6" w:rsidRPr="006C5428">
        <w:rPr>
          <w:lang w:val="en-GB"/>
        </w:rPr>
        <w:t xml:space="preserve"> will be finalized in line with the procedure set out in paragraph</w:t>
      </w:r>
      <w:r w:rsidR="007C04F7" w:rsidRPr="00160BD4">
        <w:rPr>
          <w:lang w:val="en-GB"/>
        </w:rPr>
        <w:t>s</w:t>
      </w:r>
      <w:r w:rsidR="007020A6" w:rsidRPr="006C5428">
        <w:rPr>
          <w:lang w:val="en-GB"/>
        </w:rPr>
        <w:t xml:space="preserve"> 3</w:t>
      </w:r>
      <w:r w:rsidR="00AC6500" w:rsidRPr="00160BD4">
        <w:rPr>
          <w:lang w:val="en-GB"/>
        </w:rPr>
        <w:t>–</w:t>
      </w:r>
      <w:r w:rsidR="007020A6" w:rsidRPr="006C5428">
        <w:rPr>
          <w:lang w:val="en-GB"/>
        </w:rPr>
        <w:t>5 of decision</w:t>
      </w:r>
      <w:r w:rsidR="00AC6500" w:rsidRPr="00160BD4">
        <w:rPr>
          <w:lang w:val="en-GB"/>
        </w:rPr>
        <w:t xml:space="preserve"> IPBES-5/2</w:t>
      </w:r>
      <w:r w:rsidRPr="006C5428">
        <w:rPr>
          <w:lang w:val="en-GB"/>
        </w:rPr>
        <w:t xml:space="preserve">. </w:t>
      </w:r>
    </w:p>
    <w:p w14:paraId="1E66A5DA" w14:textId="1B1E0F04" w:rsidR="00E7045B" w:rsidRPr="007831BB" w:rsidRDefault="00E7045B" w:rsidP="00E7045B">
      <w:pPr>
        <w:pStyle w:val="Normalnumber"/>
        <w:numPr>
          <w:ilvl w:val="0"/>
          <w:numId w:val="303"/>
        </w:numPr>
        <w:tabs>
          <w:tab w:val="clear" w:pos="1247"/>
          <w:tab w:val="clear" w:pos="1814"/>
          <w:tab w:val="clear" w:pos="2381"/>
          <w:tab w:val="clear" w:pos="2948"/>
          <w:tab w:val="clear" w:pos="3515"/>
          <w:tab w:val="clear" w:pos="4082"/>
          <w:tab w:val="left" w:pos="624"/>
          <w:tab w:val="num" w:pos="1287"/>
        </w:tabs>
        <w:rPr>
          <w:lang w:val="en-GB"/>
        </w:rPr>
      </w:pPr>
      <w:r w:rsidRPr="007831BB">
        <w:rPr>
          <w:lang w:val="en-GB"/>
        </w:rPr>
        <w:t xml:space="preserve">Respondents </w:t>
      </w:r>
      <w:r w:rsidR="00F872B5">
        <w:rPr>
          <w:lang w:val="en-GB"/>
        </w:rPr>
        <w:t>will</w:t>
      </w:r>
      <w:r w:rsidR="00F872B5" w:rsidRPr="007831BB">
        <w:rPr>
          <w:lang w:val="en-GB"/>
        </w:rPr>
        <w:t xml:space="preserve"> </w:t>
      </w:r>
      <w:r w:rsidRPr="007831BB">
        <w:rPr>
          <w:lang w:val="en-GB"/>
        </w:rPr>
        <w:t>be asked to identify themselves as belonging to specific predefined categor</w:t>
      </w:r>
      <w:r w:rsidR="00F872B5">
        <w:rPr>
          <w:lang w:val="en-GB"/>
        </w:rPr>
        <w:t>ies</w:t>
      </w:r>
      <w:r w:rsidRPr="007831BB">
        <w:rPr>
          <w:lang w:val="en-GB"/>
        </w:rPr>
        <w:t xml:space="preserve"> (for example, Government, non-governmental organization, multilateral environmental agreement, United Nations agency, scientist involved in IPBES, scientist not involved in IPBES, member of the Multidisciplinary Expert Panel or the Bureau, member of a task force, etc.) so that responses </w:t>
      </w:r>
      <w:r w:rsidR="00F872B5">
        <w:rPr>
          <w:lang w:val="en-GB"/>
        </w:rPr>
        <w:t>can</w:t>
      </w:r>
      <w:r w:rsidR="00F872B5" w:rsidRPr="007831BB">
        <w:rPr>
          <w:lang w:val="en-GB"/>
        </w:rPr>
        <w:t xml:space="preserve"> </w:t>
      </w:r>
      <w:r w:rsidRPr="007831BB">
        <w:rPr>
          <w:lang w:val="en-GB"/>
        </w:rPr>
        <w:t>be analysed in terms of the various categories of stakeholders.</w:t>
      </w:r>
    </w:p>
    <w:p w14:paraId="62F564A6" w14:textId="6B32C6E5" w:rsidR="00E7045B" w:rsidRPr="007831BB" w:rsidRDefault="00E7045B" w:rsidP="00E7045B">
      <w:pPr>
        <w:pStyle w:val="Normalnumber"/>
        <w:numPr>
          <w:ilvl w:val="0"/>
          <w:numId w:val="303"/>
        </w:numPr>
        <w:tabs>
          <w:tab w:val="clear" w:pos="4082"/>
          <w:tab w:val="left" w:pos="624"/>
        </w:tabs>
        <w:spacing w:line="254" w:lineRule="auto"/>
        <w:rPr>
          <w:color w:val="000000"/>
          <w:lang w:val="en-GB"/>
        </w:rPr>
      </w:pPr>
      <w:r w:rsidRPr="007831BB">
        <w:rPr>
          <w:color w:val="000000"/>
          <w:lang w:val="en-GB"/>
        </w:rPr>
        <w:t xml:space="preserve">Each question </w:t>
      </w:r>
      <w:r w:rsidR="00F872B5">
        <w:rPr>
          <w:color w:val="000000"/>
          <w:lang w:val="en-GB"/>
        </w:rPr>
        <w:t>will</w:t>
      </w:r>
      <w:r w:rsidR="00F872B5" w:rsidRPr="007831BB">
        <w:rPr>
          <w:color w:val="000000"/>
          <w:lang w:val="en-GB"/>
        </w:rPr>
        <w:t xml:space="preserve"> </w:t>
      </w:r>
      <w:r w:rsidRPr="007831BB">
        <w:rPr>
          <w:color w:val="000000"/>
          <w:lang w:val="en-GB"/>
        </w:rPr>
        <w:t xml:space="preserve">be supplemented by the following </w:t>
      </w:r>
      <w:proofErr w:type="spellStart"/>
      <w:r w:rsidRPr="007831BB">
        <w:rPr>
          <w:color w:val="000000"/>
          <w:lang w:val="en-GB"/>
        </w:rPr>
        <w:t>subquestion</w:t>
      </w:r>
      <w:proofErr w:type="spellEnd"/>
      <w:r w:rsidRPr="007831BB">
        <w:rPr>
          <w:color w:val="000000"/>
          <w:lang w:val="en-GB"/>
        </w:rPr>
        <w:t xml:space="preserve"> in order to elicit additional suggestions from respondents: “What are the weaknesses or gaps and how could the situation be improved?”</w:t>
      </w:r>
    </w:p>
    <w:p w14:paraId="7B2326F1" w14:textId="77777777" w:rsidR="00E7045B" w:rsidRPr="007831BB" w:rsidRDefault="00E7045B" w:rsidP="00E7045B">
      <w:pPr>
        <w:pStyle w:val="CH2"/>
        <w:spacing w:before="240"/>
        <w:rPr>
          <w:lang w:val="en-GB"/>
        </w:rPr>
      </w:pPr>
      <w:r w:rsidRPr="007831BB">
        <w:rPr>
          <w:lang w:val="en-GB"/>
        </w:rPr>
        <w:tab/>
      </w:r>
      <w:r w:rsidRPr="007831BB">
        <w:rPr>
          <w:lang w:val="en-GB"/>
        </w:rPr>
        <w:tab/>
        <w:t>Section I: How well are the functions of IPBES being implemented?</w:t>
      </w:r>
    </w:p>
    <w:p w14:paraId="0E99E84F" w14:textId="77777777"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1: Was the process used to receive and prioritize requests satisfactory? </w:t>
      </w:r>
    </w:p>
    <w:p w14:paraId="4171E2CF" w14:textId="77777777" w:rsidR="00E7045B" w:rsidRPr="007831BB"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Were the call for requests and the mechanism proposed by the IPBES secretariat for responding to the call clear and efficient?</w:t>
      </w:r>
    </w:p>
    <w:p w14:paraId="4916FD4F" w14:textId="77777777" w:rsidR="00E7045B" w:rsidRPr="007831BB"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Did you hold an internal consultation before responding to the call for requests?</w:t>
      </w:r>
    </w:p>
    <w:p w14:paraId="12009EF0" w14:textId="77777777" w:rsidR="00E7045B" w:rsidRPr="007831BB"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Are you satisfied with the way the Multidisciplinary Expert Panel processed the requests and presented a prioritized list to the Plenary?</w:t>
      </w:r>
    </w:p>
    <w:p w14:paraId="3CDE0B7E" w14:textId="77777777" w:rsidR="00E7045B" w:rsidRPr="007831BB"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Would you say that the list of the deliverables in the work programme, which stems from the requests, meets the needs of the stakeholders and is policy-relevant?</w:t>
      </w:r>
    </w:p>
    <w:p w14:paraId="2D6BC45B" w14:textId="1605331C"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2: How well </w:t>
      </w:r>
      <w:proofErr w:type="gramStart"/>
      <w:r w:rsidRPr="007831BB">
        <w:rPr>
          <w:sz w:val="21"/>
          <w:lang w:val="en-GB"/>
        </w:rPr>
        <w:t>is</w:t>
      </w:r>
      <w:proofErr w:type="gramEnd"/>
      <w:r w:rsidRPr="007831BB">
        <w:rPr>
          <w:sz w:val="21"/>
          <w:lang w:val="en-GB"/>
        </w:rPr>
        <w:t xml:space="preserve"> IPBES performing regular and timely assessments of knowledge on biodiversity and ecosystem services and their </w:t>
      </w:r>
      <w:proofErr w:type="spellStart"/>
      <w:r w:rsidRPr="007831BB">
        <w:rPr>
          <w:sz w:val="21"/>
          <w:lang w:val="en-GB"/>
        </w:rPr>
        <w:t>interlinkages</w:t>
      </w:r>
      <w:proofErr w:type="spellEnd"/>
      <w:r w:rsidRPr="007831BB">
        <w:rPr>
          <w:sz w:val="21"/>
          <w:lang w:val="en-GB"/>
        </w:rPr>
        <w:t xml:space="preserve"> that support the science</w:t>
      </w:r>
      <w:r w:rsidR="00747944">
        <w:rPr>
          <w:sz w:val="21"/>
          <w:lang w:val="en-GB"/>
        </w:rPr>
        <w:noBreakHyphen/>
      </w:r>
      <w:r w:rsidRPr="007831BB">
        <w:rPr>
          <w:sz w:val="21"/>
          <w:lang w:val="en-GB"/>
        </w:rPr>
        <w:t xml:space="preserve">policy interface? </w:t>
      </w:r>
    </w:p>
    <w:p w14:paraId="1A5899E6"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Are the IPBES assessments contributing to the science-policy interface in a manner that ensures legitimacy, relevance and credibility?</w:t>
      </w:r>
    </w:p>
    <w:p w14:paraId="5414C0EE"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the assessment scoping process working well? </w:t>
      </w:r>
    </w:p>
    <w:p w14:paraId="3B3A4307"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the process for the nomination and selection of authors (co-chairs, coordinating lead authors, lead authors, review editors) working well? </w:t>
      </w:r>
    </w:p>
    <w:p w14:paraId="452A31D8"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the peer-review mechanism working properly? </w:t>
      </w:r>
    </w:p>
    <w:p w14:paraId="7EC6FE30" w14:textId="77777777" w:rsidR="00E7045B" w:rsidRPr="007831BB" w:rsidRDefault="00E7045B" w:rsidP="00E7045B">
      <w:pPr>
        <w:pStyle w:val="NormalNonumber"/>
        <w:numPr>
          <w:ilvl w:val="0"/>
          <w:numId w:val="306"/>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Are Governments providing adequate inputs and comments?</w:t>
      </w:r>
    </w:p>
    <w:p w14:paraId="331265A8" w14:textId="77777777" w:rsidR="00E7045B" w:rsidRPr="007831BB" w:rsidRDefault="00E7045B" w:rsidP="00E7045B">
      <w:pPr>
        <w:pStyle w:val="NormalNonumber"/>
        <w:numPr>
          <w:ilvl w:val="0"/>
          <w:numId w:val="306"/>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Are experts providing adequate inputs and comments?</w:t>
      </w:r>
    </w:p>
    <w:p w14:paraId="63D2BF5C"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Do IPBES assessments properly identify confidence limits? </w:t>
      </w:r>
    </w:p>
    <w:p w14:paraId="27042AC1"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Are the summaries for policymakers being written in an appropriate style that is not too technical to be understood by a wide range of audiences and stakeholders?</w:t>
      </w:r>
    </w:p>
    <w:p w14:paraId="65E8EB07"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Do the summaries for policymakers address the policy-relevant issues without being policy-prescriptive?</w:t>
      </w:r>
    </w:p>
    <w:p w14:paraId="338D5F3C"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Are the lengths of the summaries for policymakers appropriate? </w:t>
      </w:r>
    </w:p>
    <w:p w14:paraId="518B45A8"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Do the assessments incorporate all relevant data and knowledge?</w:t>
      </w:r>
    </w:p>
    <w:p w14:paraId="66FC1519" w14:textId="1D3F066C"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Do the assessments address the policy needs, particularly at </w:t>
      </w:r>
      <w:r w:rsidR="00280395">
        <w:rPr>
          <w:lang w:val="en-GB"/>
        </w:rPr>
        <w:t xml:space="preserve">the </w:t>
      </w:r>
      <w:r w:rsidRPr="007831BB">
        <w:rPr>
          <w:lang w:val="en-GB"/>
        </w:rPr>
        <w:t xml:space="preserve">regional and </w:t>
      </w:r>
      <w:proofErr w:type="spellStart"/>
      <w:r w:rsidRPr="007831BB">
        <w:rPr>
          <w:lang w:val="en-GB"/>
        </w:rPr>
        <w:t>subregional</w:t>
      </w:r>
      <w:proofErr w:type="spellEnd"/>
      <w:r w:rsidRPr="007831BB">
        <w:rPr>
          <w:lang w:val="en-GB"/>
        </w:rPr>
        <w:t xml:space="preserve"> scales?</w:t>
      </w:r>
    </w:p>
    <w:p w14:paraId="6FC23C77"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Do the assessments address terrestrial, marine and inland water biodiversity and ecosystem services and their interactions in a balanced manner?</w:t>
      </w:r>
    </w:p>
    <w:p w14:paraId="0996A003"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Do the assessments appropriately use national, </w:t>
      </w:r>
      <w:proofErr w:type="spellStart"/>
      <w:r w:rsidRPr="007831BB">
        <w:rPr>
          <w:lang w:val="en-GB"/>
        </w:rPr>
        <w:t>subregional</w:t>
      </w:r>
      <w:proofErr w:type="spellEnd"/>
      <w:r w:rsidRPr="007831BB">
        <w:rPr>
          <w:lang w:val="en-GB"/>
        </w:rPr>
        <w:t xml:space="preserve"> and regional assessments and knowledge?</w:t>
      </w:r>
    </w:p>
    <w:p w14:paraId="72855373"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Do the assessments recognize, respect, adequately address and incorporate indigenous and local knowledge?</w:t>
      </w:r>
    </w:p>
    <w:p w14:paraId="7FDF641A"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Have the assessments produced to date appropriately identified options for policymaking?</w:t>
      </w:r>
    </w:p>
    <w:p w14:paraId="381026EB"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Does the pollination assessment meet the standards to be expected of an IPBES product? </w:t>
      </w:r>
    </w:p>
    <w:p w14:paraId="5EB1C762" w14:textId="77777777" w:rsidR="00E7045B" w:rsidRPr="007831BB"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Does the scenario assessment meet the standards to be expected of an IPBES product? </w:t>
      </w:r>
    </w:p>
    <w:p w14:paraId="653AD56A"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3: Does IPBES identify and provide policy-relevant tools and methodologies, arising in particular from its assessments, to support policy formulation?</w:t>
      </w:r>
    </w:p>
    <w:p w14:paraId="1D1A230B" w14:textId="77777777" w:rsidR="00E7045B" w:rsidRPr="007831BB"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n-GB"/>
        </w:rPr>
      </w:pPr>
      <w:r w:rsidRPr="007831BB">
        <w:rPr>
          <w:lang w:val="en-GB"/>
        </w:rPr>
        <w:t xml:space="preserve">Have the assessments produced to date appropriately identified policy-relevant tools and methodologies? </w:t>
      </w:r>
    </w:p>
    <w:p w14:paraId="0EBF272E" w14:textId="77777777" w:rsidR="00E7045B" w:rsidRPr="007831BB"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n-GB"/>
        </w:rPr>
      </w:pPr>
      <w:r w:rsidRPr="007831BB">
        <w:rPr>
          <w:lang w:val="en-GB"/>
        </w:rPr>
        <w:t>Have deliverables other than assessments appropriately identified and provided policy</w:t>
      </w:r>
      <w:r w:rsidRPr="007831BB">
        <w:rPr>
          <w:lang w:val="en-GB"/>
        </w:rPr>
        <w:noBreakHyphen/>
        <w:t>relevant tools and methodologies?</w:t>
      </w:r>
    </w:p>
    <w:p w14:paraId="564EBC71" w14:textId="77777777" w:rsidR="00E7045B" w:rsidRPr="007831BB"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n-GB"/>
        </w:rPr>
      </w:pPr>
      <w:r w:rsidRPr="007831BB">
        <w:rPr>
          <w:lang w:val="en-GB"/>
        </w:rPr>
        <w:t xml:space="preserve">Given that the catalogue of policy support tools is at an early stage of development, is the catalogue user-friendly and appropriately structured to support policy formulation? </w:t>
      </w:r>
    </w:p>
    <w:p w14:paraId="25A025C0" w14:textId="77777777" w:rsidR="00E7045B" w:rsidRPr="007831BB"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n-GB"/>
        </w:rPr>
      </w:pPr>
      <w:r w:rsidRPr="007831BB">
        <w:rPr>
          <w:lang w:val="en-GB"/>
        </w:rPr>
        <w:t>Are there any other ways and means of further enhancing efforts by IPBES to deliver on this function?</w:t>
      </w:r>
    </w:p>
    <w:p w14:paraId="0BD50368" w14:textId="77777777"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4: Is IPBES performing its capacity-building function properly? </w:t>
      </w:r>
    </w:p>
    <w:p w14:paraId="05F0594B" w14:textId="77777777" w:rsidR="00E7045B" w:rsidRPr="007831BB"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IPBES effectively matching the priority capacity-building needs identified by the Plenary with resources by catalysing financial and in-kind support? </w:t>
      </w:r>
    </w:p>
    <w:p w14:paraId="709E41AC" w14:textId="77777777" w:rsidR="00E7045B" w:rsidRPr="007831BB"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How successful has the capacity-building forum been and how can it be strengthened?</w:t>
      </w:r>
    </w:p>
    <w:p w14:paraId="024A62DE" w14:textId="77777777" w:rsidR="00E7045B" w:rsidRPr="007831BB"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IPBES effectively developing the capacities needed to implement its work programme? </w:t>
      </w:r>
    </w:p>
    <w:p w14:paraId="7ABF8A07" w14:textId="77777777" w:rsidR="00E7045B" w:rsidRPr="007831BB"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the pilot fellowship programme working well? Is the nomination and selection process working well? </w:t>
      </w:r>
    </w:p>
    <w:p w14:paraId="211F3545" w14:textId="77777777" w:rsidR="00E7045B" w:rsidRPr="007831BB"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Are the pilot training activities based on existing guidance material supporting the implementation of the work programme in an effective manner? </w:t>
      </w:r>
    </w:p>
    <w:p w14:paraId="454B52BC" w14:textId="77777777" w:rsidR="00E7045B" w:rsidRPr="007831BB"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What other avenues are needed to further catalyse and leverage funding for </w:t>
      </w:r>
      <w:r w:rsidRPr="007831BB">
        <w:rPr>
          <w:lang w:val="en-GB"/>
        </w:rPr>
        <w:br/>
        <w:t>capacity-building?</w:t>
      </w:r>
    </w:p>
    <w:p w14:paraId="75B1D8C0" w14:textId="77777777"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5: Is IPBES performing its knowledge and data function properly? </w:t>
      </w:r>
    </w:p>
    <w:p w14:paraId="42D53184" w14:textId="77777777" w:rsidR="00E7045B" w:rsidRPr="007831BB" w:rsidRDefault="00E7045B" w:rsidP="00E7045B">
      <w:pPr>
        <w:pStyle w:val="Normalnumber"/>
        <w:numPr>
          <w:ilvl w:val="0"/>
          <w:numId w:val="309"/>
        </w:numPr>
        <w:tabs>
          <w:tab w:val="clear" w:pos="1247"/>
          <w:tab w:val="clear" w:pos="1814"/>
          <w:tab w:val="clear" w:pos="2381"/>
          <w:tab w:val="clear" w:pos="2948"/>
          <w:tab w:val="clear" w:pos="3515"/>
          <w:tab w:val="clear" w:pos="4082"/>
          <w:tab w:val="left" w:pos="624"/>
        </w:tabs>
        <w:ind w:firstLine="624"/>
        <w:rPr>
          <w:rFonts w:eastAsiaTheme="minorHAnsi"/>
          <w:b/>
          <w:lang w:val="en-GB"/>
        </w:rPr>
      </w:pPr>
      <w:r w:rsidRPr="007831BB">
        <w:rPr>
          <w:rFonts w:eastAsiaTheme="minorHAnsi"/>
          <w:lang w:val="en-GB"/>
        </w:rPr>
        <w:t>Does IPBES</w:t>
      </w:r>
      <w:r w:rsidRPr="007831BB">
        <w:rPr>
          <w:rFonts w:eastAsiaTheme="minorHAnsi"/>
          <w:b/>
          <w:lang w:val="en-GB"/>
        </w:rPr>
        <w:t xml:space="preserve"> </w:t>
      </w:r>
      <w:r w:rsidRPr="007831BB">
        <w:rPr>
          <w:rFonts w:eastAsiaTheme="minorHAnsi"/>
          <w:lang w:val="en-GB"/>
        </w:rPr>
        <w:t>use clear, transparent and scientifically credible processes for the exchange, sharing and use of data, information and technologies from all relevant sources, including non</w:t>
      </w:r>
      <w:r w:rsidRPr="007831BB">
        <w:rPr>
          <w:rFonts w:eastAsiaTheme="minorHAnsi"/>
          <w:lang w:val="en-GB"/>
        </w:rPr>
        <w:noBreakHyphen/>
        <w:t>peer</w:t>
      </w:r>
      <w:r w:rsidRPr="007831BB">
        <w:rPr>
          <w:rFonts w:eastAsiaTheme="minorHAnsi"/>
          <w:lang w:val="en-GB"/>
        </w:rPr>
        <w:noBreakHyphen/>
        <w:t>reviewed literature?</w:t>
      </w:r>
    </w:p>
    <w:p w14:paraId="07D960DC" w14:textId="77777777" w:rsidR="00E7045B" w:rsidRPr="007831BB" w:rsidRDefault="00E7045B" w:rsidP="00E7045B">
      <w:pPr>
        <w:pStyle w:val="Normalnumber"/>
        <w:numPr>
          <w:ilvl w:val="0"/>
          <w:numId w:val="30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 process used to manage the data and information used in assessments in a sustainable way adequate?</w:t>
      </w:r>
    </w:p>
    <w:p w14:paraId="39658B79" w14:textId="77777777" w:rsidR="00E7045B" w:rsidRPr="007831BB" w:rsidRDefault="00E7045B" w:rsidP="00E7045B">
      <w:pPr>
        <w:pStyle w:val="Normalnumber"/>
        <w:numPr>
          <w:ilvl w:val="0"/>
          <w:numId w:val="30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 process used to identify policy-relevant knowledge gaps and to promote, prioritize and catalyse the generation of new knowledge adequate?</w:t>
      </w:r>
    </w:p>
    <w:p w14:paraId="07A4799A" w14:textId="77777777" w:rsidR="00E7045B" w:rsidRPr="007831BB" w:rsidRDefault="00E7045B" w:rsidP="00E7045B">
      <w:pPr>
        <w:pStyle w:val="CH2"/>
        <w:spacing w:before="240"/>
        <w:rPr>
          <w:lang w:val="en-GB"/>
        </w:rPr>
      </w:pPr>
      <w:r w:rsidRPr="007831BB">
        <w:rPr>
          <w:lang w:val="en-GB"/>
        </w:rPr>
        <w:tab/>
      </w:r>
      <w:r w:rsidRPr="007831BB">
        <w:rPr>
          <w:lang w:val="en-GB"/>
        </w:rPr>
        <w:tab/>
        <w:t>Section II: Are the operating principles of IPBES being put into practice?</w:t>
      </w:r>
    </w:p>
    <w:p w14:paraId="4BD9B7DA" w14:textId="77777777"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6: Is IPBES collaborating adequately with existing initiatives? </w:t>
      </w:r>
    </w:p>
    <w:p w14:paraId="7A6EF4CB" w14:textId="77777777" w:rsidR="00E7045B" w:rsidRPr="007831BB" w:rsidRDefault="00E7045B" w:rsidP="00E7045B">
      <w:pPr>
        <w:pStyle w:val="NormalNonumber"/>
        <w:rPr>
          <w:lang w:val="en-GB"/>
        </w:rPr>
      </w:pPr>
      <w:r w:rsidRPr="007831BB">
        <w:rPr>
          <w:lang w:val="en-GB"/>
        </w:rPr>
        <w:t>Is IPBES adequately collaborating with existing initiatives on biodiversity and ecosystem services, including multilateral environmental agreements, United Nations bodies and networks of scientists and knowledge holders?</w:t>
      </w:r>
    </w:p>
    <w:p w14:paraId="0DB1FE58"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7: Is IPBES incorporating indigenous and local knowledge adequately?</w:t>
      </w:r>
    </w:p>
    <w:p w14:paraId="00772D58" w14:textId="77777777" w:rsidR="00E7045B" w:rsidRPr="007831BB" w:rsidRDefault="00E7045B" w:rsidP="00E7045B">
      <w:pPr>
        <w:pStyle w:val="Normalnumber"/>
        <w:numPr>
          <w:ilvl w:val="0"/>
          <w:numId w:val="310"/>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Does IPBES</w:t>
      </w:r>
      <w:r w:rsidRPr="007831BB">
        <w:rPr>
          <w:b/>
          <w:lang w:val="en-GB"/>
        </w:rPr>
        <w:t xml:space="preserve"> </w:t>
      </w:r>
      <w:r w:rsidRPr="007831BB">
        <w:rPr>
          <w:lang w:val="en-GB"/>
        </w:rPr>
        <w:t>recognize, respect and adequately address indigenous and local knowledge in its work?</w:t>
      </w:r>
    </w:p>
    <w:p w14:paraId="7713455C" w14:textId="77777777" w:rsidR="00E7045B" w:rsidRPr="007831BB" w:rsidRDefault="00E7045B" w:rsidP="00E7045B">
      <w:pPr>
        <w:pStyle w:val="Normalnumber"/>
        <w:numPr>
          <w:ilvl w:val="0"/>
          <w:numId w:val="310"/>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Given that the work of IPBES on indigenous and local knowledge is still at a pilot stage, are the processes for working with indigenous and local knowledge in IPBES activities appropriate?</w:t>
      </w:r>
    </w:p>
    <w:p w14:paraId="3958C3B3"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8: Are geographical, disciplinary and gender balances appropriate in the work of IPBES?</w:t>
      </w:r>
    </w:p>
    <w:p w14:paraId="1D5870D6" w14:textId="77777777" w:rsidR="00E7045B" w:rsidRPr="007831BB" w:rsidRDefault="00E7045B" w:rsidP="00E7045B">
      <w:pPr>
        <w:pStyle w:val="Normalnumber"/>
        <w:numPr>
          <w:ilvl w:val="0"/>
          <w:numId w:val="31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Has IPBES achieved appropriate regional representation and participation in its structure and work? </w:t>
      </w:r>
    </w:p>
    <w:p w14:paraId="64ED8E2B" w14:textId="77777777" w:rsidR="00E7045B" w:rsidRPr="007831BB" w:rsidRDefault="00E7045B" w:rsidP="00E7045B">
      <w:pPr>
        <w:pStyle w:val="Normalnumber"/>
        <w:numPr>
          <w:ilvl w:val="0"/>
          <w:numId w:val="31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Has IPBES taken an appropriate interdisciplinary and multidisciplinary approach that incorporates all relevant disciplines, including social and natural sciences, in all its activities? </w:t>
      </w:r>
    </w:p>
    <w:p w14:paraId="0873EBF4" w14:textId="77777777" w:rsidR="00E7045B" w:rsidRPr="007831BB" w:rsidRDefault="00E7045B" w:rsidP="00E7045B">
      <w:pPr>
        <w:pStyle w:val="Normalnumber"/>
        <w:numPr>
          <w:ilvl w:val="0"/>
          <w:numId w:val="311"/>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Has IPBES achieved appropriate gender balance in all relevant aspects of its work? </w:t>
      </w:r>
    </w:p>
    <w:p w14:paraId="622FAB6F" w14:textId="77777777"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9: Is IPBES delivering policy-relevant results? </w:t>
      </w:r>
    </w:p>
    <w:p w14:paraId="59D09937" w14:textId="77777777" w:rsidR="00E7045B" w:rsidRPr="007831BB" w:rsidRDefault="00E7045B" w:rsidP="00E7045B">
      <w:pPr>
        <w:pStyle w:val="Normalnumber"/>
        <w:numPr>
          <w:ilvl w:val="0"/>
          <w:numId w:val="312"/>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 xml:space="preserve">Have the completed IPBES assessments been policy-relevant? </w:t>
      </w:r>
    </w:p>
    <w:p w14:paraId="3292AF4B" w14:textId="77777777" w:rsidR="00E7045B" w:rsidRPr="007831BB" w:rsidRDefault="00E7045B" w:rsidP="002B3A9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Was the pollination assessment sufficiently policy-relevant? </w:t>
      </w:r>
    </w:p>
    <w:p w14:paraId="405BA1B2" w14:textId="60866CA5" w:rsidR="00E7045B" w:rsidRPr="007831BB" w:rsidRDefault="00E7045B" w:rsidP="002B3A9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Is the scenarios assessment providing useful guidance to other IPBES assessments and, beyond th</w:t>
      </w:r>
      <w:r w:rsidR="008465D1">
        <w:rPr>
          <w:lang w:val="en-GB"/>
        </w:rPr>
        <w:t>o</w:t>
      </w:r>
      <w:r w:rsidRPr="007831BB">
        <w:rPr>
          <w:lang w:val="en-GB"/>
        </w:rPr>
        <w:t xml:space="preserve">se, to a broader community of scientists, funding agencies, policy support practitioners and policymakers wishing to make use of scenarios and models to inform decision-making on the local to global scales? </w:t>
      </w:r>
    </w:p>
    <w:p w14:paraId="1656EE27" w14:textId="77777777" w:rsidR="00E7045B" w:rsidRPr="007831BB" w:rsidRDefault="00E7045B" w:rsidP="00E7045B">
      <w:pPr>
        <w:pStyle w:val="Normalnumber"/>
        <w:numPr>
          <w:ilvl w:val="0"/>
          <w:numId w:val="312"/>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 xml:space="preserve">Are other IPBES deliverables and products policy-relevant? </w:t>
      </w:r>
    </w:p>
    <w:p w14:paraId="1FFB0265" w14:textId="77777777" w:rsidR="00E7045B" w:rsidRPr="007831BB" w:rsidRDefault="00E7045B" w:rsidP="00E7045B">
      <w:pPr>
        <w:pStyle w:val="Normalnumber"/>
        <w:numPr>
          <w:ilvl w:val="0"/>
          <w:numId w:val="312"/>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Have IPBES processes supported the policy relevance of deliverables?</w:t>
      </w:r>
    </w:p>
    <w:p w14:paraId="7B97A751"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Was the scoping process conducive to the preparation of policy-relevant deliverables?</w:t>
      </w:r>
    </w:p>
    <w:p w14:paraId="03FACB56"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Was the composition of expert groups conducive to the preparation of </w:t>
      </w:r>
      <w:r w:rsidRPr="007831BB">
        <w:rPr>
          <w:lang w:val="en-GB"/>
        </w:rPr>
        <w:br/>
        <w:t xml:space="preserve">policy-relevant deliverables? </w:t>
      </w:r>
    </w:p>
    <w:p w14:paraId="47574DED" w14:textId="77777777" w:rsidR="00E7045B" w:rsidRPr="007831BB" w:rsidRDefault="00E7045B" w:rsidP="00E7045B">
      <w:pPr>
        <w:pStyle w:val="CH2"/>
        <w:spacing w:before="240"/>
        <w:rPr>
          <w:rFonts w:eastAsiaTheme="minorHAnsi"/>
          <w:lang w:val="en-GB"/>
        </w:rPr>
      </w:pPr>
      <w:r w:rsidRPr="007831BB">
        <w:rPr>
          <w:lang w:val="en-GB"/>
        </w:rPr>
        <w:tab/>
      </w:r>
      <w:r w:rsidRPr="007831BB">
        <w:rPr>
          <w:lang w:val="en-GB"/>
        </w:rPr>
        <w:tab/>
        <w:t>Section III: Are the procedures for developing deliverables effective?</w:t>
      </w:r>
    </w:p>
    <w:p w14:paraId="7B5552F6"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10: Is IPBES communication adequate?</w:t>
      </w:r>
    </w:p>
    <w:p w14:paraId="135CADB7" w14:textId="77777777" w:rsidR="00E7045B" w:rsidRPr="007831BB" w:rsidRDefault="00E7045B" w:rsidP="00E7045B">
      <w:pPr>
        <w:pStyle w:val="NormalNonumber"/>
        <w:rPr>
          <w:lang w:val="en-GB"/>
        </w:rPr>
      </w:pPr>
      <w:r w:rsidRPr="007831BB">
        <w:rPr>
          <w:lang w:val="en-GB"/>
        </w:rPr>
        <w:t>Is IPBES communicating and reaching out in a satisfactory manner?</w:t>
      </w:r>
    </w:p>
    <w:p w14:paraId="6581132E"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11: Is IPBES following its rules of procedure?</w:t>
      </w:r>
    </w:p>
    <w:p w14:paraId="23C9B36A" w14:textId="77777777" w:rsidR="00E7045B" w:rsidRPr="007831BB" w:rsidRDefault="00E7045B" w:rsidP="00E7045B">
      <w:pPr>
        <w:pStyle w:val="NormalNonumber"/>
        <w:rPr>
          <w:rFonts w:eastAsia="Calibri"/>
          <w:w w:val="103"/>
          <w:lang w:val="en-GB"/>
        </w:rPr>
      </w:pPr>
      <w:r w:rsidRPr="007831BB">
        <w:rPr>
          <w:rFonts w:eastAsia="Calibri"/>
          <w:w w:val="103"/>
          <w:lang w:val="en-GB"/>
        </w:rPr>
        <w:t>Are IPBES rules and procedures being followed, including with regard to conflict of interests?</w:t>
      </w:r>
    </w:p>
    <w:p w14:paraId="0BF4ABF9"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12: Has IPBES developed appropriate partnerships?</w:t>
      </w:r>
    </w:p>
    <w:p w14:paraId="4476275B" w14:textId="77777777" w:rsidR="00E7045B" w:rsidRPr="007831BB" w:rsidRDefault="00E7045B" w:rsidP="00E7045B">
      <w:pPr>
        <w:pStyle w:val="NormalNonumber"/>
        <w:rPr>
          <w:rFonts w:eastAsia="Calibri"/>
          <w:w w:val="103"/>
          <w:lang w:val="en-GB"/>
        </w:rPr>
      </w:pPr>
      <w:r w:rsidRPr="00440196">
        <w:rPr>
          <w:rStyle w:val="Normal-poolChar"/>
        </w:rPr>
        <w:t xml:space="preserve">Have </w:t>
      </w:r>
      <w:r w:rsidRPr="001B4189">
        <w:rPr>
          <w:rStyle w:val="Normal-poolChar"/>
          <w:rFonts w:eastAsia="Calibri"/>
        </w:rPr>
        <w:t xml:space="preserve">partnership arrangements been developed for the conduct of IPBES activities and are they being </w:t>
      </w:r>
      <w:r w:rsidRPr="00440196">
        <w:rPr>
          <w:rStyle w:val="Normal-poolChar"/>
        </w:rPr>
        <w:t>properly</w:t>
      </w:r>
      <w:r w:rsidRPr="00440196">
        <w:rPr>
          <w:rStyle w:val="Normal-poolChar"/>
          <w:rFonts w:eastAsia="Calibri"/>
        </w:rPr>
        <w:t xml:space="preserve"> implemented</w:t>
      </w:r>
      <w:r w:rsidRPr="007831BB">
        <w:rPr>
          <w:rFonts w:eastAsia="Calibri"/>
          <w:w w:val="103"/>
          <w:lang w:val="en-GB"/>
        </w:rPr>
        <w:t>?</w:t>
      </w:r>
    </w:p>
    <w:p w14:paraId="03D094DF" w14:textId="77777777" w:rsidR="00E7045B" w:rsidRPr="007831BB" w:rsidRDefault="00E7045B" w:rsidP="00E7045B">
      <w:pPr>
        <w:pStyle w:val="CH2"/>
        <w:spacing w:before="240"/>
        <w:rPr>
          <w:rFonts w:eastAsiaTheme="minorHAnsi"/>
          <w:lang w:val="en-GB"/>
        </w:rPr>
      </w:pPr>
      <w:r w:rsidRPr="007831BB">
        <w:rPr>
          <w:lang w:val="en-GB"/>
        </w:rPr>
        <w:tab/>
      </w:r>
      <w:r w:rsidRPr="007831BB">
        <w:rPr>
          <w:lang w:val="en-GB"/>
        </w:rPr>
        <w:tab/>
        <w:t>Section IV: Are institutional arrangements (Plenary, Bureau, Multidisciplinary Expert Panel and secretariat) effective?</w:t>
      </w:r>
    </w:p>
    <w:p w14:paraId="73EBD513" w14:textId="77777777"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13: How well is the </w:t>
      </w:r>
      <w:proofErr w:type="gramStart"/>
      <w:r w:rsidRPr="007831BB">
        <w:rPr>
          <w:sz w:val="21"/>
          <w:lang w:val="en-GB"/>
        </w:rPr>
        <w:t>Plenary</w:t>
      </w:r>
      <w:proofErr w:type="gramEnd"/>
      <w:r w:rsidRPr="007831BB">
        <w:rPr>
          <w:sz w:val="21"/>
          <w:lang w:val="en-GB"/>
        </w:rPr>
        <w:t xml:space="preserve"> functioning?</w:t>
      </w:r>
    </w:p>
    <w:p w14:paraId="395A1E3B" w14:textId="77777777" w:rsidR="00E7045B" w:rsidRPr="007831BB"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 documentation presented to the Plenary allowing it to play its role in an effective manner?</w:t>
      </w:r>
    </w:p>
    <w:p w14:paraId="51469FAA" w14:textId="77777777" w:rsidR="00E7045B" w:rsidRPr="007831BB"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 decision-making by the Plenary conducive to effective implementation by the secretariat, the Bureau and the Multidisciplinary Expert Panel?</w:t>
      </w:r>
    </w:p>
    <w:p w14:paraId="1D681B9F" w14:textId="77777777" w:rsidR="00E7045B" w:rsidRPr="007831BB"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Are the sessions of the Plenary organized and conducted in an effective manner?</w:t>
      </w:r>
    </w:p>
    <w:p w14:paraId="3DF85497" w14:textId="77777777" w:rsidR="00E7045B" w:rsidRPr="007831BB"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the Plenary properly advised on coordination between IPBES and other relevant institutions? </w:t>
      </w:r>
    </w:p>
    <w:p w14:paraId="7AD1F6AD"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14: How well is the Bureau functioning?</w:t>
      </w:r>
    </w:p>
    <w:p w14:paraId="63F1322C" w14:textId="77777777" w:rsidR="00E7045B" w:rsidRPr="007831BB"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Are members of IPBES and regional groups properly supported by their respective Bureau members?</w:t>
      </w:r>
    </w:p>
    <w:p w14:paraId="371EAE68" w14:textId="77777777" w:rsidR="00E7045B" w:rsidRPr="007831BB"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Has the Bureau effectively followed up on requests addressed to it by the Plenary in its decisions?</w:t>
      </w:r>
    </w:p>
    <w:p w14:paraId="2F159F41" w14:textId="77777777" w:rsidR="00E7045B" w:rsidRPr="007831BB"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Has the Bureau effectively conducted its roles related to chairing and contributing to task forces and expert groups? </w:t>
      </w:r>
    </w:p>
    <w:p w14:paraId="6B8B416D" w14:textId="77777777" w:rsidR="00E7045B" w:rsidRPr="007831BB"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Has the Bureau properly discharged its administrative functions of:</w:t>
      </w:r>
    </w:p>
    <w:p w14:paraId="5859D102"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Overseeing communications and outreach activities?</w:t>
      </w:r>
    </w:p>
    <w:p w14:paraId="08B40E79"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Reviewing progress in the implementation of </w:t>
      </w:r>
      <w:proofErr w:type="gramStart"/>
      <w:r w:rsidRPr="007831BB">
        <w:rPr>
          <w:lang w:val="en-GB"/>
        </w:rPr>
        <w:t>Plenary</w:t>
      </w:r>
      <w:proofErr w:type="gramEnd"/>
      <w:r w:rsidRPr="007831BB">
        <w:rPr>
          <w:lang w:val="en-GB"/>
        </w:rPr>
        <w:t xml:space="preserve"> decisions?</w:t>
      </w:r>
    </w:p>
    <w:p w14:paraId="7E9BFC23"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Monitoring the secretariat’s performance?</w:t>
      </w:r>
    </w:p>
    <w:p w14:paraId="4124D628"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Organizing and conducting the sessions of the Plenary?</w:t>
      </w:r>
    </w:p>
    <w:p w14:paraId="3D3897B8"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Reviewing observance of the platform’s rules of procedure?</w:t>
      </w:r>
    </w:p>
    <w:p w14:paraId="3F2149DB"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Reviewing the management of resources and observance of financial rules?</w:t>
      </w:r>
    </w:p>
    <w:p w14:paraId="7B1B327E"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Advising the plenary on coordination between IPBES and other relevant institutions?</w:t>
      </w:r>
    </w:p>
    <w:p w14:paraId="5D6D071B"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Identifying donors and developing partnership arrangements?</w:t>
      </w:r>
    </w:p>
    <w:p w14:paraId="3AB66FE6" w14:textId="77777777" w:rsidR="00E7045B" w:rsidRPr="007831BB" w:rsidRDefault="00E7045B" w:rsidP="00E7045B">
      <w:pPr>
        <w:pStyle w:val="CH3"/>
        <w:rPr>
          <w:sz w:val="21"/>
          <w:lang w:val="en-GB"/>
        </w:rPr>
      </w:pPr>
      <w:r w:rsidRPr="007831BB">
        <w:rPr>
          <w:sz w:val="21"/>
          <w:lang w:val="en-GB"/>
        </w:rPr>
        <w:tab/>
      </w:r>
      <w:r w:rsidRPr="007831BB">
        <w:rPr>
          <w:sz w:val="21"/>
          <w:lang w:val="en-GB"/>
        </w:rPr>
        <w:tab/>
        <w:t xml:space="preserve">Question 15: How well is the Multidisciplinary Expert Panel functioning? </w:t>
      </w:r>
    </w:p>
    <w:p w14:paraId="03EFA346" w14:textId="77777777" w:rsidR="00E7045B" w:rsidRPr="007831BB"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 Plenary properly advised by the Panel on scientific and technical aspects of the IPBES programme of work?</w:t>
      </w:r>
    </w:p>
    <w:p w14:paraId="1B576A4E" w14:textId="77777777" w:rsidR="00E7045B" w:rsidRPr="007831BB"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Has the Panel effectively followed up on requests addressed to it by the Plenary in its decisions?</w:t>
      </w:r>
    </w:p>
    <w:p w14:paraId="0395FCD2" w14:textId="77777777" w:rsidR="00E7045B" w:rsidRPr="007831BB"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Has the Panel effectively fulfilled its roles related to chairing and contributing to task forces and expert groups? </w:t>
      </w:r>
    </w:p>
    <w:p w14:paraId="2C10A688" w14:textId="77777777" w:rsidR="00E7045B" w:rsidRPr="007831BB"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 Panel providing adequate advice and assistance on technical and scientific communication matters?</w:t>
      </w:r>
    </w:p>
    <w:p w14:paraId="15D1899F" w14:textId="77777777" w:rsidR="00E7045B" w:rsidRPr="007831BB"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 peer-review process properly managed and does it ensure the highest levels of scientific quality, independence and credibility for all products delivered by IPBES at all stages of the process?</w:t>
      </w:r>
    </w:p>
    <w:p w14:paraId="229966EA" w14:textId="2002EDFB" w:rsidR="00E7045B" w:rsidRPr="007831BB"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Are the scientific community and other knowledge holders properly engaged with the IPBES work programme, given the need for </w:t>
      </w:r>
      <w:r w:rsidR="008465D1">
        <w:rPr>
          <w:lang w:val="en-GB"/>
        </w:rPr>
        <w:t>various</w:t>
      </w:r>
      <w:r w:rsidR="008465D1" w:rsidRPr="007831BB">
        <w:rPr>
          <w:lang w:val="en-GB"/>
        </w:rPr>
        <w:t xml:space="preserve"> </w:t>
      </w:r>
      <w:r w:rsidRPr="007831BB">
        <w:rPr>
          <w:lang w:val="en-GB"/>
        </w:rPr>
        <w:t>disciplines and types of knowledge, gender balance, and effective contribution and participation by experts from developing countries?</w:t>
      </w:r>
    </w:p>
    <w:p w14:paraId="720DE3CA" w14:textId="77777777" w:rsidR="00E7045B" w:rsidRPr="007831BB"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Is there enough scientific and technical coordination among structures set up under IPBES? </w:t>
      </w:r>
    </w:p>
    <w:p w14:paraId="19E8B2D9"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16: How well is the secretariat functioning?</w:t>
      </w:r>
    </w:p>
    <w:p w14:paraId="0F21E90E" w14:textId="2B706936" w:rsidR="00E7045B" w:rsidRPr="007831BB"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Is documentation of high quality and delivered on time?</w:t>
      </w:r>
    </w:p>
    <w:p w14:paraId="22F676BC" w14:textId="12810AD8" w:rsidR="00E7045B" w:rsidRPr="007831BB"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Are sessions of the Plenary</w:t>
      </w:r>
      <w:r w:rsidR="008465D1">
        <w:rPr>
          <w:lang w:val="en-GB"/>
        </w:rPr>
        <w:t xml:space="preserve"> and</w:t>
      </w:r>
      <w:r w:rsidRPr="007831BB">
        <w:rPr>
          <w:lang w:val="en-GB"/>
        </w:rPr>
        <w:t xml:space="preserve"> meetings of the Multidisciplinary Expert Panel and Bureau and other technical meetings well organized?</w:t>
      </w:r>
    </w:p>
    <w:p w14:paraId="6435CA0F" w14:textId="77777777" w:rsidR="00E7045B" w:rsidRPr="007831BB"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Has the secretariat effectively followed up on requests addressed to it by the Plenary in its decisions?</w:t>
      </w:r>
    </w:p>
    <w:p w14:paraId="7E959163" w14:textId="77777777" w:rsidR="00E7045B" w:rsidRPr="007831BB"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Is the secretariat providing adequate support for the delivery of the work programme according to the decisions of the Plenary?</w:t>
      </w:r>
    </w:p>
    <w:p w14:paraId="4AF79167" w14:textId="77777777" w:rsidR="00E7045B" w:rsidRPr="007831BB"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Are the size, composition and set-up of the secretariat, including its technical support units, appropriate given the responsibilities and challenges arising in implementation of the work programme?</w:t>
      </w:r>
    </w:p>
    <w:p w14:paraId="169201CC" w14:textId="77777777" w:rsidR="00E7045B" w:rsidRPr="007831BB"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 xml:space="preserve">Has the system of technical support units worked well? </w:t>
      </w:r>
    </w:p>
    <w:p w14:paraId="7A5BBFBB" w14:textId="77777777" w:rsidR="00E7045B" w:rsidRPr="007831BB"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n-GB"/>
        </w:rPr>
      </w:pPr>
      <w:r w:rsidRPr="007831BB">
        <w:rPr>
          <w:lang w:val="en-GB"/>
        </w:rPr>
        <w:t xml:space="preserve">Is the interaction between the various bodies of IPBES functioning well? </w:t>
      </w:r>
    </w:p>
    <w:p w14:paraId="2CD753DC" w14:textId="77777777" w:rsidR="00E7045B" w:rsidRPr="007831BB" w:rsidRDefault="00E7045B" w:rsidP="008D22BB">
      <w:pPr>
        <w:pStyle w:val="CH2"/>
        <w:spacing w:before="240"/>
        <w:rPr>
          <w:lang w:val="en-GB"/>
        </w:rPr>
      </w:pPr>
      <w:r w:rsidRPr="007831BB">
        <w:rPr>
          <w:lang w:val="en-GB"/>
        </w:rPr>
        <w:tab/>
      </w:r>
      <w:r w:rsidRPr="007831BB">
        <w:rPr>
          <w:lang w:val="en-GB"/>
        </w:rPr>
        <w:tab/>
        <w:t>Section V: How effective are the task forces and expert groups?</w:t>
      </w:r>
    </w:p>
    <w:p w14:paraId="5BB8DA30" w14:textId="77777777" w:rsidR="00E7045B" w:rsidRPr="007831BB" w:rsidRDefault="00E7045B" w:rsidP="008D22BB">
      <w:pPr>
        <w:pStyle w:val="CH3"/>
        <w:rPr>
          <w:sz w:val="21"/>
          <w:lang w:val="en-GB"/>
        </w:rPr>
      </w:pPr>
      <w:r w:rsidRPr="007831BB">
        <w:rPr>
          <w:sz w:val="21"/>
          <w:lang w:val="en-GB"/>
        </w:rPr>
        <w:tab/>
      </w:r>
      <w:r w:rsidRPr="007831BB">
        <w:rPr>
          <w:sz w:val="21"/>
          <w:lang w:val="en-GB"/>
        </w:rPr>
        <w:tab/>
        <w:t>Question 17: How well are the task forces and expert groups fulfilling their terms of reference as mandated by the Plenary?</w:t>
      </w:r>
    </w:p>
    <w:p w14:paraId="5D975746" w14:textId="77777777" w:rsidR="00E7045B" w:rsidRPr="007831BB" w:rsidRDefault="00E7045B" w:rsidP="00647316">
      <w:pPr>
        <w:pStyle w:val="Normalnumber"/>
        <w:keepNext/>
        <w:keepLines/>
        <w:numPr>
          <w:ilvl w:val="0"/>
          <w:numId w:val="31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How effective are the task forces and the expert groups in the following areas:</w:t>
      </w:r>
    </w:p>
    <w:p w14:paraId="11FC1198" w14:textId="77777777" w:rsidR="00E7045B" w:rsidRPr="007831BB" w:rsidRDefault="00E7045B" w:rsidP="00647316">
      <w:pPr>
        <w:pStyle w:val="Normalnumber"/>
        <w:keepNext/>
        <w:keepLines/>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n-GB"/>
        </w:rPr>
      </w:pPr>
      <w:r w:rsidRPr="007831BB">
        <w:rPr>
          <w:lang w:val="en-GB"/>
        </w:rPr>
        <w:t>Indigenous and local knowledge?</w:t>
      </w:r>
    </w:p>
    <w:p w14:paraId="0E3B9CAF" w14:textId="77777777" w:rsidR="00E7045B" w:rsidRPr="007831BB" w:rsidRDefault="00E7045B" w:rsidP="00647316">
      <w:pPr>
        <w:pStyle w:val="Normalnumber"/>
        <w:keepNext/>
        <w:keepLines/>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n-GB"/>
        </w:rPr>
      </w:pPr>
      <w:r w:rsidRPr="007831BB">
        <w:rPr>
          <w:lang w:val="en-GB"/>
        </w:rPr>
        <w:t>Capacity-building?</w:t>
      </w:r>
    </w:p>
    <w:p w14:paraId="1FF69C59" w14:textId="77777777" w:rsidR="00E7045B" w:rsidRPr="007831BB" w:rsidRDefault="00E7045B" w:rsidP="00647316">
      <w:pPr>
        <w:pStyle w:val="Normalnumber"/>
        <w:keepNext/>
        <w:keepLines/>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n-GB"/>
        </w:rPr>
      </w:pPr>
      <w:r w:rsidRPr="007831BB">
        <w:rPr>
          <w:lang w:val="en-GB"/>
        </w:rPr>
        <w:t>Data and knowledge?</w:t>
      </w:r>
    </w:p>
    <w:p w14:paraId="52D8D3B4" w14:textId="77777777" w:rsidR="00E7045B" w:rsidRPr="007831BB" w:rsidRDefault="00E7045B" w:rsidP="00647316">
      <w:pPr>
        <w:pStyle w:val="Normalnumber"/>
        <w:keepNext/>
        <w:keepLines/>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n-GB"/>
        </w:rPr>
      </w:pPr>
      <w:r w:rsidRPr="007831BB">
        <w:rPr>
          <w:lang w:val="en-GB"/>
        </w:rPr>
        <w:t>Values?</w:t>
      </w:r>
    </w:p>
    <w:p w14:paraId="633E8445" w14:textId="77777777" w:rsidR="00E7045B" w:rsidRPr="007831BB" w:rsidRDefault="00E7045B" w:rsidP="00647316">
      <w:pPr>
        <w:pStyle w:val="Normalnumber"/>
        <w:keepNext/>
        <w:keepLines/>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n-GB"/>
        </w:rPr>
      </w:pPr>
      <w:r w:rsidRPr="007831BB">
        <w:rPr>
          <w:lang w:val="en-GB"/>
        </w:rPr>
        <w:t>Scenarios and models of biodiversity and ecosystem services?</w:t>
      </w:r>
    </w:p>
    <w:p w14:paraId="706529C6" w14:textId="77777777" w:rsidR="00E7045B" w:rsidRPr="007831BB" w:rsidRDefault="00E7045B" w:rsidP="00647316">
      <w:pPr>
        <w:pStyle w:val="Normalnumber"/>
        <w:keepNext/>
        <w:keepLines/>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n-GB"/>
        </w:rPr>
      </w:pPr>
      <w:r w:rsidRPr="007831BB">
        <w:rPr>
          <w:lang w:val="en-GB"/>
        </w:rPr>
        <w:t>Policy-support tools?</w:t>
      </w:r>
    </w:p>
    <w:p w14:paraId="7400818B" w14:textId="77777777" w:rsidR="00E7045B" w:rsidRPr="007831BB" w:rsidRDefault="00E7045B" w:rsidP="00647316">
      <w:pPr>
        <w:pStyle w:val="Normalnumber"/>
        <w:keepNext/>
        <w:keepLines/>
        <w:numPr>
          <w:ilvl w:val="0"/>
          <w:numId w:val="318"/>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Is there appropriate interaction between the task forces and expert groups?</w:t>
      </w:r>
    </w:p>
    <w:p w14:paraId="5276B1FF" w14:textId="77777777" w:rsidR="00E7045B" w:rsidRPr="007831BB" w:rsidRDefault="00E7045B" w:rsidP="00E7045B">
      <w:pPr>
        <w:pStyle w:val="CH2"/>
        <w:spacing w:before="240"/>
        <w:rPr>
          <w:rFonts w:eastAsiaTheme="minorHAnsi"/>
          <w:lang w:val="en-GB"/>
        </w:rPr>
      </w:pPr>
      <w:r w:rsidRPr="007831BB">
        <w:rPr>
          <w:lang w:val="en-GB"/>
        </w:rPr>
        <w:tab/>
      </w:r>
      <w:r w:rsidRPr="007831BB">
        <w:rPr>
          <w:lang w:val="en-GB"/>
        </w:rPr>
        <w:tab/>
        <w:t xml:space="preserve">Section VI: Effectiveness of budgetary management and fiscal rules </w:t>
      </w:r>
    </w:p>
    <w:p w14:paraId="2E977142" w14:textId="77777777" w:rsidR="00E7045B" w:rsidRPr="007831BB" w:rsidRDefault="00E7045B" w:rsidP="00E7045B">
      <w:pPr>
        <w:pStyle w:val="CH3"/>
        <w:rPr>
          <w:sz w:val="21"/>
          <w:lang w:val="en-GB"/>
        </w:rPr>
      </w:pPr>
      <w:r w:rsidRPr="007831BB">
        <w:rPr>
          <w:sz w:val="21"/>
          <w:lang w:val="en-GB"/>
        </w:rPr>
        <w:tab/>
      </w:r>
      <w:r w:rsidRPr="007831BB">
        <w:rPr>
          <w:sz w:val="21"/>
          <w:lang w:val="en-GB"/>
        </w:rPr>
        <w:tab/>
        <w:t>Question 18: Are resources properly managed and financial rules observed? Are requirements for reporting to donors and to the Plenary met?</w:t>
      </w:r>
    </w:p>
    <w:p w14:paraId="02E0C0DB" w14:textId="77777777" w:rsidR="00E7045B" w:rsidRPr="007831BB"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Are financial resources properly managed and financial rules observed?</w:t>
      </w:r>
    </w:p>
    <w:p w14:paraId="035336CD" w14:textId="77777777" w:rsidR="00E7045B" w:rsidRPr="007831BB"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Are the budget documents presented to Plenary adequate?</w:t>
      </w:r>
    </w:p>
    <w:p w14:paraId="2A6A1484" w14:textId="77777777" w:rsidR="00E7045B" w:rsidRPr="007831BB"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Have donors been appropriately identified? </w:t>
      </w:r>
    </w:p>
    <w:p w14:paraId="42A1E5B6" w14:textId="77777777" w:rsidR="00E7045B" w:rsidRPr="007831BB"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With regard to financial support:</w:t>
      </w:r>
    </w:p>
    <w:p w14:paraId="57F6608A"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What are the incentives for and barriers to the provision of financial support? </w:t>
      </w:r>
    </w:p>
    <w:p w14:paraId="21E27DC7"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What could be done to increase the provision and use of financial support?</w:t>
      </w:r>
    </w:p>
    <w:p w14:paraId="09000780" w14:textId="77777777" w:rsidR="00E7045B" w:rsidRPr="007831BB"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With regard to in-kind offers: </w:t>
      </w:r>
    </w:p>
    <w:p w14:paraId="612C628F"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Does IPBES effectively mobilize and use the potential of in-kind offers? </w:t>
      </w:r>
    </w:p>
    <w:p w14:paraId="7ECDF677"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What are the incentives for and barriers to the provision of in-kind support? </w:t>
      </w:r>
    </w:p>
    <w:p w14:paraId="3E75305C"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What could be done to increase the provision and use of in-kind support? </w:t>
      </w:r>
    </w:p>
    <w:p w14:paraId="30CD204D" w14:textId="77777777" w:rsidR="00E7045B" w:rsidRPr="007831BB"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With regard to the involvement of third parties:</w:t>
      </w:r>
    </w:p>
    <w:p w14:paraId="485CEC82" w14:textId="7B89CC38"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Does IPBES effectively mobilize and use the leveraging potential of promoting and catalysing activities and impact through third parties such as strategic partners? </w:t>
      </w:r>
    </w:p>
    <w:p w14:paraId="2FEA1C75" w14:textId="77777777"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What are the incentives for and barriers to the provision of activities and impact through third parties? </w:t>
      </w:r>
    </w:p>
    <w:p w14:paraId="43527731" w14:textId="706C72AF" w:rsidR="00E7045B" w:rsidRPr="007831BB"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n-GB"/>
        </w:rPr>
      </w:pPr>
      <w:r w:rsidRPr="007831BB">
        <w:rPr>
          <w:lang w:val="en-GB"/>
        </w:rPr>
        <w:t xml:space="preserve">What could be done to increase the promotion and catalysis of activities and impact through third parties such as strategic partners? </w:t>
      </w:r>
    </w:p>
    <w:p w14:paraId="4DB35F9A"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756777C0" w14:textId="1D3094C8" w:rsidR="00E7045B" w:rsidRPr="007831BB" w:rsidRDefault="00E7045B" w:rsidP="00E7045B">
      <w:pPr>
        <w:pStyle w:val="CH1"/>
        <w:rPr>
          <w:lang w:val="en-GB"/>
        </w:rPr>
      </w:pPr>
      <w:r w:rsidRPr="007831BB">
        <w:rPr>
          <w:lang w:val="en-GB"/>
        </w:rPr>
        <w:tab/>
      </w:r>
      <w:r w:rsidRPr="007831BB">
        <w:rPr>
          <w:lang w:val="en-GB"/>
        </w:rPr>
        <w:tab/>
        <w:t xml:space="preserve">IPBES-5/3: Development of a second work </w:t>
      </w:r>
      <w:r w:rsidRPr="00160BD4">
        <w:rPr>
          <w:lang w:val="en-GB"/>
        </w:rPr>
        <w:t>programme</w:t>
      </w:r>
      <w:r w:rsidR="007020A6" w:rsidRPr="00160BD4">
        <w:rPr>
          <w:lang w:val="en-GB"/>
        </w:rPr>
        <w:t xml:space="preserve"> of the Platform</w:t>
      </w:r>
    </w:p>
    <w:p w14:paraId="1D69F4AB" w14:textId="77777777" w:rsidR="00E7045B" w:rsidRPr="007831BB" w:rsidRDefault="00E7045B" w:rsidP="002B5903">
      <w:pPr>
        <w:pStyle w:val="NormalNonumber"/>
        <w:tabs>
          <w:tab w:val="clear" w:pos="1247"/>
          <w:tab w:val="clear" w:pos="1814"/>
          <w:tab w:val="clear" w:pos="2381"/>
          <w:tab w:val="clear" w:pos="2948"/>
          <w:tab w:val="clear" w:pos="3515"/>
          <w:tab w:val="left" w:pos="624"/>
        </w:tabs>
        <w:ind w:firstLine="624"/>
        <w:rPr>
          <w:i/>
          <w:lang w:val="en-GB"/>
        </w:rPr>
      </w:pPr>
      <w:r w:rsidRPr="007831BB">
        <w:rPr>
          <w:i/>
          <w:lang w:val="en-GB"/>
        </w:rPr>
        <w:t>The Plenary</w:t>
      </w:r>
    </w:p>
    <w:p w14:paraId="04DBF79A" w14:textId="0B78849C" w:rsidR="00E7045B" w:rsidRPr="007831BB" w:rsidRDefault="00E7045B" w:rsidP="002B5903">
      <w:pPr>
        <w:pStyle w:val="Normalnumber"/>
        <w:numPr>
          <w:ilvl w:val="0"/>
          <w:numId w:val="344"/>
        </w:numPr>
        <w:tabs>
          <w:tab w:val="clear" w:pos="567"/>
          <w:tab w:val="clear" w:pos="1247"/>
          <w:tab w:val="clear" w:pos="1814"/>
          <w:tab w:val="clear" w:pos="2381"/>
          <w:tab w:val="clear" w:pos="2948"/>
          <w:tab w:val="clear" w:pos="3515"/>
          <w:tab w:val="clear" w:pos="4082"/>
          <w:tab w:val="left" w:pos="624"/>
        </w:tabs>
        <w:ind w:firstLine="624"/>
        <w:rPr>
          <w:lang w:val="en-GB"/>
        </w:rPr>
      </w:pPr>
      <w:r w:rsidRPr="007831BB">
        <w:rPr>
          <w:i/>
          <w:lang w:val="en-GB"/>
        </w:rPr>
        <w:t>Requests</w:t>
      </w:r>
      <w:r w:rsidRPr="007831BB">
        <w:rPr>
          <w:lang w:val="en-GB"/>
        </w:rPr>
        <w:t xml:space="preserve"> the Multidisciplinary Expert Panel and the Bureau, with support by the secretariat, to develop, for consideration by the Plenary at its sixth session, initial draft elements </w:t>
      </w:r>
      <w:r w:rsidR="004F2DA9">
        <w:rPr>
          <w:lang w:val="en-GB"/>
        </w:rPr>
        <w:t>of</w:t>
      </w:r>
      <w:r w:rsidR="004F2DA9" w:rsidRPr="007831BB">
        <w:rPr>
          <w:lang w:val="en-GB"/>
        </w:rPr>
        <w:t xml:space="preserve"> </w:t>
      </w:r>
      <w:r w:rsidRPr="007831BB">
        <w:rPr>
          <w:lang w:val="en-GB"/>
        </w:rPr>
        <w:t xml:space="preserve">a framework for a rolling work programme, including a potential structure, guidance on a call for requests, a process for receiving and prioritizing requests, and preliminary estimates of costs and human resource needs, considering in particular: </w:t>
      </w:r>
    </w:p>
    <w:p w14:paraId="05B67A42" w14:textId="042A7D4B" w:rsidR="00E7045B" w:rsidRPr="007E59B1"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n-GB"/>
        </w:rPr>
      </w:pPr>
      <w:r w:rsidRPr="007E59B1">
        <w:rPr>
          <w:lang w:val="en-GB"/>
        </w:rPr>
        <w:t xml:space="preserve">The time frame for the second work programme in the context of a 10-year horizon, the 2030 Agenda </w:t>
      </w:r>
      <w:r w:rsidR="002150BB" w:rsidRPr="007E59B1">
        <w:rPr>
          <w:lang w:val="en-GB"/>
        </w:rPr>
        <w:t xml:space="preserve">for Sustainable Development, </w:t>
      </w:r>
      <w:r w:rsidRPr="007E59B1">
        <w:rPr>
          <w:lang w:val="en-GB"/>
        </w:rPr>
        <w:t>including the Sustainable Development Goals, the biodiversity-related conventions and other biodiversity and ecosystem service processes;</w:t>
      </w:r>
    </w:p>
    <w:p w14:paraId="07039998" w14:textId="77777777" w:rsidR="00E7045B" w:rsidRPr="007831BB"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n-GB"/>
        </w:rPr>
      </w:pPr>
      <w:r w:rsidRPr="007E59B1">
        <w:rPr>
          <w:lang w:val="en-GB"/>
        </w:rPr>
        <w:t>Any opportunities that might arise through strategic</w:t>
      </w:r>
      <w:r w:rsidRPr="007831BB">
        <w:rPr>
          <w:lang w:val="en-GB"/>
        </w:rPr>
        <w:t xml:space="preserve"> partnerships;</w:t>
      </w:r>
    </w:p>
    <w:p w14:paraId="3028019C" w14:textId="388BCFDC" w:rsidR="00E7045B" w:rsidRPr="007831BB"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n-GB"/>
        </w:rPr>
      </w:pPr>
      <w:r w:rsidRPr="007831BB">
        <w:rPr>
          <w:lang w:val="en-GB"/>
        </w:rPr>
        <w:t xml:space="preserve">Options for the number and timing of methodological and thematic assessments, and for assessments at various spatial scales, with the provision that flexibility by the Plenary is required to address needs that may arise during the </w:t>
      </w:r>
      <w:r w:rsidR="00201BEE">
        <w:rPr>
          <w:lang w:val="en-GB"/>
        </w:rPr>
        <w:t xml:space="preserve">period of the </w:t>
      </w:r>
      <w:r w:rsidRPr="007831BB">
        <w:rPr>
          <w:lang w:val="en-GB"/>
        </w:rPr>
        <w:t>work programme;</w:t>
      </w:r>
    </w:p>
    <w:p w14:paraId="09D289A7" w14:textId="77777777" w:rsidR="00E7045B" w:rsidRPr="007831BB"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n-GB"/>
        </w:rPr>
      </w:pPr>
      <w:r w:rsidRPr="007831BB">
        <w:rPr>
          <w:lang w:val="en-GB"/>
        </w:rPr>
        <w:t>That the second work programme should reflect the implementation of the four functions of the Platform based on the results of the review of the Platform (deliverable 4 (e)) and recommendations stemming therefrom;</w:t>
      </w:r>
    </w:p>
    <w:p w14:paraId="6CF7862F" w14:textId="77777777" w:rsidR="00E7045B" w:rsidRPr="007831BB"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n-GB"/>
        </w:rPr>
      </w:pPr>
      <w:r w:rsidRPr="007831BB">
        <w:rPr>
          <w:lang w:val="en-GB"/>
        </w:rPr>
        <w:t>The modalities for the implementation of the second work programme, building on any early outcomes of the review of the Platform with regard to the modalities for the implementation of the first work programme of the Platform, in particular the structure of technical support, task forces and expert groups and the composition of the secretariat.</w:t>
      </w:r>
    </w:p>
    <w:p w14:paraId="307B93A6"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0FDC1276" w14:textId="00482BD0" w:rsidR="00E7045B" w:rsidRPr="007831BB" w:rsidRDefault="00E7045B" w:rsidP="00E7045B">
      <w:pPr>
        <w:pStyle w:val="CH1"/>
        <w:rPr>
          <w:lang w:val="en-GB"/>
        </w:rPr>
      </w:pPr>
      <w:r w:rsidRPr="007831BB">
        <w:rPr>
          <w:lang w:val="en-GB"/>
        </w:rPr>
        <w:tab/>
      </w:r>
      <w:r w:rsidRPr="007831BB">
        <w:rPr>
          <w:lang w:val="en-GB"/>
        </w:rPr>
        <w:tab/>
        <w:t>IPBES-5/4: Enhanced participation of the European Union in sessions of the Plenary of the Platform</w:t>
      </w:r>
    </w:p>
    <w:p w14:paraId="08BCF377" w14:textId="77777777" w:rsidR="00E7045B" w:rsidRPr="007831BB" w:rsidRDefault="00E7045B" w:rsidP="002B5903">
      <w:pPr>
        <w:pStyle w:val="NormalNonumber"/>
        <w:tabs>
          <w:tab w:val="left" w:pos="624"/>
        </w:tabs>
        <w:ind w:firstLine="624"/>
        <w:rPr>
          <w:i/>
          <w:color w:val="000000" w:themeColor="text1"/>
          <w:lang w:val="en-GB"/>
        </w:rPr>
      </w:pPr>
      <w:r w:rsidRPr="007831BB">
        <w:rPr>
          <w:i/>
          <w:lang w:val="en-GB"/>
        </w:rPr>
        <w:t>The Plenary,</w:t>
      </w:r>
    </w:p>
    <w:p w14:paraId="53D4D15B" w14:textId="77777777" w:rsidR="00E7045B" w:rsidRPr="007831BB" w:rsidRDefault="00E7045B" w:rsidP="002B5903">
      <w:pPr>
        <w:pStyle w:val="NormalNonumber"/>
        <w:tabs>
          <w:tab w:val="left" w:pos="624"/>
        </w:tabs>
        <w:ind w:firstLine="624"/>
        <w:rPr>
          <w:lang w:val="en-GB"/>
        </w:rPr>
      </w:pPr>
      <w:r w:rsidRPr="007831BB">
        <w:rPr>
          <w:i/>
          <w:lang w:val="en-GB"/>
        </w:rPr>
        <w:t>Recalling</w:t>
      </w:r>
      <w:r w:rsidRPr="007831BB">
        <w:rPr>
          <w:lang w:val="en-GB"/>
        </w:rPr>
        <w:t xml:space="preserve"> </w:t>
      </w:r>
      <w:proofErr w:type="spellStart"/>
      <w:r w:rsidRPr="007831BB">
        <w:rPr>
          <w:lang w:val="en-GB"/>
        </w:rPr>
        <w:t>ongoing</w:t>
      </w:r>
      <w:proofErr w:type="spellEnd"/>
      <w:r w:rsidRPr="007831BB">
        <w:rPr>
          <w:lang w:val="en-GB"/>
        </w:rPr>
        <w:t xml:space="preserve"> discussions on the status of regional economic integration organizations in the Platform,</w:t>
      </w:r>
    </w:p>
    <w:p w14:paraId="26706195" w14:textId="32C4FC07" w:rsidR="00E7045B" w:rsidRPr="007831BB" w:rsidRDefault="00E7045B" w:rsidP="002B5903">
      <w:pPr>
        <w:pStyle w:val="NormalNonumber"/>
        <w:tabs>
          <w:tab w:val="left" w:pos="624"/>
        </w:tabs>
        <w:ind w:firstLine="624"/>
        <w:rPr>
          <w:lang w:val="en-GB"/>
        </w:rPr>
      </w:pPr>
      <w:r w:rsidRPr="007831BB">
        <w:rPr>
          <w:i/>
          <w:lang w:val="en-GB"/>
        </w:rPr>
        <w:t xml:space="preserve">Taking note </w:t>
      </w:r>
      <w:r w:rsidRPr="007831BB">
        <w:rPr>
          <w:lang w:val="en-GB"/>
        </w:rPr>
        <w:t>of the request of Slovakia in document IPBES/5/INF/27 and the commitment of the European Union to providing active support to the Platform,</w:t>
      </w:r>
    </w:p>
    <w:p w14:paraId="405C5C95" w14:textId="77777777" w:rsidR="00E7045B" w:rsidRPr="007831BB" w:rsidRDefault="00E7045B" w:rsidP="002B5903">
      <w:pPr>
        <w:pStyle w:val="NormalNonumber"/>
        <w:tabs>
          <w:tab w:val="left" w:pos="624"/>
        </w:tabs>
        <w:ind w:firstLine="624"/>
        <w:rPr>
          <w:lang w:val="en-GB"/>
        </w:rPr>
      </w:pPr>
      <w:r w:rsidRPr="007831BB">
        <w:rPr>
          <w:i/>
          <w:lang w:val="en-GB"/>
        </w:rPr>
        <w:t>Noting</w:t>
      </w:r>
      <w:r w:rsidRPr="007831BB">
        <w:rPr>
          <w:lang w:val="en-GB"/>
        </w:rPr>
        <w:t xml:space="preserve"> the unique nature of the Platform,</w:t>
      </w:r>
    </w:p>
    <w:p w14:paraId="32589699" w14:textId="77777777" w:rsidR="00E7045B" w:rsidRPr="007831BB" w:rsidRDefault="00E7045B" w:rsidP="00532959">
      <w:pPr>
        <w:pStyle w:val="Normalnumber"/>
        <w:numPr>
          <w:ilvl w:val="0"/>
          <w:numId w:val="323"/>
        </w:numPr>
        <w:tabs>
          <w:tab w:val="clear" w:pos="567"/>
          <w:tab w:val="clear" w:pos="1247"/>
          <w:tab w:val="clear" w:pos="1814"/>
          <w:tab w:val="clear" w:pos="2381"/>
          <w:tab w:val="clear" w:pos="2948"/>
          <w:tab w:val="clear" w:pos="3515"/>
          <w:tab w:val="clear" w:pos="4082"/>
          <w:tab w:val="left" w:pos="624"/>
        </w:tabs>
        <w:ind w:firstLine="624"/>
        <w:rPr>
          <w:lang w:val="en-GB"/>
        </w:rPr>
      </w:pPr>
      <w:r w:rsidRPr="007831BB">
        <w:rPr>
          <w:i/>
          <w:lang w:val="en-GB"/>
        </w:rPr>
        <w:t>Decides</w:t>
      </w:r>
      <w:r w:rsidRPr="007831BB">
        <w:rPr>
          <w:lang w:val="en-GB"/>
        </w:rPr>
        <w:t>, in this context, to allow the enhanced participation of the European Union in its capacity as observer in the sessions of the Plenary of the Platform;</w:t>
      </w:r>
    </w:p>
    <w:p w14:paraId="0B963697" w14:textId="77777777" w:rsidR="00E7045B" w:rsidRPr="007831BB" w:rsidRDefault="00E7045B" w:rsidP="002B5903">
      <w:pPr>
        <w:pStyle w:val="Normalnumber"/>
        <w:numPr>
          <w:ilvl w:val="0"/>
          <w:numId w:val="323"/>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Also</w:t>
      </w:r>
      <w:r w:rsidRPr="007831BB">
        <w:rPr>
          <w:lang w:val="en-GB"/>
        </w:rPr>
        <w:t xml:space="preserve"> </w:t>
      </w:r>
      <w:r w:rsidRPr="007831BB">
        <w:rPr>
          <w:i/>
          <w:lang w:val="en-GB"/>
        </w:rPr>
        <w:t>decides</w:t>
      </w:r>
      <w:r w:rsidRPr="007831BB">
        <w:rPr>
          <w:lang w:val="en-GB"/>
        </w:rPr>
        <w:t xml:space="preserve"> that such enhanced participation includes the right to speak in turn; the right to reply; the right to introduce proposals; the right to provide views; and the ability to support the implementation of the work programme of the Platform through financial support, among other means;</w:t>
      </w:r>
    </w:p>
    <w:p w14:paraId="1CB8EB84" w14:textId="77777777" w:rsidR="00E7045B" w:rsidRPr="007831BB" w:rsidRDefault="00E7045B" w:rsidP="002B5903">
      <w:pPr>
        <w:pStyle w:val="Normalnumber"/>
        <w:numPr>
          <w:ilvl w:val="0"/>
          <w:numId w:val="323"/>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Further decides</w:t>
      </w:r>
      <w:r w:rsidRPr="007831BB">
        <w:rPr>
          <w:lang w:val="en-GB"/>
        </w:rPr>
        <w:t xml:space="preserve"> that the rights referred to in paragraph 2 above are exclusive and do not grant the ability to vote or to be elected to the Bureau of the Platform;</w:t>
      </w:r>
    </w:p>
    <w:p w14:paraId="7D2FE451" w14:textId="77777777" w:rsidR="00E7045B" w:rsidRPr="007831BB" w:rsidRDefault="00E7045B" w:rsidP="002B5903">
      <w:pPr>
        <w:pStyle w:val="Normalnumber"/>
        <w:numPr>
          <w:ilvl w:val="0"/>
          <w:numId w:val="323"/>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Decides</w:t>
      </w:r>
      <w:r w:rsidRPr="007831BB">
        <w:rPr>
          <w:lang w:val="en-GB"/>
        </w:rPr>
        <w:t xml:space="preserve"> that the foregoing paragraphs apply on an interim basis, pending the resolution of the status of regional economic integration organizations in the Platform in the rules of procedure. </w:t>
      </w:r>
    </w:p>
    <w:p w14:paraId="6F0ADCCE"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0EC5CA84" w14:textId="67700CCB" w:rsidR="00E7045B" w:rsidRPr="007831BB" w:rsidRDefault="00E7045B" w:rsidP="00E7045B">
      <w:pPr>
        <w:pStyle w:val="CH1"/>
        <w:rPr>
          <w:lang w:val="en-GB"/>
        </w:rPr>
      </w:pPr>
      <w:r w:rsidRPr="007831BB">
        <w:rPr>
          <w:lang w:val="en-GB"/>
        </w:rPr>
        <w:tab/>
      </w:r>
      <w:r w:rsidRPr="007831BB">
        <w:rPr>
          <w:lang w:val="en-GB"/>
        </w:rPr>
        <w:tab/>
        <w:t>IPBES-5/5: Provisional agenda</w:t>
      </w:r>
      <w:r w:rsidR="00C838B3">
        <w:rPr>
          <w:lang w:val="en-GB"/>
        </w:rPr>
        <w:t>s</w:t>
      </w:r>
      <w:r w:rsidRPr="007831BB">
        <w:rPr>
          <w:lang w:val="en-GB"/>
        </w:rPr>
        <w:t xml:space="preserve">, dates and venues of the sixth and seventh sessions of the Plenary </w:t>
      </w:r>
    </w:p>
    <w:p w14:paraId="54F6F135" w14:textId="77777777" w:rsidR="00E7045B" w:rsidRPr="007831BB" w:rsidRDefault="00E7045B" w:rsidP="00532959">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lang w:val="en-GB"/>
        </w:rPr>
      </w:pPr>
      <w:r w:rsidRPr="007831BB">
        <w:rPr>
          <w:i/>
          <w:iCs/>
          <w:color w:val="000000"/>
          <w:lang w:val="en-GB"/>
        </w:rPr>
        <w:t xml:space="preserve">The Plenary </w:t>
      </w:r>
    </w:p>
    <w:p w14:paraId="2090747E" w14:textId="1138F078" w:rsidR="00E7045B" w:rsidRPr="007831BB" w:rsidRDefault="00E7045B" w:rsidP="00532959">
      <w:pPr>
        <w:pStyle w:val="Normalnumber"/>
        <w:numPr>
          <w:ilvl w:val="0"/>
          <w:numId w:val="342"/>
        </w:numPr>
        <w:tabs>
          <w:tab w:val="clear" w:pos="567"/>
          <w:tab w:val="clear" w:pos="1247"/>
          <w:tab w:val="clear" w:pos="1814"/>
          <w:tab w:val="clear" w:pos="2381"/>
          <w:tab w:val="clear" w:pos="2948"/>
          <w:tab w:val="clear" w:pos="3515"/>
          <w:tab w:val="clear" w:pos="4082"/>
          <w:tab w:val="left" w:pos="624"/>
        </w:tabs>
        <w:ind w:firstLine="624"/>
        <w:rPr>
          <w:lang w:val="en-GB"/>
        </w:rPr>
      </w:pPr>
      <w:r w:rsidRPr="007831BB">
        <w:rPr>
          <w:i/>
          <w:lang w:val="en-GB"/>
        </w:rPr>
        <w:t>Decides</w:t>
      </w:r>
      <w:r w:rsidRPr="007831BB">
        <w:rPr>
          <w:lang w:val="en-GB"/>
        </w:rPr>
        <w:t xml:space="preserve"> that the sixth session of the Plenary of the Platform will be held from Sunday, 18 March</w:t>
      </w:r>
      <w:r w:rsidR="00806AFA">
        <w:rPr>
          <w:lang w:val="en-GB"/>
        </w:rPr>
        <w:t xml:space="preserve"> 2018,</w:t>
      </w:r>
      <w:r w:rsidRPr="007831BB">
        <w:rPr>
          <w:lang w:val="en-GB"/>
        </w:rPr>
        <w:t xml:space="preserve"> to Saturday, 24 March 2018;</w:t>
      </w:r>
    </w:p>
    <w:p w14:paraId="60D1D160" w14:textId="77777777" w:rsidR="00E7045B" w:rsidRPr="007831BB"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Also decides</w:t>
      </w:r>
      <w:r w:rsidRPr="007831BB">
        <w:rPr>
          <w:lang w:val="en-GB"/>
        </w:rPr>
        <w:t xml:space="preserve"> to accept with appreciation the offer by the Government of Colombia to host the sixth session of the Plenary in Medellin, Colombia, subject to the successful conclusion of a host country agreement;</w:t>
      </w:r>
    </w:p>
    <w:p w14:paraId="6C5A3447" w14:textId="40BDB955" w:rsidR="00E7045B" w:rsidRPr="007831BB"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Requests</w:t>
      </w:r>
      <w:r w:rsidRPr="007831BB">
        <w:rPr>
          <w:lang w:val="en-GB"/>
        </w:rPr>
        <w:t xml:space="preserve"> the Executive Secretary to continue consultations with the Government of Colombia</w:t>
      </w:r>
      <w:r w:rsidR="00E222A6">
        <w:rPr>
          <w:lang w:val="en-GB"/>
        </w:rPr>
        <w:t>,</w:t>
      </w:r>
      <w:r w:rsidRPr="007831BB">
        <w:rPr>
          <w:lang w:val="en-GB"/>
        </w:rPr>
        <w:t xml:space="preserve"> to negotiate a host country agreement in conformity with General Assembly resolution 40/243 and in compliance with the provisions of United Nations administrative instruction ST/AI/342 with a view to concluding and signing the host country agreement as soon as possible</w:t>
      </w:r>
      <w:r w:rsidR="00E222A6">
        <w:rPr>
          <w:lang w:val="en-GB"/>
        </w:rPr>
        <w:t>.</w:t>
      </w:r>
      <w:r w:rsidRPr="007831BB">
        <w:rPr>
          <w:lang w:val="en-GB"/>
        </w:rPr>
        <w:t xml:space="preserve"> to organize the sixth session of the Plenary in close collaboration with the host country and to invite the members and observers of the Platform to participate in the session;</w:t>
      </w:r>
    </w:p>
    <w:p w14:paraId="5B9470EA" w14:textId="464F8F84" w:rsidR="00E7045B" w:rsidRPr="006C5428"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 xml:space="preserve">Invites </w:t>
      </w:r>
      <w:r w:rsidRPr="007831BB">
        <w:rPr>
          <w:lang w:val="en-GB"/>
        </w:rPr>
        <w:t>member</w:t>
      </w:r>
      <w:r w:rsidR="00FE0866">
        <w:rPr>
          <w:lang w:val="en-GB"/>
        </w:rPr>
        <w:t>s</w:t>
      </w:r>
      <w:r w:rsidRPr="007831BB">
        <w:rPr>
          <w:lang w:val="en-GB"/>
        </w:rPr>
        <w:t xml:space="preserve"> in a position to do so to consider hosting the seventh session of the Plenary</w:t>
      </w:r>
      <w:r w:rsidR="000645B1">
        <w:rPr>
          <w:lang w:val="en-GB"/>
        </w:rPr>
        <w:t xml:space="preserve">, </w:t>
      </w:r>
      <w:r w:rsidR="000645B1" w:rsidRPr="007831BB">
        <w:rPr>
          <w:lang w:val="en-GB"/>
        </w:rPr>
        <w:t xml:space="preserve">which is scheduled to take place from Monday, 13 </w:t>
      </w:r>
      <w:r w:rsidR="000645B1" w:rsidRPr="006C5428">
        <w:rPr>
          <w:lang w:val="en-GB"/>
        </w:rPr>
        <w:t>May</w:t>
      </w:r>
      <w:r w:rsidR="00021D45" w:rsidRPr="006C5428">
        <w:rPr>
          <w:lang w:val="en-GB"/>
        </w:rPr>
        <w:t xml:space="preserve"> 2019,</w:t>
      </w:r>
      <w:r w:rsidR="000645B1" w:rsidRPr="006C5428">
        <w:rPr>
          <w:lang w:val="en-GB"/>
        </w:rPr>
        <w:t xml:space="preserve"> to Saturday, 18 May 2019</w:t>
      </w:r>
      <w:r w:rsidRPr="006C5428">
        <w:rPr>
          <w:lang w:val="en-GB"/>
        </w:rPr>
        <w:t>;</w:t>
      </w:r>
    </w:p>
    <w:p w14:paraId="68BCBB37" w14:textId="09179C24" w:rsidR="00E7045B" w:rsidRPr="007831BB"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n-GB"/>
        </w:rPr>
      </w:pPr>
      <w:r w:rsidRPr="006C5428">
        <w:rPr>
          <w:i/>
          <w:lang w:val="en-GB"/>
        </w:rPr>
        <w:t>Requests</w:t>
      </w:r>
      <w:r w:rsidRPr="006C5428">
        <w:rPr>
          <w:lang w:val="en-GB"/>
        </w:rPr>
        <w:t xml:space="preserve"> the Executive Secretary, under the guidance of the Bureau, to consult members of the Platform that may, during </w:t>
      </w:r>
      <w:r w:rsidR="00021D45" w:rsidRPr="006C5428">
        <w:rPr>
          <w:lang w:val="en-GB"/>
        </w:rPr>
        <w:t xml:space="preserve">the </w:t>
      </w:r>
      <w:r w:rsidRPr="006C5428">
        <w:rPr>
          <w:lang w:val="en-GB"/>
        </w:rPr>
        <w:t>period</w:t>
      </w:r>
      <w:r w:rsidR="000645B1">
        <w:rPr>
          <w:lang w:val="en-GB"/>
        </w:rPr>
        <w:t xml:space="preserve"> leading up to the sixth session of the Plenary</w:t>
      </w:r>
      <w:r w:rsidRPr="007831BB">
        <w:rPr>
          <w:lang w:val="en-GB"/>
        </w:rPr>
        <w:t>, offer to host the seventh session of the Plenary;</w:t>
      </w:r>
      <w:r w:rsidR="000645B1">
        <w:rPr>
          <w:lang w:val="en-GB"/>
        </w:rPr>
        <w:t xml:space="preserve"> </w:t>
      </w:r>
    </w:p>
    <w:p w14:paraId="2B6710A3" w14:textId="7B5B0922" w:rsidR="00E7045B" w:rsidRPr="007831BB"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Also requests</w:t>
      </w:r>
      <w:r w:rsidRPr="007831BB">
        <w:rPr>
          <w:lang w:val="en-GB"/>
        </w:rPr>
        <w:t xml:space="preserve"> the Executive Secretary to report to the Plenary at its sixth session on progress in the consultations referred to in paragraph </w:t>
      </w:r>
      <w:r w:rsidR="000645B1">
        <w:rPr>
          <w:lang w:val="en-GB"/>
        </w:rPr>
        <w:t>5</w:t>
      </w:r>
      <w:r w:rsidRPr="007831BB">
        <w:rPr>
          <w:lang w:val="en-GB"/>
        </w:rPr>
        <w:t xml:space="preserve"> above, with a view to the Plenary’s deciding, at that session, on the venue and date of its seventh session;</w:t>
      </w:r>
    </w:p>
    <w:p w14:paraId="2BF60705" w14:textId="77777777" w:rsidR="00E7045B" w:rsidRPr="007831BB"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n-GB"/>
        </w:rPr>
      </w:pPr>
      <w:r w:rsidRPr="007831BB">
        <w:rPr>
          <w:i/>
          <w:lang w:val="en-GB"/>
        </w:rPr>
        <w:t>Takes note</w:t>
      </w:r>
      <w:r w:rsidRPr="007831BB">
        <w:rPr>
          <w:lang w:val="en-GB"/>
        </w:rPr>
        <w:t xml:space="preserve"> of the draft preliminary agenda for the sixth session of the Plenary</w:t>
      </w:r>
      <w:r w:rsidRPr="007831BB">
        <w:rPr>
          <w:vertAlign w:val="superscript"/>
          <w:lang w:val="en-GB"/>
        </w:rPr>
        <w:footnoteReference w:id="28"/>
      </w:r>
      <w:r w:rsidRPr="007831BB">
        <w:rPr>
          <w:lang w:val="en-GB"/>
        </w:rPr>
        <w:t xml:space="preserve"> and requests the Executive Secretary to finalize the proposed organization of work for the session in line with comments received at the fifth session of the Plenary.</w:t>
      </w:r>
    </w:p>
    <w:p w14:paraId="18782170" w14:textId="77777777" w:rsidR="00E7045B" w:rsidRPr="007831BB" w:rsidRDefault="00E7045B" w:rsidP="00E7045B">
      <w:pPr>
        <w:tabs>
          <w:tab w:val="clear" w:pos="1247"/>
          <w:tab w:val="clear" w:pos="1814"/>
          <w:tab w:val="clear" w:pos="2381"/>
          <w:tab w:val="clear" w:pos="2948"/>
          <w:tab w:val="clear" w:pos="3515"/>
        </w:tabs>
        <w:rPr>
          <w:lang w:eastAsia="en-GB"/>
        </w:rPr>
      </w:pPr>
      <w:r w:rsidRPr="007831BB">
        <w:rPr>
          <w:lang w:eastAsia="en-GB"/>
        </w:rPr>
        <w:br w:type="page"/>
      </w:r>
    </w:p>
    <w:p w14:paraId="53A77843" w14:textId="0AA1F3A0" w:rsidR="00E7045B" w:rsidRPr="007831BB" w:rsidRDefault="00E7045B" w:rsidP="00E7045B">
      <w:pPr>
        <w:pStyle w:val="CH1"/>
        <w:rPr>
          <w:i/>
          <w:iCs/>
          <w:lang w:val="en-GB"/>
        </w:rPr>
      </w:pPr>
      <w:r w:rsidRPr="007831BB">
        <w:rPr>
          <w:lang w:val="en-GB"/>
        </w:rPr>
        <w:tab/>
      </w:r>
      <w:r w:rsidRPr="007831BB">
        <w:rPr>
          <w:lang w:val="en-GB"/>
        </w:rPr>
        <w:tab/>
        <w:t xml:space="preserve">IPBES-5/6: Financial and budgetary arrangements </w:t>
      </w:r>
    </w:p>
    <w:p w14:paraId="5ABD937B" w14:textId="6E7A4BA5" w:rsidR="00E7045B" w:rsidRPr="007831BB" w:rsidRDefault="00E7045B" w:rsidP="00532959">
      <w:pPr>
        <w:pStyle w:val="NormalNonumber"/>
        <w:tabs>
          <w:tab w:val="clear" w:pos="1247"/>
          <w:tab w:val="clear" w:pos="1814"/>
          <w:tab w:val="clear" w:pos="2381"/>
          <w:tab w:val="clear" w:pos="2948"/>
          <w:tab w:val="clear" w:pos="3515"/>
          <w:tab w:val="left" w:pos="624"/>
        </w:tabs>
        <w:ind w:firstLine="624"/>
        <w:rPr>
          <w:i/>
          <w:lang w:val="en-GB"/>
        </w:rPr>
      </w:pPr>
      <w:r w:rsidRPr="007831BB">
        <w:rPr>
          <w:i/>
          <w:lang w:val="en-GB"/>
        </w:rPr>
        <w:t>The Plenary</w:t>
      </w:r>
      <w:r w:rsidR="000645B1">
        <w:rPr>
          <w:i/>
          <w:lang w:val="en-GB"/>
        </w:rPr>
        <w:t>,</w:t>
      </w:r>
      <w:r w:rsidRPr="007831BB">
        <w:rPr>
          <w:i/>
          <w:lang w:val="en-GB"/>
        </w:rPr>
        <w:t xml:space="preserve"> </w:t>
      </w:r>
    </w:p>
    <w:p w14:paraId="35CFBA2A" w14:textId="77777777" w:rsidR="00E7045B" w:rsidRPr="007831BB" w:rsidRDefault="00E7045B" w:rsidP="00532959">
      <w:pPr>
        <w:pStyle w:val="NormalNonumber"/>
        <w:tabs>
          <w:tab w:val="clear" w:pos="1247"/>
          <w:tab w:val="clear" w:pos="1814"/>
          <w:tab w:val="clear" w:pos="2381"/>
          <w:tab w:val="clear" w:pos="2948"/>
          <w:tab w:val="clear" w:pos="3515"/>
          <w:tab w:val="left" w:pos="624"/>
        </w:tabs>
        <w:ind w:firstLine="624"/>
        <w:rPr>
          <w:lang w:val="en-GB"/>
        </w:rPr>
      </w:pPr>
      <w:r w:rsidRPr="007831BB">
        <w:rPr>
          <w:i/>
          <w:lang w:val="en-GB"/>
        </w:rPr>
        <w:t>Welcoming</w:t>
      </w:r>
      <w:r w:rsidRPr="007831BB">
        <w:rPr>
          <w:lang w:val="en-GB"/>
        </w:rPr>
        <w:t xml:space="preserve"> the cash and in-kind contributions received since the inception of the Intergovernmental Science-Policy Platform on Biodiversity and Ecosystem Services in 2012, </w:t>
      </w:r>
    </w:p>
    <w:p w14:paraId="7D25A6FC" w14:textId="1E7757D8" w:rsidR="00E7045B" w:rsidRPr="007831BB" w:rsidRDefault="00E7045B" w:rsidP="00532959">
      <w:pPr>
        <w:pStyle w:val="NormalNonumber"/>
        <w:tabs>
          <w:tab w:val="clear" w:pos="1247"/>
          <w:tab w:val="clear" w:pos="1814"/>
          <w:tab w:val="clear" w:pos="2381"/>
          <w:tab w:val="clear" w:pos="2948"/>
          <w:tab w:val="clear" w:pos="3515"/>
          <w:tab w:val="left" w:pos="624"/>
        </w:tabs>
        <w:ind w:firstLine="624"/>
        <w:rPr>
          <w:lang w:val="en-GB"/>
        </w:rPr>
      </w:pPr>
      <w:r w:rsidRPr="007831BB">
        <w:rPr>
          <w:i/>
          <w:lang w:val="en-GB"/>
        </w:rPr>
        <w:t>Taking note</w:t>
      </w:r>
      <w:r w:rsidRPr="007831BB">
        <w:rPr>
          <w:lang w:val="en-GB"/>
        </w:rPr>
        <w:t xml:space="preserve"> of the status of cash and in-kind contributions received to date as set out in tables 1 and 2 of annex I to the present decision,</w:t>
      </w:r>
    </w:p>
    <w:p w14:paraId="28840790" w14:textId="1FA4F34F" w:rsidR="00E7045B" w:rsidRPr="007831BB" w:rsidRDefault="00E7045B" w:rsidP="00532959">
      <w:pPr>
        <w:pStyle w:val="NormalNonumber"/>
        <w:tabs>
          <w:tab w:val="clear" w:pos="1247"/>
          <w:tab w:val="clear" w:pos="1814"/>
          <w:tab w:val="clear" w:pos="2381"/>
          <w:tab w:val="clear" w:pos="2948"/>
          <w:tab w:val="clear" w:pos="3515"/>
          <w:tab w:val="left" w:pos="624"/>
        </w:tabs>
        <w:ind w:firstLine="624"/>
        <w:rPr>
          <w:lang w:val="en-GB"/>
        </w:rPr>
      </w:pPr>
      <w:r w:rsidRPr="007831BB">
        <w:rPr>
          <w:i/>
          <w:lang w:val="en-GB"/>
        </w:rPr>
        <w:t>Taking note also</w:t>
      </w:r>
      <w:r w:rsidRPr="007831BB">
        <w:rPr>
          <w:lang w:val="en-GB"/>
        </w:rPr>
        <w:t xml:space="preserve"> of the pledges for the period beyond 2016, as set out in table 1 of annex I to the present decision, and of the status of expenditures in the biennium 2015–2016 as set out in tables 3 and 4 of annex I to the present decision, as well as the level of savings incurred during the biennium, </w:t>
      </w:r>
    </w:p>
    <w:p w14:paraId="6C22D615" w14:textId="4775FEC8" w:rsidR="00E7045B" w:rsidRPr="00964A01" w:rsidRDefault="00E7045B" w:rsidP="00532959">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n-US"/>
        </w:rPr>
      </w:pPr>
      <w:r w:rsidRPr="00964A01">
        <w:rPr>
          <w:i/>
          <w:lang w:val="en-US"/>
        </w:rPr>
        <w:t xml:space="preserve">Urges </w:t>
      </w:r>
      <w:r w:rsidRPr="00964A01">
        <w:rPr>
          <w:lang w:val="en-US"/>
        </w:rPr>
        <w:t>members and observers to recogni</w:t>
      </w:r>
      <w:r w:rsidR="00696E64">
        <w:rPr>
          <w:lang w:val="en-US"/>
        </w:rPr>
        <w:t>z</w:t>
      </w:r>
      <w:r w:rsidRPr="00964A01">
        <w:rPr>
          <w:lang w:val="en-US"/>
        </w:rPr>
        <w:t xml:space="preserve">e </w:t>
      </w:r>
      <w:r w:rsidR="000061D4">
        <w:rPr>
          <w:lang w:val="en-US"/>
        </w:rPr>
        <w:t>th</w:t>
      </w:r>
      <w:r w:rsidR="00626237">
        <w:rPr>
          <w:lang w:val="en-US"/>
        </w:rPr>
        <w:t xml:space="preserve">e </w:t>
      </w:r>
      <w:r w:rsidR="002A67B9">
        <w:rPr>
          <w:lang w:val="en-US"/>
        </w:rPr>
        <w:t xml:space="preserve">projection </w:t>
      </w:r>
      <w:r w:rsidR="00626237">
        <w:rPr>
          <w:lang w:val="en-US"/>
        </w:rPr>
        <w:t xml:space="preserve">of </w:t>
      </w:r>
      <w:r w:rsidRPr="00964A01">
        <w:rPr>
          <w:lang w:val="en-US"/>
        </w:rPr>
        <w:t>significant revenue shortfalls in 2018 and beyond, which create a risk to the future stability of the Platform and the quality of its deliverables;</w:t>
      </w:r>
    </w:p>
    <w:p w14:paraId="0F7BDB5E" w14:textId="69CDD0EA" w:rsidR="00E7045B" w:rsidRPr="007831BB" w:rsidRDefault="00E7045B" w:rsidP="00532959">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n-GB"/>
        </w:rPr>
      </w:pPr>
      <w:r w:rsidRPr="007831BB">
        <w:rPr>
          <w:i/>
          <w:lang w:val="en-GB"/>
        </w:rPr>
        <w:t>Invites</w:t>
      </w:r>
      <w:r w:rsidRPr="007831BB">
        <w:rPr>
          <w:lang w:val="en-GB"/>
        </w:rPr>
        <w:t xml:space="preserve"> pledges and contributions to the trust fund of the Platform, as well as in-kind contributions, from Governments, United Nations bodies, the Global Environment Facility, other intergovernmental organizations, stakeholders and others in a position to make such contributions to support the work of the </w:t>
      </w:r>
      <w:r w:rsidR="00E46053">
        <w:rPr>
          <w:lang w:val="en-GB"/>
        </w:rPr>
        <w:t>P</w:t>
      </w:r>
      <w:r w:rsidRPr="007831BB">
        <w:rPr>
          <w:lang w:val="en-GB"/>
        </w:rPr>
        <w:t>latform, including regional economic integration organizations, the private sector and foundations;</w:t>
      </w:r>
    </w:p>
    <w:p w14:paraId="6D24F277" w14:textId="7356A88A" w:rsidR="00E7045B" w:rsidRPr="007831BB"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i/>
          <w:lang w:val="en-GB"/>
        </w:rPr>
      </w:pPr>
      <w:r w:rsidRPr="007831BB">
        <w:rPr>
          <w:i/>
          <w:lang w:val="en-GB"/>
        </w:rPr>
        <w:t xml:space="preserve">Requests </w:t>
      </w:r>
      <w:r w:rsidRPr="007831BB">
        <w:rPr>
          <w:lang w:val="en-GB"/>
        </w:rPr>
        <w:t>the Executive Secretary, working under the guidance of the Bureau, to report to the Plenary at its sixth session on expenditures for the biennium 2016–2017;</w:t>
      </w:r>
    </w:p>
    <w:p w14:paraId="3D76AFD9" w14:textId="14BC2A55" w:rsidR="00E7045B" w:rsidRPr="007831BB"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n-GB"/>
        </w:rPr>
      </w:pPr>
      <w:r w:rsidRPr="007831BB">
        <w:rPr>
          <w:i/>
          <w:lang w:val="en-GB"/>
        </w:rPr>
        <w:t>Adopts</w:t>
      </w:r>
      <w:r w:rsidRPr="007831BB">
        <w:rPr>
          <w:lang w:val="en-GB"/>
        </w:rPr>
        <w:t xml:space="preserve"> the revised annual budget for 2017 amounting to $8,732,772 as set out in table 5 of annex I to the present decision;</w:t>
      </w:r>
    </w:p>
    <w:p w14:paraId="0D44F1F9" w14:textId="17D497EC" w:rsidR="00E7045B" w:rsidRPr="006C5428" w:rsidRDefault="00E7045B" w:rsidP="008D22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n-GB"/>
        </w:rPr>
      </w:pPr>
      <w:r w:rsidRPr="007831BB">
        <w:rPr>
          <w:i/>
          <w:lang w:val="en-GB"/>
        </w:rPr>
        <w:t>Will consider</w:t>
      </w:r>
      <w:r w:rsidRPr="007831BB">
        <w:rPr>
          <w:lang w:val="en-GB"/>
        </w:rPr>
        <w:t xml:space="preserve"> at its sixth session, subject to the availability of sufficient funds</w:t>
      </w:r>
      <w:r w:rsidRPr="006C5428">
        <w:rPr>
          <w:lang w:val="en-GB"/>
        </w:rPr>
        <w:t xml:space="preserve">, the </w:t>
      </w:r>
      <w:r w:rsidR="004153C8">
        <w:rPr>
          <w:lang w:val="en-GB"/>
        </w:rPr>
        <w:t xml:space="preserve">pending </w:t>
      </w:r>
      <w:r w:rsidR="004B1671" w:rsidRPr="00160BD4">
        <w:rPr>
          <w:bCs/>
          <w:lang w:val="en-GB"/>
        </w:rPr>
        <w:t xml:space="preserve">thematic assessment on the sustainable use of </w:t>
      </w:r>
      <w:r w:rsidR="00E46053" w:rsidRPr="00E46053">
        <w:rPr>
          <w:bCs/>
          <w:lang w:val="en-GB"/>
        </w:rPr>
        <w:t>wild species</w:t>
      </w:r>
      <w:r w:rsidR="004B1671" w:rsidRPr="00160BD4">
        <w:rPr>
          <w:bCs/>
          <w:lang w:val="en-GB"/>
        </w:rPr>
        <w:t>, the pending methodological assessment regarding the diverse conceptualization of multiple values of nature and its benefits and the pending thematic assessment on invasive alien species</w:t>
      </w:r>
      <w:r w:rsidR="00524E6D" w:rsidRPr="006C5428">
        <w:rPr>
          <w:bCs/>
          <w:lang w:val="en-GB"/>
        </w:rPr>
        <w:t>;</w:t>
      </w:r>
    </w:p>
    <w:p w14:paraId="2903A4A4" w14:textId="2C781790" w:rsidR="00E7045B" w:rsidRPr="007831BB"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n-GB"/>
        </w:rPr>
      </w:pPr>
      <w:r w:rsidRPr="007831BB">
        <w:rPr>
          <w:i/>
          <w:lang w:val="en-GB"/>
        </w:rPr>
        <w:t>Adopts</w:t>
      </w:r>
      <w:r w:rsidRPr="007831BB">
        <w:rPr>
          <w:lang w:val="en-GB"/>
        </w:rPr>
        <w:t xml:space="preserve"> the revised annual budget for 2018 amounting to $5,000,000 as set out in table 5 of annex I to the present decision and will revisit the matter at its sixth session; </w:t>
      </w:r>
    </w:p>
    <w:p w14:paraId="0BCFF07D" w14:textId="4D4504D3" w:rsidR="00E7045B" w:rsidRPr="007831BB"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n-GB"/>
        </w:rPr>
      </w:pPr>
      <w:r w:rsidRPr="007831BB">
        <w:rPr>
          <w:i/>
          <w:lang w:val="en-GB"/>
        </w:rPr>
        <w:t>Requests</w:t>
      </w:r>
      <w:r w:rsidRPr="007831BB">
        <w:rPr>
          <w:lang w:val="en-GB"/>
        </w:rPr>
        <w:t xml:space="preserve"> the secretariat to examine the implication</w:t>
      </w:r>
      <w:r w:rsidR="00B264AA">
        <w:rPr>
          <w:lang w:val="en-GB"/>
        </w:rPr>
        <w:t>s</w:t>
      </w:r>
      <w:r w:rsidRPr="007831BB">
        <w:rPr>
          <w:lang w:val="en-GB"/>
        </w:rPr>
        <w:t xml:space="preserve"> of a $5,000,000 budget and of options both above and below that </w:t>
      </w:r>
      <w:r w:rsidR="00625281">
        <w:rPr>
          <w:lang w:val="en-GB"/>
        </w:rPr>
        <w:t>amount</w:t>
      </w:r>
      <w:r w:rsidRPr="007831BB">
        <w:rPr>
          <w:lang w:val="en-GB"/>
        </w:rPr>
        <w:t>;</w:t>
      </w:r>
    </w:p>
    <w:p w14:paraId="582B0CDD" w14:textId="77777777" w:rsidR="00E7045B" w:rsidRPr="007831BB"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i/>
          <w:lang w:val="en-GB"/>
        </w:rPr>
      </w:pPr>
      <w:r w:rsidRPr="007831BB">
        <w:rPr>
          <w:i/>
          <w:lang w:val="en-GB"/>
        </w:rPr>
        <w:t xml:space="preserve">Requests </w:t>
      </w:r>
      <w:r w:rsidRPr="007831BB">
        <w:rPr>
          <w:lang w:val="en-GB"/>
        </w:rPr>
        <w:t>experts from developed countries, prior to accepting roles as members of Platform expert groups or subsidiary bodies, to commit themselves to obtaining the financial means necessary for their participation in the work of the Platform;</w:t>
      </w:r>
    </w:p>
    <w:p w14:paraId="069962AA" w14:textId="77AF33E5" w:rsidR="00E7045B" w:rsidRPr="007831BB" w:rsidRDefault="00E7045B" w:rsidP="00532959">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n-GB"/>
        </w:rPr>
      </w:pPr>
      <w:r w:rsidRPr="007831BB">
        <w:rPr>
          <w:i/>
          <w:lang w:val="en-GB"/>
        </w:rPr>
        <w:t>Approves</w:t>
      </w:r>
      <w:r w:rsidRPr="007831BB">
        <w:rPr>
          <w:lang w:val="en-GB"/>
        </w:rPr>
        <w:t xml:space="preserve"> the fundraising strategy for the Platform set out in annex II to the present decision and requests the Executive Secretary, in accordance with the financial procedures of the Platform and working under the guidance of the Bureau with the support of members, to start implementing the strategy and to report on progress in its implementation to the Plenary at its sixth session.</w:t>
      </w:r>
    </w:p>
    <w:p w14:paraId="4E3E1268" w14:textId="5BAFBFBB" w:rsidR="00E7045B" w:rsidRPr="00964A01" w:rsidRDefault="00E7045B" w:rsidP="006F57F3">
      <w:pPr>
        <w:pStyle w:val="Normal-pool"/>
        <w:rPr>
          <w:lang w:val="en-US"/>
        </w:rPr>
      </w:pPr>
    </w:p>
    <w:p w14:paraId="3E550A7B" w14:textId="77777777" w:rsidR="00E7045B" w:rsidRPr="00440196" w:rsidRDefault="00E7045B" w:rsidP="00E7045B">
      <w:pPr>
        <w:sectPr w:rsidR="00E7045B" w:rsidRPr="00440196" w:rsidSect="00375877">
          <w:headerReference w:type="even" r:id="rId23"/>
          <w:headerReference w:type="default" r:id="rId24"/>
          <w:footerReference w:type="even" r:id="rId25"/>
          <w:footerReference w:type="default" r:id="rId26"/>
          <w:headerReference w:type="first" r:id="rId27"/>
          <w:footerReference w:type="first" r:id="rId28"/>
          <w:pgSz w:w="11906" w:h="16838" w:code="9"/>
          <w:pgMar w:top="907" w:right="992" w:bottom="1418" w:left="1418" w:header="539" w:footer="975" w:gutter="0"/>
          <w:cols w:space="539"/>
          <w:titlePg/>
          <w:docGrid w:linePitch="360"/>
        </w:sectPr>
      </w:pPr>
    </w:p>
    <w:p w14:paraId="362545BB" w14:textId="7C91F6F5" w:rsidR="006F57F3" w:rsidRPr="007831BB" w:rsidRDefault="00125411" w:rsidP="00125411">
      <w:pPr>
        <w:pStyle w:val="CH1"/>
        <w:spacing w:before="120"/>
        <w:rPr>
          <w:lang w:val="en-GB"/>
        </w:rPr>
      </w:pPr>
      <w:r>
        <w:rPr>
          <w:w w:val="103"/>
          <w:lang w:val="en-GB"/>
        </w:rPr>
        <w:tab/>
      </w:r>
      <w:r>
        <w:rPr>
          <w:w w:val="103"/>
          <w:lang w:val="en-GB"/>
        </w:rPr>
        <w:tab/>
      </w:r>
      <w:r w:rsidR="006F57F3" w:rsidRPr="007831BB">
        <w:rPr>
          <w:w w:val="103"/>
          <w:lang w:val="en-GB"/>
        </w:rPr>
        <w:t xml:space="preserve">Annex </w:t>
      </w:r>
      <w:proofErr w:type="gramStart"/>
      <w:r w:rsidR="006F57F3" w:rsidRPr="007831BB">
        <w:rPr>
          <w:w w:val="103"/>
          <w:lang w:val="en-GB"/>
        </w:rPr>
        <w:t>I</w:t>
      </w:r>
      <w:proofErr w:type="gramEnd"/>
      <w:r w:rsidR="006F57F3" w:rsidRPr="007831BB">
        <w:rPr>
          <w:w w:val="103"/>
          <w:lang w:val="en-GB"/>
        </w:rPr>
        <w:t xml:space="preserve"> to decision IPBES-5/6</w:t>
      </w:r>
    </w:p>
    <w:p w14:paraId="4EF0E1B6" w14:textId="77777777" w:rsidR="006F57F3" w:rsidRPr="007831BB" w:rsidRDefault="006F57F3" w:rsidP="006F57F3">
      <w:pPr>
        <w:pStyle w:val="CH1"/>
        <w:keepNext w:val="0"/>
        <w:keepLines w:val="0"/>
        <w:spacing w:before="120"/>
        <w:rPr>
          <w:lang w:val="en-GB"/>
        </w:rPr>
      </w:pPr>
      <w:r w:rsidRPr="007831BB">
        <w:rPr>
          <w:lang w:val="en-GB"/>
        </w:rPr>
        <w:tab/>
      </w:r>
      <w:r w:rsidRPr="007831BB">
        <w:rPr>
          <w:lang w:val="en-GB"/>
        </w:rPr>
        <w:tab/>
        <w:t>Financial and budget tables</w:t>
      </w:r>
    </w:p>
    <w:p w14:paraId="0A0FE79A" w14:textId="77777777" w:rsidR="006F57F3" w:rsidRPr="007831BB" w:rsidRDefault="006F57F3" w:rsidP="006F57F3">
      <w:pPr>
        <w:pStyle w:val="CH1"/>
        <w:keepNext w:val="0"/>
        <w:keepLines w:val="0"/>
        <w:spacing w:before="120"/>
        <w:rPr>
          <w:lang w:val="en-GB"/>
        </w:rPr>
      </w:pPr>
      <w:r w:rsidRPr="007831BB">
        <w:rPr>
          <w:lang w:val="en-GB"/>
        </w:rPr>
        <w:tab/>
        <w:t>I.</w:t>
      </w:r>
      <w:r w:rsidRPr="007831BB">
        <w:rPr>
          <w:lang w:val="en-GB"/>
        </w:rPr>
        <w:tab/>
        <w:t xml:space="preserve">Status of cash and in-kind contributions to the Platform </w:t>
      </w:r>
    </w:p>
    <w:p w14:paraId="1622E6D4" w14:textId="1F34A250" w:rsidR="006F57F3" w:rsidRPr="00647316" w:rsidRDefault="006F57F3" w:rsidP="006F57F3">
      <w:pPr>
        <w:pStyle w:val="Normalnumber"/>
        <w:numPr>
          <w:ilvl w:val="0"/>
          <w:numId w:val="438"/>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Table 1 sets out the status of the cash contributions received since the establishment of the Platform in 2012, as well as confirmed pledges as at 10 March 2017.</w:t>
      </w:r>
    </w:p>
    <w:p w14:paraId="5F7FDD55" w14:textId="77777777" w:rsidR="00E7045B" w:rsidRPr="00440196" w:rsidRDefault="00E7045B" w:rsidP="00125411">
      <w:pPr>
        <w:pStyle w:val="Titletable"/>
      </w:pPr>
      <w:r w:rsidRPr="00440196">
        <w:t>Table 1</w:t>
      </w:r>
      <w:r w:rsidRPr="00440196">
        <w:br/>
        <w:t>Status of cash contributions received and pledges made since the establishment of the Platform in April 2012 (from 1 May 2012 to 10 March 2017)</w:t>
      </w:r>
    </w:p>
    <w:p w14:paraId="475AFF1D" w14:textId="77777777" w:rsidR="00E7045B" w:rsidRPr="00440196" w:rsidRDefault="00E7045B" w:rsidP="00125411">
      <w:pPr>
        <w:spacing w:after="60"/>
        <w:ind w:left="1247"/>
        <w:rPr>
          <w:sz w:val="17"/>
          <w:szCs w:val="17"/>
        </w:rPr>
      </w:pPr>
      <w:r w:rsidRPr="00440196">
        <w:rPr>
          <w:sz w:val="18"/>
          <w:szCs w:val="18"/>
        </w:rPr>
        <w:t>(United States dollars)</w:t>
      </w:r>
    </w:p>
    <w:tbl>
      <w:tblPr>
        <w:tblW w:w="14741" w:type="dxa"/>
        <w:tblInd w:w="109" w:type="dxa"/>
        <w:tblLayout w:type="fixed"/>
        <w:tblLook w:val="04A0" w:firstRow="1" w:lastRow="0" w:firstColumn="1" w:lastColumn="0" w:noHBand="0" w:noVBand="1"/>
      </w:tblPr>
      <w:tblGrid>
        <w:gridCol w:w="2410"/>
        <w:gridCol w:w="992"/>
        <w:gridCol w:w="1134"/>
        <w:gridCol w:w="1134"/>
        <w:gridCol w:w="1134"/>
        <w:gridCol w:w="1134"/>
        <w:gridCol w:w="851"/>
        <w:gridCol w:w="1644"/>
        <w:gridCol w:w="992"/>
        <w:gridCol w:w="992"/>
        <w:gridCol w:w="1134"/>
        <w:gridCol w:w="1190"/>
      </w:tblGrid>
      <w:tr w:rsidR="00E7045B" w:rsidRPr="00440196" w14:paraId="6F3A9404" w14:textId="77777777" w:rsidTr="006F57F3">
        <w:trPr>
          <w:trHeight w:val="414"/>
        </w:trPr>
        <w:tc>
          <w:tcPr>
            <w:tcW w:w="2410" w:type="dxa"/>
            <w:vMerge w:val="restart"/>
            <w:tcBorders>
              <w:top w:val="single" w:sz="4" w:space="0" w:color="auto"/>
              <w:bottom w:val="single" w:sz="12" w:space="0" w:color="auto"/>
            </w:tcBorders>
            <w:shd w:val="clear" w:color="auto" w:fill="auto"/>
            <w:noWrap/>
            <w:vAlign w:val="center"/>
            <w:hideMark/>
          </w:tcPr>
          <w:p w14:paraId="08F9D155" w14:textId="77777777" w:rsidR="00E7045B" w:rsidRPr="00440196" w:rsidRDefault="00E7045B" w:rsidP="00440196">
            <w:pPr>
              <w:rPr>
                <w:b/>
                <w:bCs/>
                <w:color w:val="000000"/>
                <w:sz w:val="18"/>
                <w:szCs w:val="18"/>
                <w:lang w:eastAsia="zh-CN"/>
              </w:rPr>
            </w:pPr>
            <w:r w:rsidRPr="00440196">
              <w:rPr>
                <w:color w:val="000000"/>
                <w:sz w:val="18"/>
                <w:szCs w:val="18"/>
                <w:lang w:eastAsia="zh-CN"/>
              </w:rPr>
              <w:t>Country</w:t>
            </w:r>
          </w:p>
        </w:tc>
        <w:tc>
          <w:tcPr>
            <w:tcW w:w="8023" w:type="dxa"/>
            <w:gridSpan w:val="7"/>
            <w:tcBorders>
              <w:top w:val="single" w:sz="4" w:space="0" w:color="auto"/>
              <w:bottom w:val="single" w:sz="4" w:space="0" w:color="auto"/>
            </w:tcBorders>
            <w:shd w:val="clear" w:color="auto" w:fill="auto"/>
            <w:noWrap/>
            <w:vAlign w:val="center"/>
            <w:hideMark/>
          </w:tcPr>
          <w:p w14:paraId="72E05C87" w14:textId="77777777" w:rsidR="00E7045B" w:rsidRPr="00440196" w:rsidRDefault="00E7045B" w:rsidP="00440196">
            <w:pPr>
              <w:jc w:val="center"/>
              <w:rPr>
                <w:bCs/>
                <w:i/>
                <w:color w:val="000000"/>
                <w:sz w:val="18"/>
                <w:szCs w:val="18"/>
                <w:lang w:eastAsia="zh-CN"/>
              </w:rPr>
            </w:pPr>
            <w:r w:rsidRPr="00440196">
              <w:rPr>
                <w:bCs/>
                <w:i/>
                <w:color w:val="000000"/>
                <w:sz w:val="18"/>
                <w:szCs w:val="18"/>
                <w:lang w:eastAsia="zh-CN"/>
              </w:rPr>
              <w:t>Contributions</w:t>
            </w:r>
          </w:p>
        </w:tc>
        <w:tc>
          <w:tcPr>
            <w:tcW w:w="4308" w:type="dxa"/>
            <w:gridSpan w:val="4"/>
            <w:tcBorders>
              <w:top w:val="single" w:sz="4" w:space="0" w:color="auto"/>
              <w:bottom w:val="single" w:sz="4" w:space="0" w:color="auto"/>
            </w:tcBorders>
            <w:shd w:val="clear" w:color="auto" w:fill="auto"/>
            <w:noWrap/>
            <w:vAlign w:val="center"/>
            <w:hideMark/>
          </w:tcPr>
          <w:p w14:paraId="244A9F28" w14:textId="77777777" w:rsidR="00E7045B" w:rsidRPr="00440196" w:rsidRDefault="00E7045B" w:rsidP="00440196">
            <w:pPr>
              <w:jc w:val="center"/>
              <w:rPr>
                <w:bCs/>
                <w:i/>
                <w:color w:val="000000"/>
                <w:sz w:val="18"/>
                <w:szCs w:val="18"/>
                <w:lang w:eastAsia="zh-CN"/>
              </w:rPr>
            </w:pPr>
            <w:r w:rsidRPr="00440196">
              <w:rPr>
                <w:bCs/>
                <w:i/>
                <w:color w:val="000000"/>
                <w:sz w:val="18"/>
                <w:szCs w:val="18"/>
                <w:lang w:eastAsia="zh-CN"/>
              </w:rPr>
              <w:t xml:space="preserve">Pledges per United Nations exchange rate of </w:t>
            </w:r>
          </w:p>
          <w:p w14:paraId="5DC87B99" w14:textId="63E72DDB" w:rsidR="00E7045B" w:rsidRPr="00440196" w:rsidRDefault="00E7045B" w:rsidP="00440196">
            <w:pPr>
              <w:jc w:val="center"/>
              <w:rPr>
                <w:bCs/>
                <w:i/>
                <w:color w:val="000000"/>
                <w:sz w:val="18"/>
                <w:szCs w:val="18"/>
                <w:lang w:eastAsia="zh-CN"/>
              </w:rPr>
            </w:pPr>
            <w:r w:rsidRPr="00440196">
              <w:rPr>
                <w:bCs/>
                <w:i/>
                <w:color w:val="000000"/>
                <w:sz w:val="18"/>
                <w:szCs w:val="18"/>
                <w:lang w:eastAsia="zh-CN"/>
              </w:rPr>
              <w:t>1 March 2017</w:t>
            </w:r>
          </w:p>
        </w:tc>
      </w:tr>
      <w:tr w:rsidR="00E7045B" w:rsidRPr="00440196" w14:paraId="71446EA7" w14:textId="77777777" w:rsidTr="006F57F3">
        <w:trPr>
          <w:trHeight w:val="240"/>
        </w:trPr>
        <w:tc>
          <w:tcPr>
            <w:tcW w:w="2410" w:type="dxa"/>
            <w:vMerge/>
            <w:tcBorders>
              <w:top w:val="single" w:sz="4" w:space="0" w:color="auto"/>
              <w:bottom w:val="single" w:sz="12" w:space="0" w:color="auto"/>
            </w:tcBorders>
            <w:shd w:val="clear" w:color="auto" w:fill="auto"/>
            <w:noWrap/>
            <w:vAlign w:val="bottom"/>
            <w:hideMark/>
          </w:tcPr>
          <w:p w14:paraId="354D4BD3" w14:textId="77777777" w:rsidR="00E7045B" w:rsidRPr="00440196" w:rsidRDefault="00E7045B" w:rsidP="00440196">
            <w:pPr>
              <w:rPr>
                <w:color w:val="000000"/>
                <w:sz w:val="18"/>
                <w:szCs w:val="18"/>
                <w:lang w:eastAsia="zh-CN"/>
              </w:rPr>
            </w:pPr>
          </w:p>
        </w:tc>
        <w:tc>
          <w:tcPr>
            <w:tcW w:w="992" w:type="dxa"/>
            <w:tcBorders>
              <w:top w:val="single" w:sz="4" w:space="0" w:color="auto"/>
              <w:bottom w:val="single" w:sz="4" w:space="0" w:color="auto"/>
            </w:tcBorders>
            <w:shd w:val="clear" w:color="auto" w:fill="auto"/>
            <w:noWrap/>
            <w:vAlign w:val="center"/>
            <w:hideMark/>
          </w:tcPr>
          <w:p w14:paraId="7162A68E"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2012</w:t>
            </w:r>
          </w:p>
        </w:tc>
        <w:tc>
          <w:tcPr>
            <w:tcW w:w="1134" w:type="dxa"/>
            <w:tcBorders>
              <w:top w:val="single" w:sz="4" w:space="0" w:color="auto"/>
              <w:bottom w:val="single" w:sz="4" w:space="0" w:color="auto"/>
            </w:tcBorders>
            <w:shd w:val="clear" w:color="auto" w:fill="auto"/>
            <w:noWrap/>
            <w:vAlign w:val="center"/>
            <w:hideMark/>
          </w:tcPr>
          <w:p w14:paraId="709C8BAC"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2013</w:t>
            </w:r>
          </w:p>
        </w:tc>
        <w:tc>
          <w:tcPr>
            <w:tcW w:w="1134" w:type="dxa"/>
            <w:tcBorders>
              <w:top w:val="single" w:sz="4" w:space="0" w:color="auto"/>
              <w:bottom w:val="single" w:sz="4" w:space="0" w:color="auto"/>
            </w:tcBorders>
            <w:shd w:val="clear" w:color="auto" w:fill="auto"/>
            <w:noWrap/>
            <w:vAlign w:val="center"/>
            <w:hideMark/>
          </w:tcPr>
          <w:p w14:paraId="40A72984"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2014</w:t>
            </w:r>
          </w:p>
        </w:tc>
        <w:tc>
          <w:tcPr>
            <w:tcW w:w="1134" w:type="dxa"/>
            <w:tcBorders>
              <w:top w:val="single" w:sz="4" w:space="0" w:color="auto"/>
              <w:bottom w:val="single" w:sz="4" w:space="0" w:color="auto"/>
            </w:tcBorders>
            <w:shd w:val="clear" w:color="auto" w:fill="auto"/>
            <w:noWrap/>
            <w:vAlign w:val="center"/>
            <w:hideMark/>
          </w:tcPr>
          <w:p w14:paraId="67F0734F" w14:textId="77777777" w:rsidR="00E7045B" w:rsidRPr="00440196" w:rsidRDefault="00E7045B" w:rsidP="00440196">
            <w:pPr>
              <w:jc w:val="center"/>
              <w:rPr>
                <w:i/>
                <w:iCs/>
                <w:color w:val="000000"/>
                <w:sz w:val="18"/>
                <w:szCs w:val="18"/>
                <w:lang w:eastAsia="zh-CN"/>
              </w:rPr>
            </w:pPr>
            <w:r w:rsidRPr="00440196">
              <w:rPr>
                <w:i/>
                <w:iCs/>
                <w:color w:val="000000"/>
                <w:sz w:val="18"/>
                <w:szCs w:val="18"/>
                <w:lang w:eastAsia="zh-CN"/>
              </w:rPr>
              <w:t>2015</w:t>
            </w:r>
          </w:p>
        </w:tc>
        <w:tc>
          <w:tcPr>
            <w:tcW w:w="1134" w:type="dxa"/>
            <w:tcBorders>
              <w:top w:val="single" w:sz="4" w:space="0" w:color="auto"/>
              <w:bottom w:val="single" w:sz="4" w:space="0" w:color="auto"/>
            </w:tcBorders>
            <w:shd w:val="clear" w:color="auto" w:fill="auto"/>
            <w:noWrap/>
            <w:vAlign w:val="center"/>
            <w:hideMark/>
          </w:tcPr>
          <w:p w14:paraId="0E848D0C" w14:textId="77777777" w:rsidR="00E7045B" w:rsidRPr="00440196" w:rsidRDefault="00E7045B" w:rsidP="00440196">
            <w:pPr>
              <w:jc w:val="center"/>
              <w:rPr>
                <w:i/>
                <w:iCs/>
                <w:color w:val="000000"/>
                <w:sz w:val="18"/>
                <w:szCs w:val="18"/>
                <w:lang w:eastAsia="zh-CN"/>
              </w:rPr>
            </w:pPr>
            <w:r w:rsidRPr="00440196">
              <w:rPr>
                <w:i/>
                <w:iCs/>
                <w:color w:val="000000"/>
                <w:sz w:val="18"/>
                <w:szCs w:val="18"/>
                <w:lang w:eastAsia="zh-CN"/>
              </w:rPr>
              <w:t>2016</w:t>
            </w:r>
          </w:p>
        </w:tc>
        <w:tc>
          <w:tcPr>
            <w:tcW w:w="851" w:type="dxa"/>
            <w:tcBorders>
              <w:top w:val="single" w:sz="4" w:space="0" w:color="auto"/>
              <w:bottom w:val="single" w:sz="4" w:space="0" w:color="auto"/>
            </w:tcBorders>
            <w:shd w:val="clear" w:color="auto" w:fill="auto"/>
            <w:noWrap/>
            <w:vAlign w:val="center"/>
            <w:hideMark/>
          </w:tcPr>
          <w:p w14:paraId="0E23B5B1" w14:textId="77777777" w:rsidR="00E7045B" w:rsidRPr="00440196" w:rsidRDefault="00E7045B" w:rsidP="00440196">
            <w:pPr>
              <w:jc w:val="center"/>
              <w:rPr>
                <w:i/>
                <w:iCs/>
                <w:color w:val="000000"/>
                <w:sz w:val="18"/>
                <w:szCs w:val="18"/>
                <w:lang w:eastAsia="zh-CN"/>
              </w:rPr>
            </w:pPr>
            <w:r w:rsidRPr="00440196">
              <w:rPr>
                <w:i/>
                <w:iCs/>
                <w:color w:val="000000"/>
                <w:sz w:val="18"/>
                <w:szCs w:val="18"/>
                <w:lang w:eastAsia="zh-CN"/>
              </w:rPr>
              <w:t>2017</w:t>
            </w:r>
          </w:p>
        </w:tc>
        <w:tc>
          <w:tcPr>
            <w:tcW w:w="1644" w:type="dxa"/>
            <w:tcBorders>
              <w:top w:val="single" w:sz="4" w:space="0" w:color="auto"/>
              <w:bottom w:val="single" w:sz="4" w:space="0" w:color="auto"/>
            </w:tcBorders>
            <w:shd w:val="clear" w:color="auto" w:fill="auto"/>
            <w:noWrap/>
            <w:vAlign w:val="center"/>
            <w:hideMark/>
          </w:tcPr>
          <w:p w14:paraId="0AFE00D9" w14:textId="77777777" w:rsidR="00E7045B" w:rsidRPr="00440196" w:rsidRDefault="00E7045B" w:rsidP="00440196">
            <w:pPr>
              <w:jc w:val="center"/>
              <w:rPr>
                <w:b/>
                <w:bCs/>
                <w:color w:val="000000"/>
                <w:sz w:val="18"/>
                <w:szCs w:val="18"/>
                <w:lang w:eastAsia="zh-CN"/>
              </w:rPr>
            </w:pPr>
            <w:r w:rsidRPr="00440196">
              <w:rPr>
                <w:b/>
                <w:bCs/>
                <w:color w:val="000000"/>
                <w:sz w:val="18"/>
                <w:szCs w:val="18"/>
                <w:lang w:eastAsia="zh-CN"/>
              </w:rPr>
              <w:t>Total</w:t>
            </w:r>
          </w:p>
        </w:tc>
        <w:tc>
          <w:tcPr>
            <w:tcW w:w="992" w:type="dxa"/>
            <w:tcBorders>
              <w:top w:val="single" w:sz="4" w:space="0" w:color="auto"/>
              <w:bottom w:val="single" w:sz="4" w:space="0" w:color="auto"/>
            </w:tcBorders>
            <w:shd w:val="clear" w:color="auto" w:fill="auto"/>
            <w:noWrap/>
            <w:vAlign w:val="center"/>
            <w:hideMark/>
          </w:tcPr>
          <w:p w14:paraId="4D734B7D" w14:textId="77777777" w:rsidR="00E7045B" w:rsidRPr="00440196" w:rsidRDefault="00E7045B" w:rsidP="00440196">
            <w:pPr>
              <w:jc w:val="center"/>
              <w:rPr>
                <w:i/>
                <w:iCs/>
                <w:color w:val="000000"/>
                <w:sz w:val="18"/>
                <w:szCs w:val="18"/>
                <w:lang w:eastAsia="zh-CN"/>
              </w:rPr>
            </w:pPr>
            <w:r w:rsidRPr="00440196">
              <w:rPr>
                <w:i/>
                <w:iCs/>
                <w:color w:val="000000"/>
                <w:sz w:val="18"/>
                <w:szCs w:val="18"/>
                <w:lang w:eastAsia="zh-CN"/>
              </w:rPr>
              <w:t>2017</w:t>
            </w:r>
          </w:p>
        </w:tc>
        <w:tc>
          <w:tcPr>
            <w:tcW w:w="992" w:type="dxa"/>
            <w:tcBorders>
              <w:top w:val="single" w:sz="4" w:space="0" w:color="auto"/>
              <w:bottom w:val="single" w:sz="4" w:space="0" w:color="auto"/>
            </w:tcBorders>
            <w:shd w:val="clear" w:color="auto" w:fill="auto"/>
            <w:noWrap/>
            <w:vAlign w:val="center"/>
            <w:hideMark/>
          </w:tcPr>
          <w:p w14:paraId="5B23DF43" w14:textId="77777777" w:rsidR="00E7045B" w:rsidRPr="00440196" w:rsidRDefault="00E7045B" w:rsidP="00440196">
            <w:pPr>
              <w:jc w:val="center"/>
              <w:rPr>
                <w:i/>
                <w:iCs/>
                <w:color w:val="000000"/>
                <w:sz w:val="18"/>
                <w:szCs w:val="18"/>
                <w:lang w:eastAsia="zh-CN"/>
              </w:rPr>
            </w:pPr>
            <w:r w:rsidRPr="00440196">
              <w:rPr>
                <w:i/>
                <w:iCs/>
                <w:color w:val="000000"/>
                <w:sz w:val="18"/>
                <w:szCs w:val="18"/>
                <w:lang w:eastAsia="zh-CN"/>
              </w:rPr>
              <w:t>2018</w:t>
            </w:r>
          </w:p>
        </w:tc>
        <w:tc>
          <w:tcPr>
            <w:tcW w:w="1134" w:type="dxa"/>
            <w:tcBorders>
              <w:top w:val="single" w:sz="4" w:space="0" w:color="auto"/>
              <w:bottom w:val="single" w:sz="4" w:space="0" w:color="auto"/>
            </w:tcBorders>
            <w:shd w:val="clear" w:color="auto" w:fill="auto"/>
            <w:noWrap/>
            <w:vAlign w:val="center"/>
            <w:hideMark/>
          </w:tcPr>
          <w:p w14:paraId="0A38F9EA" w14:textId="77777777" w:rsidR="00E7045B" w:rsidRPr="00440196" w:rsidRDefault="00E7045B" w:rsidP="00440196">
            <w:pPr>
              <w:jc w:val="center"/>
              <w:rPr>
                <w:b/>
                <w:bCs/>
                <w:color w:val="000000"/>
                <w:sz w:val="18"/>
                <w:szCs w:val="18"/>
                <w:lang w:eastAsia="zh-CN"/>
              </w:rPr>
            </w:pPr>
            <w:r w:rsidRPr="00440196">
              <w:rPr>
                <w:b/>
                <w:bCs/>
                <w:color w:val="000000"/>
                <w:sz w:val="18"/>
                <w:szCs w:val="18"/>
                <w:lang w:eastAsia="zh-CN"/>
              </w:rPr>
              <w:t>Total</w:t>
            </w:r>
          </w:p>
        </w:tc>
        <w:tc>
          <w:tcPr>
            <w:tcW w:w="1190" w:type="dxa"/>
            <w:tcBorders>
              <w:top w:val="single" w:sz="4" w:space="0" w:color="auto"/>
              <w:bottom w:val="single" w:sz="4" w:space="0" w:color="auto"/>
            </w:tcBorders>
            <w:shd w:val="clear" w:color="auto" w:fill="auto"/>
            <w:noWrap/>
            <w:vAlign w:val="center"/>
            <w:hideMark/>
          </w:tcPr>
          <w:p w14:paraId="46D8410D" w14:textId="77777777" w:rsidR="00E7045B" w:rsidRPr="00440196" w:rsidRDefault="00E7045B" w:rsidP="00440196">
            <w:pPr>
              <w:jc w:val="center"/>
              <w:rPr>
                <w:b/>
                <w:bCs/>
                <w:color w:val="000000"/>
                <w:sz w:val="18"/>
                <w:szCs w:val="18"/>
                <w:lang w:eastAsia="zh-CN"/>
              </w:rPr>
            </w:pPr>
            <w:r w:rsidRPr="00440196">
              <w:rPr>
                <w:b/>
                <w:bCs/>
                <w:color w:val="000000"/>
                <w:sz w:val="18"/>
                <w:szCs w:val="18"/>
                <w:lang w:eastAsia="zh-CN"/>
              </w:rPr>
              <w:t>Total</w:t>
            </w:r>
          </w:p>
        </w:tc>
      </w:tr>
      <w:tr w:rsidR="00E7045B" w:rsidRPr="00440196" w14:paraId="43F66523" w14:textId="77777777" w:rsidTr="006F57F3">
        <w:trPr>
          <w:trHeight w:val="271"/>
        </w:trPr>
        <w:tc>
          <w:tcPr>
            <w:tcW w:w="2410" w:type="dxa"/>
            <w:vMerge/>
            <w:tcBorders>
              <w:top w:val="single" w:sz="4" w:space="0" w:color="auto"/>
              <w:bottom w:val="single" w:sz="12" w:space="0" w:color="auto"/>
            </w:tcBorders>
            <w:shd w:val="clear" w:color="auto" w:fill="auto"/>
            <w:noWrap/>
            <w:vAlign w:val="bottom"/>
            <w:hideMark/>
          </w:tcPr>
          <w:p w14:paraId="69560230" w14:textId="77777777" w:rsidR="00E7045B" w:rsidRPr="00440196" w:rsidRDefault="00E7045B" w:rsidP="00440196">
            <w:pPr>
              <w:rPr>
                <w:color w:val="000000"/>
                <w:sz w:val="18"/>
                <w:szCs w:val="18"/>
                <w:lang w:eastAsia="zh-CN"/>
              </w:rPr>
            </w:pPr>
          </w:p>
        </w:tc>
        <w:tc>
          <w:tcPr>
            <w:tcW w:w="992" w:type="dxa"/>
            <w:tcBorders>
              <w:top w:val="single" w:sz="4" w:space="0" w:color="auto"/>
              <w:bottom w:val="single" w:sz="12" w:space="0" w:color="auto"/>
            </w:tcBorders>
            <w:shd w:val="clear" w:color="auto" w:fill="auto"/>
            <w:noWrap/>
            <w:vAlign w:val="bottom"/>
            <w:hideMark/>
          </w:tcPr>
          <w:p w14:paraId="239EDF81"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1</w:t>
            </w:r>
          </w:p>
        </w:tc>
        <w:tc>
          <w:tcPr>
            <w:tcW w:w="1134" w:type="dxa"/>
            <w:tcBorders>
              <w:top w:val="single" w:sz="4" w:space="0" w:color="auto"/>
              <w:bottom w:val="single" w:sz="12" w:space="0" w:color="auto"/>
            </w:tcBorders>
            <w:shd w:val="clear" w:color="auto" w:fill="auto"/>
            <w:noWrap/>
            <w:vAlign w:val="bottom"/>
            <w:hideMark/>
          </w:tcPr>
          <w:p w14:paraId="20F11934"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2</w:t>
            </w:r>
          </w:p>
        </w:tc>
        <w:tc>
          <w:tcPr>
            <w:tcW w:w="1134" w:type="dxa"/>
            <w:tcBorders>
              <w:top w:val="single" w:sz="4" w:space="0" w:color="auto"/>
              <w:bottom w:val="single" w:sz="12" w:space="0" w:color="auto"/>
            </w:tcBorders>
            <w:shd w:val="clear" w:color="auto" w:fill="auto"/>
            <w:noWrap/>
            <w:vAlign w:val="bottom"/>
            <w:hideMark/>
          </w:tcPr>
          <w:p w14:paraId="5C60A25A"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3</w:t>
            </w:r>
          </w:p>
        </w:tc>
        <w:tc>
          <w:tcPr>
            <w:tcW w:w="1134" w:type="dxa"/>
            <w:tcBorders>
              <w:top w:val="single" w:sz="4" w:space="0" w:color="auto"/>
              <w:bottom w:val="single" w:sz="12" w:space="0" w:color="auto"/>
            </w:tcBorders>
            <w:shd w:val="clear" w:color="auto" w:fill="auto"/>
            <w:noWrap/>
            <w:vAlign w:val="bottom"/>
            <w:hideMark/>
          </w:tcPr>
          <w:p w14:paraId="024134F6"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4</w:t>
            </w:r>
          </w:p>
        </w:tc>
        <w:tc>
          <w:tcPr>
            <w:tcW w:w="1134" w:type="dxa"/>
            <w:tcBorders>
              <w:top w:val="single" w:sz="4" w:space="0" w:color="auto"/>
              <w:bottom w:val="single" w:sz="12" w:space="0" w:color="auto"/>
            </w:tcBorders>
            <w:shd w:val="clear" w:color="auto" w:fill="auto"/>
            <w:noWrap/>
            <w:vAlign w:val="bottom"/>
            <w:hideMark/>
          </w:tcPr>
          <w:p w14:paraId="1A9961D0"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5</w:t>
            </w:r>
          </w:p>
        </w:tc>
        <w:tc>
          <w:tcPr>
            <w:tcW w:w="851" w:type="dxa"/>
            <w:tcBorders>
              <w:top w:val="single" w:sz="4" w:space="0" w:color="auto"/>
              <w:bottom w:val="single" w:sz="12" w:space="0" w:color="auto"/>
            </w:tcBorders>
            <w:shd w:val="clear" w:color="auto" w:fill="auto"/>
            <w:noWrap/>
            <w:vAlign w:val="bottom"/>
            <w:hideMark/>
          </w:tcPr>
          <w:p w14:paraId="094A34FF"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6</w:t>
            </w:r>
          </w:p>
        </w:tc>
        <w:tc>
          <w:tcPr>
            <w:tcW w:w="1644" w:type="dxa"/>
            <w:tcBorders>
              <w:top w:val="single" w:sz="4" w:space="0" w:color="auto"/>
              <w:bottom w:val="single" w:sz="12" w:space="0" w:color="auto"/>
            </w:tcBorders>
            <w:shd w:val="clear" w:color="auto" w:fill="auto"/>
            <w:vAlign w:val="bottom"/>
            <w:hideMark/>
          </w:tcPr>
          <w:p w14:paraId="7EDFC93D" w14:textId="77777777" w:rsidR="00E7045B" w:rsidRPr="007831BB" w:rsidRDefault="00E7045B" w:rsidP="00440196">
            <w:pPr>
              <w:widowControl w:val="0"/>
              <w:tabs>
                <w:tab w:val="left" w:pos="6480"/>
                <w:tab w:val="left" w:pos="7200"/>
              </w:tabs>
              <w:rPr>
                <w:b/>
                <w:bCs/>
                <w:sz w:val="18"/>
                <w:szCs w:val="18"/>
                <w:lang w:eastAsia="zh-CN"/>
              </w:rPr>
            </w:pPr>
            <w:r w:rsidRPr="00440196">
              <w:rPr>
                <w:b/>
                <w:bCs/>
                <w:sz w:val="18"/>
                <w:szCs w:val="18"/>
                <w:lang w:eastAsia="zh-CN"/>
              </w:rPr>
              <w:t xml:space="preserve"> (7) = (1)+(2)+(3)+ (4)+(5)+(6)</w:t>
            </w:r>
          </w:p>
        </w:tc>
        <w:tc>
          <w:tcPr>
            <w:tcW w:w="992" w:type="dxa"/>
            <w:tcBorders>
              <w:top w:val="single" w:sz="4" w:space="0" w:color="auto"/>
              <w:bottom w:val="single" w:sz="12" w:space="0" w:color="auto"/>
            </w:tcBorders>
            <w:shd w:val="clear" w:color="auto" w:fill="auto"/>
            <w:noWrap/>
            <w:vAlign w:val="bottom"/>
            <w:hideMark/>
          </w:tcPr>
          <w:p w14:paraId="6A38289C"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8</w:t>
            </w:r>
          </w:p>
        </w:tc>
        <w:tc>
          <w:tcPr>
            <w:tcW w:w="992" w:type="dxa"/>
            <w:tcBorders>
              <w:top w:val="single" w:sz="4" w:space="0" w:color="auto"/>
              <w:bottom w:val="single" w:sz="12" w:space="0" w:color="auto"/>
            </w:tcBorders>
            <w:shd w:val="clear" w:color="auto" w:fill="auto"/>
            <w:noWrap/>
            <w:vAlign w:val="bottom"/>
            <w:hideMark/>
          </w:tcPr>
          <w:p w14:paraId="077AE7D4" w14:textId="77777777" w:rsidR="00E7045B" w:rsidRPr="007831BB" w:rsidRDefault="00E7045B" w:rsidP="00440196">
            <w:pPr>
              <w:widowControl w:val="0"/>
              <w:tabs>
                <w:tab w:val="left" w:pos="6480"/>
                <w:tab w:val="left" w:pos="7200"/>
              </w:tabs>
              <w:jc w:val="center"/>
              <w:rPr>
                <w:i/>
                <w:iCs/>
                <w:color w:val="000000"/>
                <w:sz w:val="18"/>
                <w:szCs w:val="18"/>
                <w:lang w:eastAsia="zh-CN"/>
              </w:rPr>
            </w:pPr>
            <w:r w:rsidRPr="00440196">
              <w:rPr>
                <w:i/>
                <w:iCs/>
                <w:color w:val="000000"/>
                <w:sz w:val="18"/>
                <w:szCs w:val="18"/>
                <w:lang w:eastAsia="zh-CN"/>
              </w:rPr>
              <w:t>9</w:t>
            </w:r>
          </w:p>
        </w:tc>
        <w:tc>
          <w:tcPr>
            <w:tcW w:w="1134" w:type="dxa"/>
            <w:tcBorders>
              <w:top w:val="single" w:sz="4" w:space="0" w:color="auto"/>
              <w:bottom w:val="single" w:sz="12" w:space="0" w:color="auto"/>
            </w:tcBorders>
            <w:shd w:val="clear" w:color="auto" w:fill="auto"/>
            <w:vAlign w:val="bottom"/>
            <w:hideMark/>
          </w:tcPr>
          <w:p w14:paraId="111C6CDC" w14:textId="77777777" w:rsidR="00E7045B" w:rsidRPr="006F57F3" w:rsidRDefault="00E7045B" w:rsidP="00440196">
            <w:pPr>
              <w:widowControl w:val="0"/>
              <w:tabs>
                <w:tab w:val="left" w:pos="6480"/>
                <w:tab w:val="left" w:pos="7200"/>
              </w:tabs>
              <w:jc w:val="center"/>
              <w:rPr>
                <w:b/>
                <w:bCs/>
                <w:color w:val="000000"/>
                <w:sz w:val="17"/>
                <w:szCs w:val="17"/>
                <w:lang w:eastAsia="zh-CN"/>
              </w:rPr>
            </w:pPr>
            <w:r w:rsidRPr="006F57F3">
              <w:rPr>
                <w:b/>
                <w:bCs/>
                <w:color w:val="000000"/>
                <w:sz w:val="17"/>
                <w:szCs w:val="17"/>
                <w:lang w:eastAsia="zh-CN"/>
              </w:rPr>
              <w:t>(10)=(8)+(9)</w:t>
            </w:r>
          </w:p>
        </w:tc>
        <w:tc>
          <w:tcPr>
            <w:tcW w:w="1190" w:type="dxa"/>
            <w:tcBorders>
              <w:top w:val="single" w:sz="4" w:space="0" w:color="auto"/>
              <w:bottom w:val="single" w:sz="12" w:space="0" w:color="auto"/>
            </w:tcBorders>
            <w:shd w:val="clear" w:color="auto" w:fill="auto"/>
            <w:noWrap/>
            <w:vAlign w:val="bottom"/>
            <w:hideMark/>
          </w:tcPr>
          <w:p w14:paraId="0A88FA48" w14:textId="77777777" w:rsidR="00E7045B" w:rsidRPr="007831BB" w:rsidRDefault="00E7045B" w:rsidP="00440196">
            <w:pPr>
              <w:widowControl w:val="0"/>
              <w:tabs>
                <w:tab w:val="left" w:pos="6480"/>
                <w:tab w:val="left" w:pos="7200"/>
              </w:tabs>
              <w:jc w:val="center"/>
              <w:rPr>
                <w:b/>
                <w:bCs/>
                <w:color w:val="000000"/>
                <w:sz w:val="18"/>
                <w:szCs w:val="18"/>
                <w:lang w:eastAsia="zh-CN"/>
              </w:rPr>
            </w:pPr>
            <w:r w:rsidRPr="00440196">
              <w:rPr>
                <w:b/>
                <w:bCs/>
                <w:color w:val="000000"/>
                <w:sz w:val="18"/>
                <w:szCs w:val="18"/>
                <w:lang w:eastAsia="zh-CN"/>
              </w:rPr>
              <w:t>(11)= (7)+(10)</w:t>
            </w:r>
          </w:p>
        </w:tc>
      </w:tr>
      <w:tr w:rsidR="00E7045B" w:rsidRPr="00440196" w14:paraId="04A43309" w14:textId="77777777" w:rsidTr="006F57F3">
        <w:trPr>
          <w:trHeight w:val="34"/>
        </w:trPr>
        <w:tc>
          <w:tcPr>
            <w:tcW w:w="2410" w:type="dxa"/>
            <w:tcBorders>
              <w:top w:val="single" w:sz="12" w:space="0" w:color="auto"/>
            </w:tcBorders>
            <w:shd w:val="clear" w:color="auto" w:fill="auto"/>
            <w:noWrap/>
            <w:vAlign w:val="bottom"/>
            <w:hideMark/>
          </w:tcPr>
          <w:p w14:paraId="5E92C668"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Australia </w:t>
            </w:r>
          </w:p>
        </w:tc>
        <w:tc>
          <w:tcPr>
            <w:tcW w:w="992" w:type="dxa"/>
            <w:tcBorders>
              <w:top w:val="single" w:sz="12" w:space="0" w:color="auto"/>
            </w:tcBorders>
            <w:shd w:val="clear" w:color="auto" w:fill="auto"/>
            <w:noWrap/>
            <w:vAlign w:val="bottom"/>
            <w:hideMark/>
          </w:tcPr>
          <w:p w14:paraId="3FD263B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tcBorders>
              <w:top w:val="single" w:sz="12" w:space="0" w:color="auto"/>
            </w:tcBorders>
            <w:shd w:val="clear" w:color="auto" w:fill="auto"/>
            <w:noWrap/>
            <w:vAlign w:val="bottom"/>
            <w:hideMark/>
          </w:tcPr>
          <w:p w14:paraId="054743F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97 860 </w:t>
            </w:r>
          </w:p>
        </w:tc>
        <w:tc>
          <w:tcPr>
            <w:tcW w:w="1134" w:type="dxa"/>
            <w:tcBorders>
              <w:top w:val="single" w:sz="12" w:space="0" w:color="auto"/>
            </w:tcBorders>
            <w:shd w:val="clear" w:color="auto" w:fill="auto"/>
            <w:noWrap/>
            <w:vAlign w:val="bottom"/>
            <w:hideMark/>
          </w:tcPr>
          <w:p w14:paraId="1A06F2D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tcBorders>
              <w:top w:val="single" w:sz="12" w:space="0" w:color="auto"/>
            </w:tcBorders>
            <w:shd w:val="clear" w:color="auto" w:fill="auto"/>
            <w:noWrap/>
            <w:vAlign w:val="bottom"/>
            <w:hideMark/>
          </w:tcPr>
          <w:p w14:paraId="179FA82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tcBorders>
              <w:top w:val="single" w:sz="12" w:space="0" w:color="auto"/>
            </w:tcBorders>
            <w:shd w:val="clear" w:color="auto" w:fill="auto"/>
            <w:noWrap/>
            <w:vAlign w:val="bottom"/>
            <w:hideMark/>
          </w:tcPr>
          <w:p w14:paraId="6301DB65" w14:textId="77777777" w:rsidR="00E7045B" w:rsidRPr="007831BB" w:rsidRDefault="00E7045B" w:rsidP="00440196">
            <w:pPr>
              <w:widowControl w:val="0"/>
              <w:tabs>
                <w:tab w:val="left" w:pos="6480"/>
                <w:tab w:val="left" w:pos="7200"/>
              </w:tabs>
              <w:ind w:right="170"/>
              <w:jc w:val="right"/>
              <w:rPr>
                <w:color w:val="000000"/>
                <w:sz w:val="18"/>
                <w:szCs w:val="18"/>
                <w:lang w:eastAsia="zh-CN"/>
              </w:rPr>
            </w:pPr>
            <w:r w:rsidRPr="00440196">
              <w:rPr>
                <w:color w:val="000000"/>
                <w:sz w:val="18"/>
                <w:szCs w:val="18"/>
                <w:lang w:eastAsia="zh-CN"/>
              </w:rPr>
              <w:t xml:space="preserve">68 706 </w:t>
            </w:r>
          </w:p>
        </w:tc>
        <w:tc>
          <w:tcPr>
            <w:tcW w:w="851" w:type="dxa"/>
            <w:tcBorders>
              <w:top w:val="single" w:sz="12" w:space="0" w:color="auto"/>
            </w:tcBorders>
            <w:shd w:val="clear" w:color="auto" w:fill="auto"/>
            <w:noWrap/>
            <w:vAlign w:val="bottom"/>
            <w:hideMark/>
          </w:tcPr>
          <w:p w14:paraId="594A90A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tcBorders>
              <w:top w:val="single" w:sz="12" w:space="0" w:color="auto"/>
            </w:tcBorders>
            <w:shd w:val="clear" w:color="auto" w:fill="auto"/>
            <w:noWrap/>
            <w:vAlign w:val="bottom"/>
            <w:hideMark/>
          </w:tcPr>
          <w:p w14:paraId="1C9B294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166 566 </w:t>
            </w:r>
          </w:p>
        </w:tc>
        <w:tc>
          <w:tcPr>
            <w:tcW w:w="992" w:type="dxa"/>
            <w:tcBorders>
              <w:top w:val="single" w:sz="12" w:space="0" w:color="auto"/>
            </w:tcBorders>
            <w:shd w:val="clear" w:color="auto" w:fill="auto"/>
            <w:noWrap/>
            <w:vAlign w:val="bottom"/>
            <w:hideMark/>
          </w:tcPr>
          <w:p w14:paraId="078BA33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tcBorders>
              <w:top w:val="single" w:sz="12" w:space="0" w:color="auto"/>
            </w:tcBorders>
            <w:shd w:val="clear" w:color="auto" w:fill="auto"/>
            <w:noWrap/>
            <w:vAlign w:val="bottom"/>
            <w:hideMark/>
          </w:tcPr>
          <w:p w14:paraId="1301830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tcBorders>
              <w:top w:val="single" w:sz="12" w:space="0" w:color="auto"/>
            </w:tcBorders>
            <w:shd w:val="clear" w:color="auto" w:fill="auto"/>
            <w:noWrap/>
            <w:vAlign w:val="bottom"/>
            <w:hideMark/>
          </w:tcPr>
          <w:p w14:paraId="3C0D25D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tcBorders>
              <w:top w:val="single" w:sz="12" w:space="0" w:color="auto"/>
            </w:tcBorders>
            <w:shd w:val="clear" w:color="auto" w:fill="auto"/>
            <w:noWrap/>
            <w:vAlign w:val="bottom"/>
            <w:hideMark/>
          </w:tcPr>
          <w:p w14:paraId="5F70C78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166 566 </w:t>
            </w:r>
          </w:p>
        </w:tc>
      </w:tr>
      <w:tr w:rsidR="00E7045B" w:rsidRPr="00440196" w14:paraId="4A574829" w14:textId="77777777" w:rsidTr="006F57F3">
        <w:trPr>
          <w:trHeight w:val="147"/>
        </w:trPr>
        <w:tc>
          <w:tcPr>
            <w:tcW w:w="2410" w:type="dxa"/>
            <w:shd w:val="clear" w:color="auto" w:fill="auto"/>
            <w:noWrap/>
            <w:vAlign w:val="bottom"/>
            <w:hideMark/>
          </w:tcPr>
          <w:p w14:paraId="2A468656"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Belgium</w:t>
            </w:r>
          </w:p>
        </w:tc>
        <w:tc>
          <w:tcPr>
            <w:tcW w:w="992" w:type="dxa"/>
            <w:shd w:val="clear" w:color="auto" w:fill="auto"/>
            <w:noWrap/>
            <w:vAlign w:val="bottom"/>
            <w:hideMark/>
          </w:tcPr>
          <w:p w14:paraId="6E9C4F3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7D97866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90C420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64E2FA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087187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118 243</w:t>
            </w:r>
          </w:p>
        </w:tc>
        <w:tc>
          <w:tcPr>
            <w:tcW w:w="851" w:type="dxa"/>
            <w:shd w:val="clear" w:color="auto" w:fill="auto"/>
            <w:noWrap/>
            <w:vAlign w:val="bottom"/>
            <w:hideMark/>
          </w:tcPr>
          <w:p w14:paraId="79C1B42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1728A40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118 243 </w:t>
            </w:r>
          </w:p>
        </w:tc>
        <w:tc>
          <w:tcPr>
            <w:tcW w:w="992" w:type="dxa"/>
            <w:shd w:val="clear" w:color="auto" w:fill="auto"/>
            <w:noWrap/>
            <w:vAlign w:val="bottom"/>
            <w:hideMark/>
          </w:tcPr>
          <w:p w14:paraId="0D2A011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1F792AB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0669B53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205A7C1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118 243 </w:t>
            </w:r>
          </w:p>
        </w:tc>
      </w:tr>
      <w:tr w:rsidR="00E7045B" w:rsidRPr="00440196" w14:paraId="75FA5798" w14:textId="77777777" w:rsidTr="006F57F3">
        <w:trPr>
          <w:trHeight w:val="93"/>
        </w:trPr>
        <w:tc>
          <w:tcPr>
            <w:tcW w:w="2410" w:type="dxa"/>
            <w:shd w:val="clear" w:color="auto" w:fill="auto"/>
            <w:noWrap/>
            <w:vAlign w:val="bottom"/>
            <w:hideMark/>
          </w:tcPr>
          <w:p w14:paraId="11782384"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Canada </w:t>
            </w:r>
          </w:p>
        </w:tc>
        <w:tc>
          <w:tcPr>
            <w:tcW w:w="992" w:type="dxa"/>
            <w:shd w:val="clear" w:color="auto" w:fill="auto"/>
            <w:noWrap/>
            <w:vAlign w:val="bottom"/>
            <w:hideMark/>
          </w:tcPr>
          <w:p w14:paraId="48F7318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E33F92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38 914 </w:t>
            </w:r>
          </w:p>
        </w:tc>
        <w:tc>
          <w:tcPr>
            <w:tcW w:w="1134" w:type="dxa"/>
            <w:shd w:val="clear" w:color="auto" w:fill="auto"/>
            <w:noWrap/>
            <w:vAlign w:val="bottom"/>
            <w:hideMark/>
          </w:tcPr>
          <w:p w14:paraId="3AEB648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36 496 </w:t>
            </w:r>
          </w:p>
        </w:tc>
        <w:tc>
          <w:tcPr>
            <w:tcW w:w="1134" w:type="dxa"/>
            <w:shd w:val="clear" w:color="auto" w:fill="auto"/>
            <w:noWrap/>
            <w:vAlign w:val="bottom"/>
            <w:hideMark/>
          </w:tcPr>
          <w:p w14:paraId="737D655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30 098 </w:t>
            </w:r>
          </w:p>
        </w:tc>
        <w:tc>
          <w:tcPr>
            <w:tcW w:w="1134" w:type="dxa"/>
            <w:shd w:val="clear" w:color="auto" w:fill="auto"/>
            <w:noWrap/>
            <w:vAlign w:val="bottom"/>
            <w:hideMark/>
          </w:tcPr>
          <w:p w14:paraId="2CA4A41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30 616</w:t>
            </w:r>
          </w:p>
        </w:tc>
        <w:tc>
          <w:tcPr>
            <w:tcW w:w="851" w:type="dxa"/>
            <w:shd w:val="clear" w:color="auto" w:fill="auto"/>
            <w:noWrap/>
            <w:vAlign w:val="bottom"/>
            <w:hideMark/>
          </w:tcPr>
          <w:p w14:paraId="43374A0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3B20330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136 124 </w:t>
            </w:r>
          </w:p>
        </w:tc>
        <w:tc>
          <w:tcPr>
            <w:tcW w:w="992" w:type="dxa"/>
            <w:shd w:val="clear" w:color="auto" w:fill="auto"/>
            <w:noWrap/>
            <w:vAlign w:val="bottom"/>
            <w:hideMark/>
          </w:tcPr>
          <w:p w14:paraId="5D51913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30 098</w:t>
            </w:r>
          </w:p>
        </w:tc>
        <w:tc>
          <w:tcPr>
            <w:tcW w:w="992" w:type="dxa"/>
            <w:shd w:val="clear" w:color="auto" w:fill="auto"/>
            <w:noWrap/>
            <w:vAlign w:val="bottom"/>
            <w:hideMark/>
          </w:tcPr>
          <w:p w14:paraId="1D3DD63C"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850860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30 098</w:t>
            </w:r>
          </w:p>
        </w:tc>
        <w:tc>
          <w:tcPr>
            <w:tcW w:w="1190" w:type="dxa"/>
            <w:shd w:val="clear" w:color="auto" w:fill="auto"/>
            <w:noWrap/>
            <w:vAlign w:val="bottom"/>
            <w:hideMark/>
          </w:tcPr>
          <w:p w14:paraId="74337AC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166 222 </w:t>
            </w:r>
          </w:p>
        </w:tc>
      </w:tr>
      <w:tr w:rsidR="00E7045B" w:rsidRPr="00440196" w14:paraId="5903B1F7" w14:textId="77777777" w:rsidTr="006F57F3">
        <w:trPr>
          <w:trHeight w:val="167"/>
        </w:trPr>
        <w:tc>
          <w:tcPr>
            <w:tcW w:w="2410" w:type="dxa"/>
            <w:shd w:val="clear" w:color="auto" w:fill="auto"/>
            <w:noWrap/>
            <w:vAlign w:val="bottom"/>
            <w:hideMark/>
          </w:tcPr>
          <w:p w14:paraId="1FFF55AF"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Chile</w:t>
            </w:r>
          </w:p>
        </w:tc>
        <w:tc>
          <w:tcPr>
            <w:tcW w:w="992" w:type="dxa"/>
            <w:shd w:val="clear" w:color="auto" w:fill="auto"/>
            <w:noWrap/>
            <w:vAlign w:val="bottom"/>
            <w:hideMark/>
          </w:tcPr>
          <w:p w14:paraId="2186F0F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0D71E2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7ABAF2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06A685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23 136 </w:t>
            </w:r>
          </w:p>
        </w:tc>
        <w:tc>
          <w:tcPr>
            <w:tcW w:w="1134" w:type="dxa"/>
            <w:shd w:val="clear" w:color="auto" w:fill="auto"/>
            <w:noWrap/>
            <w:vAlign w:val="bottom"/>
            <w:hideMark/>
          </w:tcPr>
          <w:p w14:paraId="4D31CC4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14 966</w:t>
            </w:r>
          </w:p>
        </w:tc>
        <w:tc>
          <w:tcPr>
            <w:tcW w:w="851" w:type="dxa"/>
            <w:shd w:val="clear" w:color="auto" w:fill="auto"/>
            <w:noWrap/>
            <w:vAlign w:val="bottom"/>
            <w:hideMark/>
          </w:tcPr>
          <w:p w14:paraId="0A760D7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6DEE7F7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38 102 </w:t>
            </w:r>
          </w:p>
        </w:tc>
        <w:tc>
          <w:tcPr>
            <w:tcW w:w="992" w:type="dxa"/>
            <w:shd w:val="clear" w:color="auto" w:fill="auto"/>
            <w:noWrap/>
            <w:vAlign w:val="bottom"/>
            <w:hideMark/>
          </w:tcPr>
          <w:p w14:paraId="719DDDA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15 000</w:t>
            </w:r>
          </w:p>
        </w:tc>
        <w:tc>
          <w:tcPr>
            <w:tcW w:w="992" w:type="dxa"/>
            <w:shd w:val="clear" w:color="auto" w:fill="auto"/>
            <w:noWrap/>
            <w:vAlign w:val="bottom"/>
            <w:hideMark/>
          </w:tcPr>
          <w:p w14:paraId="504CA06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6B1DEA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15 000</w:t>
            </w:r>
          </w:p>
        </w:tc>
        <w:tc>
          <w:tcPr>
            <w:tcW w:w="1190" w:type="dxa"/>
            <w:shd w:val="clear" w:color="auto" w:fill="auto"/>
            <w:noWrap/>
            <w:vAlign w:val="bottom"/>
            <w:hideMark/>
          </w:tcPr>
          <w:p w14:paraId="10B709E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53 102 </w:t>
            </w:r>
          </w:p>
        </w:tc>
      </w:tr>
      <w:tr w:rsidR="00E7045B" w:rsidRPr="00440196" w14:paraId="300324A1" w14:textId="77777777" w:rsidTr="006F57F3">
        <w:trPr>
          <w:trHeight w:val="99"/>
        </w:trPr>
        <w:tc>
          <w:tcPr>
            <w:tcW w:w="2410" w:type="dxa"/>
            <w:shd w:val="clear" w:color="auto" w:fill="auto"/>
            <w:noWrap/>
            <w:vAlign w:val="bottom"/>
            <w:hideMark/>
          </w:tcPr>
          <w:p w14:paraId="7DCF42C5"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China</w:t>
            </w:r>
          </w:p>
        </w:tc>
        <w:tc>
          <w:tcPr>
            <w:tcW w:w="992" w:type="dxa"/>
            <w:shd w:val="clear" w:color="auto" w:fill="auto"/>
            <w:noWrap/>
            <w:vAlign w:val="bottom"/>
            <w:hideMark/>
          </w:tcPr>
          <w:p w14:paraId="13416AF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FB05E4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C1D31D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160 000 </w:t>
            </w:r>
          </w:p>
        </w:tc>
        <w:tc>
          <w:tcPr>
            <w:tcW w:w="1134" w:type="dxa"/>
            <w:shd w:val="clear" w:color="auto" w:fill="auto"/>
            <w:noWrap/>
            <w:vAlign w:val="bottom"/>
            <w:hideMark/>
          </w:tcPr>
          <w:p w14:paraId="470CF3F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60 000 </w:t>
            </w:r>
          </w:p>
        </w:tc>
        <w:tc>
          <w:tcPr>
            <w:tcW w:w="1134" w:type="dxa"/>
            <w:shd w:val="clear" w:color="auto" w:fill="auto"/>
            <w:noWrap/>
            <w:vAlign w:val="bottom"/>
            <w:hideMark/>
          </w:tcPr>
          <w:p w14:paraId="56F8512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2 005</w:t>
            </w:r>
          </w:p>
        </w:tc>
        <w:tc>
          <w:tcPr>
            <w:tcW w:w="851" w:type="dxa"/>
            <w:shd w:val="clear" w:color="auto" w:fill="auto"/>
            <w:noWrap/>
            <w:vAlign w:val="bottom"/>
            <w:hideMark/>
          </w:tcPr>
          <w:p w14:paraId="0F4E19C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423F2A7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222 005 </w:t>
            </w:r>
          </w:p>
        </w:tc>
        <w:tc>
          <w:tcPr>
            <w:tcW w:w="992" w:type="dxa"/>
            <w:shd w:val="clear" w:color="auto" w:fill="auto"/>
            <w:noWrap/>
            <w:vAlign w:val="bottom"/>
            <w:hideMark/>
          </w:tcPr>
          <w:p w14:paraId="0C4C6B1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6AB5787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EDA898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30D9D66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222 005 </w:t>
            </w:r>
          </w:p>
        </w:tc>
      </w:tr>
      <w:tr w:rsidR="00E7045B" w:rsidRPr="00440196" w14:paraId="02DB9E78" w14:textId="77777777" w:rsidTr="006F57F3">
        <w:trPr>
          <w:trHeight w:val="173"/>
        </w:trPr>
        <w:tc>
          <w:tcPr>
            <w:tcW w:w="2410" w:type="dxa"/>
            <w:shd w:val="clear" w:color="auto" w:fill="auto"/>
            <w:noWrap/>
            <w:vAlign w:val="bottom"/>
            <w:hideMark/>
          </w:tcPr>
          <w:p w14:paraId="03A10DF5"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Denmark</w:t>
            </w:r>
          </w:p>
        </w:tc>
        <w:tc>
          <w:tcPr>
            <w:tcW w:w="992" w:type="dxa"/>
            <w:shd w:val="clear" w:color="auto" w:fill="auto"/>
            <w:noWrap/>
            <w:vAlign w:val="bottom"/>
            <w:hideMark/>
          </w:tcPr>
          <w:p w14:paraId="54A11ED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428BF6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A42923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37 037 </w:t>
            </w:r>
          </w:p>
        </w:tc>
        <w:tc>
          <w:tcPr>
            <w:tcW w:w="1134" w:type="dxa"/>
            <w:shd w:val="clear" w:color="auto" w:fill="auto"/>
            <w:noWrap/>
            <w:vAlign w:val="bottom"/>
            <w:hideMark/>
          </w:tcPr>
          <w:p w14:paraId="16F0986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7149A3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851" w:type="dxa"/>
            <w:shd w:val="clear" w:color="auto" w:fill="auto"/>
            <w:noWrap/>
            <w:vAlign w:val="bottom"/>
            <w:hideMark/>
          </w:tcPr>
          <w:p w14:paraId="5C6DEDA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0043E5A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37 037 </w:t>
            </w:r>
          </w:p>
        </w:tc>
        <w:tc>
          <w:tcPr>
            <w:tcW w:w="992" w:type="dxa"/>
            <w:shd w:val="clear" w:color="auto" w:fill="auto"/>
            <w:noWrap/>
            <w:vAlign w:val="bottom"/>
            <w:hideMark/>
          </w:tcPr>
          <w:p w14:paraId="47CF2A4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7195355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042B38A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0928F21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37 037 </w:t>
            </w:r>
          </w:p>
        </w:tc>
      </w:tr>
      <w:tr w:rsidR="00E7045B" w:rsidRPr="00440196" w14:paraId="036F229C" w14:textId="77777777" w:rsidTr="006F57F3">
        <w:trPr>
          <w:trHeight w:val="105"/>
        </w:trPr>
        <w:tc>
          <w:tcPr>
            <w:tcW w:w="2410" w:type="dxa"/>
            <w:shd w:val="clear" w:color="auto" w:fill="auto"/>
            <w:noWrap/>
            <w:vAlign w:val="bottom"/>
            <w:hideMark/>
          </w:tcPr>
          <w:p w14:paraId="3E5B13B9"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Finland </w:t>
            </w:r>
          </w:p>
        </w:tc>
        <w:tc>
          <w:tcPr>
            <w:tcW w:w="992" w:type="dxa"/>
            <w:shd w:val="clear" w:color="auto" w:fill="auto"/>
            <w:noWrap/>
            <w:vAlign w:val="bottom"/>
            <w:hideMark/>
          </w:tcPr>
          <w:p w14:paraId="4710678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B6106F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25 885 </w:t>
            </w:r>
          </w:p>
        </w:tc>
        <w:tc>
          <w:tcPr>
            <w:tcW w:w="1134" w:type="dxa"/>
            <w:shd w:val="clear" w:color="auto" w:fill="auto"/>
            <w:noWrap/>
            <w:vAlign w:val="bottom"/>
            <w:hideMark/>
          </w:tcPr>
          <w:p w14:paraId="3455899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275 626 </w:t>
            </w:r>
          </w:p>
        </w:tc>
        <w:tc>
          <w:tcPr>
            <w:tcW w:w="1134" w:type="dxa"/>
            <w:shd w:val="clear" w:color="auto" w:fill="auto"/>
            <w:noWrap/>
            <w:vAlign w:val="bottom"/>
            <w:hideMark/>
          </w:tcPr>
          <w:p w14:paraId="508C982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CB7289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851" w:type="dxa"/>
            <w:shd w:val="clear" w:color="auto" w:fill="auto"/>
            <w:noWrap/>
            <w:vAlign w:val="bottom"/>
            <w:hideMark/>
          </w:tcPr>
          <w:p w14:paraId="599D7A8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0971898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301 511 </w:t>
            </w:r>
          </w:p>
        </w:tc>
        <w:tc>
          <w:tcPr>
            <w:tcW w:w="992" w:type="dxa"/>
            <w:shd w:val="clear" w:color="auto" w:fill="auto"/>
            <w:noWrap/>
            <w:vAlign w:val="bottom"/>
            <w:hideMark/>
          </w:tcPr>
          <w:p w14:paraId="63B67BC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8 484</w:t>
            </w:r>
          </w:p>
        </w:tc>
        <w:tc>
          <w:tcPr>
            <w:tcW w:w="992" w:type="dxa"/>
            <w:shd w:val="clear" w:color="auto" w:fill="auto"/>
            <w:noWrap/>
            <w:vAlign w:val="bottom"/>
            <w:hideMark/>
          </w:tcPr>
          <w:p w14:paraId="6AB84D4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B7A570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8 484</w:t>
            </w:r>
          </w:p>
        </w:tc>
        <w:tc>
          <w:tcPr>
            <w:tcW w:w="1190" w:type="dxa"/>
            <w:shd w:val="clear" w:color="auto" w:fill="auto"/>
            <w:noWrap/>
            <w:vAlign w:val="bottom"/>
            <w:hideMark/>
          </w:tcPr>
          <w:p w14:paraId="5F6A133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309 995 </w:t>
            </w:r>
          </w:p>
        </w:tc>
      </w:tr>
      <w:tr w:rsidR="00E7045B" w:rsidRPr="00440196" w14:paraId="68729124" w14:textId="77777777" w:rsidTr="006F57F3">
        <w:trPr>
          <w:trHeight w:val="180"/>
        </w:trPr>
        <w:tc>
          <w:tcPr>
            <w:tcW w:w="2410" w:type="dxa"/>
            <w:shd w:val="clear" w:color="auto" w:fill="auto"/>
            <w:noWrap/>
            <w:vAlign w:val="bottom"/>
            <w:hideMark/>
          </w:tcPr>
          <w:p w14:paraId="598F6C0C"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France </w:t>
            </w:r>
          </w:p>
        </w:tc>
        <w:tc>
          <w:tcPr>
            <w:tcW w:w="992" w:type="dxa"/>
            <w:shd w:val="clear" w:color="auto" w:fill="auto"/>
            <w:noWrap/>
            <w:vAlign w:val="bottom"/>
            <w:hideMark/>
          </w:tcPr>
          <w:p w14:paraId="6E30FD1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86A81C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270 680 </w:t>
            </w:r>
          </w:p>
        </w:tc>
        <w:tc>
          <w:tcPr>
            <w:tcW w:w="1134" w:type="dxa"/>
            <w:shd w:val="clear" w:color="auto" w:fill="auto"/>
            <w:noWrap/>
            <w:vAlign w:val="bottom"/>
            <w:hideMark/>
          </w:tcPr>
          <w:p w14:paraId="59014CB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247 631 </w:t>
            </w:r>
          </w:p>
        </w:tc>
        <w:tc>
          <w:tcPr>
            <w:tcW w:w="1134" w:type="dxa"/>
            <w:shd w:val="clear" w:color="auto" w:fill="auto"/>
            <w:noWrap/>
            <w:vAlign w:val="bottom"/>
            <w:hideMark/>
          </w:tcPr>
          <w:p w14:paraId="21E9D74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264 291 </w:t>
            </w:r>
          </w:p>
        </w:tc>
        <w:tc>
          <w:tcPr>
            <w:tcW w:w="1134" w:type="dxa"/>
            <w:shd w:val="clear" w:color="auto" w:fill="auto"/>
            <w:noWrap/>
            <w:vAlign w:val="bottom"/>
            <w:hideMark/>
          </w:tcPr>
          <w:p w14:paraId="22F3EEB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252 218</w:t>
            </w:r>
          </w:p>
        </w:tc>
        <w:tc>
          <w:tcPr>
            <w:tcW w:w="851" w:type="dxa"/>
            <w:shd w:val="clear" w:color="auto" w:fill="auto"/>
            <w:noWrap/>
            <w:vAlign w:val="bottom"/>
            <w:hideMark/>
          </w:tcPr>
          <w:p w14:paraId="0318F5D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6F9BDE0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1 034 819 </w:t>
            </w:r>
          </w:p>
        </w:tc>
        <w:tc>
          <w:tcPr>
            <w:tcW w:w="992" w:type="dxa"/>
            <w:shd w:val="clear" w:color="auto" w:fill="auto"/>
            <w:noWrap/>
            <w:vAlign w:val="bottom"/>
            <w:hideMark/>
          </w:tcPr>
          <w:p w14:paraId="49A23AE4" w14:textId="77777777" w:rsidR="00E7045B" w:rsidRPr="007831BB" w:rsidRDefault="00E7045B" w:rsidP="00440196">
            <w:pPr>
              <w:widowControl w:val="0"/>
              <w:tabs>
                <w:tab w:val="left" w:pos="6480"/>
                <w:tab w:val="left" w:pos="7200"/>
              </w:tabs>
              <w:jc w:val="right"/>
              <w:rPr>
                <w:sz w:val="18"/>
                <w:szCs w:val="18"/>
                <w:lang w:eastAsia="zh-CN"/>
              </w:rPr>
            </w:pPr>
            <w:r w:rsidRPr="00440196">
              <w:rPr>
                <w:sz w:val="18"/>
                <w:szCs w:val="18"/>
                <w:lang w:eastAsia="zh-CN"/>
              </w:rPr>
              <w:t>227 996</w:t>
            </w:r>
          </w:p>
        </w:tc>
        <w:tc>
          <w:tcPr>
            <w:tcW w:w="992" w:type="dxa"/>
            <w:shd w:val="clear" w:color="auto" w:fill="auto"/>
            <w:noWrap/>
            <w:vAlign w:val="bottom"/>
            <w:hideMark/>
          </w:tcPr>
          <w:p w14:paraId="6FBA270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377139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227 996</w:t>
            </w:r>
          </w:p>
        </w:tc>
        <w:tc>
          <w:tcPr>
            <w:tcW w:w="1190" w:type="dxa"/>
            <w:shd w:val="clear" w:color="auto" w:fill="auto"/>
            <w:noWrap/>
            <w:vAlign w:val="bottom"/>
            <w:hideMark/>
          </w:tcPr>
          <w:p w14:paraId="1A37C44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1 262 815 </w:t>
            </w:r>
          </w:p>
        </w:tc>
      </w:tr>
      <w:tr w:rsidR="00E7045B" w:rsidRPr="00440196" w14:paraId="29F5DD4A" w14:textId="77777777" w:rsidTr="006F57F3">
        <w:trPr>
          <w:trHeight w:val="125"/>
        </w:trPr>
        <w:tc>
          <w:tcPr>
            <w:tcW w:w="2410" w:type="dxa"/>
            <w:shd w:val="clear" w:color="auto" w:fill="auto"/>
            <w:noWrap/>
            <w:vAlign w:val="bottom"/>
            <w:hideMark/>
          </w:tcPr>
          <w:p w14:paraId="0E3703BF"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Germany</w:t>
            </w:r>
          </w:p>
        </w:tc>
        <w:tc>
          <w:tcPr>
            <w:tcW w:w="992" w:type="dxa"/>
            <w:shd w:val="clear" w:color="auto" w:fill="auto"/>
            <w:noWrap/>
            <w:vAlign w:val="bottom"/>
            <w:hideMark/>
          </w:tcPr>
          <w:p w14:paraId="6F977EE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1 736 102 </w:t>
            </w:r>
          </w:p>
        </w:tc>
        <w:tc>
          <w:tcPr>
            <w:tcW w:w="1134" w:type="dxa"/>
            <w:shd w:val="clear" w:color="auto" w:fill="auto"/>
            <w:noWrap/>
            <w:vAlign w:val="bottom"/>
            <w:hideMark/>
          </w:tcPr>
          <w:p w14:paraId="21ECD09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1 298 721 </w:t>
            </w:r>
          </w:p>
        </w:tc>
        <w:tc>
          <w:tcPr>
            <w:tcW w:w="1134" w:type="dxa"/>
            <w:shd w:val="clear" w:color="auto" w:fill="auto"/>
            <w:noWrap/>
            <w:vAlign w:val="bottom"/>
            <w:hideMark/>
          </w:tcPr>
          <w:p w14:paraId="150C0FB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1 850 129 </w:t>
            </w:r>
          </w:p>
        </w:tc>
        <w:tc>
          <w:tcPr>
            <w:tcW w:w="1134" w:type="dxa"/>
            <w:shd w:val="clear" w:color="auto" w:fill="auto"/>
            <w:noWrap/>
            <w:vAlign w:val="bottom"/>
            <w:hideMark/>
          </w:tcPr>
          <w:p w14:paraId="0AC4DDC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1 582 840 </w:t>
            </w:r>
          </w:p>
        </w:tc>
        <w:tc>
          <w:tcPr>
            <w:tcW w:w="1134" w:type="dxa"/>
            <w:shd w:val="clear" w:color="auto" w:fill="auto"/>
            <w:noWrap/>
            <w:vAlign w:val="bottom"/>
            <w:hideMark/>
          </w:tcPr>
          <w:p w14:paraId="3D7C77B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1 119 991</w:t>
            </w:r>
          </w:p>
        </w:tc>
        <w:tc>
          <w:tcPr>
            <w:tcW w:w="851" w:type="dxa"/>
            <w:shd w:val="clear" w:color="auto" w:fill="auto"/>
            <w:noWrap/>
            <w:vAlign w:val="bottom"/>
            <w:hideMark/>
          </w:tcPr>
          <w:p w14:paraId="6B09038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543 478</w:t>
            </w:r>
          </w:p>
        </w:tc>
        <w:tc>
          <w:tcPr>
            <w:tcW w:w="1644" w:type="dxa"/>
            <w:shd w:val="clear" w:color="auto" w:fill="auto"/>
            <w:noWrap/>
            <w:vAlign w:val="bottom"/>
            <w:hideMark/>
          </w:tcPr>
          <w:p w14:paraId="53D8B19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8 131 261 </w:t>
            </w:r>
          </w:p>
        </w:tc>
        <w:tc>
          <w:tcPr>
            <w:tcW w:w="992" w:type="dxa"/>
            <w:shd w:val="clear" w:color="auto" w:fill="auto"/>
            <w:noWrap/>
            <w:vAlign w:val="bottom"/>
            <w:hideMark/>
          </w:tcPr>
          <w:p w14:paraId="3B2221E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530 223</w:t>
            </w:r>
          </w:p>
        </w:tc>
        <w:tc>
          <w:tcPr>
            <w:tcW w:w="992" w:type="dxa"/>
            <w:shd w:val="clear" w:color="auto" w:fill="auto"/>
            <w:noWrap/>
            <w:vAlign w:val="bottom"/>
            <w:hideMark/>
          </w:tcPr>
          <w:p w14:paraId="277BADA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1 060 445</w:t>
            </w:r>
          </w:p>
        </w:tc>
        <w:tc>
          <w:tcPr>
            <w:tcW w:w="1134" w:type="dxa"/>
            <w:shd w:val="clear" w:color="auto" w:fill="auto"/>
            <w:noWrap/>
            <w:vAlign w:val="bottom"/>
            <w:hideMark/>
          </w:tcPr>
          <w:p w14:paraId="4EC0C5F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1 590 668</w:t>
            </w:r>
          </w:p>
        </w:tc>
        <w:tc>
          <w:tcPr>
            <w:tcW w:w="1190" w:type="dxa"/>
            <w:shd w:val="clear" w:color="auto" w:fill="auto"/>
            <w:noWrap/>
            <w:vAlign w:val="bottom"/>
            <w:hideMark/>
          </w:tcPr>
          <w:p w14:paraId="5478663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9 721 929 </w:t>
            </w:r>
          </w:p>
        </w:tc>
      </w:tr>
      <w:tr w:rsidR="00E7045B" w:rsidRPr="00440196" w14:paraId="3B491DE6" w14:textId="77777777" w:rsidTr="006F57F3">
        <w:trPr>
          <w:trHeight w:val="199"/>
        </w:trPr>
        <w:tc>
          <w:tcPr>
            <w:tcW w:w="2410" w:type="dxa"/>
            <w:shd w:val="clear" w:color="auto" w:fill="auto"/>
            <w:noWrap/>
            <w:vAlign w:val="bottom"/>
            <w:hideMark/>
          </w:tcPr>
          <w:p w14:paraId="58373826"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India</w:t>
            </w:r>
          </w:p>
        </w:tc>
        <w:tc>
          <w:tcPr>
            <w:tcW w:w="992" w:type="dxa"/>
            <w:shd w:val="clear" w:color="auto" w:fill="auto"/>
            <w:noWrap/>
            <w:vAlign w:val="bottom"/>
            <w:hideMark/>
          </w:tcPr>
          <w:p w14:paraId="5971E29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010EC46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10 000 </w:t>
            </w:r>
          </w:p>
        </w:tc>
        <w:tc>
          <w:tcPr>
            <w:tcW w:w="1134" w:type="dxa"/>
            <w:shd w:val="clear" w:color="auto" w:fill="auto"/>
            <w:noWrap/>
            <w:vAlign w:val="bottom"/>
            <w:hideMark/>
          </w:tcPr>
          <w:p w14:paraId="2E924FF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10 000 </w:t>
            </w:r>
          </w:p>
        </w:tc>
        <w:tc>
          <w:tcPr>
            <w:tcW w:w="1134" w:type="dxa"/>
            <w:shd w:val="clear" w:color="auto" w:fill="auto"/>
            <w:noWrap/>
            <w:vAlign w:val="bottom"/>
            <w:hideMark/>
          </w:tcPr>
          <w:p w14:paraId="3E1232F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B3ACFB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851" w:type="dxa"/>
            <w:shd w:val="clear" w:color="auto" w:fill="auto"/>
            <w:noWrap/>
            <w:vAlign w:val="bottom"/>
            <w:hideMark/>
          </w:tcPr>
          <w:p w14:paraId="7A40744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15B8BF5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20 000 </w:t>
            </w:r>
          </w:p>
        </w:tc>
        <w:tc>
          <w:tcPr>
            <w:tcW w:w="992" w:type="dxa"/>
            <w:shd w:val="clear" w:color="auto" w:fill="auto"/>
            <w:noWrap/>
            <w:vAlign w:val="bottom"/>
            <w:hideMark/>
          </w:tcPr>
          <w:p w14:paraId="6B919C2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4C20C12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1F9E394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140913C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20 000 </w:t>
            </w:r>
          </w:p>
        </w:tc>
      </w:tr>
      <w:tr w:rsidR="00E7045B" w:rsidRPr="00440196" w14:paraId="326A1B3C" w14:textId="77777777" w:rsidTr="006F57F3">
        <w:trPr>
          <w:trHeight w:val="132"/>
        </w:trPr>
        <w:tc>
          <w:tcPr>
            <w:tcW w:w="2410" w:type="dxa"/>
            <w:shd w:val="clear" w:color="auto" w:fill="auto"/>
            <w:noWrap/>
            <w:vAlign w:val="bottom"/>
            <w:hideMark/>
          </w:tcPr>
          <w:p w14:paraId="7F0CE182"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Japan </w:t>
            </w:r>
          </w:p>
        </w:tc>
        <w:tc>
          <w:tcPr>
            <w:tcW w:w="992" w:type="dxa"/>
            <w:shd w:val="clear" w:color="auto" w:fill="auto"/>
            <w:noWrap/>
            <w:vAlign w:val="bottom"/>
            <w:hideMark/>
          </w:tcPr>
          <w:p w14:paraId="2C343A1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AA4E2D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267 900 </w:t>
            </w:r>
          </w:p>
        </w:tc>
        <w:tc>
          <w:tcPr>
            <w:tcW w:w="1134" w:type="dxa"/>
            <w:shd w:val="clear" w:color="auto" w:fill="auto"/>
            <w:noWrap/>
            <w:vAlign w:val="bottom"/>
            <w:hideMark/>
          </w:tcPr>
          <w:p w14:paraId="52A00AB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330 000 </w:t>
            </w:r>
          </w:p>
        </w:tc>
        <w:tc>
          <w:tcPr>
            <w:tcW w:w="1134" w:type="dxa"/>
            <w:shd w:val="clear" w:color="auto" w:fill="auto"/>
            <w:noWrap/>
            <w:vAlign w:val="bottom"/>
            <w:hideMark/>
          </w:tcPr>
          <w:p w14:paraId="60C7941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300 000 </w:t>
            </w:r>
          </w:p>
        </w:tc>
        <w:tc>
          <w:tcPr>
            <w:tcW w:w="1134" w:type="dxa"/>
            <w:shd w:val="clear" w:color="auto" w:fill="auto"/>
            <w:noWrap/>
            <w:vAlign w:val="bottom"/>
            <w:hideMark/>
          </w:tcPr>
          <w:p w14:paraId="638974D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300 000</w:t>
            </w:r>
          </w:p>
        </w:tc>
        <w:tc>
          <w:tcPr>
            <w:tcW w:w="851" w:type="dxa"/>
            <w:shd w:val="clear" w:color="auto" w:fill="auto"/>
            <w:noWrap/>
            <w:vAlign w:val="bottom"/>
            <w:hideMark/>
          </w:tcPr>
          <w:p w14:paraId="2B53922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401AB14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1 197 900 </w:t>
            </w:r>
          </w:p>
        </w:tc>
        <w:tc>
          <w:tcPr>
            <w:tcW w:w="992" w:type="dxa"/>
            <w:shd w:val="clear" w:color="auto" w:fill="auto"/>
            <w:noWrap/>
            <w:vAlign w:val="bottom"/>
            <w:hideMark/>
          </w:tcPr>
          <w:p w14:paraId="5B105CE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203 333</w:t>
            </w:r>
          </w:p>
        </w:tc>
        <w:tc>
          <w:tcPr>
            <w:tcW w:w="992" w:type="dxa"/>
            <w:shd w:val="clear" w:color="auto" w:fill="auto"/>
            <w:noWrap/>
            <w:vAlign w:val="bottom"/>
            <w:hideMark/>
          </w:tcPr>
          <w:p w14:paraId="1DC87E1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F99AAA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203 333</w:t>
            </w:r>
          </w:p>
        </w:tc>
        <w:tc>
          <w:tcPr>
            <w:tcW w:w="1190" w:type="dxa"/>
            <w:shd w:val="clear" w:color="auto" w:fill="auto"/>
            <w:noWrap/>
            <w:vAlign w:val="bottom"/>
            <w:hideMark/>
          </w:tcPr>
          <w:p w14:paraId="35344C9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1 401 233 </w:t>
            </w:r>
          </w:p>
        </w:tc>
      </w:tr>
      <w:tr w:rsidR="00E7045B" w:rsidRPr="00440196" w14:paraId="000756A2" w14:textId="77777777" w:rsidTr="006F57F3">
        <w:trPr>
          <w:trHeight w:val="240"/>
        </w:trPr>
        <w:tc>
          <w:tcPr>
            <w:tcW w:w="2410" w:type="dxa"/>
            <w:shd w:val="clear" w:color="auto" w:fill="auto"/>
            <w:noWrap/>
            <w:vAlign w:val="bottom"/>
            <w:hideMark/>
          </w:tcPr>
          <w:p w14:paraId="2BA3AE5B"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Latvia</w:t>
            </w:r>
          </w:p>
        </w:tc>
        <w:tc>
          <w:tcPr>
            <w:tcW w:w="992" w:type="dxa"/>
            <w:shd w:val="clear" w:color="auto" w:fill="auto"/>
            <w:noWrap/>
            <w:vAlign w:val="bottom"/>
            <w:hideMark/>
          </w:tcPr>
          <w:p w14:paraId="41649F9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C4A549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A9C19A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4 299 </w:t>
            </w:r>
          </w:p>
        </w:tc>
        <w:tc>
          <w:tcPr>
            <w:tcW w:w="1134" w:type="dxa"/>
            <w:shd w:val="clear" w:color="auto" w:fill="auto"/>
            <w:noWrap/>
            <w:vAlign w:val="bottom"/>
            <w:hideMark/>
          </w:tcPr>
          <w:p w14:paraId="319195C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3 944 </w:t>
            </w:r>
          </w:p>
        </w:tc>
        <w:tc>
          <w:tcPr>
            <w:tcW w:w="1134" w:type="dxa"/>
            <w:shd w:val="clear" w:color="auto" w:fill="auto"/>
            <w:noWrap/>
            <w:vAlign w:val="bottom"/>
            <w:hideMark/>
          </w:tcPr>
          <w:p w14:paraId="392BD94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3 889</w:t>
            </w:r>
          </w:p>
        </w:tc>
        <w:tc>
          <w:tcPr>
            <w:tcW w:w="851" w:type="dxa"/>
            <w:shd w:val="clear" w:color="auto" w:fill="auto"/>
            <w:noWrap/>
            <w:vAlign w:val="bottom"/>
            <w:hideMark/>
          </w:tcPr>
          <w:p w14:paraId="623B0E1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3 726</w:t>
            </w:r>
          </w:p>
        </w:tc>
        <w:tc>
          <w:tcPr>
            <w:tcW w:w="1644" w:type="dxa"/>
            <w:shd w:val="clear" w:color="auto" w:fill="auto"/>
            <w:noWrap/>
            <w:vAlign w:val="bottom"/>
            <w:hideMark/>
          </w:tcPr>
          <w:p w14:paraId="0E97B8D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15 858 </w:t>
            </w:r>
          </w:p>
        </w:tc>
        <w:tc>
          <w:tcPr>
            <w:tcW w:w="992" w:type="dxa"/>
            <w:shd w:val="clear" w:color="auto" w:fill="auto"/>
            <w:noWrap/>
            <w:vAlign w:val="bottom"/>
            <w:hideMark/>
          </w:tcPr>
          <w:p w14:paraId="6D9B8E1C"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03A7BF3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5602C6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6594297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15 858 </w:t>
            </w:r>
          </w:p>
        </w:tc>
      </w:tr>
      <w:tr w:rsidR="00E7045B" w:rsidRPr="00440196" w14:paraId="1551A0BC" w14:textId="77777777" w:rsidTr="006F57F3">
        <w:trPr>
          <w:trHeight w:val="240"/>
        </w:trPr>
        <w:tc>
          <w:tcPr>
            <w:tcW w:w="2410" w:type="dxa"/>
            <w:shd w:val="clear" w:color="auto" w:fill="auto"/>
            <w:noWrap/>
            <w:vAlign w:val="bottom"/>
            <w:hideMark/>
          </w:tcPr>
          <w:p w14:paraId="34933242"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Malaysia</w:t>
            </w:r>
          </w:p>
        </w:tc>
        <w:tc>
          <w:tcPr>
            <w:tcW w:w="992" w:type="dxa"/>
            <w:shd w:val="clear" w:color="auto" w:fill="auto"/>
            <w:noWrap/>
            <w:vAlign w:val="bottom"/>
            <w:hideMark/>
          </w:tcPr>
          <w:p w14:paraId="0DFBEAA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1466575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530BD4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9DA3A7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100 000 </w:t>
            </w:r>
          </w:p>
        </w:tc>
        <w:tc>
          <w:tcPr>
            <w:tcW w:w="1134" w:type="dxa"/>
            <w:shd w:val="clear" w:color="auto" w:fill="auto"/>
            <w:noWrap/>
            <w:vAlign w:val="bottom"/>
            <w:hideMark/>
          </w:tcPr>
          <w:p w14:paraId="3402A44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851" w:type="dxa"/>
            <w:shd w:val="clear" w:color="auto" w:fill="auto"/>
            <w:noWrap/>
            <w:vAlign w:val="bottom"/>
            <w:hideMark/>
          </w:tcPr>
          <w:p w14:paraId="6464191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6F23927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100 000 </w:t>
            </w:r>
          </w:p>
        </w:tc>
        <w:tc>
          <w:tcPr>
            <w:tcW w:w="992" w:type="dxa"/>
            <w:shd w:val="clear" w:color="auto" w:fill="auto"/>
            <w:noWrap/>
            <w:vAlign w:val="bottom"/>
            <w:hideMark/>
          </w:tcPr>
          <w:p w14:paraId="42B7F7B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26A7F33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1429570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10FB575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100 000 </w:t>
            </w:r>
          </w:p>
        </w:tc>
      </w:tr>
      <w:tr w:rsidR="00E7045B" w:rsidRPr="00440196" w14:paraId="5B2659EA" w14:textId="77777777" w:rsidTr="006F57F3">
        <w:trPr>
          <w:trHeight w:val="240"/>
        </w:trPr>
        <w:tc>
          <w:tcPr>
            <w:tcW w:w="2410" w:type="dxa"/>
            <w:shd w:val="clear" w:color="auto" w:fill="auto"/>
            <w:noWrap/>
            <w:vAlign w:val="bottom"/>
            <w:hideMark/>
          </w:tcPr>
          <w:p w14:paraId="77900BC2"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Netherlands</w:t>
            </w:r>
          </w:p>
        </w:tc>
        <w:tc>
          <w:tcPr>
            <w:tcW w:w="992" w:type="dxa"/>
            <w:shd w:val="clear" w:color="auto" w:fill="auto"/>
            <w:noWrap/>
            <w:vAlign w:val="bottom"/>
            <w:hideMark/>
          </w:tcPr>
          <w:p w14:paraId="6C200BE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475BBD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3B40AF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678 426 </w:t>
            </w:r>
          </w:p>
        </w:tc>
        <w:tc>
          <w:tcPr>
            <w:tcW w:w="1134" w:type="dxa"/>
            <w:shd w:val="clear" w:color="auto" w:fill="auto"/>
            <w:noWrap/>
            <w:vAlign w:val="bottom"/>
            <w:hideMark/>
          </w:tcPr>
          <w:p w14:paraId="3D16444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1A45623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636 943</w:t>
            </w:r>
          </w:p>
        </w:tc>
        <w:tc>
          <w:tcPr>
            <w:tcW w:w="851" w:type="dxa"/>
            <w:shd w:val="clear" w:color="auto" w:fill="auto"/>
            <w:noWrap/>
            <w:vAlign w:val="bottom"/>
            <w:hideMark/>
          </w:tcPr>
          <w:p w14:paraId="72D64B7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221B2DB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1 315 369 </w:t>
            </w:r>
          </w:p>
        </w:tc>
        <w:tc>
          <w:tcPr>
            <w:tcW w:w="992" w:type="dxa"/>
            <w:shd w:val="clear" w:color="auto" w:fill="auto"/>
            <w:noWrap/>
            <w:vAlign w:val="bottom"/>
            <w:hideMark/>
          </w:tcPr>
          <w:p w14:paraId="07B5929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5BC5347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779DCD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591A25B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1 315 369 </w:t>
            </w:r>
          </w:p>
        </w:tc>
      </w:tr>
      <w:tr w:rsidR="00E7045B" w:rsidRPr="00440196" w14:paraId="29257B53" w14:textId="77777777" w:rsidTr="006F57F3">
        <w:trPr>
          <w:trHeight w:val="240"/>
        </w:trPr>
        <w:tc>
          <w:tcPr>
            <w:tcW w:w="2410" w:type="dxa"/>
            <w:shd w:val="clear" w:color="auto" w:fill="auto"/>
            <w:noWrap/>
            <w:vAlign w:val="bottom"/>
            <w:hideMark/>
          </w:tcPr>
          <w:p w14:paraId="69543DD2"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New Zealand *</w:t>
            </w:r>
          </w:p>
        </w:tc>
        <w:tc>
          <w:tcPr>
            <w:tcW w:w="992" w:type="dxa"/>
            <w:shd w:val="clear" w:color="auto" w:fill="auto"/>
            <w:noWrap/>
            <w:vAlign w:val="bottom"/>
            <w:hideMark/>
          </w:tcPr>
          <w:p w14:paraId="5FD49CF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7A97B83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16 094 </w:t>
            </w:r>
          </w:p>
        </w:tc>
        <w:tc>
          <w:tcPr>
            <w:tcW w:w="1134" w:type="dxa"/>
            <w:shd w:val="clear" w:color="auto" w:fill="auto"/>
            <w:noWrap/>
            <w:vAlign w:val="bottom"/>
            <w:hideMark/>
          </w:tcPr>
          <w:p w14:paraId="29828D5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17 134 </w:t>
            </w:r>
          </w:p>
        </w:tc>
        <w:tc>
          <w:tcPr>
            <w:tcW w:w="1134" w:type="dxa"/>
            <w:shd w:val="clear" w:color="auto" w:fill="auto"/>
            <w:noWrap/>
            <w:vAlign w:val="bottom"/>
            <w:hideMark/>
          </w:tcPr>
          <w:p w14:paraId="107606F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18 727 </w:t>
            </w:r>
          </w:p>
        </w:tc>
        <w:tc>
          <w:tcPr>
            <w:tcW w:w="1134" w:type="dxa"/>
            <w:shd w:val="clear" w:color="auto" w:fill="auto"/>
            <w:noWrap/>
            <w:vAlign w:val="bottom"/>
            <w:hideMark/>
          </w:tcPr>
          <w:p w14:paraId="1AF63E4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34 091</w:t>
            </w:r>
          </w:p>
        </w:tc>
        <w:tc>
          <w:tcPr>
            <w:tcW w:w="851" w:type="dxa"/>
            <w:shd w:val="clear" w:color="auto" w:fill="auto"/>
            <w:noWrap/>
            <w:vAlign w:val="bottom"/>
            <w:hideMark/>
          </w:tcPr>
          <w:p w14:paraId="73C0BA2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43B2747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86 046 </w:t>
            </w:r>
          </w:p>
        </w:tc>
        <w:tc>
          <w:tcPr>
            <w:tcW w:w="992" w:type="dxa"/>
            <w:shd w:val="clear" w:color="auto" w:fill="auto"/>
            <w:noWrap/>
            <w:vAlign w:val="bottom"/>
            <w:hideMark/>
          </w:tcPr>
          <w:p w14:paraId="302B9EB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14750BB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94ED2D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0FFAF21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86 046 </w:t>
            </w:r>
          </w:p>
        </w:tc>
      </w:tr>
      <w:tr w:rsidR="00E7045B" w:rsidRPr="00440196" w14:paraId="231F2A4E" w14:textId="77777777" w:rsidTr="006F57F3">
        <w:trPr>
          <w:trHeight w:val="92"/>
        </w:trPr>
        <w:tc>
          <w:tcPr>
            <w:tcW w:w="2410" w:type="dxa"/>
            <w:shd w:val="clear" w:color="auto" w:fill="auto"/>
            <w:noWrap/>
            <w:vAlign w:val="bottom"/>
            <w:hideMark/>
          </w:tcPr>
          <w:p w14:paraId="1DF8F061"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Norway </w:t>
            </w:r>
          </w:p>
        </w:tc>
        <w:tc>
          <w:tcPr>
            <w:tcW w:w="992" w:type="dxa"/>
            <w:shd w:val="clear" w:color="auto" w:fill="auto"/>
            <w:noWrap/>
            <w:vAlign w:val="bottom"/>
            <w:hideMark/>
          </w:tcPr>
          <w:p w14:paraId="722A68D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00400E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140 458 </w:t>
            </w:r>
          </w:p>
        </w:tc>
        <w:tc>
          <w:tcPr>
            <w:tcW w:w="1134" w:type="dxa"/>
            <w:shd w:val="clear" w:color="auto" w:fill="auto"/>
            <w:noWrap/>
            <w:vAlign w:val="bottom"/>
            <w:hideMark/>
          </w:tcPr>
          <w:p w14:paraId="14A2813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8 118 860 </w:t>
            </w:r>
          </w:p>
        </w:tc>
        <w:tc>
          <w:tcPr>
            <w:tcW w:w="1134" w:type="dxa"/>
            <w:shd w:val="clear" w:color="auto" w:fill="auto"/>
            <w:noWrap/>
            <w:vAlign w:val="bottom"/>
            <w:hideMark/>
          </w:tcPr>
          <w:p w14:paraId="394508A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58 357 </w:t>
            </w:r>
          </w:p>
        </w:tc>
        <w:tc>
          <w:tcPr>
            <w:tcW w:w="1134" w:type="dxa"/>
            <w:shd w:val="clear" w:color="auto" w:fill="auto"/>
            <w:noWrap/>
            <w:vAlign w:val="bottom"/>
            <w:hideMark/>
          </w:tcPr>
          <w:p w14:paraId="2868F1E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372 420</w:t>
            </w:r>
          </w:p>
        </w:tc>
        <w:tc>
          <w:tcPr>
            <w:tcW w:w="851" w:type="dxa"/>
            <w:shd w:val="clear" w:color="auto" w:fill="auto"/>
            <w:noWrap/>
            <w:vAlign w:val="bottom"/>
            <w:hideMark/>
          </w:tcPr>
          <w:p w14:paraId="5D15674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19284E1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8 690 095 </w:t>
            </w:r>
          </w:p>
        </w:tc>
        <w:tc>
          <w:tcPr>
            <w:tcW w:w="992" w:type="dxa"/>
            <w:shd w:val="clear" w:color="auto" w:fill="auto"/>
            <w:noWrap/>
            <w:vAlign w:val="bottom"/>
            <w:hideMark/>
          </w:tcPr>
          <w:p w14:paraId="3A48716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654 195</w:t>
            </w:r>
          </w:p>
        </w:tc>
        <w:tc>
          <w:tcPr>
            <w:tcW w:w="992" w:type="dxa"/>
            <w:shd w:val="clear" w:color="auto" w:fill="auto"/>
            <w:noWrap/>
            <w:vAlign w:val="bottom"/>
            <w:hideMark/>
          </w:tcPr>
          <w:p w14:paraId="0833DE0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295 000</w:t>
            </w:r>
          </w:p>
        </w:tc>
        <w:tc>
          <w:tcPr>
            <w:tcW w:w="1134" w:type="dxa"/>
            <w:shd w:val="clear" w:color="auto" w:fill="auto"/>
            <w:noWrap/>
            <w:vAlign w:val="bottom"/>
            <w:hideMark/>
          </w:tcPr>
          <w:p w14:paraId="48D9894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949 195</w:t>
            </w:r>
          </w:p>
        </w:tc>
        <w:tc>
          <w:tcPr>
            <w:tcW w:w="1190" w:type="dxa"/>
            <w:shd w:val="clear" w:color="auto" w:fill="auto"/>
            <w:noWrap/>
            <w:vAlign w:val="bottom"/>
            <w:hideMark/>
          </w:tcPr>
          <w:p w14:paraId="5C75829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9 639 290 </w:t>
            </w:r>
          </w:p>
        </w:tc>
      </w:tr>
      <w:tr w:rsidR="00E7045B" w:rsidRPr="00440196" w14:paraId="2A8D1147" w14:textId="77777777" w:rsidTr="006F57F3">
        <w:trPr>
          <w:trHeight w:val="240"/>
        </w:trPr>
        <w:tc>
          <w:tcPr>
            <w:tcW w:w="2410" w:type="dxa"/>
            <w:shd w:val="clear" w:color="auto" w:fill="auto"/>
            <w:noWrap/>
            <w:vAlign w:val="bottom"/>
            <w:hideMark/>
          </w:tcPr>
          <w:p w14:paraId="7DA6B133"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Republic of Korea</w:t>
            </w:r>
          </w:p>
        </w:tc>
        <w:tc>
          <w:tcPr>
            <w:tcW w:w="992" w:type="dxa"/>
            <w:shd w:val="clear" w:color="auto" w:fill="auto"/>
            <w:noWrap/>
            <w:vAlign w:val="bottom"/>
            <w:hideMark/>
          </w:tcPr>
          <w:p w14:paraId="7EE8DA9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6162C9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20 000 </w:t>
            </w:r>
          </w:p>
        </w:tc>
        <w:tc>
          <w:tcPr>
            <w:tcW w:w="1134" w:type="dxa"/>
            <w:shd w:val="clear" w:color="auto" w:fill="auto"/>
            <w:noWrap/>
            <w:vAlign w:val="bottom"/>
            <w:hideMark/>
          </w:tcPr>
          <w:p w14:paraId="5BB8978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539B1D7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00C65A3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851" w:type="dxa"/>
            <w:shd w:val="clear" w:color="auto" w:fill="auto"/>
            <w:noWrap/>
            <w:vAlign w:val="bottom"/>
            <w:hideMark/>
          </w:tcPr>
          <w:p w14:paraId="5480A13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65B67B2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20 000 </w:t>
            </w:r>
          </w:p>
        </w:tc>
        <w:tc>
          <w:tcPr>
            <w:tcW w:w="992" w:type="dxa"/>
            <w:shd w:val="clear" w:color="auto" w:fill="auto"/>
            <w:noWrap/>
            <w:vAlign w:val="bottom"/>
            <w:hideMark/>
          </w:tcPr>
          <w:p w14:paraId="249F4BE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0E2EBFD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2838C4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7BA9577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20 000 </w:t>
            </w:r>
          </w:p>
        </w:tc>
      </w:tr>
      <w:tr w:rsidR="00E7045B" w:rsidRPr="00440196" w14:paraId="58F804C9" w14:textId="77777777" w:rsidTr="006F57F3">
        <w:trPr>
          <w:trHeight w:val="240"/>
        </w:trPr>
        <w:tc>
          <w:tcPr>
            <w:tcW w:w="2410" w:type="dxa"/>
            <w:shd w:val="clear" w:color="auto" w:fill="auto"/>
            <w:noWrap/>
            <w:vAlign w:val="bottom"/>
            <w:hideMark/>
          </w:tcPr>
          <w:p w14:paraId="00DC8852"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South Africa </w:t>
            </w:r>
          </w:p>
        </w:tc>
        <w:tc>
          <w:tcPr>
            <w:tcW w:w="992" w:type="dxa"/>
            <w:shd w:val="clear" w:color="auto" w:fill="auto"/>
            <w:noWrap/>
            <w:vAlign w:val="bottom"/>
            <w:hideMark/>
          </w:tcPr>
          <w:p w14:paraId="276655C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1BF4AE2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14C9AF6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30 000 </w:t>
            </w:r>
          </w:p>
        </w:tc>
        <w:tc>
          <w:tcPr>
            <w:tcW w:w="1134" w:type="dxa"/>
            <w:shd w:val="clear" w:color="auto" w:fill="auto"/>
            <w:noWrap/>
            <w:vAlign w:val="bottom"/>
            <w:hideMark/>
          </w:tcPr>
          <w:p w14:paraId="185AB81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B55B00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851" w:type="dxa"/>
            <w:shd w:val="clear" w:color="auto" w:fill="auto"/>
            <w:noWrap/>
            <w:vAlign w:val="bottom"/>
            <w:hideMark/>
          </w:tcPr>
          <w:p w14:paraId="514FA27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7717EF0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30 000 </w:t>
            </w:r>
          </w:p>
        </w:tc>
        <w:tc>
          <w:tcPr>
            <w:tcW w:w="992" w:type="dxa"/>
            <w:shd w:val="clear" w:color="auto" w:fill="auto"/>
            <w:noWrap/>
            <w:vAlign w:val="bottom"/>
            <w:hideMark/>
          </w:tcPr>
          <w:p w14:paraId="6C39531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shd w:val="clear" w:color="auto" w:fill="auto"/>
            <w:noWrap/>
            <w:vAlign w:val="bottom"/>
            <w:hideMark/>
          </w:tcPr>
          <w:p w14:paraId="6E3606C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29AFD82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shd w:val="clear" w:color="auto" w:fill="auto"/>
            <w:noWrap/>
            <w:vAlign w:val="bottom"/>
            <w:hideMark/>
          </w:tcPr>
          <w:p w14:paraId="5A03A5A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30 000 </w:t>
            </w:r>
          </w:p>
        </w:tc>
      </w:tr>
      <w:tr w:rsidR="00E7045B" w:rsidRPr="00440196" w14:paraId="34483724" w14:textId="77777777" w:rsidTr="006F57F3">
        <w:trPr>
          <w:trHeight w:val="87"/>
        </w:trPr>
        <w:tc>
          <w:tcPr>
            <w:tcW w:w="2410" w:type="dxa"/>
            <w:shd w:val="clear" w:color="auto" w:fill="auto"/>
            <w:noWrap/>
            <w:vAlign w:val="bottom"/>
            <w:hideMark/>
          </w:tcPr>
          <w:p w14:paraId="3DDC8789"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Sweden</w:t>
            </w:r>
          </w:p>
        </w:tc>
        <w:tc>
          <w:tcPr>
            <w:tcW w:w="992" w:type="dxa"/>
            <w:shd w:val="clear" w:color="auto" w:fill="auto"/>
            <w:noWrap/>
            <w:vAlign w:val="bottom"/>
            <w:hideMark/>
          </w:tcPr>
          <w:p w14:paraId="5048578E"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0253B2B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228 349 </w:t>
            </w:r>
          </w:p>
        </w:tc>
        <w:tc>
          <w:tcPr>
            <w:tcW w:w="1134" w:type="dxa"/>
            <w:shd w:val="clear" w:color="auto" w:fill="auto"/>
            <w:noWrap/>
            <w:vAlign w:val="bottom"/>
            <w:hideMark/>
          </w:tcPr>
          <w:p w14:paraId="5FFAC415"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194 368 </w:t>
            </w:r>
          </w:p>
        </w:tc>
        <w:tc>
          <w:tcPr>
            <w:tcW w:w="1134" w:type="dxa"/>
            <w:shd w:val="clear" w:color="auto" w:fill="auto"/>
            <w:noWrap/>
            <w:vAlign w:val="bottom"/>
            <w:hideMark/>
          </w:tcPr>
          <w:p w14:paraId="324131A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128 535 </w:t>
            </w:r>
          </w:p>
        </w:tc>
        <w:tc>
          <w:tcPr>
            <w:tcW w:w="1134" w:type="dxa"/>
            <w:shd w:val="clear" w:color="auto" w:fill="auto"/>
            <w:noWrap/>
            <w:vAlign w:val="bottom"/>
            <w:hideMark/>
          </w:tcPr>
          <w:p w14:paraId="0A1B6E6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116 421</w:t>
            </w:r>
          </w:p>
        </w:tc>
        <w:tc>
          <w:tcPr>
            <w:tcW w:w="851" w:type="dxa"/>
            <w:shd w:val="clear" w:color="auto" w:fill="auto"/>
            <w:noWrap/>
            <w:vAlign w:val="bottom"/>
            <w:hideMark/>
          </w:tcPr>
          <w:p w14:paraId="5966190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3CDA7483"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667 673 </w:t>
            </w:r>
          </w:p>
        </w:tc>
        <w:tc>
          <w:tcPr>
            <w:tcW w:w="992" w:type="dxa"/>
            <w:shd w:val="clear" w:color="auto" w:fill="auto"/>
            <w:noWrap/>
            <w:vAlign w:val="bottom"/>
            <w:hideMark/>
          </w:tcPr>
          <w:p w14:paraId="23B4991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165 000</w:t>
            </w:r>
          </w:p>
        </w:tc>
        <w:tc>
          <w:tcPr>
            <w:tcW w:w="992" w:type="dxa"/>
            <w:shd w:val="clear" w:color="auto" w:fill="auto"/>
            <w:noWrap/>
            <w:vAlign w:val="bottom"/>
            <w:hideMark/>
          </w:tcPr>
          <w:p w14:paraId="6260BBA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340AC78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165 000</w:t>
            </w:r>
          </w:p>
        </w:tc>
        <w:tc>
          <w:tcPr>
            <w:tcW w:w="1190" w:type="dxa"/>
            <w:shd w:val="clear" w:color="auto" w:fill="auto"/>
            <w:noWrap/>
            <w:vAlign w:val="bottom"/>
            <w:hideMark/>
          </w:tcPr>
          <w:p w14:paraId="1C95A784"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832 673 </w:t>
            </w:r>
          </w:p>
        </w:tc>
      </w:tr>
      <w:tr w:rsidR="00E7045B" w:rsidRPr="00440196" w14:paraId="7FA03558" w14:textId="77777777" w:rsidTr="006F57F3">
        <w:trPr>
          <w:trHeight w:val="240"/>
        </w:trPr>
        <w:tc>
          <w:tcPr>
            <w:tcW w:w="2410" w:type="dxa"/>
            <w:shd w:val="clear" w:color="auto" w:fill="auto"/>
            <w:noWrap/>
            <w:vAlign w:val="bottom"/>
            <w:hideMark/>
          </w:tcPr>
          <w:p w14:paraId="51781ECB"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Switzerland </w:t>
            </w:r>
          </w:p>
        </w:tc>
        <w:tc>
          <w:tcPr>
            <w:tcW w:w="992" w:type="dxa"/>
            <w:shd w:val="clear" w:color="auto" w:fill="auto"/>
            <w:noWrap/>
            <w:vAlign w:val="bottom"/>
            <w:hideMark/>
          </w:tcPr>
          <w:p w14:paraId="08422CD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6DBFC8F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76 144 </w:t>
            </w:r>
          </w:p>
        </w:tc>
        <w:tc>
          <w:tcPr>
            <w:tcW w:w="1134" w:type="dxa"/>
            <w:shd w:val="clear" w:color="auto" w:fill="auto"/>
            <w:noWrap/>
            <w:vAlign w:val="bottom"/>
            <w:hideMark/>
          </w:tcPr>
          <w:p w14:paraId="718D8BC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84 793 </w:t>
            </w:r>
          </w:p>
        </w:tc>
        <w:tc>
          <w:tcPr>
            <w:tcW w:w="1134" w:type="dxa"/>
            <w:shd w:val="clear" w:color="auto" w:fill="auto"/>
            <w:noWrap/>
            <w:vAlign w:val="bottom"/>
            <w:hideMark/>
          </w:tcPr>
          <w:p w14:paraId="5E3898F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84 000 </w:t>
            </w:r>
          </w:p>
        </w:tc>
        <w:tc>
          <w:tcPr>
            <w:tcW w:w="1134" w:type="dxa"/>
            <w:shd w:val="clear" w:color="auto" w:fill="auto"/>
            <w:noWrap/>
            <w:vAlign w:val="bottom"/>
            <w:hideMark/>
          </w:tcPr>
          <w:p w14:paraId="3C518B8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84 000</w:t>
            </w:r>
          </w:p>
        </w:tc>
        <w:tc>
          <w:tcPr>
            <w:tcW w:w="851" w:type="dxa"/>
            <w:shd w:val="clear" w:color="auto" w:fill="auto"/>
            <w:noWrap/>
            <w:vAlign w:val="bottom"/>
            <w:hideMark/>
          </w:tcPr>
          <w:p w14:paraId="1F61C82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0548566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328 937 </w:t>
            </w:r>
          </w:p>
        </w:tc>
        <w:tc>
          <w:tcPr>
            <w:tcW w:w="992" w:type="dxa"/>
            <w:shd w:val="clear" w:color="auto" w:fill="auto"/>
            <w:noWrap/>
            <w:vAlign w:val="bottom"/>
            <w:hideMark/>
          </w:tcPr>
          <w:p w14:paraId="4327D69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84 000</w:t>
            </w:r>
          </w:p>
        </w:tc>
        <w:tc>
          <w:tcPr>
            <w:tcW w:w="992" w:type="dxa"/>
            <w:shd w:val="clear" w:color="auto" w:fill="auto"/>
            <w:noWrap/>
            <w:vAlign w:val="bottom"/>
            <w:hideMark/>
          </w:tcPr>
          <w:p w14:paraId="6A60D7B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83 207</w:t>
            </w:r>
          </w:p>
        </w:tc>
        <w:tc>
          <w:tcPr>
            <w:tcW w:w="1134" w:type="dxa"/>
            <w:shd w:val="clear" w:color="auto" w:fill="auto"/>
            <w:noWrap/>
            <w:vAlign w:val="bottom"/>
            <w:hideMark/>
          </w:tcPr>
          <w:p w14:paraId="203F83E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167 207</w:t>
            </w:r>
          </w:p>
        </w:tc>
        <w:tc>
          <w:tcPr>
            <w:tcW w:w="1190" w:type="dxa"/>
            <w:shd w:val="clear" w:color="auto" w:fill="auto"/>
            <w:noWrap/>
            <w:vAlign w:val="bottom"/>
            <w:hideMark/>
          </w:tcPr>
          <w:p w14:paraId="3FB4369F"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496 144 </w:t>
            </w:r>
          </w:p>
        </w:tc>
      </w:tr>
      <w:tr w:rsidR="00E7045B" w:rsidRPr="00440196" w14:paraId="411B909F" w14:textId="77777777" w:rsidTr="006F57F3">
        <w:trPr>
          <w:trHeight w:val="240"/>
        </w:trPr>
        <w:tc>
          <w:tcPr>
            <w:tcW w:w="2410" w:type="dxa"/>
            <w:shd w:val="clear" w:color="auto" w:fill="auto"/>
            <w:noWrap/>
            <w:vAlign w:val="bottom"/>
            <w:hideMark/>
          </w:tcPr>
          <w:p w14:paraId="402B6B07"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 xml:space="preserve">United Kingdom of Great Britain and Northern Ireland </w:t>
            </w:r>
          </w:p>
        </w:tc>
        <w:tc>
          <w:tcPr>
            <w:tcW w:w="992" w:type="dxa"/>
            <w:shd w:val="clear" w:color="auto" w:fill="auto"/>
            <w:noWrap/>
            <w:vAlign w:val="bottom"/>
            <w:hideMark/>
          </w:tcPr>
          <w:p w14:paraId="5CB5C15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43C6D94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1 285 694 </w:t>
            </w:r>
          </w:p>
        </w:tc>
        <w:tc>
          <w:tcPr>
            <w:tcW w:w="1134" w:type="dxa"/>
            <w:shd w:val="clear" w:color="auto" w:fill="auto"/>
            <w:noWrap/>
            <w:vAlign w:val="bottom"/>
            <w:hideMark/>
          </w:tcPr>
          <w:p w14:paraId="3E898AB9"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1 046 145 </w:t>
            </w:r>
          </w:p>
        </w:tc>
        <w:tc>
          <w:tcPr>
            <w:tcW w:w="1134" w:type="dxa"/>
            <w:shd w:val="clear" w:color="auto" w:fill="auto"/>
            <w:noWrap/>
            <w:vAlign w:val="bottom"/>
            <w:hideMark/>
          </w:tcPr>
          <w:p w14:paraId="3D9BBB9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shd w:val="clear" w:color="auto" w:fill="auto"/>
            <w:noWrap/>
            <w:vAlign w:val="bottom"/>
            <w:hideMark/>
          </w:tcPr>
          <w:p w14:paraId="1A7773C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228 956</w:t>
            </w:r>
          </w:p>
        </w:tc>
        <w:tc>
          <w:tcPr>
            <w:tcW w:w="851" w:type="dxa"/>
            <w:shd w:val="clear" w:color="auto" w:fill="auto"/>
            <w:noWrap/>
            <w:vAlign w:val="bottom"/>
            <w:hideMark/>
          </w:tcPr>
          <w:p w14:paraId="73A18BC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shd w:val="clear" w:color="auto" w:fill="auto"/>
            <w:noWrap/>
            <w:vAlign w:val="bottom"/>
            <w:hideMark/>
          </w:tcPr>
          <w:p w14:paraId="177C667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2 560 795 </w:t>
            </w:r>
          </w:p>
        </w:tc>
        <w:tc>
          <w:tcPr>
            <w:tcW w:w="992" w:type="dxa"/>
            <w:shd w:val="clear" w:color="auto" w:fill="auto"/>
            <w:noWrap/>
            <w:vAlign w:val="bottom"/>
            <w:hideMark/>
          </w:tcPr>
          <w:p w14:paraId="1A7422AD"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186 567</w:t>
            </w:r>
          </w:p>
        </w:tc>
        <w:tc>
          <w:tcPr>
            <w:tcW w:w="992" w:type="dxa"/>
            <w:shd w:val="clear" w:color="auto" w:fill="auto"/>
            <w:noWrap/>
            <w:vAlign w:val="bottom"/>
            <w:hideMark/>
          </w:tcPr>
          <w:p w14:paraId="7462FDD8"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186 567</w:t>
            </w:r>
          </w:p>
        </w:tc>
        <w:tc>
          <w:tcPr>
            <w:tcW w:w="1134" w:type="dxa"/>
            <w:shd w:val="clear" w:color="auto" w:fill="auto"/>
            <w:noWrap/>
            <w:vAlign w:val="bottom"/>
            <w:hideMark/>
          </w:tcPr>
          <w:p w14:paraId="14B12DC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373 134</w:t>
            </w:r>
          </w:p>
        </w:tc>
        <w:tc>
          <w:tcPr>
            <w:tcW w:w="1190" w:type="dxa"/>
            <w:shd w:val="clear" w:color="auto" w:fill="auto"/>
            <w:noWrap/>
            <w:vAlign w:val="bottom"/>
            <w:hideMark/>
          </w:tcPr>
          <w:p w14:paraId="6C34CFFA"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2 933 929 </w:t>
            </w:r>
          </w:p>
        </w:tc>
      </w:tr>
      <w:tr w:rsidR="00E7045B" w:rsidRPr="00440196" w14:paraId="37C08727" w14:textId="77777777" w:rsidTr="006F57F3">
        <w:trPr>
          <w:trHeight w:val="240"/>
        </w:trPr>
        <w:tc>
          <w:tcPr>
            <w:tcW w:w="2410" w:type="dxa"/>
            <w:tcBorders>
              <w:bottom w:val="single" w:sz="4" w:space="0" w:color="auto"/>
            </w:tcBorders>
            <w:shd w:val="clear" w:color="auto" w:fill="auto"/>
            <w:noWrap/>
            <w:vAlign w:val="bottom"/>
            <w:hideMark/>
          </w:tcPr>
          <w:p w14:paraId="598805B1" w14:textId="77777777" w:rsidR="00E7045B" w:rsidRPr="007831BB" w:rsidRDefault="00E7045B" w:rsidP="00440196">
            <w:pPr>
              <w:widowControl w:val="0"/>
              <w:tabs>
                <w:tab w:val="left" w:pos="6480"/>
                <w:tab w:val="left" w:pos="7200"/>
              </w:tabs>
              <w:rPr>
                <w:color w:val="000000"/>
                <w:sz w:val="18"/>
                <w:szCs w:val="18"/>
                <w:lang w:eastAsia="zh-CN"/>
              </w:rPr>
            </w:pPr>
            <w:r w:rsidRPr="00440196">
              <w:rPr>
                <w:color w:val="000000"/>
                <w:sz w:val="18"/>
                <w:szCs w:val="18"/>
                <w:lang w:eastAsia="zh-CN"/>
              </w:rPr>
              <w:t>United States of America</w:t>
            </w:r>
          </w:p>
        </w:tc>
        <w:tc>
          <w:tcPr>
            <w:tcW w:w="992" w:type="dxa"/>
            <w:tcBorders>
              <w:bottom w:val="single" w:sz="4" w:space="0" w:color="auto"/>
            </w:tcBorders>
            <w:shd w:val="clear" w:color="auto" w:fill="auto"/>
            <w:noWrap/>
            <w:vAlign w:val="bottom"/>
            <w:hideMark/>
          </w:tcPr>
          <w:p w14:paraId="524F40A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500 000 </w:t>
            </w:r>
          </w:p>
        </w:tc>
        <w:tc>
          <w:tcPr>
            <w:tcW w:w="1134" w:type="dxa"/>
            <w:tcBorders>
              <w:bottom w:val="single" w:sz="4" w:space="0" w:color="auto"/>
            </w:tcBorders>
            <w:shd w:val="clear" w:color="auto" w:fill="auto"/>
            <w:noWrap/>
            <w:vAlign w:val="bottom"/>
            <w:hideMark/>
          </w:tcPr>
          <w:p w14:paraId="457008FB"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500 000 </w:t>
            </w:r>
          </w:p>
        </w:tc>
        <w:tc>
          <w:tcPr>
            <w:tcW w:w="1134" w:type="dxa"/>
            <w:tcBorders>
              <w:bottom w:val="single" w:sz="4" w:space="0" w:color="auto"/>
            </w:tcBorders>
            <w:shd w:val="clear" w:color="auto" w:fill="auto"/>
            <w:noWrap/>
            <w:vAlign w:val="bottom"/>
            <w:hideMark/>
          </w:tcPr>
          <w:p w14:paraId="76155581"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500 000 </w:t>
            </w:r>
          </w:p>
        </w:tc>
        <w:tc>
          <w:tcPr>
            <w:tcW w:w="1134" w:type="dxa"/>
            <w:tcBorders>
              <w:bottom w:val="single" w:sz="4" w:space="0" w:color="auto"/>
            </w:tcBorders>
            <w:shd w:val="clear" w:color="auto" w:fill="auto"/>
            <w:noWrap/>
            <w:vAlign w:val="bottom"/>
            <w:hideMark/>
          </w:tcPr>
          <w:p w14:paraId="2B7E2B4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477 500 </w:t>
            </w:r>
          </w:p>
        </w:tc>
        <w:tc>
          <w:tcPr>
            <w:tcW w:w="1134" w:type="dxa"/>
            <w:tcBorders>
              <w:bottom w:val="single" w:sz="4" w:space="0" w:color="auto"/>
            </w:tcBorders>
            <w:shd w:val="clear" w:color="auto" w:fill="auto"/>
            <w:noWrap/>
            <w:vAlign w:val="bottom"/>
            <w:hideMark/>
          </w:tcPr>
          <w:p w14:paraId="224F0E8C"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541 306</w:t>
            </w:r>
          </w:p>
        </w:tc>
        <w:tc>
          <w:tcPr>
            <w:tcW w:w="851" w:type="dxa"/>
            <w:tcBorders>
              <w:bottom w:val="single" w:sz="4" w:space="0" w:color="auto"/>
            </w:tcBorders>
            <w:shd w:val="clear" w:color="auto" w:fill="auto"/>
            <w:noWrap/>
            <w:vAlign w:val="bottom"/>
            <w:hideMark/>
          </w:tcPr>
          <w:p w14:paraId="4DEDDCD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644" w:type="dxa"/>
            <w:tcBorders>
              <w:bottom w:val="single" w:sz="4" w:space="0" w:color="auto"/>
            </w:tcBorders>
            <w:shd w:val="clear" w:color="auto" w:fill="auto"/>
            <w:noWrap/>
            <w:vAlign w:val="bottom"/>
            <w:hideMark/>
          </w:tcPr>
          <w:p w14:paraId="393DDEA0"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2 518 806 </w:t>
            </w:r>
          </w:p>
        </w:tc>
        <w:tc>
          <w:tcPr>
            <w:tcW w:w="992" w:type="dxa"/>
            <w:tcBorders>
              <w:bottom w:val="single" w:sz="4" w:space="0" w:color="auto"/>
            </w:tcBorders>
            <w:shd w:val="clear" w:color="auto" w:fill="auto"/>
            <w:noWrap/>
            <w:vAlign w:val="bottom"/>
            <w:hideMark/>
          </w:tcPr>
          <w:p w14:paraId="159274A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992" w:type="dxa"/>
            <w:tcBorders>
              <w:bottom w:val="single" w:sz="4" w:space="0" w:color="auto"/>
            </w:tcBorders>
            <w:shd w:val="clear" w:color="auto" w:fill="auto"/>
            <w:noWrap/>
            <w:vAlign w:val="bottom"/>
            <w:hideMark/>
          </w:tcPr>
          <w:p w14:paraId="2E91B396"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w:t>
            </w:r>
          </w:p>
        </w:tc>
        <w:tc>
          <w:tcPr>
            <w:tcW w:w="1134" w:type="dxa"/>
            <w:tcBorders>
              <w:bottom w:val="single" w:sz="4" w:space="0" w:color="auto"/>
            </w:tcBorders>
            <w:shd w:val="clear" w:color="auto" w:fill="auto"/>
            <w:noWrap/>
            <w:vAlign w:val="bottom"/>
            <w:hideMark/>
          </w:tcPr>
          <w:p w14:paraId="26A34C92"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0</w:t>
            </w:r>
          </w:p>
        </w:tc>
        <w:tc>
          <w:tcPr>
            <w:tcW w:w="1190" w:type="dxa"/>
            <w:tcBorders>
              <w:bottom w:val="single" w:sz="4" w:space="0" w:color="auto"/>
            </w:tcBorders>
            <w:shd w:val="clear" w:color="auto" w:fill="auto"/>
            <w:noWrap/>
            <w:vAlign w:val="bottom"/>
            <w:hideMark/>
          </w:tcPr>
          <w:p w14:paraId="61BD5707" w14:textId="77777777" w:rsidR="00E7045B" w:rsidRPr="007831BB" w:rsidRDefault="00E7045B" w:rsidP="00440196">
            <w:pPr>
              <w:widowControl w:val="0"/>
              <w:tabs>
                <w:tab w:val="left" w:pos="6480"/>
                <w:tab w:val="left" w:pos="7200"/>
              </w:tabs>
              <w:jc w:val="right"/>
              <w:rPr>
                <w:color w:val="000000"/>
                <w:sz w:val="18"/>
                <w:szCs w:val="18"/>
                <w:lang w:eastAsia="zh-CN"/>
              </w:rPr>
            </w:pPr>
            <w:r w:rsidRPr="00440196">
              <w:rPr>
                <w:color w:val="000000"/>
                <w:sz w:val="18"/>
                <w:szCs w:val="18"/>
                <w:lang w:eastAsia="zh-CN"/>
              </w:rPr>
              <w:t xml:space="preserve"> 2 518 806 </w:t>
            </w:r>
          </w:p>
        </w:tc>
      </w:tr>
      <w:tr w:rsidR="00E7045B" w:rsidRPr="00440196" w14:paraId="56CC5F2D" w14:textId="77777777" w:rsidTr="006F57F3">
        <w:trPr>
          <w:trHeight w:val="180"/>
        </w:trPr>
        <w:tc>
          <w:tcPr>
            <w:tcW w:w="2410" w:type="dxa"/>
            <w:tcBorders>
              <w:top w:val="single" w:sz="4" w:space="0" w:color="auto"/>
              <w:bottom w:val="single" w:sz="12" w:space="0" w:color="auto"/>
            </w:tcBorders>
            <w:shd w:val="clear" w:color="auto" w:fill="auto"/>
            <w:noWrap/>
            <w:vAlign w:val="bottom"/>
            <w:hideMark/>
          </w:tcPr>
          <w:p w14:paraId="700DB450" w14:textId="77777777" w:rsidR="00E7045B" w:rsidRPr="007831BB" w:rsidRDefault="00E7045B" w:rsidP="00440196">
            <w:pPr>
              <w:widowControl w:val="0"/>
              <w:tabs>
                <w:tab w:val="left" w:pos="6480"/>
                <w:tab w:val="left" w:pos="7200"/>
              </w:tabs>
              <w:rPr>
                <w:b/>
                <w:bCs/>
                <w:color w:val="000000"/>
                <w:sz w:val="18"/>
                <w:szCs w:val="18"/>
                <w:lang w:eastAsia="zh-CN"/>
              </w:rPr>
            </w:pPr>
            <w:r w:rsidRPr="00440196">
              <w:rPr>
                <w:b/>
                <w:bCs/>
                <w:color w:val="000000"/>
                <w:sz w:val="18"/>
                <w:szCs w:val="18"/>
                <w:lang w:eastAsia="zh-CN"/>
              </w:rPr>
              <w:t>Total</w:t>
            </w:r>
          </w:p>
        </w:tc>
        <w:tc>
          <w:tcPr>
            <w:tcW w:w="992" w:type="dxa"/>
            <w:tcBorders>
              <w:top w:val="single" w:sz="4" w:space="0" w:color="auto"/>
              <w:bottom w:val="single" w:sz="12" w:space="0" w:color="auto"/>
            </w:tcBorders>
            <w:shd w:val="clear" w:color="auto" w:fill="auto"/>
            <w:noWrap/>
            <w:vAlign w:val="bottom"/>
            <w:hideMark/>
          </w:tcPr>
          <w:p w14:paraId="58CB5666"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2 236 102 </w:t>
            </w:r>
          </w:p>
        </w:tc>
        <w:tc>
          <w:tcPr>
            <w:tcW w:w="1134" w:type="dxa"/>
            <w:tcBorders>
              <w:top w:val="single" w:sz="4" w:space="0" w:color="auto"/>
              <w:bottom w:val="single" w:sz="12" w:space="0" w:color="auto"/>
            </w:tcBorders>
            <w:shd w:val="clear" w:color="auto" w:fill="auto"/>
            <w:noWrap/>
            <w:vAlign w:val="bottom"/>
            <w:hideMark/>
          </w:tcPr>
          <w:p w14:paraId="0BBE7221"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4 276 699 </w:t>
            </w:r>
          </w:p>
        </w:tc>
        <w:tc>
          <w:tcPr>
            <w:tcW w:w="1134" w:type="dxa"/>
            <w:tcBorders>
              <w:top w:val="single" w:sz="4" w:space="0" w:color="auto"/>
              <w:bottom w:val="single" w:sz="12" w:space="0" w:color="auto"/>
            </w:tcBorders>
            <w:shd w:val="clear" w:color="auto" w:fill="auto"/>
            <w:noWrap/>
            <w:vAlign w:val="bottom"/>
            <w:hideMark/>
          </w:tcPr>
          <w:p w14:paraId="242D251F"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13 620 944 </w:t>
            </w:r>
          </w:p>
        </w:tc>
        <w:tc>
          <w:tcPr>
            <w:tcW w:w="1134" w:type="dxa"/>
            <w:tcBorders>
              <w:top w:val="single" w:sz="4" w:space="0" w:color="auto"/>
              <w:bottom w:val="single" w:sz="12" w:space="0" w:color="auto"/>
            </w:tcBorders>
            <w:shd w:val="clear" w:color="auto" w:fill="auto"/>
            <w:noWrap/>
            <w:vAlign w:val="bottom"/>
            <w:hideMark/>
          </w:tcPr>
          <w:p w14:paraId="72F5D486"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3 131 427 </w:t>
            </w:r>
          </w:p>
        </w:tc>
        <w:tc>
          <w:tcPr>
            <w:tcW w:w="1134" w:type="dxa"/>
            <w:tcBorders>
              <w:top w:val="single" w:sz="4" w:space="0" w:color="auto"/>
              <w:bottom w:val="single" w:sz="12" w:space="0" w:color="auto"/>
            </w:tcBorders>
            <w:shd w:val="clear" w:color="auto" w:fill="auto"/>
            <w:noWrap/>
            <w:vAlign w:val="bottom"/>
            <w:hideMark/>
          </w:tcPr>
          <w:p w14:paraId="5BE716B5"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3 924 771 </w:t>
            </w:r>
          </w:p>
        </w:tc>
        <w:tc>
          <w:tcPr>
            <w:tcW w:w="851" w:type="dxa"/>
            <w:tcBorders>
              <w:top w:val="single" w:sz="4" w:space="0" w:color="auto"/>
              <w:bottom w:val="single" w:sz="12" w:space="0" w:color="auto"/>
            </w:tcBorders>
            <w:shd w:val="clear" w:color="auto" w:fill="auto"/>
            <w:noWrap/>
            <w:vAlign w:val="bottom"/>
            <w:hideMark/>
          </w:tcPr>
          <w:p w14:paraId="4B5F0B86"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547 204 </w:t>
            </w:r>
          </w:p>
        </w:tc>
        <w:tc>
          <w:tcPr>
            <w:tcW w:w="1644" w:type="dxa"/>
            <w:tcBorders>
              <w:top w:val="single" w:sz="4" w:space="0" w:color="auto"/>
              <w:bottom w:val="single" w:sz="12" w:space="0" w:color="auto"/>
            </w:tcBorders>
            <w:shd w:val="clear" w:color="auto" w:fill="auto"/>
            <w:noWrap/>
            <w:vAlign w:val="bottom"/>
            <w:hideMark/>
          </w:tcPr>
          <w:p w14:paraId="1849F17E"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27 737 147 </w:t>
            </w:r>
          </w:p>
        </w:tc>
        <w:tc>
          <w:tcPr>
            <w:tcW w:w="992" w:type="dxa"/>
            <w:tcBorders>
              <w:top w:val="single" w:sz="4" w:space="0" w:color="auto"/>
              <w:bottom w:val="single" w:sz="12" w:space="0" w:color="auto"/>
            </w:tcBorders>
            <w:shd w:val="clear" w:color="auto" w:fill="auto"/>
            <w:noWrap/>
            <w:vAlign w:val="bottom"/>
            <w:hideMark/>
          </w:tcPr>
          <w:p w14:paraId="67C23222"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2 104 895 </w:t>
            </w:r>
          </w:p>
        </w:tc>
        <w:tc>
          <w:tcPr>
            <w:tcW w:w="992" w:type="dxa"/>
            <w:tcBorders>
              <w:top w:val="single" w:sz="4" w:space="0" w:color="auto"/>
              <w:bottom w:val="single" w:sz="12" w:space="0" w:color="auto"/>
            </w:tcBorders>
            <w:shd w:val="clear" w:color="auto" w:fill="auto"/>
            <w:noWrap/>
            <w:vAlign w:val="bottom"/>
            <w:hideMark/>
          </w:tcPr>
          <w:p w14:paraId="200A2782"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1 625 220 </w:t>
            </w:r>
          </w:p>
        </w:tc>
        <w:tc>
          <w:tcPr>
            <w:tcW w:w="1134" w:type="dxa"/>
            <w:tcBorders>
              <w:top w:val="single" w:sz="4" w:space="0" w:color="auto"/>
              <w:bottom w:val="single" w:sz="12" w:space="0" w:color="auto"/>
            </w:tcBorders>
            <w:shd w:val="clear" w:color="auto" w:fill="auto"/>
            <w:noWrap/>
            <w:vAlign w:val="bottom"/>
            <w:hideMark/>
          </w:tcPr>
          <w:p w14:paraId="409A61F2"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3 730 115 </w:t>
            </w:r>
          </w:p>
        </w:tc>
        <w:tc>
          <w:tcPr>
            <w:tcW w:w="1190" w:type="dxa"/>
            <w:tcBorders>
              <w:top w:val="single" w:sz="4" w:space="0" w:color="auto"/>
              <w:bottom w:val="single" w:sz="12" w:space="0" w:color="auto"/>
            </w:tcBorders>
            <w:shd w:val="clear" w:color="auto" w:fill="auto"/>
            <w:noWrap/>
            <w:vAlign w:val="bottom"/>
            <w:hideMark/>
          </w:tcPr>
          <w:p w14:paraId="7DAC51D5" w14:textId="77777777" w:rsidR="00E7045B" w:rsidRPr="007831BB" w:rsidRDefault="00E7045B" w:rsidP="00440196">
            <w:pPr>
              <w:widowControl w:val="0"/>
              <w:tabs>
                <w:tab w:val="left" w:pos="6480"/>
                <w:tab w:val="left" w:pos="7200"/>
              </w:tabs>
              <w:jc w:val="right"/>
              <w:rPr>
                <w:b/>
                <w:bCs/>
                <w:color w:val="000000"/>
                <w:sz w:val="18"/>
                <w:szCs w:val="18"/>
                <w:lang w:eastAsia="zh-CN"/>
              </w:rPr>
            </w:pPr>
            <w:r w:rsidRPr="00440196">
              <w:rPr>
                <w:b/>
                <w:bCs/>
                <w:color w:val="000000"/>
                <w:sz w:val="18"/>
                <w:szCs w:val="18"/>
                <w:lang w:eastAsia="zh-CN"/>
              </w:rPr>
              <w:t xml:space="preserve"> 31 467 262 </w:t>
            </w:r>
          </w:p>
        </w:tc>
      </w:tr>
    </w:tbl>
    <w:p w14:paraId="796C127E" w14:textId="36D7097E" w:rsidR="00E7045B" w:rsidRPr="007831BB" w:rsidRDefault="00E7045B" w:rsidP="00E7045B">
      <w:pPr>
        <w:spacing w:before="60"/>
        <w:rPr>
          <w:sz w:val="16"/>
          <w:szCs w:val="16"/>
        </w:rPr>
        <w:sectPr w:rsidR="00E7045B" w:rsidRPr="007831BB" w:rsidSect="006F57F3">
          <w:headerReference w:type="even" r:id="rId29"/>
          <w:headerReference w:type="default" r:id="rId30"/>
          <w:headerReference w:type="first" r:id="rId31"/>
          <w:footerReference w:type="first" r:id="rId32"/>
          <w:pgSz w:w="16838" w:h="11906" w:orient="landscape" w:code="9"/>
          <w:pgMar w:top="907" w:right="992" w:bottom="1418" w:left="1418" w:header="539" w:footer="975" w:gutter="0"/>
          <w:cols w:space="539"/>
          <w:titlePg/>
          <w:docGrid w:linePitch="360"/>
        </w:sectPr>
      </w:pPr>
      <w:r w:rsidRPr="007831BB">
        <w:rPr>
          <w:sz w:val="16"/>
          <w:szCs w:val="16"/>
        </w:rPr>
        <w:t>* New Zealand's 2016 contribution includes contributions for 2016 and 2017.</w:t>
      </w:r>
      <w:r w:rsidRPr="007831BB">
        <w:rPr>
          <w:sz w:val="16"/>
          <w:szCs w:val="16"/>
        </w:rPr>
        <w:br w:type="page"/>
      </w:r>
    </w:p>
    <w:p w14:paraId="420E611D" w14:textId="6FAA9693" w:rsidR="00E7045B" w:rsidRPr="00964A01" w:rsidRDefault="00E7045B" w:rsidP="005748E0">
      <w:pPr>
        <w:pStyle w:val="Normalnumber"/>
        <w:numPr>
          <w:ilvl w:val="0"/>
          <w:numId w:val="438"/>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Table 2 shows the in-kind contributions received by 10 March 2017, since the fourth session of the Plenary, and their corresponding estimated values in United States dollars, as provided or estimated according to the corresponding costs in the work </w:t>
      </w:r>
      <w:proofErr w:type="spellStart"/>
      <w:r w:rsidRPr="00964A01">
        <w:rPr>
          <w:lang w:val="en-US"/>
        </w:rPr>
        <w:t>programme</w:t>
      </w:r>
      <w:proofErr w:type="spellEnd"/>
      <w:r w:rsidRPr="00964A01">
        <w:rPr>
          <w:lang w:val="en-US"/>
        </w:rPr>
        <w:t xml:space="preserve">. In-kind contributions correspond to support </w:t>
      </w:r>
      <w:r w:rsidR="008D79AA">
        <w:rPr>
          <w:lang w:val="en-US"/>
        </w:rPr>
        <w:t>for</w:t>
      </w:r>
      <w:r w:rsidR="008D79AA" w:rsidRPr="00964A01">
        <w:rPr>
          <w:lang w:val="en-US"/>
        </w:rPr>
        <w:t xml:space="preserve"> </w:t>
      </w:r>
      <w:r w:rsidRPr="00964A01">
        <w:rPr>
          <w:lang w:val="en-US"/>
        </w:rPr>
        <w:t xml:space="preserve">activities either scheduled as part of the work </w:t>
      </w:r>
      <w:proofErr w:type="spellStart"/>
      <w:r w:rsidRPr="00964A01">
        <w:rPr>
          <w:lang w:val="en-US"/>
        </w:rPr>
        <w:t>programme</w:t>
      </w:r>
      <w:proofErr w:type="spellEnd"/>
      <w:r w:rsidRPr="00964A01">
        <w:rPr>
          <w:lang w:val="en-US"/>
        </w:rPr>
        <w:t xml:space="preserve"> (e.g., technical support, meeting facilities and local support) or organized in support of the work </w:t>
      </w:r>
      <w:proofErr w:type="spellStart"/>
      <w:r w:rsidRPr="00964A01">
        <w:rPr>
          <w:lang w:val="en-US"/>
        </w:rPr>
        <w:t>programme</w:t>
      </w:r>
      <w:proofErr w:type="spellEnd"/>
      <w:r w:rsidRPr="00964A01">
        <w:rPr>
          <w:lang w:val="en-US"/>
        </w:rPr>
        <w:t xml:space="preserve"> and not received by the trust fund.</w:t>
      </w:r>
    </w:p>
    <w:p w14:paraId="3CB05A3F" w14:textId="77777777" w:rsidR="00E7045B" w:rsidRPr="007831BB" w:rsidRDefault="00E7045B" w:rsidP="00125411">
      <w:pPr>
        <w:pStyle w:val="Titletable"/>
        <w:rPr>
          <w:lang w:eastAsia="zh-CN"/>
        </w:rPr>
      </w:pPr>
      <w:r w:rsidRPr="00125411">
        <w:rPr>
          <w:b w:val="0"/>
          <w:lang w:eastAsia="zh-CN"/>
        </w:rPr>
        <w:t xml:space="preserve">Table 2 </w:t>
      </w:r>
      <w:r w:rsidRPr="00125411">
        <w:rPr>
          <w:b w:val="0"/>
          <w:lang w:eastAsia="zh-CN"/>
        </w:rPr>
        <w:br/>
      </w:r>
      <w:r w:rsidRPr="007831BB">
        <w:rPr>
          <w:lang w:eastAsia="zh-CN"/>
        </w:rPr>
        <w:t>In-kind contributions received by 10 March 2017</w:t>
      </w:r>
    </w:p>
    <w:p w14:paraId="5482EC04" w14:textId="77777777" w:rsidR="00E7045B" w:rsidRPr="007831BB" w:rsidRDefault="00E7045B" w:rsidP="00125411">
      <w:pPr>
        <w:spacing w:after="60"/>
        <w:ind w:left="1247"/>
        <w:rPr>
          <w:sz w:val="18"/>
          <w:szCs w:val="18"/>
          <w:lang w:eastAsia="zh-CN"/>
        </w:rPr>
      </w:pPr>
      <w:r w:rsidRPr="007831BB">
        <w:rPr>
          <w:sz w:val="18"/>
          <w:szCs w:val="18"/>
          <w:lang w:eastAsia="zh-CN"/>
        </w:rPr>
        <w:t>(United States dollars)</w:t>
      </w:r>
    </w:p>
    <w:tbl>
      <w:tblPr>
        <w:tblW w:w="5000" w:type="pct"/>
        <w:tblInd w:w="108" w:type="dxa"/>
        <w:tblLayout w:type="fixed"/>
        <w:tblLook w:val="04A0" w:firstRow="1" w:lastRow="0" w:firstColumn="1" w:lastColumn="0" w:noHBand="0" w:noVBand="1"/>
      </w:tblPr>
      <w:tblGrid>
        <w:gridCol w:w="2535"/>
        <w:gridCol w:w="54"/>
        <w:gridCol w:w="3184"/>
        <w:gridCol w:w="2393"/>
        <w:gridCol w:w="140"/>
        <w:gridCol w:w="1406"/>
      </w:tblGrid>
      <w:tr w:rsidR="00E7045B" w:rsidRPr="00440196" w14:paraId="3B903D10" w14:textId="77777777" w:rsidTr="006F57F3">
        <w:trPr>
          <w:trHeight w:val="57"/>
          <w:tblHeader/>
        </w:trPr>
        <w:tc>
          <w:tcPr>
            <w:tcW w:w="1305" w:type="pct"/>
            <w:tcBorders>
              <w:top w:val="single" w:sz="4" w:space="0" w:color="auto"/>
              <w:bottom w:val="single" w:sz="12" w:space="0" w:color="auto"/>
            </w:tcBorders>
            <w:shd w:val="clear" w:color="auto" w:fill="auto"/>
            <w:vAlign w:val="bottom"/>
            <w:hideMark/>
          </w:tcPr>
          <w:p w14:paraId="3DA53A15" w14:textId="77777777" w:rsidR="00E7045B" w:rsidRPr="001B4189" w:rsidRDefault="00E7045B" w:rsidP="00440196">
            <w:pPr>
              <w:spacing w:before="40" w:after="40"/>
              <w:rPr>
                <w:i/>
                <w:sz w:val="18"/>
                <w:szCs w:val="18"/>
                <w:lang w:eastAsia="zh-CN"/>
              </w:rPr>
            </w:pPr>
            <w:r w:rsidRPr="00440196">
              <w:rPr>
                <w:i/>
                <w:sz w:val="18"/>
                <w:szCs w:val="18"/>
                <w:lang w:eastAsia="zh-CN"/>
              </w:rPr>
              <w:t>Government/institution</w:t>
            </w:r>
          </w:p>
        </w:tc>
        <w:tc>
          <w:tcPr>
            <w:tcW w:w="1666" w:type="pct"/>
            <w:gridSpan w:val="2"/>
            <w:tcBorders>
              <w:top w:val="single" w:sz="4" w:space="0" w:color="auto"/>
              <w:bottom w:val="single" w:sz="12" w:space="0" w:color="auto"/>
            </w:tcBorders>
            <w:shd w:val="clear" w:color="auto" w:fill="auto"/>
            <w:vAlign w:val="bottom"/>
          </w:tcPr>
          <w:p w14:paraId="06B20F4D" w14:textId="77777777" w:rsidR="00E7045B" w:rsidRPr="00440196" w:rsidRDefault="00E7045B" w:rsidP="00440196">
            <w:pPr>
              <w:spacing w:before="40" w:after="40"/>
              <w:rPr>
                <w:i/>
                <w:sz w:val="18"/>
                <w:szCs w:val="18"/>
                <w:lang w:eastAsia="zh-CN"/>
              </w:rPr>
            </w:pPr>
            <w:r w:rsidRPr="00440196">
              <w:rPr>
                <w:i/>
                <w:sz w:val="18"/>
                <w:szCs w:val="18"/>
                <w:lang w:eastAsia="zh-CN"/>
              </w:rPr>
              <w:t>Activity</w:t>
            </w:r>
          </w:p>
        </w:tc>
        <w:tc>
          <w:tcPr>
            <w:tcW w:w="1304" w:type="pct"/>
            <w:gridSpan w:val="2"/>
            <w:tcBorders>
              <w:top w:val="single" w:sz="4" w:space="0" w:color="auto"/>
              <w:bottom w:val="single" w:sz="12" w:space="0" w:color="auto"/>
            </w:tcBorders>
            <w:shd w:val="clear" w:color="auto" w:fill="auto"/>
            <w:vAlign w:val="bottom"/>
            <w:hideMark/>
          </w:tcPr>
          <w:p w14:paraId="78019E03" w14:textId="77777777" w:rsidR="00E7045B" w:rsidRPr="00440196" w:rsidRDefault="00E7045B" w:rsidP="00440196">
            <w:pPr>
              <w:spacing w:before="40" w:after="40"/>
              <w:rPr>
                <w:i/>
                <w:sz w:val="18"/>
                <w:szCs w:val="18"/>
                <w:lang w:eastAsia="zh-CN"/>
              </w:rPr>
            </w:pPr>
            <w:r w:rsidRPr="00440196">
              <w:rPr>
                <w:i/>
                <w:sz w:val="18"/>
                <w:szCs w:val="18"/>
                <w:lang w:eastAsia="zh-CN"/>
              </w:rPr>
              <w:t>Type of support</w:t>
            </w:r>
          </w:p>
        </w:tc>
        <w:tc>
          <w:tcPr>
            <w:tcW w:w="725" w:type="pct"/>
            <w:tcBorders>
              <w:top w:val="single" w:sz="4" w:space="0" w:color="auto"/>
              <w:bottom w:val="single" w:sz="12" w:space="0" w:color="auto"/>
            </w:tcBorders>
            <w:shd w:val="clear" w:color="auto" w:fill="auto"/>
            <w:vAlign w:val="bottom"/>
            <w:hideMark/>
          </w:tcPr>
          <w:p w14:paraId="7117DD43" w14:textId="77777777" w:rsidR="00E7045B" w:rsidRPr="00440196" w:rsidRDefault="00E7045B" w:rsidP="00440196">
            <w:pPr>
              <w:spacing w:before="40" w:after="40"/>
              <w:jc w:val="right"/>
              <w:rPr>
                <w:i/>
                <w:sz w:val="18"/>
                <w:szCs w:val="18"/>
                <w:lang w:eastAsia="zh-CN"/>
              </w:rPr>
            </w:pPr>
            <w:r w:rsidRPr="00440196">
              <w:rPr>
                <w:i/>
                <w:sz w:val="18"/>
                <w:szCs w:val="18"/>
                <w:lang w:eastAsia="zh-CN"/>
              </w:rPr>
              <w:t xml:space="preserve">Corresponding value as estimated </w:t>
            </w:r>
          </w:p>
        </w:tc>
      </w:tr>
      <w:tr w:rsidR="00E7045B" w:rsidRPr="00440196" w14:paraId="50755DC2" w14:textId="77777777" w:rsidTr="006F57F3">
        <w:trPr>
          <w:cantSplit/>
          <w:trHeight w:val="57"/>
        </w:trPr>
        <w:tc>
          <w:tcPr>
            <w:tcW w:w="2971" w:type="pct"/>
            <w:gridSpan w:val="3"/>
            <w:tcBorders>
              <w:top w:val="single" w:sz="12" w:space="0" w:color="auto"/>
            </w:tcBorders>
            <w:shd w:val="clear" w:color="auto" w:fill="auto"/>
            <w:noWrap/>
            <w:vAlign w:val="center"/>
            <w:hideMark/>
          </w:tcPr>
          <w:p w14:paraId="2783740B" w14:textId="77777777" w:rsidR="00E7045B" w:rsidRPr="00440196" w:rsidRDefault="00E7045B" w:rsidP="00440196">
            <w:pPr>
              <w:spacing w:before="40" w:after="40"/>
              <w:rPr>
                <w:b/>
                <w:bCs/>
                <w:sz w:val="18"/>
                <w:szCs w:val="18"/>
                <w:lang w:eastAsia="zh-CN"/>
              </w:rPr>
            </w:pPr>
            <w:r w:rsidRPr="00440196">
              <w:rPr>
                <w:b/>
                <w:bCs/>
                <w:sz w:val="18"/>
                <w:szCs w:val="18"/>
                <w:lang w:eastAsia="zh-CN"/>
              </w:rPr>
              <w:t>1. In-kind contributions related to technical support</w:t>
            </w:r>
          </w:p>
        </w:tc>
        <w:tc>
          <w:tcPr>
            <w:tcW w:w="1304" w:type="pct"/>
            <w:gridSpan w:val="2"/>
            <w:tcBorders>
              <w:top w:val="single" w:sz="12" w:space="0" w:color="auto"/>
            </w:tcBorders>
            <w:shd w:val="clear" w:color="auto" w:fill="auto"/>
            <w:vAlign w:val="center"/>
            <w:hideMark/>
          </w:tcPr>
          <w:p w14:paraId="79078CAE" w14:textId="77777777" w:rsidR="00E7045B" w:rsidRPr="00440196" w:rsidRDefault="00E7045B" w:rsidP="00440196">
            <w:pPr>
              <w:spacing w:before="40" w:after="40"/>
              <w:rPr>
                <w:b/>
                <w:bCs/>
                <w:sz w:val="18"/>
                <w:szCs w:val="18"/>
                <w:lang w:eastAsia="zh-CN"/>
              </w:rPr>
            </w:pPr>
          </w:p>
        </w:tc>
        <w:tc>
          <w:tcPr>
            <w:tcW w:w="725" w:type="pct"/>
            <w:tcBorders>
              <w:top w:val="single" w:sz="12" w:space="0" w:color="auto"/>
            </w:tcBorders>
            <w:shd w:val="clear" w:color="auto" w:fill="auto"/>
            <w:vAlign w:val="center"/>
            <w:hideMark/>
          </w:tcPr>
          <w:p w14:paraId="31ACE260" w14:textId="77777777" w:rsidR="00E7045B" w:rsidRPr="00440196" w:rsidRDefault="00E7045B" w:rsidP="00440196">
            <w:pPr>
              <w:spacing w:before="40" w:after="40"/>
              <w:jc w:val="right"/>
              <w:rPr>
                <w:b/>
                <w:bCs/>
                <w:sz w:val="18"/>
                <w:szCs w:val="18"/>
                <w:lang w:eastAsia="zh-CN"/>
              </w:rPr>
            </w:pPr>
          </w:p>
        </w:tc>
      </w:tr>
      <w:tr w:rsidR="00E7045B" w:rsidRPr="00440196" w14:paraId="029A31A2" w14:textId="77777777" w:rsidTr="006F57F3">
        <w:trPr>
          <w:cantSplit/>
          <w:trHeight w:val="57"/>
        </w:trPr>
        <w:tc>
          <w:tcPr>
            <w:tcW w:w="1305" w:type="pct"/>
            <w:shd w:val="clear" w:color="auto" w:fill="auto"/>
            <w:hideMark/>
          </w:tcPr>
          <w:p w14:paraId="419AAFF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Norway</w:t>
            </w:r>
          </w:p>
        </w:tc>
        <w:tc>
          <w:tcPr>
            <w:tcW w:w="1666" w:type="pct"/>
            <w:gridSpan w:val="2"/>
            <w:shd w:val="clear" w:color="auto" w:fill="auto"/>
            <w:hideMark/>
          </w:tcPr>
          <w:p w14:paraId="665E9F4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task force on capacity</w:t>
            </w:r>
            <w:r w:rsidRPr="00440196">
              <w:rPr>
                <w:sz w:val="18"/>
                <w:szCs w:val="18"/>
                <w:lang w:eastAsia="zh-CN"/>
              </w:rPr>
              <w:noBreakHyphen/>
              <w:t>building (deliverables 1 (a) and (b))</w:t>
            </w:r>
          </w:p>
        </w:tc>
        <w:tc>
          <w:tcPr>
            <w:tcW w:w="1304" w:type="pct"/>
            <w:gridSpan w:val="2"/>
            <w:shd w:val="clear" w:color="auto" w:fill="auto"/>
            <w:hideMark/>
          </w:tcPr>
          <w:p w14:paraId="5711583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4F72CFC9"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300 000 </w:t>
            </w:r>
          </w:p>
        </w:tc>
      </w:tr>
      <w:tr w:rsidR="00E7045B" w:rsidRPr="00440196" w14:paraId="40C0D204" w14:textId="77777777" w:rsidTr="006F57F3">
        <w:trPr>
          <w:cantSplit/>
          <w:trHeight w:val="57"/>
        </w:trPr>
        <w:tc>
          <w:tcPr>
            <w:tcW w:w="1305" w:type="pct"/>
            <w:shd w:val="clear" w:color="auto" w:fill="auto"/>
            <w:hideMark/>
          </w:tcPr>
          <w:p w14:paraId="706EBEA2"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United Nations Educational, Scientific and Cultural Organization</w:t>
            </w:r>
          </w:p>
        </w:tc>
        <w:tc>
          <w:tcPr>
            <w:tcW w:w="1666" w:type="pct"/>
            <w:gridSpan w:val="2"/>
            <w:shd w:val="clear" w:color="auto" w:fill="auto"/>
            <w:hideMark/>
          </w:tcPr>
          <w:p w14:paraId="6394423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task force on local and indigenous knowledge systems (deliverable 1 (c))</w:t>
            </w:r>
          </w:p>
        </w:tc>
        <w:tc>
          <w:tcPr>
            <w:tcW w:w="1304" w:type="pct"/>
            <w:gridSpan w:val="2"/>
            <w:shd w:val="clear" w:color="auto" w:fill="auto"/>
            <w:hideMark/>
          </w:tcPr>
          <w:p w14:paraId="49BC2D7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5328012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E7045B" w:rsidRPr="00440196" w14:paraId="174F9404" w14:textId="77777777" w:rsidTr="006F57F3">
        <w:trPr>
          <w:cantSplit/>
          <w:trHeight w:val="57"/>
        </w:trPr>
        <w:tc>
          <w:tcPr>
            <w:tcW w:w="1305" w:type="pct"/>
            <w:shd w:val="clear" w:color="auto" w:fill="auto"/>
            <w:hideMark/>
          </w:tcPr>
          <w:p w14:paraId="4045BAA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Republic of Korea</w:t>
            </w:r>
          </w:p>
        </w:tc>
        <w:tc>
          <w:tcPr>
            <w:tcW w:w="1666" w:type="pct"/>
            <w:gridSpan w:val="2"/>
            <w:shd w:val="clear" w:color="auto" w:fill="auto"/>
            <w:hideMark/>
          </w:tcPr>
          <w:p w14:paraId="4E171C72"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task force on knowledge and data (deliverable 1 (d))</w:t>
            </w:r>
          </w:p>
        </w:tc>
        <w:tc>
          <w:tcPr>
            <w:tcW w:w="1304" w:type="pct"/>
            <w:gridSpan w:val="2"/>
            <w:shd w:val="clear" w:color="auto" w:fill="auto"/>
            <w:hideMark/>
          </w:tcPr>
          <w:p w14:paraId="67AB1196"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28CE8EF8"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300 000 </w:t>
            </w:r>
          </w:p>
        </w:tc>
      </w:tr>
      <w:tr w:rsidR="00E7045B" w:rsidRPr="00440196" w14:paraId="5EFC55A8" w14:textId="77777777" w:rsidTr="006F57F3">
        <w:trPr>
          <w:cantSplit/>
          <w:trHeight w:val="57"/>
        </w:trPr>
        <w:tc>
          <w:tcPr>
            <w:tcW w:w="1305" w:type="pct"/>
            <w:shd w:val="clear" w:color="auto" w:fill="auto"/>
            <w:hideMark/>
          </w:tcPr>
          <w:p w14:paraId="62EE21B6"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South Africa</w:t>
            </w:r>
          </w:p>
        </w:tc>
        <w:tc>
          <w:tcPr>
            <w:tcW w:w="1666" w:type="pct"/>
            <w:gridSpan w:val="2"/>
            <w:shd w:val="clear" w:color="auto" w:fill="auto"/>
            <w:hideMark/>
          </w:tcPr>
          <w:p w14:paraId="64902F29"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regional assessment for Africa (deliverable 2 (b))</w:t>
            </w:r>
          </w:p>
        </w:tc>
        <w:tc>
          <w:tcPr>
            <w:tcW w:w="1304" w:type="pct"/>
            <w:gridSpan w:val="2"/>
            <w:shd w:val="clear" w:color="auto" w:fill="auto"/>
            <w:hideMark/>
          </w:tcPr>
          <w:p w14:paraId="0A6E354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meeting facilities</w:t>
            </w:r>
          </w:p>
        </w:tc>
        <w:tc>
          <w:tcPr>
            <w:tcW w:w="725" w:type="pct"/>
            <w:shd w:val="clear" w:color="auto" w:fill="auto"/>
            <w:hideMark/>
          </w:tcPr>
          <w:p w14:paraId="40FDADA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E7045B" w:rsidRPr="00440196" w14:paraId="2176D362" w14:textId="77777777" w:rsidTr="006F57F3">
        <w:trPr>
          <w:cantSplit/>
          <w:trHeight w:val="57"/>
        </w:trPr>
        <w:tc>
          <w:tcPr>
            <w:tcW w:w="1305" w:type="pct"/>
            <w:shd w:val="clear" w:color="auto" w:fill="auto"/>
            <w:hideMark/>
          </w:tcPr>
          <w:p w14:paraId="116EF463" w14:textId="77777777" w:rsidR="00E7045B" w:rsidRPr="007831BB" w:rsidRDefault="00E7045B" w:rsidP="00440196">
            <w:pPr>
              <w:widowControl w:val="0"/>
              <w:tabs>
                <w:tab w:val="left" w:pos="6480"/>
                <w:tab w:val="left" w:pos="7200"/>
              </w:tabs>
              <w:spacing w:before="40" w:after="40"/>
              <w:rPr>
                <w:sz w:val="18"/>
                <w:szCs w:val="18"/>
                <w:lang w:eastAsia="zh-CN"/>
              </w:rPr>
            </w:pPr>
            <w:proofErr w:type="spellStart"/>
            <w:r w:rsidRPr="00440196">
              <w:rPr>
                <w:sz w:val="18"/>
                <w:szCs w:val="18"/>
                <w:lang w:eastAsia="zh-CN"/>
              </w:rPr>
              <w:t>SwedBio</w:t>
            </w:r>
            <w:proofErr w:type="spellEnd"/>
            <w:r w:rsidRPr="00440196">
              <w:rPr>
                <w:sz w:val="18"/>
                <w:szCs w:val="18"/>
                <w:lang w:eastAsia="zh-CN"/>
              </w:rPr>
              <w:t xml:space="preserve"> to CSIR </w:t>
            </w:r>
          </w:p>
        </w:tc>
        <w:tc>
          <w:tcPr>
            <w:tcW w:w="1666" w:type="pct"/>
            <w:gridSpan w:val="2"/>
            <w:shd w:val="clear" w:color="auto" w:fill="auto"/>
            <w:hideMark/>
          </w:tcPr>
          <w:p w14:paraId="68A23215" w14:textId="7E5F8214"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Work of the IPBES </w:t>
            </w:r>
            <w:r w:rsidR="0000280B">
              <w:rPr>
                <w:sz w:val="18"/>
                <w:szCs w:val="18"/>
                <w:lang w:eastAsia="zh-CN"/>
              </w:rPr>
              <w:t>technical support unit</w:t>
            </w:r>
            <w:r w:rsidRPr="00440196">
              <w:rPr>
                <w:sz w:val="18"/>
                <w:szCs w:val="18"/>
                <w:lang w:eastAsia="zh-CN"/>
              </w:rPr>
              <w:t xml:space="preserve"> for Africa</w:t>
            </w:r>
          </w:p>
        </w:tc>
        <w:tc>
          <w:tcPr>
            <w:tcW w:w="1304" w:type="pct"/>
            <w:gridSpan w:val="2"/>
            <w:shd w:val="clear" w:color="auto" w:fill="auto"/>
            <w:hideMark/>
          </w:tcPr>
          <w:p w14:paraId="316851B5"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0A134CD2"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73 095 </w:t>
            </w:r>
          </w:p>
        </w:tc>
      </w:tr>
      <w:tr w:rsidR="00E7045B" w:rsidRPr="00440196" w14:paraId="742C37D3" w14:textId="77777777" w:rsidTr="006F57F3">
        <w:trPr>
          <w:cantSplit/>
          <w:trHeight w:val="57"/>
        </w:trPr>
        <w:tc>
          <w:tcPr>
            <w:tcW w:w="1305" w:type="pct"/>
            <w:shd w:val="clear" w:color="auto" w:fill="auto"/>
            <w:hideMark/>
          </w:tcPr>
          <w:p w14:paraId="669807D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China</w:t>
            </w:r>
          </w:p>
        </w:tc>
        <w:tc>
          <w:tcPr>
            <w:tcW w:w="1666" w:type="pct"/>
            <w:gridSpan w:val="2"/>
            <w:shd w:val="clear" w:color="auto" w:fill="auto"/>
            <w:hideMark/>
          </w:tcPr>
          <w:p w14:paraId="717136D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Consultant in the Platform secretariat in support of the delivery of regional assessments (deliverable 2 (b))</w:t>
            </w:r>
          </w:p>
        </w:tc>
        <w:tc>
          <w:tcPr>
            <w:tcW w:w="1304" w:type="pct"/>
            <w:gridSpan w:val="2"/>
            <w:shd w:val="clear" w:color="auto" w:fill="auto"/>
            <w:hideMark/>
          </w:tcPr>
          <w:p w14:paraId="1F50D1D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7A8FA7F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140 000 </w:t>
            </w:r>
          </w:p>
        </w:tc>
      </w:tr>
      <w:tr w:rsidR="00E7045B" w:rsidRPr="00440196" w14:paraId="48D23A89" w14:textId="77777777" w:rsidTr="006F57F3">
        <w:trPr>
          <w:cantSplit/>
          <w:trHeight w:val="57"/>
        </w:trPr>
        <w:tc>
          <w:tcPr>
            <w:tcW w:w="1305" w:type="pct"/>
            <w:shd w:val="clear" w:color="auto" w:fill="auto"/>
            <w:hideMark/>
          </w:tcPr>
          <w:p w14:paraId="5F668C3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Colombia</w:t>
            </w:r>
          </w:p>
        </w:tc>
        <w:tc>
          <w:tcPr>
            <w:tcW w:w="1666" w:type="pct"/>
            <w:gridSpan w:val="2"/>
            <w:shd w:val="clear" w:color="auto" w:fill="auto"/>
            <w:hideMark/>
          </w:tcPr>
          <w:p w14:paraId="7C1E0FD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regional assessment for the Americas (deliverable 2 (b))</w:t>
            </w:r>
          </w:p>
        </w:tc>
        <w:tc>
          <w:tcPr>
            <w:tcW w:w="1304" w:type="pct"/>
            <w:gridSpan w:val="2"/>
            <w:shd w:val="clear" w:color="auto" w:fill="auto"/>
            <w:hideMark/>
          </w:tcPr>
          <w:p w14:paraId="2852A098"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meeting facilities</w:t>
            </w:r>
          </w:p>
        </w:tc>
        <w:tc>
          <w:tcPr>
            <w:tcW w:w="725" w:type="pct"/>
            <w:shd w:val="clear" w:color="auto" w:fill="auto"/>
            <w:hideMark/>
          </w:tcPr>
          <w:p w14:paraId="04E7B9DE"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E7045B" w:rsidRPr="00440196" w14:paraId="0C5403E3" w14:textId="77777777" w:rsidTr="006F57F3">
        <w:trPr>
          <w:cantSplit/>
          <w:trHeight w:val="57"/>
        </w:trPr>
        <w:tc>
          <w:tcPr>
            <w:tcW w:w="1305" w:type="pct"/>
            <w:shd w:val="clear" w:color="auto" w:fill="auto"/>
            <w:hideMark/>
          </w:tcPr>
          <w:p w14:paraId="441C7F26"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Japan</w:t>
            </w:r>
          </w:p>
        </w:tc>
        <w:tc>
          <w:tcPr>
            <w:tcW w:w="1666" w:type="pct"/>
            <w:gridSpan w:val="2"/>
            <w:shd w:val="clear" w:color="auto" w:fill="auto"/>
            <w:hideMark/>
          </w:tcPr>
          <w:p w14:paraId="1446A56E"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regional assessment for Asia and the Pacific (deliverable 2 (b))</w:t>
            </w:r>
          </w:p>
        </w:tc>
        <w:tc>
          <w:tcPr>
            <w:tcW w:w="1304" w:type="pct"/>
            <w:gridSpan w:val="2"/>
            <w:shd w:val="clear" w:color="auto" w:fill="auto"/>
            <w:hideMark/>
          </w:tcPr>
          <w:p w14:paraId="7545318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meeting facilities</w:t>
            </w:r>
          </w:p>
        </w:tc>
        <w:tc>
          <w:tcPr>
            <w:tcW w:w="725" w:type="pct"/>
            <w:shd w:val="clear" w:color="auto" w:fill="auto"/>
            <w:hideMark/>
          </w:tcPr>
          <w:p w14:paraId="7A899CD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E7045B" w:rsidRPr="00440196" w14:paraId="5635406E" w14:textId="77777777" w:rsidTr="006F57F3">
        <w:trPr>
          <w:cantSplit/>
          <w:trHeight w:val="57"/>
        </w:trPr>
        <w:tc>
          <w:tcPr>
            <w:tcW w:w="1305" w:type="pct"/>
            <w:shd w:val="clear" w:color="auto" w:fill="auto"/>
            <w:hideMark/>
          </w:tcPr>
          <w:p w14:paraId="0E25CC19"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Switzerland </w:t>
            </w:r>
          </w:p>
        </w:tc>
        <w:tc>
          <w:tcPr>
            <w:tcW w:w="1666" w:type="pct"/>
            <w:gridSpan w:val="2"/>
            <w:shd w:val="clear" w:color="auto" w:fill="auto"/>
            <w:hideMark/>
          </w:tcPr>
          <w:p w14:paraId="5B138A2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regional assessment for Europe and Central Asia (deliverable 2 (b))</w:t>
            </w:r>
          </w:p>
        </w:tc>
        <w:tc>
          <w:tcPr>
            <w:tcW w:w="1304" w:type="pct"/>
            <w:gridSpan w:val="2"/>
            <w:shd w:val="clear" w:color="auto" w:fill="auto"/>
            <w:hideMark/>
          </w:tcPr>
          <w:p w14:paraId="17A73D4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Technical support, meeting facilities </w:t>
            </w:r>
          </w:p>
        </w:tc>
        <w:tc>
          <w:tcPr>
            <w:tcW w:w="725" w:type="pct"/>
            <w:shd w:val="clear" w:color="auto" w:fill="auto"/>
            <w:hideMark/>
          </w:tcPr>
          <w:p w14:paraId="05E5A69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271 429 </w:t>
            </w:r>
          </w:p>
        </w:tc>
      </w:tr>
      <w:tr w:rsidR="00E7045B" w:rsidRPr="00440196" w14:paraId="78EE1E48" w14:textId="77777777" w:rsidTr="006F57F3">
        <w:trPr>
          <w:cantSplit/>
          <w:trHeight w:val="57"/>
        </w:trPr>
        <w:tc>
          <w:tcPr>
            <w:tcW w:w="1305" w:type="pct"/>
            <w:shd w:val="clear" w:color="auto" w:fill="auto"/>
            <w:hideMark/>
          </w:tcPr>
          <w:p w14:paraId="53F597A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Germany </w:t>
            </w:r>
          </w:p>
        </w:tc>
        <w:tc>
          <w:tcPr>
            <w:tcW w:w="1666" w:type="pct"/>
            <w:gridSpan w:val="2"/>
            <w:shd w:val="clear" w:color="auto" w:fill="auto"/>
            <w:hideMark/>
          </w:tcPr>
          <w:p w14:paraId="0FC887EA"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global assessment (deliverable 2 (c))</w:t>
            </w:r>
          </w:p>
        </w:tc>
        <w:tc>
          <w:tcPr>
            <w:tcW w:w="1304" w:type="pct"/>
            <w:gridSpan w:val="2"/>
            <w:shd w:val="clear" w:color="auto" w:fill="auto"/>
            <w:hideMark/>
          </w:tcPr>
          <w:p w14:paraId="1B12DB1A"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3D6C25AC"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96 957 </w:t>
            </w:r>
          </w:p>
        </w:tc>
      </w:tr>
      <w:tr w:rsidR="00E7045B" w:rsidRPr="00440196" w14:paraId="704C79DC" w14:textId="77777777" w:rsidTr="006F57F3">
        <w:trPr>
          <w:cantSplit/>
          <w:trHeight w:val="57"/>
        </w:trPr>
        <w:tc>
          <w:tcPr>
            <w:tcW w:w="1305" w:type="pct"/>
            <w:shd w:val="clear" w:color="auto" w:fill="auto"/>
            <w:hideMark/>
          </w:tcPr>
          <w:p w14:paraId="620CB87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Netherlands </w:t>
            </w:r>
          </w:p>
        </w:tc>
        <w:tc>
          <w:tcPr>
            <w:tcW w:w="1666" w:type="pct"/>
            <w:gridSpan w:val="2"/>
            <w:shd w:val="clear" w:color="auto" w:fill="auto"/>
            <w:hideMark/>
          </w:tcPr>
          <w:p w14:paraId="1D0CFD3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unit for the assessment on scenario analysis and modelling (deliverable 3 (c))</w:t>
            </w:r>
          </w:p>
        </w:tc>
        <w:tc>
          <w:tcPr>
            <w:tcW w:w="1304" w:type="pct"/>
            <w:gridSpan w:val="2"/>
            <w:shd w:val="clear" w:color="auto" w:fill="auto"/>
            <w:hideMark/>
          </w:tcPr>
          <w:p w14:paraId="165A7D2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2880CD30"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250 000 </w:t>
            </w:r>
          </w:p>
        </w:tc>
      </w:tr>
      <w:tr w:rsidR="00E7045B" w:rsidRPr="00440196" w14:paraId="285E8AF2" w14:textId="77777777" w:rsidTr="006F57F3">
        <w:trPr>
          <w:cantSplit/>
          <w:trHeight w:val="57"/>
        </w:trPr>
        <w:tc>
          <w:tcPr>
            <w:tcW w:w="1305" w:type="pct"/>
            <w:shd w:val="clear" w:color="auto" w:fill="auto"/>
            <w:hideMark/>
          </w:tcPr>
          <w:p w14:paraId="40EBDB71" w14:textId="77777777" w:rsidR="00E7045B" w:rsidRPr="00440196" w:rsidRDefault="00125411" w:rsidP="00440196">
            <w:pPr>
              <w:spacing w:before="40" w:after="40"/>
              <w:rPr>
                <w:sz w:val="18"/>
                <w:szCs w:val="18"/>
                <w:lang w:eastAsia="zh-CN"/>
              </w:rPr>
            </w:pPr>
            <w:hyperlink r:id="rId33" w:anchor="RANGE!_ftn1" w:history="1">
              <w:r w:rsidR="00E7045B" w:rsidRPr="001B4189">
                <w:rPr>
                  <w:sz w:val="18"/>
                  <w:szCs w:val="18"/>
                  <w:lang w:eastAsia="zh-CN"/>
                </w:rPr>
                <w:t>Mexico</w:t>
              </w:r>
            </w:hyperlink>
          </w:p>
        </w:tc>
        <w:tc>
          <w:tcPr>
            <w:tcW w:w="1666" w:type="pct"/>
            <w:gridSpan w:val="2"/>
            <w:shd w:val="clear" w:color="auto" w:fill="auto"/>
            <w:hideMark/>
          </w:tcPr>
          <w:p w14:paraId="334E54E5" w14:textId="33B46F87" w:rsidR="00E7045B" w:rsidRPr="007831BB" w:rsidRDefault="00E7045B" w:rsidP="00440196">
            <w:pPr>
              <w:widowControl w:val="0"/>
              <w:tabs>
                <w:tab w:val="left" w:pos="6480"/>
                <w:tab w:val="left" w:pos="7200"/>
              </w:tabs>
              <w:spacing w:before="40" w:after="40"/>
              <w:rPr>
                <w:sz w:val="18"/>
                <w:szCs w:val="18"/>
                <w:lang w:eastAsia="zh-CN"/>
              </w:rPr>
            </w:pPr>
            <w:r w:rsidRPr="001B4189">
              <w:rPr>
                <w:sz w:val="18"/>
                <w:szCs w:val="18"/>
                <w:lang w:eastAsia="zh-CN"/>
              </w:rPr>
              <w:t xml:space="preserve">Technical support </w:t>
            </w:r>
            <w:r w:rsidRPr="00440196">
              <w:rPr>
                <w:sz w:val="18"/>
                <w:szCs w:val="18"/>
                <w:lang w:eastAsia="zh-CN"/>
              </w:rPr>
              <w:t>related to work on values (deliverable 3 (d))</w:t>
            </w:r>
          </w:p>
        </w:tc>
        <w:tc>
          <w:tcPr>
            <w:tcW w:w="1304" w:type="pct"/>
            <w:gridSpan w:val="2"/>
            <w:shd w:val="clear" w:color="auto" w:fill="auto"/>
            <w:hideMark/>
          </w:tcPr>
          <w:p w14:paraId="5F1B9CA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41565743"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22 180 </w:t>
            </w:r>
          </w:p>
        </w:tc>
      </w:tr>
      <w:tr w:rsidR="00E7045B" w:rsidRPr="00440196" w14:paraId="283882E7" w14:textId="77777777" w:rsidTr="006F57F3">
        <w:trPr>
          <w:cantSplit/>
          <w:trHeight w:val="57"/>
        </w:trPr>
        <w:tc>
          <w:tcPr>
            <w:tcW w:w="1305" w:type="pct"/>
            <w:shd w:val="clear" w:color="auto" w:fill="auto"/>
            <w:hideMark/>
          </w:tcPr>
          <w:p w14:paraId="4E05251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United Nations Environment Programme - World Conservation Monitoring Centre</w:t>
            </w:r>
          </w:p>
        </w:tc>
        <w:tc>
          <w:tcPr>
            <w:tcW w:w="1666" w:type="pct"/>
            <w:gridSpan w:val="2"/>
            <w:shd w:val="clear" w:color="auto" w:fill="auto"/>
            <w:hideMark/>
          </w:tcPr>
          <w:p w14:paraId="366C4ED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for the work on the catalogue of assessments and the catalogue of policy support tools and methodologies (deliverables 4(c))</w:t>
            </w:r>
          </w:p>
        </w:tc>
        <w:tc>
          <w:tcPr>
            <w:tcW w:w="1304" w:type="pct"/>
            <w:gridSpan w:val="2"/>
            <w:shd w:val="clear" w:color="auto" w:fill="auto"/>
            <w:hideMark/>
          </w:tcPr>
          <w:p w14:paraId="7418D75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shd w:val="clear" w:color="auto" w:fill="auto"/>
            <w:hideMark/>
          </w:tcPr>
          <w:p w14:paraId="7809BA2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30 000 </w:t>
            </w:r>
          </w:p>
        </w:tc>
      </w:tr>
      <w:tr w:rsidR="00E7045B" w:rsidRPr="00440196" w14:paraId="148C8C0A" w14:textId="77777777" w:rsidTr="006F57F3">
        <w:trPr>
          <w:cantSplit/>
          <w:trHeight w:val="57"/>
        </w:trPr>
        <w:tc>
          <w:tcPr>
            <w:tcW w:w="1305" w:type="pct"/>
            <w:tcBorders>
              <w:bottom w:val="single" w:sz="4" w:space="0" w:color="auto"/>
            </w:tcBorders>
            <w:shd w:val="clear" w:color="auto" w:fill="auto"/>
            <w:hideMark/>
          </w:tcPr>
          <w:p w14:paraId="1B02AC1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United Nations Environment Programme</w:t>
            </w:r>
          </w:p>
        </w:tc>
        <w:tc>
          <w:tcPr>
            <w:tcW w:w="1666" w:type="pct"/>
            <w:gridSpan w:val="2"/>
            <w:tcBorders>
              <w:bottom w:val="single" w:sz="4" w:space="0" w:color="auto"/>
            </w:tcBorders>
            <w:shd w:val="clear" w:color="auto" w:fill="auto"/>
            <w:hideMark/>
          </w:tcPr>
          <w:p w14:paraId="508FBAFA" w14:textId="310E430F"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Technical support </w:t>
            </w:r>
            <w:r w:rsidR="00070ACA">
              <w:rPr>
                <w:sz w:val="18"/>
                <w:szCs w:val="18"/>
                <w:lang w:eastAsia="zh-CN"/>
              </w:rPr>
              <w:t>for</w:t>
            </w:r>
            <w:r w:rsidR="00070ACA" w:rsidRPr="00440196">
              <w:rPr>
                <w:sz w:val="18"/>
                <w:szCs w:val="18"/>
                <w:lang w:eastAsia="zh-CN"/>
              </w:rPr>
              <w:t xml:space="preserve"> </w:t>
            </w:r>
            <w:r w:rsidRPr="00440196">
              <w:rPr>
                <w:sz w:val="18"/>
                <w:szCs w:val="18"/>
                <w:lang w:eastAsia="zh-CN"/>
              </w:rPr>
              <w:t>the Platform secretariat</w:t>
            </w:r>
          </w:p>
        </w:tc>
        <w:tc>
          <w:tcPr>
            <w:tcW w:w="1304" w:type="pct"/>
            <w:gridSpan w:val="2"/>
            <w:tcBorders>
              <w:bottom w:val="single" w:sz="4" w:space="0" w:color="auto"/>
            </w:tcBorders>
            <w:shd w:val="clear" w:color="auto" w:fill="auto"/>
            <w:hideMark/>
          </w:tcPr>
          <w:p w14:paraId="3504E88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25" w:type="pct"/>
            <w:tcBorders>
              <w:bottom w:val="single" w:sz="4" w:space="0" w:color="auto"/>
            </w:tcBorders>
            <w:shd w:val="clear" w:color="auto" w:fill="auto"/>
            <w:hideMark/>
          </w:tcPr>
          <w:p w14:paraId="185874F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223 100 </w:t>
            </w:r>
          </w:p>
        </w:tc>
      </w:tr>
      <w:tr w:rsidR="00E7045B" w:rsidRPr="00440196" w14:paraId="67D60629" w14:textId="77777777" w:rsidTr="006F57F3">
        <w:trPr>
          <w:cantSplit/>
          <w:trHeight w:val="57"/>
        </w:trPr>
        <w:tc>
          <w:tcPr>
            <w:tcW w:w="1305" w:type="pct"/>
            <w:tcBorders>
              <w:top w:val="single" w:sz="4" w:space="0" w:color="auto"/>
              <w:bottom w:val="single" w:sz="4" w:space="0" w:color="auto"/>
            </w:tcBorders>
            <w:shd w:val="clear" w:color="auto" w:fill="auto"/>
            <w:noWrap/>
            <w:hideMark/>
          </w:tcPr>
          <w:p w14:paraId="6EE520B7"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xml:space="preserve">Subtotal </w:t>
            </w:r>
          </w:p>
        </w:tc>
        <w:tc>
          <w:tcPr>
            <w:tcW w:w="1666" w:type="pct"/>
            <w:gridSpan w:val="2"/>
            <w:tcBorders>
              <w:top w:val="single" w:sz="4" w:space="0" w:color="auto"/>
              <w:bottom w:val="single" w:sz="4" w:space="0" w:color="auto"/>
            </w:tcBorders>
            <w:shd w:val="clear" w:color="auto" w:fill="auto"/>
            <w:noWrap/>
            <w:hideMark/>
          </w:tcPr>
          <w:p w14:paraId="6724F873"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304" w:type="pct"/>
            <w:gridSpan w:val="2"/>
            <w:tcBorders>
              <w:top w:val="single" w:sz="4" w:space="0" w:color="auto"/>
              <w:bottom w:val="single" w:sz="4" w:space="0" w:color="auto"/>
            </w:tcBorders>
            <w:shd w:val="clear" w:color="auto" w:fill="auto"/>
            <w:noWrap/>
            <w:hideMark/>
          </w:tcPr>
          <w:p w14:paraId="105C4A3E"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25" w:type="pct"/>
            <w:tcBorders>
              <w:top w:val="single" w:sz="4" w:space="0" w:color="auto"/>
              <w:bottom w:val="single" w:sz="4" w:space="0" w:color="auto"/>
            </w:tcBorders>
            <w:shd w:val="clear" w:color="auto" w:fill="auto"/>
            <w:noWrap/>
            <w:hideMark/>
          </w:tcPr>
          <w:p w14:paraId="3F98E6AB" w14:textId="77777777" w:rsidR="00E7045B" w:rsidRPr="007831BB" w:rsidRDefault="00E7045B" w:rsidP="00440196">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2 306 761 </w:t>
            </w:r>
          </w:p>
        </w:tc>
      </w:tr>
      <w:tr w:rsidR="00E7045B" w:rsidRPr="00440196" w14:paraId="41F7B5FE" w14:textId="77777777" w:rsidTr="006F57F3">
        <w:trPr>
          <w:cantSplit/>
          <w:trHeight w:val="57"/>
        </w:trPr>
        <w:tc>
          <w:tcPr>
            <w:tcW w:w="1305" w:type="pct"/>
            <w:tcBorders>
              <w:top w:val="single" w:sz="4" w:space="0" w:color="auto"/>
            </w:tcBorders>
            <w:shd w:val="clear" w:color="auto" w:fill="auto"/>
            <w:hideMark/>
          </w:tcPr>
          <w:p w14:paraId="18B73D25"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w:t>
            </w:r>
          </w:p>
        </w:tc>
        <w:tc>
          <w:tcPr>
            <w:tcW w:w="1666" w:type="pct"/>
            <w:gridSpan w:val="2"/>
            <w:tcBorders>
              <w:top w:val="single" w:sz="4" w:space="0" w:color="auto"/>
            </w:tcBorders>
            <w:shd w:val="clear" w:color="auto" w:fill="auto"/>
            <w:hideMark/>
          </w:tcPr>
          <w:p w14:paraId="48B17DA5"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w:t>
            </w:r>
          </w:p>
        </w:tc>
        <w:tc>
          <w:tcPr>
            <w:tcW w:w="1304" w:type="pct"/>
            <w:gridSpan w:val="2"/>
            <w:tcBorders>
              <w:top w:val="single" w:sz="4" w:space="0" w:color="auto"/>
            </w:tcBorders>
            <w:shd w:val="clear" w:color="auto" w:fill="auto"/>
            <w:hideMark/>
          </w:tcPr>
          <w:p w14:paraId="5C2E0E89"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w:t>
            </w:r>
          </w:p>
        </w:tc>
        <w:tc>
          <w:tcPr>
            <w:tcW w:w="725" w:type="pct"/>
            <w:tcBorders>
              <w:top w:val="single" w:sz="4" w:space="0" w:color="auto"/>
            </w:tcBorders>
            <w:shd w:val="clear" w:color="auto" w:fill="auto"/>
            <w:hideMark/>
          </w:tcPr>
          <w:p w14:paraId="6DF097A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w:t>
            </w:r>
          </w:p>
        </w:tc>
      </w:tr>
      <w:tr w:rsidR="00E7045B" w:rsidRPr="00440196" w14:paraId="427B886E" w14:textId="77777777" w:rsidTr="006F57F3">
        <w:trPr>
          <w:cantSplit/>
          <w:trHeight w:val="57"/>
        </w:trPr>
        <w:tc>
          <w:tcPr>
            <w:tcW w:w="5000" w:type="pct"/>
            <w:gridSpan w:val="6"/>
            <w:shd w:val="clear" w:color="auto" w:fill="auto"/>
            <w:noWrap/>
            <w:hideMark/>
          </w:tcPr>
          <w:p w14:paraId="570DAB9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b/>
                <w:bCs/>
                <w:sz w:val="18"/>
                <w:szCs w:val="18"/>
                <w:lang w:eastAsia="zh-CN"/>
              </w:rPr>
              <w:t>2. In-kind contributions related to meetings scheduled as part of the approved work programme</w:t>
            </w:r>
            <w:r w:rsidRPr="00440196">
              <w:rPr>
                <w:sz w:val="18"/>
                <w:szCs w:val="18"/>
                <w:lang w:eastAsia="zh-CN"/>
              </w:rPr>
              <w:t> </w:t>
            </w:r>
          </w:p>
        </w:tc>
      </w:tr>
      <w:tr w:rsidR="00E7045B" w:rsidRPr="00440196" w14:paraId="2BBDCF02" w14:textId="77777777" w:rsidTr="006F57F3">
        <w:trPr>
          <w:cantSplit/>
          <w:trHeight w:val="57"/>
        </w:trPr>
        <w:tc>
          <w:tcPr>
            <w:tcW w:w="1333" w:type="pct"/>
            <w:gridSpan w:val="2"/>
            <w:shd w:val="clear" w:color="auto" w:fill="auto"/>
            <w:hideMark/>
          </w:tcPr>
          <w:p w14:paraId="182DCAF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United Nations Development Programme</w:t>
            </w:r>
          </w:p>
        </w:tc>
        <w:tc>
          <w:tcPr>
            <w:tcW w:w="1639" w:type="pct"/>
            <w:shd w:val="clear" w:color="auto" w:fill="auto"/>
            <w:hideMark/>
          </w:tcPr>
          <w:p w14:paraId="2FD11C62" w14:textId="64C88119"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Second </w:t>
            </w:r>
            <w:r w:rsidR="000433EF">
              <w:rPr>
                <w:sz w:val="18"/>
                <w:szCs w:val="18"/>
                <w:lang w:eastAsia="zh-CN"/>
              </w:rPr>
              <w:t>m</w:t>
            </w:r>
            <w:r w:rsidRPr="00440196">
              <w:rPr>
                <w:sz w:val="18"/>
                <w:szCs w:val="18"/>
                <w:lang w:eastAsia="zh-CN"/>
              </w:rPr>
              <w:t xml:space="preserve">eeting of the IPBES </w:t>
            </w:r>
            <w:r w:rsidR="000433EF">
              <w:rPr>
                <w:sz w:val="18"/>
                <w:szCs w:val="18"/>
                <w:lang w:eastAsia="zh-CN"/>
              </w:rPr>
              <w:t>c</w:t>
            </w:r>
            <w:r w:rsidRPr="00440196">
              <w:rPr>
                <w:sz w:val="18"/>
                <w:szCs w:val="18"/>
                <w:lang w:eastAsia="zh-CN"/>
              </w:rPr>
              <w:t xml:space="preserve">apacity-building </w:t>
            </w:r>
            <w:r w:rsidR="000433EF">
              <w:rPr>
                <w:sz w:val="18"/>
                <w:szCs w:val="18"/>
                <w:lang w:eastAsia="zh-CN"/>
              </w:rPr>
              <w:t>f</w:t>
            </w:r>
            <w:r w:rsidRPr="00440196">
              <w:rPr>
                <w:sz w:val="18"/>
                <w:szCs w:val="18"/>
                <w:lang w:eastAsia="zh-CN"/>
              </w:rPr>
              <w:t>orum, New York, U</w:t>
            </w:r>
            <w:r w:rsidR="000433EF">
              <w:rPr>
                <w:sz w:val="18"/>
                <w:szCs w:val="18"/>
                <w:lang w:eastAsia="zh-CN"/>
              </w:rPr>
              <w:t xml:space="preserve">nited </w:t>
            </w:r>
            <w:r w:rsidRPr="00440196">
              <w:rPr>
                <w:sz w:val="18"/>
                <w:szCs w:val="18"/>
                <w:lang w:eastAsia="zh-CN"/>
              </w:rPr>
              <w:t>S</w:t>
            </w:r>
            <w:r w:rsidR="000433EF">
              <w:rPr>
                <w:sz w:val="18"/>
                <w:szCs w:val="18"/>
                <w:lang w:eastAsia="zh-CN"/>
              </w:rPr>
              <w:t xml:space="preserve">tates of </w:t>
            </w:r>
            <w:r w:rsidRPr="00440196">
              <w:rPr>
                <w:sz w:val="18"/>
                <w:szCs w:val="18"/>
                <w:lang w:eastAsia="zh-CN"/>
              </w:rPr>
              <w:t>A</w:t>
            </w:r>
            <w:r w:rsidR="000433EF">
              <w:rPr>
                <w:sz w:val="18"/>
                <w:szCs w:val="18"/>
                <w:lang w:eastAsia="zh-CN"/>
              </w:rPr>
              <w:t>merica</w:t>
            </w:r>
            <w:r w:rsidRPr="00440196">
              <w:rPr>
                <w:sz w:val="18"/>
                <w:szCs w:val="18"/>
                <w:lang w:eastAsia="zh-CN"/>
              </w:rPr>
              <w:t xml:space="preserve"> (deliverable 1 (a))</w:t>
            </w:r>
          </w:p>
        </w:tc>
        <w:tc>
          <w:tcPr>
            <w:tcW w:w="1232" w:type="pct"/>
            <w:shd w:val="clear" w:color="auto" w:fill="auto"/>
            <w:hideMark/>
          </w:tcPr>
          <w:p w14:paraId="043AB89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 technical and local support</w:t>
            </w:r>
          </w:p>
        </w:tc>
        <w:tc>
          <w:tcPr>
            <w:tcW w:w="797" w:type="pct"/>
            <w:gridSpan w:val="2"/>
            <w:shd w:val="clear" w:color="auto" w:fill="auto"/>
            <w:hideMark/>
          </w:tcPr>
          <w:p w14:paraId="5BC83C4A"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2 500 </w:t>
            </w:r>
          </w:p>
        </w:tc>
      </w:tr>
      <w:tr w:rsidR="00E7045B" w:rsidRPr="00440196" w14:paraId="72D14D71" w14:textId="77777777" w:rsidTr="006F57F3">
        <w:trPr>
          <w:cantSplit/>
          <w:trHeight w:val="57"/>
        </w:trPr>
        <w:tc>
          <w:tcPr>
            <w:tcW w:w="1333" w:type="pct"/>
            <w:gridSpan w:val="2"/>
            <w:shd w:val="clear" w:color="auto" w:fill="auto"/>
            <w:hideMark/>
          </w:tcPr>
          <w:p w14:paraId="2BBB3753" w14:textId="7B0D947D"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Hungarian Academy of Sciences </w:t>
            </w:r>
          </w:p>
        </w:tc>
        <w:tc>
          <w:tcPr>
            <w:tcW w:w="1639" w:type="pct"/>
            <w:shd w:val="clear" w:color="auto" w:fill="auto"/>
            <w:hideMark/>
          </w:tcPr>
          <w:p w14:paraId="48463C73" w14:textId="53067BA4" w:rsidR="00E7045B" w:rsidRPr="001B4189" w:rsidRDefault="00E7045B" w:rsidP="00440196">
            <w:pPr>
              <w:spacing w:before="40" w:after="40"/>
              <w:rPr>
                <w:sz w:val="18"/>
                <w:szCs w:val="18"/>
                <w:lang w:eastAsia="zh-CN"/>
              </w:rPr>
            </w:pPr>
            <w:r w:rsidRPr="00440196">
              <w:rPr>
                <w:sz w:val="18"/>
                <w:szCs w:val="18"/>
                <w:lang w:eastAsia="zh-CN"/>
              </w:rPr>
              <w:t xml:space="preserve">Fourth meeting of the </w:t>
            </w:r>
            <w:r w:rsidR="000433EF">
              <w:rPr>
                <w:sz w:val="18"/>
                <w:szCs w:val="18"/>
                <w:lang w:eastAsia="zh-CN"/>
              </w:rPr>
              <w:t>t</w:t>
            </w:r>
            <w:r w:rsidRPr="00440196">
              <w:rPr>
                <w:sz w:val="18"/>
                <w:szCs w:val="18"/>
                <w:lang w:eastAsia="zh-CN"/>
              </w:rPr>
              <w:t xml:space="preserve">ask </w:t>
            </w:r>
            <w:r w:rsidR="000433EF">
              <w:rPr>
                <w:sz w:val="18"/>
                <w:szCs w:val="18"/>
                <w:lang w:eastAsia="zh-CN"/>
              </w:rPr>
              <w:t>f</w:t>
            </w:r>
            <w:r w:rsidRPr="00440196">
              <w:rPr>
                <w:sz w:val="18"/>
                <w:szCs w:val="18"/>
                <w:lang w:eastAsia="zh-CN"/>
              </w:rPr>
              <w:t xml:space="preserve">orce on </w:t>
            </w:r>
            <w:r w:rsidR="00204C0B">
              <w:rPr>
                <w:sz w:val="18"/>
                <w:szCs w:val="18"/>
                <w:lang w:eastAsia="zh-CN"/>
              </w:rPr>
              <w:br/>
            </w:r>
            <w:r w:rsidRPr="001B4189">
              <w:rPr>
                <w:sz w:val="18"/>
                <w:szCs w:val="18"/>
                <w:lang w:eastAsia="zh-CN"/>
              </w:rPr>
              <w:t>capacity-building in Budapest, Hungary (deliverable 1 (a))</w:t>
            </w:r>
          </w:p>
        </w:tc>
        <w:tc>
          <w:tcPr>
            <w:tcW w:w="1232" w:type="pct"/>
            <w:shd w:val="clear" w:color="auto" w:fill="auto"/>
            <w:hideMark/>
          </w:tcPr>
          <w:p w14:paraId="4989E4B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Meeting facilities, catering and local support </w:t>
            </w:r>
          </w:p>
        </w:tc>
        <w:tc>
          <w:tcPr>
            <w:tcW w:w="797" w:type="pct"/>
            <w:gridSpan w:val="2"/>
            <w:shd w:val="clear" w:color="auto" w:fill="auto"/>
            <w:hideMark/>
          </w:tcPr>
          <w:p w14:paraId="4A1716C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7 320 </w:t>
            </w:r>
          </w:p>
        </w:tc>
      </w:tr>
      <w:tr w:rsidR="00E7045B" w:rsidRPr="00440196" w14:paraId="14AE736B" w14:textId="77777777" w:rsidTr="006F57F3">
        <w:trPr>
          <w:cantSplit/>
          <w:trHeight w:val="57"/>
        </w:trPr>
        <w:tc>
          <w:tcPr>
            <w:tcW w:w="1333" w:type="pct"/>
            <w:gridSpan w:val="2"/>
            <w:shd w:val="clear" w:color="auto" w:fill="auto"/>
            <w:hideMark/>
          </w:tcPr>
          <w:p w14:paraId="6294EBFF" w14:textId="3AC222B6"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Hungarian Academy of Sciences </w:t>
            </w:r>
          </w:p>
        </w:tc>
        <w:tc>
          <w:tcPr>
            <w:tcW w:w="1639" w:type="pct"/>
            <w:shd w:val="clear" w:color="auto" w:fill="auto"/>
            <w:hideMark/>
          </w:tcPr>
          <w:p w14:paraId="062E90E6" w14:textId="2766B2B9"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IPBES </w:t>
            </w:r>
            <w:r w:rsidR="000433EF">
              <w:rPr>
                <w:sz w:val="18"/>
                <w:szCs w:val="18"/>
                <w:lang w:eastAsia="zh-CN"/>
              </w:rPr>
              <w:t>c</w:t>
            </w:r>
            <w:r w:rsidRPr="00440196">
              <w:rPr>
                <w:sz w:val="18"/>
                <w:szCs w:val="18"/>
                <w:lang w:eastAsia="zh-CN"/>
              </w:rPr>
              <w:t xml:space="preserve">apacity-building </w:t>
            </w:r>
            <w:r w:rsidR="000433EF">
              <w:rPr>
                <w:sz w:val="18"/>
                <w:szCs w:val="18"/>
                <w:lang w:eastAsia="zh-CN"/>
              </w:rPr>
              <w:t>d</w:t>
            </w:r>
            <w:r w:rsidRPr="00440196">
              <w:rPr>
                <w:sz w:val="18"/>
                <w:szCs w:val="18"/>
                <w:lang w:eastAsia="zh-CN"/>
              </w:rPr>
              <w:t xml:space="preserve">ialogue with Eastern European </w:t>
            </w:r>
            <w:r w:rsidR="000433EF">
              <w:rPr>
                <w:sz w:val="18"/>
                <w:szCs w:val="18"/>
                <w:lang w:eastAsia="zh-CN"/>
              </w:rPr>
              <w:t>s</w:t>
            </w:r>
            <w:r w:rsidRPr="00440196">
              <w:rPr>
                <w:sz w:val="18"/>
                <w:szCs w:val="18"/>
                <w:lang w:eastAsia="zh-CN"/>
              </w:rPr>
              <w:t>takeholders (deliverable 1 (a))</w:t>
            </w:r>
          </w:p>
        </w:tc>
        <w:tc>
          <w:tcPr>
            <w:tcW w:w="1232" w:type="pct"/>
            <w:shd w:val="clear" w:color="auto" w:fill="auto"/>
            <w:hideMark/>
          </w:tcPr>
          <w:p w14:paraId="4379735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Meeting facilities, catering and local support </w:t>
            </w:r>
          </w:p>
        </w:tc>
        <w:tc>
          <w:tcPr>
            <w:tcW w:w="797" w:type="pct"/>
            <w:gridSpan w:val="2"/>
            <w:shd w:val="clear" w:color="auto" w:fill="auto"/>
            <w:hideMark/>
          </w:tcPr>
          <w:p w14:paraId="2549A0E7"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2 440 </w:t>
            </w:r>
          </w:p>
        </w:tc>
      </w:tr>
      <w:tr w:rsidR="00E7045B" w:rsidRPr="00440196" w14:paraId="789029FB" w14:textId="77777777" w:rsidTr="006F57F3">
        <w:trPr>
          <w:cantSplit/>
          <w:trHeight w:val="57"/>
        </w:trPr>
        <w:tc>
          <w:tcPr>
            <w:tcW w:w="1333" w:type="pct"/>
            <w:gridSpan w:val="2"/>
            <w:shd w:val="clear" w:color="auto" w:fill="auto"/>
            <w:hideMark/>
          </w:tcPr>
          <w:p w14:paraId="038E9DE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Germany</w:t>
            </w:r>
          </w:p>
        </w:tc>
        <w:tc>
          <w:tcPr>
            <w:tcW w:w="1639" w:type="pct"/>
            <w:shd w:val="clear" w:color="auto" w:fill="auto"/>
            <w:hideMark/>
          </w:tcPr>
          <w:p w14:paraId="114B513A" w14:textId="0C4644BA"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Second author meeting</w:t>
            </w:r>
            <w:r w:rsidR="00C508BC">
              <w:rPr>
                <w:sz w:val="18"/>
                <w:szCs w:val="18"/>
                <w:lang w:eastAsia="zh-CN"/>
              </w:rPr>
              <w:t>s</w:t>
            </w:r>
            <w:r w:rsidRPr="00440196">
              <w:rPr>
                <w:sz w:val="18"/>
                <w:szCs w:val="18"/>
                <w:lang w:eastAsia="zh-CN"/>
              </w:rPr>
              <w:t xml:space="preserve"> of the </w:t>
            </w:r>
            <w:r w:rsidR="00C508BC">
              <w:rPr>
                <w:sz w:val="18"/>
                <w:szCs w:val="18"/>
                <w:lang w:eastAsia="zh-CN"/>
              </w:rPr>
              <w:t>r</w:t>
            </w:r>
            <w:r w:rsidRPr="00440196">
              <w:rPr>
                <w:sz w:val="18"/>
                <w:szCs w:val="18"/>
                <w:lang w:eastAsia="zh-CN"/>
              </w:rPr>
              <w:t xml:space="preserve">egional </w:t>
            </w:r>
            <w:r w:rsidR="00C508BC">
              <w:rPr>
                <w:sz w:val="18"/>
                <w:szCs w:val="18"/>
                <w:lang w:eastAsia="zh-CN"/>
              </w:rPr>
              <w:t>a</w:t>
            </w:r>
            <w:r w:rsidRPr="00440196">
              <w:rPr>
                <w:sz w:val="18"/>
                <w:szCs w:val="18"/>
                <w:lang w:eastAsia="zh-CN"/>
              </w:rPr>
              <w:t xml:space="preserve">ssessments (deliverable 2 (b)) and the </w:t>
            </w:r>
            <w:r w:rsidR="00C508BC">
              <w:rPr>
                <w:sz w:val="18"/>
                <w:szCs w:val="18"/>
                <w:lang w:eastAsia="zh-CN"/>
              </w:rPr>
              <w:t>l</w:t>
            </w:r>
            <w:r w:rsidRPr="00440196">
              <w:rPr>
                <w:sz w:val="18"/>
                <w:szCs w:val="18"/>
                <w:lang w:eastAsia="zh-CN"/>
              </w:rPr>
              <w:t xml:space="preserve">and </w:t>
            </w:r>
            <w:r w:rsidR="00C508BC">
              <w:rPr>
                <w:sz w:val="18"/>
                <w:szCs w:val="18"/>
                <w:lang w:eastAsia="zh-CN"/>
              </w:rPr>
              <w:t>d</w:t>
            </w:r>
            <w:r w:rsidRPr="00440196">
              <w:rPr>
                <w:sz w:val="18"/>
                <w:szCs w:val="18"/>
                <w:lang w:eastAsia="zh-CN"/>
              </w:rPr>
              <w:t xml:space="preserve">egradation and </w:t>
            </w:r>
            <w:r w:rsidR="00C508BC">
              <w:rPr>
                <w:sz w:val="18"/>
                <w:szCs w:val="18"/>
                <w:lang w:eastAsia="zh-CN"/>
              </w:rPr>
              <w:t>r</w:t>
            </w:r>
            <w:r w:rsidRPr="00440196">
              <w:rPr>
                <w:sz w:val="18"/>
                <w:szCs w:val="18"/>
                <w:lang w:eastAsia="zh-CN"/>
              </w:rPr>
              <w:t xml:space="preserve">estoration </w:t>
            </w:r>
            <w:r w:rsidR="00C508BC">
              <w:rPr>
                <w:sz w:val="18"/>
                <w:szCs w:val="18"/>
                <w:lang w:eastAsia="zh-CN"/>
              </w:rPr>
              <w:t>a</w:t>
            </w:r>
            <w:r w:rsidRPr="00440196">
              <w:rPr>
                <w:sz w:val="18"/>
                <w:szCs w:val="18"/>
                <w:lang w:eastAsia="zh-CN"/>
              </w:rPr>
              <w:t>ssessment (deliverable 3 (bi))</w:t>
            </w:r>
          </w:p>
        </w:tc>
        <w:tc>
          <w:tcPr>
            <w:tcW w:w="1232" w:type="pct"/>
            <w:shd w:val="clear" w:color="auto" w:fill="auto"/>
            <w:hideMark/>
          </w:tcPr>
          <w:p w14:paraId="1177D00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 local support</w:t>
            </w:r>
          </w:p>
        </w:tc>
        <w:tc>
          <w:tcPr>
            <w:tcW w:w="797" w:type="pct"/>
            <w:gridSpan w:val="2"/>
            <w:shd w:val="clear" w:color="auto" w:fill="auto"/>
            <w:hideMark/>
          </w:tcPr>
          <w:p w14:paraId="3C753C1E"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176 471 </w:t>
            </w:r>
          </w:p>
        </w:tc>
      </w:tr>
      <w:tr w:rsidR="00E7045B" w:rsidRPr="00440196" w14:paraId="17350F6E" w14:textId="77777777" w:rsidTr="006F57F3">
        <w:trPr>
          <w:cantSplit/>
          <w:trHeight w:val="57"/>
        </w:trPr>
        <w:tc>
          <w:tcPr>
            <w:tcW w:w="1333" w:type="pct"/>
            <w:gridSpan w:val="2"/>
            <w:tcBorders>
              <w:bottom w:val="single" w:sz="4" w:space="0" w:color="auto"/>
            </w:tcBorders>
            <w:shd w:val="clear" w:color="auto" w:fill="auto"/>
            <w:hideMark/>
          </w:tcPr>
          <w:p w14:paraId="4DA76F4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Germany </w:t>
            </w:r>
          </w:p>
        </w:tc>
        <w:tc>
          <w:tcPr>
            <w:tcW w:w="1639" w:type="pct"/>
            <w:tcBorders>
              <w:bottom w:val="single" w:sz="4" w:space="0" w:color="auto"/>
            </w:tcBorders>
            <w:shd w:val="clear" w:color="auto" w:fill="auto"/>
            <w:hideMark/>
          </w:tcPr>
          <w:p w14:paraId="2B64E29E" w14:textId="7EC752BB"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Global assessment </w:t>
            </w:r>
            <w:r w:rsidR="00C508BC">
              <w:rPr>
                <w:sz w:val="18"/>
                <w:szCs w:val="18"/>
                <w:lang w:eastAsia="zh-CN"/>
              </w:rPr>
              <w:t>c</w:t>
            </w:r>
            <w:r w:rsidRPr="00440196">
              <w:rPr>
                <w:sz w:val="18"/>
                <w:szCs w:val="18"/>
                <w:lang w:eastAsia="zh-CN"/>
              </w:rPr>
              <w:t>hapter 3 meeting (deliverable 2 (c))</w:t>
            </w:r>
          </w:p>
        </w:tc>
        <w:tc>
          <w:tcPr>
            <w:tcW w:w="1232" w:type="pct"/>
            <w:tcBorders>
              <w:bottom w:val="single" w:sz="4" w:space="0" w:color="auto"/>
            </w:tcBorders>
            <w:shd w:val="clear" w:color="auto" w:fill="auto"/>
            <w:hideMark/>
          </w:tcPr>
          <w:p w14:paraId="5856897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Travel support, meeting facilities, local support</w:t>
            </w:r>
          </w:p>
        </w:tc>
        <w:tc>
          <w:tcPr>
            <w:tcW w:w="797" w:type="pct"/>
            <w:gridSpan w:val="2"/>
            <w:tcBorders>
              <w:bottom w:val="single" w:sz="4" w:space="0" w:color="auto"/>
            </w:tcBorders>
            <w:shd w:val="clear" w:color="auto" w:fill="auto"/>
            <w:noWrap/>
            <w:hideMark/>
          </w:tcPr>
          <w:p w14:paraId="0AE53BD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55 439 </w:t>
            </w:r>
          </w:p>
        </w:tc>
      </w:tr>
      <w:tr w:rsidR="00E7045B" w:rsidRPr="00440196" w14:paraId="45E419C9" w14:textId="77777777" w:rsidTr="006F57F3">
        <w:trPr>
          <w:cantSplit/>
          <w:trHeight w:val="57"/>
        </w:trPr>
        <w:tc>
          <w:tcPr>
            <w:tcW w:w="1333" w:type="pct"/>
            <w:gridSpan w:val="2"/>
            <w:tcBorders>
              <w:top w:val="single" w:sz="4" w:space="0" w:color="auto"/>
              <w:bottom w:val="single" w:sz="4" w:space="0" w:color="auto"/>
            </w:tcBorders>
            <w:shd w:val="clear" w:color="auto" w:fill="auto"/>
            <w:noWrap/>
            <w:hideMark/>
          </w:tcPr>
          <w:p w14:paraId="699DB983"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xml:space="preserve">Subtotal </w:t>
            </w:r>
          </w:p>
        </w:tc>
        <w:tc>
          <w:tcPr>
            <w:tcW w:w="1639" w:type="pct"/>
            <w:tcBorders>
              <w:top w:val="single" w:sz="4" w:space="0" w:color="auto"/>
              <w:bottom w:val="single" w:sz="4" w:space="0" w:color="auto"/>
            </w:tcBorders>
            <w:shd w:val="clear" w:color="auto" w:fill="auto"/>
            <w:noWrap/>
            <w:hideMark/>
          </w:tcPr>
          <w:p w14:paraId="62E2CC86"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2" w:type="pct"/>
            <w:tcBorders>
              <w:top w:val="single" w:sz="4" w:space="0" w:color="auto"/>
              <w:bottom w:val="single" w:sz="4" w:space="0" w:color="auto"/>
            </w:tcBorders>
            <w:shd w:val="clear" w:color="auto" w:fill="auto"/>
            <w:noWrap/>
            <w:hideMark/>
          </w:tcPr>
          <w:p w14:paraId="31CD2D23"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97" w:type="pct"/>
            <w:gridSpan w:val="2"/>
            <w:tcBorders>
              <w:top w:val="single" w:sz="4" w:space="0" w:color="auto"/>
              <w:bottom w:val="single" w:sz="4" w:space="0" w:color="auto"/>
            </w:tcBorders>
            <w:shd w:val="clear" w:color="auto" w:fill="auto"/>
            <w:noWrap/>
            <w:hideMark/>
          </w:tcPr>
          <w:p w14:paraId="2749663E" w14:textId="77777777" w:rsidR="00E7045B" w:rsidRPr="007831BB" w:rsidRDefault="00E7045B" w:rsidP="00440196">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244 170 </w:t>
            </w:r>
          </w:p>
        </w:tc>
      </w:tr>
      <w:tr w:rsidR="00E7045B" w:rsidRPr="00440196" w14:paraId="3BCB27CA" w14:textId="77777777" w:rsidTr="006F57F3">
        <w:trPr>
          <w:cantSplit/>
          <w:trHeight w:val="57"/>
        </w:trPr>
        <w:tc>
          <w:tcPr>
            <w:tcW w:w="1333" w:type="pct"/>
            <w:gridSpan w:val="2"/>
            <w:tcBorders>
              <w:top w:val="single" w:sz="4" w:space="0" w:color="auto"/>
            </w:tcBorders>
            <w:shd w:val="clear" w:color="auto" w:fill="auto"/>
            <w:noWrap/>
            <w:hideMark/>
          </w:tcPr>
          <w:p w14:paraId="5ABE15E0"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639" w:type="pct"/>
            <w:tcBorders>
              <w:top w:val="single" w:sz="4" w:space="0" w:color="auto"/>
            </w:tcBorders>
            <w:shd w:val="clear" w:color="auto" w:fill="auto"/>
            <w:noWrap/>
            <w:hideMark/>
          </w:tcPr>
          <w:p w14:paraId="495A14C1"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2" w:type="pct"/>
            <w:tcBorders>
              <w:top w:val="single" w:sz="4" w:space="0" w:color="auto"/>
            </w:tcBorders>
            <w:shd w:val="clear" w:color="auto" w:fill="auto"/>
            <w:noWrap/>
            <w:hideMark/>
          </w:tcPr>
          <w:p w14:paraId="1FDB1CE9"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97" w:type="pct"/>
            <w:gridSpan w:val="2"/>
            <w:tcBorders>
              <w:top w:val="single" w:sz="4" w:space="0" w:color="auto"/>
            </w:tcBorders>
            <w:shd w:val="clear" w:color="auto" w:fill="auto"/>
            <w:noWrap/>
            <w:hideMark/>
          </w:tcPr>
          <w:p w14:paraId="33F0E698" w14:textId="77777777" w:rsidR="00E7045B" w:rsidRPr="007831BB" w:rsidRDefault="00E7045B" w:rsidP="00440196">
            <w:pPr>
              <w:widowControl w:val="0"/>
              <w:tabs>
                <w:tab w:val="left" w:pos="6480"/>
                <w:tab w:val="left" w:pos="7200"/>
              </w:tabs>
              <w:spacing w:before="40" w:after="40"/>
              <w:jc w:val="right"/>
              <w:rPr>
                <w:b/>
                <w:bCs/>
                <w:sz w:val="18"/>
                <w:szCs w:val="18"/>
                <w:lang w:eastAsia="zh-CN"/>
              </w:rPr>
            </w:pPr>
            <w:r w:rsidRPr="00440196">
              <w:rPr>
                <w:b/>
                <w:bCs/>
                <w:sz w:val="18"/>
                <w:szCs w:val="18"/>
                <w:lang w:eastAsia="zh-CN"/>
              </w:rPr>
              <w:t> </w:t>
            </w:r>
          </w:p>
        </w:tc>
      </w:tr>
      <w:tr w:rsidR="00E7045B" w:rsidRPr="00440196" w14:paraId="689D7341" w14:textId="77777777" w:rsidTr="006F57F3">
        <w:trPr>
          <w:cantSplit/>
          <w:trHeight w:val="57"/>
        </w:trPr>
        <w:tc>
          <w:tcPr>
            <w:tcW w:w="5000" w:type="pct"/>
            <w:gridSpan w:val="6"/>
            <w:shd w:val="clear" w:color="auto" w:fill="auto"/>
            <w:noWrap/>
            <w:hideMark/>
          </w:tcPr>
          <w:p w14:paraId="7BC250AA"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3-In-kind contributions in support of the approved work programme</w:t>
            </w:r>
          </w:p>
        </w:tc>
      </w:tr>
      <w:tr w:rsidR="00E7045B" w:rsidRPr="00440196" w14:paraId="72B304F7" w14:textId="77777777" w:rsidTr="006F57F3">
        <w:trPr>
          <w:cantSplit/>
          <w:trHeight w:val="57"/>
        </w:trPr>
        <w:tc>
          <w:tcPr>
            <w:tcW w:w="1333" w:type="pct"/>
            <w:gridSpan w:val="2"/>
            <w:shd w:val="clear" w:color="auto" w:fill="auto"/>
            <w:hideMark/>
          </w:tcPr>
          <w:p w14:paraId="7B5B7B39"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Germany </w:t>
            </w:r>
          </w:p>
        </w:tc>
        <w:tc>
          <w:tcPr>
            <w:tcW w:w="1639" w:type="pct"/>
            <w:shd w:val="clear" w:color="auto" w:fill="auto"/>
            <w:hideMark/>
          </w:tcPr>
          <w:p w14:paraId="7F932826" w14:textId="2C274F75"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Fifth session of the Plenary</w:t>
            </w:r>
          </w:p>
        </w:tc>
        <w:tc>
          <w:tcPr>
            <w:tcW w:w="1232" w:type="pct"/>
            <w:shd w:val="clear" w:color="auto" w:fill="auto"/>
            <w:hideMark/>
          </w:tcPr>
          <w:p w14:paraId="4B782FF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venue, facilities, equipment and supplies</w:t>
            </w:r>
          </w:p>
        </w:tc>
        <w:tc>
          <w:tcPr>
            <w:tcW w:w="797" w:type="pct"/>
            <w:gridSpan w:val="2"/>
            <w:shd w:val="clear" w:color="auto" w:fill="auto"/>
            <w:noWrap/>
            <w:hideMark/>
          </w:tcPr>
          <w:p w14:paraId="5CD501C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466 569 </w:t>
            </w:r>
          </w:p>
        </w:tc>
      </w:tr>
      <w:tr w:rsidR="00E7045B" w:rsidRPr="00440196" w14:paraId="2BE01A3C" w14:textId="77777777" w:rsidTr="006F57F3">
        <w:trPr>
          <w:cantSplit/>
          <w:trHeight w:val="57"/>
        </w:trPr>
        <w:tc>
          <w:tcPr>
            <w:tcW w:w="1333" w:type="pct"/>
            <w:gridSpan w:val="2"/>
            <w:shd w:val="clear" w:color="auto" w:fill="auto"/>
            <w:hideMark/>
          </w:tcPr>
          <w:p w14:paraId="58D25C5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Germany </w:t>
            </w:r>
          </w:p>
        </w:tc>
        <w:tc>
          <w:tcPr>
            <w:tcW w:w="1639" w:type="pct"/>
            <w:shd w:val="clear" w:color="auto" w:fill="auto"/>
            <w:hideMark/>
          </w:tcPr>
          <w:p w14:paraId="192E0D2A" w14:textId="3FBDD4DB"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Travel support for the </w:t>
            </w:r>
            <w:r w:rsidR="002062A2">
              <w:rPr>
                <w:sz w:val="18"/>
                <w:szCs w:val="18"/>
                <w:lang w:eastAsia="zh-CN"/>
              </w:rPr>
              <w:t>f</w:t>
            </w:r>
            <w:r w:rsidRPr="00440196">
              <w:rPr>
                <w:sz w:val="18"/>
                <w:szCs w:val="18"/>
                <w:lang w:eastAsia="zh-CN"/>
              </w:rPr>
              <w:t xml:space="preserve">ifth </w:t>
            </w:r>
            <w:r w:rsidR="002062A2">
              <w:rPr>
                <w:sz w:val="18"/>
                <w:szCs w:val="18"/>
                <w:lang w:eastAsia="zh-CN"/>
              </w:rPr>
              <w:t>s</w:t>
            </w:r>
            <w:r w:rsidRPr="00440196">
              <w:rPr>
                <w:sz w:val="18"/>
                <w:szCs w:val="18"/>
                <w:lang w:eastAsia="zh-CN"/>
              </w:rPr>
              <w:t xml:space="preserve">ession of the Plenary </w:t>
            </w:r>
          </w:p>
        </w:tc>
        <w:tc>
          <w:tcPr>
            <w:tcW w:w="1232" w:type="pct"/>
            <w:shd w:val="clear" w:color="auto" w:fill="auto"/>
            <w:hideMark/>
          </w:tcPr>
          <w:p w14:paraId="16BBD2A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support </w:t>
            </w:r>
          </w:p>
        </w:tc>
        <w:tc>
          <w:tcPr>
            <w:tcW w:w="797" w:type="pct"/>
            <w:gridSpan w:val="2"/>
            <w:shd w:val="clear" w:color="auto" w:fill="auto"/>
            <w:noWrap/>
            <w:hideMark/>
          </w:tcPr>
          <w:p w14:paraId="3E8C6A8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104 602 </w:t>
            </w:r>
          </w:p>
        </w:tc>
      </w:tr>
      <w:tr w:rsidR="00E7045B" w:rsidRPr="00440196" w14:paraId="6207A317" w14:textId="77777777" w:rsidTr="006F57F3">
        <w:trPr>
          <w:cantSplit/>
          <w:trHeight w:val="57"/>
        </w:trPr>
        <w:tc>
          <w:tcPr>
            <w:tcW w:w="1333" w:type="pct"/>
            <w:gridSpan w:val="2"/>
            <w:shd w:val="clear" w:color="auto" w:fill="auto"/>
            <w:hideMark/>
          </w:tcPr>
          <w:p w14:paraId="4F5B2B1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Germany </w:t>
            </w:r>
          </w:p>
        </w:tc>
        <w:tc>
          <w:tcPr>
            <w:tcW w:w="1639" w:type="pct"/>
            <w:shd w:val="clear" w:color="auto" w:fill="auto"/>
            <w:hideMark/>
          </w:tcPr>
          <w:p w14:paraId="778FF8A6" w14:textId="71FAB3D4" w:rsidR="00E7045B" w:rsidRPr="007831BB" w:rsidRDefault="00E7045B">
            <w:pPr>
              <w:widowControl w:val="0"/>
              <w:tabs>
                <w:tab w:val="left" w:pos="6480"/>
                <w:tab w:val="left" w:pos="7200"/>
              </w:tabs>
              <w:spacing w:before="40" w:after="40"/>
              <w:rPr>
                <w:sz w:val="18"/>
                <w:szCs w:val="18"/>
                <w:lang w:eastAsia="zh-CN"/>
              </w:rPr>
            </w:pPr>
            <w:r w:rsidRPr="00440196">
              <w:rPr>
                <w:sz w:val="18"/>
                <w:szCs w:val="18"/>
                <w:lang w:eastAsia="zh-CN"/>
              </w:rPr>
              <w:t>Branding/</w:t>
            </w:r>
            <w:r w:rsidR="0096474B">
              <w:rPr>
                <w:sz w:val="18"/>
                <w:szCs w:val="18"/>
                <w:lang w:eastAsia="zh-CN"/>
              </w:rPr>
              <w:t>software a</w:t>
            </w:r>
            <w:r w:rsidRPr="00440196">
              <w:rPr>
                <w:sz w:val="18"/>
                <w:szCs w:val="18"/>
                <w:lang w:eastAsia="zh-CN"/>
              </w:rPr>
              <w:t>pplication</w:t>
            </w:r>
          </w:p>
        </w:tc>
        <w:tc>
          <w:tcPr>
            <w:tcW w:w="1232" w:type="pct"/>
            <w:shd w:val="clear" w:color="auto" w:fill="auto"/>
            <w:hideMark/>
          </w:tcPr>
          <w:p w14:paraId="6942F176"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Communication support</w:t>
            </w:r>
          </w:p>
        </w:tc>
        <w:tc>
          <w:tcPr>
            <w:tcW w:w="797" w:type="pct"/>
            <w:gridSpan w:val="2"/>
            <w:shd w:val="clear" w:color="auto" w:fill="auto"/>
            <w:noWrap/>
            <w:hideMark/>
          </w:tcPr>
          <w:p w14:paraId="48363121"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20 920 </w:t>
            </w:r>
          </w:p>
        </w:tc>
      </w:tr>
      <w:tr w:rsidR="00E7045B" w:rsidRPr="00440196" w14:paraId="2571EF74" w14:textId="77777777" w:rsidTr="006F57F3">
        <w:trPr>
          <w:cantSplit/>
          <w:trHeight w:val="57"/>
        </w:trPr>
        <w:tc>
          <w:tcPr>
            <w:tcW w:w="1333" w:type="pct"/>
            <w:gridSpan w:val="2"/>
            <w:shd w:val="clear" w:color="auto" w:fill="auto"/>
            <w:hideMark/>
          </w:tcPr>
          <w:p w14:paraId="5A089CF8"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Malaysia </w:t>
            </w:r>
          </w:p>
        </w:tc>
        <w:tc>
          <w:tcPr>
            <w:tcW w:w="1639" w:type="pct"/>
            <w:shd w:val="clear" w:color="auto" w:fill="auto"/>
            <w:hideMark/>
          </w:tcPr>
          <w:p w14:paraId="177ABA5A"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Fourth session of the Plenary</w:t>
            </w:r>
          </w:p>
        </w:tc>
        <w:tc>
          <w:tcPr>
            <w:tcW w:w="1232" w:type="pct"/>
            <w:shd w:val="clear" w:color="auto" w:fill="auto"/>
            <w:hideMark/>
          </w:tcPr>
          <w:p w14:paraId="5A4BC385"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 hospitality, equipment and supplies</w:t>
            </w:r>
          </w:p>
        </w:tc>
        <w:tc>
          <w:tcPr>
            <w:tcW w:w="797" w:type="pct"/>
            <w:gridSpan w:val="2"/>
            <w:shd w:val="clear" w:color="auto" w:fill="auto"/>
            <w:noWrap/>
            <w:hideMark/>
          </w:tcPr>
          <w:p w14:paraId="2798A15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974 000 </w:t>
            </w:r>
          </w:p>
        </w:tc>
      </w:tr>
      <w:tr w:rsidR="00E7045B" w:rsidRPr="00440196" w14:paraId="0C2CD7A2" w14:textId="77777777" w:rsidTr="006F57F3">
        <w:trPr>
          <w:cantSplit/>
          <w:trHeight w:val="57"/>
        </w:trPr>
        <w:tc>
          <w:tcPr>
            <w:tcW w:w="1333" w:type="pct"/>
            <w:gridSpan w:val="2"/>
            <w:shd w:val="clear" w:color="auto" w:fill="auto"/>
            <w:noWrap/>
            <w:hideMark/>
          </w:tcPr>
          <w:p w14:paraId="1EFC0A1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Malaysia</w:t>
            </w:r>
          </w:p>
        </w:tc>
        <w:tc>
          <w:tcPr>
            <w:tcW w:w="1639" w:type="pct"/>
            <w:shd w:val="clear" w:color="auto" w:fill="auto"/>
            <w:hideMark/>
          </w:tcPr>
          <w:p w14:paraId="461CAD43" w14:textId="709BB863"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Fourth session of the Plenary: </w:t>
            </w:r>
            <w:r w:rsidR="002062A2">
              <w:rPr>
                <w:sz w:val="18"/>
                <w:szCs w:val="18"/>
                <w:lang w:eastAsia="zh-CN"/>
              </w:rPr>
              <w:t>h</w:t>
            </w:r>
            <w:r w:rsidRPr="00440196">
              <w:rPr>
                <w:sz w:val="18"/>
                <w:szCs w:val="18"/>
                <w:lang w:eastAsia="zh-CN"/>
              </w:rPr>
              <w:t>ost country contribution</w:t>
            </w:r>
          </w:p>
        </w:tc>
        <w:tc>
          <w:tcPr>
            <w:tcW w:w="1232" w:type="pct"/>
            <w:shd w:val="clear" w:color="auto" w:fill="auto"/>
            <w:hideMark/>
          </w:tcPr>
          <w:p w14:paraId="552FBC0E"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support </w:t>
            </w:r>
          </w:p>
        </w:tc>
        <w:tc>
          <w:tcPr>
            <w:tcW w:w="797" w:type="pct"/>
            <w:gridSpan w:val="2"/>
            <w:shd w:val="clear" w:color="auto" w:fill="auto"/>
            <w:noWrap/>
            <w:hideMark/>
          </w:tcPr>
          <w:p w14:paraId="234E4153"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194 099 </w:t>
            </w:r>
          </w:p>
        </w:tc>
      </w:tr>
      <w:tr w:rsidR="00E7045B" w:rsidRPr="00440196" w14:paraId="2150C256" w14:textId="77777777" w:rsidTr="006F57F3">
        <w:trPr>
          <w:cantSplit/>
          <w:trHeight w:val="57"/>
        </w:trPr>
        <w:tc>
          <w:tcPr>
            <w:tcW w:w="1333" w:type="pct"/>
            <w:gridSpan w:val="2"/>
            <w:shd w:val="clear" w:color="auto" w:fill="auto"/>
            <w:noWrap/>
            <w:hideMark/>
          </w:tcPr>
          <w:p w14:paraId="2F592A75"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United Kingdom </w:t>
            </w:r>
          </w:p>
        </w:tc>
        <w:tc>
          <w:tcPr>
            <w:tcW w:w="1639" w:type="pct"/>
            <w:shd w:val="clear" w:color="auto" w:fill="auto"/>
            <w:hideMark/>
          </w:tcPr>
          <w:p w14:paraId="0ABEA4B9"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costs of the IPBES Chair to represent the Platform </w:t>
            </w:r>
          </w:p>
        </w:tc>
        <w:tc>
          <w:tcPr>
            <w:tcW w:w="1232" w:type="pct"/>
            <w:shd w:val="clear" w:color="auto" w:fill="auto"/>
            <w:hideMark/>
          </w:tcPr>
          <w:p w14:paraId="4EC1F4FE"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support </w:t>
            </w:r>
          </w:p>
        </w:tc>
        <w:tc>
          <w:tcPr>
            <w:tcW w:w="797" w:type="pct"/>
            <w:gridSpan w:val="2"/>
            <w:shd w:val="clear" w:color="auto" w:fill="auto"/>
            <w:noWrap/>
            <w:hideMark/>
          </w:tcPr>
          <w:p w14:paraId="01E09F6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20 000 </w:t>
            </w:r>
          </w:p>
        </w:tc>
      </w:tr>
      <w:tr w:rsidR="00E7045B" w:rsidRPr="00440196" w14:paraId="43870B02" w14:textId="77777777" w:rsidTr="006F57F3">
        <w:trPr>
          <w:cantSplit/>
          <w:trHeight w:val="57"/>
        </w:trPr>
        <w:tc>
          <w:tcPr>
            <w:tcW w:w="1333" w:type="pct"/>
            <w:gridSpan w:val="2"/>
            <w:shd w:val="clear" w:color="auto" w:fill="auto"/>
            <w:hideMark/>
          </w:tcPr>
          <w:p w14:paraId="323C176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Institute for Global Environmental Strategies </w:t>
            </w:r>
          </w:p>
        </w:tc>
        <w:tc>
          <w:tcPr>
            <w:tcW w:w="1639" w:type="pct"/>
            <w:shd w:val="clear" w:color="auto" w:fill="auto"/>
            <w:hideMark/>
          </w:tcPr>
          <w:p w14:paraId="465A2002" w14:textId="3CAB34FD" w:rsidR="00E7045B" w:rsidRPr="007831BB" w:rsidRDefault="002062A2" w:rsidP="00440196">
            <w:pPr>
              <w:widowControl w:val="0"/>
              <w:tabs>
                <w:tab w:val="left" w:pos="6480"/>
                <w:tab w:val="left" w:pos="7200"/>
              </w:tabs>
              <w:spacing w:before="40" w:after="40"/>
              <w:rPr>
                <w:sz w:val="18"/>
                <w:szCs w:val="18"/>
                <w:lang w:eastAsia="zh-CN"/>
              </w:rPr>
            </w:pPr>
            <w:r w:rsidRPr="00440196">
              <w:rPr>
                <w:sz w:val="18"/>
                <w:szCs w:val="18"/>
                <w:lang w:eastAsia="zh-CN"/>
              </w:rPr>
              <w:t>Institute for Global Environmental Strategies</w:t>
            </w:r>
            <w:r>
              <w:rPr>
                <w:sz w:val="18"/>
                <w:szCs w:val="18"/>
                <w:lang w:eastAsia="zh-CN"/>
              </w:rPr>
              <w:t>/</w:t>
            </w:r>
            <w:r w:rsidRPr="00440196">
              <w:rPr>
                <w:sz w:val="18"/>
                <w:szCs w:val="18"/>
                <w:lang w:eastAsia="zh-CN"/>
              </w:rPr>
              <w:t>Japan Biodiversity Fund</w:t>
            </w:r>
            <w:r w:rsidR="00A50ED1">
              <w:rPr>
                <w:sz w:val="18"/>
                <w:szCs w:val="18"/>
                <w:lang w:eastAsia="zh-CN"/>
              </w:rPr>
              <w:t xml:space="preserve"> (</w:t>
            </w:r>
            <w:r w:rsidR="00E7045B" w:rsidRPr="00440196">
              <w:rPr>
                <w:sz w:val="18"/>
                <w:szCs w:val="18"/>
                <w:lang w:eastAsia="zh-CN"/>
              </w:rPr>
              <w:t>IGES</w:t>
            </w:r>
            <w:r w:rsidR="00A50ED1">
              <w:rPr>
                <w:sz w:val="18"/>
                <w:szCs w:val="18"/>
                <w:lang w:eastAsia="zh-CN"/>
              </w:rPr>
              <w:t>/</w:t>
            </w:r>
            <w:r w:rsidR="00E7045B" w:rsidRPr="00440196">
              <w:rPr>
                <w:sz w:val="18"/>
                <w:szCs w:val="18"/>
                <w:lang w:eastAsia="zh-CN"/>
              </w:rPr>
              <w:t>JBF</w:t>
            </w:r>
            <w:r w:rsidR="00A50ED1">
              <w:rPr>
                <w:sz w:val="18"/>
                <w:szCs w:val="18"/>
                <w:lang w:eastAsia="zh-CN"/>
              </w:rPr>
              <w:t>)</w:t>
            </w:r>
            <w:r w:rsidR="00E7045B" w:rsidRPr="00440196">
              <w:rPr>
                <w:sz w:val="18"/>
                <w:szCs w:val="18"/>
                <w:lang w:eastAsia="zh-CN"/>
              </w:rPr>
              <w:t xml:space="preserve"> </w:t>
            </w:r>
            <w:r>
              <w:rPr>
                <w:sz w:val="18"/>
                <w:szCs w:val="18"/>
                <w:lang w:eastAsia="zh-CN"/>
              </w:rPr>
              <w:t>c</w:t>
            </w:r>
            <w:r w:rsidR="00E7045B" w:rsidRPr="00440196">
              <w:rPr>
                <w:sz w:val="18"/>
                <w:szCs w:val="18"/>
                <w:lang w:eastAsia="zh-CN"/>
              </w:rPr>
              <w:t>apacity</w:t>
            </w:r>
            <w:r>
              <w:rPr>
                <w:sz w:val="18"/>
                <w:szCs w:val="18"/>
                <w:lang w:eastAsia="zh-CN"/>
              </w:rPr>
              <w:t>-b</w:t>
            </w:r>
            <w:r w:rsidR="00E7045B" w:rsidRPr="00440196">
              <w:rPr>
                <w:sz w:val="18"/>
                <w:szCs w:val="18"/>
                <w:lang w:eastAsia="zh-CN"/>
              </w:rPr>
              <w:t xml:space="preserve">uilding </w:t>
            </w:r>
            <w:r>
              <w:rPr>
                <w:sz w:val="18"/>
                <w:szCs w:val="18"/>
                <w:lang w:eastAsia="zh-CN"/>
              </w:rPr>
              <w:t>p</w:t>
            </w:r>
            <w:r w:rsidR="00E7045B" w:rsidRPr="00440196">
              <w:rPr>
                <w:sz w:val="18"/>
                <w:szCs w:val="18"/>
                <w:lang w:eastAsia="zh-CN"/>
              </w:rPr>
              <w:t>roject for IPBES (deliverable 1 (a))</w:t>
            </w:r>
          </w:p>
        </w:tc>
        <w:tc>
          <w:tcPr>
            <w:tcW w:w="1232" w:type="pct"/>
            <w:shd w:val="clear" w:color="auto" w:fill="auto"/>
            <w:hideMark/>
          </w:tcPr>
          <w:p w14:paraId="0A8ACDEA"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Staff cost</w:t>
            </w:r>
          </w:p>
        </w:tc>
        <w:tc>
          <w:tcPr>
            <w:tcW w:w="797" w:type="pct"/>
            <w:gridSpan w:val="2"/>
            <w:shd w:val="clear" w:color="auto" w:fill="auto"/>
            <w:hideMark/>
          </w:tcPr>
          <w:p w14:paraId="0A0A2DA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75 000 </w:t>
            </w:r>
          </w:p>
        </w:tc>
      </w:tr>
      <w:tr w:rsidR="00E7045B" w:rsidRPr="00440196" w14:paraId="481968C4" w14:textId="77777777" w:rsidTr="006F57F3">
        <w:trPr>
          <w:cantSplit/>
          <w:trHeight w:val="57"/>
        </w:trPr>
        <w:tc>
          <w:tcPr>
            <w:tcW w:w="1333" w:type="pct"/>
            <w:gridSpan w:val="2"/>
            <w:shd w:val="clear" w:color="auto" w:fill="auto"/>
            <w:hideMark/>
          </w:tcPr>
          <w:p w14:paraId="2EBE184E"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Japan Biodiversity Fund</w:t>
            </w:r>
          </w:p>
        </w:tc>
        <w:tc>
          <w:tcPr>
            <w:tcW w:w="1639" w:type="pct"/>
            <w:shd w:val="clear" w:color="auto" w:fill="auto"/>
            <w:hideMark/>
          </w:tcPr>
          <w:p w14:paraId="4DB7343D" w14:textId="0F1CB0AB"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IGES-JBF </w:t>
            </w:r>
            <w:r w:rsidR="002062A2">
              <w:rPr>
                <w:sz w:val="18"/>
                <w:szCs w:val="18"/>
                <w:lang w:eastAsia="zh-CN"/>
              </w:rPr>
              <w:t>c</w:t>
            </w:r>
            <w:r w:rsidRPr="00440196">
              <w:rPr>
                <w:sz w:val="18"/>
                <w:szCs w:val="18"/>
                <w:lang w:eastAsia="zh-CN"/>
              </w:rPr>
              <w:t>apacity</w:t>
            </w:r>
            <w:r w:rsidR="002062A2">
              <w:rPr>
                <w:sz w:val="18"/>
                <w:szCs w:val="18"/>
                <w:lang w:eastAsia="zh-CN"/>
              </w:rPr>
              <w:t>-b</w:t>
            </w:r>
            <w:r w:rsidRPr="00440196">
              <w:rPr>
                <w:sz w:val="18"/>
                <w:szCs w:val="18"/>
                <w:lang w:eastAsia="zh-CN"/>
              </w:rPr>
              <w:t xml:space="preserve">uilding </w:t>
            </w:r>
            <w:r w:rsidR="002062A2">
              <w:rPr>
                <w:sz w:val="18"/>
                <w:szCs w:val="18"/>
                <w:lang w:eastAsia="zh-CN"/>
              </w:rPr>
              <w:t>p</w:t>
            </w:r>
            <w:r w:rsidRPr="00440196">
              <w:rPr>
                <w:sz w:val="18"/>
                <w:szCs w:val="18"/>
                <w:lang w:eastAsia="zh-CN"/>
              </w:rPr>
              <w:t>roject for IPBES (deliverable 1 (a))</w:t>
            </w:r>
          </w:p>
        </w:tc>
        <w:tc>
          <w:tcPr>
            <w:tcW w:w="1232" w:type="pct"/>
            <w:shd w:val="clear" w:color="auto" w:fill="auto"/>
            <w:hideMark/>
          </w:tcPr>
          <w:p w14:paraId="085BE214" w14:textId="06283B9E"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Capacity</w:t>
            </w:r>
            <w:r w:rsidR="00651213">
              <w:rPr>
                <w:sz w:val="18"/>
                <w:szCs w:val="18"/>
                <w:lang w:eastAsia="zh-CN"/>
              </w:rPr>
              <w:t>-</w:t>
            </w:r>
            <w:r w:rsidRPr="00440196">
              <w:rPr>
                <w:sz w:val="18"/>
                <w:szCs w:val="18"/>
                <w:lang w:eastAsia="zh-CN"/>
              </w:rPr>
              <w:t xml:space="preserve">building workshops, support </w:t>
            </w:r>
            <w:r w:rsidR="00651213">
              <w:rPr>
                <w:sz w:val="18"/>
                <w:szCs w:val="18"/>
                <w:lang w:eastAsia="zh-CN"/>
              </w:rPr>
              <w:t>for</w:t>
            </w:r>
            <w:r w:rsidR="00651213" w:rsidRPr="00440196">
              <w:rPr>
                <w:sz w:val="18"/>
                <w:szCs w:val="18"/>
                <w:lang w:eastAsia="zh-CN"/>
              </w:rPr>
              <w:t xml:space="preserve"> </w:t>
            </w:r>
            <w:proofErr w:type="spellStart"/>
            <w:r w:rsidRPr="00440196">
              <w:rPr>
                <w:sz w:val="18"/>
                <w:szCs w:val="18"/>
                <w:lang w:eastAsia="zh-CN"/>
              </w:rPr>
              <w:t>subregional</w:t>
            </w:r>
            <w:proofErr w:type="spellEnd"/>
            <w:r w:rsidRPr="00440196">
              <w:rPr>
                <w:sz w:val="18"/>
                <w:szCs w:val="18"/>
                <w:lang w:eastAsia="zh-CN"/>
              </w:rPr>
              <w:t xml:space="preserve"> dialogue workshop with indigenous and local knowledge holders</w:t>
            </w:r>
          </w:p>
        </w:tc>
        <w:tc>
          <w:tcPr>
            <w:tcW w:w="797" w:type="pct"/>
            <w:gridSpan w:val="2"/>
            <w:shd w:val="clear" w:color="auto" w:fill="auto"/>
            <w:hideMark/>
          </w:tcPr>
          <w:p w14:paraId="47FCCB8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1 000 000 </w:t>
            </w:r>
          </w:p>
        </w:tc>
      </w:tr>
      <w:tr w:rsidR="00E7045B" w:rsidRPr="00440196" w14:paraId="2F476455" w14:textId="77777777" w:rsidTr="006F57F3">
        <w:trPr>
          <w:cantSplit/>
          <w:trHeight w:val="57"/>
        </w:trPr>
        <w:tc>
          <w:tcPr>
            <w:tcW w:w="1333" w:type="pct"/>
            <w:gridSpan w:val="2"/>
            <w:shd w:val="clear" w:color="auto" w:fill="auto"/>
            <w:hideMark/>
          </w:tcPr>
          <w:p w14:paraId="11D4F5CE" w14:textId="5083CA7B"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Foundation for Research on Biodiversity</w:t>
            </w:r>
          </w:p>
        </w:tc>
        <w:tc>
          <w:tcPr>
            <w:tcW w:w="1639" w:type="pct"/>
            <w:shd w:val="clear" w:color="auto" w:fill="auto"/>
            <w:hideMark/>
          </w:tcPr>
          <w:p w14:paraId="31E6A811" w14:textId="4B50BC73"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Dialogue meeting for </w:t>
            </w:r>
            <w:r w:rsidR="00A24E36">
              <w:rPr>
                <w:sz w:val="18"/>
                <w:szCs w:val="18"/>
                <w:lang w:eastAsia="zh-CN"/>
              </w:rPr>
              <w:t xml:space="preserve">the </w:t>
            </w:r>
            <w:r w:rsidRPr="00440196">
              <w:rPr>
                <w:sz w:val="18"/>
                <w:szCs w:val="18"/>
                <w:lang w:eastAsia="zh-CN"/>
              </w:rPr>
              <w:t xml:space="preserve">establishment of </w:t>
            </w:r>
            <w:r w:rsidR="00A24E36">
              <w:rPr>
                <w:sz w:val="18"/>
                <w:szCs w:val="18"/>
                <w:lang w:eastAsia="zh-CN"/>
              </w:rPr>
              <w:t>n</w:t>
            </w:r>
            <w:r w:rsidRPr="00440196">
              <w:rPr>
                <w:sz w:val="18"/>
                <w:szCs w:val="18"/>
                <w:lang w:eastAsia="zh-CN"/>
              </w:rPr>
              <w:t xml:space="preserve">ational </w:t>
            </w:r>
            <w:r w:rsidR="00A24E36">
              <w:rPr>
                <w:sz w:val="18"/>
                <w:szCs w:val="18"/>
                <w:lang w:eastAsia="zh-CN"/>
              </w:rPr>
              <w:t>IPBES c</w:t>
            </w:r>
            <w:r w:rsidRPr="00440196">
              <w:rPr>
                <w:sz w:val="18"/>
                <w:szCs w:val="18"/>
                <w:lang w:eastAsia="zh-CN"/>
              </w:rPr>
              <w:t>ommittees in French</w:t>
            </w:r>
            <w:r w:rsidR="00A24E36">
              <w:rPr>
                <w:sz w:val="18"/>
                <w:szCs w:val="18"/>
                <w:lang w:eastAsia="zh-CN"/>
              </w:rPr>
              <w:t>-</w:t>
            </w:r>
            <w:r w:rsidRPr="00440196">
              <w:rPr>
                <w:sz w:val="18"/>
                <w:szCs w:val="18"/>
                <w:lang w:eastAsia="zh-CN"/>
              </w:rPr>
              <w:t>speaking African countries, Rabat (deliverable 1 (a))</w:t>
            </w:r>
          </w:p>
        </w:tc>
        <w:tc>
          <w:tcPr>
            <w:tcW w:w="1232" w:type="pct"/>
            <w:shd w:val="clear" w:color="auto" w:fill="auto"/>
            <w:hideMark/>
          </w:tcPr>
          <w:p w14:paraId="78CA71E8"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w:t>
            </w:r>
          </w:p>
        </w:tc>
        <w:tc>
          <w:tcPr>
            <w:tcW w:w="797" w:type="pct"/>
            <w:gridSpan w:val="2"/>
            <w:shd w:val="clear" w:color="auto" w:fill="auto"/>
            <w:hideMark/>
          </w:tcPr>
          <w:p w14:paraId="0980DA67"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12 406 </w:t>
            </w:r>
          </w:p>
        </w:tc>
      </w:tr>
      <w:tr w:rsidR="00E7045B" w:rsidRPr="00440196" w14:paraId="1FAD8FBD" w14:textId="77777777" w:rsidTr="006F57F3">
        <w:trPr>
          <w:cantSplit/>
          <w:trHeight w:val="57"/>
        </w:trPr>
        <w:tc>
          <w:tcPr>
            <w:tcW w:w="1333" w:type="pct"/>
            <w:gridSpan w:val="2"/>
            <w:shd w:val="clear" w:color="auto" w:fill="auto"/>
            <w:hideMark/>
          </w:tcPr>
          <w:p w14:paraId="60E0CC38"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Ministry of Foreign Affairs, France </w:t>
            </w:r>
          </w:p>
        </w:tc>
        <w:tc>
          <w:tcPr>
            <w:tcW w:w="1639" w:type="pct"/>
            <w:shd w:val="clear" w:color="auto" w:fill="auto"/>
            <w:hideMark/>
          </w:tcPr>
          <w:p w14:paraId="2B077B27" w14:textId="5C216FA1"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Dialogue meeting </w:t>
            </w:r>
            <w:r w:rsidR="00FA1927">
              <w:rPr>
                <w:sz w:val="18"/>
                <w:szCs w:val="18"/>
                <w:lang w:eastAsia="zh-CN"/>
              </w:rPr>
              <w:t xml:space="preserve">for the </w:t>
            </w:r>
            <w:r w:rsidRPr="00440196">
              <w:rPr>
                <w:sz w:val="18"/>
                <w:szCs w:val="18"/>
                <w:lang w:eastAsia="zh-CN"/>
              </w:rPr>
              <w:t xml:space="preserve">establishment of </w:t>
            </w:r>
            <w:r w:rsidR="00FA1927">
              <w:rPr>
                <w:sz w:val="18"/>
                <w:szCs w:val="18"/>
                <w:lang w:eastAsia="zh-CN"/>
              </w:rPr>
              <w:t>n</w:t>
            </w:r>
            <w:r w:rsidRPr="00440196">
              <w:rPr>
                <w:sz w:val="18"/>
                <w:szCs w:val="18"/>
                <w:lang w:eastAsia="zh-CN"/>
              </w:rPr>
              <w:t xml:space="preserve">ational </w:t>
            </w:r>
            <w:r w:rsidR="00FA1927">
              <w:rPr>
                <w:sz w:val="18"/>
                <w:szCs w:val="18"/>
                <w:lang w:eastAsia="zh-CN"/>
              </w:rPr>
              <w:t xml:space="preserve">IPBES </w:t>
            </w:r>
            <w:r w:rsidRPr="00440196">
              <w:rPr>
                <w:sz w:val="18"/>
                <w:szCs w:val="18"/>
                <w:lang w:eastAsia="zh-CN"/>
              </w:rPr>
              <w:t>C</w:t>
            </w:r>
            <w:r w:rsidR="002A67B9">
              <w:rPr>
                <w:sz w:val="18"/>
                <w:szCs w:val="18"/>
                <w:lang w:eastAsia="zh-CN"/>
              </w:rPr>
              <w:t>o</w:t>
            </w:r>
            <w:r w:rsidRPr="00440196">
              <w:rPr>
                <w:sz w:val="18"/>
                <w:szCs w:val="18"/>
                <w:lang w:eastAsia="zh-CN"/>
              </w:rPr>
              <w:t>mmittees in French speaking African countries, Rabat (deliverable 1 (a))</w:t>
            </w:r>
          </w:p>
        </w:tc>
        <w:tc>
          <w:tcPr>
            <w:tcW w:w="1232" w:type="pct"/>
            <w:shd w:val="clear" w:color="auto" w:fill="auto"/>
            <w:hideMark/>
          </w:tcPr>
          <w:p w14:paraId="590C55D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w:t>
            </w:r>
          </w:p>
        </w:tc>
        <w:tc>
          <w:tcPr>
            <w:tcW w:w="797" w:type="pct"/>
            <w:gridSpan w:val="2"/>
            <w:shd w:val="clear" w:color="auto" w:fill="auto"/>
            <w:hideMark/>
          </w:tcPr>
          <w:p w14:paraId="49460EA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22 297 </w:t>
            </w:r>
          </w:p>
        </w:tc>
      </w:tr>
      <w:tr w:rsidR="00E7045B" w:rsidRPr="00440196" w14:paraId="1CC41B08" w14:textId="77777777" w:rsidTr="006F57F3">
        <w:trPr>
          <w:cantSplit/>
          <w:trHeight w:val="57"/>
        </w:trPr>
        <w:tc>
          <w:tcPr>
            <w:tcW w:w="1333" w:type="pct"/>
            <w:gridSpan w:val="2"/>
            <w:shd w:val="clear" w:color="auto" w:fill="auto"/>
            <w:hideMark/>
          </w:tcPr>
          <w:p w14:paraId="6070026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United Nations Development Programme</w:t>
            </w:r>
          </w:p>
        </w:tc>
        <w:tc>
          <w:tcPr>
            <w:tcW w:w="1639" w:type="pct"/>
            <w:shd w:val="clear" w:color="auto" w:fill="auto"/>
            <w:hideMark/>
          </w:tcPr>
          <w:p w14:paraId="4419F55A" w14:textId="09C46B87"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Technical support for capacity-building in the context of </w:t>
            </w:r>
            <w:r w:rsidR="00821D03">
              <w:rPr>
                <w:sz w:val="18"/>
                <w:szCs w:val="18"/>
                <w:lang w:eastAsia="zh-CN"/>
              </w:rPr>
              <w:t>the Biodiversity and Ecosystem Services Network</w:t>
            </w:r>
            <w:r w:rsidRPr="00440196">
              <w:rPr>
                <w:sz w:val="18"/>
                <w:szCs w:val="18"/>
                <w:lang w:eastAsia="zh-CN"/>
              </w:rPr>
              <w:t xml:space="preserve"> (deliverables 1 (a) and (b))</w:t>
            </w:r>
          </w:p>
        </w:tc>
        <w:tc>
          <w:tcPr>
            <w:tcW w:w="1232" w:type="pct"/>
            <w:shd w:val="clear" w:color="auto" w:fill="auto"/>
            <w:hideMark/>
          </w:tcPr>
          <w:p w14:paraId="32E64AC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97" w:type="pct"/>
            <w:gridSpan w:val="2"/>
            <w:shd w:val="clear" w:color="auto" w:fill="auto"/>
            <w:hideMark/>
          </w:tcPr>
          <w:p w14:paraId="47D04A6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390 000 </w:t>
            </w:r>
          </w:p>
        </w:tc>
      </w:tr>
      <w:tr w:rsidR="00E7045B" w:rsidRPr="00440196" w14:paraId="78EFE4B7" w14:textId="77777777" w:rsidTr="006F57F3">
        <w:trPr>
          <w:cantSplit/>
          <w:trHeight w:val="57"/>
        </w:trPr>
        <w:tc>
          <w:tcPr>
            <w:tcW w:w="1333" w:type="pct"/>
            <w:gridSpan w:val="2"/>
            <w:shd w:val="clear" w:color="auto" w:fill="auto"/>
            <w:noWrap/>
            <w:hideMark/>
          </w:tcPr>
          <w:p w14:paraId="2A4DB6C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Switzerland </w:t>
            </w:r>
          </w:p>
        </w:tc>
        <w:tc>
          <w:tcPr>
            <w:tcW w:w="1639" w:type="pct"/>
            <w:shd w:val="clear" w:color="auto" w:fill="auto"/>
            <w:hideMark/>
          </w:tcPr>
          <w:p w14:paraId="026ADFD2" w14:textId="6609FCAF"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Second meeting of the European and Central Asian expert group, </w:t>
            </w:r>
            <w:proofErr w:type="spellStart"/>
            <w:r w:rsidRPr="00440196">
              <w:rPr>
                <w:sz w:val="18"/>
                <w:szCs w:val="18"/>
                <w:lang w:eastAsia="zh-CN"/>
              </w:rPr>
              <w:t>Zadar</w:t>
            </w:r>
            <w:proofErr w:type="spellEnd"/>
            <w:r w:rsidR="00821D03">
              <w:rPr>
                <w:sz w:val="18"/>
                <w:szCs w:val="18"/>
                <w:lang w:eastAsia="zh-CN"/>
              </w:rPr>
              <w:t>, Croatia</w:t>
            </w:r>
            <w:r w:rsidRPr="00440196">
              <w:rPr>
                <w:sz w:val="18"/>
                <w:szCs w:val="18"/>
                <w:lang w:eastAsia="zh-CN"/>
              </w:rPr>
              <w:t xml:space="preserve"> (deliverable 2 (b))</w:t>
            </w:r>
          </w:p>
        </w:tc>
        <w:tc>
          <w:tcPr>
            <w:tcW w:w="1232" w:type="pct"/>
            <w:shd w:val="clear" w:color="auto" w:fill="auto"/>
            <w:hideMark/>
          </w:tcPr>
          <w:p w14:paraId="59192CBE"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accommodation, meeting facilities and local support </w:t>
            </w:r>
          </w:p>
        </w:tc>
        <w:tc>
          <w:tcPr>
            <w:tcW w:w="797" w:type="pct"/>
            <w:gridSpan w:val="2"/>
            <w:shd w:val="clear" w:color="auto" w:fill="auto"/>
            <w:noWrap/>
            <w:hideMark/>
          </w:tcPr>
          <w:p w14:paraId="35D64A5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54 372 </w:t>
            </w:r>
          </w:p>
        </w:tc>
      </w:tr>
      <w:tr w:rsidR="00E7045B" w:rsidRPr="00440196" w14:paraId="1C6A7ED7" w14:textId="77777777" w:rsidTr="006F57F3">
        <w:trPr>
          <w:cantSplit/>
          <w:trHeight w:val="57"/>
        </w:trPr>
        <w:tc>
          <w:tcPr>
            <w:tcW w:w="1333" w:type="pct"/>
            <w:gridSpan w:val="2"/>
            <w:shd w:val="clear" w:color="auto" w:fill="auto"/>
            <w:noWrap/>
            <w:hideMark/>
          </w:tcPr>
          <w:p w14:paraId="26264841" w14:textId="77777777" w:rsidR="00E7045B" w:rsidRPr="007831BB" w:rsidRDefault="00E7045B" w:rsidP="00440196">
            <w:pPr>
              <w:widowControl w:val="0"/>
              <w:tabs>
                <w:tab w:val="left" w:pos="6480"/>
                <w:tab w:val="left" w:pos="7200"/>
              </w:tabs>
              <w:spacing w:before="40" w:after="40"/>
              <w:rPr>
                <w:sz w:val="18"/>
                <w:szCs w:val="18"/>
                <w:lang w:eastAsia="zh-CN"/>
              </w:rPr>
            </w:pPr>
            <w:proofErr w:type="spellStart"/>
            <w:r w:rsidRPr="00440196">
              <w:rPr>
                <w:sz w:val="18"/>
                <w:szCs w:val="18"/>
                <w:lang w:eastAsia="zh-CN"/>
              </w:rPr>
              <w:t>SwedBio</w:t>
            </w:r>
            <w:proofErr w:type="spellEnd"/>
            <w:r w:rsidRPr="00440196">
              <w:rPr>
                <w:sz w:val="18"/>
                <w:szCs w:val="18"/>
                <w:lang w:eastAsia="zh-CN"/>
              </w:rPr>
              <w:t xml:space="preserve"> and Council for Scientific and Industrial Research </w:t>
            </w:r>
          </w:p>
        </w:tc>
        <w:tc>
          <w:tcPr>
            <w:tcW w:w="1639" w:type="pct"/>
            <w:shd w:val="clear" w:color="auto" w:fill="auto"/>
            <w:hideMark/>
          </w:tcPr>
          <w:p w14:paraId="25AE9E30" w14:textId="4F5DCD12"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African </w:t>
            </w:r>
            <w:r w:rsidR="00821D03">
              <w:rPr>
                <w:sz w:val="18"/>
                <w:szCs w:val="18"/>
                <w:lang w:eastAsia="zh-CN"/>
              </w:rPr>
              <w:t>v</w:t>
            </w:r>
            <w:r w:rsidRPr="00440196">
              <w:rPr>
                <w:sz w:val="18"/>
                <w:szCs w:val="18"/>
                <w:lang w:eastAsia="zh-CN"/>
              </w:rPr>
              <w:t xml:space="preserve">alues </w:t>
            </w:r>
            <w:r w:rsidR="00821D03">
              <w:rPr>
                <w:sz w:val="18"/>
                <w:szCs w:val="18"/>
                <w:lang w:eastAsia="zh-CN"/>
              </w:rPr>
              <w:t>w</w:t>
            </w:r>
            <w:r w:rsidRPr="00440196">
              <w:rPr>
                <w:sz w:val="18"/>
                <w:szCs w:val="18"/>
                <w:lang w:eastAsia="zh-CN"/>
              </w:rPr>
              <w:t>orkshop (deliverable 3 (d))</w:t>
            </w:r>
          </w:p>
        </w:tc>
        <w:tc>
          <w:tcPr>
            <w:tcW w:w="1232" w:type="pct"/>
            <w:shd w:val="clear" w:color="auto" w:fill="auto"/>
            <w:hideMark/>
          </w:tcPr>
          <w:p w14:paraId="36F7503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accommodation, meeting facilities and local support </w:t>
            </w:r>
          </w:p>
        </w:tc>
        <w:tc>
          <w:tcPr>
            <w:tcW w:w="797" w:type="pct"/>
            <w:gridSpan w:val="2"/>
            <w:shd w:val="clear" w:color="auto" w:fill="auto"/>
            <w:noWrap/>
            <w:hideMark/>
          </w:tcPr>
          <w:p w14:paraId="48CDDB7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77 343 </w:t>
            </w:r>
          </w:p>
        </w:tc>
      </w:tr>
      <w:tr w:rsidR="00E7045B" w:rsidRPr="00440196" w14:paraId="6CB07E24" w14:textId="77777777" w:rsidTr="006F57F3">
        <w:trPr>
          <w:cantSplit/>
          <w:trHeight w:val="57"/>
        </w:trPr>
        <w:tc>
          <w:tcPr>
            <w:tcW w:w="1333" w:type="pct"/>
            <w:gridSpan w:val="2"/>
            <w:shd w:val="clear" w:color="auto" w:fill="auto"/>
            <w:noWrap/>
            <w:hideMark/>
          </w:tcPr>
          <w:p w14:paraId="3C90C091" w14:textId="77777777" w:rsidR="00E7045B" w:rsidRPr="007831BB" w:rsidRDefault="00E7045B" w:rsidP="00440196">
            <w:pPr>
              <w:widowControl w:val="0"/>
              <w:tabs>
                <w:tab w:val="left" w:pos="6480"/>
                <w:tab w:val="left" w:pos="7200"/>
              </w:tabs>
              <w:spacing w:before="40" w:after="40"/>
              <w:rPr>
                <w:sz w:val="18"/>
                <w:szCs w:val="18"/>
                <w:lang w:eastAsia="zh-CN"/>
              </w:rPr>
            </w:pPr>
            <w:proofErr w:type="spellStart"/>
            <w:r w:rsidRPr="00440196">
              <w:rPr>
                <w:sz w:val="18"/>
                <w:szCs w:val="18"/>
                <w:lang w:eastAsia="zh-CN"/>
              </w:rPr>
              <w:t>SwedBio</w:t>
            </w:r>
            <w:proofErr w:type="spellEnd"/>
            <w:r w:rsidRPr="00440196">
              <w:rPr>
                <w:sz w:val="18"/>
                <w:szCs w:val="18"/>
                <w:lang w:eastAsia="zh-CN"/>
              </w:rPr>
              <w:t xml:space="preserve"> and Humboldt Institute</w:t>
            </w:r>
          </w:p>
        </w:tc>
        <w:tc>
          <w:tcPr>
            <w:tcW w:w="1639" w:type="pct"/>
            <w:shd w:val="clear" w:color="auto" w:fill="auto"/>
            <w:hideMark/>
          </w:tcPr>
          <w:p w14:paraId="183858F0" w14:textId="5C90F9C3"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Latin American </w:t>
            </w:r>
            <w:r w:rsidR="00821D03">
              <w:rPr>
                <w:sz w:val="18"/>
                <w:szCs w:val="18"/>
                <w:lang w:eastAsia="zh-CN"/>
              </w:rPr>
              <w:t>v</w:t>
            </w:r>
            <w:r w:rsidRPr="00440196">
              <w:rPr>
                <w:sz w:val="18"/>
                <w:szCs w:val="18"/>
                <w:lang w:eastAsia="zh-CN"/>
              </w:rPr>
              <w:t xml:space="preserve">alues </w:t>
            </w:r>
            <w:r w:rsidR="00821D03">
              <w:rPr>
                <w:sz w:val="18"/>
                <w:szCs w:val="18"/>
                <w:lang w:eastAsia="zh-CN"/>
              </w:rPr>
              <w:t>w</w:t>
            </w:r>
            <w:r w:rsidRPr="00440196">
              <w:rPr>
                <w:sz w:val="18"/>
                <w:szCs w:val="18"/>
                <w:lang w:eastAsia="zh-CN"/>
              </w:rPr>
              <w:t>orkshop (deliverable 3 (d))</w:t>
            </w:r>
          </w:p>
        </w:tc>
        <w:tc>
          <w:tcPr>
            <w:tcW w:w="1232" w:type="pct"/>
            <w:shd w:val="clear" w:color="auto" w:fill="auto"/>
            <w:hideMark/>
          </w:tcPr>
          <w:p w14:paraId="44B8B5F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accommodation, meeting facilities and local support </w:t>
            </w:r>
          </w:p>
        </w:tc>
        <w:tc>
          <w:tcPr>
            <w:tcW w:w="797" w:type="pct"/>
            <w:gridSpan w:val="2"/>
            <w:shd w:val="clear" w:color="auto" w:fill="auto"/>
            <w:noWrap/>
            <w:hideMark/>
          </w:tcPr>
          <w:p w14:paraId="7D2AC40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75 792 </w:t>
            </w:r>
          </w:p>
        </w:tc>
      </w:tr>
      <w:tr w:rsidR="00E7045B" w:rsidRPr="00440196" w14:paraId="36016916" w14:textId="77777777" w:rsidTr="006F57F3">
        <w:trPr>
          <w:cantSplit/>
          <w:trHeight w:val="57"/>
        </w:trPr>
        <w:tc>
          <w:tcPr>
            <w:tcW w:w="1333" w:type="pct"/>
            <w:gridSpan w:val="2"/>
            <w:shd w:val="clear" w:color="auto" w:fill="auto"/>
            <w:noWrap/>
            <w:hideMark/>
          </w:tcPr>
          <w:p w14:paraId="49E40D4F" w14:textId="166A1EF7" w:rsidR="00E7045B" w:rsidRPr="007831BB" w:rsidRDefault="00E7045B" w:rsidP="00440196">
            <w:pPr>
              <w:widowControl w:val="0"/>
              <w:tabs>
                <w:tab w:val="left" w:pos="6480"/>
                <w:tab w:val="left" w:pos="7200"/>
              </w:tabs>
              <w:spacing w:before="40" w:after="40"/>
              <w:rPr>
                <w:sz w:val="18"/>
                <w:szCs w:val="18"/>
                <w:lang w:eastAsia="zh-CN"/>
              </w:rPr>
            </w:pPr>
            <w:proofErr w:type="spellStart"/>
            <w:r w:rsidRPr="00440196">
              <w:rPr>
                <w:sz w:val="18"/>
                <w:szCs w:val="18"/>
                <w:lang w:eastAsia="zh-CN"/>
              </w:rPr>
              <w:t>SwedBio</w:t>
            </w:r>
            <w:proofErr w:type="spellEnd"/>
            <w:r w:rsidRPr="00440196">
              <w:rPr>
                <w:sz w:val="18"/>
                <w:szCs w:val="18"/>
                <w:lang w:eastAsia="zh-CN"/>
              </w:rPr>
              <w:t xml:space="preserve"> and Wildlife Institute of India</w:t>
            </w:r>
          </w:p>
        </w:tc>
        <w:tc>
          <w:tcPr>
            <w:tcW w:w="1639" w:type="pct"/>
            <w:shd w:val="clear" w:color="auto" w:fill="auto"/>
            <w:hideMark/>
          </w:tcPr>
          <w:p w14:paraId="4CDF6EA2" w14:textId="40CA9FF5"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Asia Pacific </w:t>
            </w:r>
            <w:r w:rsidR="00821D03">
              <w:rPr>
                <w:sz w:val="18"/>
                <w:szCs w:val="18"/>
                <w:lang w:eastAsia="zh-CN"/>
              </w:rPr>
              <w:t>v</w:t>
            </w:r>
            <w:r w:rsidRPr="00440196">
              <w:rPr>
                <w:sz w:val="18"/>
                <w:szCs w:val="18"/>
                <w:lang w:eastAsia="zh-CN"/>
              </w:rPr>
              <w:t xml:space="preserve">alues </w:t>
            </w:r>
            <w:r w:rsidR="00821D03">
              <w:rPr>
                <w:sz w:val="18"/>
                <w:szCs w:val="18"/>
                <w:lang w:eastAsia="zh-CN"/>
              </w:rPr>
              <w:t>w</w:t>
            </w:r>
            <w:r w:rsidRPr="00440196">
              <w:rPr>
                <w:sz w:val="18"/>
                <w:szCs w:val="18"/>
                <w:lang w:eastAsia="zh-CN"/>
              </w:rPr>
              <w:t>orkshop (deliverable 3 (d))</w:t>
            </w:r>
          </w:p>
        </w:tc>
        <w:tc>
          <w:tcPr>
            <w:tcW w:w="1232" w:type="pct"/>
            <w:shd w:val="clear" w:color="auto" w:fill="auto"/>
            <w:hideMark/>
          </w:tcPr>
          <w:p w14:paraId="32A41C0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accommodation, meeting facilities and local support </w:t>
            </w:r>
          </w:p>
        </w:tc>
        <w:tc>
          <w:tcPr>
            <w:tcW w:w="797" w:type="pct"/>
            <w:gridSpan w:val="2"/>
            <w:shd w:val="clear" w:color="auto" w:fill="auto"/>
            <w:noWrap/>
            <w:hideMark/>
          </w:tcPr>
          <w:p w14:paraId="5CD36CCA"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62 985 </w:t>
            </w:r>
          </w:p>
        </w:tc>
      </w:tr>
      <w:tr w:rsidR="00E7045B" w:rsidRPr="00440196" w14:paraId="273F9E78" w14:textId="77777777" w:rsidTr="006F57F3">
        <w:trPr>
          <w:cantSplit/>
          <w:trHeight w:val="57"/>
        </w:trPr>
        <w:tc>
          <w:tcPr>
            <w:tcW w:w="1333" w:type="pct"/>
            <w:gridSpan w:val="2"/>
            <w:shd w:val="clear" w:color="auto" w:fill="auto"/>
            <w:noWrap/>
            <w:hideMark/>
          </w:tcPr>
          <w:p w14:paraId="6F293373" w14:textId="386745FB" w:rsidR="00E7045B" w:rsidRPr="007831BB" w:rsidRDefault="00E7045B" w:rsidP="00440196">
            <w:pPr>
              <w:widowControl w:val="0"/>
              <w:tabs>
                <w:tab w:val="left" w:pos="6480"/>
                <w:tab w:val="left" w:pos="7200"/>
              </w:tabs>
              <w:spacing w:before="40" w:after="40"/>
              <w:rPr>
                <w:sz w:val="18"/>
                <w:szCs w:val="18"/>
                <w:lang w:eastAsia="zh-CN"/>
              </w:rPr>
            </w:pPr>
            <w:proofErr w:type="spellStart"/>
            <w:r w:rsidRPr="00440196">
              <w:rPr>
                <w:sz w:val="18"/>
                <w:szCs w:val="18"/>
                <w:lang w:eastAsia="zh-CN"/>
              </w:rPr>
              <w:t>SwedBio</w:t>
            </w:r>
            <w:proofErr w:type="spellEnd"/>
            <w:r w:rsidRPr="00440196">
              <w:rPr>
                <w:sz w:val="18"/>
                <w:szCs w:val="18"/>
                <w:lang w:eastAsia="zh-CN"/>
              </w:rPr>
              <w:t xml:space="preserve"> to </w:t>
            </w:r>
            <w:r w:rsidR="00D84C5E">
              <w:rPr>
                <w:sz w:val="18"/>
                <w:szCs w:val="18"/>
                <w:lang w:eastAsia="zh-CN"/>
              </w:rPr>
              <w:t>Forest Peoples Programme (FPP)</w:t>
            </w:r>
          </w:p>
        </w:tc>
        <w:tc>
          <w:tcPr>
            <w:tcW w:w="1639" w:type="pct"/>
            <w:shd w:val="clear" w:color="auto" w:fill="auto"/>
            <w:hideMark/>
          </w:tcPr>
          <w:p w14:paraId="1AA7C767" w14:textId="7D2153B1" w:rsidR="00E7045B" w:rsidRPr="00160BD4" w:rsidRDefault="00E7045B">
            <w:pPr>
              <w:widowControl w:val="0"/>
              <w:tabs>
                <w:tab w:val="left" w:pos="6480"/>
                <w:tab w:val="left" w:pos="7200"/>
              </w:tabs>
              <w:spacing w:before="40" w:after="40"/>
              <w:rPr>
                <w:sz w:val="18"/>
                <w:szCs w:val="18"/>
                <w:lang w:eastAsia="zh-CN"/>
              </w:rPr>
            </w:pPr>
            <w:r w:rsidRPr="00160BD4">
              <w:rPr>
                <w:sz w:val="18"/>
                <w:szCs w:val="18"/>
                <w:lang w:eastAsia="zh-CN"/>
              </w:rPr>
              <w:t>Travel fund</w:t>
            </w:r>
            <w:r w:rsidR="00D84C5E" w:rsidRPr="00160BD4">
              <w:rPr>
                <w:sz w:val="18"/>
                <w:szCs w:val="18"/>
                <w:lang w:eastAsia="zh-CN"/>
              </w:rPr>
              <w:t>s</w:t>
            </w:r>
            <w:r w:rsidRPr="00160BD4">
              <w:rPr>
                <w:sz w:val="18"/>
                <w:szCs w:val="18"/>
                <w:lang w:eastAsia="zh-CN"/>
              </w:rPr>
              <w:t xml:space="preserve"> </w:t>
            </w:r>
            <w:r w:rsidR="00D84C5E" w:rsidRPr="00160BD4">
              <w:rPr>
                <w:sz w:val="18"/>
                <w:szCs w:val="18"/>
                <w:lang w:eastAsia="zh-CN"/>
              </w:rPr>
              <w:t>to allow members of the FPP</w:t>
            </w:r>
            <w:r w:rsidRPr="00160BD4">
              <w:rPr>
                <w:sz w:val="18"/>
                <w:szCs w:val="18"/>
                <w:lang w:eastAsia="zh-CN"/>
              </w:rPr>
              <w:t xml:space="preserve"> to </w:t>
            </w:r>
            <w:r w:rsidR="00D84C5E" w:rsidRPr="00160BD4">
              <w:rPr>
                <w:sz w:val="18"/>
                <w:szCs w:val="18"/>
                <w:lang w:eastAsia="zh-CN"/>
              </w:rPr>
              <w:t xml:space="preserve">attend </w:t>
            </w:r>
            <w:r w:rsidRPr="00160BD4">
              <w:rPr>
                <w:sz w:val="18"/>
                <w:szCs w:val="18"/>
                <w:lang w:eastAsia="zh-CN"/>
              </w:rPr>
              <w:t>IPBES</w:t>
            </w:r>
            <w:r w:rsidR="00D84C5E" w:rsidRPr="00160BD4">
              <w:rPr>
                <w:sz w:val="18"/>
                <w:szCs w:val="18"/>
                <w:lang w:eastAsia="zh-CN"/>
              </w:rPr>
              <w:t xml:space="preserve"> meetings</w:t>
            </w:r>
            <w:r w:rsidR="006D6F34" w:rsidRPr="00160BD4">
              <w:rPr>
                <w:sz w:val="18"/>
                <w:szCs w:val="18"/>
                <w:lang w:eastAsia="zh-CN"/>
              </w:rPr>
              <w:t xml:space="preserve"> </w:t>
            </w:r>
          </w:p>
        </w:tc>
        <w:tc>
          <w:tcPr>
            <w:tcW w:w="1232" w:type="pct"/>
            <w:shd w:val="clear" w:color="auto" w:fill="auto"/>
            <w:hideMark/>
          </w:tcPr>
          <w:p w14:paraId="3199813A"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Travel, accommodation, meeting facilities and local support</w:t>
            </w:r>
          </w:p>
        </w:tc>
        <w:tc>
          <w:tcPr>
            <w:tcW w:w="797" w:type="pct"/>
            <w:gridSpan w:val="2"/>
            <w:shd w:val="clear" w:color="auto" w:fill="auto"/>
            <w:noWrap/>
            <w:hideMark/>
          </w:tcPr>
          <w:p w14:paraId="68FF5A7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19 000 </w:t>
            </w:r>
          </w:p>
        </w:tc>
      </w:tr>
      <w:tr w:rsidR="00E7045B" w:rsidRPr="00440196" w14:paraId="09BC225B" w14:textId="77777777" w:rsidTr="006F57F3">
        <w:trPr>
          <w:cantSplit/>
          <w:trHeight w:val="57"/>
        </w:trPr>
        <w:tc>
          <w:tcPr>
            <w:tcW w:w="1333" w:type="pct"/>
            <w:gridSpan w:val="2"/>
            <w:shd w:val="clear" w:color="auto" w:fill="auto"/>
            <w:noWrap/>
            <w:hideMark/>
          </w:tcPr>
          <w:p w14:paraId="4EAF1D63" w14:textId="77777777" w:rsidR="00E7045B" w:rsidRPr="007831BB" w:rsidRDefault="00E7045B" w:rsidP="00440196">
            <w:pPr>
              <w:widowControl w:val="0"/>
              <w:tabs>
                <w:tab w:val="left" w:pos="6480"/>
                <w:tab w:val="left" w:pos="7200"/>
              </w:tabs>
              <w:spacing w:before="40" w:after="40"/>
              <w:rPr>
                <w:sz w:val="18"/>
                <w:szCs w:val="18"/>
                <w:lang w:eastAsia="zh-CN"/>
              </w:rPr>
            </w:pPr>
            <w:proofErr w:type="spellStart"/>
            <w:r w:rsidRPr="00440196">
              <w:rPr>
                <w:sz w:val="18"/>
                <w:szCs w:val="18"/>
                <w:lang w:eastAsia="zh-CN"/>
              </w:rPr>
              <w:t>SwedBio</w:t>
            </w:r>
            <w:proofErr w:type="spellEnd"/>
          </w:p>
        </w:tc>
        <w:tc>
          <w:tcPr>
            <w:tcW w:w="1639" w:type="pct"/>
            <w:shd w:val="clear" w:color="auto" w:fill="auto"/>
            <w:hideMark/>
          </w:tcPr>
          <w:p w14:paraId="2F0736DB" w14:textId="1C3006DB" w:rsidR="00E7045B" w:rsidRPr="00160BD4" w:rsidRDefault="00D84C5E">
            <w:pPr>
              <w:widowControl w:val="0"/>
              <w:tabs>
                <w:tab w:val="left" w:pos="6480"/>
                <w:tab w:val="left" w:pos="7200"/>
              </w:tabs>
              <w:spacing w:before="40" w:after="40"/>
              <w:rPr>
                <w:b/>
                <w:sz w:val="18"/>
              </w:rPr>
            </w:pPr>
            <w:r w:rsidRPr="00160BD4">
              <w:rPr>
                <w:sz w:val="18"/>
              </w:rPr>
              <w:t xml:space="preserve">Support </w:t>
            </w:r>
            <w:r w:rsidR="006C5428">
              <w:rPr>
                <w:sz w:val="18"/>
              </w:rPr>
              <w:t>for</w:t>
            </w:r>
            <w:r w:rsidRPr="00160BD4">
              <w:rPr>
                <w:sz w:val="18"/>
              </w:rPr>
              <w:t xml:space="preserve"> </w:t>
            </w:r>
            <w:r w:rsidR="00E7045B" w:rsidRPr="006C5428">
              <w:rPr>
                <w:sz w:val="18"/>
              </w:rPr>
              <w:t>UNDP/BES-Net</w:t>
            </w:r>
          </w:p>
        </w:tc>
        <w:tc>
          <w:tcPr>
            <w:tcW w:w="1232" w:type="pct"/>
            <w:shd w:val="clear" w:color="auto" w:fill="auto"/>
            <w:hideMark/>
          </w:tcPr>
          <w:p w14:paraId="42D04BDF" w14:textId="29B487DA" w:rsidR="00E7045B" w:rsidRPr="00160BD4" w:rsidRDefault="00D84C5E">
            <w:pPr>
              <w:widowControl w:val="0"/>
              <w:tabs>
                <w:tab w:val="left" w:pos="6480"/>
                <w:tab w:val="left" w:pos="7200"/>
              </w:tabs>
              <w:spacing w:before="40" w:after="40"/>
              <w:rPr>
                <w:b/>
                <w:sz w:val="18"/>
              </w:rPr>
            </w:pPr>
            <w:r>
              <w:rPr>
                <w:sz w:val="18"/>
                <w:szCs w:val="18"/>
                <w:lang w:eastAsia="zh-CN"/>
              </w:rPr>
              <w:t>Web site</w:t>
            </w:r>
          </w:p>
        </w:tc>
        <w:tc>
          <w:tcPr>
            <w:tcW w:w="797" w:type="pct"/>
            <w:gridSpan w:val="2"/>
            <w:shd w:val="clear" w:color="auto" w:fill="auto"/>
            <w:noWrap/>
            <w:hideMark/>
          </w:tcPr>
          <w:p w14:paraId="4BFB7B7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50 000 </w:t>
            </w:r>
          </w:p>
        </w:tc>
      </w:tr>
      <w:tr w:rsidR="00E7045B" w:rsidRPr="00440196" w14:paraId="51B1F73C" w14:textId="77777777" w:rsidTr="006F57F3">
        <w:trPr>
          <w:cantSplit/>
          <w:trHeight w:val="57"/>
        </w:trPr>
        <w:tc>
          <w:tcPr>
            <w:tcW w:w="1333" w:type="pct"/>
            <w:gridSpan w:val="2"/>
            <w:shd w:val="clear" w:color="auto" w:fill="auto"/>
            <w:noWrap/>
            <w:hideMark/>
          </w:tcPr>
          <w:p w14:paraId="117EB149" w14:textId="77777777" w:rsidR="00E7045B" w:rsidRPr="007831BB" w:rsidRDefault="00E7045B" w:rsidP="00440196">
            <w:pPr>
              <w:widowControl w:val="0"/>
              <w:tabs>
                <w:tab w:val="left" w:pos="6480"/>
                <w:tab w:val="left" w:pos="7200"/>
              </w:tabs>
              <w:spacing w:before="40" w:after="40"/>
              <w:rPr>
                <w:sz w:val="18"/>
                <w:szCs w:val="18"/>
                <w:lang w:eastAsia="zh-CN"/>
              </w:rPr>
            </w:pPr>
            <w:proofErr w:type="spellStart"/>
            <w:r w:rsidRPr="00440196">
              <w:rPr>
                <w:sz w:val="18"/>
                <w:szCs w:val="18"/>
                <w:lang w:eastAsia="zh-CN"/>
              </w:rPr>
              <w:t>Oppla</w:t>
            </w:r>
            <w:proofErr w:type="spellEnd"/>
          </w:p>
        </w:tc>
        <w:tc>
          <w:tcPr>
            <w:tcW w:w="1639" w:type="pct"/>
            <w:shd w:val="clear" w:color="auto" w:fill="auto"/>
            <w:hideMark/>
          </w:tcPr>
          <w:p w14:paraId="44640826" w14:textId="0DCC827A"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Provision of ready to use web architecture as </w:t>
            </w:r>
            <w:r w:rsidR="002D319B">
              <w:rPr>
                <w:sz w:val="18"/>
                <w:szCs w:val="18"/>
                <w:lang w:eastAsia="zh-CN"/>
              </w:rPr>
              <w:t xml:space="preserve">a </w:t>
            </w:r>
            <w:r w:rsidRPr="00440196">
              <w:rPr>
                <w:sz w:val="18"/>
                <w:szCs w:val="18"/>
                <w:lang w:eastAsia="zh-CN"/>
              </w:rPr>
              <w:t>basis for the catalogue of policy support tools and methodologies (deliverables 4 (c)</w:t>
            </w:r>
          </w:p>
        </w:tc>
        <w:tc>
          <w:tcPr>
            <w:tcW w:w="1232" w:type="pct"/>
            <w:shd w:val="clear" w:color="auto" w:fill="auto"/>
            <w:hideMark/>
          </w:tcPr>
          <w:p w14:paraId="4C997059" w14:textId="0032B0FE"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Software and technical support</w:t>
            </w:r>
          </w:p>
        </w:tc>
        <w:tc>
          <w:tcPr>
            <w:tcW w:w="797" w:type="pct"/>
            <w:gridSpan w:val="2"/>
            <w:shd w:val="clear" w:color="auto" w:fill="auto"/>
            <w:noWrap/>
            <w:hideMark/>
          </w:tcPr>
          <w:p w14:paraId="3577D84E"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E7045B" w:rsidRPr="00440196" w14:paraId="5604F352" w14:textId="77777777" w:rsidTr="006F57F3">
        <w:trPr>
          <w:cantSplit/>
          <w:trHeight w:val="57"/>
        </w:trPr>
        <w:tc>
          <w:tcPr>
            <w:tcW w:w="1333" w:type="pct"/>
            <w:gridSpan w:val="2"/>
            <w:shd w:val="clear" w:color="auto" w:fill="auto"/>
            <w:noWrap/>
            <w:hideMark/>
          </w:tcPr>
          <w:p w14:paraId="33669CE7" w14:textId="79B63259" w:rsidR="00E7045B" w:rsidRPr="007831BB" w:rsidRDefault="00B97D30" w:rsidP="00440196">
            <w:pPr>
              <w:widowControl w:val="0"/>
              <w:tabs>
                <w:tab w:val="left" w:pos="6480"/>
                <w:tab w:val="left" w:pos="7200"/>
              </w:tabs>
              <w:spacing w:before="40" w:after="40"/>
              <w:rPr>
                <w:sz w:val="18"/>
                <w:szCs w:val="18"/>
                <w:lang w:eastAsia="zh-CN"/>
              </w:rPr>
            </w:pPr>
            <w:r>
              <w:rPr>
                <w:sz w:val="18"/>
                <w:szCs w:val="18"/>
                <w:lang w:eastAsia="zh-CN"/>
              </w:rPr>
              <w:t>International Union for Conservation of Nature (</w:t>
            </w:r>
            <w:r w:rsidR="00E7045B" w:rsidRPr="00440196">
              <w:rPr>
                <w:sz w:val="18"/>
                <w:szCs w:val="18"/>
                <w:lang w:eastAsia="zh-CN"/>
              </w:rPr>
              <w:t>IUCN</w:t>
            </w:r>
            <w:r>
              <w:rPr>
                <w:sz w:val="18"/>
                <w:szCs w:val="18"/>
                <w:lang w:eastAsia="zh-CN"/>
              </w:rPr>
              <w:t>)</w:t>
            </w:r>
          </w:p>
        </w:tc>
        <w:tc>
          <w:tcPr>
            <w:tcW w:w="1639" w:type="pct"/>
            <w:shd w:val="clear" w:color="auto" w:fill="auto"/>
            <w:hideMark/>
          </w:tcPr>
          <w:p w14:paraId="029E172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 for the implementation of the stakeholder engagement strategy (deliverables 4 (d))</w:t>
            </w:r>
          </w:p>
        </w:tc>
        <w:tc>
          <w:tcPr>
            <w:tcW w:w="1232" w:type="pct"/>
            <w:shd w:val="clear" w:color="auto" w:fill="auto"/>
            <w:hideMark/>
          </w:tcPr>
          <w:p w14:paraId="05EBB0E1"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Technical support</w:t>
            </w:r>
          </w:p>
        </w:tc>
        <w:tc>
          <w:tcPr>
            <w:tcW w:w="797" w:type="pct"/>
            <w:gridSpan w:val="2"/>
            <w:shd w:val="clear" w:color="auto" w:fill="auto"/>
            <w:noWrap/>
            <w:hideMark/>
          </w:tcPr>
          <w:p w14:paraId="3DED5C91"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70 000 </w:t>
            </w:r>
          </w:p>
        </w:tc>
      </w:tr>
      <w:tr w:rsidR="00E7045B" w:rsidRPr="00440196" w14:paraId="5E03D31C" w14:textId="77777777" w:rsidTr="006F57F3">
        <w:trPr>
          <w:cantSplit/>
          <w:trHeight w:val="57"/>
        </w:trPr>
        <w:tc>
          <w:tcPr>
            <w:tcW w:w="1333" w:type="pct"/>
            <w:gridSpan w:val="2"/>
            <w:shd w:val="clear" w:color="auto" w:fill="auto"/>
            <w:noWrap/>
            <w:hideMark/>
          </w:tcPr>
          <w:p w14:paraId="16F78262"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IUCN</w:t>
            </w:r>
          </w:p>
        </w:tc>
        <w:tc>
          <w:tcPr>
            <w:tcW w:w="1639" w:type="pct"/>
            <w:shd w:val="clear" w:color="auto" w:fill="auto"/>
            <w:hideMark/>
          </w:tcPr>
          <w:p w14:paraId="3051AB2A" w14:textId="5DB66ABB"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Stakeholder days preceding the </w:t>
            </w:r>
            <w:r w:rsidR="003D2D84">
              <w:rPr>
                <w:sz w:val="18"/>
                <w:szCs w:val="18"/>
                <w:lang w:eastAsia="zh-CN"/>
              </w:rPr>
              <w:t>f</w:t>
            </w:r>
            <w:r w:rsidRPr="00440196">
              <w:rPr>
                <w:sz w:val="18"/>
                <w:szCs w:val="18"/>
                <w:lang w:eastAsia="zh-CN"/>
              </w:rPr>
              <w:t xml:space="preserve">ourth </w:t>
            </w:r>
            <w:r w:rsidR="003D2D84">
              <w:rPr>
                <w:sz w:val="18"/>
                <w:szCs w:val="18"/>
                <w:lang w:eastAsia="zh-CN"/>
              </w:rPr>
              <w:t xml:space="preserve">session of the </w:t>
            </w:r>
            <w:r w:rsidRPr="00440196">
              <w:rPr>
                <w:sz w:val="18"/>
                <w:szCs w:val="18"/>
                <w:lang w:eastAsia="zh-CN"/>
              </w:rPr>
              <w:t xml:space="preserve">Plenary </w:t>
            </w:r>
          </w:p>
        </w:tc>
        <w:tc>
          <w:tcPr>
            <w:tcW w:w="1232" w:type="pct"/>
            <w:shd w:val="clear" w:color="auto" w:fill="auto"/>
            <w:hideMark/>
          </w:tcPr>
          <w:p w14:paraId="482041A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 and support</w:t>
            </w:r>
          </w:p>
        </w:tc>
        <w:tc>
          <w:tcPr>
            <w:tcW w:w="797" w:type="pct"/>
            <w:gridSpan w:val="2"/>
            <w:shd w:val="clear" w:color="auto" w:fill="auto"/>
            <w:noWrap/>
            <w:hideMark/>
          </w:tcPr>
          <w:p w14:paraId="18826906"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9 500 </w:t>
            </w:r>
          </w:p>
        </w:tc>
      </w:tr>
      <w:tr w:rsidR="00E7045B" w:rsidRPr="00440196" w14:paraId="1A142FFF" w14:textId="77777777" w:rsidTr="006F57F3">
        <w:trPr>
          <w:cantSplit/>
          <w:trHeight w:val="57"/>
        </w:trPr>
        <w:tc>
          <w:tcPr>
            <w:tcW w:w="1333" w:type="pct"/>
            <w:gridSpan w:val="2"/>
            <w:shd w:val="clear" w:color="auto" w:fill="auto"/>
            <w:noWrap/>
            <w:hideMark/>
          </w:tcPr>
          <w:p w14:paraId="53C6C165"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IUCN</w:t>
            </w:r>
          </w:p>
        </w:tc>
        <w:tc>
          <w:tcPr>
            <w:tcW w:w="1639" w:type="pct"/>
            <w:shd w:val="clear" w:color="auto" w:fill="auto"/>
            <w:hideMark/>
          </w:tcPr>
          <w:p w14:paraId="0AF632EF" w14:textId="33BCA9C9"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Organization of two IPBES events at the World Conservation Congress</w:t>
            </w:r>
          </w:p>
        </w:tc>
        <w:tc>
          <w:tcPr>
            <w:tcW w:w="1232" w:type="pct"/>
            <w:shd w:val="clear" w:color="auto" w:fill="auto"/>
            <w:hideMark/>
          </w:tcPr>
          <w:p w14:paraId="220CBC3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 and support</w:t>
            </w:r>
          </w:p>
        </w:tc>
        <w:tc>
          <w:tcPr>
            <w:tcW w:w="797" w:type="pct"/>
            <w:gridSpan w:val="2"/>
            <w:shd w:val="clear" w:color="auto" w:fill="auto"/>
            <w:noWrap/>
            <w:hideMark/>
          </w:tcPr>
          <w:p w14:paraId="5D9E3997"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5 000 </w:t>
            </w:r>
          </w:p>
        </w:tc>
      </w:tr>
      <w:tr w:rsidR="00E7045B" w:rsidRPr="00440196" w14:paraId="13A7E06C" w14:textId="77777777" w:rsidTr="006F57F3">
        <w:trPr>
          <w:cantSplit/>
          <w:trHeight w:val="57"/>
        </w:trPr>
        <w:tc>
          <w:tcPr>
            <w:tcW w:w="1333" w:type="pct"/>
            <w:gridSpan w:val="2"/>
            <w:shd w:val="clear" w:color="auto" w:fill="auto"/>
            <w:noWrap/>
            <w:hideMark/>
          </w:tcPr>
          <w:p w14:paraId="138210D2"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Future Earth</w:t>
            </w:r>
          </w:p>
        </w:tc>
        <w:tc>
          <w:tcPr>
            <w:tcW w:w="1639" w:type="pct"/>
            <w:shd w:val="clear" w:color="auto" w:fill="auto"/>
            <w:hideMark/>
          </w:tcPr>
          <w:p w14:paraId="7FCC1131" w14:textId="34D58D2B"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Support </w:t>
            </w:r>
            <w:r w:rsidR="006D6E34">
              <w:rPr>
                <w:sz w:val="18"/>
                <w:szCs w:val="18"/>
                <w:lang w:eastAsia="zh-CN"/>
              </w:rPr>
              <w:t>for</w:t>
            </w:r>
            <w:r w:rsidR="006D6E34" w:rsidRPr="00440196">
              <w:rPr>
                <w:sz w:val="18"/>
                <w:szCs w:val="18"/>
                <w:lang w:eastAsia="zh-CN"/>
              </w:rPr>
              <w:t xml:space="preserve"> </w:t>
            </w:r>
            <w:r w:rsidRPr="00440196">
              <w:rPr>
                <w:sz w:val="18"/>
                <w:szCs w:val="18"/>
                <w:lang w:eastAsia="zh-CN"/>
              </w:rPr>
              <w:t>the organi</w:t>
            </w:r>
            <w:r w:rsidR="006D6E34">
              <w:rPr>
                <w:sz w:val="18"/>
                <w:szCs w:val="18"/>
                <w:lang w:eastAsia="zh-CN"/>
              </w:rPr>
              <w:t>z</w:t>
            </w:r>
            <w:r w:rsidRPr="00440196">
              <w:rPr>
                <w:sz w:val="18"/>
                <w:szCs w:val="18"/>
                <w:lang w:eastAsia="zh-CN"/>
              </w:rPr>
              <w:t xml:space="preserve">ation of the </w:t>
            </w:r>
            <w:r w:rsidR="006D6E34">
              <w:rPr>
                <w:sz w:val="18"/>
                <w:szCs w:val="18"/>
                <w:lang w:eastAsia="zh-CN"/>
              </w:rPr>
              <w:t>s</w:t>
            </w:r>
            <w:r w:rsidRPr="00440196">
              <w:rPr>
                <w:sz w:val="18"/>
                <w:szCs w:val="18"/>
                <w:lang w:eastAsia="zh-CN"/>
              </w:rPr>
              <w:t xml:space="preserve">takeholders days at </w:t>
            </w:r>
            <w:r w:rsidR="006D6E34">
              <w:rPr>
                <w:sz w:val="18"/>
                <w:szCs w:val="18"/>
                <w:lang w:eastAsia="zh-CN"/>
              </w:rPr>
              <w:t>the fourth session of the Plenary</w:t>
            </w:r>
          </w:p>
        </w:tc>
        <w:tc>
          <w:tcPr>
            <w:tcW w:w="1232" w:type="pct"/>
            <w:shd w:val="clear" w:color="auto" w:fill="auto"/>
            <w:hideMark/>
          </w:tcPr>
          <w:p w14:paraId="52BC7AE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 and support</w:t>
            </w:r>
          </w:p>
        </w:tc>
        <w:tc>
          <w:tcPr>
            <w:tcW w:w="797" w:type="pct"/>
            <w:gridSpan w:val="2"/>
            <w:shd w:val="clear" w:color="auto" w:fill="auto"/>
            <w:noWrap/>
            <w:hideMark/>
          </w:tcPr>
          <w:p w14:paraId="23C33A7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12 615 </w:t>
            </w:r>
          </w:p>
        </w:tc>
      </w:tr>
      <w:tr w:rsidR="00E7045B" w:rsidRPr="00440196" w14:paraId="64AE34DE" w14:textId="77777777" w:rsidTr="006F57F3">
        <w:trPr>
          <w:cantSplit/>
          <w:trHeight w:val="57"/>
        </w:trPr>
        <w:tc>
          <w:tcPr>
            <w:tcW w:w="1333" w:type="pct"/>
            <w:gridSpan w:val="2"/>
            <w:tcBorders>
              <w:bottom w:val="single" w:sz="4" w:space="0" w:color="auto"/>
            </w:tcBorders>
            <w:shd w:val="clear" w:color="auto" w:fill="auto"/>
            <w:noWrap/>
            <w:hideMark/>
          </w:tcPr>
          <w:p w14:paraId="2A59513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Future Earth</w:t>
            </w:r>
          </w:p>
        </w:tc>
        <w:tc>
          <w:tcPr>
            <w:tcW w:w="1639" w:type="pct"/>
            <w:tcBorders>
              <w:bottom w:val="single" w:sz="4" w:space="0" w:color="auto"/>
            </w:tcBorders>
            <w:shd w:val="clear" w:color="auto" w:fill="auto"/>
            <w:hideMark/>
          </w:tcPr>
          <w:p w14:paraId="3F8EB8B3" w14:textId="6F52BB28" w:rsidR="00E7045B" w:rsidRPr="007831BB" w:rsidRDefault="00E7045B" w:rsidP="00964A01">
            <w:pPr>
              <w:widowControl w:val="0"/>
              <w:tabs>
                <w:tab w:val="left" w:pos="6480"/>
                <w:tab w:val="left" w:pos="7200"/>
              </w:tabs>
              <w:spacing w:before="40" w:after="40"/>
              <w:rPr>
                <w:sz w:val="18"/>
                <w:szCs w:val="18"/>
                <w:lang w:eastAsia="zh-CN"/>
              </w:rPr>
            </w:pPr>
            <w:r w:rsidRPr="00440196">
              <w:rPr>
                <w:sz w:val="18"/>
                <w:szCs w:val="18"/>
                <w:lang w:eastAsia="zh-CN"/>
              </w:rPr>
              <w:t xml:space="preserve">Support </w:t>
            </w:r>
            <w:r w:rsidR="006D6E34">
              <w:rPr>
                <w:sz w:val="18"/>
                <w:szCs w:val="18"/>
                <w:lang w:eastAsia="zh-CN"/>
              </w:rPr>
              <w:t>for</w:t>
            </w:r>
            <w:r w:rsidR="006D6E34" w:rsidRPr="00440196">
              <w:rPr>
                <w:sz w:val="18"/>
                <w:szCs w:val="18"/>
                <w:lang w:eastAsia="zh-CN"/>
              </w:rPr>
              <w:t xml:space="preserve"> </w:t>
            </w:r>
            <w:r w:rsidRPr="00440196">
              <w:rPr>
                <w:sz w:val="18"/>
                <w:szCs w:val="18"/>
                <w:lang w:eastAsia="zh-CN"/>
              </w:rPr>
              <w:t xml:space="preserve">the </w:t>
            </w:r>
            <w:r w:rsidR="006D6E34">
              <w:rPr>
                <w:sz w:val="18"/>
                <w:szCs w:val="18"/>
                <w:lang w:eastAsia="zh-CN"/>
              </w:rPr>
              <w:t>t</w:t>
            </w:r>
            <w:r w:rsidRPr="00440196">
              <w:rPr>
                <w:sz w:val="18"/>
                <w:szCs w:val="18"/>
                <w:lang w:eastAsia="zh-CN"/>
              </w:rPr>
              <w:t xml:space="preserve">ask </w:t>
            </w:r>
            <w:r w:rsidR="006D6E34">
              <w:rPr>
                <w:sz w:val="18"/>
                <w:szCs w:val="18"/>
                <w:lang w:eastAsia="zh-CN"/>
              </w:rPr>
              <w:t>f</w:t>
            </w:r>
            <w:r w:rsidRPr="00440196">
              <w:rPr>
                <w:sz w:val="18"/>
                <w:szCs w:val="18"/>
                <w:lang w:eastAsia="zh-CN"/>
              </w:rPr>
              <w:t xml:space="preserve">orce on </w:t>
            </w:r>
            <w:r w:rsidR="006D6E34">
              <w:rPr>
                <w:sz w:val="18"/>
                <w:szCs w:val="18"/>
                <w:lang w:eastAsia="zh-CN"/>
              </w:rPr>
              <w:t>k</w:t>
            </w:r>
            <w:r w:rsidRPr="00440196">
              <w:rPr>
                <w:sz w:val="18"/>
                <w:szCs w:val="18"/>
                <w:lang w:eastAsia="zh-CN"/>
              </w:rPr>
              <w:t xml:space="preserve">nowledge and </w:t>
            </w:r>
            <w:r w:rsidR="006D6E34">
              <w:rPr>
                <w:sz w:val="18"/>
                <w:szCs w:val="18"/>
                <w:lang w:eastAsia="zh-CN"/>
              </w:rPr>
              <w:t>d</w:t>
            </w:r>
            <w:r w:rsidRPr="00440196">
              <w:rPr>
                <w:sz w:val="18"/>
                <w:szCs w:val="18"/>
                <w:lang w:eastAsia="zh-CN"/>
              </w:rPr>
              <w:t xml:space="preserve">ata </w:t>
            </w:r>
            <w:r w:rsidR="006D6E34">
              <w:rPr>
                <w:sz w:val="18"/>
                <w:szCs w:val="18"/>
                <w:lang w:eastAsia="zh-CN"/>
              </w:rPr>
              <w:t>g</w:t>
            </w:r>
            <w:r w:rsidRPr="00440196">
              <w:rPr>
                <w:sz w:val="18"/>
                <w:szCs w:val="18"/>
                <w:lang w:eastAsia="zh-CN"/>
              </w:rPr>
              <w:t xml:space="preserve">eneration </w:t>
            </w:r>
          </w:p>
        </w:tc>
        <w:tc>
          <w:tcPr>
            <w:tcW w:w="1232" w:type="pct"/>
            <w:tcBorders>
              <w:bottom w:val="single" w:sz="4" w:space="0" w:color="auto"/>
            </w:tcBorders>
            <w:shd w:val="clear" w:color="auto" w:fill="auto"/>
            <w:hideMark/>
          </w:tcPr>
          <w:p w14:paraId="61508A8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Meeting facilities and support</w:t>
            </w:r>
          </w:p>
        </w:tc>
        <w:tc>
          <w:tcPr>
            <w:tcW w:w="797" w:type="pct"/>
            <w:gridSpan w:val="2"/>
            <w:tcBorders>
              <w:bottom w:val="single" w:sz="4" w:space="0" w:color="auto"/>
            </w:tcBorders>
            <w:shd w:val="clear" w:color="auto" w:fill="auto"/>
            <w:noWrap/>
            <w:hideMark/>
          </w:tcPr>
          <w:p w14:paraId="69E0807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75 840 </w:t>
            </w:r>
          </w:p>
        </w:tc>
      </w:tr>
      <w:tr w:rsidR="00E7045B" w:rsidRPr="00440196" w14:paraId="7432EBC5" w14:textId="77777777" w:rsidTr="006F57F3">
        <w:trPr>
          <w:cantSplit/>
          <w:trHeight w:val="57"/>
        </w:trPr>
        <w:tc>
          <w:tcPr>
            <w:tcW w:w="1333" w:type="pct"/>
            <w:gridSpan w:val="2"/>
            <w:tcBorders>
              <w:top w:val="single" w:sz="4" w:space="0" w:color="auto"/>
              <w:bottom w:val="single" w:sz="4" w:space="0" w:color="auto"/>
            </w:tcBorders>
            <w:shd w:val="clear" w:color="auto" w:fill="auto"/>
            <w:hideMark/>
          </w:tcPr>
          <w:p w14:paraId="0A2F135A"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xml:space="preserve">Subtotal </w:t>
            </w:r>
          </w:p>
        </w:tc>
        <w:tc>
          <w:tcPr>
            <w:tcW w:w="1639" w:type="pct"/>
            <w:tcBorders>
              <w:top w:val="single" w:sz="4" w:space="0" w:color="auto"/>
              <w:bottom w:val="single" w:sz="4" w:space="0" w:color="auto"/>
            </w:tcBorders>
            <w:shd w:val="clear" w:color="auto" w:fill="auto"/>
            <w:noWrap/>
            <w:hideMark/>
          </w:tcPr>
          <w:p w14:paraId="4B0609FC"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2" w:type="pct"/>
            <w:tcBorders>
              <w:top w:val="single" w:sz="4" w:space="0" w:color="auto"/>
              <w:bottom w:val="single" w:sz="4" w:space="0" w:color="auto"/>
            </w:tcBorders>
            <w:shd w:val="clear" w:color="auto" w:fill="auto"/>
            <w:noWrap/>
            <w:hideMark/>
          </w:tcPr>
          <w:p w14:paraId="41B9DB6B"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97" w:type="pct"/>
            <w:gridSpan w:val="2"/>
            <w:tcBorders>
              <w:top w:val="single" w:sz="4" w:space="0" w:color="auto"/>
              <w:bottom w:val="single" w:sz="4" w:space="0" w:color="auto"/>
            </w:tcBorders>
            <w:shd w:val="clear" w:color="auto" w:fill="auto"/>
            <w:noWrap/>
            <w:hideMark/>
          </w:tcPr>
          <w:p w14:paraId="12236DAB" w14:textId="77777777" w:rsidR="00E7045B" w:rsidRPr="007831BB" w:rsidRDefault="00E7045B" w:rsidP="00440196">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3 942 340 </w:t>
            </w:r>
          </w:p>
        </w:tc>
      </w:tr>
      <w:tr w:rsidR="00E7045B" w:rsidRPr="00440196" w14:paraId="6626CAF4" w14:textId="77777777" w:rsidTr="006F57F3">
        <w:trPr>
          <w:cantSplit/>
          <w:trHeight w:val="57"/>
        </w:trPr>
        <w:tc>
          <w:tcPr>
            <w:tcW w:w="1333" w:type="pct"/>
            <w:gridSpan w:val="2"/>
            <w:tcBorders>
              <w:top w:val="single" w:sz="4" w:space="0" w:color="auto"/>
              <w:bottom w:val="single" w:sz="12" w:space="0" w:color="auto"/>
            </w:tcBorders>
            <w:shd w:val="clear" w:color="auto" w:fill="auto"/>
            <w:hideMark/>
          </w:tcPr>
          <w:p w14:paraId="608BDCAD" w14:textId="53E2D502"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xml:space="preserve">Grand </w:t>
            </w:r>
            <w:r w:rsidR="00F44171">
              <w:rPr>
                <w:b/>
                <w:bCs/>
                <w:sz w:val="18"/>
                <w:szCs w:val="18"/>
                <w:lang w:eastAsia="zh-CN"/>
              </w:rPr>
              <w:t>t</w:t>
            </w:r>
            <w:r w:rsidRPr="00440196">
              <w:rPr>
                <w:b/>
                <w:bCs/>
                <w:sz w:val="18"/>
                <w:szCs w:val="18"/>
                <w:lang w:eastAsia="zh-CN"/>
              </w:rPr>
              <w:t>otal (1+2+3)</w:t>
            </w:r>
          </w:p>
        </w:tc>
        <w:tc>
          <w:tcPr>
            <w:tcW w:w="1639" w:type="pct"/>
            <w:tcBorders>
              <w:top w:val="single" w:sz="4" w:space="0" w:color="auto"/>
              <w:bottom w:val="single" w:sz="12" w:space="0" w:color="auto"/>
            </w:tcBorders>
            <w:shd w:val="clear" w:color="auto" w:fill="auto"/>
            <w:hideMark/>
          </w:tcPr>
          <w:p w14:paraId="709DB947"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2" w:type="pct"/>
            <w:tcBorders>
              <w:top w:val="single" w:sz="4" w:space="0" w:color="auto"/>
              <w:bottom w:val="single" w:sz="12" w:space="0" w:color="auto"/>
            </w:tcBorders>
            <w:shd w:val="clear" w:color="auto" w:fill="auto"/>
            <w:hideMark/>
          </w:tcPr>
          <w:p w14:paraId="6DD9D03A" w14:textId="77777777" w:rsidR="00E7045B" w:rsidRPr="007831BB" w:rsidRDefault="00E7045B" w:rsidP="00440196">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97" w:type="pct"/>
            <w:gridSpan w:val="2"/>
            <w:tcBorders>
              <w:top w:val="single" w:sz="4" w:space="0" w:color="auto"/>
              <w:bottom w:val="single" w:sz="12" w:space="0" w:color="auto"/>
            </w:tcBorders>
            <w:shd w:val="clear" w:color="auto" w:fill="auto"/>
            <w:hideMark/>
          </w:tcPr>
          <w:p w14:paraId="58162F70" w14:textId="77777777" w:rsidR="00E7045B" w:rsidRPr="007831BB" w:rsidRDefault="00E7045B" w:rsidP="00440196">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6 493 272 </w:t>
            </w:r>
          </w:p>
        </w:tc>
      </w:tr>
    </w:tbl>
    <w:p w14:paraId="7944E8B9" w14:textId="77777777" w:rsidR="00E7045B" w:rsidRPr="007831BB" w:rsidRDefault="00E7045B" w:rsidP="00E7045B">
      <w:pPr>
        <w:pStyle w:val="CH1"/>
        <w:rPr>
          <w:lang w:val="en-GB"/>
        </w:rPr>
      </w:pPr>
      <w:r w:rsidRPr="007831BB">
        <w:rPr>
          <w:lang w:val="en-GB"/>
        </w:rPr>
        <w:tab/>
        <w:t>II.</w:t>
      </w:r>
      <w:r w:rsidRPr="007831BB">
        <w:rPr>
          <w:lang w:val="en-GB"/>
        </w:rPr>
        <w:tab/>
        <w:t xml:space="preserve">Expenditures for 2015 </w:t>
      </w:r>
    </w:p>
    <w:p w14:paraId="63A10B99" w14:textId="77777777" w:rsidR="00E7045B" w:rsidRPr="00964A01" w:rsidRDefault="00E7045B" w:rsidP="005748E0">
      <w:pPr>
        <w:pStyle w:val="Normalnumber"/>
        <w:numPr>
          <w:ilvl w:val="0"/>
          <w:numId w:val="438"/>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Table 3 shows the expenditures for 2015, as at 31 December 2015, against the budget for 2015 approved by the Plenary at its third session (decision IPBES-3/2) on a modified cash basis (i.e., including actual expenses and commitments). </w:t>
      </w:r>
    </w:p>
    <w:p w14:paraId="3446D94E" w14:textId="77777777" w:rsidR="00E7045B" w:rsidRPr="007831BB" w:rsidRDefault="00E7045B" w:rsidP="00125411">
      <w:pPr>
        <w:pStyle w:val="Titletable"/>
        <w:tabs>
          <w:tab w:val="clear" w:pos="1247"/>
          <w:tab w:val="left" w:pos="0"/>
        </w:tabs>
        <w:spacing w:after="0"/>
        <w:rPr>
          <w:sz w:val="18"/>
          <w:szCs w:val="18"/>
          <w:lang w:val="en-GB"/>
        </w:rPr>
      </w:pPr>
      <w:r w:rsidRPr="007831BB">
        <w:rPr>
          <w:b w:val="0"/>
          <w:lang w:val="en-GB"/>
        </w:rPr>
        <w:t xml:space="preserve">Table 3 </w:t>
      </w:r>
      <w:r w:rsidRPr="007831BB">
        <w:rPr>
          <w:b w:val="0"/>
          <w:lang w:val="en-GB"/>
        </w:rPr>
        <w:br/>
      </w:r>
      <w:r w:rsidRPr="007831BB">
        <w:rPr>
          <w:sz w:val="18"/>
          <w:szCs w:val="18"/>
          <w:lang w:val="en-GB"/>
        </w:rPr>
        <w:t>Expenditures for 2015</w:t>
      </w:r>
    </w:p>
    <w:p w14:paraId="1D0B4E52" w14:textId="77777777" w:rsidR="00E7045B" w:rsidRPr="007831BB" w:rsidRDefault="00E7045B" w:rsidP="00125411">
      <w:pPr>
        <w:pStyle w:val="Titletable"/>
        <w:tabs>
          <w:tab w:val="clear" w:pos="1247"/>
          <w:tab w:val="left" w:pos="0"/>
        </w:tabs>
        <w:ind w:left="2494" w:hanging="1247"/>
        <w:rPr>
          <w:b w:val="0"/>
          <w:sz w:val="18"/>
          <w:szCs w:val="18"/>
          <w:lang w:val="en-GB"/>
        </w:rPr>
      </w:pPr>
      <w:r w:rsidRPr="007831BB">
        <w:rPr>
          <w:b w:val="0"/>
          <w:sz w:val="18"/>
          <w:szCs w:val="18"/>
          <w:lang w:val="en-GB"/>
        </w:rPr>
        <w:t>(United States dollars)</w:t>
      </w:r>
    </w:p>
    <w:tbl>
      <w:tblPr>
        <w:tblW w:w="9353" w:type="dxa"/>
        <w:tblInd w:w="108" w:type="dxa"/>
        <w:tblLayout w:type="fixed"/>
        <w:tblLook w:val="04A0" w:firstRow="1" w:lastRow="0" w:firstColumn="1" w:lastColumn="0" w:noHBand="0" w:noVBand="1"/>
      </w:tblPr>
      <w:tblGrid>
        <w:gridCol w:w="5101"/>
        <w:gridCol w:w="1559"/>
        <w:gridCol w:w="1276"/>
        <w:gridCol w:w="1417"/>
      </w:tblGrid>
      <w:tr w:rsidR="00E7045B" w:rsidRPr="00440196" w14:paraId="167D5B42" w14:textId="77777777" w:rsidTr="00440196">
        <w:trPr>
          <w:trHeight w:val="565"/>
          <w:tblHeader/>
        </w:trPr>
        <w:tc>
          <w:tcPr>
            <w:tcW w:w="5101" w:type="dxa"/>
            <w:tcBorders>
              <w:top w:val="single" w:sz="4" w:space="0" w:color="auto"/>
              <w:left w:val="nil"/>
              <w:bottom w:val="single" w:sz="12" w:space="0" w:color="auto"/>
              <w:right w:val="nil"/>
            </w:tcBorders>
            <w:shd w:val="clear" w:color="auto" w:fill="auto"/>
            <w:vAlign w:val="bottom"/>
            <w:hideMark/>
          </w:tcPr>
          <w:p w14:paraId="55C8501E" w14:textId="77777777" w:rsidR="00E7045B" w:rsidRPr="00440196" w:rsidRDefault="00E7045B" w:rsidP="00440196">
            <w:pPr>
              <w:spacing w:before="40" w:after="40"/>
              <w:rPr>
                <w:i/>
                <w:sz w:val="18"/>
                <w:szCs w:val="18"/>
              </w:rPr>
            </w:pPr>
            <w:r w:rsidRPr="00440196">
              <w:rPr>
                <w:i/>
                <w:sz w:val="18"/>
                <w:szCs w:val="18"/>
              </w:rPr>
              <w:t>Budget item</w:t>
            </w:r>
          </w:p>
        </w:tc>
        <w:tc>
          <w:tcPr>
            <w:tcW w:w="1559" w:type="dxa"/>
            <w:tcBorders>
              <w:top w:val="single" w:sz="4" w:space="0" w:color="auto"/>
              <w:left w:val="nil"/>
              <w:bottom w:val="single" w:sz="12" w:space="0" w:color="auto"/>
              <w:right w:val="nil"/>
            </w:tcBorders>
            <w:shd w:val="clear" w:color="000000" w:fill="FFFFFF"/>
            <w:noWrap/>
            <w:vAlign w:val="bottom"/>
            <w:hideMark/>
          </w:tcPr>
          <w:p w14:paraId="00B66ED0" w14:textId="77777777" w:rsidR="00E7045B" w:rsidRPr="001B4189" w:rsidRDefault="00E7045B" w:rsidP="00440196">
            <w:pPr>
              <w:spacing w:before="40" w:after="40"/>
              <w:jc w:val="right"/>
              <w:rPr>
                <w:i/>
                <w:sz w:val="18"/>
                <w:szCs w:val="18"/>
              </w:rPr>
            </w:pPr>
            <w:r w:rsidRPr="001B4189">
              <w:rPr>
                <w:i/>
                <w:sz w:val="18"/>
                <w:szCs w:val="18"/>
              </w:rPr>
              <w:t xml:space="preserve">2015 </w:t>
            </w:r>
            <w:r w:rsidRPr="001B4189">
              <w:rPr>
                <w:i/>
                <w:sz w:val="18"/>
                <w:szCs w:val="18"/>
              </w:rPr>
              <w:br/>
              <w:t>budget</w:t>
            </w:r>
          </w:p>
        </w:tc>
        <w:tc>
          <w:tcPr>
            <w:tcW w:w="1276" w:type="dxa"/>
            <w:tcBorders>
              <w:top w:val="single" w:sz="4" w:space="0" w:color="auto"/>
              <w:left w:val="nil"/>
              <w:bottom w:val="single" w:sz="12" w:space="0" w:color="auto"/>
              <w:right w:val="nil"/>
            </w:tcBorders>
            <w:shd w:val="clear" w:color="000000" w:fill="FFFFFF"/>
            <w:noWrap/>
            <w:vAlign w:val="bottom"/>
            <w:hideMark/>
          </w:tcPr>
          <w:p w14:paraId="71C5C1DB" w14:textId="77777777" w:rsidR="00E7045B" w:rsidRPr="00440196" w:rsidRDefault="00E7045B" w:rsidP="00440196">
            <w:pPr>
              <w:spacing w:before="40" w:after="40"/>
              <w:jc w:val="right"/>
              <w:rPr>
                <w:i/>
                <w:sz w:val="18"/>
                <w:szCs w:val="18"/>
              </w:rPr>
            </w:pPr>
            <w:r w:rsidRPr="00440196">
              <w:rPr>
                <w:i/>
                <w:sz w:val="18"/>
                <w:szCs w:val="18"/>
              </w:rPr>
              <w:t xml:space="preserve">2015 </w:t>
            </w:r>
            <w:r w:rsidRPr="00440196">
              <w:rPr>
                <w:i/>
                <w:sz w:val="18"/>
                <w:szCs w:val="18"/>
              </w:rPr>
              <w:br/>
              <w:t>expenditures</w:t>
            </w:r>
          </w:p>
        </w:tc>
        <w:tc>
          <w:tcPr>
            <w:tcW w:w="1417" w:type="dxa"/>
            <w:tcBorders>
              <w:top w:val="single" w:sz="4" w:space="0" w:color="auto"/>
              <w:left w:val="nil"/>
              <w:bottom w:val="single" w:sz="12" w:space="0" w:color="auto"/>
              <w:right w:val="nil"/>
            </w:tcBorders>
            <w:shd w:val="clear" w:color="000000" w:fill="FFFFFF"/>
            <w:noWrap/>
            <w:vAlign w:val="bottom"/>
            <w:hideMark/>
          </w:tcPr>
          <w:p w14:paraId="4AAAD36A" w14:textId="77777777" w:rsidR="00E7045B" w:rsidRPr="00440196" w:rsidRDefault="00E7045B" w:rsidP="00440196">
            <w:pPr>
              <w:spacing w:before="40" w:after="40"/>
              <w:jc w:val="right"/>
              <w:rPr>
                <w:i/>
                <w:sz w:val="18"/>
                <w:szCs w:val="18"/>
              </w:rPr>
            </w:pPr>
            <w:r w:rsidRPr="00440196">
              <w:rPr>
                <w:i/>
                <w:sz w:val="18"/>
                <w:szCs w:val="18"/>
              </w:rPr>
              <w:t>Balance</w:t>
            </w:r>
          </w:p>
        </w:tc>
      </w:tr>
      <w:tr w:rsidR="00E7045B" w:rsidRPr="00440196" w14:paraId="58C01081" w14:textId="77777777" w:rsidTr="00440196">
        <w:trPr>
          <w:trHeight w:val="257"/>
        </w:trPr>
        <w:tc>
          <w:tcPr>
            <w:tcW w:w="5101" w:type="dxa"/>
            <w:tcBorders>
              <w:top w:val="nil"/>
              <w:left w:val="nil"/>
              <w:bottom w:val="nil"/>
              <w:right w:val="nil"/>
            </w:tcBorders>
            <w:shd w:val="clear" w:color="000000" w:fill="FFFFFF"/>
            <w:noWrap/>
            <w:hideMark/>
          </w:tcPr>
          <w:p w14:paraId="6222ACF8" w14:textId="77777777" w:rsidR="00E7045B" w:rsidRPr="00440196" w:rsidRDefault="00E7045B" w:rsidP="00440196">
            <w:pPr>
              <w:spacing w:before="40" w:after="40"/>
              <w:rPr>
                <w:b/>
                <w:sz w:val="18"/>
                <w:szCs w:val="18"/>
              </w:rPr>
            </w:pPr>
            <w:r w:rsidRPr="00440196">
              <w:rPr>
                <w:b/>
                <w:sz w:val="18"/>
                <w:szCs w:val="18"/>
              </w:rPr>
              <w:t>1. Meetings of the Platform bodies</w:t>
            </w:r>
          </w:p>
        </w:tc>
        <w:tc>
          <w:tcPr>
            <w:tcW w:w="1559" w:type="dxa"/>
            <w:tcBorders>
              <w:top w:val="nil"/>
              <w:left w:val="nil"/>
              <w:bottom w:val="nil"/>
              <w:right w:val="nil"/>
            </w:tcBorders>
            <w:shd w:val="clear" w:color="000000" w:fill="FFFFFF"/>
            <w:noWrap/>
            <w:hideMark/>
          </w:tcPr>
          <w:p w14:paraId="6752968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276" w:type="dxa"/>
            <w:tcBorders>
              <w:top w:val="nil"/>
              <w:left w:val="nil"/>
              <w:bottom w:val="nil"/>
              <w:right w:val="nil"/>
            </w:tcBorders>
            <w:shd w:val="clear" w:color="000000" w:fill="FFFFFF"/>
            <w:noWrap/>
            <w:hideMark/>
          </w:tcPr>
          <w:p w14:paraId="6666DE7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417" w:type="dxa"/>
            <w:tcBorders>
              <w:top w:val="nil"/>
              <w:left w:val="nil"/>
              <w:bottom w:val="nil"/>
              <w:right w:val="nil"/>
            </w:tcBorders>
            <w:shd w:val="clear" w:color="000000" w:fill="FFFFFF"/>
            <w:noWrap/>
            <w:hideMark/>
          </w:tcPr>
          <w:p w14:paraId="13705D8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r>
      <w:tr w:rsidR="00E7045B" w:rsidRPr="00440196" w14:paraId="2D8CF8AE" w14:textId="77777777" w:rsidTr="00440196">
        <w:trPr>
          <w:trHeight w:val="257"/>
        </w:trPr>
        <w:tc>
          <w:tcPr>
            <w:tcW w:w="5101" w:type="dxa"/>
            <w:tcBorders>
              <w:top w:val="nil"/>
              <w:left w:val="nil"/>
              <w:bottom w:val="nil"/>
              <w:right w:val="nil"/>
            </w:tcBorders>
            <w:shd w:val="clear" w:color="000000" w:fill="FFFFFF"/>
            <w:noWrap/>
            <w:hideMark/>
          </w:tcPr>
          <w:p w14:paraId="5B45FB41"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 xml:space="preserve">1.1 Annual session of the Plenary </w:t>
            </w:r>
          </w:p>
        </w:tc>
        <w:tc>
          <w:tcPr>
            <w:tcW w:w="1559" w:type="dxa"/>
            <w:tcBorders>
              <w:top w:val="nil"/>
              <w:left w:val="nil"/>
              <w:bottom w:val="nil"/>
              <w:right w:val="nil"/>
            </w:tcBorders>
            <w:shd w:val="clear" w:color="000000" w:fill="FFFFFF"/>
            <w:noWrap/>
            <w:hideMark/>
          </w:tcPr>
          <w:p w14:paraId="26C4D70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276" w:type="dxa"/>
            <w:tcBorders>
              <w:top w:val="nil"/>
              <w:left w:val="nil"/>
              <w:bottom w:val="nil"/>
              <w:right w:val="nil"/>
            </w:tcBorders>
            <w:shd w:val="clear" w:color="000000" w:fill="FFFFFF"/>
            <w:noWrap/>
            <w:hideMark/>
          </w:tcPr>
          <w:p w14:paraId="6879653B"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417" w:type="dxa"/>
            <w:tcBorders>
              <w:top w:val="nil"/>
              <w:left w:val="nil"/>
              <w:bottom w:val="nil"/>
              <w:right w:val="nil"/>
            </w:tcBorders>
            <w:shd w:val="clear" w:color="000000" w:fill="FFFFFF"/>
            <w:noWrap/>
            <w:hideMark/>
          </w:tcPr>
          <w:p w14:paraId="142D6BCB"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r>
      <w:tr w:rsidR="00E7045B" w:rsidRPr="00440196" w14:paraId="69C3D4B2" w14:textId="77777777" w:rsidTr="00440196">
        <w:trPr>
          <w:trHeight w:val="257"/>
        </w:trPr>
        <w:tc>
          <w:tcPr>
            <w:tcW w:w="5101" w:type="dxa"/>
            <w:tcBorders>
              <w:top w:val="nil"/>
              <w:left w:val="nil"/>
              <w:bottom w:val="nil"/>
              <w:right w:val="nil"/>
            </w:tcBorders>
            <w:shd w:val="clear" w:color="000000" w:fill="FFFFFF"/>
            <w:noWrap/>
            <w:hideMark/>
          </w:tcPr>
          <w:p w14:paraId="142CEBF4"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Travel costs for the third Plenary session participants (travel and daily subsistence allowance (DSA)) </w:t>
            </w:r>
          </w:p>
        </w:tc>
        <w:tc>
          <w:tcPr>
            <w:tcW w:w="1559" w:type="dxa"/>
            <w:tcBorders>
              <w:top w:val="nil"/>
              <w:left w:val="nil"/>
              <w:bottom w:val="nil"/>
              <w:right w:val="nil"/>
            </w:tcBorders>
            <w:shd w:val="clear" w:color="000000" w:fill="FFFFFF"/>
            <w:noWrap/>
            <w:hideMark/>
          </w:tcPr>
          <w:p w14:paraId="1A64A0B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480 000</w:t>
            </w:r>
          </w:p>
        </w:tc>
        <w:tc>
          <w:tcPr>
            <w:tcW w:w="1276" w:type="dxa"/>
            <w:tcBorders>
              <w:top w:val="nil"/>
              <w:left w:val="nil"/>
              <w:bottom w:val="nil"/>
              <w:right w:val="nil"/>
            </w:tcBorders>
            <w:shd w:val="clear" w:color="000000" w:fill="FFFFFF"/>
            <w:noWrap/>
            <w:hideMark/>
          </w:tcPr>
          <w:p w14:paraId="21768BB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434 156</w:t>
            </w:r>
          </w:p>
        </w:tc>
        <w:tc>
          <w:tcPr>
            <w:tcW w:w="1417" w:type="dxa"/>
            <w:tcBorders>
              <w:top w:val="nil"/>
              <w:left w:val="nil"/>
              <w:bottom w:val="nil"/>
              <w:right w:val="nil"/>
            </w:tcBorders>
            <w:shd w:val="clear" w:color="000000" w:fill="FFFFFF"/>
            <w:noWrap/>
            <w:hideMark/>
          </w:tcPr>
          <w:p w14:paraId="5BDA88ED"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45 844</w:t>
            </w:r>
          </w:p>
        </w:tc>
      </w:tr>
      <w:tr w:rsidR="00E7045B" w:rsidRPr="00440196" w14:paraId="3CC7F0C3" w14:textId="77777777" w:rsidTr="00440196">
        <w:trPr>
          <w:trHeight w:val="257"/>
        </w:trPr>
        <w:tc>
          <w:tcPr>
            <w:tcW w:w="5101" w:type="dxa"/>
            <w:tcBorders>
              <w:top w:val="nil"/>
              <w:left w:val="nil"/>
              <w:bottom w:val="nil"/>
              <w:right w:val="nil"/>
            </w:tcBorders>
            <w:shd w:val="clear" w:color="000000" w:fill="FFFFFF"/>
            <w:noWrap/>
            <w:hideMark/>
          </w:tcPr>
          <w:p w14:paraId="18C3A063"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Conference services (translation, editing and interpretation) and venue </w:t>
            </w:r>
          </w:p>
        </w:tc>
        <w:tc>
          <w:tcPr>
            <w:tcW w:w="1559" w:type="dxa"/>
            <w:tcBorders>
              <w:top w:val="nil"/>
              <w:left w:val="nil"/>
              <w:bottom w:val="nil"/>
              <w:right w:val="nil"/>
            </w:tcBorders>
            <w:shd w:val="clear" w:color="000000" w:fill="FFFFFF"/>
            <w:noWrap/>
            <w:hideMark/>
          </w:tcPr>
          <w:p w14:paraId="23ECA2C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600 000</w:t>
            </w:r>
          </w:p>
        </w:tc>
        <w:tc>
          <w:tcPr>
            <w:tcW w:w="1276" w:type="dxa"/>
            <w:tcBorders>
              <w:top w:val="nil"/>
              <w:left w:val="nil"/>
              <w:bottom w:val="nil"/>
              <w:right w:val="nil"/>
            </w:tcBorders>
            <w:shd w:val="clear" w:color="000000" w:fill="FFFFFF"/>
            <w:noWrap/>
            <w:hideMark/>
          </w:tcPr>
          <w:p w14:paraId="482D513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522 735</w:t>
            </w:r>
          </w:p>
        </w:tc>
        <w:tc>
          <w:tcPr>
            <w:tcW w:w="1417" w:type="dxa"/>
            <w:tcBorders>
              <w:top w:val="nil"/>
              <w:left w:val="nil"/>
              <w:bottom w:val="nil"/>
              <w:right w:val="nil"/>
            </w:tcBorders>
            <w:shd w:val="clear" w:color="000000" w:fill="FFFFFF"/>
            <w:noWrap/>
            <w:hideMark/>
          </w:tcPr>
          <w:p w14:paraId="0D92335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77 265</w:t>
            </w:r>
          </w:p>
        </w:tc>
      </w:tr>
      <w:tr w:rsidR="00E7045B" w:rsidRPr="00440196" w14:paraId="53D5C87C" w14:textId="77777777" w:rsidTr="00440196">
        <w:trPr>
          <w:trHeight w:val="288"/>
        </w:trPr>
        <w:tc>
          <w:tcPr>
            <w:tcW w:w="5101" w:type="dxa"/>
            <w:tcBorders>
              <w:top w:val="nil"/>
              <w:left w:val="nil"/>
              <w:bottom w:val="nil"/>
              <w:right w:val="nil"/>
            </w:tcBorders>
            <w:shd w:val="clear" w:color="000000" w:fill="FFFFFF"/>
            <w:noWrap/>
            <w:hideMark/>
          </w:tcPr>
          <w:p w14:paraId="5D6C3B1C"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Plenary reporting services </w:t>
            </w:r>
            <w:r w:rsidRPr="00440196">
              <w:rPr>
                <w:sz w:val="18"/>
                <w:szCs w:val="18"/>
                <w:vertAlign w:val="superscript"/>
              </w:rPr>
              <w:t>a</w:t>
            </w:r>
          </w:p>
        </w:tc>
        <w:tc>
          <w:tcPr>
            <w:tcW w:w="1559" w:type="dxa"/>
            <w:tcBorders>
              <w:top w:val="nil"/>
              <w:left w:val="nil"/>
              <w:bottom w:val="nil"/>
              <w:right w:val="nil"/>
            </w:tcBorders>
            <w:shd w:val="clear" w:color="000000" w:fill="FFFFFF"/>
            <w:noWrap/>
            <w:hideMark/>
          </w:tcPr>
          <w:p w14:paraId="1C248BF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60 000</w:t>
            </w:r>
          </w:p>
        </w:tc>
        <w:tc>
          <w:tcPr>
            <w:tcW w:w="1276" w:type="dxa"/>
            <w:tcBorders>
              <w:top w:val="nil"/>
              <w:left w:val="nil"/>
              <w:bottom w:val="nil"/>
              <w:right w:val="nil"/>
            </w:tcBorders>
            <w:shd w:val="clear" w:color="000000" w:fill="FFFFFF"/>
            <w:noWrap/>
            <w:hideMark/>
          </w:tcPr>
          <w:p w14:paraId="4119968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c>
          <w:tcPr>
            <w:tcW w:w="1417" w:type="dxa"/>
            <w:tcBorders>
              <w:top w:val="nil"/>
              <w:left w:val="nil"/>
              <w:bottom w:val="nil"/>
              <w:right w:val="nil"/>
            </w:tcBorders>
            <w:shd w:val="clear" w:color="000000" w:fill="FFFFFF"/>
            <w:noWrap/>
            <w:hideMark/>
          </w:tcPr>
          <w:p w14:paraId="0DB0D48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60 000</w:t>
            </w:r>
          </w:p>
        </w:tc>
      </w:tr>
      <w:tr w:rsidR="00E7045B" w:rsidRPr="00440196" w14:paraId="0BD7677F" w14:textId="77777777" w:rsidTr="00440196">
        <w:trPr>
          <w:trHeight w:val="288"/>
        </w:trPr>
        <w:tc>
          <w:tcPr>
            <w:tcW w:w="5101" w:type="dxa"/>
            <w:tcBorders>
              <w:top w:val="nil"/>
              <w:left w:val="nil"/>
              <w:bottom w:val="single" w:sz="4" w:space="0" w:color="auto"/>
              <w:right w:val="nil"/>
            </w:tcBorders>
            <w:shd w:val="clear" w:color="000000" w:fill="FFFFFF"/>
            <w:noWrap/>
            <w:hideMark/>
          </w:tcPr>
          <w:p w14:paraId="4B79128A"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Security services (local and United Nations security)</w:t>
            </w:r>
            <w:r w:rsidRPr="00440196">
              <w:rPr>
                <w:sz w:val="18"/>
                <w:szCs w:val="18"/>
                <w:vertAlign w:val="superscript"/>
              </w:rPr>
              <w:t>b</w:t>
            </w:r>
          </w:p>
        </w:tc>
        <w:tc>
          <w:tcPr>
            <w:tcW w:w="1559" w:type="dxa"/>
            <w:tcBorders>
              <w:top w:val="nil"/>
              <w:left w:val="nil"/>
              <w:bottom w:val="single" w:sz="4" w:space="0" w:color="auto"/>
              <w:right w:val="nil"/>
            </w:tcBorders>
            <w:shd w:val="clear" w:color="000000" w:fill="FFFFFF"/>
            <w:noWrap/>
            <w:hideMark/>
          </w:tcPr>
          <w:p w14:paraId="7EC91BA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276" w:type="dxa"/>
            <w:tcBorders>
              <w:top w:val="nil"/>
              <w:left w:val="nil"/>
              <w:bottom w:val="single" w:sz="4" w:space="0" w:color="auto"/>
              <w:right w:val="nil"/>
            </w:tcBorders>
            <w:shd w:val="clear" w:color="000000" w:fill="FFFFFF"/>
            <w:noWrap/>
            <w:hideMark/>
          </w:tcPr>
          <w:p w14:paraId="04361E7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99 475</w:t>
            </w:r>
          </w:p>
        </w:tc>
        <w:tc>
          <w:tcPr>
            <w:tcW w:w="1417" w:type="dxa"/>
            <w:tcBorders>
              <w:top w:val="nil"/>
              <w:left w:val="nil"/>
              <w:bottom w:val="single" w:sz="4" w:space="0" w:color="auto"/>
              <w:right w:val="nil"/>
            </w:tcBorders>
            <w:shd w:val="clear" w:color="000000" w:fill="FFFFFF"/>
            <w:noWrap/>
            <w:hideMark/>
          </w:tcPr>
          <w:p w14:paraId="2B3ADA5A" w14:textId="77777777" w:rsidR="00E7045B" w:rsidRPr="007831BB" w:rsidRDefault="00E7045B" w:rsidP="00440196">
            <w:pPr>
              <w:widowControl w:val="0"/>
              <w:tabs>
                <w:tab w:val="left" w:pos="6480"/>
                <w:tab w:val="left" w:pos="7200"/>
              </w:tabs>
              <w:spacing w:before="40" w:after="40"/>
              <w:jc w:val="right"/>
              <w:rPr>
                <w:sz w:val="18"/>
                <w:szCs w:val="18"/>
              </w:rPr>
            </w:pPr>
            <w:r w:rsidRPr="00440196">
              <w:rPr>
                <w:b/>
                <w:sz w:val="18"/>
                <w:szCs w:val="18"/>
              </w:rPr>
              <w:t>-</w:t>
            </w:r>
            <w:r w:rsidRPr="00440196">
              <w:rPr>
                <w:sz w:val="18"/>
                <w:szCs w:val="18"/>
              </w:rPr>
              <w:t>99 475</w:t>
            </w:r>
          </w:p>
        </w:tc>
      </w:tr>
      <w:tr w:rsidR="00E7045B" w:rsidRPr="00440196" w14:paraId="7A1EB618" w14:textId="77777777" w:rsidTr="00440196">
        <w:trPr>
          <w:trHeight w:val="249"/>
        </w:trPr>
        <w:tc>
          <w:tcPr>
            <w:tcW w:w="5101" w:type="dxa"/>
            <w:tcBorders>
              <w:top w:val="single" w:sz="4" w:space="0" w:color="auto"/>
              <w:left w:val="nil"/>
              <w:bottom w:val="single" w:sz="4" w:space="0" w:color="auto"/>
              <w:right w:val="nil"/>
            </w:tcBorders>
            <w:shd w:val="clear" w:color="auto" w:fill="auto"/>
            <w:noWrap/>
            <w:hideMark/>
          </w:tcPr>
          <w:p w14:paraId="61AA1A79" w14:textId="401281B9" w:rsidR="00E7045B" w:rsidRPr="007831BB" w:rsidRDefault="00E7045B" w:rsidP="00964A01">
            <w:pPr>
              <w:widowControl w:val="0"/>
              <w:tabs>
                <w:tab w:val="left" w:pos="6480"/>
                <w:tab w:val="left" w:pos="7200"/>
              </w:tabs>
              <w:spacing w:before="40" w:after="40"/>
              <w:rPr>
                <w:b/>
                <w:sz w:val="18"/>
                <w:szCs w:val="18"/>
              </w:rPr>
            </w:pPr>
            <w:r w:rsidRPr="00440196">
              <w:rPr>
                <w:b/>
                <w:sz w:val="18"/>
                <w:szCs w:val="18"/>
              </w:rPr>
              <w:t xml:space="preserve">Subtotal 1.1 </w:t>
            </w:r>
            <w:r w:rsidR="00EB50F4">
              <w:rPr>
                <w:b/>
                <w:sz w:val="18"/>
                <w:szCs w:val="18"/>
              </w:rPr>
              <w:t>Annual s</w:t>
            </w:r>
            <w:r w:rsidRPr="00440196">
              <w:rPr>
                <w:b/>
                <w:sz w:val="18"/>
                <w:szCs w:val="18"/>
              </w:rPr>
              <w:t>ession of the Plenary</w:t>
            </w:r>
          </w:p>
        </w:tc>
        <w:tc>
          <w:tcPr>
            <w:tcW w:w="1559" w:type="dxa"/>
            <w:tcBorders>
              <w:top w:val="single" w:sz="4" w:space="0" w:color="auto"/>
              <w:left w:val="nil"/>
              <w:bottom w:val="single" w:sz="4" w:space="0" w:color="auto"/>
              <w:right w:val="nil"/>
            </w:tcBorders>
            <w:shd w:val="clear" w:color="auto" w:fill="auto"/>
            <w:noWrap/>
            <w:hideMark/>
          </w:tcPr>
          <w:p w14:paraId="55C67BA8"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1 140 000</w:t>
            </w:r>
          </w:p>
        </w:tc>
        <w:tc>
          <w:tcPr>
            <w:tcW w:w="1276" w:type="dxa"/>
            <w:tcBorders>
              <w:top w:val="single" w:sz="4" w:space="0" w:color="auto"/>
              <w:left w:val="nil"/>
              <w:bottom w:val="single" w:sz="4" w:space="0" w:color="auto"/>
              <w:right w:val="nil"/>
            </w:tcBorders>
            <w:shd w:val="clear" w:color="auto" w:fill="auto"/>
            <w:noWrap/>
            <w:hideMark/>
          </w:tcPr>
          <w:p w14:paraId="3A82C4DB"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1 056 366</w:t>
            </w:r>
          </w:p>
        </w:tc>
        <w:tc>
          <w:tcPr>
            <w:tcW w:w="1417" w:type="dxa"/>
            <w:tcBorders>
              <w:top w:val="single" w:sz="4" w:space="0" w:color="auto"/>
              <w:left w:val="nil"/>
              <w:bottom w:val="single" w:sz="4" w:space="0" w:color="auto"/>
              <w:right w:val="nil"/>
            </w:tcBorders>
            <w:shd w:val="clear" w:color="auto" w:fill="auto"/>
            <w:noWrap/>
            <w:hideMark/>
          </w:tcPr>
          <w:p w14:paraId="45C6E3D1"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83 634</w:t>
            </w:r>
          </w:p>
        </w:tc>
      </w:tr>
      <w:tr w:rsidR="00E7045B" w:rsidRPr="00440196" w14:paraId="47880252" w14:textId="77777777" w:rsidTr="00440196">
        <w:trPr>
          <w:trHeight w:val="257"/>
        </w:trPr>
        <w:tc>
          <w:tcPr>
            <w:tcW w:w="5101" w:type="dxa"/>
            <w:tcBorders>
              <w:top w:val="single" w:sz="4" w:space="0" w:color="auto"/>
              <w:left w:val="nil"/>
              <w:bottom w:val="nil"/>
              <w:right w:val="nil"/>
            </w:tcBorders>
            <w:shd w:val="clear" w:color="000000" w:fill="FFFFFF"/>
            <w:noWrap/>
            <w:hideMark/>
          </w:tcPr>
          <w:p w14:paraId="073CA983"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1.2 Bureau and Multidisciplinary Expert Panel sessions</w:t>
            </w:r>
          </w:p>
        </w:tc>
        <w:tc>
          <w:tcPr>
            <w:tcW w:w="1559" w:type="dxa"/>
            <w:tcBorders>
              <w:top w:val="single" w:sz="4" w:space="0" w:color="auto"/>
              <w:left w:val="nil"/>
              <w:bottom w:val="nil"/>
              <w:right w:val="nil"/>
            </w:tcBorders>
            <w:shd w:val="clear" w:color="000000" w:fill="FFFFFF"/>
            <w:noWrap/>
            <w:hideMark/>
          </w:tcPr>
          <w:p w14:paraId="3D3FC48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276" w:type="dxa"/>
            <w:tcBorders>
              <w:top w:val="single" w:sz="4" w:space="0" w:color="auto"/>
              <w:left w:val="nil"/>
              <w:bottom w:val="nil"/>
              <w:right w:val="nil"/>
            </w:tcBorders>
            <w:shd w:val="clear" w:color="auto" w:fill="auto"/>
            <w:noWrap/>
            <w:hideMark/>
          </w:tcPr>
          <w:p w14:paraId="52645DBE" w14:textId="77777777" w:rsidR="00E7045B" w:rsidRPr="00440196" w:rsidRDefault="00E7045B" w:rsidP="00440196">
            <w:pPr>
              <w:spacing w:before="40" w:after="40"/>
              <w:jc w:val="right"/>
              <w:rPr>
                <w:sz w:val="18"/>
                <w:szCs w:val="18"/>
              </w:rPr>
            </w:pPr>
          </w:p>
        </w:tc>
        <w:tc>
          <w:tcPr>
            <w:tcW w:w="1417" w:type="dxa"/>
            <w:tcBorders>
              <w:top w:val="single" w:sz="4" w:space="0" w:color="auto"/>
              <w:left w:val="nil"/>
              <w:bottom w:val="nil"/>
              <w:right w:val="nil"/>
            </w:tcBorders>
            <w:shd w:val="clear" w:color="000000" w:fill="FFFFFF"/>
            <w:noWrap/>
            <w:hideMark/>
          </w:tcPr>
          <w:p w14:paraId="6F6D19E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r>
      <w:tr w:rsidR="00E7045B" w:rsidRPr="00440196" w14:paraId="49D3CCD0" w14:textId="77777777" w:rsidTr="00440196">
        <w:trPr>
          <w:trHeight w:val="257"/>
        </w:trPr>
        <w:tc>
          <w:tcPr>
            <w:tcW w:w="5101" w:type="dxa"/>
            <w:tcBorders>
              <w:top w:val="nil"/>
              <w:left w:val="nil"/>
              <w:bottom w:val="nil"/>
              <w:right w:val="nil"/>
            </w:tcBorders>
            <w:shd w:val="clear" w:color="000000" w:fill="FFFFFF"/>
            <w:noWrap/>
            <w:hideMark/>
          </w:tcPr>
          <w:p w14:paraId="47CDD53C"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Travel and meeting costs of participants for Bureau sessions </w:t>
            </w:r>
          </w:p>
        </w:tc>
        <w:tc>
          <w:tcPr>
            <w:tcW w:w="1559" w:type="dxa"/>
            <w:tcBorders>
              <w:top w:val="nil"/>
              <w:left w:val="nil"/>
              <w:bottom w:val="nil"/>
              <w:right w:val="nil"/>
            </w:tcBorders>
            <w:shd w:val="clear" w:color="000000" w:fill="FFFFFF"/>
            <w:noWrap/>
            <w:hideMark/>
          </w:tcPr>
          <w:p w14:paraId="3E7A49A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103 500</w:t>
            </w:r>
          </w:p>
        </w:tc>
        <w:tc>
          <w:tcPr>
            <w:tcW w:w="1276" w:type="dxa"/>
            <w:tcBorders>
              <w:top w:val="nil"/>
              <w:left w:val="nil"/>
              <w:bottom w:val="nil"/>
              <w:right w:val="nil"/>
            </w:tcBorders>
            <w:shd w:val="clear" w:color="000000" w:fill="FFFFFF"/>
            <w:noWrap/>
            <w:hideMark/>
          </w:tcPr>
          <w:p w14:paraId="7468198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50 357</w:t>
            </w:r>
          </w:p>
        </w:tc>
        <w:tc>
          <w:tcPr>
            <w:tcW w:w="1417" w:type="dxa"/>
            <w:tcBorders>
              <w:top w:val="nil"/>
              <w:left w:val="nil"/>
              <w:bottom w:val="nil"/>
              <w:right w:val="nil"/>
            </w:tcBorders>
            <w:shd w:val="clear" w:color="000000" w:fill="FFFFFF"/>
            <w:noWrap/>
            <w:hideMark/>
          </w:tcPr>
          <w:p w14:paraId="58A8410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53 143</w:t>
            </w:r>
          </w:p>
        </w:tc>
      </w:tr>
      <w:tr w:rsidR="00E7045B" w:rsidRPr="00440196" w14:paraId="60BCAF0B" w14:textId="77777777" w:rsidTr="00440196">
        <w:trPr>
          <w:trHeight w:val="273"/>
        </w:trPr>
        <w:tc>
          <w:tcPr>
            <w:tcW w:w="5101" w:type="dxa"/>
            <w:tcBorders>
              <w:top w:val="nil"/>
              <w:left w:val="nil"/>
              <w:bottom w:val="single" w:sz="4" w:space="0" w:color="auto"/>
              <w:right w:val="nil"/>
            </w:tcBorders>
            <w:shd w:val="clear" w:color="000000" w:fill="FFFFFF"/>
            <w:noWrap/>
            <w:hideMark/>
          </w:tcPr>
          <w:p w14:paraId="5D651988"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Travel and meeting costs of participants for Multidisciplinary Expert Panel sessions </w:t>
            </w:r>
          </w:p>
        </w:tc>
        <w:tc>
          <w:tcPr>
            <w:tcW w:w="1559" w:type="dxa"/>
            <w:tcBorders>
              <w:top w:val="nil"/>
              <w:left w:val="nil"/>
              <w:bottom w:val="single" w:sz="4" w:space="0" w:color="auto"/>
              <w:right w:val="nil"/>
            </w:tcBorders>
            <w:shd w:val="clear" w:color="000000" w:fill="FFFFFF"/>
            <w:noWrap/>
            <w:hideMark/>
          </w:tcPr>
          <w:p w14:paraId="0A916BA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240 000</w:t>
            </w:r>
          </w:p>
        </w:tc>
        <w:tc>
          <w:tcPr>
            <w:tcW w:w="1276" w:type="dxa"/>
            <w:tcBorders>
              <w:top w:val="nil"/>
              <w:left w:val="nil"/>
              <w:bottom w:val="single" w:sz="4" w:space="0" w:color="auto"/>
              <w:right w:val="nil"/>
            </w:tcBorders>
            <w:shd w:val="clear" w:color="000000" w:fill="FFFFFF"/>
            <w:noWrap/>
            <w:hideMark/>
          </w:tcPr>
          <w:p w14:paraId="07DC633B"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82 578</w:t>
            </w:r>
          </w:p>
        </w:tc>
        <w:tc>
          <w:tcPr>
            <w:tcW w:w="1417" w:type="dxa"/>
            <w:tcBorders>
              <w:top w:val="nil"/>
              <w:left w:val="nil"/>
              <w:bottom w:val="single" w:sz="4" w:space="0" w:color="auto"/>
              <w:right w:val="nil"/>
            </w:tcBorders>
            <w:shd w:val="clear" w:color="000000" w:fill="FFFFFF"/>
            <w:noWrap/>
            <w:hideMark/>
          </w:tcPr>
          <w:p w14:paraId="2CD7755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157 422</w:t>
            </w:r>
          </w:p>
        </w:tc>
      </w:tr>
      <w:tr w:rsidR="00E7045B" w:rsidRPr="00440196" w14:paraId="0ADAEE0E" w14:textId="77777777" w:rsidTr="00440196">
        <w:trPr>
          <w:trHeight w:val="309"/>
        </w:trPr>
        <w:tc>
          <w:tcPr>
            <w:tcW w:w="5101" w:type="dxa"/>
            <w:tcBorders>
              <w:top w:val="single" w:sz="4" w:space="0" w:color="auto"/>
              <w:left w:val="nil"/>
              <w:bottom w:val="single" w:sz="4" w:space="0" w:color="auto"/>
              <w:right w:val="nil"/>
            </w:tcBorders>
            <w:shd w:val="clear" w:color="auto" w:fill="auto"/>
            <w:noWrap/>
            <w:hideMark/>
          </w:tcPr>
          <w:p w14:paraId="4194142F"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1.2 Bureau and Multidisciplinary Expert Panel</w:t>
            </w:r>
          </w:p>
        </w:tc>
        <w:tc>
          <w:tcPr>
            <w:tcW w:w="1559" w:type="dxa"/>
            <w:tcBorders>
              <w:top w:val="single" w:sz="4" w:space="0" w:color="auto"/>
              <w:left w:val="nil"/>
              <w:bottom w:val="single" w:sz="4" w:space="0" w:color="auto"/>
              <w:right w:val="nil"/>
            </w:tcBorders>
            <w:shd w:val="clear" w:color="auto" w:fill="auto"/>
            <w:noWrap/>
            <w:hideMark/>
          </w:tcPr>
          <w:p w14:paraId="68D72B1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343 500</w:t>
            </w:r>
          </w:p>
        </w:tc>
        <w:tc>
          <w:tcPr>
            <w:tcW w:w="1276" w:type="dxa"/>
            <w:tcBorders>
              <w:top w:val="single" w:sz="4" w:space="0" w:color="auto"/>
              <w:left w:val="nil"/>
              <w:bottom w:val="single" w:sz="4" w:space="0" w:color="auto"/>
              <w:right w:val="nil"/>
            </w:tcBorders>
            <w:shd w:val="clear" w:color="auto" w:fill="auto"/>
            <w:noWrap/>
            <w:hideMark/>
          </w:tcPr>
          <w:p w14:paraId="219CC6E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132 935</w:t>
            </w:r>
          </w:p>
        </w:tc>
        <w:tc>
          <w:tcPr>
            <w:tcW w:w="1417" w:type="dxa"/>
            <w:tcBorders>
              <w:top w:val="single" w:sz="4" w:space="0" w:color="auto"/>
              <w:left w:val="nil"/>
              <w:bottom w:val="single" w:sz="4" w:space="0" w:color="auto"/>
              <w:right w:val="nil"/>
            </w:tcBorders>
            <w:shd w:val="clear" w:color="auto" w:fill="auto"/>
            <w:noWrap/>
            <w:hideMark/>
          </w:tcPr>
          <w:p w14:paraId="16886D6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210 565</w:t>
            </w:r>
          </w:p>
        </w:tc>
      </w:tr>
      <w:tr w:rsidR="00E7045B" w:rsidRPr="00440196" w14:paraId="39C0F7BA" w14:textId="77777777" w:rsidTr="00440196">
        <w:trPr>
          <w:trHeight w:val="326"/>
        </w:trPr>
        <w:tc>
          <w:tcPr>
            <w:tcW w:w="5101" w:type="dxa"/>
            <w:tcBorders>
              <w:top w:val="single" w:sz="4" w:space="0" w:color="auto"/>
              <w:left w:val="nil"/>
              <w:bottom w:val="single" w:sz="4" w:space="0" w:color="auto"/>
              <w:right w:val="nil"/>
            </w:tcBorders>
            <w:shd w:val="clear" w:color="000000" w:fill="FFFFFF"/>
            <w:noWrap/>
            <w:hideMark/>
          </w:tcPr>
          <w:p w14:paraId="0BEB4171"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1.3 Travel costs of the Chair to represent the Platform</w:t>
            </w:r>
          </w:p>
        </w:tc>
        <w:tc>
          <w:tcPr>
            <w:tcW w:w="1559" w:type="dxa"/>
            <w:tcBorders>
              <w:top w:val="single" w:sz="4" w:space="0" w:color="auto"/>
              <w:left w:val="nil"/>
              <w:bottom w:val="single" w:sz="4" w:space="0" w:color="auto"/>
              <w:right w:val="nil"/>
            </w:tcBorders>
            <w:shd w:val="clear" w:color="000000" w:fill="FFFFFF"/>
            <w:noWrap/>
            <w:hideMark/>
          </w:tcPr>
          <w:p w14:paraId="5B3A41E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20 000</w:t>
            </w:r>
          </w:p>
        </w:tc>
        <w:tc>
          <w:tcPr>
            <w:tcW w:w="1276" w:type="dxa"/>
            <w:tcBorders>
              <w:top w:val="single" w:sz="4" w:space="0" w:color="auto"/>
              <w:left w:val="nil"/>
              <w:bottom w:val="single" w:sz="4" w:space="0" w:color="auto"/>
              <w:right w:val="nil"/>
            </w:tcBorders>
            <w:shd w:val="clear" w:color="000000" w:fill="FFFFFF"/>
            <w:noWrap/>
            <w:hideMark/>
          </w:tcPr>
          <w:p w14:paraId="64FFEB9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c>
          <w:tcPr>
            <w:tcW w:w="1417" w:type="dxa"/>
            <w:tcBorders>
              <w:top w:val="single" w:sz="4" w:space="0" w:color="auto"/>
              <w:left w:val="nil"/>
              <w:bottom w:val="single" w:sz="4" w:space="0" w:color="auto"/>
              <w:right w:val="nil"/>
            </w:tcBorders>
            <w:shd w:val="clear" w:color="000000" w:fill="FFFFFF"/>
            <w:noWrap/>
            <w:hideMark/>
          </w:tcPr>
          <w:p w14:paraId="48FD555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20 000</w:t>
            </w:r>
          </w:p>
        </w:tc>
      </w:tr>
      <w:tr w:rsidR="00E7045B" w:rsidRPr="00440196" w14:paraId="6DD259DB" w14:textId="77777777" w:rsidTr="00440196">
        <w:trPr>
          <w:trHeight w:val="219"/>
        </w:trPr>
        <w:tc>
          <w:tcPr>
            <w:tcW w:w="5101" w:type="dxa"/>
            <w:tcBorders>
              <w:top w:val="single" w:sz="4" w:space="0" w:color="auto"/>
              <w:left w:val="nil"/>
              <w:bottom w:val="single" w:sz="4" w:space="0" w:color="auto"/>
              <w:right w:val="nil"/>
            </w:tcBorders>
            <w:shd w:val="clear" w:color="auto" w:fill="auto"/>
            <w:noWrap/>
            <w:hideMark/>
          </w:tcPr>
          <w:p w14:paraId="3AEC68B9"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 xml:space="preserve">Subtotal 1 Meetings of the Platform bodies </w:t>
            </w:r>
          </w:p>
        </w:tc>
        <w:tc>
          <w:tcPr>
            <w:tcW w:w="1559" w:type="dxa"/>
            <w:tcBorders>
              <w:top w:val="single" w:sz="4" w:space="0" w:color="auto"/>
              <w:left w:val="nil"/>
              <w:bottom w:val="single" w:sz="4" w:space="0" w:color="auto"/>
              <w:right w:val="nil"/>
            </w:tcBorders>
            <w:shd w:val="clear" w:color="auto" w:fill="auto"/>
            <w:noWrap/>
            <w:hideMark/>
          </w:tcPr>
          <w:p w14:paraId="1A7A45FE"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1 503 500</w:t>
            </w:r>
          </w:p>
        </w:tc>
        <w:tc>
          <w:tcPr>
            <w:tcW w:w="1276" w:type="dxa"/>
            <w:tcBorders>
              <w:top w:val="single" w:sz="4" w:space="0" w:color="auto"/>
              <w:left w:val="nil"/>
              <w:bottom w:val="single" w:sz="4" w:space="0" w:color="auto"/>
              <w:right w:val="nil"/>
            </w:tcBorders>
            <w:shd w:val="clear" w:color="auto" w:fill="auto"/>
            <w:noWrap/>
            <w:hideMark/>
          </w:tcPr>
          <w:p w14:paraId="5FDBF15F"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1 189 301</w:t>
            </w:r>
          </w:p>
        </w:tc>
        <w:tc>
          <w:tcPr>
            <w:tcW w:w="1417" w:type="dxa"/>
            <w:tcBorders>
              <w:top w:val="single" w:sz="4" w:space="0" w:color="auto"/>
              <w:left w:val="nil"/>
              <w:bottom w:val="single" w:sz="4" w:space="0" w:color="auto"/>
              <w:right w:val="nil"/>
            </w:tcBorders>
            <w:shd w:val="clear" w:color="auto" w:fill="auto"/>
            <w:noWrap/>
            <w:hideMark/>
          </w:tcPr>
          <w:p w14:paraId="13C7AA0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314 198</w:t>
            </w:r>
          </w:p>
        </w:tc>
      </w:tr>
      <w:tr w:rsidR="00E7045B" w:rsidRPr="00440196" w14:paraId="442F57D1" w14:textId="77777777" w:rsidTr="00440196">
        <w:trPr>
          <w:trHeight w:val="644"/>
        </w:trPr>
        <w:tc>
          <w:tcPr>
            <w:tcW w:w="5101" w:type="dxa"/>
            <w:tcBorders>
              <w:top w:val="single" w:sz="4" w:space="0" w:color="auto"/>
              <w:left w:val="nil"/>
              <w:bottom w:val="nil"/>
              <w:right w:val="nil"/>
            </w:tcBorders>
            <w:shd w:val="clear" w:color="000000" w:fill="FFFFFF"/>
            <w:hideMark/>
          </w:tcPr>
          <w:p w14:paraId="39CE10CF"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2. Implementation of the work programme</w:t>
            </w:r>
          </w:p>
          <w:p w14:paraId="31679E68" w14:textId="77777777" w:rsidR="00E7045B" w:rsidRPr="00440196" w:rsidRDefault="00E7045B" w:rsidP="00440196">
            <w:pPr>
              <w:spacing w:before="40" w:after="40"/>
              <w:rPr>
                <w:sz w:val="18"/>
                <w:szCs w:val="18"/>
              </w:rPr>
            </w:pPr>
            <w:r w:rsidRPr="00440196">
              <w:rPr>
                <w:b/>
                <w:sz w:val="18"/>
                <w:szCs w:val="18"/>
              </w:rPr>
              <w:t>2.1 Objective 1:</w:t>
            </w:r>
            <w:r w:rsidRPr="00440196">
              <w:rPr>
                <w:sz w:val="18"/>
                <w:szCs w:val="18"/>
              </w:rPr>
              <w:t xml:space="preserve"> strengthen the capacity and knowledge foundations of the science-policy interface to implement key Platform functions</w:t>
            </w:r>
          </w:p>
        </w:tc>
        <w:tc>
          <w:tcPr>
            <w:tcW w:w="1559" w:type="dxa"/>
            <w:tcBorders>
              <w:top w:val="single" w:sz="4" w:space="0" w:color="auto"/>
              <w:left w:val="nil"/>
              <w:bottom w:val="nil"/>
              <w:right w:val="nil"/>
            </w:tcBorders>
            <w:shd w:val="clear" w:color="000000" w:fill="FFFFFF"/>
            <w:noWrap/>
            <w:hideMark/>
          </w:tcPr>
          <w:p w14:paraId="6F34C10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1 658 750</w:t>
            </w:r>
          </w:p>
        </w:tc>
        <w:tc>
          <w:tcPr>
            <w:tcW w:w="1276" w:type="dxa"/>
            <w:tcBorders>
              <w:top w:val="single" w:sz="4" w:space="0" w:color="auto"/>
              <w:left w:val="nil"/>
              <w:bottom w:val="nil"/>
              <w:right w:val="nil"/>
            </w:tcBorders>
            <w:shd w:val="clear" w:color="000000" w:fill="FFFFFF"/>
            <w:noWrap/>
            <w:hideMark/>
          </w:tcPr>
          <w:p w14:paraId="55DD89F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1 087 211</w:t>
            </w:r>
          </w:p>
        </w:tc>
        <w:tc>
          <w:tcPr>
            <w:tcW w:w="1417" w:type="dxa"/>
            <w:tcBorders>
              <w:top w:val="single" w:sz="4" w:space="0" w:color="auto"/>
              <w:left w:val="nil"/>
              <w:bottom w:val="nil"/>
              <w:right w:val="nil"/>
            </w:tcBorders>
            <w:shd w:val="clear" w:color="000000" w:fill="FFFFFF"/>
            <w:noWrap/>
            <w:hideMark/>
          </w:tcPr>
          <w:p w14:paraId="2F03E9D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571 539</w:t>
            </w:r>
          </w:p>
        </w:tc>
      </w:tr>
      <w:tr w:rsidR="00E7045B" w:rsidRPr="00440196" w14:paraId="47170B1E" w14:textId="77777777" w:rsidTr="00440196">
        <w:trPr>
          <w:trHeight w:val="621"/>
        </w:trPr>
        <w:tc>
          <w:tcPr>
            <w:tcW w:w="5101" w:type="dxa"/>
            <w:tcBorders>
              <w:top w:val="nil"/>
              <w:left w:val="nil"/>
              <w:bottom w:val="nil"/>
              <w:right w:val="nil"/>
            </w:tcBorders>
            <w:shd w:val="clear" w:color="000000" w:fill="FFFFFF"/>
            <w:hideMark/>
          </w:tcPr>
          <w:p w14:paraId="6748BDEC" w14:textId="77777777" w:rsidR="00E7045B" w:rsidRPr="007831BB" w:rsidRDefault="00E7045B" w:rsidP="00440196">
            <w:pPr>
              <w:widowControl w:val="0"/>
              <w:tabs>
                <w:tab w:val="left" w:pos="6480"/>
                <w:tab w:val="left" w:pos="7200"/>
              </w:tabs>
              <w:spacing w:before="40" w:after="40"/>
              <w:rPr>
                <w:sz w:val="18"/>
                <w:szCs w:val="18"/>
              </w:rPr>
            </w:pPr>
            <w:r w:rsidRPr="00440196">
              <w:rPr>
                <w:b/>
                <w:sz w:val="18"/>
                <w:szCs w:val="18"/>
              </w:rPr>
              <w:t>2.2 Objective 2:</w:t>
            </w:r>
            <w:r w:rsidRPr="00440196">
              <w:rPr>
                <w:sz w:val="18"/>
                <w:szCs w:val="18"/>
              </w:rPr>
              <w:t xml:space="preserve"> strengthen the science-policy interface on biodiversity and ecosystem services at and across the </w:t>
            </w:r>
            <w:proofErr w:type="spellStart"/>
            <w:r w:rsidRPr="00440196">
              <w:rPr>
                <w:sz w:val="18"/>
                <w:szCs w:val="18"/>
              </w:rPr>
              <w:t>subregional</w:t>
            </w:r>
            <w:proofErr w:type="spellEnd"/>
            <w:r w:rsidRPr="00440196">
              <w:rPr>
                <w:sz w:val="18"/>
                <w:szCs w:val="18"/>
              </w:rPr>
              <w:t>, regional and global levels</w:t>
            </w:r>
          </w:p>
        </w:tc>
        <w:tc>
          <w:tcPr>
            <w:tcW w:w="1559" w:type="dxa"/>
            <w:tcBorders>
              <w:top w:val="nil"/>
              <w:left w:val="nil"/>
              <w:bottom w:val="nil"/>
              <w:right w:val="nil"/>
            </w:tcBorders>
            <w:shd w:val="clear" w:color="000000" w:fill="FFFFFF"/>
            <w:noWrap/>
            <w:hideMark/>
          </w:tcPr>
          <w:p w14:paraId="6CAAEE2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1 871 250</w:t>
            </w:r>
          </w:p>
        </w:tc>
        <w:tc>
          <w:tcPr>
            <w:tcW w:w="1276" w:type="dxa"/>
            <w:tcBorders>
              <w:top w:val="nil"/>
              <w:left w:val="nil"/>
              <w:bottom w:val="nil"/>
              <w:right w:val="nil"/>
            </w:tcBorders>
            <w:shd w:val="clear" w:color="000000" w:fill="FFFFFF"/>
            <w:noWrap/>
            <w:hideMark/>
          </w:tcPr>
          <w:p w14:paraId="747E81AA"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1 962 758</w:t>
            </w:r>
          </w:p>
        </w:tc>
        <w:tc>
          <w:tcPr>
            <w:tcW w:w="1417" w:type="dxa"/>
            <w:tcBorders>
              <w:top w:val="nil"/>
              <w:left w:val="nil"/>
              <w:bottom w:val="nil"/>
              <w:right w:val="nil"/>
            </w:tcBorders>
            <w:shd w:val="clear" w:color="000000" w:fill="FFFFFF"/>
            <w:noWrap/>
            <w:hideMark/>
          </w:tcPr>
          <w:p w14:paraId="34414594" w14:textId="77777777" w:rsidR="00E7045B" w:rsidRPr="007831BB" w:rsidRDefault="00E7045B" w:rsidP="00440196">
            <w:pPr>
              <w:widowControl w:val="0"/>
              <w:tabs>
                <w:tab w:val="left" w:pos="6480"/>
                <w:tab w:val="left" w:pos="7200"/>
              </w:tabs>
              <w:spacing w:before="40" w:after="40"/>
              <w:jc w:val="right"/>
              <w:rPr>
                <w:sz w:val="18"/>
                <w:szCs w:val="18"/>
              </w:rPr>
            </w:pPr>
            <w:r w:rsidRPr="00440196">
              <w:rPr>
                <w:b/>
                <w:sz w:val="18"/>
                <w:szCs w:val="18"/>
              </w:rPr>
              <w:t>-</w:t>
            </w:r>
            <w:r w:rsidRPr="00440196">
              <w:rPr>
                <w:sz w:val="18"/>
                <w:szCs w:val="18"/>
              </w:rPr>
              <w:t>91 508</w:t>
            </w:r>
          </w:p>
        </w:tc>
      </w:tr>
      <w:tr w:rsidR="00E7045B" w:rsidRPr="00440196" w14:paraId="5042856A" w14:textId="77777777" w:rsidTr="00440196">
        <w:trPr>
          <w:trHeight w:val="562"/>
        </w:trPr>
        <w:tc>
          <w:tcPr>
            <w:tcW w:w="5101" w:type="dxa"/>
            <w:tcBorders>
              <w:top w:val="nil"/>
              <w:left w:val="nil"/>
              <w:right w:val="nil"/>
            </w:tcBorders>
            <w:shd w:val="clear" w:color="000000" w:fill="FFFFFF"/>
            <w:hideMark/>
          </w:tcPr>
          <w:p w14:paraId="5A125B42" w14:textId="77777777" w:rsidR="00E7045B" w:rsidRPr="007831BB" w:rsidRDefault="00E7045B" w:rsidP="00440196">
            <w:pPr>
              <w:widowControl w:val="0"/>
              <w:tabs>
                <w:tab w:val="left" w:pos="6480"/>
                <w:tab w:val="left" w:pos="7200"/>
              </w:tabs>
              <w:spacing w:before="40" w:after="40"/>
              <w:rPr>
                <w:sz w:val="18"/>
                <w:szCs w:val="18"/>
              </w:rPr>
            </w:pPr>
            <w:r w:rsidRPr="00440196">
              <w:rPr>
                <w:b/>
                <w:sz w:val="18"/>
                <w:szCs w:val="18"/>
              </w:rPr>
              <w:t>2.3 Objective 3</w:t>
            </w:r>
            <w:r w:rsidRPr="00440196">
              <w:rPr>
                <w:sz w:val="18"/>
                <w:szCs w:val="18"/>
              </w:rPr>
              <w:t>: strengthen the knowledge-policy interface with regard to thematic and methodological issues</w:t>
            </w:r>
          </w:p>
        </w:tc>
        <w:tc>
          <w:tcPr>
            <w:tcW w:w="1559" w:type="dxa"/>
            <w:tcBorders>
              <w:top w:val="nil"/>
              <w:left w:val="nil"/>
              <w:right w:val="nil"/>
            </w:tcBorders>
            <w:shd w:val="clear" w:color="000000" w:fill="FFFFFF"/>
            <w:noWrap/>
            <w:hideMark/>
          </w:tcPr>
          <w:p w14:paraId="0D43D94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1 620 000</w:t>
            </w:r>
          </w:p>
        </w:tc>
        <w:tc>
          <w:tcPr>
            <w:tcW w:w="1276" w:type="dxa"/>
            <w:tcBorders>
              <w:top w:val="nil"/>
              <w:left w:val="nil"/>
              <w:right w:val="nil"/>
            </w:tcBorders>
            <w:shd w:val="clear" w:color="000000" w:fill="FFFFFF"/>
            <w:noWrap/>
            <w:hideMark/>
          </w:tcPr>
          <w:p w14:paraId="7EF26A2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1 238 510</w:t>
            </w:r>
          </w:p>
        </w:tc>
        <w:tc>
          <w:tcPr>
            <w:tcW w:w="1417" w:type="dxa"/>
            <w:tcBorders>
              <w:top w:val="nil"/>
              <w:left w:val="nil"/>
              <w:right w:val="nil"/>
            </w:tcBorders>
            <w:shd w:val="clear" w:color="000000" w:fill="FFFFFF"/>
            <w:noWrap/>
            <w:hideMark/>
          </w:tcPr>
          <w:p w14:paraId="34DE53D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381 490</w:t>
            </w:r>
          </w:p>
        </w:tc>
      </w:tr>
      <w:tr w:rsidR="00E7045B" w:rsidRPr="00440196" w14:paraId="12CB3137" w14:textId="77777777" w:rsidTr="00440196">
        <w:trPr>
          <w:trHeight w:val="394"/>
        </w:trPr>
        <w:tc>
          <w:tcPr>
            <w:tcW w:w="5101" w:type="dxa"/>
            <w:tcBorders>
              <w:top w:val="nil"/>
              <w:left w:val="nil"/>
              <w:bottom w:val="single" w:sz="4" w:space="0" w:color="auto"/>
              <w:right w:val="nil"/>
            </w:tcBorders>
            <w:shd w:val="clear" w:color="000000" w:fill="FFFFFF"/>
            <w:hideMark/>
          </w:tcPr>
          <w:p w14:paraId="23052374" w14:textId="77777777" w:rsidR="00E7045B" w:rsidRPr="007831BB" w:rsidRDefault="00E7045B" w:rsidP="00440196">
            <w:pPr>
              <w:widowControl w:val="0"/>
              <w:tabs>
                <w:tab w:val="left" w:pos="6480"/>
                <w:tab w:val="left" w:pos="7200"/>
              </w:tabs>
              <w:spacing w:before="40" w:after="40"/>
              <w:rPr>
                <w:sz w:val="18"/>
                <w:szCs w:val="18"/>
              </w:rPr>
            </w:pPr>
            <w:r w:rsidRPr="00440196">
              <w:rPr>
                <w:b/>
                <w:sz w:val="18"/>
                <w:szCs w:val="18"/>
              </w:rPr>
              <w:t xml:space="preserve">2.4 Objective 4: </w:t>
            </w:r>
            <w:r w:rsidRPr="00440196">
              <w:rPr>
                <w:sz w:val="18"/>
                <w:szCs w:val="18"/>
              </w:rPr>
              <w:t>communicate and evaluate Platform activities, deliverables and findings</w:t>
            </w:r>
          </w:p>
        </w:tc>
        <w:tc>
          <w:tcPr>
            <w:tcW w:w="1559" w:type="dxa"/>
            <w:tcBorders>
              <w:top w:val="nil"/>
              <w:left w:val="nil"/>
              <w:bottom w:val="single" w:sz="4" w:space="0" w:color="auto"/>
              <w:right w:val="nil"/>
            </w:tcBorders>
            <w:shd w:val="clear" w:color="000000" w:fill="FFFFFF"/>
            <w:noWrap/>
            <w:hideMark/>
          </w:tcPr>
          <w:p w14:paraId="172DDADB"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342 500</w:t>
            </w:r>
          </w:p>
        </w:tc>
        <w:tc>
          <w:tcPr>
            <w:tcW w:w="1276" w:type="dxa"/>
            <w:tcBorders>
              <w:top w:val="nil"/>
              <w:left w:val="nil"/>
              <w:bottom w:val="single" w:sz="4" w:space="0" w:color="auto"/>
              <w:right w:val="nil"/>
            </w:tcBorders>
            <w:shd w:val="clear" w:color="000000" w:fill="FFFFFF"/>
            <w:noWrap/>
            <w:hideMark/>
          </w:tcPr>
          <w:p w14:paraId="5531C27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192 950</w:t>
            </w:r>
          </w:p>
        </w:tc>
        <w:tc>
          <w:tcPr>
            <w:tcW w:w="1417" w:type="dxa"/>
            <w:tcBorders>
              <w:top w:val="nil"/>
              <w:left w:val="nil"/>
              <w:bottom w:val="single" w:sz="4" w:space="0" w:color="auto"/>
              <w:right w:val="nil"/>
            </w:tcBorders>
            <w:shd w:val="clear" w:color="000000" w:fill="FFFFFF"/>
            <w:noWrap/>
            <w:hideMark/>
          </w:tcPr>
          <w:p w14:paraId="70FF722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149 550</w:t>
            </w:r>
          </w:p>
        </w:tc>
      </w:tr>
      <w:tr w:rsidR="00E7045B" w:rsidRPr="00440196" w14:paraId="005E5162"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182BC5CD"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2 Implementation of the work programme</w:t>
            </w:r>
          </w:p>
        </w:tc>
        <w:tc>
          <w:tcPr>
            <w:tcW w:w="1559" w:type="dxa"/>
            <w:tcBorders>
              <w:top w:val="single" w:sz="4" w:space="0" w:color="auto"/>
              <w:left w:val="nil"/>
              <w:bottom w:val="single" w:sz="4" w:space="0" w:color="auto"/>
              <w:right w:val="nil"/>
            </w:tcBorders>
            <w:shd w:val="clear" w:color="auto" w:fill="auto"/>
            <w:noWrap/>
            <w:hideMark/>
          </w:tcPr>
          <w:p w14:paraId="62501380"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5 492 500</w:t>
            </w:r>
          </w:p>
        </w:tc>
        <w:tc>
          <w:tcPr>
            <w:tcW w:w="1276" w:type="dxa"/>
            <w:tcBorders>
              <w:top w:val="single" w:sz="4" w:space="0" w:color="auto"/>
              <w:left w:val="nil"/>
              <w:bottom w:val="single" w:sz="4" w:space="0" w:color="auto"/>
              <w:right w:val="nil"/>
            </w:tcBorders>
            <w:shd w:val="clear" w:color="auto" w:fill="auto"/>
            <w:noWrap/>
            <w:hideMark/>
          </w:tcPr>
          <w:p w14:paraId="3509010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4 481 429</w:t>
            </w:r>
          </w:p>
        </w:tc>
        <w:tc>
          <w:tcPr>
            <w:tcW w:w="1417" w:type="dxa"/>
            <w:tcBorders>
              <w:top w:val="single" w:sz="4" w:space="0" w:color="auto"/>
              <w:left w:val="nil"/>
              <w:bottom w:val="single" w:sz="4" w:space="0" w:color="auto"/>
              <w:right w:val="nil"/>
            </w:tcBorders>
            <w:shd w:val="clear" w:color="auto" w:fill="auto"/>
            <w:noWrap/>
            <w:hideMark/>
          </w:tcPr>
          <w:p w14:paraId="35790FC2"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1 011 071</w:t>
            </w:r>
          </w:p>
        </w:tc>
      </w:tr>
      <w:tr w:rsidR="00E7045B" w:rsidRPr="00440196" w14:paraId="774A7D66" w14:textId="77777777" w:rsidTr="00440196">
        <w:trPr>
          <w:trHeight w:val="257"/>
        </w:trPr>
        <w:tc>
          <w:tcPr>
            <w:tcW w:w="5101" w:type="dxa"/>
            <w:tcBorders>
              <w:top w:val="single" w:sz="4" w:space="0" w:color="auto"/>
              <w:left w:val="nil"/>
              <w:bottom w:val="nil"/>
              <w:right w:val="nil"/>
            </w:tcBorders>
            <w:shd w:val="clear" w:color="000000" w:fill="FFFFFF"/>
            <w:noWrap/>
            <w:hideMark/>
          </w:tcPr>
          <w:p w14:paraId="3D64D027"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3. Secretariat</w:t>
            </w:r>
          </w:p>
        </w:tc>
        <w:tc>
          <w:tcPr>
            <w:tcW w:w="1559" w:type="dxa"/>
            <w:vMerge w:val="restart"/>
            <w:tcBorders>
              <w:top w:val="single" w:sz="4" w:space="0" w:color="auto"/>
              <w:left w:val="nil"/>
              <w:bottom w:val="nil"/>
              <w:right w:val="nil"/>
            </w:tcBorders>
            <w:shd w:val="clear" w:color="000000" w:fill="FFFFFF"/>
            <w:hideMark/>
          </w:tcPr>
          <w:p w14:paraId="5F9240CF" w14:textId="77777777" w:rsidR="00E7045B" w:rsidRPr="00440196" w:rsidRDefault="00E7045B" w:rsidP="00440196">
            <w:pPr>
              <w:spacing w:before="40" w:after="40"/>
              <w:jc w:val="right"/>
              <w:rPr>
                <w:sz w:val="18"/>
                <w:szCs w:val="18"/>
              </w:rPr>
            </w:pPr>
          </w:p>
        </w:tc>
        <w:tc>
          <w:tcPr>
            <w:tcW w:w="1276" w:type="dxa"/>
            <w:vMerge w:val="restart"/>
            <w:tcBorders>
              <w:top w:val="single" w:sz="4" w:space="0" w:color="auto"/>
              <w:left w:val="nil"/>
              <w:bottom w:val="nil"/>
              <w:right w:val="nil"/>
            </w:tcBorders>
            <w:shd w:val="clear" w:color="000000" w:fill="FFFFFF"/>
            <w:hideMark/>
          </w:tcPr>
          <w:p w14:paraId="08CD28DC" w14:textId="77777777" w:rsidR="00E7045B" w:rsidRPr="00440196" w:rsidRDefault="00E7045B" w:rsidP="00440196">
            <w:pPr>
              <w:spacing w:before="40" w:after="40"/>
              <w:jc w:val="right"/>
              <w:rPr>
                <w:sz w:val="18"/>
                <w:szCs w:val="18"/>
              </w:rPr>
            </w:pPr>
          </w:p>
        </w:tc>
        <w:tc>
          <w:tcPr>
            <w:tcW w:w="1417" w:type="dxa"/>
            <w:vMerge w:val="restart"/>
            <w:tcBorders>
              <w:top w:val="single" w:sz="4" w:space="0" w:color="auto"/>
              <w:left w:val="nil"/>
              <w:bottom w:val="nil"/>
              <w:right w:val="nil"/>
            </w:tcBorders>
            <w:shd w:val="clear" w:color="000000" w:fill="FFFFFF"/>
            <w:hideMark/>
          </w:tcPr>
          <w:p w14:paraId="41A5235D" w14:textId="77777777" w:rsidR="00E7045B" w:rsidRPr="00440196" w:rsidRDefault="00E7045B" w:rsidP="00440196">
            <w:pPr>
              <w:spacing w:before="40" w:after="40"/>
              <w:jc w:val="right"/>
              <w:rPr>
                <w:sz w:val="18"/>
                <w:szCs w:val="18"/>
              </w:rPr>
            </w:pPr>
          </w:p>
        </w:tc>
      </w:tr>
      <w:tr w:rsidR="00E7045B" w:rsidRPr="00440196" w14:paraId="58F0063F" w14:textId="77777777" w:rsidTr="00440196">
        <w:trPr>
          <w:trHeight w:val="257"/>
        </w:trPr>
        <w:tc>
          <w:tcPr>
            <w:tcW w:w="5101" w:type="dxa"/>
            <w:tcBorders>
              <w:top w:val="nil"/>
              <w:left w:val="nil"/>
              <w:bottom w:val="nil"/>
              <w:right w:val="nil"/>
            </w:tcBorders>
            <w:shd w:val="clear" w:color="000000" w:fill="FFFFFF"/>
            <w:noWrap/>
            <w:hideMark/>
          </w:tcPr>
          <w:p w14:paraId="7FB9B15B"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3.1 Personnel</w:t>
            </w:r>
          </w:p>
        </w:tc>
        <w:tc>
          <w:tcPr>
            <w:tcW w:w="1559" w:type="dxa"/>
            <w:vMerge/>
            <w:tcBorders>
              <w:top w:val="nil"/>
              <w:left w:val="nil"/>
              <w:bottom w:val="nil"/>
              <w:right w:val="nil"/>
            </w:tcBorders>
            <w:hideMark/>
          </w:tcPr>
          <w:p w14:paraId="11D5E147" w14:textId="77777777" w:rsidR="00E7045B" w:rsidRPr="00440196" w:rsidRDefault="00E7045B" w:rsidP="00440196">
            <w:pPr>
              <w:spacing w:before="40" w:after="40"/>
              <w:jc w:val="right"/>
              <w:rPr>
                <w:sz w:val="18"/>
                <w:szCs w:val="18"/>
              </w:rPr>
            </w:pPr>
          </w:p>
        </w:tc>
        <w:tc>
          <w:tcPr>
            <w:tcW w:w="1276" w:type="dxa"/>
            <w:vMerge/>
            <w:tcBorders>
              <w:top w:val="nil"/>
              <w:left w:val="nil"/>
              <w:bottom w:val="nil"/>
              <w:right w:val="nil"/>
            </w:tcBorders>
            <w:hideMark/>
          </w:tcPr>
          <w:p w14:paraId="553025F3" w14:textId="77777777" w:rsidR="00E7045B" w:rsidRPr="00440196" w:rsidRDefault="00E7045B" w:rsidP="00440196">
            <w:pPr>
              <w:spacing w:before="40" w:after="40"/>
              <w:jc w:val="right"/>
              <w:rPr>
                <w:sz w:val="18"/>
                <w:szCs w:val="18"/>
              </w:rPr>
            </w:pPr>
          </w:p>
        </w:tc>
        <w:tc>
          <w:tcPr>
            <w:tcW w:w="1417" w:type="dxa"/>
            <w:vMerge/>
            <w:tcBorders>
              <w:top w:val="nil"/>
              <w:left w:val="nil"/>
              <w:bottom w:val="nil"/>
              <w:right w:val="nil"/>
            </w:tcBorders>
            <w:hideMark/>
          </w:tcPr>
          <w:p w14:paraId="332CCE38" w14:textId="77777777" w:rsidR="00E7045B" w:rsidRPr="00440196" w:rsidRDefault="00E7045B" w:rsidP="00440196">
            <w:pPr>
              <w:spacing w:before="40" w:after="40"/>
              <w:jc w:val="right"/>
              <w:rPr>
                <w:sz w:val="18"/>
                <w:szCs w:val="18"/>
              </w:rPr>
            </w:pPr>
          </w:p>
        </w:tc>
      </w:tr>
      <w:tr w:rsidR="00E7045B" w:rsidRPr="00440196" w14:paraId="0F168BEC" w14:textId="77777777" w:rsidTr="00440196">
        <w:trPr>
          <w:trHeight w:val="257"/>
        </w:trPr>
        <w:tc>
          <w:tcPr>
            <w:tcW w:w="5101" w:type="dxa"/>
            <w:tcBorders>
              <w:top w:val="nil"/>
              <w:left w:val="nil"/>
              <w:bottom w:val="nil"/>
              <w:right w:val="nil"/>
            </w:tcBorders>
            <w:shd w:val="clear" w:color="000000" w:fill="FFFFFF"/>
            <w:noWrap/>
            <w:hideMark/>
          </w:tcPr>
          <w:p w14:paraId="0B2C78CE"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 xml:space="preserve">3.1.1 Professional and higher category </w:t>
            </w:r>
          </w:p>
        </w:tc>
        <w:tc>
          <w:tcPr>
            <w:tcW w:w="1559" w:type="dxa"/>
            <w:vMerge/>
            <w:tcBorders>
              <w:top w:val="nil"/>
              <w:left w:val="nil"/>
              <w:bottom w:val="nil"/>
              <w:right w:val="nil"/>
            </w:tcBorders>
            <w:hideMark/>
          </w:tcPr>
          <w:p w14:paraId="4423291D" w14:textId="77777777" w:rsidR="00E7045B" w:rsidRPr="00440196" w:rsidRDefault="00E7045B" w:rsidP="00440196">
            <w:pPr>
              <w:spacing w:before="40" w:after="40"/>
              <w:jc w:val="right"/>
              <w:rPr>
                <w:sz w:val="18"/>
                <w:szCs w:val="18"/>
              </w:rPr>
            </w:pPr>
          </w:p>
        </w:tc>
        <w:tc>
          <w:tcPr>
            <w:tcW w:w="1276" w:type="dxa"/>
            <w:vMerge/>
            <w:tcBorders>
              <w:top w:val="nil"/>
              <w:left w:val="nil"/>
              <w:bottom w:val="nil"/>
              <w:right w:val="nil"/>
            </w:tcBorders>
            <w:hideMark/>
          </w:tcPr>
          <w:p w14:paraId="13ED12CE" w14:textId="77777777" w:rsidR="00E7045B" w:rsidRPr="00440196" w:rsidRDefault="00E7045B" w:rsidP="00440196">
            <w:pPr>
              <w:spacing w:before="40" w:after="40"/>
              <w:jc w:val="right"/>
              <w:rPr>
                <w:sz w:val="18"/>
                <w:szCs w:val="18"/>
              </w:rPr>
            </w:pPr>
          </w:p>
        </w:tc>
        <w:tc>
          <w:tcPr>
            <w:tcW w:w="1417" w:type="dxa"/>
            <w:vMerge/>
            <w:tcBorders>
              <w:top w:val="nil"/>
              <w:left w:val="nil"/>
              <w:bottom w:val="nil"/>
              <w:right w:val="nil"/>
            </w:tcBorders>
            <w:hideMark/>
          </w:tcPr>
          <w:p w14:paraId="08F73770" w14:textId="77777777" w:rsidR="00E7045B" w:rsidRPr="00440196" w:rsidRDefault="00E7045B" w:rsidP="00440196">
            <w:pPr>
              <w:spacing w:before="40" w:after="40"/>
              <w:jc w:val="right"/>
              <w:rPr>
                <w:sz w:val="18"/>
                <w:szCs w:val="18"/>
              </w:rPr>
            </w:pPr>
          </w:p>
        </w:tc>
      </w:tr>
      <w:tr w:rsidR="00E7045B" w:rsidRPr="00440196" w14:paraId="53DD83F8" w14:textId="77777777" w:rsidTr="00440196">
        <w:trPr>
          <w:trHeight w:val="257"/>
        </w:trPr>
        <w:tc>
          <w:tcPr>
            <w:tcW w:w="5101" w:type="dxa"/>
            <w:tcBorders>
              <w:top w:val="nil"/>
              <w:left w:val="nil"/>
              <w:bottom w:val="nil"/>
              <w:right w:val="nil"/>
            </w:tcBorders>
            <w:shd w:val="clear" w:color="000000" w:fill="FFFFFF"/>
            <w:noWrap/>
            <w:hideMark/>
          </w:tcPr>
          <w:p w14:paraId="6F02941B"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Head of Secretariat (D-1)</w:t>
            </w:r>
          </w:p>
        </w:tc>
        <w:tc>
          <w:tcPr>
            <w:tcW w:w="1559" w:type="dxa"/>
            <w:tcBorders>
              <w:top w:val="nil"/>
              <w:left w:val="nil"/>
              <w:bottom w:val="nil"/>
              <w:right w:val="nil"/>
            </w:tcBorders>
            <w:shd w:val="clear" w:color="000000" w:fill="FFFFFF"/>
            <w:noWrap/>
            <w:hideMark/>
          </w:tcPr>
          <w:p w14:paraId="50F8B29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283 600</w:t>
            </w:r>
          </w:p>
        </w:tc>
        <w:tc>
          <w:tcPr>
            <w:tcW w:w="1276" w:type="dxa"/>
            <w:tcBorders>
              <w:top w:val="nil"/>
              <w:left w:val="nil"/>
              <w:bottom w:val="nil"/>
              <w:right w:val="nil"/>
            </w:tcBorders>
            <w:shd w:val="clear" w:color="000000" w:fill="FFFFFF"/>
            <w:noWrap/>
            <w:hideMark/>
          </w:tcPr>
          <w:p w14:paraId="6FE7279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201 571</w:t>
            </w:r>
          </w:p>
        </w:tc>
        <w:tc>
          <w:tcPr>
            <w:tcW w:w="1417" w:type="dxa"/>
            <w:tcBorders>
              <w:top w:val="nil"/>
              <w:left w:val="nil"/>
              <w:bottom w:val="nil"/>
              <w:right w:val="nil"/>
            </w:tcBorders>
            <w:shd w:val="clear" w:color="000000" w:fill="FFFFFF"/>
            <w:noWrap/>
            <w:hideMark/>
          </w:tcPr>
          <w:p w14:paraId="11E68734"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82 029</w:t>
            </w:r>
          </w:p>
        </w:tc>
      </w:tr>
      <w:tr w:rsidR="00E7045B" w:rsidRPr="00440196" w14:paraId="7FBCC1A7" w14:textId="77777777" w:rsidTr="00440196">
        <w:trPr>
          <w:trHeight w:val="257"/>
        </w:trPr>
        <w:tc>
          <w:tcPr>
            <w:tcW w:w="5101" w:type="dxa"/>
            <w:tcBorders>
              <w:top w:val="nil"/>
              <w:left w:val="nil"/>
              <w:bottom w:val="nil"/>
              <w:right w:val="nil"/>
            </w:tcBorders>
            <w:shd w:val="clear" w:color="000000" w:fill="FFFFFF"/>
            <w:noWrap/>
            <w:hideMark/>
          </w:tcPr>
          <w:p w14:paraId="741CB621"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Programme Officer (P-4) </w:t>
            </w:r>
          </w:p>
        </w:tc>
        <w:tc>
          <w:tcPr>
            <w:tcW w:w="1559" w:type="dxa"/>
            <w:tcBorders>
              <w:top w:val="nil"/>
              <w:left w:val="nil"/>
              <w:bottom w:val="nil"/>
              <w:right w:val="nil"/>
            </w:tcBorders>
            <w:shd w:val="clear" w:color="000000" w:fill="FFFFFF"/>
            <w:noWrap/>
            <w:hideMark/>
          </w:tcPr>
          <w:p w14:paraId="0C84058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223 100</w:t>
            </w:r>
          </w:p>
        </w:tc>
        <w:tc>
          <w:tcPr>
            <w:tcW w:w="1276" w:type="dxa"/>
            <w:tcBorders>
              <w:top w:val="nil"/>
              <w:left w:val="nil"/>
              <w:bottom w:val="nil"/>
              <w:right w:val="nil"/>
            </w:tcBorders>
            <w:shd w:val="clear" w:color="000000" w:fill="FFFFFF"/>
            <w:noWrap/>
            <w:hideMark/>
          </w:tcPr>
          <w:p w14:paraId="3FD5CBEA"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165 398</w:t>
            </w:r>
          </w:p>
        </w:tc>
        <w:tc>
          <w:tcPr>
            <w:tcW w:w="1417" w:type="dxa"/>
            <w:tcBorders>
              <w:top w:val="nil"/>
              <w:left w:val="nil"/>
              <w:bottom w:val="nil"/>
              <w:right w:val="nil"/>
            </w:tcBorders>
            <w:shd w:val="clear" w:color="000000" w:fill="FFFFFF"/>
            <w:noWrap/>
            <w:hideMark/>
          </w:tcPr>
          <w:p w14:paraId="07FC93B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57 702</w:t>
            </w:r>
          </w:p>
        </w:tc>
      </w:tr>
      <w:tr w:rsidR="00E7045B" w:rsidRPr="00440196" w14:paraId="125380E0" w14:textId="77777777" w:rsidTr="00440196">
        <w:trPr>
          <w:trHeight w:val="195"/>
        </w:trPr>
        <w:tc>
          <w:tcPr>
            <w:tcW w:w="5101" w:type="dxa"/>
            <w:tcBorders>
              <w:top w:val="nil"/>
              <w:left w:val="nil"/>
              <w:bottom w:val="nil"/>
              <w:right w:val="nil"/>
            </w:tcBorders>
            <w:shd w:val="clear" w:color="000000" w:fill="FFFFFF"/>
            <w:noWrap/>
            <w:hideMark/>
          </w:tcPr>
          <w:p w14:paraId="075E1783"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Programme Officer (P-4)</w:t>
            </w:r>
            <w:r w:rsidRPr="00440196">
              <w:rPr>
                <w:sz w:val="18"/>
                <w:szCs w:val="18"/>
                <w:vertAlign w:val="superscript"/>
              </w:rPr>
              <w:t>c</w:t>
            </w:r>
          </w:p>
        </w:tc>
        <w:tc>
          <w:tcPr>
            <w:tcW w:w="1559" w:type="dxa"/>
            <w:tcBorders>
              <w:top w:val="nil"/>
              <w:left w:val="nil"/>
              <w:bottom w:val="nil"/>
              <w:right w:val="nil"/>
            </w:tcBorders>
            <w:shd w:val="clear" w:color="000000" w:fill="FFFFFF"/>
            <w:noWrap/>
            <w:hideMark/>
          </w:tcPr>
          <w:p w14:paraId="3FB8A90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c>
          <w:tcPr>
            <w:tcW w:w="1276" w:type="dxa"/>
            <w:tcBorders>
              <w:top w:val="nil"/>
              <w:left w:val="nil"/>
              <w:bottom w:val="nil"/>
              <w:right w:val="nil"/>
            </w:tcBorders>
            <w:shd w:val="clear" w:color="000000" w:fill="FFFFFF"/>
            <w:noWrap/>
            <w:hideMark/>
          </w:tcPr>
          <w:p w14:paraId="2A391A0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c>
          <w:tcPr>
            <w:tcW w:w="1417" w:type="dxa"/>
            <w:tcBorders>
              <w:top w:val="nil"/>
              <w:left w:val="nil"/>
              <w:bottom w:val="nil"/>
              <w:right w:val="nil"/>
            </w:tcBorders>
            <w:shd w:val="clear" w:color="000000" w:fill="FFFFFF"/>
            <w:noWrap/>
            <w:hideMark/>
          </w:tcPr>
          <w:p w14:paraId="6BA7757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r>
      <w:tr w:rsidR="00E7045B" w:rsidRPr="00440196" w14:paraId="288C761F" w14:textId="77777777" w:rsidTr="00440196">
        <w:trPr>
          <w:trHeight w:val="257"/>
        </w:trPr>
        <w:tc>
          <w:tcPr>
            <w:tcW w:w="5101" w:type="dxa"/>
            <w:tcBorders>
              <w:top w:val="nil"/>
              <w:left w:val="nil"/>
              <w:bottom w:val="nil"/>
              <w:right w:val="nil"/>
            </w:tcBorders>
            <w:shd w:val="clear" w:color="000000" w:fill="FFFFFF"/>
            <w:noWrap/>
            <w:hideMark/>
          </w:tcPr>
          <w:p w14:paraId="2883CEE5"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Programme Officer (P-3)</w:t>
            </w:r>
          </w:p>
        </w:tc>
        <w:tc>
          <w:tcPr>
            <w:tcW w:w="1559" w:type="dxa"/>
            <w:tcBorders>
              <w:top w:val="nil"/>
              <w:left w:val="nil"/>
              <w:bottom w:val="nil"/>
              <w:right w:val="nil"/>
            </w:tcBorders>
            <w:shd w:val="clear" w:color="000000" w:fill="FFFFFF"/>
            <w:noWrap/>
            <w:hideMark/>
          </w:tcPr>
          <w:p w14:paraId="63A4DF8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186 100</w:t>
            </w:r>
          </w:p>
        </w:tc>
        <w:tc>
          <w:tcPr>
            <w:tcW w:w="1276" w:type="dxa"/>
            <w:tcBorders>
              <w:top w:val="nil"/>
              <w:left w:val="nil"/>
              <w:bottom w:val="nil"/>
              <w:right w:val="nil"/>
            </w:tcBorders>
            <w:shd w:val="clear" w:color="000000" w:fill="FFFFFF"/>
            <w:noWrap/>
            <w:hideMark/>
          </w:tcPr>
          <w:p w14:paraId="47207B6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18 264</w:t>
            </w:r>
          </w:p>
        </w:tc>
        <w:tc>
          <w:tcPr>
            <w:tcW w:w="1417" w:type="dxa"/>
            <w:tcBorders>
              <w:top w:val="nil"/>
              <w:left w:val="nil"/>
              <w:bottom w:val="nil"/>
              <w:right w:val="nil"/>
            </w:tcBorders>
            <w:shd w:val="clear" w:color="000000" w:fill="FFFFFF"/>
            <w:noWrap/>
            <w:hideMark/>
          </w:tcPr>
          <w:p w14:paraId="442A5F0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167 836</w:t>
            </w:r>
          </w:p>
        </w:tc>
      </w:tr>
      <w:tr w:rsidR="00E7045B" w:rsidRPr="00440196" w14:paraId="1B41EAE7" w14:textId="77777777" w:rsidTr="00440196">
        <w:trPr>
          <w:trHeight w:val="257"/>
        </w:trPr>
        <w:tc>
          <w:tcPr>
            <w:tcW w:w="5101" w:type="dxa"/>
            <w:tcBorders>
              <w:top w:val="nil"/>
              <w:left w:val="nil"/>
              <w:bottom w:val="nil"/>
              <w:right w:val="nil"/>
            </w:tcBorders>
            <w:shd w:val="clear" w:color="000000" w:fill="FFFFFF"/>
            <w:noWrap/>
            <w:hideMark/>
          </w:tcPr>
          <w:p w14:paraId="2F9C504A"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Programme Officer (P-3)</w:t>
            </w:r>
          </w:p>
        </w:tc>
        <w:tc>
          <w:tcPr>
            <w:tcW w:w="1559" w:type="dxa"/>
            <w:tcBorders>
              <w:top w:val="nil"/>
              <w:left w:val="nil"/>
              <w:bottom w:val="nil"/>
              <w:right w:val="nil"/>
            </w:tcBorders>
            <w:shd w:val="clear" w:color="000000" w:fill="FFFFFF"/>
            <w:noWrap/>
            <w:hideMark/>
          </w:tcPr>
          <w:p w14:paraId="1AC0F63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186 100</w:t>
            </w:r>
          </w:p>
        </w:tc>
        <w:tc>
          <w:tcPr>
            <w:tcW w:w="1276" w:type="dxa"/>
            <w:tcBorders>
              <w:top w:val="nil"/>
              <w:left w:val="nil"/>
              <w:bottom w:val="nil"/>
              <w:right w:val="nil"/>
            </w:tcBorders>
            <w:shd w:val="clear" w:color="000000" w:fill="FFFFFF"/>
            <w:noWrap/>
            <w:hideMark/>
          </w:tcPr>
          <w:p w14:paraId="77B31CFB"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94 740</w:t>
            </w:r>
          </w:p>
        </w:tc>
        <w:tc>
          <w:tcPr>
            <w:tcW w:w="1417" w:type="dxa"/>
            <w:tcBorders>
              <w:top w:val="nil"/>
              <w:left w:val="nil"/>
              <w:bottom w:val="nil"/>
              <w:right w:val="nil"/>
            </w:tcBorders>
            <w:shd w:val="clear" w:color="000000" w:fill="FFFFFF"/>
            <w:noWrap/>
            <w:hideMark/>
          </w:tcPr>
          <w:p w14:paraId="2D6BCA7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91 360</w:t>
            </w:r>
          </w:p>
        </w:tc>
      </w:tr>
      <w:tr w:rsidR="00E7045B" w:rsidRPr="00440196" w14:paraId="36F1E7FC" w14:textId="77777777" w:rsidTr="00440196">
        <w:trPr>
          <w:trHeight w:val="257"/>
        </w:trPr>
        <w:tc>
          <w:tcPr>
            <w:tcW w:w="5101" w:type="dxa"/>
            <w:tcBorders>
              <w:top w:val="nil"/>
              <w:left w:val="nil"/>
              <w:right w:val="nil"/>
            </w:tcBorders>
            <w:shd w:val="clear" w:color="000000" w:fill="FFFFFF"/>
            <w:noWrap/>
            <w:hideMark/>
          </w:tcPr>
          <w:p w14:paraId="4ADD6CF2"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Associate Programme Officer (P-2)</w:t>
            </w:r>
          </w:p>
        </w:tc>
        <w:tc>
          <w:tcPr>
            <w:tcW w:w="1559" w:type="dxa"/>
            <w:tcBorders>
              <w:top w:val="nil"/>
              <w:left w:val="nil"/>
              <w:right w:val="nil"/>
            </w:tcBorders>
            <w:shd w:val="clear" w:color="000000" w:fill="FFFFFF"/>
            <w:noWrap/>
            <w:hideMark/>
          </w:tcPr>
          <w:p w14:paraId="2BA94F44"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161 800</w:t>
            </w:r>
          </w:p>
        </w:tc>
        <w:tc>
          <w:tcPr>
            <w:tcW w:w="1276" w:type="dxa"/>
            <w:tcBorders>
              <w:top w:val="nil"/>
              <w:left w:val="nil"/>
              <w:right w:val="nil"/>
            </w:tcBorders>
            <w:shd w:val="clear" w:color="000000" w:fill="FFFFFF"/>
            <w:noWrap/>
            <w:hideMark/>
          </w:tcPr>
          <w:p w14:paraId="1952A4E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82 531</w:t>
            </w:r>
          </w:p>
        </w:tc>
        <w:tc>
          <w:tcPr>
            <w:tcW w:w="1417" w:type="dxa"/>
            <w:tcBorders>
              <w:top w:val="nil"/>
              <w:left w:val="nil"/>
              <w:right w:val="nil"/>
            </w:tcBorders>
            <w:shd w:val="clear" w:color="000000" w:fill="FFFFFF"/>
            <w:noWrap/>
            <w:hideMark/>
          </w:tcPr>
          <w:p w14:paraId="128C99B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79 269</w:t>
            </w:r>
          </w:p>
        </w:tc>
      </w:tr>
      <w:tr w:rsidR="00E7045B" w:rsidRPr="00440196" w14:paraId="0792631C" w14:textId="77777777" w:rsidTr="00440196">
        <w:trPr>
          <w:trHeight w:val="273"/>
        </w:trPr>
        <w:tc>
          <w:tcPr>
            <w:tcW w:w="5101" w:type="dxa"/>
            <w:tcBorders>
              <w:top w:val="nil"/>
              <w:left w:val="nil"/>
              <w:bottom w:val="single" w:sz="4" w:space="0" w:color="auto"/>
              <w:right w:val="nil"/>
            </w:tcBorders>
            <w:shd w:val="clear" w:color="000000" w:fill="FFFFFF"/>
            <w:noWrap/>
            <w:hideMark/>
          </w:tcPr>
          <w:p w14:paraId="795D749A"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Associate Programme Officer (P-2) </w:t>
            </w:r>
          </w:p>
        </w:tc>
        <w:tc>
          <w:tcPr>
            <w:tcW w:w="1559" w:type="dxa"/>
            <w:tcBorders>
              <w:top w:val="nil"/>
              <w:left w:val="nil"/>
              <w:bottom w:val="single" w:sz="4" w:space="0" w:color="auto"/>
              <w:right w:val="nil"/>
            </w:tcBorders>
            <w:shd w:val="clear" w:color="000000" w:fill="FFFFFF"/>
            <w:noWrap/>
            <w:hideMark/>
          </w:tcPr>
          <w:p w14:paraId="114F31C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93 933</w:t>
            </w:r>
          </w:p>
        </w:tc>
        <w:tc>
          <w:tcPr>
            <w:tcW w:w="1276" w:type="dxa"/>
            <w:tcBorders>
              <w:top w:val="nil"/>
              <w:left w:val="nil"/>
              <w:bottom w:val="single" w:sz="4" w:space="0" w:color="auto"/>
              <w:right w:val="nil"/>
            </w:tcBorders>
            <w:shd w:val="clear" w:color="000000" w:fill="FFFFFF"/>
            <w:noWrap/>
            <w:hideMark/>
          </w:tcPr>
          <w:p w14:paraId="2635867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0</w:t>
            </w:r>
          </w:p>
        </w:tc>
        <w:tc>
          <w:tcPr>
            <w:tcW w:w="1417" w:type="dxa"/>
            <w:tcBorders>
              <w:top w:val="nil"/>
              <w:left w:val="nil"/>
              <w:bottom w:val="single" w:sz="4" w:space="0" w:color="auto"/>
              <w:right w:val="nil"/>
            </w:tcBorders>
            <w:shd w:val="clear" w:color="000000" w:fill="FFFFFF"/>
            <w:noWrap/>
            <w:hideMark/>
          </w:tcPr>
          <w:p w14:paraId="6E74880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93 933</w:t>
            </w:r>
          </w:p>
        </w:tc>
      </w:tr>
      <w:tr w:rsidR="00E7045B" w:rsidRPr="00440196" w14:paraId="373BAEE1"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15F0ED6F"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3.1.1 Professional and higher category</w:t>
            </w:r>
          </w:p>
        </w:tc>
        <w:tc>
          <w:tcPr>
            <w:tcW w:w="1559" w:type="dxa"/>
            <w:tcBorders>
              <w:top w:val="single" w:sz="4" w:space="0" w:color="auto"/>
              <w:left w:val="nil"/>
              <w:bottom w:val="single" w:sz="4" w:space="0" w:color="auto"/>
              <w:right w:val="nil"/>
            </w:tcBorders>
            <w:shd w:val="clear" w:color="auto" w:fill="auto"/>
            <w:noWrap/>
            <w:hideMark/>
          </w:tcPr>
          <w:p w14:paraId="56D18102"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1 134 633</w:t>
            </w:r>
          </w:p>
        </w:tc>
        <w:tc>
          <w:tcPr>
            <w:tcW w:w="1276" w:type="dxa"/>
            <w:tcBorders>
              <w:top w:val="single" w:sz="4" w:space="0" w:color="auto"/>
              <w:left w:val="nil"/>
              <w:bottom w:val="single" w:sz="4" w:space="0" w:color="auto"/>
              <w:right w:val="nil"/>
            </w:tcBorders>
            <w:shd w:val="clear" w:color="auto" w:fill="auto"/>
            <w:noWrap/>
            <w:hideMark/>
          </w:tcPr>
          <w:p w14:paraId="3E4F00B8"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562 505</w:t>
            </w:r>
          </w:p>
        </w:tc>
        <w:tc>
          <w:tcPr>
            <w:tcW w:w="1417" w:type="dxa"/>
            <w:tcBorders>
              <w:top w:val="single" w:sz="4" w:space="0" w:color="auto"/>
              <w:left w:val="nil"/>
              <w:bottom w:val="single" w:sz="4" w:space="0" w:color="auto"/>
              <w:right w:val="nil"/>
            </w:tcBorders>
            <w:shd w:val="clear" w:color="auto" w:fill="auto"/>
            <w:noWrap/>
            <w:hideMark/>
          </w:tcPr>
          <w:p w14:paraId="77DB6842"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572 128</w:t>
            </w:r>
          </w:p>
        </w:tc>
      </w:tr>
      <w:tr w:rsidR="00E7045B" w:rsidRPr="00440196" w14:paraId="3C526398" w14:textId="77777777" w:rsidTr="00440196">
        <w:trPr>
          <w:trHeight w:val="257"/>
        </w:trPr>
        <w:tc>
          <w:tcPr>
            <w:tcW w:w="5101" w:type="dxa"/>
            <w:tcBorders>
              <w:top w:val="nil"/>
              <w:left w:val="nil"/>
              <w:bottom w:val="nil"/>
              <w:right w:val="nil"/>
            </w:tcBorders>
            <w:shd w:val="clear" w:color="000000" w:fill="FFFFFF"/>
            <w:noWrap/>
          </w:tcPr>
          <w:p w14:paraId="07B0ADCE" w14:textId="77777777" w:rsidR="00E7045B" w:rsidRPr="007831BB" w:rsidRDefault="00E7045B" w:rsidP="00440196">
            <w:pPr>
              <w:widowControl w:val="0"/>
              <w:tabs>
                <w:tab w:val="left" w:pos="6480"/>
                <w:tab w:val="left" w:pos="7200"/>
              </w:tabs>
              <w:spacing w:before="40" w:after="40"/>
              <w:rPr>
                <w:sz w:val="18"/>
                <w:szCs w:val="18"/>
              </w:rPr>
            </w:pPr>
            <w:r w:rsidRPr="00440196">
              <w:rPr>
                <w:b/>
                <w:sz w:val="18"/>
                <w:szCs w:val="18"/>
              </w:rPr>
              <w:t>3.1.2 Secretariat: Administrative</w:t>
            </w:r>
            <w:r w:rsidRPr="00440196">
              <w:rPr>
                <w:sz w:val="18"/>
                <w:szCs w:val="18"/>
              </w:rPr>
              <w:t xml:space="preserve"> </w:t>
            </w:r>
            <w:r w:rsidRPr="00160BD4">
              <w:rPr>
                <w:b/>
                <w:sz w:val="18"/>
              </w:rPr>
              <w:t>personnel</w:t>
            </w:r>
          </w:p>
        </w:tc>
        <w:tc>
          <w:tcPr>
            <w:tcW w:w="1559" w:type="dxa"/>
            <w:tcBorders>
              <w:top w:val="nil"/>
              <w:left w:val="nil"/>
              <w:bottom w:val="nil"/>
              <w:right w:val="nil"/>
            </w:tcBorders>
            <w:shd w:val="clear" w:color="000000" w:fill="FFFFFF"/>
            <w:noWrap/>
          </w:tcPr>
          <w:p w14:paraId="200876EE" w14:textId="77777777" w:rsidR="00E7045B" w:rsidRPr="00440196" w:rsidRDefault="00E7045B" w:rsidP="00440196">
            <w:pPr>
              <w:spacing w:before="40" w:after="40"/>
              <w:jc w:val="right"/>
              <w:rPr>
                <w:sz w:val="18"/>
                <w:szCs w:val="18"/>
              </w:rPr>
            </w:pPr>
          </w:p>
        </w:tc>
        <w:tc>
          <w:tcPr>
            <w:tcW w:w="1276" w:type="dxa"/>
            <w:tcBorders>
              <w:top w:val="nil"/>
              <w:left w:val="nil"/>
              <w:bottom w:val="nil"/>
              <w:right w:val="nil"/>
            </w:tcBorders>
            <w:shd w:val="clear" w:color="000000" w:fill="FFFFFF"/>
            <w:noWrap/>
          </w:tcPr>
          <w:p w14:paraId="7FC739AF" w14:textId="77777777" w:rsidR="00E7045B" w:rsidRPr="00440196" w:rsidRDefault="00E7045B" w:rsidP="00440196">
            <w:pPr>
              <w:spacing w:before="40" w:after="40"/>
              <w:jc w:val="right"/>
              <w:rPr>
                <w:sz w:val="18"/>
                <w:szCs w:val="18"/>
              </w:rPr>
            </w:pPr>
          </w:p>
        </w:tc>
        <w:tc>
          <w:tcPr>
            <w:tcW w:w="1417" w:type="dxa"/>
            <w:tcBorders>
              <w:top w:val="nil"/>
              <w:left w:val="nil"/>
              <w:bottom w:val="nil"/>
              <w:right w:val="nil"/>
            </w:tcBorders>
            <w:shd w:val="clear" w:color="000000" w:fill="FFFFFF"/>
            <w:noWrap/>
          </w:tcPr>
          <w:p w14:paraId="18FCFBBE" w14:textId="77777777" w:rsidR="00E7045B" w:rsidRPr="00440196" w:rsidRDefault="00E7045B" w:rsidP="00440196">
            <w:pPr>
              <w:spacing w:before="40" w:after="40"/>
              <w:jc w:val="right"/>
              <w:rPr>
                <w:sz w:val="18"/>
                <w:szCs w:val="18"/>
              </w:rPr>
            </w:pPr>
          </w:p>
        </w:tc>
      </w:tr>
      <w:tr w:rsidR="00E7045B" w:rsidRPr="00440196" w14:paraId="6CF0E466" w14:textId="77777777" w:rsidTr="00440196">
        <w:trPr>
          <w:trHeight w:val="257"/>
        </w:trPr>
        <w:tc>
          <w:tcPr>
            <w:tcW w:w="5101" w:type="dxa"/>
            <w:tcBorders>
              <w:top w:val="nil"/>
              <w:left w:val="nil"/>
              <w:bottom w:val="nil"/>
              <w:right w:val="nil"/>
            </w:tcBorders>
            <w:shd w:val="clear" w:color="000000" w:fill="FFFFFF"/>
            <w:noWrap/>
            <w:hideMark/>
          </w:tcPr>
          <w:p w14:paraId="3FC38134"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Administrative support staff member (G-6)</w:t>
            </w:r>
          </w:p>
        </w:tc>
        <w:tc>
          <w:tcPr>
            <w:tcW w:w="1559" w:type="dxa"/>
            <w:tcBorders>
              <w:top w:val="nil"/>
              <w:left w:val="nil"/>
              <w:bottom w:val="nil"/>
              <w:right w:val="nil"/>
            </w:tcBorders>
            <w:shd w:val="clear" w:color="000000" w:fill="FFFFFF"/>
            <w:noWrap/>
            <w:hideMark/>
          </w:tcPr>
          <w:p w14:paraId="4A409091"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113 000</w:t>
            </w:r>
          </w:p>
        </w:tc>
        <w:tc>
          <w:tcPr>
            <w:tcW w:w="1276" w:type="dxa"/>
            <w:tcBorders>
              <w:top w:val="nil"/>
              <w:left w:val="nil"/>
              <w:bottom w:val="nil"/>
              <w:right w:val="nil"/>
            </w:tcBorders>
            <w:shd w:val="clear" w:color="000000" w:fill="FFFFFF"/>
            <w:noWrap/>
            <w:hideMark/>
          </w:tcPr>
          <w:p w14:paraId="29F6DB0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60 690</w:t>
            </w:r>
          </w:p>
        </w:tc>
        <w:tc>
          <w:tcPr>
            <w:tcW w:w="1417" w:type="dxa"/>
            <w:tcBorders>
              <w:top w:val="nil"/>
              <w:left w:val="nil"/>
              <w:bottom w:val="nil"/>
              <w:right w:val="nil"/>
            </w:tcBorders>
            <w:shd w:val="clear" w:color="000000" w:fill="FFFFFF"/>
            <w:noWrap/>
            <w:hideMark/>
          </w:tcPr>
          <w:p w14:paraId="7E3C5E0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52 310</w:t>
            </w:r>
          </w:p>
        </w:tc>
      </w:tr>
      <w:tr w:rsidR="00E7045B" w:rsidRPr="00440196" w14:paraId="16819919" w14:textId="77777777" w:rsidTr="00440196">
        <w:trPr>
          <w:trHeight w:val="257"/>
        </w:trPr>
        <w:tc>
          <w:tcPr>
            <w:tcW w:w="5101" w:type="dxa"/>
            <w:tcBorders>
              <w:top w:val="nil"/>
              <w:left w:val="nil"/>
              <w:bottom w:val="nil"/>
              <w:right w:val="nil"/>
            </w:tcBorders>
            <w:shd w:val="clear" w:color="000000" w:fill="FFFFFF"/>
            <w:noWrap/>
            <w:hideMark/>
          </w:tcPr>
          <w:p w14:paraId="7077086D"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Administrative support staff member (G-6) </w:t>
            </w:r>
          </w:p>
        </w:tc>
        <w:tc>
          <w:tcPr>
            <w:tcW w:w="1559" w:type="dxa"/>
            <w:tcBorders>
              <w:top w:val="nil"/>
              <w:left w:val="nil"/>
              <w:bottom w:val="nil"/>
              <w:right w:val="nil"/>
            </w:tcBorders>
            <w:shd w:val="clear" w:color="000000" w:fill="FFFFFF"/>
            <w:hideMark/>
          </w:tcPr>
          <w:p w14:paraId="218B22A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56 500</w:t>
            </w:r>
          </w:p>
        </w:tc>
        <w:tc>
          <w:tcPr>
            <w:tcW w:w="1276" w:type="dxa"/>
            <w:tcBorders>
              <w:top w:val="nil"/>
              <w:left w:val="nil"/>
              <w:bottom w:val="nil"/>
              <w:right w:val="nil"/>
            </w:tcBorders>
            <w:shd w:val="clear" w:color="000000" w:fill="FFFFFF"/>
            <w:hideMark/>
          </w:tcPr>
          <w:p w14:paraId="71BE220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c>
          <w:tcPr>
            <w:tcW w:w="1417" w:type="dxa"/>
            <w:tcBorders>
              <w:top w:val="nil"/>
              <w:left w:val="nil"/>
              <w:bottom w:val="nil"/>
              <w:right w:val="nil"/>
            </w:tcBorders>
            <w:shd w:val="clear" w:color="000000" w:fill="FFFFFF"/>
            <w:noWrap/>
            <w:hideMark/>
          </w:tcPr>
          <w:p w14:paraId="262C8F4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56 500</w:t>
            </w:r>
          </w:p>
        </w:tc>
      </w:tr>
      <w:tr w:rsidR="00E7045B" w:rsidRPr="00440196" w14:paraId="29B95476" w14:textId="77777777" w:rsidTr="00440196">
        <w:trPr>
          <w:trHeight w:val="257"/>
        </w:trPr>
        <w:tc>
          <w:tcPr>
            <w:tcW w:w="5101" w:type="dxa"/>
            <w:tcBorders>
              <w:top w:val="nil"/>
              <w:left w:val="nil"/>
              <w:bottom w:val="nil"/>
              <w:right w:val="nil"/>
            </w:tcBorders>
            <w:shd w:val="clear" w:color="000000" w:fill="FFFFFF"/>
            <w:noWrap/>
            <w:hideMark/>
          </w:tcPr>
          <w:p w14:paraId="04DB02B1"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Administrative support staff member (G-5) </w:t>
            </w:r>
          </w:p>
        </w:tc>
        <w:tc>
          <w:tcPr>
            <w:tcW w:w="1559" w:type="dxa"/>
            <w:tcBorders>
              <w:top w:val="nil"/>
              <w:left w:val="nil"/>
              <w:bottom w:val="nil"/>
              <w:right w:val="nil"/>
            </w:tcBorders>
            <w:shd w:val="clear" w:color="000000" w:fill="FFFFFF"/>
            <w:noWrap/>
            <w:hideMark/>
          </w:tcPr>
          <w:p w14:paraId="6102F30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56 500</w:t>
            </w:r>
          </w:p>
        </w:tc>
        <w:tc>
          <w:tcPr>
            <w:tcW w:w="1276" w:type="dxa"/>
            <w:tcBorders>
              <w:top w:val="nil"/>
              <w:left w:val="nil"/>
              <w:bottom w:val="nil"/>
              <w:right w:val="nil"/>
            </w:tcBorders>
            <w:shd w:val="clear" w:color="000000" w:fill="FFFFFF"/>
            <w:noWrap/>
            <w:hideMark/>
          </w:tcPr>
          <w:p w14:paraId="49322C4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29 498</w:t>
            </w:r>
          </w:p>
        </w:tc>
        <w:tc>
          <w:tcPr>
            <w:tcW w:w="1417" w:type="dxa"/>
            <w:tcBorders>
              <w:top w:val="nil"/>
              <w:left w:val="nil"/>
              <w:bottom w:val="nil"/>
              <w:right w:val="nil"/>
            </w:tcBorders>
            <w:shd w:val="clear" w:color="000000" w:fill="FFFFFF"/>
            <w:noWrap/>
            <w:hideMark/>
          </w:tcPr>
          <w:p w14:paraId="24D8BC3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27 002</w:t>
            </w:r>
          </w:p>
        </w:tc>
      </w:tr>
      <w:tr w:rsidR="00E7045B" w:rsidRPr="00440196" w14:paraId="54240299" w14:textId="77777777" w:rsidTr="00440196">
        <w:trPr>
          <w:trHeight w:val="257"/>
        </w:trPr>
        <w:tc>
          <w:tcPr>
            <w:tcW w:w="5101" w:type="dxa"/>
            <w:tcBorders>
              <w:top w:val="nil"/>
              <w:left w:val="nil"/>
              <w:bottom w:val="nil"/>
              <w:right w:val="nil"/>
            </w:tcBorders>
            <w:shd w:val="clear" w:color="000000" w:fill="FFFFFF"/>
            <w:noWrap/>
            <w:hideMark/>
          </w:tcPr>
          <w:p w14:paraId="45E9FB79"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Administrative support staff member (G-5)</w:t>
            </w:r>
          </w:p>
        </w:tc>
        <w:tc>
          <w:tcPr>
            <w:tcW w:w="1559" w:type="dxa"/>
            <w:tcBorders>
              <w:top w:val="nil"/>
              <w:left w:val="nil"/>
              <w:bottom w:val="nil"/>
              <w:right w:val="nil"/>
            </w:tcBorders>
            <w:shd w:val="clear" w:color="000000" w:fill="FFFFFF"/>
            <w:noWrap/>
            <w:hideMark/>
          </w:tcPr>
          <w:p w14:paraId="3C612B2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113 000</w:t>
            </w:r>
          </w:p>
        </w:tc>
        <w:tc>
          <w:tcPr>
            <w:tcW w:w="1276" w:type="dxa"/>
            <w:tcBorders>
              <w:top w:val="nil"/>
              <w:left w:val="nil"/>
              <w:bottom w:val="nil"/>
              <w:right w:val="nil"/>
            </w:tcBorders>
            <w:shd w:val="clear" w:color="000000" w:fill="FFFFFF"/>
            <w:noWrap/>
            <w:hideMark/>
          </w:tcPr>
          <w:p w14:paraId="76C2052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59 489</w:t>
            </w:r>
          </w:p>
        </w:tc>
        <w:tc>
          <w:tcPr>
            <w:tcW w:w="1417" w:type="dxa"/>
            <w:tcBorders>
              <w:top w:val="nil"/>
              <w:left w:val="nil"/>
              <w:bottom w:val="nil"/>
              <w:right w:val="nil"/>
            </w:tcBorders>
            <w:shd w:val="clear" w:color="000000" w:fill="FFFFFF"/>
            <w:noWrap/>
            <w:hideMark/>
          </w:tcPr>
          <w:p w14:paraId="0C4BD481"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53 511</w:t>
            </w:r>
          </w:p>
        </w:tc>
      </w:tr>
      <w:tr w:rsidR="00E7045B" w:rsidRPr="00440196" w14:paraId="71FF4BB5" w14:textId="77777777" w:rsidTr="00440196">
        <w:trPr>
          <w:trHeight w:val="273"/>
        </w:trPr>
        <w:tc>
          <w:tcPr>
            <w:tcW w:w="5101" w:type="dxa"/>
            <w:tcBorders>
              <w:top w:val="nil"/>
              <w:left w:val="nil"/>
              <w:bottom w:val="single" w:sz="4" w:space="0" w:color="auto"/>
              <w:right w:val="nil"/>
            </w:tcBorders>
            <w:shd w:val="clear" w:color="000000" w:fill="FFFFFF"/>
            <w:noWrap/>
            <w:hideMark/>
          </w:tcPr>
          <w:p w14:paraId="04848818"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Administrative support staff member (G-5)</w:t>
            </w:r>
          </w:p>
        </w:tc>
        <w:tc>
          <w:tcPr>
            <w:tcW w:w="1559" w:type="dxa"/>
            <w:tcBorders>
              <w:top w:val="nil"/>
              <w:left w:val="nil"/>
              <w:bottom w:val="single" w:sz="4" w:space="0" w:color="auto"/>
              <w:right w:val="nil"/>
            </w:tcBorders>
            <w:shd w:val="clear" w:color="000000" w:fill="FFFFFF"/>
            <w:noWrap/>
            <w:hideMark/>
          </w:tcPr>
          <w:p w14:paraId="6B65B26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113 000</w:t>
            </w:r>
          </w:p>
        </w:tc>
        <w:tc>
          <w:tcPr>
            <w:tcW w:w="1276" w:type="dxa"/>
            <w:tcBorders>
              <w:top w:val="nil"/>
              <w:left w:val="nil"/>
              <w:bottom w:val="single" w:sz="4" w:space="0" w:color="auto"/>
              <w:right w:val="nil"/>
            </w:tcBorders>
            <w:shd w:val="clear" w:color="000000" w:fill="FFFFFF"/>
            <w:noWrap/>
            <w:hideMark/>
          </w:tcPr>
          <w:p w14:paraId="3779B6F1"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59 713</w:t>
            </w:r>
          </w:p>
        </w:tc>
        <w:tc>
          <w:tcPr>
            <w:tcW w:w="1417" w:type="dxa"/>
            <w:tcBorders>
              <w:top w:val="nil"/>
              <w:left w:val="nil"/>
              <w:bottom w:val="single" w:sz="4" w:space="0" w:color="auto"/>
              <w:right w:val="nil"/>
            </w:tcBorders>
            <w:shd w:val="clear" w:color="000000" w:fill="FFFFFF"/>
            <w:noWrap/>
            <w:hideMark/>
          </w:tcPr>
          <w:p w14:paraId="536C04C1"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53 287</w:t>
            </w:r>
          </w:p>
        </w:tc>
      </w:tr>
      <w:tr w:rsidR="00E7045B" w:rsidRPr="00440196" w14:paraId="37040CED"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6A0858A9"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3.1.2 Administrative personnel</w:t>
            </w:r>
          </w:p>
        </w:tc>
        <w:tc>
          <w:tcPr>
            <w:tcW w:w="1559" w:type="dxa"/>
            <w:tcBorders>
              <w:top w:val="single" w:sz="4" w:space="0" w:color="auto"/>
              <w:left w:val="nil"/>
              <w:bottom w:val="single" w:sz="4" w:space="0" w:color="auto"/>
              <w:right w:val="nil"/>
            </w:tcBorders>
            <w:shd w:val="clear" w:color="auto" w:fill="auto"/>
            <w:noWrap/>
            <w:hideMark/>
          </w:tcPr>
          <w:p w14:paraId="5D3E399D"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452 000</w:t>
            </w:r>
          </w:p>
        </w:tc>
        <w:tc>
          <w:tcPr>
            <w:tcW w:w="1276" w:type="dxa"/>
            <w:tcBorders>
              <w:top w:val="single" w:sz="4" w:space="0" w:color="auto"/>
              <w:left w:val="nil"/>
              <w:bottom w:val="single" w:sz="4" w:space="0" w:color="auto"/>
              <w:right w:val="nil"/>
            </w:tcBorders>
            <w:shd w:val="clear" w:color="auto" w:fill="auto"/>
            <w:noWrap/>
            <w:hideMark/>
          </w:tcPr>
          <w:p w14:paraId="37351D4B"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209 390</w:t>
            </w:r>
          </w:p>
        </w:tc>
        <w:tc>
          <w:tcPr>
            <w:tcW w:w="1417" w:type="dxa"/>
            <w:tcBorders>
              <w:top w:val="single" w:sz="4" w:space="0" w:color="auto"/>
              <w:left w:val="nil"/>
              <w:bottom w:val="single" w:sz="4" w:space="0" w:color="auto"/>
              <w:right w:val="nil"/>
            </w:tcBorders>
            <w:shd w:val="clear" w:color="auto" w:fill="auto"/>
            <w:noWrap/>
            <w:hideMark/>
          </w:tcPr>
          <w:p w14:paraId="0BB1973F"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242 610</w:t>
            </w:r>
          </w:p>
        </w:tc>
      </w:tr>
      <w:tr w:rsidR="00E7045B" w:rsidRPr="00440196" w14:paraId="1A1AF82C" w14:textId="77777777" w:rsidTr="00440196">
        <w:trPr>
          <w:trHeight w:val="257"/>
        </w:trPr>
        <w:tc>
          <w:tcPr>
            <w:tcW w:w="5101" w:type="dxa"/>
            <w:tcBorders>
              <w:top w:val="single" w:sz="4" w:space="0" w:color="auto"/>
              <w:left w:val="nil"/>
              <w:right w:val="nil"/>
            </w:tcBorders>
            <w:shd w:val="clear" w:color="000000" w:fill="FFFFFF"/>
            <w:noWrap/>
            <w:hideMark/>
          </w:tcPr>
          <w:p w14:paraId="3170AD0D" w14:textId="21076170" w:rsidR="00E7045B" w:rsidRPr="007831BB" w:rsidRDefault="00E7045B" w:rsidP="00440196">
            <w:pPr>
              <w:widowControl w:val="0"/>
              <w:tabs>
                <w:tab w:val="left" w:pos="6480"/>
                <w:tab w:val="left" w:pos="7200"/>
              </w:tabs>
              <w:spacing w:before="40" w:after="40"/>
              <w:rPr>
                <w:sz w:val="18"/>
                <w:szCs w:val="18"/>
              </w:rPr>
            </w:pPr>
            <w:r w:rsidRPr="00440196">
              <w:rPr>
                <w:sz w:val="18"/>
                <w:szCs w:val="18"/>
              </w:rPr>
              <w:t>Interim secretariat support arrangement</w:t>
            </w:r>
            <w:r w:rsidR="00F93478">
              <w:rPr>
                <w:sz w:val="18"/>
                <w:szCs w:val="18"/>
              </w:rPr>
              <w:t>s</w:t>
            </w:r>
          </w:p>
        </w:tc>
        <w:tc>
          <w:tcPr>
            <w:tcW w:w="1559" w:type="dxa"/>
            <w:tcBorders>
              <w:top w:val="single" w:sz="4" w:space="0" w:color="auto"/>
              <w:left w:val="nil"/>
              <w:right w:val="nil"/>
            </w:tcBorders>
            <w:shd w:val="clear" w:color="000000" w:fill="FFFFFF"/>
            <w:noWrap/>
            <w:hideMark/>
          </w:tcPr>
          <w:p w14:paraId="4AAB941A"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276" w:type="dxa"/>
            <w:tcBorders>
              <w:top w:val="single" w:sz="4" w:space="0" w:color="auto"/>
              <w:left w:val="nil"/>
              <w:right w:val="nil"/>
            </w:tcBorders>
            <w:shd w:val="clear" w:color="auto" w:fill="auto"/>
            <w:noWrap/>
            <w:hideMark/>
          </w:tcPr>
          <w:p w14:paraId="335D951E" w14:textId="77777777" w:rsidR="00E7045B" w:rsidRPr="00440196" w:rsidRDefault="00E7045B" w:rsidP="00440196">
            <w:pPr>
              <w:spacing w:before="40" w:after="40"/>
              <w:jc w:val="right"/>
              <w:rPr>
                <w:sz w:val="18"/>
                <w:szCs w:val="18"/>
              </w:rPr>
            </w:pPr>
          </w:p>
        </w:tc>
        <w:tc>
          <w:tcPr>
            <w:tcW w:w="1417" w:type="dxa"/>
            <w:tcBorders>
              <w:top w:val="single" w:sz="4" w:space="0" w:color="auto"/>
              <w:left w:val="nil"/>
              <w:right w:val="nil"/>
            </w:tcBorders>
            <w:shd w:val="clear" w:color="000000" w:fill="FFFFFF"/>
            <w:noWrap/>
            <w:hideMark/>
          </w:tcPr>
          <w:p w14:paraId="282E7A6A"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r>
      <w:tr w:rsidR="00E7045B" w:rsidRPr="00440196" w14:paraId="0A323D19" w14:textId="77777777" w:rsidTr="00440196">
        <w:trPr>
          <w:trHeight w:val="273"/>
        </w:trPr>
        <w:tc>
          <w:tcPr>
            <w:tcW w:w="5101" w:type="dxa"/>
            <w:tcBorders>
              <w:top w:val="nil"/>
              <w:left w:val="nil"/>
              <w:bottom w:val="single" w:sz="6" w:space="0" w:color="auto"/>
              <w:right w:val="nil"/>
            </w:tcBorders>
            <w:shd w:val="clear" w:color="000000" w:fill="FFFFFF"/>
            <w:noWrap/>
            <w:hideMark/>
          </w:tcPr>
          <w:p w14:paraId="17AF644A"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Interim technical and secretariat support</w:t>
            </w:r>
          </w:p>
        </w:tc>
        <w:tc>
          <w:tcPr>
            <w:tcW w:w="1559" w:type="dxa"/>
            <w:tcBorders>
              <w:top w:val="nil"/>
              <w:left w:val="nil"/>
              <w:bottom w:val="single" w:sz="4" w:space="0" w:color="auto"/>
              <w:right w:val="nil"/>
            </w:tcBorders>
            <w:shd w:val="clear" w:color="000000" w:fill="FFFFFF"/>
            <w:noWrap/>
            <w:hideMark/>
          </w:tcPr>
          <w:p w14:paraId="3EA7161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276" w:type="dxa"/>
            <w:tcBorders>
              <w:top w:val="nil"/>
              <w:left w:val="nil"/>
              <w:bottom w:val="single" w:sz="4" w:space="0" w:color="auto"/>
              <w:right w:val="nil"/>
            </w:tcBorders>
            <w:shd w:val="clear" w:color="auto" w:fill="auto"/>
            <w:noWrap/>
            <w:hideMark/>
          </w:tcPr>
          <w:p w14:paraId="2B084F5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171 426</w:t>
            </w:r>
          </w:p>
        </w:tc>
        <w:tc>
          <w:tcPr>
            <w:tcW w:w="1417" w:type="dxa"/>
            <w:tcBorders>
              <w:top w:val="nil"/>
              <w:left w:val="nil"/>
              <w:bottom w:val="single" w:sz="4" w:space="0" w:color="auto"/>
              <w:right w:val="nil"/>
            </w:tcBorders>
            <w:shd w:val="clear" w:color="auto" w:fill="auto"/>
            <w:noWrap/>
            <w:hideMark/>
          </w:tcPr>
          <w:p w14:paraId="78D7CF2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−171 426</w:t>
            </w:r>
          </w:p>
        </w:tc>
      </w:tr>
      <w:tr w:rsidR="00E7045B" w:rsidRPr="00440196" w14:paraId="10D69E65" w14:textId="77777777" w:rsidTr="00440196">
        <w:trPr>
          <w:trHeight w:val="273"/>
        </w:trPr>
        <w:tc>
          <w:tcPr>
            <w:tcW w:w="5101" w:type="dxa"/>
            <w:tcBorders>
              <w:top w:val="single" w:sz="6" w:space="0" w:color="auto"/>
              <w:bottom w:val="single" w:sz="6" w:space="0" w:color="auto"/>
              <w:right w:val="nil"/>
            </w:tcBorders>
            <w:shd w:val="clear" w:color="auto" w:fill="auto"/>
            <w:noWrap/>
            <w:hideMark/>
          </w:tcPr>
          <w:p w14:paraId="445E9138" w14:textId="3331C740"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3.1.3 Interim support arrangement</w:t>
            </w:r>
            <w:r w:rsidR="00C341D5">
              <w:rPr>
                <w:b/>
                <w:sz w:val="18"/>
                <w:szCs w:val="18"/>
              </w:rPr>
              <w:t>s</w:t>
            </w:r>
          </w:p>
        </w:tc>
        <w:tc>
          <w:tcPr>
            <w:tcW w:w="1559" w:type="dxa"/>
            <w:tcBorders>
              <w:top w:val="single" w:sz="4" w:space="0" w:color="auto"/>
              <w:left w:val="nil"/>
              <w:bottom w:val="single" w:sz="4" w:space="0" w:color="auto"/>
              <w:right w:val="nil"/>
            </w:tcBorders>
            <w:shd w:val="clear" w:color="auto" w:fill="auto"/>
            <w:noWrap/>
            <w:hideMark/>
          </w:tcPr>
          <w:p w14:paraId="7AF5E077"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sz w:val="18"/>
                <w:szCs w:val="18"/>
              </w:rPr>
              <w:t>−</w:t>
            </w:r>
          </w:p>
        </w:tc>
        <w:tc>
          <w:tcPr>
            <w:tcW w:w="1276" w:type="dxa"/>
            <w:tcBorders>
              <w:top w:val="single" w:sz="4" w:space="0" w:color="auto"/>
              <w:left w:val="nil"/>
              <w:bottom w:val="single" w:sz="4" w:space="0" w:color="auto"/>
              <w:right w:val="nil"/>
            </w:tcBorders>
            <w:shd w:val="clear" w:color="auto" w:fill="auto"/>
            <w:noWrap/>
            <w:hideMark/>
          </w:tcPr>
          <w:p w14:paraId="45B12E3D"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171 426</w:t>
            </w:r>
          </w:p>
        </w:tc>
        <w:tc>
          <w:tcPr>
            <w:tcW w:w="1417" w:type="dxa"/>
            <w:tcBorders>
              <w:top w:val="single" w:sz="4" w:space="0" w:color="auto"/>
              <w:left w:val="nil"/>
              <w:bottom w:val="single" w:sz="4" w:space="0" w:color="auto"/>
              <w:right w:val="nil"/>
            </w:tcBorders>
            <w:shd w:val="clear" w:color="auto" w:fill="auto"/>
            <w:noWrap/>
            <w:hideMark/>
          </w:tcPr>
          <w:p w14:paraId="3947C17D"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sz w:val="18"/>
                <w:szCs w:val="18"/>
              </w:rPr>
              <w:t>−</w:t>
            </w:r>
            <w:r w:rsidRPr="00440196">
              <w:rPr>
                <w:b/>
                <w:sz w:val="18"/>
                <w:szCs w:val="18"/>
              </w:rPr>
              <w:t>171 426</w:t>
            </w:r>
          </w:p>
        </w:tc>
      </w:tr>
      <w:tr w:rsidR="00E7045B" w:rsidRPr="00440196" w14:paraId="14AAB80D" w14:textId="77777777" w:rsidTr="00440196">
        <w:trPr>
          <w:trHeight w:val="212"/>
        </w:trPr>
        <w:tc>
          <w:tcPr>
            <w:tcW w:w="5101" w:type="dxa"/>
            <w:tcBorders>
              <w:top w:val="single" w:sz="6" w:space="0" w:color="auto"/>
              <w:left w:val="nil"/>
              <w:bottom w:val="single" w:sz="4" w:space="0" w:color="auto"/>
              <w:right w:val="nil"/>
            </w:tcBorders>
            <w:shd w:val="clear" w:color="auto" w:fill="auto"/>
            <w:noWrap/>
            <w:hideMark/>
          </w:tcPr>
          <w:p w14:paraId="14875532"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3.1 Personnel</w:t>
            </w:r>
          </w:p>
        </w:tc>
        <w:tc>
          <w:tcPr>
            <w:tcW w:w="1559" w:type="dxa"/>
            <w:tcBorders>
              <w:top w:val="single" w:sz="4" w:space="0" w:color="auto"/>
              <w:left w:val="nil"/>
              <w:bottom w:val="single" w:sz="4" w:space="0" w:color="auto"/>
              <w:right w:val="nil"/>
            </w:tcBorders>
            <w:shd w:val="clear" w:color="auto" w:fill="auto"/>
            <w:noWrap/>
            <w:hideMark/>
          </w:tcPr>
          <w:p w14:paraId="26DC241A"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1 586 633</w:t>
            </w:r>
          </w:p>
        </w:tc>
        <w:tc>
          <w:tcPr>
            <w:tcW w:w="1276" w:type="dxa"/>
            <w:tcBorders>
              <w:top w:val="single" w:sz="4" w:space="0" w:color="auto"/>
              <w:left w:val="nil"/>
              <w:bottom w:val="single" w:sz="4" w:space="0" w:color="auto"/>
              <w:right w:val="nil"/>
            </w:tcBorders>
            <w:shd w:val="clear" w:color="auto" w:fill="auto"/>
            <w:noWrap/>
            <w:hideMark/>
          </w:tcPr>
          <w:p w14:paraId="6661B11D"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943 321</w:t>
            </w:r>
          </w:p>
        </w:tc>
        <w:tc>
          <w:tcPr>
            <w:tcW w:w="1417" w:type="dxa"/>
            <w:tcBorders>
              <w:top w:val="single" w:sz="4" w:space="0" w:color="auto"/>
              <w:left w:val="nil"/>
              <w:bottom w:val="single" w:sz="4" w:space="0" w:color="auto"/>
              <w:right w:val="nil"/>
            </w:tcBorders>
            <w:shd w:val="clear" w:color="auto" w:fill="auto"/>
            <w:noWrap/>
            <w:hideMark/>
          </w:tcPr>
          <w:p w14:paraId="4CD4A42A"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643 312</w:t>
            </w:r>
          </w:p>
        </w:tc>
      </w:tr>
      <w:tr w:rsidR="00E7045B" w:rsidRPr="00440196" w14:paraId="00046E5B" w14:textId="77777777" w:rsidTr="00440196">
        <w:trPr>
          <w:trHeight w:val="257"/>
        </w:trPr>
        <w:tc>
          <w:tcPr>
            <w:tcW w:w="5101" w:type="dxa"/>
            <w:tcBorders>
              <w:top w:val="single" w:sz="4" w:space="0" w:color="auto"/>
              <w:left w:val="nil"/>
              <w:bottom w:val="nil"/>
              <w:right w:val="nil"/>
            </w:tcBorders>
            <w:shd w:val="clear" w:color="000000" w:fill="FFFFFF"/>
            <w:noWrap/>
            <w:hideMark/>
          </w:tcPr>
          <w:p w14:paraId="74638790"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3.2 Secretariat: operating costs (non-personnel)</w:t>
            </w:r>
          </w:p>
        </w:tc>
        <w:tc>
          <w:tcPr>
            <w:tcW w:w="1559" w:type="dxa"/>
            <w:tcBorders>
              <w:top w:val="single" w:sz="4" w:space="0" w:color="auto"/>
              <w:left w:val="nil"/>
              <w:bottom w:val="nil"/>
              <w:right w:val="nil"/>
            </w:tcBorders>
            <w:shd w:val="clear" w:color="000000" w:fill="FFFFFF"/>
            <w:noWrap/>
            <w:hideMark/>
          </w:tcPr>
          <w:p w14:paraId="29548C09"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 xml:space="preserve"> </w:t>
            </w:r>
          </w:p>
        </w:tc>
        <w:tc>
          <w:tcPr>
            <w:tcW w:w="1276" w:type="dxa"/>
            <w:tcBorders>
              <w:top w:val="single" w:sz="4" w:space="0" w:color="auto"/>
              <w:left w:val="nil"/>
              <w:bottom w:val="nil"/>
              <w:right w:val="nil"/>
            </w:tcBorders>
            <w:shd w:val="clear" w:color="auto" w:fill="auto"/>
            <w:noWrap/>
            <w:hideMark/>
          </w:tcPr>
          <w:p w14:paraId="2B8CFE54" w14:textId="77777777" w:rsidR="00E7045B" w:rsidRPr="00440196" w:rsidRDefault="00E7045B" w:rsidP="00440196">
            <w:pPr>
              <w:spacing w:before="40" w:after="40"/>
              <w:jc w:val="right"/>
              <w:rPr>
                <w:b/>
                <w:sz w:val="18"/>
                <w:szCs w:val="18"/>
              </w:rPr>
            </w:pPr>
          </w:p>
        </w:tc>
        <w:tc>
          <w:tcPr>
            <w:tcW w:w="1417" w:type="dxa"/>
            <w:tcBorders>
              <w:top w:val="single" w:sz="4" w:space="0" w:color="auto"/>
              <w:left w:val="nil"/>
              <w:bottom w:val="nil"/>
              <w:right w:val="nil"/>
            </w:tcBorders>
            <w:shd w:val="clear" w:color="000000" w:fill="FFFFFF"/>
            <w:noWrap/>
            <w:hideMark/>
          </w:tcPr>
          <w:p w14:paraId="5B0593D0"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 xml:space="preserve"> </w:t>
            </w:r>
          </w:p>
        </w:tc>
      </w:tr>
      <w:tr w:rsidR="00E7045B" w:rsidRPr="00440196" w14:paraId="015745B4" w14:textId="77777777" w:rsidTr="00440196">
        <w:trPr>
          <w:trHeight w:val="257"/>
        </w:trPr>
        <w:tc>
          <w:tcPr>
            <w:tcW w:w="5101" w:type="dxa"/>
            <w:tcBorders>
              <w:top w:val="nil"/>
              <w:left w:val="nil"/>
              <w:bottom w:val="nil"/>
              <w:right w:val="nil"/>
            </w:tcBorders>
            <w:shd w:val="clear" w:color="000000" w:fill="FFFFFF"/>
            <w:noWrap/>
            <w:hideMark/>
          </w:tcPr>
          <w:p w14:paraId="450A39BA"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3.2.1 Travel on official business</w:t>
            </w:r>
          </w:p>
        </w:tc>
        <w:tc>
          <w:tcPr>
            <w:tcW w:w="1559" w:type="dxa"/>
            <w:tcBorders>
              <w:top w:val="nil"/>
              <w:left w:val="nil"/>
              <w:bottom w:val="nil"/>
              <w:right w:val="nil"/>
            </w:tcBorders>
            <w:shd w:val="clear" w:color="000000" w:fill="FFFFFF"/>
            <w:noWrap/>
            <w:hideMark/>
          </w:tcPr>
          <w:p w14:paraId="345575E8"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 xml:space="preserve"> </w:t>
            </w:r>
          </w:p>
        </w:tc>
        <w:tc>
          <w:tcPr>
            <w:tcW w:w="1276" w:type="dxa"/>
            <w:tcBorders>
              <w:top w:val="nil"/>
              <w:left w:val="nil"/>
              <w:bottom w:val="nil"/>
              <w:right w:val="nil"/>
            </w:tcBorders>
            <w:shd w:val="clear" w:color="auto" w:fill="auto"/>
            <w:noWrap/>
            <w:hideMark/>
          </w:tcPr>
          <w:p w14:paraId="4D9904BF" w14:textId="77777777" w:rsidR="00E7045B" w:rsidRPr="00440196" w:rsidRDefault="00E7045B" w:rsidP="00440196">
            <w:pPr>
              <w:spacing w:before="40" w:after="40"/>
              <w:jc w:val="right"/>
              <w:rPr>
                <w:b/>
                <w:sz w:val="18"/>
                <w:szCs w:val="18"/>
              </w:rPr>
            </w:pPr>
          </w:p>
        </w:tc>
        <w:tc>
          <w:tcPr>
            <w:tcW w:w="1417" w:type="dxa"/>
            <w:tcBorders>
              <w:top w:val="nil"/>
              <w:left w:val="nil"/>
              <w:bottom w:val="nil"/>
              <w:right w:val="nil"/>
            </w:tcBorders>
            <w:shd w:val="clear" w:color="000000" w:fill="FFFFFF"/>
            <w:noWrap/>
            <w:hideMark/>
          </w:tcPr>
          <w:p w14:paraId="0257E77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 xml:space="preserve"> </w:t>
            </w:r>
          </w:p>
        </w:tc>
      </w:tr>
      <w:tr w:rsidR="00E7045B" w:rsidRPr="00440196" w14:paraId="3D08909F" w14:textId="77777777" w:rsidTr="00440196">
        <w:trPr>
          <w:trHeight w:val="273"/>
        </w:trPr>
        <w:tc>
          <w:tcPr>
            <w:tcW w:w="5101" w:type="dxa"/>
            <w:tcBorders>
              <w:top w:val="nil"/>
              <w:left w:val="nil"/>
              <w:bottom w:val="single" w:sz="4" w:space="0" w:color="auto"/>
              <w:right w:val="nil"/>
            </w:tcBorders>
            <w:shd w:val="clear" w:color="000000" w:fill="FFFFFF"/>
            <w:noWrap/>
            <w:hideMark/>
          </w:tcPr>
          <w:p w14:paraId="0C19C7D6"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Official travel</w:t>
            </w:r>
          </w:p>
        </w:tc>
        <w:tc>
          <w:tcPr>
            <w:tcW w:w="1559" w:type="dxa"/>
            <w:tcBorders>
              <w:top w:val="nil"/>
              <w:left w:val="nil"/>
              <w:bottom w:val="single" w:sz="4" w:space="0" w:color="auto"/>
              <w:right w:val="nil"/>
            </w:tcBorders>
            <w:shd w:val="clear" w:color="000000" w:fill="FFFFFF"/>
            <w:noWrap/>
            <w:hideMark/>
          </w:tcPr>
          <w:p w14:paraId="5414251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100 000</w:t>
            </w:r>
          </w:p>
        </w:tc>
        <w:tc>
          <w:tcPr>
            <w:tcW w:w="1276" w:type="dxa"/>
            <w:tcBorders>
              <w:top w:val="nil"/>
              <w:left w:val="nil"/>
              <w:bottom w:val="single" w:sz="4" w:space="0" w:color="auto"/>
              <w:right w:val="nil"/>
            </w:tcBorders>
            <w:shd w:val="clear" w:color="auto" w:fill="auto"/>
            <w:noWrap/>
            <w:hideMark/>
          </w:tcPr>
          <w:p w14:paraId="23E0C87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76 708</w:t>
            </w:r>
          </w:p>
        </w:tc>
        <w:tc>
          <w:tcPr>
            <w:tcW w:w="1417" w:type="dxa"/>
            <w:tcBorders>
              <w:top w:val="nil"/>
              <w:left w:val="nil"/>
              <w:bottom w:val="single" w:sz="4" w:space="0" w:color="auto"/>
              <w:right w:val="nil"/>
            </w:tcBorders>
            <w:shd w:val="clear" w:color="000000" w:fill="FFFFFF"/>
            <w:noWrap/>
            <w:hideMark/>
          </w:tcPr>
          <w:p w14:paraId="0176939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23 292</w:t>
            </w:r>
          </w:p>
        </w:tc>
      </w:tr>
      <w:tr w:rsidR="00E7045B" w:rsidRPr="00440196" w14:paraId="75B4C50C"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0CA10745"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3.2.1 Travel on official business</w:t>
            </w:r>
          </w:p>
        </w:tc>
        <w:tc>
          <w:tcPr>
            <w:tcW w:w="1559" w:type="dxa"/>
            <w:tcBorders>
              <w:top w:val="single" w:sz="4" w:space="0" w:color="auto"/>
              <w:left w:val="nil"/>
              <w:bottom w:val="single" w:sz="4" w:space="0" w:color="auto"/>
              <w:right w:val="nil"/>
            </w:tcBorders>
            <w:shd w:val="clear" w:color="auto" w:fill="auto"/>
            <w:noWrap/>
            <w:hideMark/>
          </w:tcPr>
          <w:p w14:paraId="18A0A967"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100 000</w:t>
            </w:r>
          </w:p>
        </w:tc>
        <w:tc>
          <w:tcPr>
            <w:tcW w:w="1276" w:type="dxa"/>
            <w:tcBorders>
              <w:top w:val="single" w:sz="4" w:space="0" w:color="auto"/>
              <w:left w:val="nil"/>
              <w:bottom w:val="single" w:sz="4" w:space="0" w:color="auto"/>
              <w:right w:val="nil"/>
            </w:tcBorders>
            <w:shd w:val="clear" w:color="auto" w:fill="auto"/>
            <w:noWrap/>
            <w:hideMark/>
          </w:tcPr>
          <w:p w14:paraId="668F84E5"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76 708</w:t>
            </w:r>
          </w:p>
        </w:tc>
        <w:tc>
          <w:tcPr>
            <w:tcW w:w="1417" w:type="dxa"/>
            <w:tcBorders>
              <w:top w:val="single" w:sz="4" w:space="0" w:color="auto"/>
              <w:left w:val="nil"/>
              <w:bottom w:val="single" w:sz="4" w:space="0" w:color="auto"/>
              <w:right w:val="nil"/>
            </w:tcBorders>
            <w:shd w:val="clear" w:color="auto" w:fill="auto"/>
            <w:noWrap/>
            <w:hideMark/>
          </w:tcPr>
          <w:p w14:paraId="2AEA330A"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23 292</w:t>
            </w:r>
          </w:p>
        </w:tc>
      </w:tr>
      <w:tr w:rsidR="00E7045B" w:rsidRPr="00440196" w14:paraId="73B2F944" w14:textId="77777777" w:rsidTr="00440196">
        <w:trPr>
          <w:trHeight w:val="257"/>
        </w:trPr>
        <w:tc>
          <w:tcPr>
            <w:tcW w:w="5101" w:type="dxa"/>
            <w:tcBorders>
              <w:top w:val="single" w:sz="4" w:space="0" w:color="auto"/>
              <w:left w:val="nil"/>
              <w:bottom w:val="nil"/>
              <w:right w:val="nil"/>
            </w:tcBorders>
            <w:shd w:val="clear" w:color="auto" w:fill="auto"/>
            <w:noWrap/>
            <w:hideMark/>
          </w:tcPr>
          <w:p w14:paraId="32F842F7"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3.2.2 Staff training</w:t>
            </w:r>
          </w:p>
        </w:tc>
        <w:tc>
          <w:tcPr>
            <w:tcW w:w="1559" w:type="dxa"/>
            <w:tcBorders>
              <w:top w:val="single" w:sz="4" w:space="0" w:color="auto"/>
              <w:left w:val="nil"/>
              <w:bottom w:val="nil"/>
              <w:right w:val="nil"/>
            </w:tcBorders>
            <w:shd w:val="clear" w:color="auto" w:fill="auto"/>
            <w:noWrap/>
            <w:hideMark/>
          </w:tcPr>
          <w:p w14:paraId="792DBCE4" w14:textId="77777777" w:rsidR="00E7045B" w:rsidRPr="00440196" w:rsidRDefault="00E7045B" w:rsidP="00440196">
            <w:pPr>
              <w:spacing w:before="40" w:after="40"/>
              <w:jc w:val="right"/>
              <w:rPr>
                <w:sz w:val="18"/>
                <w:szCs w:val="18"/>
              </w:rPr>
            </w:pPr>
          </w:p>
        </w:tc>
        <w:tc>
          <w:tcPr>
            <w:tcW w:w="1276" w:type="dxa"/>
            <w:tcBorders>
              <w:top w:val="single" w:sz="4" w:space="0" w:color="auto"/>
              <w:left w:val="nil"/>
              <w:bottom w:val="nil"/>
              <w:right w:val="nil"/>
            </w:tcBorders>
            <w:shd w:val="clear" w:color="auto" w:fill="auto"/>
            <w:noWrap/>
            <w:hideMark/>
          </w:tcPr>
          <w:p w14:paraId="6AB47BC0" w14:textId="77777777" w:rsidR="00E7045B" w:rsidRPr="00440196" w:rsidRDefault="00E7045B" w:rsidP="00440196">
            <w:pPr>
              <w:spacing w:before="40" w:after="40"/>
              <w:jc w:val="right"/>
              <w:rPr>
                <w:sz w:val="18"/>
                <w:szCs w:val="18"/>
              </w:rPr>
            </w:pPr>
          </w:p>
        </w:tc>
        <w:tc>
          <w:tcPr>
            <w:tcW w:w="1417" w:type="dxa"/>
            <w:tcBorders>
              <w:top w:val="single" w:sz="4" w:space="0" w:color="auto"/>
              <w:left w:val="nil"/>
              <w:bottom w:val="nil"/>
              <w:right w:val="nil"/>
            </w:tcBorders>
            <w:shd w:val="clear" w:color="auto" w:fill="auto"/>
            <w:noWrap/>
            <w:hideMark/>
          </w:tcPr>
          <w:p w14:paraId="28FC576F" w14:textId="77777777" w:rsidR="00E7045B" w:rsidRPr="00440196" w:rsidRDefault="00E7045B" w:rsidP="00440196">
            <w:pPr>
              <w:spacing w:before="40" w:after="40"/>
              <w:jc w:val="right"/>
              <w:rPr>
                <w:sz w:val="18"/>
                <w:szCs w:val="18"/>
              </w:rPr>
            </w:pPr>
          </w:p>
        </w:tc>
      </w:tr>
      <w:tr w:rsidR="00E7045B" w:rsidRPr="00440196" w14:paraId="13A14780" w14:textId="77777777" w:rsidTr="00440196">
        <w:trPr>
          <w:trHeight w:val="257"/>
        </w:trPr>
        <w:tc>
          <w:tcPr>
            <w:tcW w:w="5101" w:type="dxa"/>
            <w:tcBorders>
              <w:top w:val="nil"/>
              <w:left w:val="nil"/>
              <w:bottom w:val="nil"/>
              <w:right w:val="nil"/>
            </w:tcBorders>
            <w:shd w:val="clear" w:color="auto" w:fill="auto"/>
            <w:noWrap/>
            <w:hideMark/>
          </w:tcPr>
          <w:p w14:paraId="34118B88"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Project management professional training </w:t>
            </w:r>
          </w:p>
        </w:tc>
        <w:tc>
          <w:tcPr>
            <w:tcW w:w="1559" w:type="dxa"/>
            <w:tcBorders>
              <w:top w:val="nil"/>
              <w:left w:val="nil"/>
              <w:bottom w:val="nil"/>
              <w:right w:val="nil"/>
            </w:tcBorders>
            <w:shd w:val="clear" w:color="auto" w:fill="auto"/>
            <w:noWrap/>
            <w:hideMark/>
          </w:tcPr>
          <w:p w14:paraId="2022B48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10 000</w:t>
            </w:r>
          </w:p>
        </w:tc>
        <w:tc>
          <w:tcPr>
            <w:tcW w:w="1276" w:type="dxa"/>
            <w:tcBorders>
              <w:top w:val="nil"/>
              <w:left w:val="nil"/>
              <w:bottom w:val="nil"/>
              <w:right w:val="nil"/>
            </w:tcBorders>
            <w:shd w:val="clear" w:color="auto" w:fill="auto"/>
            <w:noWrap/>
            <w:hideMark/>
          </w:tcPr>
          <w:p w14:paraId="6E755E6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8 325</w:t>
            </w:r>
          </w:p>
        </w:tc>
        <w:tc>
          <w:tcPr>
            <w:tcW w:w="1417" w:type="dxa"/>
            <w:tcBorders>
              <w:top w:val="nil"/>
              <w:left w:val="nil"/>
              <w:bottom w:val="nil"/>
              <w:right w:val="nil"/>
            </w:tcBorders>
            <w:shd w:val="clear" w:color="auto" w:fill="auto"/>
            <w:noWrap/>
            <w:hideMark/>
          </w:tcPr>
          <w:p w14:paraId="27B2DBA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1 675</w:t>
            </w:r>
          </w:p>
        </w:tc>
      </w:tr>
      <w:tr w:rsidR="00E7045B" w:rsidRPr="00440196" w14:paraId="5EC01864" w14:textId="77777777" w:rsidTr="00440196">
        <w:trPr>
          <w:trHeight w:val="273"/>
        </w:trPr>
        <w:tc>
          <w:tcPr>
            <w:tcW w:w="5101" w:type="dxa"/>
            <w:tcBorders>
              <w:top w:val="nil"/>
              <w:left w:val="nil"/>
              <w:bottom w:val="single" w:sz="4" w:space="0" w:color="auto"/>
              <w:right w:val="nil"/>
            </w:tcBorders>
            <w:shd w:val="clear" w:color="auto" w:fill="auto"/>
            <w:noWrap/>
            <w:hideMark/>
          </w:tcPr>
          <w:p w14:paraId="2D40A4F6" w14:textId="77777777" w:rsidR="00E7045B" w:rsidRPr="007831BB" w:rsidRDefault="00E7045B" w:rsidP="00440196">
            <w:pPr>
              <w:widowControl w:val="0"/>
              <w:tabs>
                <w:tab w:val="left" w:pos="6480"/>
                <w:tab w:val="left" w:pos="7200"/>
              </w:tabs>
              <w:spacing w:before="40" w:after="40"/>
              <w:rPr>
                <w:sz w:val="18"/>
                <w:szCs w:val="18"/>
              </w:rPr>
            </w:pPr>
            <w:proofErr w:type="spellStart"/>
            <w:r w:rsidRPr="00440196">
              <w:rPr>
                <w:sz w:val="18"/>
                <w:szCs w:val="18"/>
              </w:rPr>
              <w:t>Umoja</w:t>
            </w:r>
            <w:proofErr w:type="spellEnd"/>
            <w:r w:rsidRPr="00440196">
              <w:rPr>
                <w:sz w:val="18"/>
                <w:szCs w:val="18"/>
              </w:rPr>
              <w:t xml:space="preserve"> and competency-based interviewing staff training</w:t>
            </w:r>
          </w:p>
        </w:tc>
        <w:tc>
          <w:tcPr>
            <w:tcW w:w="1559" w:type="dxa"/>
            <w:tcBorders>
              <w:top w:val="nil"/>
              <w:left w:val="nil"/>
              <w:bottom w:val="single" w:sz="4" w:space="0" w:color="auto"/>
              <w:right w:val="nil"/>
            </w:tcBorders>
            <w:shd w:val="clear" w:color="auto" w:fill="auto"/>
            <w:noWrap/>
            <w:hideMark/>
          </w:tcPr>
          <w:p w14:paraId="2405325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12 000</w:t>
            </w:r>
          </w:p>
        </w:tc>
        <w:tc>
          <w:tcPr>
            <w:tcW w:w="1276" w:type="dxa"/>
            <w:tcBorders>
              <w:top w:val="nil"/>
              <w:left w:val="nil"/>
              <w:bottom w:val="single" w:sz="4" w:space="0" w:color="auto"/>
              <w:right w:val="nil"/>
            </w:tcBorders>
            <w:shd w:val="clear" w:color="auto" w:fill="auto"/>
            <w:noWrap/>
            <w:hideMark/>
          </w:tcPr>
          <w:p w14:paraId="7668ACDC"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233</w:t>
            </w:r>
          </w:p>
        </w:tc>
        <w:tc>
          <w:tcPr>
            <w:tcW w:w="1417" w:type="dxa"/>
            <w:tcBorders>
              <w:top w:val="nil"/>
              <w:left w:val="nil"/>
              <w:bottom w:val="single" w:sz="4" w:space="0" w:color="auto"/>
              <w:right w:val="nil"/>
            </w:tcBorders>
            <w:shd w:val="clear" w:color="auto" w:fill="auto"/>
            <w:noWrap/>
            <w:hideMark/>
          </w:tcPr>
          <w:p w14:paraId="28BC66CA"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11 767</w:t>
            </w:r>
          </w:p>
        </w:tc>
      </w:tr>
      <w:tr w:rsidR="00E7045B" w:rsidRPr="00440196" w14:paraId="4D2D06C8"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0A749956"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3.2.2 Staff training</w:t>
            </w:r>
          </w:p>
        </w:tc>
        <w:tc>
          <w:tcPr>
            <w:tcW w:w="1559" w:type="dxa"/>
            <w:tcBorders>
              <w:top w:val="single" w:sz="4" w:space="0" w:color="auto"/>
              <w:left w:val="nil"/>
              <w:bottom w:val="single" w:sz="4" w:space="0" w:color="auto"/>
              <w:right w:val="nil"/>
            </w:tcBorders>
            <w:shd w:val="clear" w:color="auto" w:fill="auto"/>
            <w:noWrap/>
            <w:hideMark/>
          </w:tcPr>
          <w:p w14:paraId="362B260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22 000</w:t>
            </w:r>
          </w:p>
        </w:tc>
        <w:tc>
          <w:tcPr>
            <w:tcW w:w="1276" w:type="dxa"/>
            <w:tcBorders>
              <w:top w:val="single" w:sz="4" w:space="0" w:color="auto"/>
              <w:left w:val="nil"/>
              <w:bottom w:val="single" w:sz="4" w:space="0" w:color="auto"/>
              <w:right w:val="nil"/>
            </w:tcBorders>
            <w:shd w:val="clear" w:color="auto" w:fill="auto"/>
            <w:noWrap/>
            <w:hideMark/>
          </w:tcPr>
          <w:p w14:paraId="305E8D58"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8 557</w:t>
            </w:r>
          </w:p>
        </w:tc>
        <w:tc>
          <w:tcPr>
            <w:tcW w:w="1417" w:type="dxa"/>
            <w:tcBorders>
              <w:top w:val="single" w:sz="4" w:space="0" w:color="auto"/>
              <w:left w:val="nil"/>
              <w:bottom w:val="single" w:sz="4" w:space="0" w:color="auto"/>
              <w:right w:val="nil"/>
            </w:tcBorders>
            <w:shd w:val="clear" w:color="auto" w:fill="auto"/>
            <w:noWrap/>
            <w:hideMark/>
          </w:tcPr>
          <w:p w14:paraId="366148A7"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13 443</w:t>
            </w:r>
          </w:p>
        </w:tc>
      </w:tr>
      <w:tr w:rsidR="00E7045B" w:rsidRPr="00440196" w14:paraId="2B784A82" w14:textId="77777777" w:rsidTr="00440196">
        <w:trPr>
          <w:trHeight w:val="257"/>
        </w:trPr>
        <w:tc>
          <w:tcPr>
            <w:tcW w:w="5101" w:type="dxa"/>
            <w:tcBorders>
              <w:top w:val="single" w:sz="4" w:space="0" w:color="auto"/>
              <w:left w:val="nil"/>
              <w:bottom w:val="nil"/>
              <w:right w:val="nil"/>
            </w:tcBorders>
            <w:shd w:val="clear" w:color="auto" w:fill="auto"/>
            <w:noWrap/>
            <w:hideMark/>
          </w:tcPr>
          <w:p w14:paraId="536A17DF"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 xml:space="preserve">3.2.3 Equipment and office supplies </w:t>
            </w:r>
          </w:p>
        </w:tc>
        <w:tc>
          <w:tcPr>
            <w:tcW w:w="1559" w:type="dxa"/>
            <w:tcBorders>
              <w:top w:val="single" w:sz="4" w:space="0" w:color="auto"/>
              <w:left w:val="nil"/>
              <w:bottom w:val="nil"/>
              <w:right w:val="nil"/>
            </w:tcBorders>
            <w:shd w:val="clear" w:color="auto" w:fill="auto"/>
            <w:noWrap/>
            <w:hideMark/>
          </w:tcPr>
          <w:p w14:paraId="2822B176" w14:textId="77777777" w:rsidR="00E7045B" w:rsidRPr="00440196" w:rsidRDefault="00E7045B" w:rsidP="00440196">
            <w:pPr>
              <w:spacing w:before="40" w:after="40"/>
              <w:jc w:val="right"/>
              <w:rPr>
                <w:sz w:val="18"/>
                <w:szCs w:val="18"/>
              </w:rPr>
            </w:pPr>
          </w:p>
        </w:tc>
        <w:tc>
          <w:tcPr>
            <w:tcW w:w="1276" w:type="dxa"/>
            <w:tcBorders>
              <w:top w:val="single" w:sz="4" w:space="0" w:color="auto"/>
              <w:left w:val="nil"/>
              <w:bottom w:val="nil"/>
              <w:right w:val="nil"/>
            </w:tcBorders>
            <w:shd w:val="clear" w:color="auto" w:fill="auto"/>
            <w:noWrap/>
            <w:hideMark/>
          </w:tcPr>
          <w:p w14:paraId="55FEC179" w14:textId="77777777" w:rsidR="00E7045B" w:rsidRPr="00440196" w:rsidRDefault="00E7045B" w:rsidP="00440196">
            <w:pPr>
              <w:spacing w:before="40" w:after="40"/>
              <w:jc w:val="right"/>
              <w:rPr>
                <w:sz w:val="18"/>
                <w:szCs w:val="18"/>
              </w:rPr>
            </w:pPr>
          </w:p>
        </w:tc>
        <w:tc>
          <w:tcPr>
            <w:tcW w:w="1417" w:type="dxa"/>
            <w:tcBorders>
              <w:top w:val="single" w:sz="4" w:space="0" w:color="auto"/>
              <w:left w:val="nil"/>
              <w:bottom w:val="nil"/>
              <w:right w:val="nil"/>
            </w:tcBorders>
            <w:shd w:val="clear" w:color="auto" w:fill="auto"/>
            <w:noWrap/>
            <w:hideMark/>
          </w:tcPr>
          <w:p w14:paraId="29513558" w14:textId="77777777" w:rsidR="00E7045B" w:rsidRPr="00440196" w:rsidRDefault="00E7045B" w:rsidP="00440196">
            <w:pPr>
              <w:spacing w:before="40" w:after="40"/>
              <w:jc w:val="right"/>
              <w:rPr>
                <w:sz w:val="18"/>
                <w:szCs w:val="18"/>
              </w:rPr>
            </w:pPr>
          </w:p>
        </w:tc>
      </w:tr>
      <w:tr w:rsidR="00E7045B" w:rsidRPr="00440196" w14:paraId="38C22F17" w14:textId="77777777" w:rsidTr="00440196">
        <w:trPr>
          <w:trHeight w:val="257"/>
        </w:trPr>
        <w:tc>
          <w:tcPr>
            <w:tcW w:w="5101" w:type="dxa"/>
            <w:tcBorders>
              <w:top w:val="nil"/>
              <w:left w:val="nil"/>
              <w:bottom w:val="nil"/>
              <w:right w:val="nil"/>
            </w:tcBorders>
            <w:shd w:val="clear" w:color="auto" w:fill="auto"/>
            <w:noWrap/>
            <w:hideMark/>
          </w:tcPr>
          <w:p w14:paraId="40CF3963"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Expendable equipment (items under $1,500 each)</w:t>
            </w:r>
          </w:p>
        </w:tc>
        <w:tc>
          <w:tcPr>
            <w:tcW w:w="1559" w:type="dxa"/>
            <w:tcBorders>
              <w:top w:val="nil"/>
              <w:left w:val="nil"/>
              <w:bottom w:val="nil"/>
              <w:right w:val="nil"/>
            </w:tcBorders>
            <w:shd w:val="clear" w:color="auto" w:fill="auto"/>
            <w:noWrap/>
            <w:hideMark/>
          </w:tcPr>
          <w:p w14:paraId="68D974D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4 500</w:t>
            </w:r>
          </w:p>
        </w:tc>
        <w:tc>
          <w:tcPr>
            <w:tcW w:w="1276" w:type="dxa"/>
            <w:tcBorders>
              <w:top w:val="nil"/>
              <w:left w:val="nil"/>
              <w:bottom w:val="nil"/>
              <w:right w:val="nil"/>
            </w:tcBorders>
            <w:shd w:val="clear" w:color="auto" w:fill="auto"/>
            <w:noWrap/>
            <w:hideMark/>
          </w:tcPr>
          <w:p w14:paraId="796428D4"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4 374</w:t>
            </w:r>
          </w:p>
        </w:tc>
        <w:tc>
          <w:tcPr>
            <w:tcW w:w="1417" w:type="dxa"/>
            <w:tcBorders>
              <w:top w:val="nil"/>
              <w:left w:val="nil"/>
              <w:bottom w:val="nil"/>
              <w:right w:val="nil"/>
            </w:tcBorders>
            <w:shd w:val="clear" w:color="auto" w:fill="auto"/>
            <w:noWrap/>
            <w:hideMark/>
          </w:tcPr>
          <w:p w14:paraId="127F4D3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126</w:t>
            </w:r>
          </w:p>
        </w:tc>
      </w:tr>
      <w:tr w:rsidR="00E7045B" w:rsidRPr="00440196" w14:paraId="6F7D55B1" w14:textId="77777777" w:rsidTr="00440196">
        <w:trPr>
          <w:trHeight w:val="273"/>
        </w:trPr>
        <w:tc>
          <w:tcPr>
            <w:tcW w:w="5101" w:type="dxa"/>
            <w:tcBorders>
              <w:top w:val="nil"/>
              <w:left w:val="nil"/>
              <w:bottom w:val="single" w:sz="4" w:space="0" w:color="auto"/>
              <w:right w:val="nil"/>
            </w:tcBorders>
            <w:shd w:val="clear" w:color="auto" w:fill="auto"/>
            <w:noWrap/>
            <w:hideMark/>
          </w:tcPr>
          <w:p w14:paraId="0C9565B7"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Office supplies</w:t>
            </w:r>
          </w:p>
        </w:tc>
        <w:tc>
          <w:tcPr>
            <w:tcW w:w="1559" w:type="dxa"/>
            <w:tcBorders>
              <w:top w:val="nil"/>
              <w:left w:val="nil"/>
              <w:bottom w:val="single" w:sz="4" w:space="0" w:color="auto"/>
              <w:right w:val="nil"/>
            </w:tcBorders>
            <w:shd w:val="clear" w:color="auto" w:fill="auto"/>
            <w:noWrap/>
            <w:hideMark/>
          </w:tcPr>
          <w:p w14:paraId="5A6BE79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12 000</w:t>
            </w:r>
          </w:p>
        </w:tc>
        <w:tc>
          <w:tcPr>
            <w:tcW w:w="1276" w:type="dxa"/>
            <w:tcBorders>
              <w:top w:val="nil"/>
              <w:left w:val="nil"/>
              <w:bottom w:val="single" w:sz="4" w:space="0" w:color="auto"/>
              <w:right w:val="nil"/>
            </w:tcBorders>
            <w:shd w:val="clear" w:color="auto" w:fill="auto"/>
            <w:noWrap/>
            <w:hideMark/>
          </w:tcPr>
          <w:p w14:paraId="78A0319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5 751</w:t>
            </w:r>
          </w:p>
        </w:tc>
        <w:tc>
          <w:tcPr>
            <w:tcW w:w="1417" w:type="dxa"/>
            <w:tcBorders>
              <w:top w:val="nil"/>
              <w:left w:val="nil"/>
              <w:bottom w:val="single" w:sz="4" w:space="0" w:color="auto"/>
              <w:right w:val="nil"/>
            </w:tcBorders>
            <w:shd w:val="clear" w:color="auto" w:fill="auto"/>
            <w:noWrap/>
            <w:hideMark/>
          </w:tcPr>
          <w:p w14:paraId="349C693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6 249</w:t>
            </w:r>
          </w:p>
        </w:tc>
      </w:tr>
      <w:tr w:rsidR="00E7045B" w:rsidRPr="00440196" w14:paraId="1A52405C"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364D6B07"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3.2.3 Equipment and office supplies</w:t>
            </w:r>
          </w:p>
        </w:tc>
        <w:tc>
          <w:tcPr>
            <w:tcW w:w="1559" w:type="dxa"/>
            <w:tcBorders>
              <w:top w:val="single" w:sz="4" w:space="0" w:color="auto"/>
              <w:left w:val="nil"/>
              <w:bottom w:val="single" w:sz="4" w:space="0" w:color="auto"/>
              <w:right w:val="nil"/>
            </w:tcBorders>
            <w:shd w:val="clear" w:color="auto" w:fill="auto"/>
            <w:noWrap/>
            <w:hideMark/>
          </w:tcPr>
          <w:p w14:paraId="530FAB75"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16 500</w:t>
            </w:r>
          </w:p>
        </w:tc>
        <w:tc>
          <w:tcPr>
            <w:tcW w:w="1276" w:type="dxa"/>
            <w:tcBorders>
              <w:top w:val="single" w:sz="4" w:space="0" w:color="auto"/>
              <w:left w:val="nil"/>
              <w:bottom w:val="single" w:sz="4" w:space="0" w:color="auto"/>
              <w:right w:val="nil"/>
            </w:tcBorders>
            <w:shd w:val="clear" w:color="auto" w:fill="auto"/>
            <w:noWrap/>
            <w:hideMark/>
          </w:tcPr>
          <w:p w14:paraId="1B317F0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10 126</w:t>
            </w:r>
          </w:p>
        </w:tc>
        <w:tc>
          <w:tcPr>
            <w:tcW w:w="1417" w:type="dxa"/>
            <w:tcBorders>
              <w:top w:val="single" w:sz="4" w:space="0" w:color="auto"/>
              <w:left w:val="nil"/>
              <w:bottom w:val="single" w:sz="4" w:space="0" w:color="auto"/>
              <w:right w:val="nil"/>
            </w:tcBorders>
            <w:shd w:val="clear" w:color="auto" w:fill="auto"/>
            <w:noWrap/>
            <w:hideMark/>
          </w:tcPr>
          <w:p w14:paraId="54E2C2A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6 374</w:t>
            </w:r>
          </w:p>
        </w:tc>
      </w:tr>
      <w:tr w:rsidR="00E7045B" w:rsidRPr="00440196" w14:paraId="09040103" w14:textId="77777777" w:rsidTr="00440196">
        <w:trPr>
          <w:trHeight w:val="257"/>
        </w:trPr>
        <w:tc>
          <w:tcPr>
            <w:tcW w:w="5101" w:type="dxa"/>
            <w:tcBorders>
              <w:top w:val="single" w:sz="4" w:space="0" w:color="auto"/>
              <w:left w:val="nil"/>
              <w:bottom w:val="nil"/>
              <w:right w:val="nil"/>
            </w:tcBorders>
            <w:shd w:val="clear" w:color="auto" w:fill="auto"/>
            <w:noWrap/>
            <w:hideMark/>
          </w:tcPr>
          <w:p w14:paraId="607BCC08"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 xml:space="preserve">3.2.4 Premises </w:t>
            </w:r>
          </w:p>
        </w:tc>
        <w:tc>
          <w:tcPr>
            <w:tcW w:w="1559" w:type="dxa"/>
            <w:tcBorders>
              <w:top w:val="single" w:sz="4" w:space="0" w:color="auto"/>
              <w:left w:val="nil"/>
              <w:bottom w:val="nil"/>
              <w:right w:val="nil"/>
            </w:tcBorders>
            <w:shd w:val="clear" w:color="auto" w:fill="auto"/>
            <w:noWrap/>
            <w:hideMark/>
          </w:tcPr>
          <w:p w14:paraId="084F3B1B" w14:textId="77777777" w:rsidR="00E7045B" w:rsidRPr="00440196" w:rsidRDefault="00E7045B" w:rsidP="00440196">
            <w:pPr>
              <w:spacing w:before="40" w:after="40"/>
              <w:jc w:val="right"/>
              <w:rPr>
                <w:b/>
                <w:sz w:val="18"/>
                <w:szCs w:val="18"/>
              </w:rPr>
            </w:pPr>
          </w:p>
        </w:tc>
        <w:tc>
          <w:tcPr>
            <w:tcW w:w="1276" w:type="dxa"/>
            <w:tcBorders>
              <w:top w:val="single" w:sz="4" w:space="0" w:color="auto"/>
              <w:left w:val="nil"/>
              <w:bottom w:val="nil"/>
              <w:right w:val="nil"/>
            </w:tcBorders>
            <w:shd w:val="clear" w:color="auto" w:fill="auto"/>
            <w:noWrap/>
            <w:hideMark/>
          </w:tcPr>
          <w:p w14:paraId="629B395F" w14:textId="77777777" w:rsidR="00E7045B" w:rsidRPr="00440196" w:rsidRDefault="00E7045B" w:rsidP="00440196">
            <w:pPr>
              <w:spacing w:before="40" w:after="40"/>
              <w:jc w:val="right"/>
              <w:rPr>
                <w:b/>
                <w:sz w:val="18"/>
                <w:szCs w:val="18"/>
              </w:rPr>
            </w:pPr>
          </w:p>
        </w:tc>
        <w:tc>
          <w:tcPr>
            <w:tcW w:w="1417" w:type="dxa"/>
            <w:tcBorders>
              <w:top w:val="single" w:sz="4" w:space="0" w:color="auto"/>
              <w:left w:val="nil"/>
              <w:bottom w:val="nil"/>
              <w:right w:val="nil"/>
            </w:tcBorders>
            <w:shd w:val="clear" w:color="auto" w:fill="auto"/>
            <w:noWrap/>
            <w:hideMark/>
          </w:tcPr>
          <w:p w14:paraId="77F4E50C" w14:textId="77777777" w:rsidR="00E7045B" w:rsidRPr="00440196" w:rsidRDefault="00E7045B" w:rsidP="00440196">
            <w:pPr>
              <w:spacing w:before="40" w:after="40"/>
              <w:jc w:val="right"/>
              <w:rPr>
                <w:b/>
                <w:sz w:val="18"/>
                <w:szCs w:val="18"/>
              </w:rPr>
            </w:pPr>
          </w:p>
        </w:tc>
      </w:tr>
      <w:tr w:rsidR="00E7045B" w:rsidRPr="00440196" w14:paraId="15245063" w14:textId="77777777" w:rsidTr="00440196">
        <w:trPr>
          <w:trHeight w:val="273"/>
        </w:trPr>
        <w:tc>
          <w:tcPr>
            <w:tcW w:w="5101" w:type="dxa"/>
            <w:tcBorders>
              <w:top w:val="nil"/>
              <w:left w:val="nil"/>
              <w:bottom w:val="single" w:sz="4" w:space="0" w:color="auto"/>
              <w:right w:val="nil"/>
            </w:tcBorders>
            <w:shd w:val="clear" w:color="auto" w:fill="auto"/>
            <w:noWrap/>
            <w:hideMark/>
          </w:tcPr>
          <w:p w14:paraId="79A7891B"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Contribution to the cost of common services at the United Nations campus in Bonn, Germany (maintenance of office space, security, switchboard service, etc.)</w:t>
            </w:r>
          </w:p>
        </w:tc>
        <w:tc>
          <w:tcPr>
            <w:tcW w:w="1559" w:type="dxa"/>
            <w:tcBorders>
              <w:top w:val="nil"/>
              <w:left w:val="nil"/>
              <w:bottom w:val="single" w:sz="4" w:space="0" w:color="auto"/>
              <w:right w:val="nil"/>
            </w:tcBorders>
            <w:shd w:val="clear" w:color="auto" w:fill="auto"/>
            <w:noWrap/>
            <w:hideMark/>
          </w:tcPr>
          <w:p w14:paraId="2B43D9C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45 000</w:t>
            </w:r>
          </w:p>
        </w:tc>
        <w:tc>
          <w:tcPr>
            <w:tcW w:w="1276" w:type="dxa"/>
            <w:tcBorders>
              <w:top w:val="nil"/>
              <w:left w:val="nil"/>
              <w:bottom w:val="single" w:sz="4" w:space="0" w:color="auto"/>
              <w:right w:val="nil"/>
            </w:tcBorders>
            <w:shd w:val="clear" w:color="auto" w:fill="auto"/>
            <w:noWrap/>
            <w:hideMark/>
          </w:tcPr>
          <w:p w14:paraId="650682A1"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44 000</w:t>
            </w:r>
          </w:p>
        </w:tc>
        <w:tc>
          <w:tcPr>
            <w:tcW w:w="1417" w:type="dxa"/>
            <w:tcBorders>
              <w:top w:val="nil"/>
              <w:left w:val="nil"/>
              <w:bottom w:val="single" w:sz="4" w:space="0" w:color="auto"/>
              <w:right w:val="nil"/>
            </w:tcBorders>
            <w:shd w:val="clear" w:color="auto" w:fill="auto"/>
            <w:noWrap/>
            <w:hideMark/>
          </w:tcPr>
          <w:p w14:paraId="45CE447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1 000</w:t>
            </w:r>
          </w:p>
        </w:tc>
      </w:tr>
      <w:tr w:rsidR="00E7045B" w:rsidRPr="00440196" w14:paraId="058BC5A9" w14:textId="77777777" w:rsidTr="00440196">
        <w:trPr>
          <w:trHeight w:val="273"/>
        </w:trPr>
        <w:tc>
          <w:tcPr>
            <w:tcW w:w="5101" w:type="dxa"/>
            <w:tcBorders>
              <w:top w:val="single" w:sz="4" w:space="0" w:color="auto"/>
              <w:left w:val="nil"/>
              <w:bottom w:val="single" w:sz="4" w:space="0" w:color="auto"/>
              <w:right w:val="nil"/>
            </w:tcBorders>
            <w:shd w:val="clear" w:color="auto" w:fill="auto"/>
            <w:hideMark/>
          </w:tcPr>
          <w:p w14:paraId="2D2C9552"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3.2.4 Premises</w:t>
            </w:r>
          </w:p>
        </w:tc>
        <w:tc>
          <w:tcPr>
            <w:tcW w:w="1559" w:type="dxa"/>
            <w:tcBorders>
              <w:top w:val="single" w:sz="4" w:space="0" w:color="auto"/>
              <w:left w:val="nil"/>
              <w:bottom w:val="single" w:sz="4" w:space="0" w:color="auto"/>
              <w:right w:val="nil"/>
            </w:tcBorders>
            <w:shd w:val="clear" w:color="auto" w:fill="auto"/>
            <w:noWrap/>
            <w:hideMark/>
          </w:tcPr>
          <w:p w14:paraId="22693CD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45 000</w:t>
            </w:r>
          </w:p>
        </w:tc>
        <w:tc>
          <w:tcPr>
            <w:tcW w:w="1276" w:type="dxa"/>
            <w:tcBorders>
              <w:top w:val="single" w:sz="4" w:space="0" w:color="auto"/>
              <w:left w:val="nil"/>
              <w:bottom w:val="single" w:sz="4" w:space="0" w:color="auto"/>
              <w:right w:val="nil"/>
            </w:tcBorders>
            <w:shd w:val="clear" w:color="auto" w:fill="auto"/>
            <w:noWrap/>
            <w:hideMark/>
          </w:tcPr>
          <w:p w14:paraId="3A4FB39C"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44 000</w:t>
            </w:r>
          </w:p>
        </w:tc>
        <w:tc>
          <w:tcPr>
            <w:tcW w:w="1417" w:type="dxa"/>
            <w:tcBorders>
              <w:top w:val="single" w:sz="4" w:space="0" w:color="auto"/>
              <w:left w:val="nil"/>
              <w:bottom w:val="single" w:sz="4" w:space="0" w:color="auto"/>
              <w:right w:val="nil"/>
            </w:tcBorders>
            <w:shd w:val="clear" w:color="auto" w:fill="auto"/>
            <w:noWrap/>
            <w:hideMark/>
          </w:tcPr>
          <w:p w14:paraId="1EAA47A8"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1 000</w:t>
            </w:r>
          </w:p>
        </w:tc>
      </w:tr>
      <w:tr w:rsidR="00E7045B" w:rsidRPr="00440196" w14:paraId="59626AB5" w14:textId="77777777" w:rsidTr="00440196">
        <w:trPr>
          <w:trHeight w:val="257"/>
        </w:trPr>
        <w:tc>
          <w:tcPr>
            <w:tcW w:w="5101" w:type="dxa"/>
            <w:tcBorders>
              <w:top w:val="single" w:sz="4" w:space="0" w:color="auto"/>
              <w:left w:val="nil"/>
              <w:bottom w:val="nil"/>
              <w:right w:val="nil"/>
            </w:tcBorders>
            <w:shd w:val="clear" w:color="auto" w:fill="auto"/>
            <w:noWrap/>
            <w:hideMark/>
          </w:tcPr>
          <w:p w14:paraId="5E2A9EC3" w14:textId="77777777" w:rsidR="00E7045B" w:rsidRPr="007831BB" w:rsidRDefault="00E7045B" w:rsidP="006F57F3">
            <w:pPr>
              <w:keepNext/>
              <w:keepLines/>
              <w:widowControl w:val="0"/>
              <w:tabs>
                <w:tab w:val="left" w:pos="6480"/>
                <w:tab w:val="left" w:pos="7200"/>
              </w:tabs>
              <w:spacing w:before="40" w:after="40"/>
              <w:rPr>
                <w:b/>
                <w:sz w:val="18"/>
                <w:szCs w:val="18"/>
              </w:rPr>
            </w:pPr>
            <w:r w:rsidRPr="00440196">
              <w:rPr>
                <w:b/>
                <w:sz w:val="18"/>
                <w:szCs w:val="18"/>
              </w:rPr>
              <w:t>3.2.5 Printers, photocopiers, IT support and miscellaneous</w:t>
            </w:r>
          </w:p>
        </w:tc>
        <w:tc>
          <w:tcPr>
            <w:tcW w:w="1559" w:type="dxa"/>
            <w:tcBorders>
              <w:top w:val="single" w:sz="4" w:space="0" w:color="auto"/>
              <w:left w:val="nil"/>
              <w:bottom w:val="nil"/>
              <w:right w:val="nil"/>
            </w:tcBorders>
            <w:shd w:val="clear" w:color="auto" w:fill="auto"/>
            <w:noWrap/>
            <w:hideMark/>
          </w:tcPr>
          <w:p w14:paraId="24198BCA" w14:textId="77777777" w:rsidR="00E7045B" w:rsidRPr="00440196" w:rsidRDefault="00E7045B" w:rsidP="006F57F3">
            <w:pPr>
              <w:keepNext/>
              <w:keepLines/>
              <w:spacing w:before="40" w:after="40"/>
              <w:jc w:val="right"/>
              <w:rPr>
                <w:b/>
                <w:sz w:val="18"/>
                <w:szCs w:val="18"/>
              </w:rPr>
            </w:pPr>
          </w:p>
        </w:tc>
        <w:tc>
          <w:tcPr>
            <w:tcW w:w="1276" w:type="dxa"/>
            <w:tcBorders>
              <w:top w:val="single" w:sz="4" w:space="0" w:color="auto"/>
              <w:left w:val="nil"/>
              <w:bottom w:val="nil"/>
              <w:right w:val="nil"/>
            </w:tcBorders>
            <w:shd w:val="clear" w:color="auto" w:fill="auto"/>
            <w:noWrap/>
            <w:hideMark/>
          </w:tcPr>
          <w:p w14:paraId="03147BE9" w14:textId="77777777" w:rsidR="00E7045B" w:rsidRPr="00440196" w:rsidRDefault="00E7045B" w:rsidP="006F57F3">
            <w:pPr>
              <w:keepNext/>
              <w:keepLines/>
              <w:spacing w:before="40" w:after="40"/>
              <w:jc w:val="right"/>
              <w:rPr>
                <w:b/>
                <w:sz w:val="18"/>
                <w:szCs w:val="18"/>
              </w:rPr>
            </w:pPr>
          </w:p>
        </w:tc>
        <w:tc>
          <w:tcPr>
            <w:tcW w:w="1417" w:type="dxa"/>
            <w:tcBorders>
              <w:top w:val="single" w:sz="4" w:space="0" w:color="auto"/>
              <w:left w:val="nil"/>
              <w:bottom w:val="nil"/>
              <w:right w:val="nil"/>
            </w:tcBorders>
            <w:shd w:val="clear" w:color="auto" w:fill="auto"/>
            <w:noWrap/>
            <w:hideMark/>
          </w:tcPr>
          <w:p w14:paraId="43E23D9C" w14:textId="77777777" w:rsidR="00E7045B" w:rsidRPr="00440196" w:rsidRDefault="00E7045B" w:rsidP="006F57F3">
            <w:pPr>
              <w:keepNext/>
              <w:keepLines/>
              <w:spacing w:before="40" w:after="40"/>
              <w:jc w:val="right"/>
              <w:rPr>
                <w:b/>
                <w:sz w:val="18"/>
                <w:szCs w:val="18"/>
              </w:rPr>
            </w:pPr>
          </w:p>
        </w:tc>
      </w:tr>
      <w:tr w:rsidR="00E7045B" w:rsidRPr="00440196" w14:paraId="5DCBA695" w14:textId="77777777" w:rsidTr="00440196">
        <w:trPr>
          <w:trHeight w:val="257"/>
        </w:trPr>
        <w:tc>
          <w:tcPr>
            <w:tcW w:w="5101" w:type="dxa"/>
            <w:tcBorders>
              <w:top w:val="nil"/>
              <w:left w:val="nil"/>
              <w:bottom w:val="nil"/>
              <w:right w:val="nil"/>
            </w:tcBorders>
            <w:shd w:val="clear" w:color="auto" w:fill="auto"/>
            <w:noWrap/>
            <w:hideMark/>
          </w:tcPr>
          <w:p w14:paraId="2FA474DA" w14:textId="77777777" w:rsidR="00E7045B" w:rsidRPr="007831BB" w:rsidRDefault="00E7045B" w:rsidP="006F57F3">
            <w:pPr>
              <w:keepNext/>
              <w:keepLines/>
              <w:widowControl w:val="0"/>
              <w:tabs>
                <w:tab w:val="left" w:pos="6480"/>
                <w:tab w:val="left" w:pos="7200"/>
              </w:tabs>
              <w:spacing w:before="40" w:after="40"/>
              <w:rPr>
                <w:sz w:val="18"/>
                <w:szCs w:val="18"/>
              </w:rPr>
            </w:pPr>
            <w:r w:rsidRPr="00440196">
              <w:rPr>
                <w:sz w:val="18"/>
                <w:szCs w:val="18"/>
              </w:rPr>
              <w:t>Operation and maintenance of printers and photocopiers</w:t>
            </w:r>
          </w:p>
        </w:tc>
        <w:tc>
          <w:tcPr>
            <w:tcW w:w="1559" w:type="dxa"/>
            <w:tcBorders>
              <w:top w:val="nil"/>
              <w:left w:val="nil"/>
              <w:bottom w:val="nil"/>
              <w:right w:val="nil"/>
            </w:tcBorders>
            <w:shd w:val="clear" w:color="auto" w:fill="auto"/>
            <w:noWrap/>
            <w:hideMark/>
          </w:tcPr>
          <w:p w14:paraId="53239387" w14:textId="77777777" w:rsidR="00E7045B" w:rsidRPr="007831BB" w:rsidRDefault="00E7045B" w:rsidP="006F57F3">
            <w:pPr>
              <w:keepNext/>
              <w:keepLines/>
              <w:widowControl w:val="0"/>
              <w:tabs>
                <w:tab w:val="left" w:pos="6480"/>
                <w:tab w:val="left" w:pos="7200"/>
              </w:tabs>
              <w:spacing w:before="40" w:after="40"/>
              <w:jc w:val="right"/>
              <w:rPr>
                <w:sz w:val="18"/>
                <w:szCs w:val="18"/>
              </w:rPr>
            </w:pPr>
            <w:r w:rsidRPr="00440196">
              <w:rPr>
                <w:sz w:val="18"/>
                <w:szCs w:val="18"/>
              </w:rPr>
              <w:t>5 000</w:t>
            </w:r>
          </w:p>
        </w:tc>
        <w:tc>
          <w:tcPr>
            <w:tcW w:w="1276" w:type="dxa"/>
            <w:tcBorders>
              <w:top w:val="nil"/>
              <w:left w:val="nil"/>
              <w:bottom w:val="nil"/>
              <w:right w:val="nil"/>
            </w:tcBorders>
            <w:shd w:val="clear" w:color="auto" w:fill="auto"/>
            <w:noWrap/>
            <w:hideMark/>
          </w:tcPr>
          <w:p w14:paraId="16DF9510" w14:textId="77777777" w:rsidR="00E7045B" w:rsidRPr="007831BB" w:rsidRDefault="00E7045B" w:rsidP="006F57F3">
            <w:pPr>
              <w:keepNext/>
              <w:keepLines/>
              <w:widowControl w:val="0"/>
              <w:tabs>
                <w:tab w:val="left" w:pos="6480"/>
                <w:tab w:val="left" w:pos="7200"/>
              </w:tabs>
              <w:spacing w:before="40" w:after="40"/>
              <w:jc w:val="right"/>
              <w:rPr>
                <w:sz w:val="18"/>
                <w:szCs w:val="18"/>
              </w:rPr>
            </w:pPr>
            <w:r w:rsidRPr="00440196">
              <w:rPr>
                <w:sz w:val="18"/>
                <w:szCs w:val="18"/>
              </w:rPr>
              <w:t>887</w:t>
            </w:r>
          </w:p>
        </w:tc>
        <w:tc>
          <w:tcPr>
            <w:tcW w:w="1417" w:type="dxa"/>
            <w:tcBorders>
              <w:top w:val="nil"/>
              <w:left w:val="nil"/>
              <w:bottom w:val="nil"/>
              <w:right w:val="nil"/>
            </w:tcBorders>
            <w:shd w:val="clear" w:color="auto" w:fill="auto"/>
            <w:noWrap/>
            <w:hideMark/>
          </w:tcPr>
          <w:p w14:paraId="1A663353" w14:textId="77777777" w:rsidR="00E7045B" w:rsidRPr="007831BB" w:rsidRDefault="00E7045B" w:rsidP="006F57F3">
            <w:pPr>
              <w:keepNext/>
              <w:keepLines/>
              <w:widowControl w:val="0"/>
              <w:tabs>
                <w:tab w:val="left" w:pos="6480"/>
                <w:tab w:val="left" w:pos="7200"/>
              </w:tabs>
              <w:spacing w:before="40" w:after="40"/>
              <w:jc w:val="right"/>
              <w:rPr>
                <w:sz w:val="18"/>
                <w:szCs w:val="18"/>
              </w:rPr>
            </w:pPr>
            <w:r w:rsidRPr="00440196">
              <w:rPr>
                <w:sz w:val="18"/>
                <w:szCs w:val="18"/>
              </w:rPr>
              <w:t>4 113</w:t>
            </w:r>
          </w:p>
        </w:tc>
      </w:tr>
      <w:tr w:rsidR="00E7045B" w:rsidRPr="00440196" w14:paraId="59130B1B" w14:textId="77777777" w:rsidTr="00440196">
        <w:trPr>
          <w:trHeight w:val="257"/>
        </w:trPr>
        <w:tc>
          <w:tcPr>
            <w:tcW w:w="5101" w:type="dxa"/>
            <w:tcBorders>
              <w:top w:val="nil"/>
              <w:left w:val="nil"/>
              <w:bottom w:val="nil"/>
              <w:right w:val="nil"/>
            </w:tcBorders>
            <w:shd w:val="clear" w:color="auto" w:fill="auto"/>
            <w:noWrap/>
            <w:hideMark/>
          </w:tcPr>
          <w:p w14:paraId="68C27B24" w14:textId="77777777" w:rsidR="00E7045B" w:rsidRPr="007831BB" w:rsidRDefault="00E7045B" w:rsidP="006F57F3">
            <w:pPr>
              <w:keepNext/>
              <w:keepLines/>
              <w:widowControl w:val="0"/>
              <w:tabs>
                <w:tab w:val="left" w:pos="6480"/>
                <w:tab w:val="left" w:pos="7200"/>
              </w:tabs>
              <w:spacing w:before="40" w:after="40"/>
              <w:rPr>
                <w:sz w:val="18"/>
                <w:szCs w:val="18"/>
              </w:rPr>
            </w:pPr>
            <w:r w:rsidRPr="00440196">
              <w:rPr>
                <w:sz w:val="18"/>
                <w:szCs w:val="18"/>
              </w:rPr>
              <w:t xml:space="preserve">Acquisition of four </w:t>
            </w:r>
            <w:r w:rsidRPr="00964A01">
              <w:rPr>
                <w:sz w:val="18"/>
                <w:szCs w:val="18"/>
              </w:rPr>
              <w:t>Microsoft Project and four Adobe office software licenses</w:t>
            </w:r>
            <w:r w:rsidRPr="00440196">
              <w:rPr>
                <w:sz w:val="18"/>
                <w:szCs w:val="18"/>
              </w:rPr>
              <w:t xml:space="preserve"> </w:t>
            </w:r>
          </w:p>
        </w:tc>
        <w:tc>
          <w:tcPr>
            <w:tcW w:w="1559" w:type="dxa"/>
            <w:tcBorders>
              <w:top w:val="nil"/>
              <w:left w:val="nil"/>
              <w:bottom w:val="nil"/>
              <w:right w:val="nil"/>
            </w:tcBorders>
            <w:shd w:val="clear" w:color="auto" w:fill="auto"/>
            <w:noWrap/>
            <w:hideMark/>
          </w:tcPr>
          <w:p w14:paraId="07FB0C31" w14:textId="77777777" w:rsidR="00E7045B" w:rsidRPr="007831BB" w:rsidRDefault="00E7045B" w:rsidP="006F57F3">
            <w:pPr>
              <w:keepNext/>
              <w:keepLines/>
              <w:widowControl w:val="0"/>
              <w:tabs>
                <w:tab w:val="left" w:pos="6480"/>
                <w:tab w:val="left" w:pos="7200"/>
              </w:tabs>
              <w:spacing w:before="40" w:after="40"/>
              <w:jc w:val="right"/>
              <w:rPr>
                <w:sz w:val="18"/>
                <w:szCs w:val="18"/>
              </w:rPr>
            </w:pPr>
            <w:r w:rsidRPr="00440196">
              <w:rPr>
                <w:sz w:val="18"/>
                <w:szCs w:val="18"/>
              </w:rPr>
              <w:t>4 000</w:t>
            </w:r>
          </w:p>
        </w:tc>
        <w:tc>
          <w:tcPr>
            <w:tcW w:w="1276" w:type="dxa"/>
            <w:tcBorders>
              <w:top w:val="nil"/>
              <w:left w:val="nil"/>
              <w:bottom w:val="nil"/>
              <w:right w:val="nil"/>
            </w:tcBorders>
            <w:shd w:val="clear" w:color="auto" w:fill="auto"/>
            <w:noWrap/>
            <w:hideMark/>
          </w:tcPr>
          <w:p w14:paraId="450F6DCC" w14:textId="77777777" w:rsidR="00E7045B" w:rsidRPr="007831BB" w:rsidRDefault="00E7045B" w:rsidP="006F57F3">
            <w:pPr>
              <w:keepNext/>
              <w:keepLines/>
              <w:widowControl w:val="0"/>
              <w:tabs>
                <w:tab w:val="left" w:pos="6480"/>
                <w:tab w:val="left" w:pos="7200"/>
              </w:tabs>
              <w:spacing w:before="40" w:after="40"/>
              <w:jc w:val="right"/>
              <w:rPr>
                <w:sz w:val="18"/>
                <w:szCs w:val="18"/>
              </w:rPr>
            </w:pPr>
            <w:r w:rsidRPr="00440196">
              <w:rPr>
                <w:sz w:val="18"/>
                <w:szCs w:val="18"/>
              </w:rPr>
              <w:t>−</w:t>
            </w:r>
          </w:p>
        </w:tc>
        <w:tc>
          <w:tcPr>
            <w:tcW w:w="1417" w:type="dxa"/>
            <w:tcBorders>
              <w:top w:val="nil"/>
              <w:left w:val="nil"/>
              <w:bottom w:val="nil"/>
              <w:right w:val="nil"/>
            </w:tcBorders>
            <w:shd w:val="clear" w:color="auto" w:fill="auto"/>
            <w:noWrap/>
            <w:hideMark/>
          </w:tcPr>
          <w:p w14:paraId="7BF3F536" w14:textId="77777777" w:rsidR="00E7045B" w:rsidRPr="007831BB" w:rsidRDefault="00E7045B" w:rsidP="006F57F3">
            <w:pPr>
              <w:keepNext/>
              <w:keepLines/>
              <w:widowControl w:val="0"/>
              <w:tabs>
                <w:tab w:val="left" w:pos="6480"/>
                <w:tab w:val="left" w:pos="7200"/>
              </w:tabs>
              <w:spacing w:before="40" w:after="40"/>
              <w:jc w:val="right"/>
              <w:rPr>
                <w:sz w:val="18"/>
                <w:szCs w:val="18"/>
              </w:rPr>
            </w:pPr>
            <w:r w:rsidRPr="00440196">
              <w:rPr>
                <w:sz w:val="18"/>
                <w:szCs w:val="18"/>
              </w:rPr>
              <w:t>4 000</w:t>
            </w:r>
          </w:p>
        </w:tc>
      </w:tr>
      <w:tr w:rsidR="00E7045B" w:rsidRPr="00440196" w14:paraId="49E6538A" w14:textId="77777777" w:rsidTr="00440196">
        <w:trPr>
          <w:trHeight w:val="305"/>
        </w:trPr>
        <w:tc>
          <w:tcPr>
            <w:tcW w:w="5101" w:type="dxa"/>
            <w:tcBorders>
              <w:top w:val="nil"/>
              <w:left w:val="nil"/>
              <w:bottom w:val="single" w:sz="4" w:space="0" w:color="auto"/>
              <w:right w:val="nil"/>
            </w:tcBorders>
            <w:shd w:val="clear" w:color="auto" w:fill="auto"/>
            <w:noWrap/>
            <w:hideMark/>
          </w:tcPr>
          <w:p w14:paraId="4A9DF9A1"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Information technology (IT) services 2015</w:t>
            </w:r>
            <w:r w:rsidRPr="00440196">
              <w:rPr>
                <w:sz w:val="18"/>
                <w:szCs w:val="18"/>
                <w:vertAlign w:val="superscript"/>
              </w:rPr>
              <w:t>d</w:t>
            </w:r>
          </w:p>
        </w:tc>
        <w:tc>
          <w:tcPr>
            <w:tcW w:w="1559" w:type="dxa"/>
            <w:tcBorders>
              <w:top w:val="nil"/>
              <w:left w:val="nil"/>
              <w:bottom w:val="single" w:sz="4" w:space="0" w:color="auto"/>
              <w:right w:val="nil"/>
            </w:tcBorders>
            <w:shd w:val="clear" w:color="auto" w:fill="auto"/>
            <w:noWrap/>
            <w:hideMark/>
          </w:tcPr>
          <w:p w14:paraId="297E61C4"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c>
          <w:tcPr>
            <w:tcW w:w="1276" w:type="dxa"/>
            <w:tcBorders>
              <w:top w:val="nil"/>
              <w:left w:val="nil"/>
              <w:bottom w:val="single" w:sz="4" w:space="0" w:color="auto"/>
              <w:right w:val="nil"/>
            </w:tcBorders>
            <w:shd w:val="clear" w:color="auto" w:fill="auto"/>
            <w:noWrap/>
            <w:hideMark/>
          </w:tcPr>
          <w:p w14:paraId="7079729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22 000</w:t>
            </w:r>
          </w:p>
        </w:tc>
        <w:tc>
          <w:tcPr>
            <w:tcW w:w="1417" w:type="dxa"/>
            <w:tcBorders>
              <w:top w:val="nil"/>
              <w:left w:val="nil"/>
              <w:bottom w:val="single" w:sz="4" w:space="0" w:color="auto"/>
              <w:right w:val="nil"/>
            </w:tcBorders>
            <w:shd w:val="clear" w:color="auto" w:fill="auto"/>
            <w:noWrap/>
            <w:hideMark/>
          </w:tcPr>
          <w:p w14:paraId="7E2E1B9D" w14:textId="77777777" w:rsidR="00E7045B" w:rsidRPr="007831BB" w:rsidRDefault="00E7045B" w:rsidP="00440196">
            <w:pPr>
              <w:widowControl w:val="0"/>
              <w:tabs>
                <w:tab w:val="left" w:pos="6480"/>
                <w:tab w:val="left" w:pos="7200"/>
              </w:tabs>
              <w:spacing w:before="40" w:after="40"/>
              <w:jc w:val="right"/>
              <w:rPr>
                <w:sz w:val="18"/>
                <w:szCs w:val="18"/>
              </w:rPr>
            </w:pPr>
            <w:r w:rsidRPr="00440196">
              <w:rPr>
                <w:b/>
                <w:sz w:val="18"/>
                <w:szCs w:val="18"/>
              </w:rPr>
              <w:t>-</w:t>
            </w:r>
            <w:r w:rsidRPr="00440196">
              <w:rPr>
                <w:sz w:val="18"/>
                <w:szCs w:val="18"/>
              </w:rPr>
              <w:t>22 000</w:t>
            </w:r>
          </w:p>
        </w:tc>
      </w:tr>
      <w:tr w:rsidR="00E7045B" w:rsidRPr="00440196" w14:paraId="61A6E615"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241FB891"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3.2.5 Printers, photocopiers, IT support and miscellaneous</w:t>
            </w:r>
          </w:p>
        </w:tc>
        <w:tc>
          <w:tcPr>
            <w:tcW w:w="1559" w:type="dxa"/>
            <w:tcBorders>
              <w:top w:val="single" w:sz="4" w:space="0" w:color="auto"/>
              <w:left w:val="nil"/>
              <w:bottom w:val="single" w:sz="4" w:space="0" w:color="auto"/>
              <w:right w:val="nil"/>
            </w:tcBorders>
            <w:shd w:val="clear" w:color="auto" w:fill="auto"/>
            <w:noWrap/>
            <w:hideMark/>
          </w:tcPr>
          <w:p w14:paraId="6FF84793"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9 000</w:t>
            </w:r>
          </w:p>
        </w:tc>
        <w:tc>
          <w:tcPr>
            <w:tcW w:w="1276" w:type="dxa"/>
            <w:tcBorders>
              <w:top w:val="single" w:sz="4" w:space="0" w:color="auto"/>
              <w:left w:val="nil"/>
              <w:bottom w:val="single" w:sz="4" w:space="0" w:color="auto"/>
              <w:right w:val="nil"/>
            </w:tcBorders>
            <w:shd w:val="clear" w:color="auto" w:fill="auto"/>
            <w:noWrap/>
            <w:hideMark/>
          </w:tcPr>
          <w:p w14:paraId="22DEB562"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22 887</w:t>
            </w:r>
          </w:p>
        </w:tc>
        <w:tc>
          <w:tcPr>
            <w:tcW w:w="1417" w:type="dxa"/>
            <w:tcBorders>
              <w:top w:val="single" w:sz="4" w:space="0" w:color="auto"/>
              <w:left w:val="nil"/>
              <w:bottom w:val="single" w:sz="4" w:space="0" w:color="auto"/>
              <w:right w:val="nil"/>
            </w:tcBorders>
            <w:shd w:val="clear" w:color="auto" w:fill="auto"/>
            <w:noWrap/>
            <w:hideMark/>
          </w:tcPr>
          <w:p w14:paraId="54E1487E"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-13 887</w:t>
            </w:r>
          </w:p>
        </w:tc>
      </w:tr>
      <w:tr w:rsidR="00E7045B" w:rsidRPr="00440196" w14:paraId="3AE89944" w14:textId="77777777" w:rsidTr="00440196">
        <w:trPr>
          <w:trHeight w:val="257"/>
        </w:trPr>
        <w:tc>
          <w:tcPr>
            <w:tcW w:w="5101" w:type="dxa"/>
            <w:tcBorders>
              <w:top w:val="single" w:sz="4" w:space="0" w:color="auto"/>
              <w:left w:val="nil"/>
              <w:right w:val="nil"/>
            </w:tcBorders>
            <w:shd w:val="clear" w:color="000000" w:fill="FFFFFF"/>
            <w:noWrap/>
            <w:hideMark/>
          </w:tcPr>
          <w:p w14:paraId="5AD5AB70"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3.2.6 Telephone, postage and miscellaneous</w:t>
            </w:r>
          </w:p>
        </w:tc>
        <w:tc>
          <w:tcPr>
            <w:tcW w:w="1559" w:type="dxa"/>
            <w:tcBorders>
              <w:top w:val="single" w:sz="4" w:space="0" w:color="auto"/>
              <w:left w:val="nil"/>
              <w:right w:val="nil"/>
            </w:tcBorders>
            <w:shd w:val="clear" w:color="000000" w:fill="FFFFFF"/>
            <w:noWrap/>
            <w:hideMark/>
          </w:tcPr>
          <w:p w14:paraId="521ED28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c>
          <w:tcPr>
            <w:tcW w:w="1276" w:type="dxa"/>
            <w:tcBorders>
              <w:top w:val="single" w:sz="4" w:space="0" w:color="auto"/>
              <w:left w:val="nil"/>
              <w:right w:val="nil"/>
            </w:tcBorders>
            <w:shd w:val="clear" w:color="auto" w:fill="auto"/>
            <w:noWrap/>
            <w:hideMark/>
          </w:tcPr>
          <w:p w14:paraId="037FAC5D" w14:textId="77777777" w:rsidR="00E7045B" w:rsidRPr="00440196" w:rsidRDefault="00E7045B" w:rsidP="00440196">
            <w:pPr>
              <w:spacing w:before="40" w:after="40"/>
              <w:jc w:val="right"/>
              <w:rPr>
                <w:sz w:val="18"/>
                <w:szCs w:val="18"/>
              </w:rPr>
            </w:pPr>
          </w:p>
        </w:tc>
        <w:tc>
          <w:tcPr>
            <w:tcW w:w="1417" w:type="dxa"/>
            <w:tcBorders>
              <w:top w:val="single" w:sz="4" w:space="0" w:color="auto"/>
              <w:left w:val="nil"/>
              <w:right w:val="nil"/>
            </w:tcBorders>
            <w:shd w:val="clear" w:color="000000" w:fill="FFFFFF"/>
            <w:noWrap/>
            <w:hideMark/>
          </w:tcPr>
          <w:p w14:paraId="5404100D"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 xml:space="preserve"> </w:t>
            </w:r>
          </w:p>
        </w:tc>
      </w:tr>
      <w:tr w:rsidR="00E7045B" w:rsidRPr="00440196" w14:paraId="41FB2682" w14:textId="77777777" w:rsidTr="00440196">
        <w:trPr>
          <w:trHeight w:val="273"/>
        </w:trPr>
        <w:tc>
          <w:tcPr>
            <w:tcW w:w="5101" w:type="dxa"/>
            <w:tcBorders>
              <w:left w:val="nil"/>
              <w:bottom w:val="single" w:sz="4" w:space="0" w:color="auto"/>
              <w:right w:val="nil"/>
            </w:tcBorders>
            <w:shd w:val="clear" w:color="000000" w:fill="FFFFFF"/>
            <w:noWrap/>
            <w:hideMark/>
          </w:tcPr>
          <w:p w14:paraId="084C97AE"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 xml:space="preserve">Postage and miscellaneous </w:t>
            </w:r>
          </w:p>
        </w:tc>
        <w:tc>
          <w:tcPr>
            <w:tcW w:w="1559" w:type="dxa"/>
            <w:tcBorders>
              <w:left w:val="nil"/>
              <w:bottom w:val="single" w:sz="4" w:space="0" w:color="auto"/>
              <w:right w:val="nil"/>
            </w:tcBorders>
            <w:shd w:val="clear" w:color="000000" w:fill="FFFFFF"/>
            <w:noWrap/>
            <w:hideMark/>
          </w:tcPr>
          <w:p w14:paraId="7D6396B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2 000</w:t>
            </w:r>
          </w:p>
        </w:tc>
        <w:tc>
          <w:tcPr>
            <w:tcW w:w="1276" w:type="dxa"/>
            <w:tcBorders>
              <w:left w:val="nil"/>
              <w:bottom w:val="single" w:sz="4" w:space="0" w:color="auto"/>
              <w:right w:val="nil"/>
            </w:tcBorders>
            <w:shd w:val="clear" w:color="auto" w:fill="auto"/>
            <w:noWrap/>
            <w:hideMark/>
          </w:tcPr>
          <w:p w14:paraId="709B017D"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2 814</w:t>
            </w:r>
          </w:p>
        </w:tc>
        <w:tc>
          <w:tcPr>
            <w:tcW w:w="1417" w:type="dxa"/>
            <w:tcBorders>
              <w:left w:val="nil"/>
              <w:bottom w:val="single" w:sz="4" w:space="0" w:color="auto"/>
              <w:right w:val="nil"/>
            </w:tcBorders>
            <w:shd w:val="clear" w:color="000000" w:fill="FFFFFF"/>
            <w:noWrap/>
            <w:hideMark/>
          </w:tcPr>
          <w:p w14:paraId="05950C0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−814</w:t>
            </w:r>
          </w:p>
        </w:tc>
      </w:tr>
      <w:tr w:rsidR="00E7045B" w:rsidRPr="00440196" w14:paraId="43BB289C"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5B012B62"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3.2.6 Telephone, postage and miscellaneous</w:t>
            </w:r>
          </w:p>
        </w:tc>
        <w:tc>
          <w:tcPr>
            <w:tcW w:w="1559" w:type="dxa"/>
            <w:tcBorders>
              <w:top w:val="single" w:sz="4" w:space="0" w:color="auto"/>
              <w:left w:val="nil"/>
              <w:bottom w:val="single" w:sz="4" w:space="0" w:color="auto"/>
              <w:right w:val="nil"/>
            </w:tcBorders>
            <w:shd w:val="clear" w:color="auto" w:fill="auto"/>
            <w:noWrap/>
            <w:hideMark/>
          </w:tcPr>
          <w:p w14:paraId="56EA267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22 000</w:t>
            </w:r>
          </w:p>
        </w:tc>
        <w:tc>
          <w:tcPr>
            <w:tcW w:w="1276" w:type="dxa"/>
            <w:tcBorders>
              <w:top w:val="single" w:sz="4" w:space="0" w:color="auto"/>
              <w:left w:val="nil"/>
              <w:bottom w:val="single" w:sz="4" w:space="0" w:color="auto"/>
              <w:right w:val="nil"/>
            </w:tcBorders>
            <w:shd w:val="clear" w:color="auto" w:fill="auto"/>
            <w:noWrap/>
            <w:hideMark/>
          </w:tcPr>
          <w:p w14:paraId="6FD38C1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13 577</w:t>
            </w:r>
          </w:p>
        </w:tc>
        <w:tc>
          <w:tcPr>
            <w:tcW w:w="1417" w:type="dxa"/>
            <w:tcBorders>
              <w:top w:val="single" w:sz="4" w:space="0" w:color="auto"/>
              <w:left w:val="nil"/>
              <w:bottom w:val="single" w:sz="4" w:space="0" w:color="auto"/>
              <w:right w:val="nil"/>
            </w:tcBorders>
            <w:shd w:val="clear" w:color="auto" w:fill="auto"/>
            <w:noWrap/>
            <w:hideMark/>
          </w:tcPr>
          <w:p w14:paraId="21B1F971"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8 423</w:t>
            </w:r>
          </w:p>
        </w:tc>
      </w:tr>
      <w:tr w:rsidR="00E7045B" w:rsidRPr="00440196" w14:paraId="24F3E18C" w14:textId="77777777" w:rsidTr="00440196">
        <w:trPr>
          <w:trHeight w:val="257"/>
        </w:trPr>
        <w:tc>
          <w:tcPr>
            <w:tcW w:w="5101" w:type="dxa"/>
            <w:tcBorders>
              <w:top w:val="single" w:sz="4" w:space="0" w:color="auto"/>
              <w:left w:val="nil"/>
              <w:bottom w:val="nil"/>
              <w:right w:val="nil"/>
            </w:tcBorders>
            <w:shd w:val="clear" w:color="000000" w:fill="FFFFFF"/>
            <w:noWrap/>
            <w:hideMark/>
          </w:tcPr>
          <w:p w14:paraId="7E11CA3A"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 xml:space="preserve">3.2.7 Hospitality </w:t>
            </w:r>
          </w:p>
        </w:tc>
        <w:tc>
          <w:tcPr>
            <w:tcW w:w="1559" w:type="dxa"/>
            <w:tcBorders>
              <w:top w:val="single" w:sz="4" w:space="0" w:color="auto"/>
              <w:left w:val="nil"/>
              <w:bottom w:val="nil"/>
              <w:right w:val="nil"/>
            </w:tcBorders>
            <w:shd w:val="clear" w:color="000000" w:fill="FFFFFF"/>
            <w:noWrap/>
            <w:hideMark/>
          </w:tcPr>
          <w:p w14:paraId="0B87FFF2" w14:textId="77777777" w:rsidR="00E7045B" w:rsidRPr="00440196" w:rsidRDefault="00E7045B" w:rsidP="00440196">
            <w:pPr>
              <w:spacing w:before="40" w:after="40"/>
              <w:jc w:val="right"/>
              <w:rPr>
                <w:b/>
                <w:sz w:val="18"/>
                <w:szCs w:val="18"/>
              </w:rPr>
            </w:pPr>
          </w:p>
        </w:tc>
        <w:tc>
          <w:tcPr>
            <w:tcW w:w="1276" w:type="dxa"/>
            <w:tcBorders>
              <w:top w:val="single" w:sz="4" w:space="0" w:color="auto"/>
              <w:left w:val="nil"/>
              <w:bottom w:val="nil"/>
              <w:right w:val="nil"/>
            </w:tcBorders>
            <w:shd w:val="clear" w:color="auto" w:fill="auto"/>
            <w:noWrap/>
            <w:hideMark/>
          </w:tcPr>
          <w:p w14:paraId="7B72978A" w14:textId="77777777" w:rsidR="00E7045B" w:rsidRPr="00440196" w:rsidRDefault="00E7045B" w:rsidP="00440196">
            <w:pPr>
              <w:spacing w:before="40" w:after="40"/>
              <w:jc w:val="right"/>
              <w:rPr>
                <w:b/>
                <w:sz w:val="18"/>
                <w:szCs w:val="18"/>
              </w:rPr>
            </w:pPr>
          </w:p>
        </w:tc>
        <w:tc>
          <w:tcPr>
            <w:tcW w:w="1417" w:type="dxa"/>
            <w:tcBorders>
              <w:top w:val="single" w:sz="4" w:space="0" w:color="auto"/>
              <w:left w:val="nil"/>
              <w:bottom w:val="nil"/>
              <w:right w:val="nil"/>
            </w:tcBorders>
            <w:shd w:val="clear" w:color="000000" w:fill="FFFFFF"/>
            <w:noWrap/>
            <w:hideMark/>
          </w:tcPr>
          <w:p w14:paraId="762C84E9"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 xml:space="preserve"> </w:t>
            </w:r>
          </w:p>
        </w:tc>
      </w:tr>
      <w:tr w:rsidR="00E7045B" w:rsidRPr="00440196" w14:paraId="7048DFE6" w14:textId="77777777" w:rsidTr="00440196">
        <w:trPr>
          <w:trHeight w:val="273"/>
        </w:trPr>
        <w:tc>
          <w:tcPr>
            <w:tcW w:w="5101" w:type="dxa"/>
            <w:tcBorders>
              <w:top w:val="nil"/>
              <w:left w:val="nil"/>
              <w:bottom w:val="single" w:sz="4" w:space="0" w:color="auto"/>
              <w:right w:val="nil"/>
            </w:tcBorders>
            <w:shd w:val="clear" w:color="000000" w:fill="FFFFFF"/>
            <w:noWrap/>
            <w:hideMark/>
          </w:tcPr>
          <w:p w14:paraId="3B2077EC"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Hospitality</w:t>
            </w:r>
          </w:p>
        </w:tc>
        <w:tc>
          <w:tcPr>
            <w:tcW w:w="1559" w:type="dxa"/>
            <w:tcBorders>
              <w:top w:val="nil"/>
              <w:left w:val="nil"/>
              <w:bottom w:val="single" w:sz="4" w:space="0" w:color="auto"/>
              <w:right w:val="nil"/>
            </w:tcBorders>
            <w:shd w:val="clear" w:color="000000" w:fill="FFFFFF"/>
            <w:noWrap/>
            <w:hideMark/>
          </w:tcPr>
          <w:p w14:paraId="67A57E2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5 000</w:t>
            </w:r>
          </w:p>
        </w:tc>
        <w:tc>
          <w:tcPr>
            <w:tcW w:w="1276" w:type="dxa"/>
            <w:tcBorders>
              <w:top w:val="nil"/>
              <w:left w:val="nil"/>
              <w:bottom w:val="single" w:sz="4" w:space="0" w:color="auto"/>
              <w:right w:val="nil"/>
            </w:tcBorders>
            <w:shd w:val="clear" w:color="000000" w:fill="FFFFFF"/>
            <w:noWrap/>
            <w:hideMark/>
          </w:tcPr>
          <w:p w14:paraId="52E6CF0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w:t>
            </w:r>
          </w:p>
        </w:tc>
        <w:tc>
          <w:tcPr>
            <w:tcW w:w="1417" w:type="dxa"/>
            <w:tcBorders>
              <w:top w:val="nil"/>
              <w:left w:val="nil"/>
              <w:bottom w:val="single" w:sz="4" w:space="0" w:color="auto"/>
              <w:right w:val="nil"/>
            </w:tcBorders>
            <w:shd w:val="clear" w:color="000000" w:fill="FFFFFF"/>
            <w:noWrap/>
            <w:hideMark/>
          </w:tcPr>
          <w:p w14:paraId="7BA1265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5 000</w:t>
            </w:r>
          </w:p>
        </w:tc>
      </w:tr>
      <w:tr w:rsidR="00E7045B" w:rsidRPr="00440196" w14:paraId="220B251C"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36C263FB"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3.2.7 Hospitality</w:t>
            </w:r>
          </w:p>
        </w:tc>
        <w:tc>
          <w:tcPr>
            <w:tcW w:w="1559" w:type="dxa"/>
            <w:tcBorders>
              <w:top w:val="single" w:sz="4" w:space="0" w:color="auto"/>
              <w:left w:val="nil"/>
              <w:bottom w:val="single" w:sz="4" w:space="0" w:color="auto"/>
              <w:right w:val="nil"/>
            </w:tcBorders>
            <w:shd w:val="clear" w:color="auto" w:fill="auto"/>
            <w:noWrap/>
            <w:hideMark/>
          </w:tcPr>
          <w:p w14:paraId="5A825D89"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5 000</w:t>
            </w:r>
          </w:p>
        </w:tc>
        <w:tc>
          <w:tcPr>
            <w:tcW w:w="1276" w:type="dxa"/>
            <w:tcBorders>
              <w:top w:val="single" w:sz="4" w:space="0" w:color="auto"/>
              <w:left w:val="nil"/>
              <w:bottom w:val="single" w:sz="4" w:space="0" w:color="auto"/>
              <w:right w:val="nil"/>
            </w:tcBorders>
            <w:shd w:val="clear" w:color="auto" w:fill="auto"/>
            <w:noWrap/>
            <w:hideMark/>
          </w:tcPr>
          <w:p w14:paraId="564B4A4D"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sz w:val="18"/>
                <w:szCs w:val="18"/>
              </w:rPr>
              <w:t>−</w:t>
            </w:r>
          </w:p>
        </w:tc>
        <w:tc>
          <w:tcPr>
            <w:tcW w:w="1417" w:type="dxa"/>
            <w:tcBorders>
              <w:top w:val="single" w:sz="4" w:space="0" w:color="auto"/>
              <w:left w:val="nil"/>
              <w:bottom w:val="single" w:sz="4" w:space="0" w:color="auto"/>
              <w:right w:val="nil"/>
            </w:tcBorders>
            <w:shd w:val="clear" w:color="auto" w:fill="auto"/>
            <w:noWrap/>
            <w:hideMark/>
          </w:tcPr>
          <w:p w14:paraId="216E5DA4"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5 000</w:t>
            </w:r>
          </w:p>
        </w:tc>
      </w:tr>
      <w:tr w:rsidR="00E7045B" w:rsidRPr="00440196" w14:paraId="71278AAC"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209B766B"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3.2 Operating costs (non-personnel)</w:t>
            </w:r>
          </w:p>
        </w:tc>
        <w:tc>
          <w:tcPr>
            <w:tcW w:w="1559" w:type="dxa"/>
            <w:tcBorders>
              <w:top w:val="single" w:sz="4" w:space="0" w:color="auto"/>
              <w:left w:val="nil"/>
              <w:bottom w:val="single" w:sz="4" w:space="0" w:color="auto"/>
              <w:right w:val="nil"/>
            </w:tcBorders>
            <w:shd w:val="clear" w:color="auto" w:fill="auto"/>
            <w:noWrap/>
            <w:hideMark/>
          </w:tcPr>
          <w:p w14:paraId="071AB925"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219 500</w:t>
            </w:r>
          </w:p>
        </w:tc>
        <w:tc>
          <w:tcPr>
            <w:tcW w:w="1276" w:type="dxa"/>
            <w:tcBorders>
              <w:top w:val="single" w:sz="4" w:space="0" w:color="auto"/>
              <w:left w:val="nil"/>
              <w:bottom w:val="single" w:sz="4" w:space="0" w:color="auto"/>
              <w:right w:val="nil"/>
            </w:tcBorders>
            <w:shd w:val="clear" w:color="auto" w:fill="auto"/>
            <w:noWrap/>
            <w:hideMark/>
          </w:tcPr>
          <w:p w14:paraId="273D84DA"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175 855</w:t>
            </w:r>
          </w:p>
        </w:tc>
        <w:tc>
          <w:tcPr>
            <w:tcW w:w="1417" w:type="dxa"/>
            <w:tcBorders>
              <w:top w:val="single" w:sz="4" w:space="0" w:color="auto"/>
              <w:left w:val="nil"/>
              <w:bottom w:val="single" w:sz="4" w:space="0" w:color="auto"/>
              <w:right w:val="nil"/>
            </w:tcBorders>
            <w:shd w:val="clear" w:color="auto" w:fill="auto"/>
            <w:noWrap/>
            <w:hideMark/>
          </w:tcPr>
          <w:p w14:paraId="7E1E72D0"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43 645</w:t>
            </w:r>
          </w:p>
        </w:tc>
      </w:tr>
      <w:tr w:rsidR="00E7045B" w:rsidRPr="00440196" w14:paraId="6F0404E0" w14:textId="77777777" w:rsidTr="00440196">
        <w:trPr>
          <w:trHeight w:val="273"/>
        </w:trPr>
        <w:tc>
          <w:tcPr>
            <w:tcW w:w="5101" w:type="dxa"/>
            <w:tcBorders>
              <w:top w:val="single" w:sz="4" w:space="0" w:color="auto"/>
              <w:left w:val="nil"/>
              <w:bottom w:val="single" w:sz="4" w:space="0" w:color="auto"/>
              <w:right w:val="nil"/>
            </w:tcBorders>
            <w:shd w:val="clear" w:color="auto" w:fill="auto"/>
            <w:noWrap/>
            <w:hideMark/>
          </w:tcPr>
          <w:p w14:paraId="14FFE518" w14:textId="77777777" w:rsidR="00E7045B" w:rsidRPr="007831BB" w:rsidRDefault="00E7045B" w:rsidP="00440196">
            <w:pPr>
              <w:widowControl w:val="0"/>
              <w:tabs>
                <w:tab w:val="left" w:pos="6480"/>
                <w:tab w:val="left" w:pos="7200"/>
              </w:tabs>
              <w:spacing w:before="40" w:after="40"/>
              <w:rPr>
                <w:b/>
                <w:bCs/>
                <w:sz w:val="18"/>
                <w:szCs w:val="18"/>
              </w:rPr>
            </w:pPr>
            <w:r w:rsidRPr="00440196">
              <w:rPr>
                <w:b/>
                <w:sz w:val="18"/>
                <w:szCs w:val="18"/>
              </w:rPr>
              <w:t xml:space="preserve">Subtotal 3 Secretariat (personnel </w:t>
            </w:r>
            <w:r w:rsidRPr="00440196">
              <w:rPr>
                <w:b/>
                <w:bCs/>
                <w:sz w:val="18"/>
                <w:szCs w:val="18"/>
              </w:rPr>
              <w:t>and</w:t>
            </w:r>
            <w:r w:rsidRPr="00440196">
              <w:rPr>
                <w:b/>
                <w:sz w:val="18"/>
                <w:szCs w:val="18"/>
              </w:rPr>
              <w:t xml:space="preserve"> operating costs)</w:t>
            </w:r>
          </w:p>
        </w:tc>
        <w:tc>
          <w:tcPr>
            <w:tcW w:w="1559" w:type="dxa"/>
            <w:tcBorders>
              <w:top w:val="single" w:sz="4" w:space="0" w:color="auto"/>
              <w:left w:val="nil"/>
              <w:bottom w:val="single" w:sz="4" w:space="0" w:color="auto"/>
              <w:right w:val="nil"/>
            </w:tcBorders>
            <w:shd w:val="clear" w:color="auto" w:fill="auto"/>
            <w:noWrap/>
            <w:hideMark/>
          </w:tcPr>
          <w:p w14:paraId="38047FE5"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szCs w:val="18"/>
              </w:rPr>
              <w:t>1 806 133</w:t>
            </w:r>
          </w:p>
        </w:tc>
        <w:tc>
          <w:tcPr>
            <w:tcW w:w="1276" w:type="dxa"/>
            <w:tcBorders>
              <w:top w:val="single" w:sz="4" w:space="0" w:color="auto"/>
              <w:left w:val="nil"/>
              <w:bottom w:val="single" w:sz="4" w:space="0" w:color="auto"/>
              <w:right w:val="nil"/>
            </w:tcBorders>
            <w:shd w:val="clear" w:color="auto" w:fill="auto"/>
            <w:noWrap/>
            <w:hideMark/>
          </w:tcPr>
          <w:p w14:paraId="1FAB342F"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szCs w:val="18"/>
              </w:rPr>
              <w:t>1 119 176</w:t>
            </w:r>
          </w:p>
        </w:tc>
        <w:tc>
          <w:tcPr>
            <w:tcW w:w="1417" w:type="dxa"/>
            <w:tcBorders>
              <w:top w:val="single" w:sz="4" w:space="0" w:color="auto"/>
              <w:left w:val="nil"/>
              <w:bottom w:val="single" w:sz="4" w:space="0" w:color="auto"/>
              <w:right w:val="nil"/>
            </w:tcBorders>
            <w:shd w:val="clear" w:color="auto" w:fill="auto"/>
            <w:noWrap/>
            <w:hideMark/>
          </w:tcPr>
          <w:p w14:paraId="05FDA733"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szCs w:val="18"/>
              </w:rPr>
              <w:t>686 957</w:t>
            </w:r>
          </w:p>
        </w:tc>
      </w:tr>
      <w:tr w:rsidR="00E7045B" w:rsidRPr="00440196" w14:paraId="773E51DE" w14:textId="77777777" w:rsidTr="00440196">
        <w:trPr>
          <w:trHeight w:val="320"/>
        </w:trPr>
        <w:tc>
          <w:tcPr>
            <w:tcW w:w="5101" w:type="dxa"/>
            <w:tcBorders>
              <w:top w:val="single" w:sz="4" w:space="0" w:color="auto"/>
              <w:left w:val="nil"/>
              <w:bottom w:val="single" w:sz="4" w:space="0" w:color="auto"/>
              <w:right w:val="nil"/>
            </w:tcBorders>
            <w:shd w:val="clear" w:color="000000" w:fill="FFFFFF"/>
            <w:noWrap/>
            <w:hideMark/>
          </w:tcPr>
          <w:p w14:paraId="083BEBCE"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Subtotal 1+2+3</w:t>
            </w:r>
          </w:p>
        </w:tc>
        <w:tc>
          <w:tcPr>
            <w:tcW w:w="1559" w:type="dxa"/>
            <w:tcBorders>
              <w:top w:val="single" w:sz="4" w:space="0" w:color="auto"/>
              <w:left w:val="nil"/>
              <w:bottom w:val="single" w:sz="4" w:space="0" w:color="auto"/>
              <w:right w:val="nil"/>
            </w:tcBorders>
            <w:shd w:val="clear" w:color="000000" w:fill="FFFFFF"/>
            <w:noWrap/>
            <w:hideMark/>
          </w:tcPr>
          <w:p w14:paraId="7DD1FCFF"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8 802 133</w:t>
            </w:r>
          </w:p>
        </w:tc>
        <w:tc>
          <w:tcPr>
            <w:tcW w:w="1276" w:type="dxa"/>
            <w:tcBorders>
              <w:top w:val="single" w:sz="4" w:space="0" w:color="auto"/>
              <w:left w:val="nil"/>
              <w:bottom w:val="single" w:sz="4" w:space="0" w:color="auto"/>
              <w:right w:val="nil"/>
            </w:tcBorders>
            <w:shd w:val="clear" w:color="000000" w:fill="FFFFFF"/>
            <w:noWrap/>
            <w:hideMark/>
          </w:tcPr>
          <w:p w14:paraId="7BE3C78E"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6 789 906</w:t>
            </w:r>
          </w:p>
        </w:tc>
        <w:tc>
          <w:tcPr>
            <w:tcW w:w="1417" w:type="dxa"/>
            <w:tcBorders>
              <w:top w:val="single" w:sz="4" w:space="0" w:color="auto"/>
              <w:left w:val="nil"/>
              <w:bottom w:val="single" w:sz="4" w:space="0" w:color="auto"/>
              <w:right w:val="nil"/>
            </w:tcBorders>
            <w:shd w:val="clear" w:color="000000" w:fill="FFFFFF"/>
            <w:noWrap/>
            <w:hideMark/>
          </w:tcPr>
          <w:p w14:paraId="6C6B9BA1"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2 012 226</w:t>
            </w:r>
          </w:p>
        </w:tc>
      </w:tr>
      <w:tr w:rsidR="00E7045B" w:rsidRPr="00440196" w14:paraId="726E7AAC" w14:textId="77777777" w:rsidTr="00440196">
        <w:trPr>
          <w:trHeight w:val="257"/>
        </w:trPr>
        <w:tc>
          <w:tcPr>
            <w:tcW w:w="5101" w:type="dxa"/>
            <w:tcBorders>
              <w:top w:val="single" w:sz="4" w:space="0" w:color="auto"/>
              <w:left w:val="nil"/>
              <w:bottom w:val="single" w:sz="4" w:space="0" w:color="auto"/>
              <w:right w:val="nil"/>
            </w:tcBorders>
            <w:shd w:val="clear" w:color="000000" w:fill="FFFFFF"/>
            <w:noWrap/>
            <w:hideMark/>
          </w:tcPr>
          <w:p w14:paraId="2CD79E85"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Programme support costs (8 per cent)</w:t>
            </w:r>
          </w:p>
        </w:tc>
        <w:tc>
          <w:tcPr>
            <w:tcW w:w="1559" w:type="dxa"/>
            <w:tcBorders>
              <w:top w:val="single" w:sz="4" w:space="0" w:color="auto"/>
              <w:left w:val="nil"/>
              <w:bottom w:val="single" w:sz="4" w:space="0" w:color="auto"/>
              <w:right w:val="nil"/>
            </w:tcBorders>
            <w:shd w:val="clear" w:color="000000" w:fill="FFFFFF"/>
            <w:noWrap/>
            <w:hideMark/>
          </w:tcPr>
          <w:p w14:paraId="66E92B4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704 171</w:t>
            </w:r>
          </w:p>
        </w:tc>
        <w:tc>
          <w:tcPr>
            <w:tcW w:w="1276" w:type="dxa"/>
            <w:tcBorders>
              <w:top w:val="single" w:sz="4" w:space="0" w:color="auto"/>
              <w:left w:val="nil"/>
              <w:bottom w:val="single" w:sz="4" w:space="0" w:color="auto"/>
              <w:right w:val="nil"/>
            </w:tcBorders>
            <w:shd w:val="clear" w:color="000000" w:fill="FFFFFF"/>
            <w:noWrap/>
            <w:hideMark/>
          </w:tcPr>
          <w:p w14:paraId="1A2F4B1F"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543 192</w:t>
            </w:r>
          </w:p>
        </w:tc>
        <w:tc>
          <w:tcPr>
            <w:tcW w:w="1417" w:type="dxa"/>
            <w:tcBorders>
              <w:top w:val="single" w:sz="4" w:space="0" w:color="auto"/>
              <w:left w:val="nil"/>
              <w:bottom w:val="single" w:sz="4" w:space="0" w:color="auto"/>
              <w:right w:val="nil"/>
            </w:tcBorders>
            <w:shd w:val="clear" w:color="000000" w:fill="FFFFFF"/>
            <w:noWrap/>
            <w:hideMark/>
          </w:tcPr>
          <w:p w14:paraId="23619A7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160 978</w:t>
            </w:r>
          </w:p>
        </w:tc>
      </w:tr>
      <w:tr w:rsidR="00E7045B" w:rsidRPr="00440196" w14:paraId="2F0CBF78" w14:textId="77777777" w:rsidTr="00440196">
        <w:trPr>
          <w:trHeight w:val="257"/>
        </w:trPr>
        <w:tc>
          <w:tcPr>
            <w:tcW w:w="5101" w:type="dxa"/>
            <w:tcBorders>
              <w:top w:val="single" w:sz="4" w:space="0" w:color="auto"/>
              <w:left w:val="nil"/>
              <w:bottom w:val="single" w:sz="4" w:space="0" w:color="auto"/>
              <w:right w:val="nil"/>
            </w:tcBorders>
            <w:shd w:val="clear" w:color="000000" w:fill="FFFFFF"/>
            <w:noWrap/>
            <w:hideMark/>
          </w:tcPr>
          <w:p w14:paraId="13651D56"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Total cost to the trust fund</w:t>
            </w:r>
          </w:p>
        </w:tc>
        <w:tc>
          <w:tcPr>
            <w:tcW w:w="1559" w:type="dxa"/>
            <w:tcBorders>
              <w:top w:val="single" w:sz="4" w:space="0" w:color="auto"/>
              <w:left w:val="nil"/>
              <w:bottom w:val="single" w:sz="4" w:space="0" w:color="auto"/>
              <w:right w:val="nil"/>
            </w:tcBorders>
            <w:shd w:val="clear" w:color="000000" w:fill="FFFFFF"/>
            <w:noWrap/>
            <w:hideMark/>
          </w:tcPr>
          <w:p w14:paraId="292321AB"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9 506 304</w:t>
            </w:r>
          </w:p>
        </w:tc>
        <w:tc>
          <w:tcPr>
            <w:tcW w:w="1276" w:type="dxa"/>
            <w:tcBorders>
              <w:top w:val="single" w:sz="4" w:space="0" w:color="auto"/>
              <w:left w:val="nil"/>
              <w:bottom w:val="single" w:sz="4" w:space="0" w:color="auto"/>
              <w:right w:val="nil"/>
            </w:tcBorders>
            <w:shd w:val="clear" w:color="000000" w:fill="FFFFFF"/>
            <w:noWrap/>
            <w:hideMark/>
          </w:tcPr>
          <w:p w14:paraId="43CF6427"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7 333 098</w:t>
            </w:r>
          </w:p>
        </w:tc>
        <w:tc>
          <w:tcPr>
            <w:tcW w:w="1417" w:type="dxa"/>
            <w:tcBorders>
              <w:top w:val="single" w:sz="4" w:space="0" w:color="auto"/>
              <w:left w:val="nil"/>
              <w:bottom w:val="single" w:sz="4" w:space="0" w:color="auto"/>
              <w:right w:val="nil"/>
            </w:tcBorders>
            <w:shd w:val="clear" w:color="000000" w:fill="FFFFFF"/>
            <w:noWrap/>
            <w:hideMark/>
          </w:tcPr>
          <w:p w14:paraId="06420D81"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2 173 204</w:t>
            </w:r>
          </w:p>
        </w:tc>
      </w:tr>
      <w:tr w:rsidR="00E7045B" w:rsidRPr="00440196" w14:paraId="384C4DE3" w14:textId="77777777" w:rsidTr="00440196">
        <w:trPr>
          <w:trHeight w:val="305"/>
        </w:trPr>
        <w:tc>
          <w:tcPr>
            <w:tcW w:w="5101" w:type="dxa"/>
            <w:tcBorders>
              <w:top w:val="single" w:sz="4" w:space="0" w:color="auto"/>
              <w:left w:val="nil"/>
              <w:bottom w:val="single" w:sz="4" w:space="0" w:color="auto"/>
              <w:right w:val="nil"/>
            </w:tcBorders>
            <w:shd w:val="clear" w:color="000000" w:fill="FFFFFF"/>
            <w:noWrap/>
            <w:hideMark/>
          </w:tcPr>
          <w:p w14:paraId="171A1B83" w14:textId="77777777" w:rsidR="00E7045B" w:rsidRPr="007831BB" w:rsidRDefault="00E7045B" w:rsidP="00440196">
            <w:pPr>
              <w:widowControl w:val="0"/>
              <w:tabs>
                <w:tab w:val="left" w:pos="6480"/>
                <w:tab w:val="left" w:pos="7200"/>
              </w:tabs>
              <w:spacing w:before="40" w:after="40"/>
              <w:rPr>
                <w:sz w:val="18"/>
                <w:szCs w:val="18"/>
              </w:rPr>
            </w:pPr>
            <w:r w:rsidRPr="00440196">
              <w:rPr>
                <w:sz w:val="18"/>
                <w:szCs w:val="18"/>
              </w:rPr>
              <w:t>Contribution to working capital reserve (10 per cent)</w:t>
            </w:r>
            <w:r w:rsidRPr="00440196">
              <w:rPr>
                <w:sz w:val="18"/>
                <w:szCs w:val="18"/>
                <w:vertAlign w:val="superscript"/>
              </w:rPr>
              <w:t>e</w:t>
            </w:r>
          </w:p>
        </w:tc>
        <w:tc>
          <w:tcPr>
            <w:tcW w:w="1559" w:type="dxa"/>
            <w:tcBorders>
              <w:top w:val="single" w:sz="4" w:space="0" w:color="auto"/>
              <w:left w:val="nil"/>
              <w:bottom w:val="single" w:sz="4" w:space="0" w:color="auto"/>
              <w:right w:val="nil"/>
            </w:tcBorders>
            <w:shd w:val="clear" w:color="000000" w:fill="FFFFFF"/>
            <w:noWrap/>
            <w:hideMark/>
          </w:tcPr>
          <w:p w14:paraId="5F9E3DEA"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20 476</w:t>
            </w:r>
          </w:p>
        </w:tc>
        <w:tc>
          <w:tcPr>
            <w:tcW w:w="1276" w:type="dxa"/>
            <w:tcBorders>
              <w:top w:val="single" w:sz="4" w:space="0" w:color="auto"/>
              <w:left w:val="nil"/>
              <w:bottom w:val="single" w:sz="4" w:space="0" w:color="auto"/>
              <w:right w:val="nil"/>
            </w:tcBorders>
            <w:shd w:val="clear" w:color="auto" w:fill="auto"/>
            <w:noWrap/>
            <w:hideMark/>
          </w:tcPr>
          <w:p w14:paraId="54BA253B"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szCs w:val="18"/>
              </w:rPr>
              <w:t>798 223</w:t>
            </w:r>
          </w:p>
        </w:tc>
        <w:tc>
          <w:tcPr>
            <w:tcW w:w="1417" w:type="dxa"/>
            <w:tcBorders>
              <w:top w:val="single" w:sz="4" w:space="0" w:color="auto"/>
              <w:left w:val="nil"/>
              <w:bottom w:val="single" w:sz="4" w:space="0" w:color="auto"/>
              <w:right w:val="nil"/>
            </w:tcBorders>
            <w:shd w:val="clear" w:color="000000" w:fill="FFFFFF"/>
            <w:noWrap/>
            <w:hideMark/>
          </w:tcPr>
          <w:p w14:paraId="04331F81" w14:textId="77777777" w:rsidR="00E7045B" w:rsidRPr="007831BB" w:rsidRDefault="00E7045B" w:rsidP="00440196">
            <w:pPr>
              <w:widowControl w:val="0"/>
              <w:tabs>
                <w:tab w:val="left" w:pos="6480"/>
                <w:tab w:val="left" w:pos="7200"/>
              </w:tabs>
              <w:spacing w:before="40" w:after="40"/>
              <w:jc w:val="right"/>
              <w:rPr>
                <w:color w:val="0D0D0D"/>
                <w:sz w:val="18"/>
                <w:szCs w:val="18"/>
              </w:rPr>
            </w:pPr>
            <w:r w:rsidRPr="00440196">
              <w:rPr>
                <w:color w:val="0D0D0D"/>
                <w:sz w:val="18"/>
                <w:szCs w:val="18"/>
              </w:rPr>
              <w:t>(777 747)</w:t>
            </w:r>
          </w:p>
        </w:tc>
      </w:tr>
      <w:tr w:rsidR="00E7045B" w:rsidRPr="00440196" w14:paraId="6D087B5D" w14:textId="77777777" w:rsidTr="00440196">
        <w:trPr>
          <w:trHeight w:val="317"/>
        </w:trPr>
        <w:tc>
          <w:tcPr>
            <w:tcW w:w="5101" w:type="dxa"/>
            <w:tcBorders>
              <w:top w:val="single" w:sz="4" w:space="0" w:color="auto"/>
              <w:left w:val="nil"/>
              <w:bottom w:val="single" w:sz="12" w:space="0" w:color="auto"/>
              <w:right w:val="nil"/>
            </w:tcBorders>
            <w:shd w:val="clear" w:color="auto" w:fill="auto"/>
            <w:noWrap/>
            <w:hideMark/>
          </w:tcPr>
          <w:p w14:paraId="6254D5E1"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szCs w:val="18"/>
              </w:rPr>
              <w:t>Total cash requirement</w:t>
            </w:r>
          </w:p>
        </w:tc>
        <w:tc>
          <w:tcPr>
            <w:tcW w:w="1559" w:type="dxa"/>
            <w:tcBorders>
              <w:top w:val="single" w:sz="4" w:space="0" w:color="auto"/>
              <w:left w:val="nil"/>
              <w:bottom w:val="single" w:sz="12" w:space="0" w:color="auto"/>
              <w:right w:val="nil"/>
            </w:tcBorders>
            <w:shd w:val="clear" w:color="auto" w:fill="auto"/>
            <w:noWrap/>
            <w:hideMark/>
          </w:tcPr>
          <w:p w14:paraId="6B9DFF76"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9 526 780</w:t>
            </w:r>
          </w:p>
        </w:tc>
        <w:tc>
          <w:tcPr>
            <w:tcW w:w="1276" w:type="dxa"/>
            <w:tcBorders>
              <w:top w:val="single" w:sz="4" w:space="0" w:color="auto"/>
              <w:left w:val="nil"/>
              <w:bottom w:val="single" w:sz="12" w:space="0" w:color="auto"/>
              <w:right w:val="nil"/>
            </w:tcBorders>
            <w:shd w:val="clear" w:color="auto" w:fill="auto"/>
            <w:noWrap/>
            <w:hideMark/>
          </w:tcPr>
          <w:p w14:paraId="275E5332"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8 131 321</w:t>
            </w:r>
          </w:p>
        </w:tc>
        <w:tc>
          <w:tcPr>
            <w:tcW w:w="1417" w:type="dxa"/>
            <w:tcBorders>
              <w:top w:val="single" w:sz="4" w:space="0" w:color="auto"/>
              <w:left w:val="nil"/>
              <w:bottom w:val="single" w:sz="12" w:space="0" w:color="auto"/>
              <w:right w:val="nil"/>
            </w:tcBorders>
            <w:shd w:val="clear" w:color="auto" w:fill="auto"/>
            <w:noWrap/>
            <w:hideMark/>
          </w:tcPr>
          <w:p w14:paraId="68AA6C45"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szCs w:val="18"/>
              </w:rPr>
              <w:t>1 395 457</w:t>
            </w:r>
          </w:p>
        </w:tc>
      </w:tr>
    </w:tbl>
    <w:p w14:paraId="797198FD" w14:textId="77777777" w:rsidR="00E7045B" w:rsidRPr="00440196" w:rsidRDefault="00E7045B" w:rsidP="00E7045B">
      <w:pPr>
        <w:spacing w:before="40"/>
        <w:rPr>
          <w:color w:val="000000"/>
          <w:sz w:val="18"/>
          <w:vertAlign w:val="superscript"/>
        </w:rPr>
      </w:pPr>
      <w:proofErr w:type="spellStart"/>
      <w:proofErr w:type="gramStart"/>
      <w:r w:rsidRPr="00440196">
        <w:rPr>
          <w:color w:val="000000"/>
          <w:sz w:val="18"/>
          <w:vertAlign w:val="superscript"/>
        </w:rPr>
        <w:t>a</w:t>
      </w:r>
      <w:proofErr w:type="spellEnd"/>
      <w:proofErr w:type="gramEnd"/>
      <w:r w:rsidRPr="00440196">
        <w:rPr>
          <w:color w:val="000000"/>
          <w:sz w:val="18"/>
        </w:rPr>
        <w:t xml:space="preserve"> </w:t>
      </w:r>
      <w:r w:rsidRPr="00440196">
        <w:rPr>
          <w:color w:val="000000"/>
          <w:sz w:val="16"/>
        </w:rPr>
        <w:t>The cost of the plenary reporting services of the Earth Negotiations Bulletin for the third session of the Plenary was reflected in 2014</w:t>
      </w:r>
      <w:r w:rsidRPr="00440196">
        <w:rPr>
          <w:color w:val="000000"/>
          <w:sz w:val="16"/>
          <w:szCs w:val="16"/>
        </w:rPr>
        <w:t>.</w:t>
      </w:r>
      <w:r w:rsidRPr="00440196">
        <w:rPr>
          <w:color w:val="000000"/>
          <w:sz w:val="18"/>
          <w:vertAlign w:val="superscript"/>
        </w:rPr>
        <w:t xml:space="preserve"> </w:t>
      </w:r>
    </w:p>
    <w:p w14:paraId="16072C02" w14:textId="17B5B99F" w:rsidR="00E7045B" w:rsidRPr="00440196" w:rsidRDefault="00E7045B" w:rsidP="00E7045B">
      <w:pPr>
        <w:rPr>
          <w:color w:val="000000"/>
          <w:sz w:val="16"/>
        </w:rPr>
      </w:pPr>
      <w:proofErr w:type="gramStart"/>
      <w:r w:rsidRPr="00440196">
        <w:rPr>
          <w:color w:val="000000"/>
          <w:sz w:val="18"/>
          <w:vertAlign w:val="superscript"/>
        </w:rPr>
        <w:t>b</w:t>
      </w:r>
      <w:proofErr w:type="gramEnd"/>
      <w:r w:rsidRPr="00440196">
        <w:rPr>
          <w:color w:val="000000"/>
          <w:sz w:val="18"/>
        </w:rPr>
        <w:t xml:space="preserve"> </w:t>
      </w:r>
      <w:r w:rsidRPr="00440196">
        <w:rPr>
          <w:color w:val="000000"/>
          <w:sz w:val="16"/>
        </w:rPr>
        <w:t xml:space="preserve">Security costs, amounting to $99,475, were incurred for the third session of the Plenary and charged to 2015. They included </w:t>
      </w:r>
      <w:r w:rsidRPr="00440196">
        <w:rPr>
          <w:color w:val="000000"/>
          <w:sz w:val="16"/>
          <w:szCs w:val="16"/>
        </w:rPr>
        <w:t xml:space="preserve">the costs of </w:t>
      </w:r>
      <w:r w:rsidRPr="00440196">
        <w:rPr>
          <w:color w:val="000000"/>
          <w:sz w:val="16"/>
        </w:rPr>
        <w:t xml:space="preserve">local security </w:t>
      </w:r>
      <w:r w:rsidRPr="00440196">
        <w:rPr>
          <w:color w:val="000000"/>
          <w:sz w:val="16"/>
          <w:szCs w:val="16"/>
        </w:rPr>
        <w:t xml:space="preserve">staff </w:t>
      </w:r>
      <w:r w:rsidRPr="00440196">
        <w:rPr>
          <w:color w:val="000000"/>
          <w:sz w:val="16"/>
        </w:rPr>
        <w:t xml:space="preserve">provided through </w:t>
      </w:r>
      <w:r w:rsidRPr="00440196">
        <w:rPr>
          <w:color w:val="000000"/>
          <w:sz w:val="16"/>
          <w:szCs w:val="16"/>
        </w:rPr>
        <w:t xml:space="preserve">the </w:t>
      </w:r>
      <w:r w:rsidRPr="00440196">
        <w:rPr>
          <w:color w:val="000000"/>
          <w:sz w:val="16"/>
        </w:rPr>
        <w:t xml:space="preserve">United Nations Volunteers </w:t>
      </w:r>
      <w:r w:rsidRPr="00440196">
        <w:rPr>
          <w:color w:val="000000"/>
          <w:sz w:val="16"/>
          <w:szCs w:val="16"/>
        </w:rPr>
        <w:t xml:space="preserve">programme </w:t>
      </w:r>
      <w:r w:rsidRPr="00440196">
        <w:rPr>
          <w:color w:val="000000"/>
          <w:sz w:val="16"/>
        </w:rPr>
        <w:t xml:space="preserve">and </w:t>
      </w:r>
      <w:r w:rsidRPr="00440196">
        <w:rPr>
          <w:color w:val="000000"/>
          <w:sz w:val="16"/>
          <w:szCs w:val="16"/>
        </w:rPr>
        <w:t xml:space="preserve">the </w:t>
      </w:r>
      <w:r w:rsidRPr="00440196">
        <w:rPr>
          <w:color w:val="000000"/>
          <w:sz w:val="16"/>
        </w:rPr>
        <w:t xml:space="preserve">United Nations </w:t>
      </w:r>
      <w:r w:rsidRPr="00440196">
        <w:rPr>
          <w:color w:val="000000"/>
          <w:sz w:val="16"/>
          <w:szCs w:val="16"/>
        </w:rPr>
        <w:t>security force at</w:t>
      </w:r>
      <w:r w:rsidRPr="00440196">
        <w:rPr>
          <w:color w:val="000000"/>
          <w:sz w:val="16"/>
        </w:rPr>
        <w:t xml:space="preserve"> the United Nations Office in Vienna.</w:t>
      </w:r>
    </w:p>
    <w:p w14:paraId="2C2FF336" w14:textId="77777777" w:rsidR="00E7045B" w:rsidRPr="00440196" w:rsidRDefault="00E7045B" w:rsidP="00E7045B">
      <w:pPr>
        <w:rPr>
          <w:color w:val="000000"/>
          <w:sz w:val="16"/>
        </w:rPr>
      </w:pPr>
      <w:proofErr w:type="gramStart"/>
      <w:r w:rsidRPr="00440196">
        <w:rPr>
          <w:color w:val="000000"/>
          <w:sz w:val="16"/>
          <w:vertAlign w:val="superscript"/>
        </w:rPr>
        <w:t>c</w:t>
      </w:r>
      <w:proofErr w:type="gramEnd"/>
      <w:r w:rsidRPr="00440196">
        <w:rPr>
          <w:color w:val="000000"/>
          <w:sz w:val="16"/>
        </w:rPr>
        <w:t xml:space="preserve"> P-4 secondment</w:t>
      </w:r>
      <w:r w:rsidRPr="00440196">
        <w:rPr>
          <w:color w:val="000000"/>
          <w:sz w:val="16"/>
          <w:szCs w:val="16"/>
        </w:rPr>
        <w:t xml:space="preserve"> from UNEP.</w:t>
      </w:r>
    </w:p>
    <w:p w14:paraId="46923815" w14:textId="75CA895B" w:rsidR="00E7045B" w:rsidRPr="00440196" w:rsidRDefault="00E7045B" w:rsidP="00E7045B">
      <w:pPr>
        <w:rPr>
          <w:b/>
          <w:color w:val="000000"/>
          <w:sz w:val="16"/>
        </w:rPr>
      </w:pPr>
      <w:proofErr w:type="gramStart"/>
      <w:r w:rsidRPr="00440196">
        <w:rPr>
          <w:color w:val="000000"/>
          <w:sz w:val="18"/>
          <w:vertAlign w:val="superscript"/>
        </w:rPr>
        <w:t>d</w:t>
      </w:r>
      <w:proofErr w:type="gramEnd"/>
      <w:r w:rsidRPr="00440196">
        <w:rPr>
          <w:color w:val="000000"/>
          <w:sz w:val="18"/>
        </w:rPr>
        <w:t xml:space="preserve"> </w:t>
      </w:r>
      <w:r w:rsidR="00C341D5">
        <w:rPr>
          <w:color w:val="000000"/>
          <w:sz w:val="18"/>
          <w:szCs w:val="18"/>
        </w:rPr>
        <w:t>T</w:t>
      </w:r>
      <w:r w:rsidR="00C341D5" w:rsidRPr="00440196">
        <w:rPr>
          <w:color w:val="000000"/>
          <w:sz w:val="16"/>
          <w:szCs w:val="16"/>
        </w:rPr>
        <w:t xml:space="preserve">he </w:t>
      </w:r>
      <w:r w:rsidR="00C341D5" w:rsidRPr="00440196">
        <w:rPr>
          <w:color w:val="000000"/>
          <w:sz w:val="16"/>
        </w:rPr>
        <w:t xml:space="preserve">United Nations Volunteers </w:t>
      </w:r>
      <w:r w:rsidR="00C341D5" w:rsidRPr="00440196">
        <w:rPr>
          <w:color w:val="000000"/>
          <w:sz w:val="16"/>
          <w:szCs w:val="16"/>
        </w:rPr>
        <w:t>programme</w:t>
      </w:r>
      <w:r w:rsidR="00C341D5" w:rsidRPr="00440196">
        <w:rPr>
          <w:color w:val="000000"/>
          <w:sz w:val="18"/>
          <w:szCs w:val="18"/>
        </w:rPr>
        <w:t xml:space="preserve"> </w:t>
      </w:r>
      <w:r w:rsidRPr="00440196">
        <w:rPr>
          <w:color w:val="000000"/>
          <w:sz w:val="16"/>
          <w:szCs w:val="16"/>
        </w:rPr>
        <w:t>provides</w:t>
      </w:r>
      <w:r w:rsidRPr="00440196">
        <w:rPr>
          <w:color w:val="000000"/>
          <w:sz w:val="16"/>
        </w:rPr>
        <w:t xml:space="preserve"> IT services to all UNEP</w:t>
      </w:r>
      <w:r w:rsidRPr="00440196">
        <w:rPr>
          <w:color w:val="000000"/>
          <w:sz w:val="16"/>
          <w:szCs w:val="16"/>
        </w:rPr>
        <w:t>-</w:t>
      </w:r>
      <w:r w:rsidRPr="00440196">
        <w:rPr>
          <w:color w:val="000000"/>
          <w:sz w:val="16"/>
        </w:rPr>
        <w:t>related offices based in Bonn through a service</w:t>
      </w:r>
      <w:r w:rsidRPr="00440196">
        <w:rPr>
          <w:color w:val="000000"/>
          <w:sz w:val="16"/>
          <w:szCs w:val="16"/>
        </w:rPr>
        <w:t>-</w:t>
      </w:r>
      <w:r w:rsidRPr="00440196">
        <w:rPr>
          <w:color w:val="000000"/>
          <w:sz w:val="16"/>
        </w:rPr>
        <w:t xml:space="preserve">level agreement. </w:t>
      </w:r>
      <w:r w:rsidRPr="00440196">
        <w:rPr>
          <w:color w:val="000000"/>
          <w:sz w:val="16"/>
          <w:szCs w:val="16"/>
        </w:rPr>
        <w:t>The</w:t>
      </w:r>
      <w:r w:rsidRPr="00440196">
        <w:rPr>
          <w:color w:val="000000"/>
          <w:sz w:val="16"/>
        </w:rPr>
        <w:t xml:space="preserve"> services </w:t>
      </w:r>
      <w:r w:rsidRPr="00440196">
        <w:rPr>
          <w:color w:val="000000"/>
          <w:sz w:val="16"/>
          <w:szCs w:val="16"/>
        </w:rPr>
        <w:t>include</w:t>
      </w:r>
      <w:r w:rsidRPr="00440196">
        <w:rPr>
          <w:color w:val="000000"/>
          <w:sz w:val="16"/>
        </w:rPr>
        <w:t xml:space="preserve"> a help desk, local area network</w:t>
      </w:r>
      <w:r w:rsidRPr="00440196">
        <w:rPr>
          <w:color w:val="000000"/>
          <w:sz w:val="16"/>
          <w:szCs w:val="16"/>
        </w:rPr>
        <w:t xml:space="preserve">, </w:t>
      </w:r>
      <w:r w:rsidRPr="00440196">
        <w:rPr>
          <w:color w:val="000000"/>
          <w:sz w:val="16"/>
        </w:rPr>
        <w:t>internet</w:t>
      </w:r>
      <w:r w:rsidRPr="00440196">
        <w:rPr>
          <w:color w:val="000000"/>
          <w:sz w:val="16"/>
          <w:szCs w:val="16"/>
        </w:rPr>
        <w:t xml:space="preserve"> </w:t>
      </w:r>
      <w:r w:rsidRPr="00440196">
        <w:rPr>
          <w:color w:val="000000"/>
          <w:sz w:val="16"/>
        </w:rPr>
        <w:t xml:space="preserve">security, </w:t>
      </w:r>
      <w:r w:rsidRPr="00440196">
        <w:rPr>
          <w:color w:val="000000"/>
          <w:sz w:val="16"/>
          <w:szCs w:val="16"/>
        </w:rPr>
        <w:t>domain name system (</w:t>
      </w:r>
      <w:r w:rsidRPr="00440196">
        <w:rPr>
          <w:color w:val="000000"/>
          <w:sz w:val="16"/>
        </w:rPr>
        <w:t>DNS</w:t>
      </w:r>
      <w:r w:rsidRPr="00440196">
        <w:rPr>
          <w:color w:val="000000"/>
          <w:sz w:val="16"/>
          <w:szCs w:val="16"/>
        </w:rPr>
        <w:t>)</w:t>
      </w:r>
      <w:r w:rsidRPr="00440196">
        <w:rPr>
          <w:color w:val="000000"/>
          <w:sz w:val="16"/>
        </w:rPr>
        <w:t xml:space="preserve"> services, server hosting </w:t>
      </w:r>
      <w:r w:rsidRPr="00440196">
        <w:rPr>
          <w:color w:val="000000"/>
          <w:sz w:val="16"/>
          <w:szCs w:val="16"/>
        </w:rPr>
        <w:t>and</w:t>
      </w:r>
      <w:r w:rsidRPr="00440196">
        <w:rPr>
          <w:color w:val="000000"/>
          <w:sz w:val="16"/>
        </w:rPr>
        <w:t xml:space="preserve"> subscriptions to Microsoft Office 365 </w:t>
      </w:r>
      <w:r w:rsidRPr="00440196">
        <w:rPr>
          <w:color w:val="000000"/>
          <w:sz w:val="16"/>
          <w:szCs w:val="16"/>
        </w:rPr>
        <w:t>Enterprise</w:t>
      </w:r>
      <w:r w:rsidRPr="00440196">
        <w:rPr>
          <w:color w:val="000000"/>
          <w:sz w:val="16"/>
        </w:rPr>
        <w:t xml:space="preserve"> E3. Under the agreement, which has been </w:t>
      </w:r>
      <w:r w:rsidRPr="00440196">
        <w:rPr>
          <w:color w:val="000000"/>
          <w:sz w:val="16"/>
          <w:szCs w:val="16"/>
        </w:rPr>
        <w:t>in effect</w:t>
      </w:r>
      <w:r w:rsidRPr="00440196">
        <w:rPr>
          <w:color w:val="000000"/>
          <w:sz w:val="16"/>
        </w:rPr>
        <w:t xml:space="preserve"> since 1 January 2015, the fee charged each year depends on the number of users; in 2015 it was $22,000. </w:t>
      </w:r>
    </w:p>
    <w:p w14:paraId="727E52D2" w14:textId="77777777" w:rsidR="00E7045B" w:rsidRPr="00440196" w:rsidRDefault="00E7045B" w:rsidP="00E7045B">
      <w:pPr>
        <w:jc w:val="both"/>
        <w:rPr>
          <w:color w:val="000000"/>
          <w:sz w:val="16"/>
          <w:szCs w:val="16"/>
        </w:rPr>
      </w:pPr>
      <w:proofErr w:type="gramStart"/>
      <w:r w:rsidRPr="00440196">
        <w:rPr>
          <w:color w:val="000000"/>
          <w:sz w:val="18"/>
          <w:vertAlign w:val="superscript"/>
        </w:rPr>
        <w:t>e</w:t>
      </w:r>
      <w:proofErr w:type="gramEnd"/>
      <w:r w:rsidRPr="00440196">
        <w:rPr>
          <w:color w:val="000000"/>
          <w:sz w:val="18"/>
        </w:rPr>
        <w:t xml:space="preserve"> </w:t>
      </w:r>
      <w:r w:rsidRPr="00440196">
        <w:rPr>
          <w:color w:val="000000"/>
          <w:sz w:val="16"/>
          <w:szCs w:val="16"/>
        </w:rPr>
        <w:t>No allocation was made in the 2014 financial year</w:t>
      </w:r>
      <w:r w:rsidRPr="00440196">
        <w:rPr>
          <w:color w:val="000000"/>
          <w:sz w:val="16"/>
        </w:rPr>
        <w:t xml:space="preserve"> for the </w:t>
      </w:r>
      <w:r w:rsidRPr="00440196">
        <w:rPr>
          <w:color w:val="000000"/>
          <w:sz w:val="16"/>
          <w:szCs w:val="16"/>
        </w:rPr>
        <w:t xml:space="preserve">purposes of a contribution to the </w:t>
      </w:r>
      <w:r w:rsidRPr="00440196">
        <w:rPr>
          <w:color w:val="000000"/>
          <w:sz w:val="16"/>
        </w:rPr>
        <w:t>2014 working capital reserve</w:t>
      </w:r>
      <w:r w:rsidRPr="00440196">
        <w:rPr>
          <w:color w:val="000000"/>
          <w:sz w:val="16"/>
          <w:szCs w:val="16"/>
        </w:rPr>
        <w:t xml:space="preserve">. The amount was </w:t>
      </w:r>
      <w:r w:rsidRPr="00440196">
        <w:rPr>
          <w:color w:val="000000"/>
          <w:sz w:val="16"/>
        </w:rPr>
        <w:t>therefore transferred to the reserve in 2015</w:t>
      </w:r>
      <w:r w:rsidRPr="00440196">
        <w:rPr>
          <w:color w:val="000000"/>
          <w:sz w:val="16"/>
          <w:szCs w:val="16"/>
        </w:rPr>
        <w:t>,</w:t>
      </w:r>
      <w:r w:rsidRPr="00440196">
        <w:rPr>
          <w:color w:val="000000"/>
          <w:sz w:val="16"/>
        </w:rPr>
        <w:t xml:space="preserve"> together with the allocation </w:t>
      </w:r>
      <w:r w:rsidRPr="00440196">
        <w:rPr>
          <w:color w:val="000000"/>
          <w:sz w:val="16"/>
          <w:szCs w:val="16"/>
        </w:rPr>
        <w:t xml:space="preserve">for 2015 </w:t>
      </w:r>
      <w:r w:rsidRPr="00440196">
        <w:rPr>
          <w:color w:val="000000"/>
          <w:sz w:val="16"/>
        </w:rPr>
        <w:t>($20,476), resulting in a total transfer of $798,223</w:t>
      </w:r>
      <w:r w:rsidRPr="00440196">
        <w:rPr>
          <w:color w:val="000000"/>
          <w:sz w:val="16"/>
          <w:szCs w:val="16"/>
        </w:rPr>
        <w:t>.</w:t>
      </w:r>
    </w:p>
    <w:p w14:paraId="733C3048" w14:textId="77777777" w:rsidR="00E7045B" w:rsidRPr="007831BB" w:rsidRDefault="00E7045B" w:rsidP="00E7045B">
      <w:pPr>
        <w:pStyle w:val="CH1"/>
        <w:rPr>
          <w:lang w:val="en-GB"/>
        </w:rPr>
      </w:pPr>
      <w:r w:rsidRPr="007831BB">
        <w:rPr>
          <w:lang w:val="en-GB"/>
        </w:rPr>
        <w:tab/>
        <w:t>III.</w:t>
      </w:r>
      <w:r w:rsidRPr="007831BB">
        <w:rPr>
          <w:lang w:val="en-GB"/>
        </w:rPr>
        <w:tab/>
        <w:t xml:space="preserve">Estimated expenditures for 2016 </w:t>
      </w:r>
    </w:p>
    <w:p w14:paraId="67152CDF" w14:textId="77777777" w:rsidR="00E7045B" w:rsidRPr="007831BB" w:rsidRDefault="00E7045B" w:rsidP="005748E0">
      <w:pPr>
        <w:pStyle w:val="Normalnumber"/>
        <w:numPr>
          <w:ilvl w:val="0"/>
          <w:numId w:val="438"/>
        </w:numPr>
        <w:tabs>
          <w:tab w:val="clear" w:pos="1247"/>
          <w:tab w:val="clear" w:pos="1814"/>
          <w:tab w:val="clear" w:pos="2381"/>
          <w:tab w:val="clear" w:pos="2948"/>
          <w:tab w:val="clear" w:pos="3515"/>
          <w:tab w:val="clear" w:pos="4082"/>
          <w:tab w:val="left" w:pos="624"/>
        </w:tabs>
        <w:ind w:left="1247" w:firstLine="0"/>
        <w:rPr>
          <w:lang w:val="en-GB"/>
        </w:rPr>
      </w:pPr>
      <w:r w:rsidRPr="00964A01">
        <w:rPr>
          <w:lang w:val="en-US"/>
        </w:rPr>
        <w:t>Table 4 shows the estimated expenditures for 2016, as at 31 December 2016, against the</w:t>
      </w:r>
      <w:r w:rsidRPr="007831BB">
        <w:rPr>
          <w:lang w:val="en-GB"/>
        </w:rPr>
        <w:t xml:space="preserve"> budget for 2016 approved by the Plenary at its fourth session (decision IPBES-4/2).</w:t>
      </w:r>
    </w:p>
    <w:p w14:paraId="32674473" w14:textId="77777777" w:rsidR="00E7045B" w:rsidRPr="001B4189" w:rsidRDefault="00E7045B" w:rsidP="00125411">
      <w:pPr>
        <w:pStyle w:val="Titletable"/>
      </w:pPr>
      <w:r w:rsidRPr="00125411">
        <w:rPr>
          <w:b w:val="0"/>
        </w:rPr>
        <w:t xml:space="preserve">Table 4 </w:t>
      </w:r>
      <w:r w:rsidRPr="00125411">
        <w:rPr>
          <w:b w:val="0"/>
        </w:rPr>
        <w:br/>
      </w:r>
      <w:r w:rsidRPr="001B4189">
        <w:t>Estimated expenditures for 2016</w:t>
      </w:r>
    </w:p>
    <w:p w14:paraId="3EB9B6A9" w14:textId="77777777" w:rsidR="00E7045B" w:rsidRPr="00440196" w:rsidRDefault="00E7045B" w:rsidP="00125411">
      <w:pPr>
        <w:keepNext/>
        <w:keepLines/>
        <w:tabs>
          <w:tab w:val="left" w:pos="0"/>
          <w:tab w:val="left" w:pos="4082"/>
        </w:tabs>
        <w:suppressAutoHyphens/>
        <w:spacing w:after="60"/>
        <w:ind w:left="2494" w:hanging="1247"/>
        <w:rPr>
          <w:bCs/>
          <w:sz w:val="18"/>
          <w:szCs w:val="18"/>
        </w:rPr>
      </w:pPr>
      <w:r w:rsidRPr="00440196">
        <w:rPr>
          <w:bCs/>
          <w:sz w:val="18"/>
          <w:szCs w:val="18"/>
        </w:rPr>
        <w:t>(</w:t>
      </w:r>
      <w:r w:rsidRPr="00125411">
        <w:rPr>
          <w:bCs/>
          <w:sz w:val="18"/>
          <w:szCs w:val="18"/>
        </w:rPr>
        <w:t xml:space="preserve">United States </w:t>
      </w:r>
      <w:r w:rsidRPr="00125411">
        <w:rPr>
          <w:bCs/>
          <w:sz w:val="18"/>
          <w:szCs w:val="18"/>
          <w:lang w:val="fr-CA"/>
        </w:rPr>
        <w:t>dollars</w:t>
      </w:r>
      <w:r w:rsidRPr="00125411">
        <w:rPr>
          <w:bCs/>
          <w:sz w:val="18"/>
          <w:szCs w:val="18"/>
        </w:rPr>
        <w:t>)</w:t>
      </w:r>
    </w:p>
    <w:tbl>
      <w:tblPr>
        <w:tblW w:w="4958" w:type="pct"/>
        <w:tblInd w:w="108" w:type="dxa"/>
        <w:tblLook w:val="04A0" w:firstRow="1" w:lastRow="0" w:firstColumn="1" w:lastColumn="0" w:noHBand="0" w:noVBand="1"/>
      </w:tblPr>
      <w:tblGrid>
        <w:gridCol w:w="5387"/>
        <w:gridCol w:w="1362"/>
        <w:gridCol w:w="1331"/>
        <w:gridCol w:w="1550"/>
      </w:tblGrid>
      <w:tr w:rsidR="00E7045B" w:rsidRPr="00440196" w14:paraId="79BF84F2" w14:textId="77777777" w:rsidTr="00440196">
        <w:trPr>
          <w:trHeight w:val="345"/>
          <w:tblHeader/>
        </w:trPr>
        <w:tc>
          <w:tcPr>
            <w:tcW w:w="2797" w:type="pct"/>
            <w:tcBorders>
              <w:top w:val="single" w:sz="4" w:space="0" w:color="auto"/>
              <w:bottom w:val="single" w:sz="12" w:space="0" w:color="auto"/>
            </w:tcBorders>
            <w:shd w:val="clear" w:color="auto" w:fill="auto"/>
            <w:vAlign w:val="bottom"/>
            <w:hideMark/>
          </w:tcPr>
          <w:p w14:paraId="75A144C9" w14:textId="77777777" w:rsidR="00E7045B" w:rsidRPr="00440196" w:rsidRDefault="00E7045B" w:rsidP="00440196">
            <w:pPr>
              <w:keepNext/>
              <w:keepLines/>
              <w:spacing w:before="40" w:after="40"/>
              <w:rPr>
                <w:bCs/>
                <w:i/>
                <w:iCs/>
                <w:sz w:val="18"/>
                <w:szCs w:val="18"/>
              </w:rPr>
            </w:pPr>
            <w:r w:rsidRPr="00440196">
              <w:rPr>
                <w:i/>
                <w:sz w:val="18"/>
              </w:rPr>
              <w:t>Budget items</w:t>
            </w:r>
          </w:p>
        </w:tc>
        <w:tc>
          <w:tcPr>
            <w:tcW w:w="707" w:type="pct"/>
            <w:tcBorders>
              <w:top w:val="single" w:sz="4" w:space="0" w:color="auto"/>
              <w:bottom w:val="single" w:sz="12" w:space="0" w:color="auto"/>
            </w:tcBorders>
            <w:shd w:val="clear" w:color="auto" w:fill="auto"/>
            <w:vAlign w:val="bottom"/>
            <w:hideMark/>
          </w:tcPr>
          <w:p w14:paraId="46D8D997" w14:textId="77777777" w:rsidR="00E7045B" w:rsidRPr="00440196" w:rsidRDefault="00E7045B" w:rsidP="00440196">
            <w:pPr>
              <w:keepNext/>
              <w:keepLines/>
              <w:spacing w:before="40" w:after="40"/>
              <w:jc w:val="right"/>
              <w:rPr>
                <w:bCs/>
                <w:i/>
                <w:iCs/>
                <w:sz w:val="18"/>
                <w:szCs w:val="18"/>
              </w:rPr>
            </w:pPr>
            <w:r w:rsidRPr="00440196">
              <w:rPr>
                <w:i/>
                <w:sz w:val="18"/>
              </w:rPr>
              <w:t xml:space="preserve">2016 approved </w:t>
            </w:r>
            <w:r w:rsidRPr="00440196">
              <w:rPr>
                <w:bCs/>
                <w:i/>
                <w:iCs/>
                <w:sz w:val="18"/>
                <w:szCs w:val="18"/>
              </w:rPr>
              <w:t>budget</w:t>
            </w:r>
          </w:p>
        </w:tc>
        <w:tc>
          <w:tcPr>
            <w:tcW w:w="691" w:type="pct"/>
            <w:tcBorders>
              <w:top w:val="single" w:sz="4" w:space="0" w:color="auto"/>
              <w:bottom w:val="single" w:sz="12" w:space="0" w:color="auto"/>
            </w:tcBorders>
            <w:shd w:val="clear" w:color="auto" w:fill="auto"/>
            <w:vAlign w:val="bottom"/>
            <w:hideMark/>
          </w:tcPr>
          <w:p w14:paraId="08205864" w14:textId="77777777" w:rsidR="00E7045B" w:rsidRPr="00440196" w:rsidRDefault="00E7045B" w:rsidP="00440196">
            <w:pPr>
              <w:keepNext/>
              <w:keepLines/>
              <w:spacing w:before="40" w:after="40"/>
              <w:jc w:val="right"/>
              <w:rPr>
                <w:bCs/>
                <w:i/>
                <w:iCs/>
                <w:sz w:val="18"/>
                <w:szCs w:val="18"/>
              </w:rPr>
            </w:pPr>
            <w:r w:rsidRPr="00440196">
              <w:rPr>
                <w:i/>
                <w:sz w:val="18"/>
              </w:rPr>
              <w:t>2016 estimated expenditures</w:t>
            </w:r>
          </w:p>
        </w:tc>
        <w:tc>
          <w:tcPr>
            <w:tcW w:w="805" w:type="pct"/>
            <w:tcBorders>
              <w:top w:val="single" w:sz="4" w:space="0" w:color="auto"/>
              <w:bottom w:val="single" w:sz="12" w:space="0" w:color="auto"/>
            </w:tcBorders>
            <w:shd w:val="clear" w:color="auto" w:fill="auto"/>
            <w:vAlign w:val="bottom"/>
            <w:hideMark/>
          </w:tcPr>
          <w:p w14:paraId="5BEBA255" w14:textId="77777777" w:rsidR="00E7045B" w:rsidRPr="00440196" w:rsidRDefault="00E7045B" w:rsidP="00440196">
            <w:pPr>
              <w:keepNext/>
              <w:keepLines/>
              <w:spacing w:before="40" w:after="40"/>
              <w:jc w:val="right"/>
              <w:rPr>
                <w:bCs/>
                <w:i/>
                <w:iCs/>
                <w:color w:val="000000"/>
                <w:sz w:val="18"/>
                <w:szCs w:val="18"/>
              </w:rPr>
            </w:pPr>
            <w:r w:rsidRPr="00440196">
              <w:rPr>
                <w:i/>
                <w:color w:val="000000"/>
                <w:sz w:val="18"/>
              </w:rPr>
              <w:t>Estimated balance</w:t>
            </w:r>
          </w:p>
        </w:tc>
      </w:tr>
      <w:tr w:rsidR="00E7045B" w:rsidRPr="00440196" w14:paraId="5B490016" w14:textId="77777777" w:rsidTr="00440196">
        <w:trPr>
          <w:trHeight w:val="140"/>
        </w:trPr>
        <w:tc>
          <w:tcPr>
            <w:tcW w:w="2797" w:type="pct"/>
            <w:tcBorders>
              <w:top w:val="single" w:sz="12" w:space="0" w:color="auto"/>
            </w:tcBorders>
            <w:shd w:val="clear" w:color="auto" w:fill="auto"/>
            <w:noWrap/>
            <w:vAlign w:val="bottom"/>
            <w:hideMark/>
          </w:tcPr>
          <w:p w14:paraId="435C3199" w14:textId="77777777" w:rsidR="00E7045B" w:rsidRPr="00440196" w:rsidRDefault="00E7045B" w:rsidP="00440196">
            <w:pPr>
              <w:keepNext/>
              <w:keepLines/>
              <w:spacing w:before="40" w:after="40"/>
              <w:rPr>
                <w:b/>
                <w:sz w:val="18"/>
              </w:rPr>
            </w:pPr>
            <w:r w:rsidRPr="00440196">
              <w:rPr>
                <w:b/>
                <w:sz w:val="18"/>
              </w:rPr>
              <w:t>1. Meetings of the Platform bodies</w:t>
            </w:r>
          </w:p>
        </w:tc>
        <w:tc>
          <w:tcPr>
            <w:tcW w:w="707" w:type="pct"/>
            <w:tcBorders>
              <w:top w:val="single" w:sz="12" w:space="0" w:color="auto"/>
            </w:tcBorders>
            <w:shd w:val="clear" w:color="auto" w:fill="auto"/>
            <w:noWrap/>
            <w:vAlign w:val="bottom"/>
            <w:hideMark/>
          </w:tcPr>
          <w:p w14:paraId="42E793D2" w14:textId="77777777" w:rsidR="00E7045B" w:rsidRPr="00440196" w:rsidRDefault="00E7045B" w:rsidP="00440196">
            <w:pPr>
              <w:keepNext/>
              <w:keepLines/>
              <w:tabs>
                <w:tab w:val="right" w:pos="851"/>
                <w:tab w:val="left" w:pos="4082"/>
              </w:tabs>
              <w:suppressAutoHyphens/>
              <w:spacing w:before="40" w:after="40"/>
              <w:jc w:val="right"/>
              <w:rPr>
                <w:sz w:val="18"/>
                <w:u w:val="single"/>
              </w:rPr>
            </w:pPr>
          </w:p>
        </w:tc>
        <w:tc>
          <w:tcPr>
            <w:tcW w:w="691" w:type="pct"/>
            <w:tcBorders>
              <w:top w:val="single" w:sz="12" w:space="0" w:color="auto"/>
            </w:tcBorders>
            <w:shd w:val="clear" w:color="auto" w:fill="auto"/>
            <w:noWrap/>
            <w:vAlign w:val="bottom"/>
            <w:hideMark/>
          </w:tcPr>
          <w:p w14:paraId="491EC5F1" w14:textId="77777777" w:rsidR="00E7045B" w:rsidRPr="00440196" w:rsidRDefault="00E7045B" w:rsidP="00440196">
            <w:pPr>
              <w:keepNext/>
              <w:keepLines/>
              <w:spacing w:before="40" w:after="40"/>
              <w:jc w:val="right"/>
              <w:rPr>
                <w:sz w:val="18"/>
              </w:rPr>
            </w:pPr>
          </w:p>
        </w:tc>
        <w:tc>
          <w:tcPr>
            <w:tcW w:w="805" w:type="pct"/>
            <w:tcBorders>
              <w:top w:val="single" w:sz="12" w:space="0" w:color="auto"/>
            </w:tcBorders>
            <w:shd w:val="clear" w:color="auto" w:fill="auto"/>
            <w:noWrap/>
            <w:vAlign w:val="bottom"/>
            <w:hideMark/>
          </w:tcPr>
          <w:p w14:paraId="3C9C828C" w14:textId="77777777" w:rsidR="00E7045B" w:rsidRPr="007831BB" w:rsidRDefault="00E7045B" w:rsidP="00440196">
            <w:pPr>
              <w:keepNext/>
              <w:keepLines/>
              <w:widowControl w:val="0"/>
              <w:tabs>
                <w:tab w:val="left" w:pos="6480"/>
                <w:tab w:val="left" w:pos="7200"/>
              </w:tabs>
              <w:spacing w:before="40" w:after="40"/>
              <w:jc w:val="right"/>
              <w:rPr>
                <w:sz w:val="18"/>
              </w:rPr>
            </w:pPr>
            <w:r w:rsidRPr="00440196">
              <w:rPr>
                <w:sz w:val="18"/>
              </w:rPr>
              <w:t xml:space="preserve"> </w:t>
            </w:r>
          </w:p>
        </w:tc>
      </w:tr>
      <w:tr w:rsidR="00E7045B" w:rsidRPr="00440196" w14:paraId="518F0DF6" w14:textId="77777777" w:rsidTr="00440196">
        <w:trPr>
          <w:trHeight w:val="140"/>
        </w:trPr>
        <w:tc>
          <w:tcPr>
            <w:tcW w:w="2797" w:type="pct"/>
            <w:shd w:val="clear" w:color="auto" w:fill="auto"/>
            <w:noWrap/>
            <w:vAlign w:val="bottom"/>
            <w:hideMark/>
          </w:tcPr>
          <w:p w14:paraId="1A9533EC" w14:textId="77777777" w:rsidR="00E7045B" w:rsidRPr="007831BB" w:rsidRDefault="00E7045B" w:rsidP="00440196">
            <w:pPr>
              <w:keepNext/>
              <w:keepLines/>
              <w:widowControl w:val="0"/>
              <w:tabs>
                <w:tab w:val="left" w:pos="6480"/>
                <w:tab w:val="left" w:pos="7200"/>
              </w:tabs>
              <w:spacing w:before="40" w:after="40"/>
              <w:rPr>
                <w:b/>
                <w:sz w:val="18"/>
              </w:rPr>
            </w:pPr>
            <w:r w:rsidRPr="00440196">
              <w:rPr>
                <w:b/>
                <w:sz w:val="18"/>
              </w:rPr>
              <w:t>1.1 Annual session of the Plenary</w:t>
            </w:r>
          </w:p>
        </w:tc>
        <w:tc>
          <w:tcPr>
            <w:tcW w:w="707" w:type="pct"/>
            <w:shd w:val="clear" w:color="auto" w:fill="auto"/>
            <w:noWrap/>
            <w:vAlign w:val="bottom"/>
            <w:hideMark/>
          </w:tcPr>
          <w:p w14:paraId="68F595BC" w14:textId="77777777" w:rsidR="00E7045B" w:rsidRPr="00440196" w:rsidRDefault="00E7045B" w:rsidP="00440196">
            <w:pPr>
              <w:keepNext/>
              <w:keepLines/>
              <w:spacing w:before="40" w:after="40"/>
              <w:jc w:val="right"/>
              <w:rPr>
                <w:sz w:val="18"/>
              </w:rPr>
            </w:pPr>
          </w:p>
        </w:tc>
        <w:tc>
          <w:tcPr>
            <w:tcW w:w="691" w:type="pct"/>
            <w:shd w:val="clear" w:color="auto" w:fill="auto"/>
            <w:noWrap/>
            <w:vAlign w:val="bottom"/>
            <w:hideMark/>
          </w:tcPr>
          <w:p w14:paraId="307E458F" w14:textId="77777777" w:rsidR="00E7045B" w:rsidRPr="00440196" w:rsidRDefault="00E7045B" w:rsidP="00440196">
            <w:pPr>
              <w:keepNext/>
              <w:keepLines/>
              <w:spacing w:before="40" w:after="40"/>
              <w:jc w:val="right"/>
              <w:rPr>
                <w:sz w:val="18"/>
              </w:rPr>
            </w:pPr>
          </w:p>
        </w:tc>
        <w:tc>
          <w:tcPr>
            <w:tcW w:w="805" w:type="pct"/>
            <w:shd w:val="clear" w:color="auto" w:fill="auto"/>
            <w:noWrap/>
            <w:vAlign w:val="bottom"/>
            <w:hideMark/>
          </w:tcPr>
          <w:p w14:paraId="773F46E1" w14:textId="77777777" w:rsidR="00E7045B" w:rsidRPr="007831BB" w:rsidRDefault="00E7045B" w:rsidP="00440196">
            <w:pPr>
              <w:keepNext/>
              <w:keepLines/>
              <w:widowControl w:val="0"/>
              <w:tabs>
                <w:tab w:val="left" w:pos="6480"/>
                <w:tab w:val="left" w:pos="7200"/>
              </w:tabs>
              <w:spacing w:before="40" w:after="40"/>
              <w:jc w:val="right"/>
              <w:rPr>
                <w:sz w:val="18"/>
              </w:rPr>
            </w:pPr>
            <w:r w:rsidRPr="00440196">
              <w:rPr>
                <w:sz w:val="18"/>
              </w:rPr>
              <w:t xml:space="preserve"> </w:t>
            </w:r>
          </w:p>
        </w:tc>
      </w:tr>
      <w:tr w:rsidR="00E7045B" w:rsidRPr="00440196" w14:paraId="005A466E" w14:textId="77777777" w:rsidTr="00440196">
        <w:trPr>
          <w:trHeight w:val="140"/>
        </w:trPr>
        <w:tc>
          <w:tcPr>
            <w:tcW w:w="2797" w:type="pct"/>
            <w:shd w:val="clear" w:color="auto" w:fill="auto"/>
            <w:noWrap/>
            <w:vAlign w:val="bottom"/>
            <w:hideMark/>
          </w:tcPr>
          <w:p w14:paraId="781789AE"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rPr>
              <w:t>Travel costs of</w:t>
            </w:r>
            <w:r w:rsidRPr="00440196">
              <w:rPr>
                <w:sz w:val="18"/>
                <w:szCs w:val="18"/>
              </w:rPr>
              <w:t xml:space="preserve"> fourth</w:t>
            </w:r>
            <w:r w:rsidRPr="00440196">
              <w:rPr>
                <w:sz w:val="18"/>
              </w:rPr>
              <w:t xml:space="preserve"> Plenary session participants (travel</w:t>
            </w:r>
            <w:r w:rsidRPr="00440196">
              <w:rPr>
                <w:sz w:val="18"/>
                <w:szCs w:val="18"/>
              </w:rPr>
              <w:t xml:space="preserve"> and </w:t>
            </w:r>
            <w:r w:rsidRPr="00440196">
              <w:rPr>
                <w:sz w:val="18"/>
              </w:rPr>
              <w:t xml:space="preserve">DSA) </w:t>
            </w:r>
          </w:p>
        </w:tc>
        <w:tc>
          <w:tcPr>
            <w:tcW w:w="707" w:type="pct"/>
            <w:shd w:val="clear" w:color="auto" w:fill="auto"/>
            <w:noWrap/>
            <w:vAlign w:val="bottom"/>
            <w:hideMark/>
          </w:tcPr>
          <w:p w14:paraId="3A09C6F5"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500 000 </w:t>
            </w:r>
          </w:p>
        </w:tc>
        <w:tc>
          <w:tcPr>
            <w:tcW w:w="691" w:type="pct"/>
            <w:shd w:val="clear" w:color="auto" w:fill="auto"/>
            <w:noWrap/>
            <w:vAlign w:val="bottom"/>
            <w:hideMark/>
          </w:tcPr>
          <w:p w14:paraId="24226A51"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410 045 </w:t>
            </w:r>
          </w:p>
        </w:tc>
        <w:tc>
          <w:tcPr>
            <w:tcW w:w="805" w:type="pct"/>
            <w:shd w:val="clear" w:color="auto" w:fill="auto"/>
            <w:noWrap/>
            <w:vAlign w:val="bottom"/>
            <w:hideMark/>
          </w:tcPr>
          <w:p w14:paraId="57555993"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89 955 </w:t>
            </w:r>
          </w:p>
        </w:tc>
      </w:tr>
      <w:tr w:rsidR="00E7045B" w:rsidRPr="00440196" w14:paraId="57F19333" w14:textId="77777777" w:rsidTr="00440196">
        <w:trPr>
          <w:trHeight w:val="140"/>
        </w:trPr>
        <w:tc>
          <w:tcPr>
            <w:tcW w:w="2797" w:type="pct"/>
            <w:shd w:val="clear" w:color="auto" w:fill="auto"/>
            <w:noWrap/>
            <w:vAlign w:val="bottom"/>
            <w:hideMark/>
          </w:tcPr>
          <w:p w14:paraId="224C9E43" w14:textId="77777777" w:rsidR="00E7045B" w:rsidRPr="007831BB" w:rsidRDefault="00E7045B" w:rsidP="00440196">
            <w:pPr>
              <w:keepNext/>
              <w:keepLines/>
              <w:widowControl w:val="0"/>
              <w:tabs>
                <w:tab w:val="left" w:pos="6480"/>
                <w:tab w:val="left" w:pos="7200"/>
              </w:tabs>
              <w:spacing w:before="40" w:after="40"/>
              <w:rPr>
                <w:sz w:val="18"/>
              </w:rPr>
            </w:pPr>
            <w:r w:rsidRPr="00440196">
              <w:rPr>
                <w:sz w:val="18"/>
              </w:rPr>
              <w:t xml:space="preserve">Conference services (translation, editing </w:t>
            </w:r>
            <w:r w:rsidRPr="00440196">
              <w:rPr>
                <w:color w:val="000000"/>
                <w:sz w:val="18"/>
                <w:szCs w:val="18"/>
              </w:rPr>
              <w:t>and interpretation</w:t>
            </w:r>
            <w:r w:rsidRPr="00440196">
              <w:rPr>
                <w:sz w:val="18"/>
              </w:rPr>
              <w:t xml:space="preserve">) </w:t>
            </w:r>
          </w:p>
        </w:tc>
        <w:tc>
          <w:tcPr>
            <w:tcW w:w="707" w:type="pct"/>
            <w:shd w:val="clear" w:color="auto" w:fill="auto"/>
            <w:noWrap/>
            <w:vAlign w:val="bottom"/>
            <w:hideMark/>
          </w:tcPr>
          <w:p w14:paraId="706041F0" w14:textId="77777777" w:rsidR="00E7045B" w:rsidRPr="007831BB" w:rsidRDefault="00E7045B" w:rsidP="00440196">
            <w:pPr>
              <w:keepNext/>
              <w:keepLines/>
              <w:widowControl w:val="0"/>
              <w:tabs>
                <w:tab w:val="left" w:pos="6480"/>
                <w:tab w:val="left" w:pos="7200"/>
              </w:tabs>
              <w:spacing w:before="40" w:after="40"/>
              <w:jc w:val="right"/>
              <w:rPr>
                <w:sz w:val="18"/>
              </w:rPr>
            </w:pPr>
            <w:r w:rsidRPr="00440196">
              <w:rPr>
                <w:sz w:val="18"/>
              </w:rPr>
              <w:t xml:space="preserve">765 000 </w:t>
            </w:r>
          </w:p>
        </w:tc>
        <w:tc>
          <w:tcPr>
            <w:tcW w:w="691" w:type="pct"/>
            <w:shd w:val="clear" w:color="auto" w:fill="auto"/>
            <w:noWrap/>
            <w:vAlign w:val="bottom"/>
            <w:hideMark/>
          </w:tcPr>
          <w:p w14:paraId="37CE74FF" w14:textId="77777777" w:rsidR="00E7045B" w:rsidRPr="007831BB" w:rsidRDefault="00E7045B" w:rsidP="00440196">
            <w:pPr>
              <w:keepNext/>
              <w:keepLines/>
              <w:widowControl w:val="0"/>
              <w:tabs>
                <w:tab w:val="left" w:pos="6480"/>
                <w:tab w:val="left" w:pos="7200"/>
              </w:tabs>
              <w:spacing w:before="40" w:after="40"/>
              <w:jc w:val="right"/>
              <w:rPr>
                <w:sz w:val="18"/>
              </w:rPr>
            </w:pPr>
            <w:r w:rsidRPr="00440196">
              <w:rPr>
                <w:sz w:val="18"/>
              </w:rPr>
              <w:t xml:space="preserve">770 912 </w:t>
            </w:r>
          </w:p>
        </w:tc>
        <w:tc>
          <w:tcPr>
            <w:tcW w:w="805" w:type="pct"/>
            <w:shd w:val="clear" w:color="auto" w:fill="auto"/>
            <w:noWrap/>
            <w:vAlign w:val="bottom"/>
            <w:hideMark/>
          </w:tcPr>
          <w:p w14:paraId="066B2831" w14:textId="77777777" w:rsidR="00E7045B" w:rsidRPr="007831BB" w:rsidRDefault="00E7045B" w:rsidP="00440196">
            <w:pPr>
              <w:keepNext/>
              <w:keepLines/>
              <w:widowControl w:val="0"/>
              <w:tabs>
                <w:tab w:val="left" w:pos="6480"/>
                <w:tab w:val="left" w:pos="7200"/>
              </w:tabs>
              <w:spacing w:before="40" w:after="40"/>
              <w:jc w:val="right"/>
              <w:rPr>
                <w:b/>
                <w:color w:val="000000"/>
                <w:sz w:val="18"/>
              </w:rPr>
            </w:pPr>
            <w:r w:rsidRPr="00440196">
              <w:rPr>
                <w:color w:val="000000"/>
                <w:sz w:val="18"/>
              </w:rPr>
              <w:t>-5 912</w:t>
            </w:r>
          </w:p>
        </w:tc>
      </w:tr>
      <w:tr w:rsidR="00E7045B" w:rsidRPr="00440196" w14:paraId="09052ED5" w14:textId="77777777" w:rsidTr="00440196">
        <w:trPr>
          <w:trHeight w:val="140"/>
        </w:trPr>
        <w:tc>
          <w:tcPr>
            <w:tcW w:w="2797" w:type="pct"/>
            <w:shd w:val="clear" w:color="auto" w:fill="auto"/>
            <w:noWrap/>
            <w:vAlign w:val="bottom"/>
            <w:hideMark/>
          </w:tcPr>
          <w:p w14:paraId="69A8FC98" w14:textId="77777777" w:rsidR="00E7045B" w:rsidRPr="007831BB" w:rsidRDefault="00E7045B" w:rsidP="00440196">
            <w:pPr>
              <w:keepNext/>
              <w:keepLines/>
              <w:widowControl w:val="0"/>
              <w:tabs>
                <w:tab w:val="left" w:pos="6480"/>
                <w:tab w:val="left" w:pos="7200"/>
              </w:tabs>
              <w:spacing w:before="40" w:after="40"/>
              <w:rPr>
                <w:sz w:val="18"/>
              </w:rPr>
            </w:pPr>
            <w:r w:rsidRPr="00440196">
              <w:rPr>
                <w:sz w:val="18"/>
              </w:rPr>
              <w:t>Plenary reporting services</w:t>
            </w:r>
          </w:p>
        </w:tc>
        <w:tc>
          <w:tcPr>
            <w:tcW w:w="707" w:type="pct"/>
            <w:shd w:val="clear" w:color="auto" w:fill="auto"/>
            <w:noWrap/>
            <w:vAlign w:val="bottom"/>
            <w:hideMark/>
          </w:tcPr>
          <w:p w14:paraId="12EF30BB" w14:textId="77777777" w:rsidR="00E7045B" w:rsidRPr="007831BB" w:rsidRDefault="00E7045B" w:rsidP="00440196">
            <w:pPr>
              <w:keepNext/>
              <w:keepLines/>
              <w:widowControl w:val="0"/>
              <w:tabs>
                <w:tab w:val="left" w:pos="6480"/>
                <w:tab w:val="left" w:pos="7200"/>
              </w:tabs>
              <w:spacing w:before="40" w:after="40"/>
              <w:jc w:val="right"/>
              <w:rPr>
                <w:sz w:val="18"/>
              </w:rPr>
            </w:pPr>
            <w:r w:rsidRPr="00440196">
              <w:rPr>
                <w:sz w:val="18"/>
              </w:rPr>
              <w:t xml:space="preserve">65 000 </w:t>
            </w:r>
          </w:p>
        </w:tc>
        <w:tc>
          <w:tcPr>
            <w:tcW w:w="691" w:type="pct"/>
            <w:shd w:val="clear" w:color="auto" w:fill="auto"/>
            <w:noWrap/>
            <w:vAlign w:val="bottom"/>
            <w:hideMark/>
          </w:tcPr>
          <w:p w14:paraId="7D2D43C8" w14:textId="77777777" w:rsidR="00E7045B" w:rsidRPr="007831BB" w:rsidRDefault="00E7045B" w:rsidP="00440196">
            <w:pPr>
              <w:keepNext/>
              <w:keepLines/>
              <w:widowControl w:val="0"/>
              <w:tabs>
                <w:tab w:val="left" w:pos="6480"/>
                <w:tab w:val="left" w:pos="7200"/>
              </w:tabs>
              <w:spacing w:before="40" w:after="40"/>
              <w:jc w:val="right"/>
              <w:rPr>
                <w:sz w:val="18"/>
              </w:rPr>
            </w:pPr>
            <w:r w:rsidRPr="00440196">
              <w:rPr>
                <w:sz w:val="18"/>
              </w:rPr>
              <w:t xml:space="preserve">59 998 </w:t>
            </w:r>
          </w:p>
        </w:tc>
        <w:tc>
          <w:tcPr>
            <w:tcW w:w="805" w:type="pct"/>
            <w:shd w:val="clear" w:color="auto" w:fill="auto"/>
            <w:noWrap/>
            <w:vAlign w:val="bottom"/>
            <w:hideMark/>
          </w:tcPr>
          <w:p w14:paraId="4C8E454B" w14:textId="77777777" w:rsidR="00E7045B" w:rsidRPr="007831BB" w:rsidRDefault="00E7045B" w:rsidP="00440196">
            <w:pPr>
              <w:keepNext/>
              <w:keepLines/>
              <w:widowControl w:val="0"/>
              <w:tabs>
                <w:tab w:val="left" w:pos="6480"/>
                <w:tab w:val="left" w:pos="7200"/>
              </w:tabs>
              <w:spacing w:before="40" w:after="40"/>
              <w:jc w:val="right"/>
              <w:rPr>
                <w:sz w:val="18"/>
              </w:rPr>
            </w:pPr>
            <w:r w:rsidRPr="00440196">
              <w:rPr>
                <w:sz w:val="18"/>
              </w:rPr>
              <w:t>5 002</w:t>
            </w:r>
          </w:p>
        </w:tc>
      </w:tr>
      <w:tr w:rsidR="00E7045B" w:rsidRPr="00440196" w14:paraId="4979BEF4" w14:textId="77777777" w:rsidTr="00440196">
        <w:trPr>
          <w:trHeight w:val="140"/>
        </w:trPr>
        <w:tc>
          <w:tcPr>
            <w:tcW w:w="2797" w:type="pct"/>
            <w:tcBorders>
              <w:bottom w:val="single" w:sz="4" w:space="0" w:color="auto"/>
            </w:tcBorders>
            <w:shd w:val="clear" w:color="auto" w:fill="auto"/>
            <w:noWrap/>
            <w:vAlign w:val="bottom"/>
            <w:hideMark/>
          </w:tcPr>
          <w:p w14:paraId="26E25A07"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rPr>
              <w:t xml:space="preserve">Security for the </w:t>
            </w:r>
            <w:proofErr w:type="spellStart"/>
            <w:r w:rsidRPr="00440196">
              <w:rPr>
                <w:sz w:val="18"/>
                <w:szCs w:val="18"/>
              </w:rPr>
              <w:t>Plenary</w:t>
            </w:r>
            <w:r w:rsidRPr="00440196">
              <w:rPr>
                <w:sz w:val="18"/>
                <w:szCs w:val="18"/>
                <w:vertAlign w:val="superscript"/>
              </w:rPr>
              <w:t>a</w:t>
            </w:r>
            <w:proofErr w:type="spellEnd"/>
          </w:p>
        </w:tc>
        <w:tc>
          <w:tcPr>
            <w:tcW w:w="707" w:type="pct"/>
            <w:tcBorders>
              <w:bottom w:val="single" w:sz="4" w:space="0" w:color="auto"/>
            </w:tcBorders>
            <w:shd w:val="clear" w:color="auto" w:fill="auto"/>
            <w:noWrap/>
            <w:vAlign w:val="bottom"/>
            <w:hideMark/>
          </w:tcPr>
          <w:p w14:paraId="54A47E4E"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100 000 </w:t>
            </w:r>
          </w:p>
        </w:tc>
        <w:tc>
          <w:tcPr>
            <w:tcW w:w="691" w:type="pct"/>
            <w:tcBorders>
              <w:bottom w:val="single" w:sz="4" w:space="0" w:color="auto"/>
            </w:tcBorders>
            <w:shd w:val="clear" w:color="auto" w:fill="auto"/>
            <w:noWrap/>
            <w:vAlign w:val="bottom"/>
            <w:hideMark/>
          </w:tcPr>
          <w:p w14:paraId="458E6647"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color w:val="000000"/>
                <w:sz w:val="17"/>
                <w:szCs w:val="17"/>
              </w:rPr>
              <w:t>−</w:t>
            </w:r>
          </w:p>
        </w:tc>
        <w:tc>
          <w:tcPr>
            <w:tcW w:w="805" w:type="pct"/>
            <w:tcBorders>
              <w:bottom w:val="single" w:sz="4" w:space="0" w:color="auto"/>
            </w:tcBorders>
            <w:shd w:val="clear" w:color="auto" w:fill="auto"/>
            <w:noWrap/>
            <w:vAlign w:val="bottom"/>
            <w:hideMark/>
          </w:tcPr>
          <w:p w14:paraId="02F699DF"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100 000</w:t>
            </w:r>
          </w:p>
        </w:tc>
      </w:tr>
      <w:tr w:rsidR="00E7045B" w:rsidRPr="00440196" w14:paraId="386F16AA" w14:textId="77777777" w:rsidTr="00440196">
        <w:trPr>
          <w:trHeight w:val="165"/>
        </w:trPr>
        <w:tc>
          <w:tcPr>
            <w:tcW w:w="2797" w:type="pct"/>
            <w:tcBorders>
              <w:top w:val="single" w:sz="4" w:space="0" w:color="auto"/>
              <w:bottom w:val="single" w:sz="4" w:space="0" w:color="auto"/>
            </w:tcBorders>
            <w:shd w:val="clear" w:color="auto" w:fill="auto"/>
            <w:vAlign w:val="bottom"/>
            <w:hideMark/>
          </w:tcPr>
          <w:p w14:paraId="5E9F604C" w14:textId="76045B4C" w:rsidR="00E7045B" w:rsidRPr="007831BB" w:rsidRDefault="00E7045B" w:rsidP="00964A01">
            <w:pPr>
              <w:keepNext/>
              <w:keepLines/>
              <w:widowControl w:val="0"/>
              <w:tabs>
                <w:tab w:val="left" w:pos="6480"/>
                <w:tab w:val="left" w:pos="7200"/>
              </w:tabs>
              <w:spacing w:before="40" w:after="40"/>
              <w:rPr>
                <w:b/>
                <w:sz w:val="18"/>
              </w:rPr>
            </w:pPr>
            <w:r w:rsidRPr="00440196">
              <w:rPr>
                <w:b/>
                <w:sz w:val="18"/>
              </w:rPr>
              <w:t xml:space="preserve">Subtotal 1.1 </w:t>
            </w:r>
            <w:r w:rsidR="009E420D">
              <w:rPr>
                <w:b/>
                <w:sz w:val="18"/>
              </w:rPr>
              <w:t>Annual s</w:t>
            </w:r>
            <w:r w:rsidRPr="00440196">
              <w:rPr>
                <w:b/>
                <w:sz w:val="18"/>
              </w:rPr>
              <w:t>ession of the Plenary</w:t>
            </w:r>
          </w:p>
        </w:tc>
        <w:tc>
          <w:tcPr>
            <w:tcW w:w="707" w:type="pct"/>
            <w:tcBorders>
              <w:top w:val="single" w:sz="4" w:space="0" w:color="auto"/>
              <w:bottom w:val="single" w:sz="4" w:space="0" w:color="auto"/>
            </w:tcBorders>
            <w:shd w:val="clear" w:color="auto" w:fill="auto"/>
            <w:noWrap/>
            <w:vAlign w:val="bottom"/>
            <w:hideMark/>
          </w:tcPr>
          <w:p w14:paraId="233E234B" w14:textId="77777777" w:rsidR="00E7045B" w:rsidRPr="007831BB" w:rsidRDefault="00E7045B" w:rsidP="00440196">
            <w:pPr>
              <w:keepNext/>
              <w:keepLines/>
              <w:widowControl w:val="0"/>
              <w:tabs>
                <w:tab w:val="left" w:pos="6480"/>
                <w:tab w:val="left" w:pos="7200"/>
              </w:tabs>
              <w:spacing w:before="40" w:after="40"/>
              <w:jc w:val="right"/>
              <w:rPr>
                <w:b/>
                <w:sz w:val="18"/>
              </w:rPr>
            </w:pPr>
            <w:r w:rsidRPr="00440196">
              <w:rPr>
                <w:b/>
                <w:sz w:val="18"/>
              </w:rPr>
              <w:t xml:space="preserve">1 430 000 </w:t>
            </w:r>
          </w:p>
        </w:tc>
        <w:tc>
          <w:tcPr>
            <w:tcW w:w="691" w:type="pct"/>
            <w:tcBorders>
              <w:top w:val="single" w:sz="4" w:space="0" w:color="auto"/>
              <w:bottom w:val="single" w:sz="4" w:space="0" w:color="auto"/>
            </w:tcBorders>
            <w:shd w:val="clear" w:color="auto" w:fill="auto"/>
            <w:noWrap/>
            <w:vAlign w:val="bottom"/>
            <w:hideMark/>
          </w:tcPr>
          <w:p w14:paraId="21DCCC5D" w14:textId="77777777" w:rsidR="00E7045B" w:rsidRPr="007831BB" w:rsidRDefault="00E7045B" w:rsidP="00440196">
            <w:pPr>
              <w:keepNext/>
              <w:keepLines/>
              <w:widowControl w:val="0"/>
              <w:tabs>
                <w:tab w:val="left" w:pos="6480"/>
                <w:tab w:val="left" w:pos="7200"/>
              </w:tabs>
              <w:spacing w:before="40" w:after="40"/>
              <w:jc w:val="right"/>
              <w:rPr>
                <w:b/>
                <w:sz w:val="18"/>
              </w:rPr>
            </w:pPr>
            <w:r w:rsidRPr="00440196">
              <w:rPr>
                <w:b/>
                <w:sz w:val="18"/>
              </w:rPr>
              <w:t xml:space="preserve">1 240 955 </w:t>
            </w:r>
          </w:p>
        </w:tc>
        <w:tc>
          <w:tcPr>
            <w:tcW w:w="805" w:type="pct"/>
            <w:tcBorders>
              <w:top w:val="single" w:sz="4" w:space="0" w:color="auto"/>
              <w:bottom w:val="single" w:sz="4" w:space="0" w:color="auto"/>
            </w:tcBorders>
            <w:shd w:val="clear" w:color="auto" w:fill="auto"/>
            <w:noWrap/>
            <w:vAlign w:val="bottom"/>
            <w:hideMark/>
          </w:tcPr>
          <w:p w14:paraId="2E98D6A4" w14:textId="77777777" w:rsidR="00E7045B" w:rsidRPr="007831BB" w:rsidRDefault="00E7045B" w:rsidP="00440196">
            <w:pPr>
              <w:keepNext/>
              <w:keepLines/>
              <w:widowControl w:val="0"/>
              <w:tabs>
                <w:tab w:val="left" w:pos="6480"/>
                <w:tab w:val="left" w:pos="7200"/>
              </w:tabs>
              <w:spacing w:before="40" w:after="40"/>
              <w:jc w:val="right"/>
              <w:rPr>
                <w:b/>
                <w:sz w:val="18"/>
              </w:rPr>
            </w:pPr>
            <w:r w:rsidRPr="00440196">
              <w:rPr>
                <w:b/>
                <w:sz w:val="18"/>
              </w:rPr>
              <w:t xml:space="preserve">189 045 </w:t>
            </w:r>
          </w:p>
        </w:tc>
      </w:tr>
      <w:tr w:rsidR="00E7045B" w:rsidRPr="00440196" w14:paraId="173D55FB" w14:textId="77777777" w:rsidTr="00440196">
        <w:trPr>
          <w:trHeight w:val="140"/>
        </w:trPr>
        <w:tc>
          <w:tcPr>
            <w:tcW w:w="2797" w:type="pct"/>
            <w:tcBorders>
              <w:top w:val="single" w:sz="4" w:space="0" w:color="auto"/>
            </w:tcBorders>
            <w:shd w:val="clear" w:color="auto" w:fill="auto"/>
            <w:noWrap/>
            <w:vAlign w:val="bottom"/>
            <w:hideMark/>
          </w:tcPr>
          <w:p w14:paraId="18C53D5E" w14:textId="77777777" w:rsidR="00E7045B" w:rsidRPr="007831BB" w:rsidRDefault="00E7045B" w:rsidP="00440196">
            <w:pPr>
              <w:keepNext/>
              <w:keepLines/>
              <w:widowControl w:val="0"/>
              <w:tabs>
                <w:tab w:val="left" w:pos="6480"/>
                <w:tab w:val="left" w:pos="7200"/>
              </w:tabs>
              <w:spacing w:before="40" w:after="40"/>
              <w:rPr>
                <w:b/>
                <w:sz w:val="18"/>
              </w:rPr>
            </w:pPr>
            <w:r w:rsidRPr="00440196">
              <w:rPr>
                <w:b/>
                <w:sz w:val="18"/>
              </w:rPr>
              <w:t>1.2 Bureau and Multidisciplinary Expert Panel sessions</w:t>
            </w:r>
          </w:p>
        </w:tc>
        <w:tc>
          <w:tcPr>
            <w:tcW w:w="707" w:type="pct"/>
            <w:tcBorders>
              <w:top w:val="single" w:sz="4" w:space="0" w:color="auto"/>
            </w:tcBorders>
            <w:shd w:val="clear" w:color="auto" w:fill="auto"/>
            <w:noWrap/>
            <w:vAlign w:val="bottom"/>
            <w:hideMark/>
          </w:tcPr>
          <w:p w14:paraId="61D00F2C" w14:textId="77777777" w:rsidR="00E7045B" w:rsidRPr="00440196" w:rsidRDefault="00E7045B" w:rsidP="00440196">
            <w:pPr>
              <w:keepNext/>
              <w:keepLines/>
              <w:spacing w:before="40" w:after="40"/>
              <w:jc w:val="right"/>
              <w:rPr>
                <w:sz w:val="18"/>
              </w:rPr>
            </w:pPr>
          </w:p>
        </w:tc>
        <w:tc>
          <w:tcPr>
            <w:tcW w:w="691" w:type="pct"/>
            <w:tcBorders>
              <w:top w:val="single" w:sz="4" w:space="0" w:color="auto"/>
            </w:tcBorders>
            <w:shd w:val="clear" w:color="auto" w:fill="auto"/>
            <w:noWrap/>
            <w:vAlign w:val="bottom"/>
            <w:hideMark/>
          </w:tcPr>
          <w:p w14:paraId="05E2E487" w14:textId="77777777" w:rsidR="00E7045B" w:rsidRPr="00440196" w:rsidRDefault="00E7045B" w:rsidP="00440196">
            <w:pPr>
              <w:keepNext/>
              <w:keepLines/>
              <w:spacing w:before="40" w:after="40"/>
              <w:jc w:val="right"/>
              <w:rPr>
                <w:sz w:val="18"/>
              </w:rPr>
            </w:pPr>
          </w:p>
        </w:tc>
        <w:tc>
          <w:tcPr>
            <w:tcW w:w="805" w:type="pct"/>
            <w:tcBorders>
              <w:top w:val="single" w:sz="4" w:space="0" w:color="auto"/>
            </w:tcBorders>
            <w:shd w:val="clear" w:color="auto" w:fill="auto"/>
            <w:noWrap/>
            <w:vAlign w:val="bottom"/>
            <w:hideMark/>
          </w:tcPr>
          <w:p w14:paraId="6C65C4D7" w14:textId="77777777" w:rsidR="00E7045B" w:rsidRPr="00440196" w:rsidRDefault="00E7045B" w:rsidP="00440196">
            <w:pPr>
              <w:keepNext/>
              <w:keepLines/>
              <w:spacing w:before="40" w:after="40"/>
              <w:jc w:val="right"/>
              <w:rPr>
                <w:sz w:val="18"/>
              </w:rPr>
            </w:pPr>
          </w:p>
        </w:tc>
      </w:tr>
      <w:tr w:rsidR="00E7045B" w:rsidRPr="00440196" w14:paraId="690C3364" w14:textId="77777777" w:rsidTr="00440196">
        <w:trPr>
          <w:trHeight w:val="140"/>
        </w:trPr>
        <w:tc>
          <w:tcPr>
            <w:tcW w:w="2797" w:type="pct"/>
            <w:shd w:val="clear" w:color="auto" w:fill="auto"/>
            <w:vAlign w:val="bottom"/>
            <w:hideMark/>
          </w:tcPr>
          <w:p w14:paraId="27184AFD"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rPr>
              <w:t>Travel and m</w:t>
            </w:r>
            <w:r w:rsidRPr="00440196">
              <w:rPr>
                <w:sz w:val="18"/>
                <w:szCs w:val="18"/>
              </w:rPr>
              <w:t>eeting costs</w:t>
            </w:r>
            <w:r w:rsidRPr="00440196">
              <w:rPr>
                <w:sz w:val="18"/>
              </w:rPr>
              <w:t xml:space="preserve"> of participants for </w:t>
            </w:r>
            <w:r w:rsidRPr="00440196">
              <w:rPr>
                <w:sz w:val="18"/>
                <w:szCs w:val="18"/>
              </w:rPr>
              <w:t>two</w:t>
            </w:r>
            <w:r w:rsidRPr="00440196">
              <w:rPr>
                <w:sz w:val="18"/>
              </w:rPr>
              <w:t xml:space="preserve"> Bureau sessions</w:t>
            </w:r>
          </w:p>
        </w:tc>
        <w:tc>
          <w:tcPr>
            <w:tcW w:w="707" w:type="pct"/>
            <w:shd w:val="clear" w:color="auto" w:fill="auto"/>
            <w:noWrap/>
            <w:vAlign w:val="bottom"/>
            <w:hideMark/>
          </w:tcPr>
          <w:p w14:paraId="6A01865A"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70 900 </w:t>
            </w:r>
          </w:p>
        </w:tc>
        <w:tc>
          <w:tcPr>
            <w:tcW w:w="691" w:type="pct"/>
            <w:shd w:val="clear" w:color="auto" w:fill="auto"/>
            <w:noWrap/>
            <w:vAlign w:val="bottom"/>
            <w:hideMark/>
          </w:tcPr>
          <w:p w14:paraId="578C1E9C"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66 083 </w:t>
            </w:r>
          </w:p>
        </w:tc>
        <w:tc>
          <w:tcPr>
            <w:tcW w:w="805" w:type="pct"/>
            <w:shd w:val="clear" w:color="auto" w:fill="auto"/>
            <w:noWrap/>
            <w:vAlign w:val="bottom"/>
            <w:hideMark/>
          </w:tcPr>
          <w:p w14:paraId="357F2070"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4 817 </w:t>
            </w:r>
          </w:p>
        </w:tc>
      </w:tr>
      <w:tr w:rsidR="00E7045B" w:rsidRPr="00440196" w14:paraId="7CA1E4E1" w14:textId="77777777" w:rsidTr="00440196">
        <w:trPr>
          <w:trHeight w:val="140"/>
        </w:trPr>
        <w:tc>
          <w:tcPr>
            <w:tcW w:w="2797" w:type="pct"/>
            <w:tcBorders>
              <w:bottom w:val="single" w:sz="4" w:space="0" w:color="auto"/>
            </w:tcBorders>
            <w:shd w:val="clear" w:color="auto" w:fill="auto"/>
            <w:vAlign w:val="bottom"/>
            <w:hideMark/>
          </w:tcPr>
          <w:p w14:paraId="141C60D7" w14:textId="77777777" w:rsidR="00E7045B" w:rsidRPr="007831BB" w:rsidRDefault="00E7045B" w:rsidP="00440196">
            <w:pPr>
              <w:keepNext/>
              <w:keepLines/>
              <w:widowControl w:val="0"/>
              <w:tabs>
                <w:tab w:val="left" w:pos="6480"/>
                <w:tab w:val="left" w:pos="7200"/>
              </w:tabs>
              <w:spacing w:before="40" w:after="40"/>
              <w:rPr>
                <w:sz w:val="18"/>
                <w:szCs w:val="18"/>
              </w:rPr>
            </w:pPr>
            <w:r w:rsidRPr="00440196">
              <w:rPr>
                <w:sz w:val="18"/>
              </w:rPr>
              <w:t>Travel and m</w:t>
            </w:r>
            <w:r w:rsidRPr="00440196">
              <w:rPr>
                <w:sz w:val="18"/>
                <w:szCs w:val="18"/>
              </w:rPr>
              <w:t>eeting costs</w:t>
            </w:r>
            <w:r w:rsidRPr="00440196">
              <w:rPr>
                <w:sz w:val="18"/>
              </w:rPr>
              <w:t xml:space="preserve"> of participants for </w:t>
            </w:r>
            <w:r w:rsidRPr="00440196">
              <w:rPr>
                <w:sz w:val="18"/>
                <w:szCs w:val="18"/>
              </w:rPr>
              <w:t>two</w:t>
            </w:r>
            <w:r w:rsidRPr="00440196">
              <w:rPr>
                <w:sz w:val="18"/>
              </w:rPr>
              <w:t xml:space="preserve"> Panel sessions</w:t>
            </w:r>
          </w:p>
        </w:tc>
        <w:tc>
          <w:tcPr>
            <w:tcW w:w="707" w:type="pct"/>
            <w:tcBorders>
              <w:bottom w:val="single" w:sz="4" w:space="0" w:color="auto"/>
            </w:tcBorders>
            <w:shd w:val="clear" w:color="auto" w:fill="auto"/>
            <w:noWrap/>
            <w:vAlign w:val="bottom"/>
            <w:hideMark/>
          </w:tcPr>
          <w:p w14:paraId="1FBBE5F5"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240 000 </w:t>
            </w:r>
          </w:p>
        </w:tc>
        <w:tc>
          <w:tcPr>
            <w:tcW w:w="691" w:type="pct"/>
            <w:tcBorders>
              <w:bottom w:val="single" w:sz="4" w:space="0" w:color="auto"/>
            </w:tcBorders>
            <w:shd w:val="clear" w:color="auto" w:fill="auto"/>
            <w:noWrap/>
            <w:vAlign w:val="bottom"/>
            <w:hideMark/>
          </w:tcPr>
          <w:p w14:paraId="0671B748"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153 906 </w:t>
            </w:r>
          </w:p>
        </w:tc>
        <w:tc>
          <w:tcPr>
            <w:tcW w:w="805" w:type="pct"/>
            <w:tcBorders>
              <w:bottom w:val="single" w:sz="4" w:space="0" w:color="auto"/>
            </w:tcBorders>
            <w:shd w:val="clear" w:color="auto" w:fill="auto"/>
            <w:noWrap/>
            <w:vAlign w:val="bottom"/>
            <w:hideMark/>
          </w:tcPr>
          <w:p w14:paraId="5390FF60" w14:textId="77777777" w:rsidR="00E7045B" w:rsidRPr="007831BB" w:rsidRDefault="00E7045B" w:rsidP="00440196">
            <w:pPr>
              <w:keepNext/>
              <w:keepLines/>
              <w:widowControl w:val="0"/>
              <w:tabs>
                <w:tab w:val="left" w:pos="6480"/>
                <w:tab w:val="left" w:pos="7200"/>
              </w:tabs>
              <w:spacing w:before="40" w:after="40"/>
              <w:jc w:val="right"/>
              <w:rPr>
                <w:sz w:val="18"/>
                <w:szCs w:val="18"/>
              </w:rPr>
            </w:pPr>
            <w:r w:rsidRPr="00440196">
              <w:rPr>
                <w:sz w:val="18"/>
              </w:rPr>
              <w:t xml:space="preserve">86 094 </w:t>
            </w:r>
          </w:p>
        </w:tc>
      </w:tr>
      <w:tr w:rsidR="00E7045B" w:rsidRPr="00440196" w14:paraId="2BC0CE2C" w14:textId="77777777" w:rsidTr="00440196">
        <w:trPr>
          <w:trHeight w:val="165"/>
        </w:trPr>
        <w:tc>
          <w:tcPr>
            <w:tcW w:w="2797" w:type="pct"/>
            <w:tcBorders>
              <w:top w:val="single" w:sz="4" w:space="0" w:color="auto"/>
              <w:bottom w:val="single" w:sz="4" w:space="0" w:color="auto"/>
            </w:tcBorders>
            <w:shd w:val="clear" w:color="auto" w:fill="auto"/>
            <w:noWrap/>
            <w:vAlign w:val="bottom"/>
            <w:hideMark/>
          </w:tcPr>
          <w:p w14:paraId="69D6983A"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1.2 Bureau and Multidisciplinary Expert Panel sessions</w:t>
            </w:r>
          </w:p>
        </w:tc>
        <w:tc>
          <w:tcPr>
            <w:tcW w:w="707" w:type="pct"/>
            <w:tcBorders>
              <w:top w:val="single" w:sz="4" w:space="0" w:color="auto"/>
              <w:bottom w:val="single" w:sz="4" w:space="0" w:color="auto"/>
            </w:tcBorders>
            <w:shd w:val="clear" w:color="auto" w:fill="auto"/>
            <w:noWrap/>
            <w:vAlign w:val="bottom"/>
            <w:hideMark/>
          </w:tcPr>
          <w:p w14:paraId="689AD916"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310 900 </w:t>
            </w:r>
          </w:p>
        </w:tc>
        <w:tc>
          <w:tcPr>
            <w:tcW w:w="691" w:type="pct"/>
            <w:tcBorders>
              <w:top w:val="single" w:sz="4" w:space="0" w:color="auto"/>
              <w:bottom w:val="single" w:sz="4" w:space="0" w:color="auto"/>
            </w:tcBorders>
            <w:shd w:val="clear" w:color="auto" w:fill="auto"/>
            <w:noWrap/>
            <w:vAlign w:val="bottom"/>
            <w:hideMark/>
          </w:tcPr>
          <w:p w14:paraId="1787100A"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219 990 </w:t>
            </w:r>
          </w:p>
        </w:tc>
        <w:tc>
          <w:tcPr>
            <w:tcW w:w="805" w:type="pct"/>
            <w:tcBorders>
              <w:top w:val="single" w:sz="4" w:space="0" w:color="auto"/>
              <w:bottom w:val="single" w:sz="4" w:space="0" w:color="auto"/>
            </w:tcBorders>
            <w:shd w:val="clear" w:color="auto" w:fill="auto"/>
            <w:noWrap/>
            <w:vAlign w:val="bottom"/>
            <w:hideMark/>
          </w:tcPr>
          <w:p w14:paraId="337F0A74"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90 910 </w:t>
            </w:r>
          </w:p>
        </w:tc>
      </w:tr>
      <w:tr w:rsidR="00E7045B" w:rsidRPr="00440196" w14:paraId="713EA51D" w14:textId="77777777" w:rsidTr="00440196">
        <w:trPr>
          <w:trHeight w:val="165"/>
        </w:trPr>
        <w:tc>
          <w:tcPr>
            <w:tcW w:w="2797" w:type="pct"/>
            <w:tcBorders>
              <w:top w:val="single" w:sz="4" w:space="0" w:color="auto"/>
              <w:bottom w:val="single" w:sz="4" w:space="0" w:color="auto"/>
            </w:tcBorders>
            <w:shd w:val="clear" w:color="auto" w:fill="auto"/>
            <w:noWrap/>
            <w:vAlign w:val="bottom"/>
            <w:hideMark/>
          </w:tcPr>
          <w:p w14:paraId="1EB23325"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1.3 Travel costs of the Chair to represent the Platform</w:t>
            </w:r>
          </w:p>
        </w:tc>
        <w:tc>
          <w:tcPr>
            <w:tcW w:w="707" w:type="pct"/>
            <w:tcBorders>
              <w:top w:val="single" w:sz="4" w:space="0" w:color="auto"/>
              <w:bottom w:val="single" w:sz="4" w:space="0" w:color="auto"/>
            </w:tcBorders>
            <w:shd w:val="clear" w:color="auto" w:fill="auto"/>
            <w:noWrap/>
            <w:vAlign w:val="bottom"/>
            <w:hideMark/>
          </w:tcPr>
          <w:p w14:paraId="3560DF05"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25 000 </w:t>
            </w:r>
          </w:p>
        </w:tc>
        <w:tc>
          <w:tcPr>
            <w:tcW w:w="691" w:type="pct"/>
            <w:tcBorders>
              <w:top w:val="single" w:sz="4" w:space="0" w:color="auto"/>
              <w:bottom w:val="single" w:sz="4" w:space="0" w:color="auto"/>
            </w:tcBorders>
            <w:shd w:val="clear" w:color="auto" w:fill="auto"/>
            <w:noWrap/>
            <w:vAlign w:val="bottom"/>
            <w:hideMark/>
          </w:tcPr>
          <w:p w14:paraId="60588EB8" w14:textId="77777777" w:rsidR="00E7045B" w:rsidRPr="007831BB" w:rsidRDefault="00E7045B" w:rsidP="00440196">
            <w:pPr>
              <w:widowControl w:val="0"/>
              <w:tabs>
                <w:tab w:val="left" w:pos="6480"/>
                <w:tab w:val="left" w:pos="7200"/>
              </w:tabs>
              <w:spacing w:before="40" w:after="40"/>
              <w:jc w:val="right"/>
              <w:rPr>
                <w:b/>
                <w:sz w:val="18"/>
              </w:rPr>
            </w:pPr>
            <w:r w:rsidRPr="00440196">
              <w:rPr>
                <w:color w:val="000000"/>
                <w:sz w:val="17"/>
                <w:szCs w:val="17"/>
              </w:rPr>
              <w:t>−</w:t>
            </w:r>
          </w:p>
        </w:tc>
        <w:tc>
          <w:tcPr>
            <w:tcW w:w="805" w:type="pct"/>
            <w:tcBorders>
              <w:top w:val="single" w:sz="4" w:space="0" w:color="auto"/>
              <w:bottom w:val="single" w:sz="4" w:space="0" w:color="auto"/>
            </w:tcBorders>
            <w:shd w:val="clear" w:color="auto" w:fill="auto"/>
            <w:noWrap/>
            <w:vAlign w:val="bottom"/>
            <w:hideMark/>
          </w:tcPr>
          <w:p w14:paraId="406802C2"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25 000 </w:t>
            </w:r>
          </w:p>
        </w:tc>
      </w:tr>
      <w:tr w:rsidR="00E7045B" w:rsidRPr="00440196" w14:paraId="4C293B7D" w14:textId="77777777" w:rsidTr="00440196">
        <w:trPr>
          <w:trHeight w:val="174"/>
        </w:trPr>
        <w:tc>
          <w:tcPr>
            <w:tcW w:w="2797" w:type="pct"/>
            <w:tcBorders>
              <w:top w:val="single" w:sz="4" w:space="0" w:color="auto"/>
              <w:bottom w:val="single" w:sz="4" w:space="0" w:color="auto"/>
            </w:tcBorders>
            <w:shd w:val="clear" w:color="auto" w:fill="auto"/>
            <w:noWrap/>
            <w:vAlign w:val="bottom"/>
            <w:hideMark/>
          </w:tcPr>
          <w:p w14:paraId="0B51452C" w14:textId="77777777" w:rsidR="00E7045B" w:rsidRPr="007831BB" w:rsidRDefault="00E7045B" w:rsidP="00440196">
            <w:pPr>
              <w:widowControl w:val="0"/>
              <w:tabs>
                <w:tab w:val="left" w:pos="6480"/>
                <w:tab w:val="left" w:pos="7200"/>
              </w:tabs>
              <w:spacing w:before="40" w:after="40"/>
              <w:rPr>
                <w:b/>
                <w:bCs/>
                <w:sz w:val="18"/>
                <w:szCs w:val="18"/>
              </w:rPr>
            </w:pPr>
            <w:r w:rsidRPr="00440196">
              <w:rPr>
                <w:b/>
                <w:sz w:val="18"/>
              </w:rPr>
              <w:t>Subtotal 1 Meetings of the Platform bodies</w:t>
            </w:r>
          </w:p>
        </w:tc>
        <w:tc>
          <w:tcPr>
            <w:tcW w:w="707" w:type="pct"/>
            <w:tcBorders>
              <w:top w:val="single" w:sz="4" w:space="0" w:color="auto"/>
              <w:bottom w:val="single" w:sz="4" w:space="0" w:color="auto"/>
            </w:tcBorders>
            <w:shd w:val="clear" w:color="auto" w:fill="auto"/>
            <w:noWrap/>
            <w:vAlign w:val="bottom"/>
            <w:hideMark/>
          </w:tcPr>
          <w:p w14:paraId="47D75139"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 xml:space="preserve">1 765 900 </w:t>
            </w:r>
          </w:p>
        </w:tc>
        <w:tc>
          <w:tcPr>
            <w:tcW w:w="691" w:type="pct"/>
            <w:tcBorders>
              <w:top w:val="single" w:sz="4" w:space="0" w:color="auto"/>
              <w:bottom w:val="single" w:sz="4" w:space="0" w:color="auto"/>
            </w:tcBorders>
            <w:shd w:val="clear" w:color="auto" w:fill="auto"/>
            <w:noWrap/>
            <w:vAlign w:val="bottom"/>
            <w:hideMark/>
          </w:tcPr>
          <w:p w14:paraId="2A53BFF1"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 xml:space="preserve">1 460 945 </w:t>
            </w:r>
          </w:p>
        </w:tc>
        <w:tc>
          <w:tcPr>
            <w:tcW w:w="805" w:type="pct"/>
            <w:tcBorders>
              <w:top w:val="single" w:sz="4" w:space="0" w:color="auto"/>
              <w:bottom w:val="single" w:sz="4" w:space="0" w:color="auto"/>
            </w:tcBorders>
            <w:shd w:val="clear" w:color="auto" w:fill="auto"/>
            <w:noWrap/>
            <w:vAlign w:val="bottom"/>
            <w:hideMark/>
          </w:tcPr>
          <w:p w14:paraId="69F737EC"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 xml:space="preserve">304 955 </w:t>
            </w:r>
          </w:p>
        </w:tc>
      </w:tr>
      <w:tr w:rsidR="00E7045B" w:rsidRPr="00440196" w14:paraId="7B16D4F5" w14:textId="77777777" w:rsidTr="00440196">
        <w:trPr>
          <w:trHeight w:val="235"/>
        </w:trPr>
        <w:tc>
          <w:tcPr>
            <w:tcW w:w="2797" w:type="pct"/>
            <w:tcBorders>
              <w:top w:val="single" w:sz="4" w:space="0" w:color="auto"/>
            </w:tcBorders>
            <w:shd w:val="clear" w:color="auto" w:fill="auto"/>
            <w:vAlign w:val="bottom"/>
          </w:tcPr>
          <w:p w14:paraId="64DC13AF" w14:textId="77777777" w:rsidR="00E7045B" w:rsidRPr="007831BB" w:rsidRDefault="00E7045B" w:rsidP="00440196">
            <w:pPr>
              <w:widowControl w:val="0"/>
              <w:tabs>
                <w:tab w:val="left" w:pos="6480"/>
                <w:tab w:val="left" w:pos="7200"/>
              </w:tabs>
              <w:spacing w:before="40" w:after="40"/>
              <w:rPr>
                <w:b/>
                <w:sz w:val="18"/>
              </w:rPr>
            </w:pPr>
            <w:r w:rsidRPr="00440196">
              <w:rPr>
                <w:b/>
                <w:sz w:val="18"/>
              </w:rPr>
              <w:t xml:space="preserve">2. Implementation of the work programme </w:t>
            </w:r>
          </w:p>
        </w:tc>
        <w:tc>
          <w:tcPr>
            <w:tcW w:w="707" w:type="pct"/>
            <w:tcBorders>
              <w:top w:val="single" w:sz="4" w:space="0" w:color="auto"/>
            </w:tcBorders>
            <w:shd w:val="clear" w:color="auto" w:fill="auto"/>
            <w:noWrap/>
            <w:vAlign w:val="center"/>
          </w:tcPr>
          <w:p w14:paraId="69EC0247" w14:textId="77777777" w:rsidR="00E7045B" w:rsidRPr="00440196" w:rsidRDefault="00E7045B" w:rsidP="00440196">
            <w:pPr>
              <w:keepNext/>
              <w:keepLines/>
              <w:tabs>
                <w:tab w:val="right" w:pos="851"/>
                <w:tab w:val="left" w:pos="4082"/>
              </w:tabs>
              <w:suppressAutoHyphens/>
              <w:spacing w:before="40" w:after="40"/>
              <w:jc w:val="right"/>
              <w:rPr>
                <w:sz w:val="18"/>
              </w:rPr>
            </w:pPr>
          </w:p>
        </w:tc>
        <w:tc>
          <w:tcPr>
            <w:tcW w:w="691" w:type="pct"/>
            <w:tcBorders>
              <w:top w:val="single" w:sz="4" w:space="0" w:color="auto"/>
            </w:tcBorders>
            <w:shd w:val="clear" w:color="auto" w:fill="auto"/>
            <w:noWrap/>
            <w:vAlign w:val="center"/>
          </w:tcPr>
          <w:p w14:paraId="1E20589A" w14:textId="77777777" w:rsidR="00E7045B" w:rsidRPr="00440196" w:rsidRDefault="00E7045B" w:rsidP="00440196">
            <w:pPr>
              <w:keepNext/>
              <w:keepLines/>
              <w:tabs>
                <w:tab w:val="right" w:pos="851"/>
                <w:tab w:val="left" w:pos="4082"/>
              </w:tabs>
              <w:suppressAutoHyphens/>
              <w:spacing w:before="40" w:after="40"/>
              <w:jc w:val="right"/>
              <w:rPr>
                <w:sz w:val="18"/>
              </w:rPr>
            </w:pPr>
          </w:p>
        </w:tc>
        <w:tc>
          <w:tcPr>
            <w:tcW w:w="805" w:type="pct"/>
            <w:tcBorders>
              <w:top w:val="single" w:sz="4" w:space="0" w:color="auto"/>
            </w:tcBorders>
            <w:shd w:val="clear" w:color="auto" w:fill="auto"/>
            <w:noWrap/>
            <w:vAlign w:val="center"/>
          </w:tcPr>
          <w:p w14:paraId="59F3DA9E" w14:textId="77777777" w:rsidR="00E7045B" w:rsidRPr="00440196" w:rsidRDefault="00E7045B" w:rsidP="00440196">
            <w:pPr>
              <w:spacing w:before="40" w:after="40"/>
              <w:jc w:val="right"/>
              <w:rPr>
                <w:sz w:val="18"/>
              </w:rPr>
            </w:pPr>
          </w:p>
        </w:tc>
      </w:tr>
      <w:tr w:rsidR="00E7045B" w:rsidRPr="00440196" w14:paraId="09B0F1DD" w14:textId="77777777" w:rsidTr="00440196">
        <w:trPr>
          <w:trHeight w:val="280"/>
        </w:trPr>
        <w:tc>
          <w:tcPr>
            <w:tcW w:w="2797" w:type="pct"/>
            <w:shd w:val="clear" w:color="auto" w:fill="auto"/>
            <w:hideMark/>
          </w:tcPr>
          <w:p w14:paraId="35F4BAFB" w14:textId="77777777" w:rsidR="00E7045B" w:rsidRPr="007831BB" w:rsidRDefault="00E7045B" w:rsidP="00440196">
            <w:pPr>
              <w:widowControl w:val="0"/>
              <w:tabs>
                <w:tab w:val="left" w:pos="6480"/>
                <w:tab w:val="left" w:pos="7200"/>
              </w:tabs>
              <w:spacing w:before="40" w:after="40"/>
              <w:rPr>
                <w:b/>
                <w:sz w:val="18"/>
              </w:rPr>
            </w:pPr>
            <w:r w:rsidRPr="00440196">
              <w:rPr>
                <w:b/>
                <w:sz w:val="18"/>
              </w:rPr>
              <w:t>2.1 Objective 1:</w:t>
            </w:r>
            <w:r w:rsidRPr="00440196">
              <w:rPr>
                <w:sz w:val="18"/>
              </w:rPr>
              <w:t xml:space="preserve"> strengthen the capacity and knowledge foundations of the science-policy interface to implement key functions of the Platform</w:t>
            </w:r>
          </w:p>
        </w:tc>
        <w:tc>
          <w:tcPr>
            <w:tcW w:w="707" w:type="pct"/>
            <w:shd w:val="clear" w:color="auto" w:fill="auto"/>
            <w:noWrap/>
            <w:vAlign w:val="center"/>
            <w:hideMark/>
          </w:tcPr>
          <w:p w14:paraId="08B61251"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1 317 500</w:t>
            </w:r>
          </w:p>
        </w:tc>
        <w:tc>
          <w:tcPr>
            <w:tcW w:w="691" w:type="pct"/>
            <w:shd w:val="clear" w:color="auto" w:fill="auto"/>
            <w:noWrap/>
            <w:vAlign w:val="center"/>
            <w:hideMark/>
          </w:tcPr>
          <w:p w14:paraId="4BE96CD1"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1 209 859</w:t>
            </w:r>
          </w:p>
        </w:tc>
        <w:tc>
          <w:tcPr>
            <w:tcW w:w="805" w:type="pct"/>
            <w:shd w:val="clear" w:color="auto" w:fill="auto"/>
            <w:noWrap/>
            <w:vAlign w:val="center"/>
            <w:hideMark/>
          </w:tcPr>
          <w:p w14:paraId="55005B0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107 641</w:t>
            </w:r>
          </w:p>
        </w:tc>
      </w:tr>
      <w:tr w:rsidR="00E7045B" w:rsidRPr="00440196" w14:paraId="2A38D022" w14:textId="77777777" w:rsidTr="00440196">
        <w:trPr>
          <w:trHeight w:val="280"/>
        </w:trPr>
        <w:tc>
          <w:tcPr>
            <w:tcW w:w="2797" w:type="pct"/>
            <w:shd w:val="clear" w:color="auto" w:fill="auto"/>
          </w:tcPr>
          <w:p w14:paraId="643B685A" w14:textId="77777777" w:rsidR="00E7045B" w:rsidRPr="007831BB" w:rsidRDefault="00E7045B" w:rsidP="00440196">
            <w:pPr>
              <w:widowControl w:val="0"/>
              <w:tabs>
                <w:tab w:val="left" w:pos="6480"/>
                <w:tab w:val="left" w:pos="7200"/>
              </w:tabs>
              <w:spacing w:before="40" w:after="40"/>
              <w:rPr>
                <w:sz w:val="18"/>
              </w:rPr>
            </w:pPr>
            <w:r w:rsidRPr="00440196">
              <w:rPr>
                <w:b/>
                <w:sz w:val="18"/>
              </w:rPr>
              <w:t>2.2 Objective 2:</w:t>
            </w:r>
            <w:r w:rsidRPr="00440196">
              <w:rPr>
                <w:sz w:val="18"/>
              </w:rPr>
              <w:t xml:space="preserve"> strengthen the science-policy interface on biodiversity and ecosystem services at and across the </w:t>
            </w:r>
            <w:proofErr w:type="spellStart"/>
            <w:r w:rsidRPr="00440196">
              <w:rPr>
                <w:sz w:val="18"/>
              </w:rPr>
              <w:t>subregional</w:t>
            </w:r>
            <w:proofErr w:type="spellEnd"/>
            <w:r w:rsidRPr="00440196">
              <w:rPr>
                <w:sz w:val="18"/>
              </w:rPr>
              <w:t>, regional and global levels</w:t>
            </w:r>
          </w:p>
        </w:tc>
        <w:tc>
          <w:tcPr>
            <w:tcW w:w="707" w:type="pct"/>
            <w:shd w:val="clear" w:color="auto" w:fill="auto"/>
            <w:noWrap/>
            <w:vAlign w:val="center"/>
          </w:tcPr>
          <w:p w14:paraId="561F1FF5"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1 598 750</w:t>
            </w:r>
          </w:p>
        </w:tc>
        <w:tc>
          <w:tcPr>
            <w:tcW w:w="691" w:type="pct"/>
            <w:shd w:val="clear" w:color="auto" w:fill="auto"/>
            <w:noWrap/>
            <w:vAlign w:val="center"/>
          </w:tcPr>
          <w:p w14:paraId="0319DCFD"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1 189 557</w:t>
            </w:r>
          </w:p>
        </w:tc>
        <w:tc>
          <w:tcPr>
            <w:tcW w:w="805" w:type="pct"/>
            <w:shd w:val="clear" w:color="auto" w:fill="auto"/>
            <w:noWrap/>
            <w:vAlign w:val="center"/>
          </w:tcPr>
          <w:p w14:paraId="123F875E"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409 193</w:t>
            </w:r>
          </w:p>
        </w:tc>
      </w:tr>
      <w:tr w:rsidR="00E7045B" w:rsidRPr="00440196" w14:paraId="4FC8E506" w14:textId="77777777" w:rsidTr="00440196">
        <w:trPr>
          <w:trHeight w:val="280"/>
        </w:trPr>
        <w:tc>
          <w:tcPr>
            <w:tcW w:w="2797" w:type="pct"/>
            <w:shd w:val="clear" w:color="auto" w:fill="auto"/>
            <w:hideMark/>
          </w:tcPr>
          <w:p w14:paraId="60956E8F" w14:textId="77777777" w:rsidR="00E7045B" w:rsidRPr="007831BB" w:rsidRDefault="00E7045B" w:rsidP="00440196">
            <w:pPr>
              <w:widowControl w:val="0"/>
              <w:tabs>
                <w:tab w:val="left" w:pos="6480"/>
                <w:tab w:val="left" w:pos="7200"/>
              </w:tabs>
              <w:spacing w:before="40" w:after="40"/>
              <w:rPr>
                <w:sz w:val="18"/>
              </w:rPr>
            </w:pPr>
            <w:r w:rsidRPr="00440196">
              <w:rPr>
                <w:b/>
                <w:sz w:val="18"/>
              </w:rPr>
              <w:t>2.3 Objective 3:</w:t>
            </w:r>
            <w:r w:rsidRPr="00440196">
              <w:rPr>
                <w:sz w:val="18"/>
              </w:rPr>
              <w:t xml:space="preserve"> strengthen the knowledge-policy interface with regard to thematic and methodological issues</w:t>
            </w:r>
          </w:p>
        </w:tc>
        <w:tc>
          <w:tcPr>
            <w:tcW w:w="707" w:type="pct"/>
            <w:shd w:val="clear" w:color="auto" w:fill="auto"/>
            <w:noWrap/>
            <w:vAlign w:val="center"/>
            <w:hideMark/>
          </w:tcPr>
          <w:p w14:paraId="5FBF455B"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651 500</w:t>
            </w:r>
          </w:p>
        </w:tc>
        <w:tc>
          <w:tcPr>
            <w:tcW w:w="691" w:type="pct"/>
            <w:shd w:val="clear" w:color="auto" w:fill="auto"/>
            <w:noWrap/>
            <w:vAlign w:val="center"/>
            <w:hideMark/>
          </w:tcPr>
          <w:p w14:paraId="47D492FE"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444 894</w:t>
            </w:r>
          </w:p>
        </w:tc>
        <w:tc>
          <w:tcPr>
            <w:tcW w:w="805" w:type="pct"/>
            <w:shd w:val="clear" w:color="auto" w:fill="auto"/>
            <w:noWrap/>
            <w:vAlign w:val="center"/>
            <w:hideMark/>
          </w:tcPr>
          <w:p w14:paraId="4117F96F"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206 606</w:t>
            </w:r>
          </w:p>
        </w:tc>
      </w:tr>
      <w:tr w:rsidR="00E7045B" w:rsidRPr="00440196" w14:paraId="0F53BA0C" w14:textId="77777777" w:rsidTr="00440196">
        <w:trPr>
          <w:trHeight w:val="280"/>
        </w:trPr>
        <w:tc>
          <w:tcPr>
            <w:tcW w:w="2797" w:type="pct"/>
            <w:tcBorders>
              <w:bottom w:val="single" w:sz="4" w:space="0" w:color="auto"/>
            </w:tcBorders>
            <w:shd w:val="clear" w:color="auto" w:fill="auto"/>
            <w:hideMark/>
          </w:tcPr>
          <w:p w14:paraId="6906FEE1" w14:textId="77777777" w:rsidR="00E7045B" w:rsidRPr="007831BB" w:rsidRDefault="00E7045B" w:rsidP="00440196">
            <w:pPr>
              <w:widowControl w:val="0"/>
              <w:tabs>
                <w:tab w:val="left" w:pos="6480"/>
                <w:tab w:val="left" w:pos="7200"/>
              </w:tabs>
              <w:spacing w:before="40" w:after="40"/>
              <w:rPr>
                <w:sz w:val="18"/>
                <w:szCs w:val="18"/>
              </w:rPr>
            </w:pPr>
            <w:r w:rsidRPr="00440196">
              <w:rPr>
                <w:b/>
                <w:sz w:val="18"/>
              </w:rPr>
              <w:t>2.4 Objective 4:</w:t>
            </w:r>
            <w:r w:rsidRPr="00440196">
              <w:rPr>
                <w:sz w:val="18"/>
              </w:rPr>
              <w:t xml:space="preserve"> </w:t>
            </w:r>
            <w:r w:rsidRPr="00440196">
              <w:rPr>
                <w:sz w:val="18"/>
                <w:szCs w:val="18"/>
              </w:rPr>
              <w:t>communicate</w:t>
            </w:r>
            <w:r w:rsidRPr="00440196">
              <w:rPr>
                <w:sz w:val="18"/>
              </w:rPr>
              <w:t xml:space="preserve"> and </w:t>
            </w:r>
            <w:r w:rsidRPr="00440196">
              <w:rPr>
                <w:sz w:val="18"/>
                <w:szCs w:val="18"/>
              </w:rPr>
              <w:t>evaluate</w:t>
            </w:r>
            <w:r w:rsidRPr="00440196">
              <w:rPr>
                <w:sz w:val="18"/>
              </w:rPr>
              <w:t xml:space="preserve"> Platform activities, deliverables and findings</w:t>
            </w:r>
          </w:p>
        </w:tc>
        <w:tc>
          <w:tcPr>
            <w:tcW w:w="707" w:type="pct"/>
            <w:tcBorders>
              <w:bottom w:val="single" w:sz="4" w:space="0" w:color="auto"/>
            </w:tcBorders>
            <w:shd w:val="clear" w:color="auto" w:fill="auto"/>
            <w:noWrap/>
            <w:vAlign w:val="center"/>
            <w:hideMark/>
          </w:tcPr>
          <w:p w14:paraId="4C6CE690"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275 000</w:t>
            </w:r>
          </w:p>
        </w:tc>
        <w:tc>
          <w:tcPr>
            <w:tcW w:w="691" w:type="pct"/>
            <w:tcBorders>
              <w:bottom w:val="single" w:sz="4" w:space="0" w:color="auto"/>
            </w:tcBorders>
            <w:shd w:val="clear" w:color="auto" w:fill="auto"/>
            <w:noWrap/>
            <w:vAlign w:val="center"/>
            <w:hideMark/>
          </w:tcPr>
          <w:p w14:paraId="08D6009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227 268</w:t>
            </w:r>
          </w:p>
        </w:tc>
        <w:tc>
          <w:tcPr>
            <w:tcW w:w="805" w:type="pct"/>
            <w:tcBorders>
              <w:bottom w:val="single" w:sz="4" w:space="0" w:color="auto"/>
            </w:tcBorders>
            <w:shd w:val="clear" w:color="auto" w:fill="auto"/>
            <w:noWrap/>
            <w:vAlign w:val="center"/>
            <w:hideMark/>
          </w:tcPr>
          <w:p w14:paraId="14E0CE36"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47 732</w:t>
            </w:r>
          </w:p>
        </w:tc>
      </w:tr>
      <w:tr w:rsidR="00E7045B" w:rsidRPr="00440196" w14:paraId="3B6AC012" w14:textId="77777777" w:rsidTr="00440196">
        <w:trPr>
          <w:trHeight w:val="174"/>
        </w:trPr>
        <w:tc>
          <w:tcPr>
            <w:tcW w:w="2797" w:type="pct"/>
            <w:tcBorders>
              <w:top w:val="single" w:sz="4" w:space="0" w:color="auto"/>
              <w:bottom w:val="single" w:sz="4" w:space="0" w:color="auto"/>
            </w:tcBorders>
            <w:shd w:val="clear" w:color="auto" w:fill="auto"/>
            <w:noWrap/>
            <w:vAlign w:val="bottom"/>
            <w:hideMark/>
          </w:tcPr>
          <w:p w14:paraId="1A151C54" w14:textId="77777777" w:rsidR="00E7045B" w:rsidRPr="007831BB" w:rsidRDefault="00E7045B" w:rsidP="00440196">
            <w:pPr>
              <w:keepNext/>
              <w:widowControl w:val="0"/>
              <w:tabs>
                <w:tab w:val="left" w:pos="6480"/>
                <w:tab w:val="left" w:pos="7200"/>
              </w:tabs>
              <w:spacing w:before="40" w:after="40"/>
              <w:rPr>
                <w:b/>
                <w:sz w:val="18"/>
              </w:rPr>
            </w:pPr>
            <w:r w:rsidRPr="00440196">
              <w:rPr>
                <w:b/>
                <w:sz w:val="18"/>
              </w:rPr>
              <w:t>Subtotal 2 Implementation of the work programme</w:t>
            </w:r>
          </w:p>
        </w:tc>
        <w:tc>
          <w:tcPr>
            <w:tcW w:w="707" w:type="pct"/>
            <w:tcBorders>
              <w:top w:val="single" w:sz="4" w:space="0" w:color="auto"/>
              <w:bottom w:val="single" w:sz="4" w:space="0" w:color="auto"/>
            </w:tcBorders>
            <w:shd w:val="clear" w:color="auto" w:fill="auto"/>
            <w:noWrap/>
            <w:vAlign w:val="bottom"/>
            <w:hideMark/>
          </w:tcPr>
          <w:p w14:paraId="36EC7E4F" w14:textId="77777777" w:rsidR="00E7045B" w:rsidRPr="007831BB" w:rsidRDefault="00E7045B" w:rsidP="00440196">
            <w:pPr>
              <w:keepNext/>
              <w:widowControl w:val="0"/>
              <w:tabs>
                <w:tab w:val="left" w:pos="6480"/>
                <w:tab w:val="left" w:pos="7200"/>
              </w:tabs>
              <w:spacing w:before="40" w:after="40"/>
              <w:jc w:val="right"/>
              <w:rPr>
                <w:b/>
                <w:sz w:val="18"/>
              </w:rPr>
            </w:pPr>
            <w:r w:rsidRPr="00440196">
              <w:rPr>
                <w:b/>
                <w:sz w:val="18"/>
              </w:rPr>
              <w:t xml:space="preserve">3 842 750 </w:t>
            </w:r>
          </w:p>
        </w:tc>
        <w:tc>
          <w:tcPr>
            <w:tcW w:w="691" w:type="pct"/>
            <w:tcBorders>
              <w:top w:val="single" w:sz="4" w:space="0" w:color="auto"/>
              <w:bottom w:val="single" w:sz="4" w:space="0" w:color="auto"/>
            </w:tcBorders>
            <w:shd w:val="clear" w:color="auto" w:fill="auto"/>
            <w:noWrap/>
            <w:vAlign w:val="bottom"/>
            <w:hideMark/>
          </w:tcPr>
          <w:p w14:paraId="29B67497" w14:textId="77777777" w:rsidR="00E7045B" w:rsidRPr="007831BB" w:rsidRDefault="00E7045B" w:rsidP="00440196">
            <w:pPr>
              <w:keepNext/>
              <w:widowControl w:val="0"/>
              <w:tabs>
                <w:tab w:val="left" w:pos="6480"/>
                <w:tab w:val="left" w:pos="7200"/>
              </w:tabs>
              <w:spacing w:before="40" w:after="40"/>
              <w:jc w:val="right"/>
              <w:rPr>
                <w:b/>
                <w:sz w:val="18"/>
              </w:rPr>
            </w:pPr>
            <w:r w:rsidRPr="00440196">
              <w:rPr>
                <w:b/>
                <w:sz w:val="18"/>
              </w:rPr>
              <w:t xml:space="preserve">3 071 578 </w:t>
            </w:r>
          </w:p>
        </w:tc>
        <w:tc>
          <w:tcPr>
            <w:tcW w:w="805" w:type="pct"/>
            <w:tcBorders>
              <w:top w:val="single" w:sz="4" w:space="0" w:color="auto"/>
              <w:bottom w:val="single" w:sz="4" w:space="0" w:color="auto"/>
            </w:tcBorders>
            <w:shd w:val="clear" w:color="auto" w:fill="auto"/>
            <w:noWrap/>
            <w:vAlign w:val="bottom"/>
            <w:hideMark/>
          </w:tcPr>
          <w:p w14:paraId="57A3A12A" w14:textId="77777777" w:rsidR="00E7045B" w:rsidRPr="007831BB" w:rsidRDefault="00E7045B" w:rsidP="00440196">
            <w:pPr>
              <w:keepNext/>
              <w:widowControl w:val="0"/>
              <w:tabs>
                <w:tab w:val="left" w:pos="6480"/>
                <w:tab w:val="left" w:pos="7200"/>
              </w:tabs>
              <w:spacing w:before="40" w:after="40"/>
              <w:jc w:val="right"/>
              <w:rPr>
                <w:b/>
                <w:sz w:val="18"/>
              </w:rPr>
            </w:pPr>
            <w:r w:rsidRPr="00440196">
              <w:rPr>
                <w:b/>
                <w:sz w:val="18"/>
              </w:rPr>
              <w:t xml:space="preserve">771 172 </w:t>
            </w:r>
          </w:p>
        </w:tc>
      </w:tr>
      <w:tr w:rsidR="00E7045B" w:rsidRPr="00440196" w14:paraId="53E4ECB9" w14:textId="77777777" w:rsidTr="00440196">
        <w:trPr>
          <w:trHeight w:val="140"/>
        </w:trPr>
        <w:tc>
          <w:tcPr>
            <w:tcW w:w="2797" w:type="pct"/>
            <w:tcBorders>
              <w:top w:val="single" w:sz="4" w:space="0" w:color="auto"/>
            </w:tcBorders>
            <w:shd w:val="clear" w:color="auto" w:fill="auto"/>
            <w:noWrap/>
            <w:vAlign w:val="bottom"/>
            <w:hideMark/>
          </w:tcPr>
          <w:p w14:paraId="09573707" w14:textId="77777777" w:rsidR="00E7045B" w:rsidRPr="007831BB" w:rsidRDefault="00E7045B" w:rsidP="00440196">
            <w:pPr>
              <w:keepNext/>
              <w:widowControl w:val="0"/>
              <w:tabs>
                <w:tab w:val="left" w:pos="6480"/>
                <w:tab w:val="left" w:pos="7200"/>
              </w:tabs>
              <w:spacing w:before="40" w:after="40"/>
              <w:rPr>
                <w:b/>
                <w:sz w:val="18"/>
              </w:rPr>
            </w:pPr>
            <w:r w:rsidRPr="00440196">
              <w:rPr>
                <w:b/>
                <w:sz w:val="18"/>
              </w:rPr>
              <w:t>3. Secretariat</w:t>
            </w:r>
          </w:p>
        </w:tc>
        <w:tc>
          <w:tcPr>
            <w:tcW w:w="707" w:type="pct"/>
            <w:tcBorders>
              <w:top w:val="single" w:sz="4" w:space="0" w:color="auto"/>
            </w:tcBorders>
            <w:shd w:val="clear" w:color="auto" w:fill="auto"/>
            <w:vAlign w:val="bottom"/>
            <w:hideMark/>
          </w:tcPr>
          <w:p w14:paraId="71E6BBC4" w14:textId="77777777" w:rsidR="00E7045B" w:rsidRPr="007831BB" w:rsidRDefault="00E7045B" w:rsidP="00440196">
            <w:pPr>
              <w:keepNext/>
              <w:widowControl w:val="0"/>
              <w:tabs>
                <w:tab w:val="left" w:pos="6480"/>
                <w:tab w:val="left" w:pos="7200"/>
              </w:tabs>
              <w:spacing w:before="40" w:after="40"/>
              <w:jc w:val="right"/>
              <w:rPr>
                <w:sz w:val="18"/>
              </w:rPr>
            </w:pPr>
            <w:r w:rsidRPr="00440196">
              <w:rPr>
                <w:sz w:val="18"/>
              </w:rPr>
              <w:t xml:space="preserve"> </w:t>
            </w:r>
          </w:p>
        </w:tc>
        <w:tc>
          <w:tcPr>
            <w:tcW w:w="691" w:type="pct"/>
            <w:tcBorders>
              <w:top w:val="single" w:sz="4" w:space="0" w:color="auto"/>
            </w:tcBorders>
            <w:shd w:val="clear" w:color="auto" w:fill="auto"/>
            <w:noWrap/>
            <w:vAlign w:val="bottom"/>
            <w:hideMark/>
          </w:tcPr>
          <w:p w14:paraId="3BBE3F32" w14:textId="77777777" w:rsidR="00E7045B" w:rsidRPr="007831BB" w:rsidRDefault="00E7045B" w:rsidP="00440196">
            <w:pPr>
              <w:keepNext/>
              <w:widowControl w:val="0"/>
              <w:tabs>
                <w:tab w:val="left" w:pos="6480"/>
                <w:tab w:val="left" w:pos="7200"/>
              </w:tabs>
              <w:spacing w:before="40" w:after="40"/>
              <w:jc w:val="right"/>
              <w:rPr>
                <w:sz w:val="18"/>
              </w:rPr>
            </w:pPr>
            <w:r w:rsidRPr="00440196">
              <w:rPr>
                <w:sz w:val="18"/>
              </w:rPr>
              <w:t xml:space="preserve"> </w:t>
            </w:r>
          </w:p>
        </w:tc>
        <w:tc>
          <w:tcPr>
            <w:tcW w:w="805" w:type="pct"/>
            <w:tcBorders>
              <w:top w:val="single" w:sz="4" w:space="0" w:color="auto"/>
            </w:tcBorders>
            <w:shd w:val="clear" w:color="auto" w:fill="auto"/>
            <w:noWrap/>
            <w:vAlign w:val="bottom"/>
            <w:hideMark/>
          </w:tcPr>
          <w:p w14:paraId="0C8B37B6" w14:textId="77777777" w:rsidR="00E7045B" w:rsidRPr="007831BB" w:rsidRDefault="00E7045B" w:rsidP="00440196">
            <w:pPr>
              <w:keepNext/>
              <w:widowControl w:val="0"/>
              <w:tabs>
                <w:tab w:val="left" w:pos="6480"/>
                <w:tab w:val="left" w:pos="7200"/>
              </w:tabs>
              <w:spacing w:before="40" w:after="40"/>
              <w:jc w:val="right"/>
              <w:rPr>
                <w:sz w:val="18"/>
              </w:rPr>
            </w:pPr>
            <w:r w:rsidRPr="00440196">
              <w:rPr>
                <w:sz w:val="18"/>
              </w:rPr>
              <w:t xml:space="preserve"> </w:t>
            </w:r>
          </w:p>
        </w:tc>
      </w:tr>
      <w:tr w:rsidR="00E7045B" w:rsidRPr="00440196" w14:paraId="5153746B" w14:textId="77777777" w:rsidTr="00440196">
        <w:trPr>
          <w:trHeight w:val="140"/>
        </w:trPr>
        <w:tc>
          <w:tcPr>
            <w:tcW w:w="2797" w:type="pct"/>
            <w:shd w:val="clear" w:color="auto" w:fill="auto"/>
            <w:noWrap/>
            <w:vAlign w:val="bottom"/>
            <w:hideMark/>
          </w:tcPr>
          <w:p w14:paraId="105A6A79" w14:textId="77777777" w:rsidR="00E7045B" w:rsidRPr="007831BB" w:rsidRDefault="00E7045B" w:rsidP="00440196">
            <w:pPr>
              <w:widowControl w:val="0"/>
              <w:tabs>
                <w:tab w:val="left" w:pos="6480"/>
                <w:tab w:val="left" w:pos="7200"/>
              </w:tabs>
              <w:spacing w:before="40" w:after="40"/>
              <w:rPr>
                <w:b/>
                <w:sz w:val="18"/>
              </w:rPr>
            </w:pPr>
            <w:r w:rsidRPr="00440196">
              <w:rPr>
                <w:b/>
                <w:sz w:val="18"/>
              </w:rPr>
              <w:t>3.1 Personnel</w:t>
            </w:r>
          </w:p>
        </w:tc>
        <w:tc>
          <w:tcPr>
            <w:tcW w:w="707" w:type="pct"/>
            <w:shd w:val="clear" w:color="auto" w:fill="auto"/>
            <w:vAlign w:val="bottom"/>
            <w:hideMark/>
          </w:tcPr>
          <w:p w14:paraId="77B361B2"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c>
          <w:tcPr>
            <w:tcW w:w="691" w:type="pct"/>
            <w:shd w:val="clear" w:color="auto" w:fill="auto"/>
            <w:noWrap/>
            <w:vAlign w:val="bottom"/>
            <w:hideMark/>
          </w:tcPr>
          <w:p w14:paraId="37B7DD4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c>
          <w:tcPr>
            <w:tcW w:w="805" w:type="pct"/>
            <w:shd w:val="clear" w:color="auto" w:fill="auto"/>
            <w:noWrap/>
            <w:vAlign w:val="bottom"/>
            <w:hideMark/>
          </w:tcPr>
          <w:p w14:paraId="23B0D120"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r>
      <w:tr w:rsidR="00E7045B" w:rsidRPr="00440196" w14:paraId="62FD23B0" w14:textId="77777777" w:rsidTr="00440196">
        <w:trPr>
          <w:trHeight w:val="140"/>
        </w:trPr>
        <w:tc>
          <w:tcPr>
            <w:tcW w:w="2797" w:type="pct"/>
            <w:shd w:val="clear" w:color="auto" w:fill="auto"/>
            <w:noWrap/>
            <w:vAlign w:val="bottom"/>
            <w:hideMark/>
          </w:tcPr>
          <w:p w14:paraId="09A604C4" w14:textId="77777777" w:rsidR="00E7045B" w:rsidRPr="007831BB" w:rsidRDefault="00E7045B" w:rsidP="00440196">
            <w:pPr>
              <w:widowControl w:val="0"/>
              <w:tabs>
                <w:tab w:val="left" w:pos="6480"/>
                <w:tab w:val="left" w:pos="7200"/>
              </w:tabs>
              <w:spacing w:before="40" w:after="40"/>
              <w:rPr>
                <w:b/>
                <w:sz w:val="18"/>
              </w:rPr>
            </w:pPr>
            <w:r w:rsidRPr="00440196">
              <w:rPr>
                <w:b/>
                <w:sz w:val="18"/>
              </w:rPr>
              <w:t>3.1.1 Professional and higher category</w:t>
            </w:r>
          </w:p>
        </w:tc>
        <w:tc>
          <w:tcPr>
            <w:tcW w:w="707" w:type="pct"/>
            <w:shd w:val="clear" w:color="auto" w:fill="auto"/>
            <w:noWrap/>
            <w:vAlign w:val="bottom"/>
            <w:hideMark/>
          </w:tcPr>
          <w:p w14:paraId="4111892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c>
          <w:tcPr>
            <w:tcW w:w="691" w:type="pct"/>
            <w:shd w:val="clear" w:color="auto" w:fill="auto"/>
            <w:noWrap/>
            <w:vAlign w:val="bottom"/>
            <w:hideMark/>
          </w:tcPr>
          <w:p w14:paraId="58C76E9D"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c>
          <w:tcPr>
            <w:tcW w:w="805" w:type="pct"/>
            <w:shd w:val="clear" w:color="auto" w:fill="auto"/>
            <w:noWrap/>
            <w:vAlign w:val="bottom"/>
            <w:hideMark/>
          </w:tcPr>
          <w:p w14:paraId="75EB67E1"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r>
      <w:tr w:rsidR="00E7045B" w:rsidRPr="00440196" w14:paraId="32CBBE8D" w14:textId="77777777" w:rsidTr="00440196">
        <w:trPr>
          <w:trHeight w:val="140"/>
        </w:trPr>
        <w:tc>
          <w:tcPr>
            <w:tcW w:w="2797" w:type="pct"/>
            <w:shd w:val="clear" w:color="auto" w:fill="auto"/>
            <w:noWrap/>
            <w:vAlign w:val="bottom"/>
            <w:hideMark/>
          </w:tcPr>
          <w:p w14:paraId="244F0802" w14:textId="77777777" w:rsidR="00E7045B" w:rsidRPr="007831BB" w:rsidRDefault="00E7045B" w:rsidP="00440196">
            <w:pPr>
              <w:widowControl w:val="0"/>
              <w:tabs>
                <w:tab w:val="left" w:pos="6480"/>
                <w:tab w:val="left" w:pos="7200"/>
              </w:tabs>
              <w:spacing w:before="40" w:after="40"/>
              <w:rPr>
                <w:sz w:val="18"/>
              </w:rPr>
            </w:pPr>
            <w:r w:rsidRPr="00440196">
              <w:rPr>
                <w:sz w:val="18"/>
              </w:rPr>
              <w:t>Head of Secretariat (D-1)</w:t>
            </w:r>
          </w:p>
        </w:tc>
        <w:tc>
          <w:tcPr>
            <w:tcW w:w="707" w:type="pct"/>
            <w:shd w:val="clear" w:color="auto" w:fill="auto"/>
            <w:noWrap/>
            <w:vAlign w:val="bottom"/>
            <w:hideMark/>
          </w:tcPr>
          <w:p w14:paraId="06F2EBE1"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290 700 </w:t>
            </w:r>
          </w:p>
        </w:tc>
        <w:tc>
          <w:tcPr>
            <w:tcW w:w="691" w:type="pct"/>
            <w:shd w:val="clear" w:color="auto" w:fill="auto"/>
            <w:noWrap/>
            <w:vAlign w:val="bottom"/>
            <w:hideMark/>
          </w:tcPr>
          <w:p w14:paraId="304FBE3A"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192 068 </w:t>
            </w:r>
          </w:p>
        </w:tc>
        <w:tc>
          <w:tcPr>
            <w:tcW w:w="805" w:type="pct"/>
            <w:shd w:val="clear" w:color="auto" w:fill="auto"/>
            <w:noWrap/>
            <w:vAlign w:val="bottom"/>
            <w:hideMark/>
          </w:tcPr>
          <w:p w14:paraId="7E41865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98 632 </w:t>
            </w:r>
          </w:p>
        </w:tc>
      </w:tr>
      <w:tr w:rsidR="00E7045B" w:rsidRPr="00440196" w14:paraId="77378096" w14:textId="77777777" w:rsidTr="00440196">
        <w:trPr>
          <w:trHeight w:val="140"/>
        </w:trPr>
        <w:tc>
          <w:tcPr>
            <w:tcW w:w="2797" w:type="pct"/>
            <w:shd w:val="clear" w:color="auto" w:fill="auto"/>
            <w:noWrap/>
            <w:vAlign w:val="bottom"/>
            <w:hideMark/>
          </w:tcPr>
          <w:p w14:paraId="4D5A064E" w14:textId="77777777" w:rsidR="00E7045B" w:rsidRPr="007831BB" w:rsidRDefault="00E7045B" w:rsidP="00440196">
            <w:pPr>
              <w:widowControl w:val="0"/>
              <w:tabs>
                <w:tab w:val="left" w:pos="6480"/>
                <w:tab w:val="left" w:pos="7200"/>
              </w:tabs>
              <w:spacing w:before="40" w:after="40"/>
              <w:rPr>
                <w:sz w:val="18"/>
              </w:rPr>
            </w:pPr>
            <w:r w:rsidRPr="00440196">
              <w:rPr>
                <w:sz w:val="18"/>
              </w:rPr>
              <w:t xml:space="preserve">Programme Officer (P-4) </w:t>
            </w:r>
          </w:p>
        </w:tc>
        <w:tc>
          <w:tcPr>
            <w:tcW w:w="707" w:type="pct"/>
            <w:shd w:val="clear" w:color="auto" w:fill="auto"/>
            <w:noWrap/>
            <w:vAlign w:val="bottom"/>
            <w:hideMark/>
          </w:tcPr>
          <w:p w14:paraId="11B0CB6F"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228 700 </w:t>
            </w:r>
          </w:p>
        </w:tc>
        <w:tc>
          <w:tcPr>
            <w:tcW w:w="691" w:type="pct"/>
            <w:shd w:val="clear" w:color="auto" w:fill="auto"/>
            <w:noWrap/>
            <w:vAlign w:val="bottom"/>
            <w:hideMark/>
          </w:tcPr>
          <w:p w14:paraId="467926C8"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132 454 </w:t>
            </w:r>
          </w:p>
        </w:tc>
        <w:tc>
          <w:tcPr>
            <w:tcW w:w="805" w:type="pct"/>
            <w:shd w:val="clear" w:color="auto" w:fill="auto"/>
            <w:noWrap/>
            <w:vAlign w:val="bottom"/>
            <w:hideMark/>
          </w:tcPr>
          <w:p w14:paraId="30D1AF1C"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96 246 </w:t>
            </w:r>
          </w:p>
        </w:tc>
      </w:tr>
      <w:tr w:rsidR="00E7045B" w:rsidRPr="00440196" w14:paraId="197C42C5" w14:textId="77777777" w:rsidTr="00440196">
        <w:trPr>
          <w:trHeight w:val="140"/>
        </w:trPr>
        <w:tc>
          <w:tcPr>
            <w:tcW w:w="2797" w:type="pct"/>
            <w:shd w:val="clear" w:color="auto" w:fill="auto"/>
            <w:noWrap/>
            <w:vAlign w:val="bottom"/>
            <w:hideMark/>
          </w:tcPr>
          <w:p w14:paraId="274CFC45" w14:textId="77777777" w:rsidR="00E7045B" w:rsidRPr="007831BB" w:rsidRDefault="00E7045B" w:rsidP="00440196">
            <w:pPr>
              <w:widowControl w:val="0"/>
              <w:tabs>
                <w:tab w:val="left" w:pos="6480"/>
                <w:tab w:val="left" w:pos="7200"/>
              </w:tabs>
              <w:spacing w:before="40" w:after="40"/>
              <w:rPr>
                <w:sz w:val="18"/>
                <w:szCs w:val="18"/>
              </w:rPr>
            </w:pPr>
            <w:r w:rsidRPr="00440196">
              <w:rPr>
                <w:sz w:val="18"/>
              </w:rPr>
              <w:t>Programme Officer (P-4)</w:t>
            </w:r>
            <w:r w:rsidRPr="00440196">
              <w:rPr>
                <w:sz w:val="18"/>
                <w:vertAlign w:val="superscript"/>
              </w:rPr>
              <w:t>b</w:t>
            </w:r>
          </w:p>
        </w:tc>
        <w:tc>
          <w:tcPr>
            <w:tcW w:w="707" w:type="pct"/>
            <w:shd w:val="clear" w:color="auto" w:fill="auto"/>
            <w:noWrap/>
            <w:vAlign w:val="bottom"/>
            <w:hideMark/>
          </w:tcPr>
          <w:p w14:paraId="4F76AD9F" w14:textId="77777777" w:rsidR="00E7045B" w:rsidRPr="007831BB" w:rsidRDefault="00E7045B" w:rsidP="00440196">
            <w:pPr>
              <w:widowControl w:val="0"/>
              <w:tabs>
                <w:tab w:val="left" w:pos="6480"/>
                <w:tab w:val="left" w:pos="7200"/>
              </w:tabs>
              <w:spacing w:before="40" w:after="40"/>
              <w:jc w:val="right"/>
              <w:rPr>
                <w:sz w:val="18"/>
                <w:szCs w:val="18"/>
              </w:rPr>
            </w:pPr>
            <w:r w:rsidRPr="00440196">
              <w:rPr>
                <w:color w:val="000000"/>
                <w:sz w:val="17"/>
                <w:szCs w:val="17"/>
              </w:rPr>
              <w:t>−</w:t>
            </w:r>
          </w:p>
        </w:tc>
        <w:tc>
          <w:tcPr>
            <w:tcW w:w="691" w:type="pct"/>
            <w:shd w:val="clear" w:color="auto" w:fill="auto"/>
            <w:noWrap/>
            <w:vAlign w:val="bottom"/>
            <w:hideMark/>
          </w:tcPr>
          <w:p w14:paraId="16EF7C57" w14:textId="77777777" w:rsidR="00E7045B" w:rsidRPr="007831BB" w:rsidRDefault="00E7045B" w:rsidP="00440196">
            <w:pPr>
              <w:widowControl w:val="0"/>
              <w:tabs>
                <w:tab w:val="left" w:pos="6480"/>
                <w:tab w:val="left" w:pos="7200"/>
              </w:tabs>
              <w:spacing w:before="40" w:after="40"/>
              <w:jc w:val="right"/>
              <w:rPr>
                <w:sz w:val="18"/>
                <w:szCs w:val="18"/>
              </w:rPr>
            </w:pPr>
            <w:r w:rsidRPr="00440196">
              <w:rPr>
                <w:color w:val="000000"/>
                <w:sz w:val="17"/>
                <w:szCs w:val="17"/>
              </w:rPr>
              <w:t>−</w:t>
            </w:r>
          </w:p>
        </w:tc>
        <w:tc>
          <w:tcPr>
            <w:tcW w:w="805" w:type="pct"/>
            <w:shd w:val="clear" w:color="auto" w:fill="auto"/>
            <w:noWrap/>
            <w:vAlign w:val="bottom"/>
            <w:hideMark/>
          </w:tcPr>
          <w:p w14:paraId="7C81C555" w14:textId="77777777" w:rsidR="00E7045B" w:rsidRPr="007831BB" w:rsidRDefault="00E7045B" w:rsidP="00440196">
            <w:pPr>
              <w:widowControl w:val="0"/>
              <w:tabs>
                <w:tab w:val="left" w:pos="6480"/>
                <w:tab w:val="left" w:pos="7200"/>
              </w:tabs>
              <w:spacing w:before="40" w:after="40"/>
              <w:jc w:val="right"/>
              <w:rPr>
                <w:sz w:val="18"/>
                <w:szCs w:val="18"/>
              </w:rPr>
            </w:pPr>
            <w:r w:rsidRPr="00440196">
              <w:rPr>
                <w:color w:val="000000"/>
                <w:sz w:val="17"/>
                <w:szCs w:val="17"/>
              </w:rPr>
              <w:t>−</w:t>
            </w:r>
          </w:p>
        </w:tc>
      </w:tr>
      <w:tr w:rsidR="00E7045B" w:rsidRPr="00440196" w14:paraId="71BC3392" w14:textId="77777777" w:rsidTr="00440196">
        <w:trPr>
          <w:trHeight w:val="140"/>
        </w:trPr>
        <w:tc>
          <w:tcPr>
            <w:tcW w:w="2797" w:type="pct"/>
            <w:shd w:val="clear" w:color="auto" w:fill="auto"/>
            <w:noWrap/>
            <w:vAlign w:val="bottom"/>
            <w:hideMark/>
          </w:tcPr>
          <w:p w14:paraId="4F1A40D4" w14:textId="77777777" w:rsidR="00E7045B" w:rsidRPr="007831BB" w:rsidRDefault="00E7045B" w:rsidP="00440196">
            <w:pPr>
              <w:widowControl w:val="0"/>
              <w:tabs>
                <w:tab w:val="left" w:pos="6480"/>
                <w:tab w:val="left" w:pos="7200"/>
              </w:tabs>
              <w:spacing w:before="40" w:after="40"/>
              <w:rPr>
                <w:sz w:val="18"/>
              </w:rPr>
            </w:pPr>
            <w:r w:rsidRPr="00440196">
              <w:rPr>
                <w:sz w:val="18"/>
              </w:rPr>
              <w:t>Programme Officer (P-3)</w:t>
            </w:r>
          </w:p>
        </w:tc>
        <w:tc>
          <w:tcPr>
            <w:tcW w:w="707" w:type="pct"/>
            <w:shd w:val="clear" w:color="auto" w:fill="auto"/>
            <w:noWrap/>
            <w:vAlign w:val="bottom"/>
            <w:hideMark/>
          </w:tcPr>
          <w:p w14:paraId="3D35E6DF"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190 800 </w:t>
            </w:r>
          </w:p>
        </w:tc>
        <w:tc>
          <w:tcPr>
            <w:tcW w:w="691" w:type="pct"/>
            <w:shd w:val="clear" w:color="auto" w:fill="auto"/>
            <w:noWrap/>
            <w:vAlign w:val="bottom"/>
            <w:hideMark/>
          </w:tcPr>
          <w:p w14:paraId="57E6DB64"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97 885 </w:t>
            </w:r>
          </w:p>
        </w:tc>
        <w:tc>
          <w:tcPr>
            <w:tcW w:w="805" w:type="pct"/>
            <w:shd w:val="clear" w:color="auto" w:fill="auto"/>
            <w:noWrap/>
            <w:vAlign w:val="bottom"/>
            <w:hideMark/>
          </w:tcPr>
          <w:p w14:paraId="4E7B7820"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92 915 </w:t>
            </w:r>
          </w:p>
        </w:tc>
      </w:tr>
      <w:tr w:rsidR="00E7045B" w:rsidRPr="00440196" w14:paraId="0EEBC087" w14:textId="77777777" w:rsidTr="00440196">
        <w:trPr>
          <w:trHeight w:val="140"/>
        </w:trPr>
        <w:tc>
          <w:tcPr>
            <w:tcW w:w="2797" w:type="pct"/>
            <w:shd w:val="clear" w:color="auto" w:fill="auto"/>
            <w:noWrap/>
            <w:vAlign w:val="bottom"/>
            <w:hideMark/>
          </w:tcPr>
          <w:p w14:paraId="5C1360F9" w14:textId="77777777" w:rsidR="00E7045B" w:rsidRPr="007831BB" w:rsidRDefault="00E7045B" w:rsidP="00440196">
            <w:pPr>
              <w:widowControl w:val="0"/>
              <w:tabs>
                <w:tab w:val="left" w:pos="6480"/>
                <w:tab w:val="left" w:pos="7200"/>
              </w:tabs>
              <w:spacing w:before="40" w:after="40"/>
              <w:rPr>
                <w:sz w:val="18"/>
              </w:rPr>
            </w:pPr>
            <w:r w:rsidRPr="00440196">
              <w:rPr>
                <w:sz w:val="18"/>
              </w:rPr>
              <w:t>Programme Officer (P-3)</w:t>
            </w:r>
          </w:p>
        </w:tc>
        <w:tc>
          <w:tcPr>
            <w:tcW w:w="707" w:type="pct"/>
            <w:shd w:val="clear" w:color="auto" w:fill="auto"/>
            <w:noWrap/>
            <w:vAlign w:val="bottom"/>
            <w:hideMark/>
          </w:tcPr>
          <w:p w14:paraId="6E7C10BD"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190 800 </w:t>
            </w:r>
          </w:p>
        </w:tc>
        <w:tc>
          <w:tcPr>
            <w:tcW w:w="691" w:type="pct"/>
            <w:shd w:val="clear" w:color="auto" w:fill="auto"/>
            <w:noWrap/>
            <w:vAlign w:val="bottom"/>
            <w:hideMark/>
          </w:tcPr>
          <w:p w14:paraId="289B0C29"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148 138 </w:t>
            </w:r>
          </w:p>
        </w:tc>
        <w:tc>
          <w:tcPr>
            <w:tcW w:w="805" w:type="pct"/>
            <w:shd w:val="clear" w:color="auto" w:fill="auto"/>
            <w:noWrap/>
            <w:vAlign w:val="bottom"/>
            <w:hideMark/>
          </w:tcPr>
          <w:p w14:paraId="5F2E5124"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42 662 </w:t>
            </w:r>
          </w:p>
        </w:tc>
      </w:tr>
      <w:tr w:rsidR="00E7045B" w:rsidRPr="00440196" w14:paraId="0A5E90D7" w14:textId="77777777" w:rsidTr="00440196">
        <w:trPr>
          <w:trHeight w:val="140"/>
        </w:trPr>
        <w:tc>
          <w:tcPr>
            <w:tcW w:w="2797" w:type="pct"/>
            <w:shd w:val="clear" w:color="auto" w:fill="auto"/>
            <w:noWrap/>
            <w:vAlign w:val="bottom"/>
            <w:hideMark/>
          </w:tcPr>
          <w:p w14:paraId="0545A47B" w14:textId="77777777" w:rsidR="00E7045B" w:rsidRPr="007831BB" w:rsidRDefault="00E7045B" w:rsidP="00440196">
            <w:pPr>
              <w:widowControl w:val="0"/>
              <w:tabs>
                <w:tab w:val="left" w:pos="6480"/>
                <w:tab w:val="left" w:pos="7200"/>
              </w:tabs>
              <w:spacing w:before="40" w:after="40"/>
              <w:rPr>
                <w:sz w:val="18"/>
              </w:rPr>
            </w:pPr>
            <w:r w:rsidRPr="00440196">
              <w:rPr>
                <w:sz w:val="18"/>
              </w:rPr>
              <w:t>Associate Programme Officer (P-2)</w:t>
            </w:r>
          </w:p>
        </w:tc>
        <w:tc>
          <w:tcPr>
            <w:tcW w:w="707" w:type="pct"/>
            <w:shd w:val="clear" w:color="auto" w:fill="auto"/>
            <w:noWrap/>
            <w:vAlign w:val="bottom"/>
            <w:hideMark/>
          </w:tcPr>
          <w:p w14:paraId="5BC3C751"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165 900 </w:t>
            </w:r>
          </w:p>
        </w:tc>
        <w:tc>
          <w:tcPr>
            <w:tcW w:w="691" w:type="pct"/>
            <w:shd w:val="clear" w:color="auto" w:fill="auto"/>
            <w:noWrap/>
            <w:vAlign w:val="bottom"/>
            <w:hideMark/>
          </w:tcPr>
          <w:p w14:paraId="00C256F4"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90 747 </w:t>
            </w:r>
          </w:p>
        </w:tc>
        <w:tc>
          <w:tcPr>
            <w:tcW w:w="805" w:type="pct"/>
            <w:shd w:val="clear" w:color="auto" w:fill="auto"/>
            <w:noWrap/>
            <w:vAlign w:val="bottom"/>
            <w:hideMark/>
          </w:tcPr>
          <w:p w14:paraId="3A8E910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75 153 </w:t>
            </w:r>
          </w:p>
        </w:tc>
      </w:tr>
      <w:tr w:rsidR="00E7045B" w:rsidRPr="00440196" w14:paraId="524E335E" w14:textId="77777777" w:rsidTr="00440196">
        <w:trPr>
          <w:trHeight w:val="140"/>
        </w:trPr>
        <w:tc>
          <w:tcPr>
            <w:tcW w:w="2797" w:type="pct"/>
            <w:tcBorders>
              <w:bottom w:val="single" w:sz="4" w:space="0" w:color="auto"/>
            </w:tcBorders>
            <w:shd w:val="clear" w:color="auto" w:fill="auto"/>
            <w:noWrap/>
            <w:vAlign w:val="bottom"/>
            <w:hideMark/>
          </w:tcPr>
          <w:p w14:paraId="68E73822" w14:textId="77777777" w:rsidR="00E7045B" w:rsidRPr="007831BB" w:rsidRDefault="00E7045B" w:rsidP="00440196">
            <w:pPr>
              <w:widowControl w:val="0"/>
              <w:tabs>
                <w:tab w:val="left" w:pos="6480"/>
                <w:tab w:val="left" w:pos="7200"/>
              </w:tabs>
              <w:spacing w:before="40" w:after="40"/>
              <w:rPr>
                <w:sz w:val="18"/>
              </w:rPr>
            </w:pPr>
            <w:r w:rsidRPr="00440196">
              <w:rPr>
                <w:sz w:val="18"/>
              </w:rPr>
              <w:t xml:space="preserve">Associate Programme Officer (P-2) </w:t>
            </w:r>
          </w:p>
        </w:tc>
        <w:tc>
          <w:tcPr>
            <w:tcW w:w="707" w:type="pct"/>
            <w:tcBorders>
              <w:bottom w:val="single" w:sz="4" w:space="0" w:color="auto"/>
            </w:tcBorders>
            <w:shd w:val="clear" w:color="auto" w:fill="auto"/>
            <w:noWrap/>
            <w:vAlign w:val="bottom"/>
            <w:hideMark/>
          </w:tcPr>
          <w:p w14:paraId="09615AC1"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165 900</w:t>
            </w:r>
          </w:p>
        </w:tc>
        <w:tc>
          <w:tcPr>
            <w:tcW w:w="691" w:type="pct"/>
            <w:tcBorders>
              <w:bottom w:val="single" w:sz="4" w:space="0" w:color="auto"/>
            </w:tcBorders>
            <w:shd w:val="clear" w:color="auto" w:fill="auto"/>
            <w:noWrap/>
            <w:vAlign w:val="bottom"/>
            <w:hideMark/>
          </w:tcPr>
          <w:p w14:paraId="76E34EE3"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73 321</w:t>
            </w:r>
          </w:p>
        </w:tc>
        <w:tc>
          <w:tcPr>
            <w:tcW w:w="805" w:type="pct"/>
            <w:tcBorders>
              <w:bottom w:val="single" w:sz="4" w:space="0" w:color="auto"/>
            </w:tcBorders>
            <w:shd w:val="clear" w:color="auto" w:fill="auto"/>
            <w:noWrap/>
            <w:vAlign w:val="bottom"/>
            <w:hideMark/>
          </w:tcPr>
          <w:p w14:paraId="09566430"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92 579</w:t>
            </w:r>
          </w:p>
        </w:tc>
      </w:tr>
      <w:tr w:rsidR="00E7045B" w:rsidRPr="00440196" w14:paraId="2D0F26A3" w14:textId="77777777" w:rsidTr="00440196">
        <w:trPr>
          <w:trHeight w:val="165"/>
        </w:trPr>
        <w:tc>
          <w:tcPr>
            <w:tcW w:w="2797" w:type="pct"/>
            <w:tcBorders>
              <w:top w:val="single" w:sz="4" w:space="0" w:color="auto"/>
              <w:bottom w:val="single" w:sz="4" w:space="0" w:color="auto"/>
            </w:tcBorders>
            <w:shd w:val="clear" w:color="auto" w:fill="auto"/>
            <w:noWrap/>
            <w:vAlign w:val="bottom"/>
            <w:hideMark/>
          </w:tcPr>
          <w:p w14:paraId="1D158441"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3.1.1 Professional and higher category</w:t>
            </w:r>
          </w:p>
        </w:tc>
        <w:tc>
          <w:tcPr>
            <w:tcW w:w="707" w:type="pct"/>
            <w:tcBorders>
              <w:top w:val="single" w:sz="4" w:space="0" w:color="auto"/>
              <w:bottom w:val="single" w:sz="4" w:space="0" w:color="auto"/>
            </w:tcBorders>
            <w:shd w:val="clear" w:color="auto" w:fill="auto"/>
            <w:noWrap/>
            <w:vAlign w:val="bottom"/>
            <w:hideMark/>
          </w:tcPr>
          <w:p w14:paraId="5D7F62B1"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1 232 800</w:t>
            </w:r>
          </w:p>
        </w:tc>
        <w:tc>
          <w:tcPr>
            <w:tcW w:w="691" w:type="pct"/>
            <w:tcBorders>
              <w:top w:val="single" w:sz="4" w:space="0" w:color="auto"/>
              <w:bottom w:val="single" w:sz="4" w:space="0" w:color="auto"/>
            </w:tcBorders>
            <w:shd w:val="clear" w:color="auto" w:fill="auto"/>
            <w:noWrap/>
            <w:vAlign w:val="bottom"/>
            <w:hideMark/>
          </w:tcPr>
          <w:p w14:paraId="7AF9F92A"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734 613</w:t>
            </w:r>
          </w:p>
        </w:tc>
        <w:tc>
          <w:tcPr>
            <w:tcW w:w="805" w:type="pct"/>
            <w:tcBorders>
              <w:top w:val="single" w:sz="4" w:space="0" w:color="auto"/>
              <w:bottom w:val="single" w:sz="4" w:space="0" w:color="auto"/>
            </w:tcBorders>
            <w:shd w:val="clear" w:color="auto" w:fill="auto"/>
            <w:noWrap/>
            <w:vAlign w:val="bottom"/>
            <w:hideMark/>
          </w:tcPr>
          <w:p w14:paraId="62D8AA6E"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498 187</w:t>
            </w:r>
          </w:p>
        </w:tc>
      </w:tr>
      <w:tr w:rsidR="00E7045B" w:rsidRPr="00440196" w14:paraId="633D4943" w14:textId="77777777" w:rsidTr="00440196">
        <w:trPr>
          <w:trHeight w:val="140"/>
        </w:trPr>
        <w:tc>
          <w:tcPr>
            <w:tcW w:w="2797" w:type="pct"/>
            <w:tcBorders>
              <w:top w:val="single" w:sz="4" w:space="0" w:color="auto"/>
            </w:tcBorders>
            <w:shd w:val="clear" w:color="auto" w:fill="auto"/>
            <w:noWrap/>
            <w:vAlign w:val="bottom"/>
            <w:hideMark/>
          </w:tcPr>
          <w:p w14:paraId="394A0B8A" w14:textId="77777777" w:rsidR="00E7045B" w:rsidRPr="007831BB" w:rsidRDefault="00E7045B" w:rsidP="00440196">
            <w:pPr>
              <w:widowControl w:val="0"/>
              <w:tabs>
                <w:tab w:val="left" w:pos="6480"/>
                <w:tab w:val="left" w:pos="7200"/>
              </w:tabs>
              <w:spacing w:before="40" w:after="40"/>
              <w:rPr>
                <w:b/>
                <w:sz w:val="18"/>
              </w:rPr>
            </w:pPr>
            <w:r w:rsidRPr="00440196">
              <w:rPr>
                <w:b/>
                <w:sz w:val="18"/>
              </w:rPr>
              <w:t>3.1.2 Administrative personnel</w:t>
            </w:r>
          </w:p>
        </w:tc>
        <w:tc>
          <w:tcPr>
            <w:tcW w:w="707" w:type="pct"/>
            <w:tcBorders>
              <w:top w:val="single" w:sz="4" w:space="0" w:color="auto"/>
            </w:tcBorders>
            <w:shd w:val="clear" w:color="auto" w:fill="auto"/>
            <w:noWrap/>
            <w:vAlign w:val="bottom"/>
            <w:hideMark/>
          </w:tcPr>
          <w:p w14:paraId="68A97C2E" w14:textId="77777777" w:rsidR="00E7045B" w:rsidRPr="00440196" w:rsidRDefault="00E7045B" w:rsidP="00440196">
            <w:pPr>
              <w:spacing w:before="40" w:after="40"/>
              <w:jc w:val="right"/>
              <w:rPr>
                <w:b/>
                <w:sz w:val="18"/>
              </w:rPr>
            </w:pPr>
          </w:p>
        </w:tc>
        <w:tc>
          <w:tcPr>
            <w:tcW w:w="691" w:type="pct"/>
            <w:tcBorders>
              <w:top w:val="single" w:sz="4" w:space="0" w:color="auto"/>
            </w:tcBorders>
            <w:shd w:val="clear" w:color="auto" w:fill="auto"/>
            <w:noWrap/>
            <w:vAlign w:val="bottom"/>
            <w:hideMark/>
          </w:tcPr>
          <w:p w14:paraId="490DE2C0" w14:textId="77777777" w:rsidR="00E7045B" w:rsidRPr="00440196" w:rsidRDefault="00E7045B" w:rsidP="00440196">
            <w:pPr>
              <w:spacing w:before="40" w:after="40"/>
              <w:jc w:val="right"/>
              <w:rPr>
                <w:b/>
                <w:sz w:val="18"/>
              </w:rPr>
            </w:pPr>
          </w:p>
        </w:tc>
        <w:tc>
          <w:tcPr>
            <w:tcW w:w="805" w:type="pct"/>
            <w:tcBorders>
              <w:top w:val="single" w:sz="4" w:space="0" w:color="auto"/>
            </w:tcBorders>
            <w:shd w:val="clear" w:color="auto" w:fill="auto"/>
            <w:noWrap/>
            <w:vAlign w:val="bottom"/>
            <w:hideMark/>
          </w:tcPr>
          <w:p w14:paraId="34C0CB20" w14:textId="77777777" w:rsidR="00E7045B" w:rsidRPr="00440196" w:rsidRDefault="00E7045B" w:rsidP="00440196">
            <w:pPr>
              <w:spacing w:before="40" w:after="40"/>
              <w:jc w:val="right"/>
              <w:rPr>
                <w:b/>
                <w:sz w:val="18"/>
              </w:rPr>
            </w:pPr>
          </w:p>
        </w:tc>
      </w:tr>
      <w:tr w:rsidR="00E7045B" w:rsidRPr="00440196" w14:paraId="29DD5C15" w14:textId="77777777" w:rsidTr="00440196">
        <w:trPr>
          <w:trHeight w:val="140"/>
        </w:trPr>
        <w:tc>
          <w:tcPr>
            <w:tcW w:w="2797" w:type="pct"/>
            <w:shd w:val="clear" w:color="auto" w:fill="auto"/>
            <w:noWrap/>
            <w:vAlign w:val="bottom"/>
            <w:hideMark/>
          </w:tcPr>
          <w:p w14:paraId="413089D9" w14:textId="77777777" w:rsidR="00E7045B" w:rsidRPr="007831BB" w:rsidRDefault="00E7045B" w:rsidP="00440196">
            <w:pPr>
              <w:widowControl w:val="0"/>
              <w:tabs>
                <w:tab w:val="left" w:pos="6480"/>
                <w:tab w:val="left" w:pos="7200"/>
              </w:tabs>
              <w:spacing w:before="40" w:after="40"/>
              <w:rPr>
                <w:sz w:val="18"/>
              </w:rPr>
            </w:pPr>
            <w:r w:rsidRPr="00440196">
              <w:rPr>
                <w:sz w:val="18"/>
              </w:rPr>
              <w:t>Administrative support staff member (G-6)</w:t>
            </w:r>
          </w:p>
        </w:tc>
        <w:tc>
          <w:tcPr>
            <w:tcW w:w="707" w:type="pct"/>
            <w:shd w:val="clear" w:color="auto" w:fill="auto"/>
            <w:noWrap/>
            <w:vAlign w:val="bottom"/>
            <w:hideMark/>
          </w:tcPr>
          <w:p w14:paraId="7E2522FE"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115 900</w:t>
            </w:r>
          </w:p>
        </w:tc>
        <w:tc>
          <w:tcPr>
            <w:tcW w:w="691" w:type="pct"/>
            <w:shd w:val="clear" w:color="auto" w:fill="auto"/>
            <w:noWrap/>
            <w:vAlign w:val="bottom"/>
            <w:hideMark/>
          </w:tcPr>
          <w:p w14:paraId="71BC7051"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41 280</w:t>
            </w:r>
          </w:p>
        </w:tc>
        <w:tc>
          <w:tcPr>
            <w:tcW w:w="805" w:type="pct"/>
            <w:shd w:val="clear" w:color="auto" w:fill="auto"/>
            <w:noWrap/>
            <w:vAlign w:val="bottom"/>
            <w:hideMark/>
          </w:tcPr>
          <w:p w14:paraId="652DD1FA"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74 620</w:t>
            </w:r>
          </w:p>
        </w:tc>
      </w:tr>
      <w:tr w:rsidR="00E7045B" w:rsidRPr="00440196" w14:paraId="3C82428D" w14:textId="77777777" w:rsidTr="00440196">
        <w:trPr>
          <w:trHeight w:val="140"/>
        </w:trPr>
        <w:tc>
          <w:tcPr>
            <w:tcW w:w="2797" w:type="pct"/>
            <w:shd w:val="clear" w:color="auto" w:fill="auto"/>
            <w:noWrap/>
            <w:vAlign w:val="bottom"/>
            <w:hideMark/>
          </w:tcPr>
          <w:p w14:paraId="2C225990" w14:textId="77777777" w:rsidR="00E7045B" w:rsidRPr="007831BB" w:rsidRDefault="00E7045B" w:rsidP="00440196">
            <w:pPr>
              <w:widowControl w:val="0"/>
              <w:tabs>
                <w:tab w:val="left" w:pos="6480"/>
                <w:tab w:val="left" w:pos="7200"/>
              </w:tabs>
              <w:spacing w:before="40" w:after="40"/>
              <w:rPr>
                <w:sz w:val="18"/>
              </w:rPr>
            </w:pPr>
            <w:r w:rsidRPr="00440196">
              <w:rPr>
                <w:sz w:val="18"/>
              </w:rPr>
              <w:t>Administrative support staff member (G-6)</w:t>
            </w:r>
          </w:p>
        </w:tc>
        <w:tc>
          <w:tcPr>
            <w:tcW w:w="707" w:type="pct"/>
            <w:shd w:val="clear" w:color="auto" w:fill="auto"/>
            <w:noWrap/>
            <w:vAlign w:val="bottom"/>
            <w:hideMark/>
          </w:tcPr>
          <w:p w14:paraId="3CD2AB2D"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115 900</w:t>
            </w:r>
          </w:p>
        </w:tc>
        <w:tc>
          <w:tcPr>
            <w:tcW w:w="691" w:type="pct"/>
            <w:shd w:val="clear" w:color="auto" w:fill="auto"/>
            <w:noWrap/>
            <w:vAlign w:val="bottom"/>
            <w:hideMark/>
          </w:tcPr>
          <w:p w14:paraId="78FDAA39"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24 937</w:t>
            </w:r>
          </w:p>
        </w:tc>
        <w:tc>
          <w:tcPr>
            <w:tcW w:w="805" w:type="pct"/>
            <w:shd w:val="clear" w:color="auto" w:fill="auto"/>
            <w:noWrap/>
            <w:vAlign w:val="bottom"/>
            <w:hideMark/>
          </w:tcPr>
          <w:p w14:paraId="3678347C"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90 963</w:t>
            </w:r>
          </w:p>
        </w:tc>
      </w:tr>
      <w:tr w:rsidR="00E7045B" w:rsidRPr="00440196" w14:paraId="575FB563" w14:textId="77777777" w:rsidTr="00440196">
        <w:trPr>
          <w:trHeight w:val="140"/>
        </w:trPr>
        <w:tc>
          <w:tcPr>
            <w:tcW w:w="2797" w:type="pct"/>
            <w:shd w:val="clear" w:color="auto" w:fill="auto"/>
            <w:noWrap/>
            <w:vAlign w:val="bottom"/>
            <w:hideMark/>
          </w:tcPr>
          <w:p w14:paraId="6C3FFC54" w14:textId="77777777" w:rsidR="00E7045B" w:rsidRPr="007831BB" w:rsidRDefault="00E7045B" w:rsidP="00440196">
            <w:pPr>
              <w:widowControl w:val="0"/>
              <w:tabs>
                <w:tab w:val="left" w:pos="6480"/>
                <w:tab w:val="left" w:pos="7200"/>
              </w:tabs>
              <w:spacing w:before="40" w:after="40"/>
              <w:rPr>
                <w:sz w:val="18"/>
              </w:rPr>
            </w:pPr>
            <w:r w:rsidRPr="00440196">
              <w:rPr>
                <w:sz w:val="18"/>
              </w:rPr>
              <w:t xml:space="preserve">Administrative support staff member (G-5) </w:t>
            </w:r>
          </w:p>
        </w:tc>
        <w:tc>
          <w:tcPr>
            <w:tcW w:w="707" w:type="pct"/>
            <w:shd w:val="clear" w:color="auto" w:fill="auto"/>
            <w:noWrap/>
            <w:vAlign w:val="bottom"/>
            <w:hideMark/>
          </w:tcPr>
          <w:p w14:paraId="6DC00BF0"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115 900</w:t>
            </w:r>
          </w:p>
        </w:tc>
        <w:tc>
          <w:tcPr>
            <w:tcW w:w="691" w:type="pct"/>
            <w:shd w:val="clear" w:color="auto" w:fill="auto"/>
            <w:noWrap/>
            <w:vAlign w:val="bottom"/>
            <w:hideMark/>
          </w:tcPr>
          <w:p w14:paraId="7B96E5E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59 485</w:t>
            </w:r>
          </w:p>
        </w:tc>
        <w:tc>
          <w:tcPr>
            <w:tcW w:w="805" w:type="pct"/>
            <w:shd w:val="clear" w:color="auto" w:fill="auto"/>
            <w:noWrap/>
            <w:vAlign w:val="bottom"/>
            <w:hideMark/>
          </w:tcPr>
          <w:p w14:paraId="66FEC886"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56 415</w:t>
            </w:r>
          </w:p>
        </w:tc>
      </w:tr>
      <w:tr w:rsidR="00E7045B" w:rsidRPr="00440196" w14:paraId="0B5DA797" w14:textId="77777777" w:rsidTr="00440196">
        <w:trPr>
          <w:trHeight w:val="140"/>
        </w:trPr>
        <w:tc>
          <w:tcPr>
            <w:tcW w:w="2797" w:type="pct"/>
            <w:shd w:val="clear" w:color="auto" w:fill="auto"/>
            <w:noWrap/>
            <w:vAlign w:val="bottom"/>
            <w:hideMark/>
          </w:tcPr>
          <w:p w14:paraId="0DBE88B6" w14:textId="77777777" w:rsidR="00E7045B" w:rsidRPr="007831BB" w:rsidRDefault="00E7045B" w:rsidP="00440196">
            <w:pPr>
              <w:widowControl w:val="0"/>
              <w:tabs>
                <w:tab w:val="left" w:pos="6480"/>
                <w:tab w:val="left" w:pos="7200"/>
              </w:tabs>
              <w:spacing w:before="40" w:after="40"/>
              <w:rPr>
                <w:sz w:val="18"/>
              </w:rPr>
            </w:pPr>
            <w:r w:rsidRPr="00440196">
              <w:rPr>
                <w:sz w:val="18"/>
              </w:rPr>
              <w:t xml:space="preserve">Administrative support staff member (G-5) </w:t>
            </w:r>
          </w:p>
        </w:tc>
        <w:tc>
          <w:tcPr>
            <w:tcW w:w="707" w:type="pct"/>
            <w:shd w:val="clear" w:color="auto" w:fill="auto"/>
            <w:noWrap/>
            <w:vAlign w:val="bottom"/>
            <w:hideMark/>
          </w:tcPr>
          <w:p w14:paraId="618F5740"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115 900</w:t>
            </w:r>
          </w:p>
        </w:tc>
        <w:tc>
          <w:tcPr>
            <w:tcW w:w="691" w:type="pct"/>
            <w:shd w:val="clear" w:color="auto" w:fill="auto"/>
            <w:noWrap/>
            <w:vAlign w:val="bottom"/>
            <w:hideMark/>
          </w:tcPr>
          <w:p w14:paraId="531327BD"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58 432</w:t>
            </w:r>
          </w:p>
        </w:tc>
        <w:tc>
          <w:tcPr>
            <w:tcW w:w="805" w:type="pct"/>
            <w:shd w:val="clear" w:color="auto" w:fill="auto"/>
            <w:noWrap/>
            <w:vAlign w:val="bottom"/>
            <w:hideMark/>
          </w:tcPr>
          <w:p w14:paraId="20E8504F"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57 468</w:t>
            </w:r>
          </w:p>
        </w:tc>
      </w:tr>
      <w:tr w:rsidR="00E7045B" w:rsidRPr="00440196" w14:paraId="775384EA" w14:textId="77777777" w:rsidTr="00440196">
        <w:trPr>
          <w:trHeight w:val="140"/>
        </w:trPr>
        <w:tc>
          <w:tcPr>
            <w:tcW w:w="2797" w:type="pct"/>
            <w:tcBorders>
              <w:bottom w:val="single" w:sz="4" w:space="0" w:color="auto"/>
            </w:tcBorders>
            <w:shd w:val="clear" w:color="auto" w:fill="auto"/>
            <w:noWrap/>
            <w:vAlign w:val="bottom"/>
            <w:hideMark/>
          </w:tcPr>
          <w:p w14:paraId="22F30ADF" w14:textId="77777777" w:rsidR="00E7045B" w:rsidRPr="007831BB" w:rsidRDefault="00E7045B" w:rsidP="00440196">
            <w:pPr>
              <w:widowControl w:val="0"/>
              <w:tabs>
                <w:tab w:val="left" w:pos="6480"/>
                <w:tab w:val="left" w:pos="7200"/>
              </w:tabs>
              <w:spacing w:before="40" w:after="40"/>
              <w:rPr>
                <w:sz w:val="18"/>
              </w:rPr>
            </w:pPr>
            <w:r w:rsidRPr="00440196">
              <w:rPr>
                <w:sz w:val="18"/>
              </w:rPr>
              <w:t>Administrative support staff member (G-5)</w:t>
            </w:r>
          </w:p>
        </w:tc>
        <w:tc>
          <w:tcPr>
            <w:tcW w:w="707" w:type="pct"/>
            <w:tcBorders>
              <w:bottom w:val="single" w:sz="4" w:space="0" w:color="auto"/>
            </w:tcBorders>
            <w:shd w:val="clear" w:color="auto" w:fill="auto"/>
            <w:noWrap/>
            <w:vAlign w:val="bottom"/>
            <w:hideMark/>
          </w:tcPr>
          <w:p w14:paraId="60F4DDA2"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115 900</w:t>
            </w:r>
          </w:p>
        </w:tc>
        <w:tc>
          <w:tcPr>
            <w:tcW w:w="691" w:type="pct"/>
            <w:tcBorders>
              <w:bottom w:val="single" w:sz="4" w:space="0" w:color="auto"/>
            </w:tcBorders>
            <w:shd w:val="clear" w:color="auto" w:fill="auto"/>
            <w:noWrap/>
            <w:vAlign w:val="bottom"/>
            <w:hideMark/>
          </w:tcPr>
          <w:p w14:paraId="2CE77AC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41 494</w:t>
            </w:r>
          </w:p>
        </w:tc>
        <w:tc>
          <w:tcPr>
            <w:tcW w:w="805" w:type="pct"/>
            <w:tcBorders>
              <w:bottom w:val="single" w:sz="4" w:space="0" w:color="auto"/>
            </w:tcBorders>
            <w:shd w:val="clear" w:color="auto" w:fill="auto"/>
            <w:noWrap/>
            <w:vAlign w:val="bottom"/>
            <w:hideMark/>
          </w:tcPr>
          <w:p w14:paraId="475DDF7C"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74 406</w:t>
            </w:r>
          </w:p>
        </w:tc>
      </w:tr>
      <w:tr w:rsidR="00E7045B" w:rsidRPr="00440196" w14:paraId="7DFF7A64" w14:textId="77777777" w:rsidTr="00440196">
        <w:trPr>
          <w:trHeight w:val="165"/>
        </w:trPr>
        <w:tc>
          <w:tcPr>
            <w:tcW w:w="2797" w:type="pct"/>
            <w:tcBorders>
              <w:top w:val="single" w:sz="4" w:space="0" w:color="auto"/>
              <w:bottom w:val="single" w:sz="4" w:space="0" w:color="auto"/>
            </w:tcBorders>
            <w:shd w:val="clear" w:color="auto" w:fill="auto"/>
            <w:noWrap/>
            <w:vAlign w:val="bottom"/>
            <w:hideMark/>
          </w:tcPr>
          <w:p w14:paraId="5A1F0249"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3.1.2 Administrative personnel</w:t>
            </w:r>
          </w:p>
        </w:tc>
        <w:tc>
          <w:tcPr>
            <w:tcW w:w="707" w:type="pct"/>
            <w:tcBorders>
              <w:top w:val="single" w:sz="4" w:space="0" w:color="auto"/>
              <w:bottom w:val="single" w:sz="4" w:space="0" w:color="auto"/>
            </w:tcBorders>
            <w:shd w:val="clear" w:color="auto" w:fill="auto"/>
            <w:noWrap/>
            <w:vAlign w:val="bottom"/>
            <w:hideMark/>
          </w:tcPr>
          <w:p w14:paraId="72A79F54"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579 500</w:t>
            </w:r>
          </w:p>
        </w:tc>
        <w:tc>
          <w:tcPr>
            <w:tcW w:w="691" w:type="pct"/>
            <w:tcBorders>
              <w:top w:val="single" w:sz="4" w:space="0" w:color="auto"/>
              <w:bottom w:val="single" w:sz="4" w:space="0" w:color="auto"/>
            </w:tcBorders>
            <w:shd w:val="clear" w:color="auto" w:fill="auto"/>
            <w:noWrap/>
            <w:vAlign w:val="bottom"/>
            <w:hideMark/>
          </w:tcPr>
          <w:p w14:paraId="2398608A"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225 628 </w:t>
            </w:r>
          </w:p>
        </w:tc>
        <w:tc>
          <w:tcPr>
            <w:tcW w:w="805" w:type="pct"/>
            <w:tcBorders>
              <w:top w:val="single" w:sz="4" w:space="0" w:color="auto"/>
              <w:bottom w:val="single" w:sz="4" w:space="0" w:color="auto"/>
            </w:tcBorders>
            <w:shd w:val="clear" w:color="auto" w:fill="auto"/>
            <w:noWrap/>
            <w:vAlign w:val="bottom"/>
            <w:hideMark/>
          </w:tcPr>
          <w:p w14:paraId="27BC4DC0"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353 872 </w:t>
            </w:r>
          </w:p>
        </w:tc>
      </w:tr>
      <w:tr w:rsidR="00E7045B" w:rsidRPr="00440196" w14:paraId="4EFE19B4" w14:textId="77777777" w:rsidTr="00440196">
        <w:trPr>
          <w:trHeight w:val="165"/>
        </w:trPr>
        <w:tc>
          <w:tcPr>
            <w:tcW w:w="2797" w:type="pct"/>
            <w:tcBorders>
              <w:top w:val="single" w:sz="4" w:space="0" w:color="auto"/>
              <w:bottom w:val="single" w:sz="4" w:space="0" w:color="auto"/>
            </w:tcBorders>
            <w:shd w:val="clear" w:color="auto" w:fill="auto"/>
            <w:noWrap/>
            <w:vAlign w:val="bottom"/>
            <w:hideMark/>
          </w:tcPr>
          <w:p w14:paraId="4D073EA5" w14:textId="77777777" w:rsidR="00E7045B" w:rsidRPr="007831BB" w:rsidRDefault="00E7045B" w:rsidP="00440196">
            <w:pPr>
              <w:widowControl w:val="0"/>
              <w:tabs>
                <w:tab w:val="left" w:pos="6480"/>
                <w:tab w:val="left" w:pos="7200"/>
              </w:tabs>
              <w:spacing w:before="40" w:after="40"/>
              <w:rPr>
                <w:b/>
                <w:bCs/>
                <w:sz w:val="18"/>
                <w:szCs w:val="18"/>
              </w:rPr>
            </w:pPr>
            <w:r w:rsidRPr="00440196">
              <w:rPr>
                <w:b/>
                <w:sz w:val="18"/>
              </w:rPr>
              <w:t>Subtotal 3.1 Personnel</w:t>
            </w:r>
          </w:p>
        </w:tc>
        <w:tc>
          <w:tcPr>
            <w:tcW w:w="707" w:type="pct"/>
            <w:tcBorders>
              <w:top w:val="single" w:sz="4" w:space="0" w:color="auto"/>
              <w:bottom w:val="single" w:sz="4" w:space="0" w:color="auto"/>
            </w:tcBorders>
            <w:shd w:val="clear" w:color="auto" w:fill="auto"/>
            <w:noWrap/>
            <w:vAlign w:val="bottom"/>
            <w:hideMark/>
          </w:tcPr>
          <w:p w14:paraId="29FB2492"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1 812 300</w:t>
            </w:r>
          </w:p>
        </w:tc>
        <w:tc>
          <w:tcPr>
            <w:tcW w:w="691" w:type="pct"/>
            <w:tcBorders>
              <w:top w:val="single" w:sz="4" w:space="0" w:color="auto"/>
              <w:bottom w:val="single" w:sz="4" w:space="0" w:color="auto"/>
            </w:tcBorders>
            <w:shd w:val="clear" w:color="auto" w:fill="auto"/>
            <w:noWrap/>
            <w:vAlign w:val="bottom"/>
            <w:hideMark/>
          </w:tcPr>
          <w:p w14:paraId="22B6CCB5"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 xml:space="preserve">960 240 </w:t>
            </w:r>
          </w:p>
        </w:tc>
        <w:tc>
          <w:tcPr>
            <w:tcW w:w="805" w:type="pct"/>
            <w:tcBorders>
              <w:top w:val="single" w:sz="4" w:space="0" w:color="auto"/>
              <w:bottom w:val="single" w:sz="4" w:space="0" w:color="auto"/>
            </w:tcBorders>
            <w:shd w:val="clear" w:color="auto" w:fill="auto"/>
            <w:noWrap/>
            <w:vAlign w:val="bottom"/>
            <w:hideMark/>
          </w:tcPr>
          <w:p w14:paraId="59D80329"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 xml:space="preserve">852 060 </w:t>
            </w:r>
          </w:p>
        </w:tc>
      </w:tr>
      <w:tr w:rsidR="00E7045B" w:rsidRPr="00440196" w14:paraId="157FFE19" w14:textId="77777777" w:rsidTr="00440196">
        <w:trPr>
          <w:trHeight w:val="140"/>
        </w:trPr>
        <w:tc>
          <w:tcPr>
            <w:tcW w:w="2797" w:type="pct"/>
            <w:tcBorders>
              <w:top w:val="single" w:sz="4" w:space="0" w:color="auto"/>
            </w:tcBorders>
            <w:shd w:val="clear" w:color="auto" w:fill="auto"/>
            <w:noWrap/>
            <w:vAlign w:val="bottom"/>
            <w:hideMark/>
          </w:tcPr>
          <w:p w14:paraId="052CF81E" w14:textId="77777777" w:rsidR="00E7045B" w:rsidRPr="007831BB" w:rsidRDefault="00E7045B" w:rsidP="00440196">
            <w:pPr>
              <w:widowControl w:val="0"/>
              <w:tabs>
                <w:tab w:val="left" w:pos="6480"/>
                <w:tab w:val="left" w:pos="7200"/>
              </w:tabs>
              <w:spacing w:before="40" w:after="40"/>
              <w:rPr>
                <w:b/>
                <w:sz w:val="18"/>
              </w:rPr>
            </w:pPr>
            <w:r w:rsidRPr="00440196">
              <w:rPr>
                <w:b/>
                <w:sz w:val="18"/>
              </w:rPr>
              <w:t>3.2 Secretariat: operating costs (non-personnel)</w:t>
            </w:r>
          </w:p>
        </w:tc>
        <w:tc>
          <w:tcPr>
            <w:tcW w:w="707" w:type="pct"/>
            <w:tcBorders>
              <w:top w:val="single" w:sz="4" w:space="0" w:color="auto"/>
            </w:tcBorders>
            <w:shd w:val="clear" w:color="auto" w:fill="auto"/>
            <w:noWrap/>
            <w:vAlign w:val="bottom"/>
            <w:hideMark/>
          </w:tcPr>
          <w:p w14:paraId="293755B1" w14:textId="77777777" w:rsidR="00E7045B" w:rsidRPr="00440196" w:rsidRDefault="00E7045B" w:rsidP="00440196">
            <w:pPr>
              <w:spacing w:before="40" w:after="40"/>
              <w:jc w:val="right"/>
              <w:rPr>
                <w:b/>
                <w:sz w:val="18"/>
              </w:rPr>
            </w:pPr>
          </w:p>
        </w:tc>
        <w:tc>
          <w:tcPr>
            <w:tcW w:w="691" w:type="pct"/>
            <w:tcBorders>
              <w:top w:val="single" w:sz="4" w:space="0" w:color="auto"/>
            </w:tcBorders>
            <w:shd w:val="clear" w:color="auto" w:fill="auto"/>
            <w:noWrap/>
            <w:vAlign w:val="bottom"/>
            <w:hideMark/>
          </w:tcPr>
          <w:p w14:paraId="4ADF2305" w14:textId="77777777" w:rsidR="00E7045B" w:rsidRPr="00440196" w:rsidRDefault="00E7045B" w:rsidP="00440196">
            <w:pPr>
              <w:spacing w:before="40" w:after="40"/>
              <w:jc w:val="right"/>
              <w:rPr>
                <w:b/>
                <w:sz w:val="18"/>
              </w:rPr>
            </w:pPr>
          </w:p>
        </w:tc>
        <w:tc>
          <w:tcPr>
            <w:tcW w:w="805" w:type="pct"/>
            <w:tcBorders>
              <w:top w:val="single" w:sz="4" w:space="0" w:color="auto"/>
            </w:tcBorders>
            <w:shd w:val="clear" w:color="auto" w:fill="auto"/>
            <w:noWrap/>
            <w:vAlign w:val="bottom"/>
            <w:hideMark/>
          </w:tcPr>
          <w:p w14:paraId="6D4F47BD" w14:textId="77777777" w:rsidR="00E7045B" w:rsidRPr="00440196" w:rsidRDefault="00E7045B" w:rsidP="00440196">
            <w:pPr>
              <w:spacing w:before="40" w:after="40"/>
              <w:jc w:val="right"/>
              <w:rPr>
                <w:b/>
                <w:sz w:val="18"/>
              </w:rPr>
            </w:pPr>
          </w:p>
        </w:tc>
      </w:tr>
      <w:tr w:rsidR="00E7045B" w:rsidRPr="00440196" w14:paraId="615DEDA4" w14:textId="77777777" w:rsidTr="00440196">
        <w:trPr>
          <w:trHeight w:val="140"/>
        </w:trPr>
        <w:tc>
          <w:tcPr>
            <w:tcW w:w="2797" w:type="pct"/>
            <w:shd w:val="clear" w:color="auto" w:fill="auto"/>
            <w:noWrap/>
            <w:vAlign w:val="bottom"/>
            <w:hideMark/>
          </w:tcPr>
          <w:p w14:paraId="6A43AFDD" w14:textId="77777777" w:rsidR="00E7045B" w:rsidRPr="007831BB" w:rsidRDefault="00E7045B" w:rsidP="00440196">
            <w:pPr>
              <w:widowControl w:val="0"/>
              <w:tabs>
                <w:tab w:val="left" w:pos="6480"/>
                <w:tab w:val="left" w:pos="7200"/>
              </w:tabs>
              <w:spacing w:before="40" w:after="40"/>
              <w:rPr>
                <w:b/>
                <w:sz w:val="18"/>
              </w:rPr>
            </w:pPr>
            <w:r w:rsidRPr="00440196">
              <w:rPr>
                <w:b/>
                <w:sz w:val="18"/>
              </w:rPr>
              <w:t>3.2.1 Travel on official business</w:t>
            </w:r>
          </w:p>
        </w:tc>
        <w:tc>
          <w:tcPr>
            <w:tcW w:w="707" w:type="pct"/>
            <w:shd w:val="clear" w:color="auto" w:fill="auto"/>
            <w:noWrap/>
            <w:vAlign w:val="bottom"/>
            <w:hideMark/>
          </w:tcPr>
          <w:p w14:paraId="41BEA6A0" w14:textId="77777777" w:rsidR="00E7045B" w:rsidRPr="00440196" w:rsidRDefault="00E7045B" w:rsidP="00440196">
            <w:pPr>
              <w:spacing w:before="40" w:after="40"/>
              <w:jc w:val="right"/>
              <w:rPr>
                <w:b/>
                <w:sz w:val="18"/>
              </w:rPr>
            </w:pPr>
          </w:p>
        </w:tc>
        <w:tc>
          <w:tcPr>
            <w:tcW w:w="691" w:type="pct"/>
            <w:shd w:val="clear" w:color="auto" w:fill="auto"/>
            <w:noWrap/>
            <w:vAlign w:val="bottom"/>
            <w:hideMark/>
          </w:tcPr>
          <w:p w14:paraId="4A0B0CD5" w14:textId="77777777" w:rsidR="00E7045B" w:rsidRPr="00440196" w:rsidRDefault="00E7045B" w:rsidP="00440196">
            <w:pPr>
              <w:spacing w:before="40" w:after="40"/>
              <w:jc w:val="right"/>
              <w:rPr>
                <w:b/>
                <w:sz w:val="18"/>
              </w:rPr>
            </w:pPr>
          </w:p>
        </w:tc>
        <w:tc>
          <w:tcPr>
            <w:tcW w:w="805" w:type="pct"/>
            <w:shd w:val="clear" w:color="auto" w:fill="auto"/>
            <w:noWrap/>
            <w:vAlign w:val="bottom"/>
            <w:hideMark/>
          </w:tcPr>
          <w:p w14:paraId="24F836E0" w14:textId="77777777" w:rsidR="00E7045B" w:rsidRPr="00440196" w:rsidRDefault="00E7045B" w:rsidP="00440196">
            <w:pPr>
              <w:spacing w:before="40" w:after="40"/>
              <w:jc w:val="right"/>
              <w:rPr>
                <w:b/>
                <w:sz w:val="18"/>
              </w:rPr>
            </w:pPr>
          </w:p>
        </w:tc>
      </w:tr>
      <w:tr w:rsidR="00E7045B" w:rsidRPr="00440196" w14:paraId="25D71D3F" w14:textId="77777777" w:rsidTr="00440196">
        <w:trPr>
          <w:trHeight w:val="140"/>
        </w:trPr>
        <w:tc>
          <w:tcPr>
            <w:tcW w:w="2797" w:type="pct"/>
            <w:tcBorders>
              <w:bottom w:val="single" w:sz="4" w:space="0" w:color="auto"/>
            </w:tcBorders>
            <w:shd w:val="clear" w:color="auto" w:fill="auto"/>
            <w:noWrap/>
            <w:vAlign w:val="bottom"/>
            <w:hideMark/>
          </w:tcPr>
          <w:p w14:paraId="6B72843E" w14:textId="77777777" w:rsidR="00E7045B" w:rsidRPr="007831BB" w:rsidRDefault="00E7045B" w:rsidP="00440196">
            <w:pPr>
              <w:widowControl w:val="0"/>
              <w:tabs>
                <w:tab w:val="left" w:pos="6480"/>
                <w:tab w:val="left" w:pos="7200"/>
              </w:tabs>
              <w:spacing w:before="40" w:after="40"/>
              <w:rPr>
                <w:sz w:val="18"/>
              </w:rPr>
            </w:pPr>
            <w:r w:rsidRPr="00440196">
              <w:rPr>
                <w:sz w:val="18"/>
              </w:rPr>
              <w:t>Official travel</w:t>
            </w:r>
          </w:p>
        </w:tc>
        <w:tc>
          <w:tcPr>
            <w:tcW w:w="707" w:type="pct"/>
            <w:tcBorders>
              <w:bottom w:val="single" w:sz="4" w:space="0" w:color="auto"/>
            </w:tcBorders>
            <w:shd w:val="clear" w:color="auto" w:fill="auto"/>
            <w:noWrap/>
            <w:vAlign w:val="bottom"/>
            <w:hideMark/>
          </w:tcPr>
          <w:p w14:paraId="23482C4C"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120 000</w:t>
            </w:r>
          </w:p>
        </w:tc>
        <w:tc>
          <w:tcPr>
            <w:tcW w:w="691" w:type="pct"/>
            <w:tcBorders>
              <w:bottom w:val="single" w:sz="4" w:space="0" w:color="auto"/>
            </w:tcBorders>
            <w:shd w:val="clear" w:color="auto" w:fill="auto"/>
            <w:noWrap/>
            <w:vAlign w:val="bottom"/>
            <w:hideMark/>
          </w:tcPr>
          <w:p w14:paraId="22D81722"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66 898</w:t>
            </w:r>
          </w:p>
        </w:tc>
        <w:tc>
          <w:tcPr>
            <w:tcW w:w="805" w:type="pct"/>
            <w:tcBorders>
              <w:bottom w:val="single" w:sz="4" w:space="0" w:color="auto"/>
            </w:tcBorders>
            <w:shd w:val="clear" w:color="auto" w:fill="auto"/>
            <w:noWrap/>
            <w:vAlign w:val="bottom"/>
            <w:hideMark/>
          </w:tcPr>
          <w:p w14:paraId="56FC3DAE"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53 102</w:t>
            </w:r>
          </w:p>
        </w:tc>
      </w:tr>
      <w:tr w:rsidR="00E7045B" w:rsidRPr="00440196" w14:paraId="49DC020F" w14:textId="77777777" w:rsidTr="00440196">
        <w:trPr>
          <w:trHeight w:val="165"/>
        </w:trPr>
        <w:tc>
          <w:tcPr>
            <w:tcW w:w="2797" w:type="pct"/>
            <w:tcBorders>
              <w:top w:val="single" w:sz="4" w:space="0" w:color="auto"/>
              <w:bottom w:val="single" w:sz="4" w:space="0" w:color="auto"/>
            </w:tcBorders>
            <w:shd w:val="clear" w:color="auto" w:fill="auto"/>
            <w:noWrap/>
            <w:vAlign w:val="bottom"/>
            <w:hideMark/>
          </w:tcPr>
          <w:p w14:paraId="4889B5FB" w14:textId="77777777" w:rsidR="00E7045B" w:rsidRPr="007831BB" w:rsidRDefault="00E7045B" w:rsidP="00440196">
            <w:pPr>
              <w:widowControl w:val="0"/>
              <w:tabs>
                <w:tab w:val="left" w:pos="6480"/>
                <w:tab w:val="left" w:pos="7200"/>
              </w:tabs>
              <w:spacing w:before="40" w:after="40"/>
              <w:rPr>
                <w:b/>
                <w:sz w:val="18"/>
                <w:szCs w:val="18"/>
              </w:rPr>
            </w:pPr>
            <w:r w:rsidRPr="00440196">
              <w:rPr>
                <w:b/>
                <w:sz w:val="18"/>
              </w:rPr>
              <w:t>Subtotal 3.2.1</w:t>
            </w:r>
            <w:r w:rsidRPr="00440196">
              <w:rPr>
                <w:b/>
                <w:sz w:val="18"/>
                <w:szCs w:val="18"/>
              </w:rPr>
              <w:t xml:space="preserve"> Travel</w:t>
            </w:r>
            <w:r w:rsidRPr="00440196">
              <w:rPr>
                <w:b/>
                <w:sz w:val="18"/>
              </w:rPr>
              <w:t xml:space="preserve"> on official business</w:t>
            </w:r>
          </w:p>
        </w:tc>
        <w:tc>
          <w:tcPr>
            <w:tcW w:w="707" w:type="pct"/>
            <w:tcBorders>
              <w:top w:val="single" w:sz="4" w:space="0" w:color="auto"/>
              <w:bottom w:val="single" w:sz="4" w:space="0" w:color="auto"/>
            </w:tcBorders>
            <w:shd w:val="clear" w:color="auto" w:fill="auto"/>
            <w:noWrap/>
            <w:vAlign w:val="bottom"/>
            <w:hideMark/>
          </w:tcPr>
          <w:p w14:paraId="66172B95"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rPr>
              <w:t>120 000</w:t>
            </w:r>
          </w:p>
        </w:tc>
        <w:tc>
          <w:tcPr>
            <w:tcW w:w="691" w:type="pct"/>
            <w:tcBorders>
              <w:top w:val="single" w:sz="4" w:space="0" w:color="auto"/>
              <w:bottom w:val="single" w:sz="4" w:space="0" w:color="auto"/>
            </w:tcBorders>
            <w:shd w:val="clear" w:color="auto" w:fill="auto"/>
            <w:noWrap/>
            <w:vAlign w:val="bottom"/>
            <w:hideMark/>
          </w:tcPr>
          <w:p w14:paraId="21EFE552"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rPr>
              <w:t>66 898</w:t>
            </w:r>
          </w:p>
        </w:tc>
        <w:tc>
          <w:tcPr>
            <w:tcW w:w="805" w:type="pct"/>
            <w:tcBorders>
              <w:top w:val="single" w:sz="4" w:space="0" w:color="auto"/>
              <w:bottom w:val="single" w:sz="4" w:space="0" w:color="auto"/>
            </w:tcBorders>
            <w:shd w:val="clear" w:color="auto" w:fill="auto"/>
            <w:noWrap/>
            <w:vAlign w:val="bottom"/>
            <w:hideMark/>
          </w:tcPr>
          <w:p w14:paraId="0B3D4DBD" w14:textId="77777777" w:rsidR="00E7045B" w:rsidRPr="007831BB" w:rsidRDefault="00E7045B" w:rsidP="00440196">
            <w:pPr>
              <w:widowControl w:val="0"/>
              <w:tabs>
                <w:tab w:val="left" w:pos="6480"/>
                <w:tab w:val="left" w:pos="7200"/>
              </w:tabs>
              <w:spacing w:before="40" w:after="40"/>
              <w:jc w:val="right"/>
              <w:rPr>
                <w:b/>
                <w:sz w:val="18"/>
                <w:szCs w:val="18"/>
              </w:rPr>
            </w:pPr>
            <w:r w:rsidRPr="00440196">
              <w:rPr>
                <w:b/>
                <w:sz w:val="18"/>
              </w:rPr>
              <w:t>53 102</w:t>
            </w:r>
          </w:p>
        </w:tc>
      </w:tr>
      <w:tr w:rsidR="00E7045B" w:rsidRPr="00440196" w14:paraId="21C30DC3" w14:textId="77777777" w:rsidTr="00440196">
        <w:trPr>
          <w:trHeight w:val="140"/>
        </w:trPr>
        <w:tc>
          <w:tcPr>
            <w:tcW w:w="2797" w:type="pct"/>
            <w:tcBorders>
              <w:top w:val="single" w:sz="4" w:space="0" w:color="auto"/>
            </w:tcBorders>
            <w:shd w:val="clear" w:color="auto" w:fill="auto"/>
            <w:noWrap/>
            <w:vAlign w:val="bottom"/>
            <w:hideMark/>
          </w:tcPr>
          <w:p w14:paraId="1847CE59" w14:textId="77777777" w:rsidR="00E7045B" w:rsidRPr="007831BB" w:rsidRDefault="00E7045B" w:rsidP="00440196">
            <w:pPr>
              <w:widowControl w:val="0"/>
              <w:tabs>
                <w:tab w:val="left" w:pos="6480"/>
                <w:tab w:val="left" w:pos="7200"/>
              </w:tabs>
              <w:spacing w:before="40" w:after="40"/>
              <w:rPr>
                <w:b/>
                <w:sz w:val="18"/>
              </w:rPr>
            </w:pPr>
            <w:r w:rsidRPr="00440196">
              <w:rPr>
                <w:b/>
                <w:sz w:val="18"/>
              </w:rPr>
              <w:t xml:space="preserve">3.2.2 Staff training </w:t>
            </w:r>
          </w:p>
        </w:tc>
        <w:tc>
          <w:tcPr>
            <w:tcW w:w="707" w:type="pct"/>
            <w:tcBorders>
              <w:top w:val="single" w:sz="4" w:space="0" w:color="auto"/>
            </w:tcBorders>
            <w:shd w:val="clear" w:color="auto" w:fill="auto"/>
            <w:noWrap/>
            <w:vAlign w:val="bottom"/>
            <w:hideMark/>
          </w:tcPr>
          <w:p w14:paraId="15C3D818" w14:textId="77777777" w:rsidR="00E7045B" w:rsidRPr="00440196" w:rsidRDefault="00E7045B" w:rsidP="00440196">
            <w:pPr>
              <w:spacing w:before="40" w:after="40"/>
              <w:jc w:val="right"/>
              <w:rPr>
                <w:b/>
                <w:sz w:val="18"/>
              </w:rPr>
            </w:pPr>
          </w:p>
        </w:tc>
        <w:tc>
          <w:tcPr>
            <w:tcW w:w="691" w:type="pct"/>
            <w:tcBorders>
              <w:top w:val="single" w:sz="4" w:space="0" w:color="auto"/>
            </w:tcBorders>
            <w:shd w:val="clear" w:color="auto" w:fill="auto"/>
            <w:noWrap/>
            <w:vAlign w:val="bottom"/>
            <w:hideMark/>
          </w:tcPr>
          <w:p w14:paraId="1545C732" w14:textId="77777777" w:rsidR="00E7045B" w:rsidRPr="00440196" w:rsidRDefault="00E7045B" w:rsidP="00440196">
            <w:pPr>
              <w:spacing w:before="40" w:after="40"/>
              <w:jc w:val="right"/>
              <w:rPr>
                <w:b/>
                <w:sz w:val="18"/>
              </w:rPr>
            </w:pPr>
          </w:p>
        </w:tc>
        <w:tc>
          <w:tcPr>
            <w:tcW w:w="805" w:type="pct"/>
            <w:tcBorders>
              <w:top w:val="single" w:sz="4" w:space="0" w:color="auto"/>
            </w:tcBorders>
            <w:shd w:val="clear" w:color="auto" w:fill="auto"/>
            <w:noWrap/>
            <w:vAlign w:val="bottom"/>
            <w:hideMark/>
          </w:tcPr>
          <w:p w14:paraId="30F77EAA" w14:textId="77777777" w:rsidR="00E7045B" w:rsidRPr="00440196" w:rsidRDefault="00E7045B" w:rsidP="00440196">
            <w:pPr>
              <w:spacing w:before="40" w:after="40"/>
              <w:jc w:val="right"/>
              <w:rPr>
                <w:b/>
                <w:sz w:val="18"/>
              </w:rPr>
            </w:pPr>
          </w:p>
        </w:tc>
      </w:tr>
      <w:tr w:rsidR="00E7045B" w:rsidRPr="00440196" w14:paraId="75A7B86E" w14:textId="77777777" w:rsidTr="00440196">
        <w:trPr>
          <w:trHeight w:val="140"/>
        </w:trPr>
        <w:tc>
          <w:tcPr>
            <w:tcW w:w="2797" w:type="pct"/>
            <w:tcBorders>
              <w:bottom w:val="single" w:sz="4" w:space="0" w:color="auto"/>
            </w:tcBorders>
            <w:shd w:val="clear" w:color="auto" w:fill="auto"/>
            <w:noWrap/>
            <w:vAlign w:val="bottom"/>
            <w:hideMark/>
          </w:tcPr>
          <w:p w14:paraId="52F3A8B0" w14:textId="77777777" w:rsidR="00E7045B" w:rsidRPr="007831BB" w:rsidRDefault="00E7045B" w:rsidP="00440196">
            <w:pPr>
              <w:widowControl w:val="0"/>
              <w:tabs>
                <w:tab w:val="left" w:pos="6480"/>
                <w:tab w:val="left" w:pos="7200"/>
              </w:tabs>
              <w:spacing w:before="40" w:after="40"/>
              <w:rPr>
                <w:sz w:val="18"/>
              </w:rPr>
            </w:pPr>
            <w:r w:rsidRPr="00440196">
              <w:rPr>
                <w:sz w:val="18"/>
              </w:rPr>
              <w:t>Staff training</w:t>
            </w:r>
          </w:p>
        </w:tc>
        <w:tc>
          <w:tcPr>
            <w:tcW w:w="707" w:type="pct"/>
            <w:tcBorders>
              <w:bottom w:val="single" w:sz="4" w:space="0" w:color="auto"/>
            </w:tcBorders>
            <w:shd w:val="clear" w:color="auto" w:fill="auto"/>
            <w:noWrap/>
            <w:vAlign w:val="bottom"/>
            <w:hideMark/>
          </w:tcPr>
          <w:p w14:paraId="689B4047"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25 000</w:t>
            </w:r>
          </w:p>
        </w:tc>
        <w:tc>
          <w:tcPr>
            <w:tcW w:w="691" w:type="pct"/>
            <w:tcBorders>
              <w:bottom w:val="single" w:sz="4" w:space="0" w:color="auto"/>
            </w:tcBorders>
            <w:shd w:val="clear" w:color="auto" w:fill="auto"/>
            <w:noWrap/>
            <w:vAlign w:val="bottom"/>
            <w:hideMark/>
          </w:tcPr>
          <w:p w14:paraId="26FDC38E"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14 499</w:t>
            </w:r>
          </w:p>
        </w:tc>
        <w:tc>
          <w:tcPr>
            <w:tcW w:w="805" w:type="pct"/>
            <w:tcBorders>
              <w:bottom w:val="single" w:sz="4" w:space="0" w:color="auto"/>
            </w:tcBorders>
            <w:shd w:val="clear" w:color="auto" w:fill="auto"/>
            <w:noWrap/>
            <w:vAlign w:val="bottom"/>
            <w:hideMark/>
          </w:tcPr>
          <w:p w14:paraId="7043D74E"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10 501</w:t>
            </w:r>
          </w:p>
        </w:tc>
      </w:tr>
      <w:tr w:rsidR="00E7045B" w:rsidRPr="00440196" w14:paraId="4A6866D3" w14:textId="77777777" w:rsidTr="00440196">
        <w:trPr>
          <w:trHeight w:val="165"/>
        </w:trPr>
        <w:tc>
          <w:tcPr>
            <w:tcW w:w="2797" w:type="pct"/>
            <w:tcBorders>
              <w:top w:val="single" w:sz="4" w:space="0" w:color="auto"/>
              <w:bottom w:val="single" w:sz="4" w:space="0" w:color="auto"/>
            </w:tcBorders>
            <w:shd w:val="clear" w:color="auto" w:fill="auto"/>
            <w:noWrap/>
            <w:vAlign w:val="bottom"/>
            <w:hideMark/>
          </w:tcPr>
          <w:p w14:paraId="3E5B3FC8"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3.2.2 Staff training</w:t>
            </w:r>
          </w:p>
        </w:tc>
        <w:tc>
          <w:tcPr>
            <w:tcW w:w="707" w:type="pct"/>
            <w:tcBorders>
              <w:top w:val="single" w:sz="4" w:space="0" w:color="auto"/>
              <w:bottom w:val="single" w:sz="4" w:space="0" w:color="auto"/>
            </w:tcBorders>
            <w:shd w:val="clear" w:color="auto" w:fill="auto"/>
            <w:noWrap/>
            <w:vAlign w:val="bottom"/>
            <w:hideMark/>
          </w:tcPr>
          <w:p w14:paraId="4DAAC42E"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25 000</w:t>
            </w:r>
          </w:p>
        </w:tc>
        <w:tc>
          <w:tcPr>
            <w:tcW w:w="691" w:type="pct"/>
            <w:tcBorders>
              <w:top w:val="single" w:sz="4" w:space="0" w:color="auto"/>
              <w:bottom w:val="single" w:sz="4" w:space="0" w:color="auto"/>
            </w:tcBorders>
            <w:shd w:val="clear" w:color="auto" w:fill="auto"/>
            <w:noWrap/>
            <w:vAlign w:val="bottom"/>
            <w:hideMark/>
          </w:tcPr>
          <w:p w14:paraId="2B350176"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14 499</w:t>
            </w:r>
          </w:p>
        </w:tc>
        <w:tc>
          <w:tcPr>
            <w:tcW w:w="805" w:type="pct"/>
            <w:tcBorders>
              <w:top w:val="single" w:sz="4" w:space="0" w:color="auto"/>
              <w:bottom w:val="single" w:sz="4" w:space="0" w:color="auto"/>
            </w:tcBorders>
            <w:shd w:val="clear" w:color="auto" w:fill="auto"/>
            <w:noWrap/>
            <w:vAlign w:val="bottom"/>
            <w:hideMark/>
          </w:tcPr>
          <w:p w14:paraId="2B85E329"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10 501</w:t>
            </w:r>
          </w:p>
        </w:tc>
      </w:tr>
      <w:tr w:rsidR="00E7045B" w:rsidRPr="00440196" w14:paraId="70D101AB" w14:textId="77777777" w:rsidTr="00440196">
        <w:trPr>
          <w:trHeight w:val="165"/>
        </w:trPr>
        <w:tc>
          <w:tcPr>
            <w:tcW w:w="2797" w:type="pct"/>
            <w:tcBorders>
              <w:top w:val="single" w:sz="4" w:space="0" w:color="auto"/>
              <w:bottom w:val="single" w:sz="4" w:space="0" w:color="auto"/>
            </w:tcBorders>
            <w:shd w:val="clear" w:color="auto" w:fill="auto"/>
            <w:noWrap/>
            <w:vAlign w:val="bottom"/>
          </w:tcPr>
          <w:p w14:paraId="223D78B5" w14:textId="77777777" w:rsidR="00E7045B" w:rsidRPr="007831BB" w:rsidRDefault="00E7045B" w:rsidP="00440196">
            <w:pPr>
              <w:widowControl w:val="0"/>
              <w:tabs>
                <w:tab w:val="left" w:pos="6480"/>
                <w:tab w:val="left" w:pos="7200"/>
              </w:tabs>
              <w:spacing w:before="40" w:after="40"/>
              <w:rPr>
                <w:b/>
                <w:sz w:val="18"/>
              </w:rPr>
            </w:pPr>
            <w:r w:rsidRPr="00440196">
              <w:rPr>
                <w:sz w:val="18"/>
              </w:rPr>
              <w:t xml:space="preserve">Secretariat </w:t>
            </w:r>
            <w:r w:rsidRPr="00440196">
              <w:rPr>
                <w:sz w:val="18"/>
                <w:szCs w:val="18"/>
              </w:rPr>
              <w:t>operating costs</w:t>
            </w:r>
          </w:p>
        </w:tc>
        <w:tc>
          <w:tcPr>
            <w:tcW w:w="707" w:type="pct"/>
            <w:tcBorders>
              <w:top w:val="single" w:sz="4" w:space="0" w:color="auto"/>
              <w:bottom w:val="single" w:sz="4" w:space="0" w:color="auto"/>
            </w:tcBorders>
            <w:shd w:val="clear" w:color="auto" w:fill="auto"/>
            <w:noWrap/>
            <w:vAlign w:val="bottom"/>
          </w:tcPr>
          <w:p w14:paraId="2B4C793E" w14:textId="77777777" w:rsidR="00E7045B" w:rsidRPr="00440196" w:rsidRDefault="00E7045B" w:rsidP="00440196">
            <w:pPr>
              <w:spacing w:before="40" w:after="40"/>
              <w:jc w:val="right"/>
              <w:rPr>
                <w:b/>
                <w:sz w:val="18"/>
              </w:rPr>
            </w:pPr>
          </w:p>
        </w:tc>
        <w:tc>
          <w:tcPr>
            <w:tcW w:w="691" w:type="pct"/>
            <w:tcBorders>
              <w:top w:val="single" w:sz="4" w:space="0" w:color="auto"/>
              <w:bottom w:val="single" w:sz="4" w:space="0" w:color="auto"/>
            </w:tcBorders>
            <w:shd w:val="clear" w:color="auto" w:fill="auto"/>
            <w:noWrap/>
            <w:vAlign w:val="bottom"/>
          </w:tcPr>
          <w:p w14:paraId="2FD40FEC" w14:textId="77777777" w:rsidR="00E7045B" w:rsidRPr="00440196" w:rsidRDefault="00E7045B" w:rsidP="00440196">
            <w:pPr>
              <w:spacing w:before="40" w:after="40"/>
              <w:jc w:val="right"/>
              <w:rPr>
                <w:b/>
                <w:sz w:val="18"/>
              </w:rPr>
            </w:pPr>
          </w:p>
        </w:tc>
        <w:tc>
          <w:tcPr>
            <w:tcW w:w="805" w:type="pct"/>
            <w:tcBorders>
              <w:top w:val="single" w:sz="4" w:space="0" w:color="auto"/>
              <w:bottom w:val="single" w:sz="4" w:space="0" w:color="auto"/>
            </w:tcBorders>
            <w:shd w:val="clear" w:color="auto" w:fill="auto"/>
            <w:noWrap/>
            <w:vAlign w:val="bottom"/>
          </w:tcPr>
          <w:p w14:paraId="7573A6C0" w14:textId="77777777" w:rsidR="00E7045B" w:rsidRPr="00440196" w:rsidRDefault="00E7045B" w:rsidP="00440196">
            <w:pPr>
              <w:spacing w:before="40" w:after="40"/>
              <w:jc w:val="right"/>
              <w:rPr>
                <w:b/>
                <w:sz w:val="18"/>
              </w:rPr>
            </w:pPr>
          </w:p>
        </w:tc>
      </w:tr>
      <w:tr w:rsidR="00E7045B" w:rsidRPr="00440196" w14:paraId="65E0004B" w14:textId="77777777" w:rsidTr="00440196">
        <w:trPr>
          <w:trHeight w:val="137"/>
        </w:trPr>
        <w:tc>
          <w:tcPr>
            <w:tcW w:w="2797" w:type="pct"/>
            <w:tcBorders>
              <w:top w:val="single" w:sz="4" w:space="0" w:color="auto"/>
              <w:bottom w:val="single" w:sz="4" w:space="0" w:color="auto"/>
            </w:tcBorders>
            <w:shd w:val="clear" w:color="auto" w:fill="auto"/>
            <w:noWrap/>
            <w:vAlign w:val="bottom"/>
            <w:hideMark/>
          </w:tcPr>
          <w:p w14:paraId="1D39E8F2" w14:textId="77777777" w:rsidR="00E7045B" w:rsidRPr="007831BB" w:rsidRDefault="00E7045B" w:rsidP="00440196">
            <w:pPr>
              <w:keepNext/>
              <w:keepLines/>
              <w:widowControl w:val="0"/>
              <w:tabs>
                <w:tab w:val="left" w:pos="6480"/>
                <w:tab w:val="left" w:pos="7200"/>
              </w:tabs>
              <w:spacing w:before="40" w:after="40"/>
              <w:rPr>
                <w:b/>
                <w:sz w:val="18"/>
              </w:rPr>
            </w:pPr>
            <w:r w:rsidRPr="00440196">
              <w:rPr>
                <w:b/>
                <w:sz w:val="18"/>
              </w:rPr>
              <w:t>3.2.3 Equipment and office supplies</w:t>
            </w:r>
          </w:p>
        </w:tc>
        <w:tc>
          <w:tcPr>
            <w:tcW w:w="707" w:type="pct"/>
            <w:tcBorders>
              <w:top w:val="single" w:sz="4" w:space="0" w:color="auto"/>
              <w:bottom w:val="single" w:sz="4" w:space="0" w:color="auto"/>
            </w:tcBorders>
            <w:shd w:val="clear" w:color="auto" w:fill="auto"/>
            <w:noWrap/>
            <w:vAlign w:val="bottom"/>
            <w:hideMark/>
          </w:tcPr>
          <w:p w14:paraId="51AA4E13" w14:textId="77777777" w:rsidR="00E7045B" w:rsidRPr="00440196" w:rsidRDefault="00E7045B" w:rsidP="00440196">
            <w:pPr>
              <w:keepNext/>
              <w:keepLines/>
              <w:spacing w:before="40" w:after="40"/>
              <w:jc w:val="right"/>
              <w:rPr>
                <w:b/>
                <w:sz w:val="18"/>
              </w:rPr>
            </w:pPr>
          </w:p>
        </w:tc>
        <w:tc>
          <w:tcPr>
            <w:tcW w:w="691" w:type="pct"/>
            <w:tcBorders>
              <w:top w:val="single" w:sz="4" w:space="0" w:color="auto"/>
              <w:bottom w:val="single" w:sz="4" w:space="0" w:color="auto"/>
            </w:tcBorders>
            <w:shd w:val="clear" w:color="auto" w:fill="auto"/>
            <w:noWrap/>
            <w:vAlign w:val="bottom"/>
            <w:hideMark/>
          </w:tcPr>
          <w:p w14:paraId="0D8217A8" w14:textId="77777777" w:rsidR="00E7045B" w:rsidRPr="00440196" w:rsidRDefault="00E7045B" w:rsidP="00440196">
            <w:pPr>
              <w:keepNext/>
              <w:keepLines/>
              <w:spacing w:before="40" w:after="40"/>
              <w:jc w:val="right"/>
              <w:rPr>
                <w:sz w:val="18"/>
              </w:rPr>
            </w:pPr>
          </w:p>
        </w:tc>
        <w:tc>
          <w:tcPr>
            <w:tcW w:w="805" w:type="pct"/>
            <w:tcBorders>
              <w:top w:val="single" w:sz="4" w:space="0" w:color="auto"/>
              <w:bottom w:val="single" w:sz="4" w:space="0" w:color="auto"/>
            </w:tcBorders>
            <w:shd w:val="clear" w:color="auto" w:fill="auto"/>
            <w:noWrap/>
            <w:vAlign w:val="bottom"/>
            <w:hideMark/>
          </w:tcPr>
          <w:p w14:paraId="52D238F5" w14:textId="77777777" w:rsidR="00E7045B" w:rsidRPr="00440196" w:rsidRDefault="00E7045B" w:rsidP="00440196">
            <w:pPr>
              <w:keepNext/>
              <w:keepLines/>
              <w:spacing w:before="40" w:after="40"/>
              <w:jc w:val="right"/>
              <w:rPr>
                <w:sz w:val="18"/>
              </w:rPr>
            </w:pPr>
          </w:p>
        </w:tc>
      </w:tr>
      <w:tr w:rsidR="00E7045B" w:rsidRPr="00440196" w14:paraId="3C7CF2B1" w14:textId="77777777" w:rsidTr="00440196">
        <w:trPr>
          <w:trHeight w:val="137"/>
        </w:trPr>
        <w:tc>
          <w:tcPr>
            <w:tcW w:w="2797" w:type="pct"/>
            <w:tcBorders>
              <w:top w:val="single" w:sz="4" w:space="0" w:color="auto"/>
            </w:tcBorders>
            <w:shd w:val="clear" w:color="auto" w:fill="auto"/>
            <w:noWrap/>
            <w:vAlign w:val="bottom"/>
            <w:hideMark/>
          </w:tcPr>
          <w:p w14:paraId="5D782FA9" w14:textId="77777777" w:rsidR="00E7045B" w:rsidRPr="007831BB" w:rsidRDefault="00E7045B" w:rsidP="00440196">
            <w:pPr>
              <w:widowControl w:val="0"/>
              <w:tabs>
                <w:tab w:val="left" w:pos="6480"/>
                <w:tab w:val="left" w:pos="7200"/>
              </w:tabs>
              <w:spacing w:before="40" w:after="40"/>
              <w:rPr>
                <w:sz w:val="18"/>
                <w:szCs w:val="18"/>
              </w:rPr>
            </w:pPr>
            <w:r w:rsidRPr="00440196">
              <w:rPr>
                <w:sz w:val="18"/>
              </w:rPr>
              <w:t>Expendable equipment (items under $1</w:t>
            </w:r>
            <w:r w:rsidRPr="00440196">
              <w:rPr>
                <w:sz w:val="18"/>
                <w:szCs w:val="18"/>
              </w:rPr>
              <w:t>,</w:t>
            </w:r>
            <w:r w:rsidRPr="00440196">
              <w:rPr>
                <w:sz w:val="18"/>
              </w:rPr>
              <w:t>500 each)</w:t>
            </w:r>
          </w:p>
        </w:tc>
        <w:tc>
          <w:tcPr>
            <w:tcW w:w="707" w:type="pct"/>
            <w:tcBorders>
              <w:top w:val="single" w:sz="4" w:space="0" w:color="auto"/>
            </w:tcBorders>
            <w:shd w:val="clear" w:color="auto" w:fill="auto"/>
            <w:noWrap/>
            <w:vAlign w:val="bottom"/>
            <w:hideMark/>
          </w:tcPr>
          <w:p w14:paraId="66C94E3E"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4 500</w:t>
            </w:r>
          </w:p>
        </w:tc>
        <w:tc>
          <w:tcPr>
            <w:tcW w:w="691" w:type="pct"/>
            <w:tcBorders>
              <w:top w:val="single" w:sz="4" w:space="0" w:color="auto"/>
            </w:tcBorders>
            <w:shd w:val="clear" w:color="auto" w:fill="auto"/>
            <w:noWrap/>
            <w:vAlign w:val="bottom"/>
            <w:hideMark/>
          </w:tcPr>
          <w:p w14:paraId="53CB974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 xml:space="preserve">2 849 </w:t>
            </w:r>
          </w:p>
        </w:tc>
        <w:tc>
          <w:tcPr>
            <w:tcW w:w="805" w:type="pct"/>
            <w:tcBorders>
              <w:top w:val="single" w:sz="4" w:space="0" w:color="auto"/>
            </w:tcBorders>
            <w:shd w:val="clear" w:color="auto" w:fill="auto"/>
            <w:noWrap/>
            <w:vAlign w:val="bottom"/>
            <w:hideMark/>
          </w:tcPr>
          <w:p w14:paraId="4477A18A"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1 651</w:t>
            </w:r>
          </w:p>
        </w:tc>
      </w:tr>
      <w:tr w:rsidR="00E7045B" w:rsidRPr="00440196" w14:paraId="4586A65A" w14:textId="77777777" w:rsidTr="00440196">
        <w:trPr>
          <w:trHeight w:val="137"/>
        </w:trPr>
        <w:tc>
          <w:tcPr>
            <w:tcW w:w="2797" w:type="pct"/>
            <w:tcBorders>
              <w:bottom w:val="single" w:sz="4" w:space="0" w:color="auto"/>
            </w:tcBorders>
            <w:shd w:val="clear" w:color="auto" w:fill="auto"/>
            <w:noWrap/>
            <w:vAlign w:val="bottom"/>
            <w:hideMark/>
          </w:tcPr>
          <w:p w14:paraId="207735B0" w14:textId="77777777" w:rsidR="00E7045B" w:rsidRPr="007831BB" w:rsidRDefault="00E7045B" w:rsidP="00440196">
            <w:pPr>
              <w:widowControl w:val="0"/>
              <w:tabs>
                <w:tab w:val="left" w:pos="6480"/>
                <w:tab w:val="left" w:pos="7200"/>
              </w:tabs>
              <w:spacing w:before="40" w:after="40"/>
              <w:rPr>
                <w:sz w:val="18"/>
              </w:rPr>
            </w:pPr>
            <w:r w:rsidRPr="00440196">
              <w:rPr>
                <w:sz w:val="18"/>
              </w:rPr>
              <w:t>Office supplies</w:t>
            </w:r>
          </w:p>
        </w:tc>
        <w:tc>
          <w:tcPr>
            <w:tcW w:w="707" w:type="pct"/>
            <w:tcBorders>
              <w:bottom w:val="single" w:sz="4" w:space="0" w:color="auto"/>
            </w:tcBorders>
            <w:shd w:val="clear" w:color="auto" w:fill="auto"/>
            <w:noWrap/>
            <w:vAlign w:val="bottom"/>
            <w:hideMark/>
          </w:tcPr>
          <w:p w14:paraId="18535C0F"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12 000</w:t>
            </w:r>
          </w:p>
        </w:tc>
        <w:tc>
          <w:tcPr>
            <w:tcW w:w="691" w:type="pct"/>
            <w:tcBorders>
              <w:bottom w:val="single" w:sz="4" w:space="0" w:color="auto"/>
            </w:tcBorders>
            <w:shd w:val="clear" w:color="auto" w:fill="auto"/>
            <w:noWrap/>
            <w:vAlign w:val="bottom"/>
            <w:hideMark/>
          </w:tcPr>
          <w:p w14:paraId="50FF6AFD"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10 106</w:t>
            </w:r>
          </w:p>
        </w:tc>
        <w:tc>
          <w:tcPr>
            <w:tcW w:w="805" w:type="pct"/>
            <w:tcBorders>
              <w:bottom w:val="single" w:sz="4" w:space="0" w:color="auto"/>
            </w:tcBorders>
            <w:shd w:val="clear" w:color="auto" w:fill="auto"/>
            <w:noWrap/>
            <w:vAlign w:val="bottom"/>
            <w:hideMark/>
          </w:tcPr>
          <w:p w14:paraId="71B846F2"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1 894</w:t>
            </w:r>
          </w:p>
        </w:tc>
      </w:tr>
      <w:tr w:rsidR="00E7045B" w:rsidRPr="00440196" w14:paraId="6D89DA77" w14:textId="77777777" w:rsidTr="00440196">
        <w:trPr>
          <w:trHeight w:val="162"/>
        </w:trPr>
        <w:tc>
          <w:tcPr>
            <w:tcW w:w="2797" w:type="pct"/>
            <w:tcBorders>
              <w:top w:val="single" w:sz="4" w:space="0" w:color="auto"/>
              <w:bottom w:val="single" w:sz="4" w:space="0" w:color="auto"/>
            </w:tcBorders>
            <w:shd w:val="clear" w:color="auto" w:fill="auto"/>
            <w:noWrap/>
            <w:vAlign w:val="bottom"/>
            <w:hideMark/>
          </w:tcPr>
          <w:p w14:paraId="59A8AEE0"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3.2.3 Equipment and office supplies</w:t>
            </w:r>
          </w:p>
        </w:tc>
        <w:tc>
          <w:tcPr>
            <w:tcW w:w="707" w:type="pct"/>
            <w:tcBorders>
              <w:top w:val="single" w:sz="4" w:space="0" w:color="auto"/>
              <w:bottom w:val="single" w:sz="4" w:space="0" w:color="auto"/>
            </w:tcBorders>
            <w:shd w:val="clear" w:color="auto" w:fill="auto"/>
            <w:noWrap/>
            <w:vAlign w:val="bottom"/>
            <w:hideMark/>
          </w:tcPr>
          <w:p w14:paraId="37499B98"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16 500</w:t>
            </w:r>
          </w:p>
        </w:tc>
        <w:tc>
          <w:tcPr>
            <w:tcW w:w="691" w:type="pct"/>
            <w:tcBorders>
              <w:top w:val="single" w:sz="4" w:space="0" w:color="auto"/>
              <w:bottom w:val="single" w:sz="4" w:space="0" w:color="auto"/>
            </w:tcBorders>
            <w:shd w:val="clear" w:color="auto" w:fill="auto"/>
            <w:noWrap/>
            <w:vAlign w:val="bottom"/>
            <w:hideMark/>
          </w:tcPr>
          <w:p w14:paraId="1DE2F65B"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12 955 </w:t>
            </w:r>
          </w:p>
        </w:tc>
        <w:tc>
          <w:tcPr>
            <w:tcW w:w="805" w:type="pct"/>
            <w:tcBorders>
              <w:top w:val="single" w:sz="4" w:space="0" w:color="auto"/>
              <w:bottom w:val="single" w:sz="4" w:space="0" w:color="auto"/>
            </w:tcBorders>
            <w:shd w:val="clear" w:color="auto" w:fill="auto"/>
            <w:noWrap/>
            <w:vAlign w:val="bottom"/>
            <w:hideMark/>
          </w:tcPr>
          <w:p w14:paraId="2711B642"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3 545 </w:t>
            </w:r>
          </w:p>
        </w:tc>
      </w:tr>
      <w:tr w:rsidR="00E7045B" w:rsidRPr="00440196" w14:paraId="65473D40" w14:textId="77777777" w:rsidTr="00440196">
        <w:trPr>
          <w:trHeight w:val="137"/>
        </w:trPr>
        <w:tc>
          <w:tcPr>
            <w:tcW w:w="2797" w:type="pct"/>
            <w:tcBorders>
              <w:top w:val="single" w:sz="4" w:space="0" w:color="auto"/>
            </w:tcBorders>
            <w:shd w:val="clear" w:color="auto" w:fill="auto"/>
            <w:noWrap/>
            <w:vAlign w:val="bottom"/>
            <w:hideMark/>
          </w:tcPr>
          <w:p w14:paraId="5C8EF4ED" w14:textId="77777777" w:rsidR="00E7045B" w:rsidRPr="007831BB" w:rsidRDefault="00E7045B" w:rsidP="00440196">
            <w:pPr>
              <w:widowControl w:val="0"/>
              <w:tabs>
                <w:tab w:val="left" w:pos="6480"/>
                <w:tab w:val="left" w:pos="7200"/>
              </w:tabs>
              <w:spacing w:before="40" w:after="40"/>
              <w:rPr>
                <w:b/>
                <w:sz w:val="18"/>
              </w:rPr>
            </w:pPr>
            <w:r w:rsidRPr="00440196">
              <w:rPr>
                <w:b/>
                <w:sz w:val="18"/>
              </w:rPr>
              <w:t xml:space="preserve">3.2.4 Premises </w:t>
            </w:r>
          </w:p>
        </w:tc>
        <w:tc>
          <w:tcPr>
            <w:tcW w:w="707" w:type="pct"/>
            <w:tcBorders>
              <w:top w:val="single" w:sz="4" w:space="0" w:color="auto"/>
            </w:tcBorders>
            <w:shd w:val="clear" w:color="auto" w:fill="auto"/>
            <w:noWrap/>
            <w:vAlign w:val="bottom"/>
            <w:hideMark/>
          </w:tcPr>
          <w:p w14:paraId="7356FEF0" w14:textId="77777777" w:rsidR="00E7045B" w:rsidRPr="00440196" w:rsidRDefault="00E7045B" w:rsidP="00440196">
            <w:pPr>
              <w:spacing w:before="40" w:after="40"/>
              <w:jc w:val="right"/>
              <w:rPr>
                <w:sz w:val="18"/>
              </w:rPr>
            </w:pPr>
          </w:p>
        </w:tc>
        <w:tc>
          <w:tcPr>
            <w:tcW w:w="691" w:type="pct"/>
            <w:tcBorders>
              <w:top w:val="single" w:sz="4" w:space="0" w:color="auto"/>
            </w:tcBorders>
            <w:shd w:val="clear" w:color="auto" w:fill="auto"/>
            <w:noWrap/>
            <w:vAlign w:val="bottom"/>
            <w:hideMark/>
          </w:tcPr>
          <w:p w14:paraId="6B7F2B08"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c>
          <w:tcPr>
            <w:tcW w:w="805" w:type="pct"/>
            <w:tcBorders>
              <w:top w:val="single" w:sz="4" w:space="0" w:color="auto"/>
            </w:tcBorders>
            <w:shd w:val="clear" w:color="auto" w:fill="auto"/>
            <w:noWrap/>
            <w:vAlign w:val="bottom"/>
            <w:hideMark/>
          </w:tcPr>
          <w:p w14:paraId="08A2B6B0"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 </w:t>
            </w:r>
          </w:p>
        </w:tc>
      </w:tr>
      <w:tr w:rsidR="00E7045B" w:rsidRPr="00440196" w14:paraId="05FE4140" w14:textId="77777777" w:rsidTr="00440196">
        <w:trPr>
          <w:trHeight w:val="137"/>
        </w:trPr>
        <w:tc>
          <w:tcPr>
            <w:tcW w:w="2797" w:type="pct"/>
            <w:tcBorders>
              <w:bottom w:val="single" w:sz="4" w:space="0" w:color="auto"/>
            </w:tcBorders>
            <w:shd w:val="clear" w:color="auto" w:fill="auto"/>
            <w:hideMark/>
          </w:tcPr>
          <w:p w14:paraId="7905ACBE" w14:textId="77777777" w:rsidR="00E7045B" w:rsidRPr="007831BB" w:rsidRDefault="00E7045B" w:rsidP="00440196">
            <w:pPr>
              <w:widowControl w:val="0"/>
              <w:tabs>
                <w:tab w:val="left" w:pos="6480"/>
                <w:tab w:val="left" w:pos="7200"/>
              </w:tabs>
              <w:spacing w:before="40" w:after="40"/>
              <w:rPr>
                <w:sz w:val="18"/>
                <w:szCs w:val="18"/>
              </w:rPr>
            </w:pPr>
            <w:r w:rsidRPr="00440196">
              <w:rPr>
                <w:sz w:val="18"/>
              </w:rPr>
              <w:t xml:space="preserve">Contribution to common </w:t>
            </w:r>
            <w:r w:rsidRPr="00440196">
              <w:rPr>
                <w:sz w:val="18"/>
                <w:szCs w:val="18"/>
              </w:rPr>
              <w:t>costs</w:t>
            </w:r>
            <w:r w:rsidRPr="00440196">
              <w:rPr>
                <w:sz w:val="18"/>
              </w:rPr>
              <w:t xml:space="preserve"> (maintenance of office space, common security, switchboard service, etc.)</w:t>
            </w:r>
          </w:p>
        </w:tc>
        <w:tc>
          <w:tcPr>
            <w:tcW w:w="707" w:type="pct"/>
            <w:tcBorders>
              <w:bottom w:val="single" w:sz="4" w:space="0" w:color="auto"/>
            </w:tcBorders>
            <w:shd w:val="clear" w:color="auto" w:fill="auto"/>
            <w:noWrap/>
            <w:vAlign w:val="bottom"/>
            <w:hideMark/>
          </w:tcPr>
          <w:p w14:paraId="69C0F5D3"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45 000</w:t>
            </w:r>
          </w:p>
        </w:tc>
        <w:tc>
          <w:tcPr>
            <w:tcW w:w="691" w:type="pct"/>
            <w:tcBorders>
              <w:bottom w:val="single" w:sz="4" w:space="0" w:color="auto"/>
            </w:tcBorders>
            <w:shd w:val="clear" w:color="auto" w:fill="auto"/>
            <w:noWrap/>
            <w:vAlign w:val="bottom"/>
            <w:hideMark/>
          </w:tcPr>
          <w:p w14:paraId="2AA382C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 xml:space="preserve">41 812 </w:t>
            </w:r>
          </w:p>
        </w:tc>
        <w:tc>
          <w:tcPr>
            <w:tcW w:w="805" w:type="pct"/>
            <w:tcBorders>
              <w:bottom w:val="single" w:sz="4" w:space="0" w:color="auto"/>
            </w:tcBorders>
            <w:shd w:val="clear" w:color="auto" w:fill="auto"/>
            <w:noWrap/>
            <w:vAlign w:val="bottom"/>
            <w:hideMark/>
          </w:tcPr>
          <w:p w14:paraId="5DDD186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 xml:space="preserve">3 188 </w:t>
            </w:r>
          </w:p>
        </w:tc>
      </w:tr>
      <w:tr w:rsidR="00E7045B" w:rsidRPr="00440196" w14:paraId="146EC936" w14:textId="77777777" w:rsidTr="00440196">
        <w:trPr>
          <w:trHeight w:val="162"/>
        </w:trPr>
        <w:tc>
          <w:tcPr>
            <w:tcW w:w="2797" w:type="pct"/>
            <w:tcBorders>
              <w:top w:val="single" w:sz="4" w:space="0" w:color="auto"/>
              <w:bottom w:val="single" w:sz="4" w:space="0" w:color="auto"/>
            </w:tcBorders>
            <w:shd w:val="clear" w:color="auto" w:fill="auto"/>
            <w:noWrap/>
            <w:vAlign w:val="bottom"/>
            <w:hideMark/>
          </w:tcPr>
          <w:p w14:paraId="0619E435" w14:textId="77777777" w:rsidR="00E7045B" w:rsidRPr="007831BB" w:rsidRDefault="00E7045B" w:rsidP="00440196">
            <w:pPr>
              <w:widowControl w:val="0"/>
              <w:tabs>
                <w:tab w:val="left" w:pos="6480"/>
                <w:tab w:val="left" w:pos="7200"/>
              </w:tabs>
              <w:spacing w:before="40" w:after="40"/>
              <w:rPr>
                <w:b/>
                <w:sz w:val="18"/>
              </w:rPr>
            </w:pPr>
            <w:r w:rsidRPr="00440196">
              <w:rPr>
                <w:b/>
              </w:rPr>
              <w:br w:type="page"/>
            </w:r>
            <w:r w:rsidRPr="00440196">
              <w:rPr>
                <w:b/>
                <w:sz w:val="18"/>
                <w:szCs w:val="18"/>
              </w:rPr>
              <w:t>S</w:t>
            </w:r>
            <w:r w:rsidRPr="00440196">
              <w:rPr>
                <w:b/>
                <w:sz w:val="18"/>
              </w:rPr>
              <w:t>ubtotal 3.2.4 Premises</w:t>
            </w:r>
          </w:p>
        </w:tc>
        <w:tc>
          <w:tcPr>
            <w:tcW w:w="707" w:type="pct"/>
            <w:tcBorders>
              <w:top w:val="single" w:sz="4" w:space="0" w:color="auto"/>
              <w:bottom w:val="single" w:sz="4" w:space="0" w:color="auto"/>
            </w:tcBorders>
            <w:shd w:val="clear" w:color="auto" w:fill="auto"/>
            <w:noWrap/>
            <w:vAlign w:val="bottom"/>
            <w:hideMark/>
          </w:tcPr>
          <w:p w14:paraId="2A548252"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45 000</w:t>
            </w:r>
          </w:p>
        </w:tc>
        <w:tc>
          <w:tcPr>
            <w:tcW w:w="691" w:type="pct"/>
            <w:tcBorders>
              <w:top w:val="single" w:sz="4" w:space="0" w:color="auto"/>
              <w:bottom w:val="single" w:sz="4" w:space="0" w:color="auto"/>
            </w:tcBorders>
            <w:shd w:val="clear" w:color="auto" w:fill="auto"/>
            <w:noWrap/>
            <w:vAlign w:val="bottom"/>
            <w:hideMark/>
          </w:tcPr>
          <w:p w14:paraId="07185F0E"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41 812 </w:t>
            </w:r>
          </w:p>
        </w:tc>
        <w:tc>
          <w:tcPr>
            <w:tcW w:w="805" w:type="pct"/>
            <w:tcBorders>
              <w:top w:val="single" w:sz="4" w:space="0" w:color="auto"/>
              <w:bottom w:val="single" w:sz="4" w:space="0" w:color="auto"/>
            </w:tcBorders>
            <w:shd w:val="clear" w:color="auto" w:fill="auto"/>
            <w:noWrap/>
            <w:vAlign w:val="bottom"/>
            <w:hideMark/>
          </w:tcPr>
          <w:p w14:paraId="4D0358B4"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3 188 </w:t>
            </w:r>
          </w:p>
        </w:tc>
      </w:tr>
      <w:tr w:rsidR="00E7045B" w:rsidRPr="00440196" w14:paraId="4E3B8CD6" w14:textId="77777777" w:rsidTr="00440196">
        <w:trPr>
          <w:trHeight w:val="137"/>
        </w:trPr>
        <w:tc>
          <w:tcPr>
            <w:tcW w:w="2797" w:type="pct"/>
            <w:tcBorders>
              <w:top w:val="single" w:sz="4" w:space="0" w:color="auto"/>
            </w:tcBorders>
            <w:shd w:val="clear" w:color="auto" w:fill="auto"/>
            <w:noWrap/>
            <w:vAlign w:val="bottom"/>
            <w:hideMark/>
          </w:tcPr>
          <w:p w14:paraId="7929CB98" w14:textId="77777777" w:rsidR="00E7045B" w:rsidRPr="007831BB" w:rsidRDefault="00E7045B" w:rsidP="00204C0B">
            <w:pPr>
              <w:keepNext/>
              <w:keepLines/>
              <w:widowControl w:val="0"/>
              <w:tabs>
                <w:tab w:val="left" w:pos="6480"/>
                <w:tab w:val="left" w:pos="7200"/>
              </w:tabs>
              <w:spacing w:before="40" w:after="40"/>
              <w:rPr>
                <w:b/>
                <w:sz w:val="18"/>
              </w:rPr>
            </w:pPr>
            <w:r w:rsidRPr="00440196">
              <w:rPr>
                <w:b/>
                <w:sz w:val="18"/>
              </w:rPr>
              <w:t xml:space="preserve">3.2.5 Printers, photocopiers, IT services </w:t>
            </w:r>
            <w:r w:rsidRPr="00440196">
              <w:rPr>
                <w:b/>
                <w:color w:val="000000"/>
                <w:sz w:val="18"/>
              </w:rPr>
              <w:t>and miscellaneous</w:t>
            </w:r>
          </w:p>
          <w:p w14:paraId="53748226" w14:textId="77777777" w:rsidR="00E7045B" w:rsidRPr="00440196" w:rsidRDefault="00E7045B" w:rsidP="00204C0B">
            <w:pPr>
              <w:keepNext/>
              <w:keepLines/>
              <w:spacing w:before="40" w:after="40"/>
              <w:rPr>
                <w:sz w:val="18"/>
              </w:rPr>
            </w:pPr>
            <w:r w:rsidRPr="00440196">
              <w:rPr>
                <w:sz w:val="18"/>
              </w:rPr>
              <w:t>Operation and maintenance of printers and photocopiers</w:t>
            </w:r>
          </w:p>
        </w:tc>
        <w:tc>
          <w:tcPr>
            <w:tcW w:w="707" w:type="pct"/>
            <w:tcBorders>
              <w:top w:val="single" w:sz="4" w:space="0" w:color="auto"/>
            </w:tcBorders>
            <w:shd w:val="clear" w:color="auto" w:fill="auto"/>
            <w:noWrap/>
            <w:vAlign w:val="bottom"/>
            <w:hideMark/>
          </w:tcPr>
          <w:p w14:paraId="37B1D647" w14:textId="77777777" w:rsidR="00E7045B" w:rsidRPr="007831BB" w:rsidRDefault="00E7045B" w:rsidP="00204C0B">
            <w:pPr>
              <w:keepNext/>
              <w:keepLines/>
              <w:widowControl w:val="0"/>
              <w:tabs>
                <w:tab w:val="left" w:pos="6480"/>
                <w:tab w:val="left" w:pos="7200"/>
              </w:tabs>
              <w:spacing w:before="40" w:after="40"/>
              <w:jc w:val="right"/>
              <w:rPr>
                <w:sz w:val="18"/>
              </w:rPr>
            </w:pPr>
            <w:r w:rsidRPr="00440196">
              <w:rPr>
                <w:sz w:val="18"/>
              </w:rPr>
              <w:t>5 000</w:t>
            </w:r>
          </w:p>
        </w:tc>
        <w:tc>
          <w:tcPr>
            <w:tcW w:w="691" w:type="pct"/>
            <w:tcBorders>
              <w:top w:val="single" w:sz="4" w:space="0" w:color="auto"/>
            </w:tcBorders>
            <w:shd w:val="clear" w:color="auto" w:fill="auto"/>
            <w:noWrap/>
            <w:vAlign w:val="bottom"/>
            <w:hideMark/>
          </w:tcPr>
          <w:p w14:paraId="3C763FE7" w14:textId="77777777" w:rsidR="00E7045B" w:rsidRPr="007831BB" w:rsidRDefault="00E7045B" w:rsidP="00204C0B">
            <w:pPr>
              <w:keepNext/>
              <w:keepLines/>
              <w:widowControl w:val="0"/>
              <w:tabs>
                <w:tab w:val="left" w:pos="6480"/>
                <w:tab w:val="left" w:pos="7200"/>
              </w:tabs>
              <w:spacing w:before="40" w:after="40"/>
              <w:jc w:val="right"/>
              <w:rPr>
                <w:sz w:val="18"/>
              </w:rPr>
            </w:pPr>
            <w:r w:rsidRPr="00440196">
              <w:rPr>
                <w:sz w:val="18"/>
              </w:rPr>
              <w:t>4 101</w:t>
            </w:r>
          </w:p>
        </w:tc>
        <w:tc>
          <w:tcPr>
            <w:tcW w:w="805" w:type="pct"/>
            <w:tcBorders>
              <w:top w:val="single" w:sz="4" w:space="0" w:color="auto"/>
            </w:tcBorders>
            <w:shd w:val="clear" w:color="auto" w:fill="auto"/>
            <w:noWrap/>
            <w:vAlign w:val="bottom"/>
            <w:hideMark/>
          </w:tcPr>
          <w:p w14:paraId="1F7E6027" w14:textId="77777777" w:rsidR="00E7045B" w:rsidRPr="007831BB" w:rsidRDefault="00E7045B" w:rsidP="00204C0B">
            <w:pPr>
              <w:keepNext/>
              <w:keepLines/>
              <w:widowControl w:val="0"/>
              <w:tabs>
                <w:tab w:val="left" w:pos="6480"/>
                <w:tab w:val="left" w:pos="7200"/>
              </w:tabs>
              <w:spacing w:before="40" w:after="40"/>
              <w:jc w:val="right"/>
              <w:rPr>
                <w:sz w:val="18"/>
              </w:rPr>
            </w:pPr>
            <w:r w:rsidRPr="00440196">
              <w:rPr>
                <w:sz w:val="18"/>
              </w:rPr>
              <w:t>899</w:t>
            </w:r>
          </w:p>
        </w:tc>
      </w:tr>
      <w:tr w:rsidR="00E7045B" w:rsidRPr="00440196" w14:paraId="458A7042" w14:textId="77777777" w:rsidTr="00440196">
        <w:trPr>
          <w:trHeight w:val="137"/>
        </w:trPr>
        <w:tc>
          <w:tcPr>
            <w:tcW w:w="2797" w:type="pct"/>
            <w:shd w:val="clear" w:color="auto" w:fill="auto"/>
            <w:noWrap/>
            <w:vAlign w:val="bottom"/>
            <w:hideMark/>
          </w:tcPr>
          <w:p w14:paraId="5D96D152" w14:textId="77777777" w:rsidR="00E7045B" w:rsidRPr="007831BB" w:rsidRDefault="00E7045B" w:rsidP="00440196">
            <w:pPr>
              <w:widowControl w:val="0"/>
              <w:tabs>
                <w:tab w:val="left" w:pos="6480"/>
                <w:tab w:val="left" w:pos="7200"/>
              </w:tabs>
              <w:spacing w:before="40" w:after="40"/>
              <w:rPr>
                <w:sz w:val="18"/>
              </w:rPr>
            </w:pPr>
            <w:r w:rsidRPr="00440196">
              <w:rPr>
                <w:sz w:val="18"/>
              </w:rPr>
              <w:t>Software and other miscellaneous expenses</w:t>
            </w:r>
          </w:p>
        </w:tc>
        <w:tc>
          <w:tcPr>
            <w:tcW w:w="707" w:type="pct"/>
            <w:shd w:val="clear" w:color="auto" w:fill="auto"/>
            <w:noWrap/>
            <w:vAlign w:val="bottom"/>
            <w:hideMark/>
          </w:tcPr>
          <w:p w14:paraId="7DE91FFC"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4 000</w:t>
            </w:r>
          </w:p>
        </w:tc>
        <w:tc>
          <w:tcPr>
            <w:tcW w:w="691" w:type="pct"/>
            <w:shd w:val="clear" w:color="auto" w:fill="auto"/>
            <w:noWrap/>
            <w:vAlign w:val="bottom"/>
            <w:hideMark/>
          </w:tcPr>
          <w:p w14:paraId="737D07A5"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1 000</w:t>
            </w:r>
          </w:p>
        </w:tc>
        <w:tc>
          <w:tcPr>
            <w:tcW w:w="805" w:type="pct"/>
            <w:shd w:val="clear" w:color="auto" w:fill="auto"/>
            <w:noWrap/>
            <w:vAlign w:val="bottom"/>
            <w:hideMark/>
          </w:tcPr>
          <w:p w14:paraId="1E9B43F2"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3 000</w:t>
            </w:r>
          </w:p>
        </w:tc>
      </w:tr>
      <w:tr w:rsidR="00E7045B" w:rsidRPr="00440196" w14:paraId="3EC4832F" w14:textId="77777777" w:rsidTr="00440196">
        <w:trPr>
          <w:trHeight w:val="137"/>
        </w:trPr>
        <w:tc>
          <w:tcPr>
            <w:tcW w:w="2797" w:type="pct"/>
            <w:tcBorders>
              <w:bottom w:val="single" w:sz="4" w:space="0" w:color="auto"/>
            </w:tcBorders>
            <w:shd w:val="clear" w:color="auto" w:fill="auto"/>
            <w:noWrap/>
            <w:vAlign w:val="bottom"/>
            <w:hideMark/>
          </w:tcPr>
          <w:p w14:paraId="6B01698B" w14:textId="77777777" w:rsidR="00E7045B" w:rsidRPr="007831BB" w:rsidRDefault="00E7045B" w:rsidP="00440196">
            <w:pPr>
              <w:widowControl w:val="0"/>
              <w:tabs>
                <w:tab w:val="left" w:pos="6480"/>
                <w:tab w:val="left" w:pos="7200"/>
              </w:tabs>
              <w:spacing w:before="40" w:after="40"/>
              <w:rPr>
                <w:sz w:val="18"/>
                <w:szCs w:val="18"/>
              </w:rPr>
            </w:pPr>
            <w:r w:rsidRPr="00440196">
              <w:rPr>
                <w:sz w:val="18"/>
              </w:rPr>
              <w:t xml:space="preserve">IT support </w:t>
            </w:r>
            <w:r w:rsidRPr="00440196">
              <w:rPr>
                <w:sz w:val="18"/>
                <w:szCs w:val="18"/>
              </w:rPr>
              <w:t xml:space="preserve">services </w:t>
            </w:r>
            <w:r w:rsidRPr="00440196">
              <w:rPr>
                <w:sz w:val="18"/>
                <w:szCs w:val="18"/>
                <w:vertAlign w:val="superscript"/>
              </w:rPr>
              <w:t>c</w:t>
            </w:r>
          </w:p>
        </w:tc>
        <w:tc>
          <w:tcPr>
            <w:tcW w:w="707" w:type="pct"/>
            <w:tcBorders>
              <w:bottom w:val="single" w:sz="4" w:space="0" w:color="auto"/>
            </w:tcBorders>
            <w:shd w:val="clear" w:color="auto" w:fill="auto"/>
            <w:noWrap/>
            <w:vAlign w:val="bottom"/>
            <w:hideMark/>
          </w:tcPr>
          <w:p w14:paraId="303AE3F8"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20 000</w:t>
            </w:r>
          </w:p>
        </w:tc>
        <w:tc>
          <w:tcPr>
            <w:tcW w:w="691" w:type="pct"/>
            <w:tcBorders>
              <w:bottom w:val="single" w:sz="4" w:space="0" w:color="auto"/>
            </w:tcBorders>
            <w:shd w:val="clear" w:color="auto" w:fill="auto"/>
            <w:noWrap/>
            <w:vAlign w:val="bottom"/>
            <w:hideMark/>
          </w:tcPr>
          <w:p w14:paraId="5E487F47"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49 000</w:t>
            </w:r>
          </w:p>
        </w:tc>
        <w:tc>
          <w:tcPr>
            <w:tcW w:w="805" w:type="pct"/>
            <w:tcBorders>
              <w:bottom w:val="single" w:sz="4" w:space="0" w:color="auto"/>
            </w:tcBorders>
            <w:shd w:val="clear" w:color="auto" w:fill="auto"/>
            <w:noWrap/>
            <w:vAlign w:val="bottom"/>
            <w:hideMark/>
          </w:tcPr>
          <w:p w14:paraId="1E47ACFF" w14:textId="77777777" w:rsidR="00E7045B" w:rsidRPr="007831BB" w:rsidRDefault="00E7045B" w:rsidP="00440196">
            <w:pPr>
              <w:widowControl w:val="0"/>
              <w:tabs>
                <w:tab w:val="left" w:pos="6480"/>
                <w:tab w:val="left" w:pos="7200"/>
              </w:tabs>
              <w:spacing w:before="40" w:after="40"/>
              <w:jc w:val="right"/>
              <w:rPr>
                <w:color w:val="000000"/>
                <w:sz w:val="18"/>
                <w:szCs w:val="18"/>
              </w:rPr>
            </w:pPr>
            <w:r w:rsidRPr="00440196">
              <w:rPr>
                <w:b/>
                <w:color w:val="000000"/>
                <w:sz w:val="18"/>
              </w:rPr>
              <w:t>-</w:t>
            </w:r>
            <w:r w:rsidRPr="00440196">
              <w:rPr>
                <w:color w:val="000000"/>
                <w:sz w:val="18"/>
              </w:rPr>
              <w:t>29 000</w:t>
            </w:r>
          </w:p>
        </w:tc>
      </w:tr>
      <w:tr w:rsidR="00E7045B" w:rsidRPr="00440196" w14:paraId="33DF3D0E" w14:textId="77777777" w:rsidTr="00440196">
        <w:trPr>
          <w:trHeight w:val="162"/>
        </w:trPr>
        <w:tc>
          <w:tcPr>
            <w:tcW w:w="2797" w:type="pct"/>
            <w:tcBorders>
              <w:top w:val="single" w:sz="4" w:space="0" w:color="auto"/>
              <w:bottom w:val="single" w:sz="4" w:space="0" w:color="auto"/>
            </w:tcBorders>
            <w:shd w:val="clear" w:color="auto" w:fill="auto"/>
            <w:noWrap/>
            <w:vAlign w:val="bottom"/>
            <w:hideMark/>
          </w:tcPr>
          <w:p w14:paraId="13E98608"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3.2.5 Printers, photocopiers and IT services</w:t>
            </w:r>
          </w:p>
        </w:tc>
        <w:tc>
          <w:tcPr>
            <w:tcW w:w="707" w:type="pct"/>
            <w:tcBorders>
              <w:top w:val="single" w:sz="4" w:space="0" w:color="auto"/>
              <w:bottom w:val="single" w:sz="4" w:space="0" w:color="auto"/>
            </w:tcBorders>
            <w:shd w:val="clear" w:color="auto" w:fill="auto"/>
            <w:noWrap/>
            <w:vAlign w:val="bottom"/>
            <w:hideMark/>
          </w:tcPr>
          <w:p w14:paraId="00C7A03A"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29 000</w:t>
            </w:r>
          </w:p>
        </w:tc>
        <w:tc>
          <w:tcPr>
            <w:tcW w:w="691" w:type="pct"/>
            <w:tcBorders>
              <w:top w:val="single" w:sz="4" w:space="0" w:color="auto"/>
              <w:bottom w:val="single" w:sz="4" w:space="0" w:color="auto"/>
            </w:tcBorders>
            <w:shd w:val="clear" w:color="auto" w:fill="auto"/>
            <w:noWrap/>
            <w:vAlign w:val="bottom"/>
            <w:hideMark/>
          </w:tcPr>
          <w:p w14:paraId="055A70D8"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54 101</w:t>
            </w:r>
          </w:p>
        </w:tc>
        <w:tc>
          <w:tcPr>
            <w:tcW w:w="805" w:type="pct"/>
            <w:tcBorders>
              <w:top w:val="single" w:sz="4" w:space="0" w:color="auto"/>
              <w:bottom w:val="single" w:sz="4" w:space="0" w:color="auto"/>
            </w:tcBorders>
            <w:shd w:val="clear" w:color="auto" w:fill="auto"/>
            <w:noWrap/>
            <w:vAlign w:val="bottom"/>
            <w:hideMark/>
          </w:tcPr>
          <w:p w14:paraId="79A7C28B" w14:textId="77777777" w:rsidR="00E7045B" w:rsidRPr="007831BB" w:rsidRDefault="00E7045B" w:rsidP="00440196">
            <w:pPr>
              <w:widowControl w:val="0"/>
              <w:tabs>
                <w:tab w:val="left" w:pos="6480"/>
                <w:tab w:val="left" w:pos="7200"/>
              </w:tabs>
              <w:spacing w:before="40" w:after="40"/>
              <w:jc w:val="right"/>
              <w:rPr>
                <w:b/>
                <w:color w:val="000000"/>
                <w:sz w:val="18"/>
              </w:rPr>
            </w:pPr>
            <w:r w:rsidRPr="00440196">
              <w:rPr>
                <w:b/>
                <w:color w:val="000000"/>
                <w:sz w:val="18"/>
              </w:rPr>
              <w:t>-25 101</w:t>
            </w:r>
          </w:p>
        </w:tc>
      </w:tr>
      <w:tr w:rsidR="00E7045B" w:rsidRPr="00440196" w14:paraId="3ACB23F0" w14:textId="77777777" w:rsidTr="00440196">
        <w:trPr>
          <w:trHeight w:val="137"/>
        </w:trPr>
        <w:tc>
          <w:tcPr>
            <w:tcW w:w="2797" w:type="pct"/>
            <w:tcBorders>
              <w:top w:val="single" w:sz="4" w:space="0" w:color="auto"/>
            </w:tcBorders>
            <w:shd w:val="clear" w:color="auto" w:fill="auto"/>
            <w:noWrap/>
            <w:vAlign w:val="bottom"/>
            <w:hideMark/>
          </w:tcPr>
          <w:p w14:paraId="16360932" w14:textId="77777777" w:rsidR="00E7045B" w:rsidRPr="007831BB" w:rsidRDefault="00E7045B" w:rsidP="00440196">
            <w:pPr>
              <w:widowControl w:val="0"/>
              <w:tabs>
                <w:tab w:val="left" w:pos="6480"/>
                <w:tab w:val="left" w:pos="7200"/>
              </w:tabs>
              <w:spacing w:before="40" w:after="40"/>
              <w:rPr>
                <w:b/>
                <w:sz w:val="18"/>
              </w:rPr>
            </w:pPr>
            <w:r w:rsidRPr="00440196">
              <w:rPr>
                <w:b/>
                <w:sz w:val="18"/>
              </w:rPr>
              <w:t>3.2.6 Telephone, postage and miscellaneous</w:t>
            </w:r>
          </w:p>
        </w:tc>
        <w:tc>
          <w:tcPr>
            <w:tcW w:w="707" w:type="pct"/>
            <w:tcBorders>
              <w:top w:val="single" w:sz="4" w:space="0" w:color="auto"/>
            </w:tcBorders>
            <w:shd w:val="clear" w:color="auto" w:fill="auto"/>
            <w:noWrap/>
            <w:vAlign w:val="bottom"/>
            <w:hideMark/>
          </w:tcPr>
          <w:p w14:paraId="320B851A" w14:textId="77777777" w:rsidR="00E7045B" w:rsidRPr="00440196" w:rsidRDefault="00E7045B" w:rsidP="00440196">
            <w:pPr>
              <w:spacing w:before="40" w:after="40"/>
              <w:jc w:val="right"/>
              <w:rPr>
                <w:sz w:val="18"/>
              </w:rPr>
            </w:pPr>
          </w:p>
        </w:tc>
        <w:tc>
          <w:tcPr>
            <w:tcW w:w="691" w:type="pct"/>
            <w:tcBorders>
              <w:top w:val="single" w:sz="4" w:space="0" w:color="auto"/>
            </w:tcBorders>
            <w:shd w:val="clear" w:color="auto" w:fill="auto"/>
            <w:noWrap/>
            <w:vAlign w:val="bottom"/>
            <w:hideMark/>
          </w:tcPr>
          <w:p w14:paraId="7EFE0A49" w14:textId="77777777" w:rsidR="00E7045B" w:rsidRPr="00440196" w:rsidRDefault="00E7045B" w:rsidP="00440196">
            <w:pPr>
              <w:spacing w:before="40" w:after="40"/>
              <w:jc w:val="right"/>
              <w:rPr>
                <w:sz w:val="18"/>
              </w:rPr>
            </w:pPr>
          </w:p>
        </w:tc>
        <w:tc>
          <w:tcPr>
            <w:tcW w:w="805" w:type="pct"/>
            <w:tcBorders>
              <w:top w:val="single" w:sz="4" w:space="0" w:color="auto"/>
            </w:tcBorders>
            <w:shd w:val="clear" w:color="auto" w:fill="auto"/>
            <w:noWrap/>
            <w:vAlign w:val="bottom"/>
            <w:hideMark/>
          </w:tcPr>
          <w:p w14:paraId="72DD9C89" w14:textId="77777777" w:rsidR="00E7045B" w:rsidRPr="00440196" w:rsidRDefault="00E7045B" w:rsidP="00440196">
            <w:pPr>
              <w:spacing w:before="40" w:after="40"/>
              <w:jc w:val="right"/>
              <w:rPr>
                <w:sz w:val="18"/>
              </w:rPr>
            </w:pPr>
          </w:p>
        </w:tc>
      </w:tr>
      <w:tr w:rsidR="00E7045B" w:rsidRPr="00440196" w14:paraId="130BB7DD" w14:textId="77777777" w:rsidTr="00440196">
        <w:trPr>
          <w:trHeight w:val="137"/>
        </w:trPr>
        <w:tc>
          <w:tcPr>
            <w:tcW w:w="2797" w:type="pct"/>
            <w:shd w:val="clear" w:color="auto" w:fill="auto"/>
            <w:noWrap/>
            <w:vAlign w:val="bottom"/>
            <w:hideMark/>
          </w:tcPr>
          <w:p w14:paraId="1E2E84E2" w14:textId="77777777" w:rsidR="00E7045B" w:rsidRPr="007831BB" w:rsidRDefault="00E7045B" w:rsidP="00440196">
            <w:pPr>
              <w:widowControl w:val="0"/>
              <w:tabs>
                <w:tab w:val="left" w:pos="6480"/>
                <w:tab w:val="left" w:pos="7200"/>
              </w:tabs>
              <w:spacing w:before="40" w:after="40"/>
              <w:rPr>
                <w:sz w:val="18"/>
              </w:rPr>
            </w:pPr>
            <w:r w:rsidRPr="00440196">
              <w:rPr>
                <w:sz w:val="18"/>
              </w:rPr>
              <w:t xml:space="preserve">Telephone </w:t>
            </w:r>
          </w:p>
        </w:tc>
        <w:tc>
          <w:tcPr>
            <w:tcW w:w="707" w:type="pct"/>
            <w:shd w:val="clear" w:color="auto" w:fill="auto"/>
            <w:noWrap/>
            <w:vAlign w:val="bottom"/>
            <w:hideMark/>
          </w:tcPr>
          <w:p w14:paraId="79AC8BA5"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20 000</w:t>
            </w:r>
          </w:p>
        </w:tc>
        <w:tc>
          <w:tcPr>
            <w:tcW w:w="691" w:type="pct"/>
            <w:shd w:val="clear" w:color="auto" w:fill="auto"/>
            <w:noWrap/>
            <w:vAlign w:val="bottom"/>
            <w:hideMark/>
          </w:tcPr>
          <w:p w14:paraId="6B7625F6"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9 843</w:t>
            </w:r>
          </w:p>
        </w:tc>
        <w:tc>
          <w:tcPr>
            <w:tcW w:w="805" w:type="pct"/>
            <w:shd w:val="clear" w:color="auto" w:fill="auto"/>
            <w:noWrap/>
            <w:vAlign w:val="bottom"/>
            <w:hideMark/>
          </w:tcPr>
          <w:p w14:paraId="2E9B334C"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10 157</w:t>
            </w:r>
          </w:p>
        </w:tc>
      </w:tr>
      <w:tr w:rsidR="00E7045B" w:rsidRPr="00440196" w14:paraId="59935F30" w14:textId="77777777" w:rsidTr="00440196">
        <w:trPr>
          <w:trHeight w:val="137"/>
        </w:trPr>
        <w:tc>
          <w:tcPr>
            <w:tcW w:w="2797" w:type="pct"/>
            <w:tcBorders>
              <w:bottom w:val="single" w:sz="4" w:space="0" w:color="auto"/>
            </w:tcBorders>
            <w:shd w:val="clear" w:color="auto" w:fill="auto"/>
            <w:noWrap/>
            <w:vAlign w:val="bottom"/>
            <w:hideMark/>
          </w:tcPr>
          <w:p w14:paraId="4399572D" w14:textId="77777777" w:rsidR="00E7045B" w:rsidRPr="007831BB" w:rsidRDefault="00E7045B" w:rsidP="00440196">
            <w:pPr>
              <w:widowControl w:val="0"/>
              <w:tabs>
                <w:tab w:val="left" w:pos="6480"/>
                <w:tab w:val="left" w:pos="7200"/>
              </w:tabs>
              <w:spacing w:before="40" w:after="40"/>
              <w:rPr>
                <w:sz w:val="18"/>
              </w:rPr>
            </w:pPr>
            <w:r w:rsidRPr="00440196">
              <w:rPr>
                <w:sz w:val="18"/>
              </w:rPr>
              <w:t xml:space="preserve">Postage and miscellaneous </w:t>
            </w:r>
          </w:p>
        </w:tc>
        <w:tc>
          <w:tcPr>
            <w:tcW w:w="707" w:type="pct"/>
            <w:tcBorders>
              <w:bottom w:val="single" w:sz="4" w:space="0" w:color="auto"/>
            </w:tcBorders>
            <w:shd w:val="clear" w:color="auto" w:fill="auto"/>
            <w:noWrap/>
            <w:vAlign w:val="bottom"/>
            <w:hideMark/>
          </w:tcPr>
          <w:p w14:paraId="6CB23488"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2 000</w:t>
            </w:r>
          </w:p>
        </w:tc>
        <w:tc>
          <w:tcPr>
            <w:tcW w:w="691" w:type="pct"/>
            <w:tcBorders>
              <w:bottom w:val="single" w:sz="4" w:space="0" w:color="auto"/>
            </w:tcBorders>
            <w:shd w:val="clear" w:color="auto" w:fill="auto"/>
            <w:noWrap/>
            <w:vAlign w:val="bottom"/>
            <w:hideMark/>
          </w:tcPr>
          <w:p w14:paraId="0B9647C9"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335</w:t>
            </w:r>
          </w:p>
        </w:tc>
        <w:tc>
          <w:tcPr>
            <w:tcW w:w="805" w:type="pct"/>
            <w:tcBorders>
              <w:bottom w:val="single" w:sz="4" w:space="0" w:color="auto"/>
            </w:tcBorders>
            <w:shd w:val="clear" w:color="auto" w:fill="auto"/>
            <w:noWrap/>
            <w:vAlign w:val="bottom"/>
            <w:hideMark/>
          </w:tcPr>
          <w:p w14:paraId="1F4C9F98"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1 665</w:t>
            </w:r>
          </w:p>
        </w:tc>
      </w:tr>
      <w:tr w:rsidR="00E7045B" w:rsidRPr="00440196" w14:paraId="77887DD7" w14:textId="77777777" w:rsidTr="00440196">
        <w:trPr>
          <w:trHeight w:val="162"/>
        </w:trPr>
        <w:tc>
          <w:tcPr>
            <w:tcW w:w="2797" w:type="pct"/>
            <w:tcBorders>
              <w:top w:val="single" w:sz="4" w:space="0" w:color="auto"/>
              <w:bottom w:val="single" w:sz="4" w:space="0" w:color="auto"/>
            </w:tcBorders>
            <w:shd w:val="clear" w:color="auto" w:fill="auto"/>
            <w:noWrap/>
            <w:vAlign w:val="bottom"/>
            <w:hideMark/>
          </w:tcPr>
          <w:p w14:paraId="05B78D88"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3.2.6 Telephone, postage and miscellaneous</w:t>
            </w:r>
          </w:p>
        </w:tc>
        <w:tc>
          <w:tcPr>
            <w:tcW w:w="707" w:type="pct"/>
            <w:tcBorders>
              <w:top w:val="single" w:sz="4" w:space="0" w:color="auto"/>
              <w:bottom w:val="single" w:sz="4" w:space="0" w:color="auto"/>
            </w:tcBorders>
            <w:shd w:val="clear" w:color="auto" w:fill="auto"/>
            <w:noWrap/>
            <w:vAlign w:val="bottom"/>
            <w:hideMark/>
          </w:tcPr>
          <w:p w14:paraId="6DBD4CC1"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22 000</w:t>
            </w:r>
          </w:p>
        </w:tc>
        <w:tc>
          <w:tcPr>
            <w:tcW w:w="691" w:type="pct"/>
            <w:tcBorders>
              <w:top w:val="single" w:sz="4" w:space="0" w:color="auto"/>
              <w:bottom w:val="single" w:sz="4" w:space="0" w:color="auto"/>
            </w:tcBorders>
            <w:shd w:val="clear" w:color="auto" w:fill="auto"/>
            <w:noWrap/>
            <w:vAlign w:val="bottom"/>
            <w:hideMark/>
          </w:tcPr>
          <w:p w14:paraId="12368AB7"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10 178 </w:t>
            </w:r>
          </w:p>
        </w:tc>
        <w:tc>
          <w:tcPr>
            <w:tcW w:w="805" w:type="pct"/>
            <w:tcBorders>
              <w:top w:val="single" w:sz="4" w:space="0" w:color="auto"/>
              <w:bottom w:val="single" w:sz="4" w:space="0" w:color="auto"/>
            </w:tcBorders>
            <w:shd w:val="clear" w:color="auto" w:fill="auto"/>
            <w:noWrap/>
            <w:vAlign w:val="bottom"/>
            <w:hideMark/>
          </w:tcPr>
          <w:p w14:paraId="51745909"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11 822</w:t>
            </w:r>
          </w:p>
        </w:tc>
      </w:tr>
      <w:tr w:rsidR="00E7045B" w:rsidRPr="00440196" w14:paraId="2E5108F3" w14:textId="77777777" w:rsidTr="00440196">
        <w:trPr>
          <w:trHeight w:val="137"/>
        </w:trPr>
        <w:tc>
          <w:tcPr>
            <w:tcW w:w="2797" w:type="pct"/>
            <w:tcBorders>
              <w:top w:val="single" w:sz="4" w:space="0" w:color="auto"/>
            </w:tcBorders>
            <w:shd w:val="clear" w:color="auto" w:fill="auto"/>
            <w:noWrap/>
            <w:vAlign w:val="bottom"/>
            <w:hideMark/>
          </w:tcPr>
          <w:p w14:paraId="4A509D90" w14:textId="77777777" w:rsidR="00E7045B" w:rsidRPr="007831BB" w:rsidRDefault="00E7045B" w:rsidP="00440196">
            <w:pPr>
              <w:widowControl w:val="0"/>
              <w:tabs>
                <w:tab w:val="left" w:pos="6480"/>
                <w:tab w:val="left" w:pos="7200"/>
              </w:tabs>
              <w:spacing w:before="40" w:after="40"/>
              <w:rPr>
                <w:b/>
                <w:sz w:val="18"/>
              </w:rPr>
            </w:pPr>
            <w:r w:rsidRPr="00440196">
              <w:rPr>
                <w:b/>
                <w:sz w:val="18"/>
              </w:rPr>
              <w:t xml:space="preserve">3.2.7 Hospitality </w:t>
            </w:r>
          </w:p>
        </w:tc>
        <w:tc>
          <w:tcPr>
            <w:tcW w:w="707" w:type="pct"/>
            <w:tcBorders>
              <w:top w:val="single" w:sz="4" w:space="0" w:color="auto"/>
            </w:tcBorders>
            <w:shd w:val="clear" w:color="auto" w:fill="auto"/>
            <w:noWrap/>
            <w:vAlign w:val="bottom"/>
            <w:hideMark/>
          </w:tcPr>
          <w:p w14:paraId="11B96BEA" w14:textId="77777777" w:rsidR="00E7045B" w:rsidRPr="00440196" w:rsidRDefault="00E7045B" w:rsidP="00440196">
            <w:pPr>
              <w:spacing w:before="40" w:after="40"/>
              <w:jc w:val="right"/>
              <w:rPr>
                <w:sz w:val="18"/>
              </w:rPr>
            </w:pPr>
          </w:p>
        </w:tc>
        <w:tc>
          <w:tcPr>
            <w:tcW w:w="691" w:type="pct"/>
            <w:tcBorders>
              <w:top w:val="single" w:sz="4" w:space="0" w:color="auto"/>
            </w:tcBorders>
            <w:shd w:val="clear" w:color="auto" w:fill="auto"/>
            <w:noWrap/>
            <w:vAlign w:val="bottom"/>
            <w:hideMark/>
          </w:tcPr>
          <w:p w14:paraId="116DB83E" w14:textId="77777777" w:rsidR="00E7045B" w:rsidRPr="00440196" w:rsidRDefault="00E7045B" w:rsidP="00440196">
            <w:pPr>
              <w:spacing w:before="40" w:after="40"/>
              <w:jc w:val="right"/>
              <w:rPr>
                <w:sz w:val="18"/>
              </w:rPr>
            </w:pPr>
          </w:p>
        </w:tc>
        <w:tc>
          <w:tcPr>
            <w:tcW w:w="805" w:type="pct"/>
            <w:tcBorders>
              <w:top w:val="single" w:sz="4" w:space="0" w:color="auto"/>
            </w:tcBorders>
            <w:shd w:val="clear" w:color="auto" w:fill="auto"/>
            <w:noWrap/>
            <w:vAlign w:val="bottom"/>
            <w:hideMark/>
          </w:tcPr>
          <w:p w14:paraId="3941D9E5" w14:textId="77777777" w:rsidR="00E7045B" w:rsidRPr="00440196" w:rsidRDefault="00E7045B" w:rsidP="00440196">
            <w:pPr>
              <w:spacing w:before="40" w:after="40"/>
              <w:jc w:val="right"/>
              <w:rPr>
                <w:sz w:val="18"/>
              </w:rPr>
            </w:pPr>
          </w:p>
        </w:tc>
      </w:tr>
      <w:tr w:rsidR="00E7045B" w:rsidRPr="00440196" w14:paraId="6F5AD638" w14:textId="77777777" w:rsidTr="00440196">
        <w:trPr>
          <w:trHeight w:val="137"/>
        </w:trPr>
        <w:tc>
          <w:tcPr>
            <w:tcW w:w="2797" w:type="pct"/>
            <w:tcBorders>
              <w:bottom w:val="single" w:sz="4" w:space="0" w:color="auto"/>
            </w:tcBorders>
            <w:shd w:val="clear" w:color="auto" w:fill="auto"/>
            <w:noWrap/>
            <w:vAlign w:val="bottom"/>
            <w:hideMark/>
          </w:tcPr>
          <w:p w14:paraId="75D1152F" w14:textId="77777777" w:rsidR="00E7045B" w:rsidRPr="007831BB" w:rsidRDefault="00E7045B" w:rsidP="00440196">
            <w:pPr>
              <w:widowControl w:val="0"/>
              <w:tabs>
                <w:tab w:val="left" w:pos="6480"/>
                <w:tab w:val="left" w:pos="7200"/>
              </w:tabs>
              <w:spacing w:before="40" w:after="40"/>
              <w:rPr>
                <w:sz w:val="18"/>
              </w:rPr>
            </w:pPr>
            <w:r w:rsidRPr="00440196">
              <w:rPr>
                <w:sz w:val="18"/>
              </w:rPr>
              <w:t xml:space="preserve">Hospitality </w:t>
            </w:r>
          </w:p>
        </w:tc>
        <w:tc>
          <w:tcPr>
            <w:tcW w:w="707" w:type="pct"/>
            <w:tcBorders>
              <w:bottom w:val="single" w:sz="4" w:space="0" w:color="auto"/>
            </w:tcBorders>
            <w:shd w:val="clear" w:color="auto" w:fill="auto"/>
            <w:noWrap/>
            <w:vAlign w:val="bottom"/>
            <w:hideMark/>
          </w:tcPr>
          <w:p w14:paraId="7126B424"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5 000</w:t>
            </w:r>
          </w:p>
        </w:tc>
        <w:tc>
          <w:tcPr>
            <w:tcW w:w="691" w:type="pct"/>
            <w:tcBorders>
              <w:bottom w:val="single" w:sz="4" w:space="0" w:color="auto"/>
            </w:tcBorders>
            <w:shd w:val="clear" w:color="auto" w:fill="auto"/>
            <w:noWrap/>
            <w:vAlign w:val="bottom"/>
            <w:hideMark/>
          </w:tcPr>
          <w:p w14:paraId="74D9C3E2"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 xml:space="preserve">0 </w:t>
            </w:r>
          </w:p>
        </w:tc>
        <w:tc>
          <w:tcPr>
            <w:tcW w:w="805" w:type="pct"/>
            <w:tcBorders>
              <w:bottom w:val="single" w:sz="4" w:space="0" w:color="auto"/>
            </w:tcBorders>
            <w:shd w:val="clear" w:color="auto" w:fill="auto"/>
            <w:noWrap/>
            <w:vAlign w:val="bottom"/>
            <w:hideMark/>
          </w:tcPr>
          <w:p w14:paraId="613CAA36"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5 000</w:t>
            </w:r>
          </w:p>
        </w:tc>
      </w:tr>
      <w:tr w:rsidR="00E7045B" w:rsidRPr="00440196" w14:paraId="77FD48E8" w14:textId="77777777" w:rsidTr="00440196">
        <w:trPr>
          <w:trHeight w:val="162"/>
        </w:trPr>
        <w:tc>
          <w:tcPr>
            <w:tcW w:w="2797" w:type="pct"/>
            <w:tcBorders>
              <w:top w:val="single" w:sz="4" w:space="0" w:color="auto"/>
              <w:bottom w:val="single" w:sz="4" w:space="0" w:color="auto"/>
            </w:tcBorders>
            <w:shd w:val="clear" w:color="auto" w:fill="auto"/>
            <w:noWrap/>
            <w:vAlign w:val="bottom"/>
            <w:hideMark/>
          </w:tcPr>
          <w:p w14:paraId="0AD9252C"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3.2.7 Hospitality</w:t>
            </w:r>
          </w:p>
        </w:tc>
        <w:tc>
          <w:tcPr>
            <w:tcW w:w="707" w:type="pct"/>
            <w:tcBorders>
              <w:top w:val="single" w:sz="4" w:space="0" w:color="auto"/>
              <w:bottom w:val="single" w:sz="4" w:space="0" w:color="auto"/>
            </w:tcBorders>
            <w:shd w:val="clear" w:color="auto" w:fill="auto"/>
            <w:noWrap/>
            <w:vAlign w:val="bottom"/>
            <w:hideMark/>
          </w:tcPr>
          <w:p w14:paraId="4773C201"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5 000</w:t>
            </w:r>
          </w:p>
        </w:tc>
        <w:tc>
          <w:tcPr>
            <w:tcW w:w="691" w:type="pct"/>
            <w:tcBorders>
              <w:top w:val="single" w:sz="4" w:space="0" w:color="auto"/>
              <w:bottom w:val="single" w:sz="4" w:space="0" w:color="auto"/>
            </w:tcBorders>
            <w:shd w:val="clear" w:color="auto" w:fill="auto"/>
            <w:noWrap/>
            <w:vAlign w:val="bottom"/>
            <w:hideMark/>
          </w:tcPr>
          <w:p w14:paraId="3EE682F8"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 xml:space="preserve">0 </w:t>
            </w:r>
          </w:p>
        </w:tc>
        <w:tc>
          <w:tcPr>
            <w:tcW w:w="805" w:type="pct"/>
            <w:tcBorders>
              <w:top w:val="single" w:sz="4" w:space="0" w:color="auto"/>
              <w:bottom w:val="single" w:sz="4" w:space="0" w:color="auto"/>
            </w:tcBorders>
            <w:shd w:val="clear" w:color="auto" w:fill="auto"/>
            <w:noWrap/>
            <w:vAlign w:val="bottom"/>
            <w:hideMark/>
          </w:tcPr>
          <w:p w14:paraId="2C3B3F6F"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5 000</w:t>
            </w:r>
          </w:p>
        </w:tc>
      </w:tr>
      <w:tr w:rsidR="00E7045B" w:rsidRPr="00440196" w14:paraId="620497E0" w14:textId="77777777" w:rsidTr="00440196">
        <w:trPr>
          <w:trHeight w:val="162"/>
        </w:trPr>
        <w:tc>
          <w:tcPr>
            <w:tcW w:w="2797" w:type="pct"/>
            <w:tcBorders>
              <w:top w:val="single" w:sz="4" w:space="0" w:color="auto"/>
              <w:bottom w:val="single" w:sz="4" w:space="0" w:color="auto"/>
            </w:tcBorders>
            <w:shd w:val="clear" w:color="auto" w:fill="auto"/>
            <w:noWrap/>
            <w:vAlign w:val="bottom"/>
            <w:hideMark/>
          </w:tcPr>
          <w:p w14:paraId="4AE2E657"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3.2 Operating costs (non-personnel)</w:t>
            </w:r>
          </w:p>
        </w:tc>
        <w:tc>
          <w:tcPr>
            <w:tcW w:w="707" w:type="pct"/>
            <w:tcBorders>
              <w:top w:val="single" w:sz="4" w:space="0" w:color="auto"/>
              <w:bottom w:val="single" w:sz="4" w:space="0" w:color="auto"/>
            </w:tcBorders>
            <w:shd w:val="clear" w:color="auto" w:fill="auto"/>
            <w:noWrap/>
            <w:vAlign w:val="bottom"/>
            <w:hideMark/>
          </w:tcPr>
          <w:p w14:paraId="7DAB6D65"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262 500</w:t>
            </w:r>
          </w:p>
        </w:tc>
        <w:tc>
          <w:tcPr>
            <w:tcW w:w="691" w:type="pct"/>
            <w:tcBorders>
              <w:top w:val="single" w:sz="4" w:space="0" w:color="auto"/>
              <w:bottom w:val="single" w:sz="4" w:space="0" w:color="auto"/>
            </w:tcBorders>
            <w:shd w:val="clear" w:color="auto" w:fill="auto"/>
            <w:noWrap/>
            <w:vAlign w:val="bottom"/>
            <w:hideMark/>
          </w:tcPr>
          <w:p w14:paraId="3490BB12"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200 444</w:t>
            </w:r>
          </w:p>
        </w:tc>
        <w:tc>
          <w:tcPr>
            <w:tcW w:w="805" w:type="pct"/>
            <w:tcBorders>
              <w:top w:val="single" w:sz="4" w:space="0" w:color="auto"/>
              <w:bottom w:val="single" w:sz="4" w:space="0" w:color="auto"/>
            </w:tcBorders>
            <w:shd w:val="clear" w:color="auto" w:fill="auto"/>
            <w:noWrap/>
            <w:vAlign w:val="bottom"/>
            <w:hideMark/>
          </w:tcPr>
          <w:p w14:paraId="2F65734A"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62 056</w:t>
            </w:r>
          </w:p>
        </w:tc>
      </w:tr>
      <w:tr w:rsidR="00E7045B" w:rsidRPr="00440196" w14:paraId="399ED40A" w14:textId="77777777" w:rsidTr="00440196">
        <w:trPr>
          <w:trHeight w:val="172"/>
        </w:trPr>
        <w:tc>
          <w:tcPr>
            <w:tcW w:w="2797" w:type="pct"/>
            <w:tcBorders>
              <w:top w:val="single" w:sz="4" w:space="0" w:color="auto"/>
              <w:bottom w:val="single" w:sz="4" w:space="0" w:color="auto"/>
            </w:tcBorders>
            <w:shd w:val="clear" w:color="auto" w:fill="auto"/>
            <w:noWrap/>
            <w:vAlign w:val="bottom"/>
            <w:hideMark/>
          </w:tcPr>
          <w:p w14:paraId="65435CD7" w14:textId="77777777" w:rsidR="00E7045B" w:rsidRPr="007831BB" w:rsidRDefault="00E7045B" w:rsidP="00440196">
            <w:pPr>
              <w:widowControl w:val="0"/>
              <w:tabs>
                <w:tab w:val="left" w:pos="6480"/>
                <w:tab w:val="left" w:pos="7200"/>
              </w:tabs>
              <w:spacing w:before="40" w:after="40"/>
              <w:rPr>
                <w:b/>
                <w:bCs/>
                <w:sz w:val="18"/>
                <w:szCs w:val="18"/>
              </w:rPr>
            </w:pPr>
            <w:r w:rsidRPr="00440196">
              <w:rPr>
                <w:b/>
                <w:sz w:val="18"/>
              </w:rPr>
              <w:t xml:space="preserve">Subtotal 3 Secretariat (personnel </w:t>
            </w:r>
            <w:r w:rsidRPr="00440196">
              <w:rPr>
                <w:b/>
                <w:bCs/>
                <w:sz w:val="18"/>
                <w:szCs w:val="18"/>
              </w:rPr>
              <w:t>and</w:t>
            </w:r>
            <w:r w:rsidRPr="00440196">
              <w:rPr>
                <w:b/>
                <w:sz w:val="18"/>
              </w:rPr>
              <w:t xml:space="preserve"> operating costs)</w:t>
            </w:r>
          </w:p>
        </w:tc>
        <w:tc>
          <w:tcPr>
            <w:tcW w:w="707" w:type="pct"/>
            <w:tcBorders>
              <w:top w:val="single" w:sz="4" w:space="0" w:color="auto"/>
              <w:bottom w:val="single" w:sz="4" w:space="0" w:color="auto"/>
            </w:tcBorders>
            <w:shd w:val="clear" w:color="auto" w:fill="auto"/>
            <w:noWrap/>
            <w:vAlign w:val="bottom"/>
            <w:hideMark/>
          </w:tcPr>
          <w:p w14:paraId="644D9698"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2 074 800</w:t>
            </w:r>
          </w:p>
        </w:tc>
        <w:tc>
          <w:tcPr>
            <w:tcW w:w="691" w:type="pct"/>
            <w:tcBorders>
              <w:top w:val="single" w:sz="4" w:space="0" w:color="auto"/>
              <w:bottom w:val="single" w:sz="4" w:space="0" w:color="auto"/>
            </w:tcBorders>
            <w:shd w:val="clear" w:color="auto" w:fill="auto"/>
            <w:noWrap/>
            <w:vAlign w:val="bottom"/>
            <w:hideMark/>
          </w:tcPr>
          <w:p w14:paraId="0F97340A"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1 160 684</w:t>
            </w:r>
          </w:p>
        </w:tc>
        <w:tc>
          <w:tcPr>
            <w:tcW w:w="805" w:type="pct"/>
            <w:tcBorders>
              <w:top w:val="single" w:sz="4" w:space="0" w:color="auto"/>
              <w:bottom w:val="single" w:sz="4" w:space="0" w:color="auto"/>
            </w:tcBorders>
            <w:shd w:val="clear" w:color="auto" w:fill="auto"/>
            <w:noWrap/>
            <w:vAlign w:val="bottom"/>
            <w:hideMark/>
          </w:tcPr>
          <w:p w14:paraId="36B42FE9" w14:textId="77777777" w:rsidR="00E7045B" w:rsidRPr="007831BB" w:rsidRDefault="00E7045B" w:rsidP="00440196">
            <w:pPr>
              <w:widowControl w:val="0"/>
              <w:tabs>
                <w:tab w:val="left" w:pos="6480"/>
                <w:tab w:val="left" w:pos="7200"/>
              </w:tabs>
              <w:spacing w:before="40" w:after="40"/>
              <w:jc w:val="right"/>
              <w:rPr>
                <w:b/>
                <w:bCs/>
                <w:sz w:val="18"/>
                <w:szCs w:val="18"/>
              </w:rPr>
            </w:pPr>
            <w:r w:rsidRPr="00440196">
              <w:rPr>
                <w:b/>
                <w:sz w:val="18"/>
              </w:rPr>
              <w:t>914 116</w:t>
            </w:r>
          </w:p>
        </w:tc>
      </w:tr>
      <w:tr w:rsidR="00E7045B" w:rsidRPr="00440196" w14:paraId="4B907D1B" w14:textId="77777777" w:rsidTr="00440196">
        <w:trPr>
          <w:trHeight w:val="184"/>
        </w:trPr>
        <w:tc>
          <w:tcPr>
            <w:tcW w:w="2797" w:type="pct"/>
            <w:tcBorders>
              <w:top w:val="single" w:sz="4" w:space="0" w:color="auto"/>
              <w:bottom w:val="single" w:sz="4" w:space="0" w:color="auto"/>
            </w:tcBorders>
            <w:shd w:val="clear" w:color="auto" w:fill="auto"/>
            <w:noWrap/>
            <w:vAlign w:val="bottom"/>
            <w:hideMark/>
          </w:tcPr>
          <w:p w14:paraId="1D3947AC" w14:textId="77777777" w:rsidR="00E7045B" w:rsidRPr="007831BB" w:rsidRDefault="00E7045B" w:rsidP="00440196">
            <w:pPr>
              <w:widowControl w:val="0"/>
              <w:tabs>
                <w:tab w:val="left" w:pos="6480"/>
                <w:tab w:val="left" w:pos="7200"/>
              </w:tabs>
              <w:spacing w:before="40" w:after="40"/>
              <w:rPr>
                <w:b/>
                <w:sz w:val="18"/>
              </w:rPr>
            </w:pPr>
            <w:r w:rsidRPr="00440196">
              <w:rPr>
                <w:b/>
                <w:sz w:val="18"/>
              </w:rPr>
              <w:t>Subtotal 1+2+3</w:t>
            </w:r>
          </w:p>
        </w:tc>
        <w:tc>
          <w:tcPr>
            <w:tcW w:w="707" w:type="pct"/>
            <w:tcBorders>
              <w:top w:val="single" w:sz="4" w:space="0" w:color="auto"/>
              <w:bottom w:val="single" w:sz="4" w:space="0" w:color="auto"/>
            </w:tcBorders>
            <w:shd w:val="clear" w:color="auto" w:fill="auto"/>
            <w:noWrap/>
            <w:vAlign w:val="bottom"/>
            <w:hideMark/>
          </w:tcPr>
          <w:p w14:paraId="397F4243"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7 683 450</w:t>
            </w:r>
          </w:p>
        </w:tc>
        <w:tc>
          <w:tcPr>
            <w:tcW w:w="691" w:type="pct"/>
            <w:tcBorders>
              <w:top w:val="single" w:sz="4" w:space="0" w:color="auto"/>
              <w:bottom w:val="single" w:sz="4" w:space="0" w:color="auto"/>
            </w:tcBorders>
            <w:shd w:val="clear" w:color="auto" w:fill="auto"/>
            <w:noWrap/>
            <w:vAlign w:val="bottom"/>
            <w:hideMark/>
          </w:tcPr>
          <w:p w14:paraId="621DE7B1"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5 693 208</w:t>
            </w:r>
          </w:p>
        </w:tc>
        <w:tc>
          <w:tcPr>
            <w:tcW w:w="805" w:type="pct"/>
            <w:tcBorders>
              <w:top w:val="single" w:sz="4" w:space="0" w:color="auto"/>
              <w:bottom w:val="single" w:sz="4" w:space="0" w:color="auto"/>
            </w:tcBorders>
            <w:shd w:val="clear" w:color="auto" w:fill="auto"/>
            <w:noWrap/>
            <w:vAlign w:val="bottom"/>
            <w:hideMark/>
          </w:tcPr>
          <w:p w14:paraId="304E6BF6"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1 990 242</w:t>
            </w:r>
          </w:p>
        </w:tc>
      </w:tr>
      <w:tr w:rsidR="00E7045B" w:rsidRPr="00440196" w14:paraId="51722EA0" w14:textId="77777777" w:rsidTr="00440196">
        <w:trPr>
          <w:trHeight w:val="152"/>
        </w:trPr>
        <w:tc>
          <w:tcPr>
            <w:tcW w:w="2797" w:type="pct"/>
            <w:tcBorders>
              <w:top w:val="single" w:sz="4" w:space="0" w:color="auto"/>
              <w:bottom w:val="single" w:sz="4" w:space="0" w:color="auto"/>
            </w:tcBorders>
            <w:shd w:val="clear" w:color="auto" w:fill="auto"/>
            <w:noWrap/>
            <w:vAlign w:val="bottom"/>
            <w:hideMark/>
          </w:tcPr>
          <w:p w14:paraId="011C4C41" w14:textId="77777777" w:rsidR="00E7045B" w:rsidRPr="007831BB" w:rsidRDefault="00E7045B" w:rsidP="00440196">
            <w:pPr>
              <w:widowControl w:val="0"/>
              <w:tabs>
                <w:tab w:val="left" w:pos="6480"/>
                <w:tab w:val="left" w:pos="7200"/>
              </w:tabs>
              <w:spacing w:before="40" w:after="40"/>
              <w:rPr>
                <w:sz w:val="18"/>
              </w:rPr>
            </w:pPr>
            <w:r w:rsidRPr="00440196">
              <w:rPr>
                <w:sz w:val="18"/>
              </w:rPr>
              <w:t>Programme support costs (8 per cent)</w:t>
            </w:r>
          </w:p>
        </w:tc>
        <w:tc>
          <w:tcPr>
            <w:tcW w:w="707" w:type="pct"/>
            <w:tcBorders>
              <w:top w:val="single" w:sz="4" w:space="0" w:color="auto"/>
              <w:bottom w:val="single" w:sz="4" w:space="0" w:color="auto"/>
            </w:tcBorders>
            <w:shd w:val="clear" w:color="auto" w:fill="auto"/>
            <w:noWrap/>
            <w:vAlign w:val="bottom"/>
            <w:hideMark/>
          </w:tcPr>
          <w:p w14:paraId="35A60C1E"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614 676</w:t>
            </w:r>
          </w:p>
        </w:tc>
        <w:tc>
          <w:tcPr>
            <w:tcW w:w="691" w:type="pct"/>
            <w:tcBorders>
              <w:top w:val="single" w:sz="4" w:space="0" w:color="auto"/>
              <w:bottom w:val="single" w:sz="4" w:space="0" w:color="auto"/>
            </w:tcBorders>
            <w:shd w:val="clear" w:color="auto" w:fill="auto"/>
            <w:noWrap/>
            <w:vAlign w:val="bottom"/>
            <w:hideMark/>
          </w:tcPr>
          <w:p w14:paraId="3E2B9EB6"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455 457</w:t>
            </w:r>
          </w:p>
        </w:tc>
        <w:tc>
          <w:tcPr>
            <w:tcW w:w="805" w:type="pct"/>
            <w:tcBorders>
              <w:top w:val="single" w:sz="4" w:space="0" w:color="auto"/>
              <w:bottom w:val="single" w:sz="4" w:space="0" w:color="auto"/>
            </w:tcBorders>
            <w:shd w:val="clear" w:color="auto" w:fill="auto"/>
            <w:noWrap/>
            <w:vAlign w:val="bottom"/>
            <w:hideMark/>
          </w:tcPr>
          <w:p w14:paraId="2A7479D2" w14:textId="77777777" w:rsidR="00E7045B" w:rsidRPr="007831BB" w:rsidRDefault="00E7045B" w:rsidP="00440196">
            <w:pPr>
              <w:widowControl w:val="0"/>
              <w:tabs>
                <w:tab w:val="left" w:pos="6480"/>
                <w:tab w:val="left" w:pos="7200"/>
              </w:tabs>
              <w:spacing w:before="40" w:after="40"/>
              <w:jc w:val="right"/>
              <w:rPr>
                <w:sz w:val="18"/>
              </w:rPr>
            </w:pPr>
            <w:r w:rsidRPr="00440196">
              <w:rPr>
                <w:sz w:val="18"/>
              </w:rPr>
              <w:t>159 219</w:t>
            </w:r>
          </w:p>
        </w:tc>
      </w:tr>
      <w:tr w:rsidR="00E7045B" w:rsidRPr="00440196" w14:paraId="6F32AB26" w14:textId="77777777" w:rsidTr="00440196">
        <w:trPr>
          <w:trHeight w:val="162"/>
        </w:trPr>
        <w:tc>
          <w:tcPr>
            <w:tcW w:w="2797" w:type="pct"/>
            <w:tcBorders>
              <w:top w:val="single" w:sz="4" w:space="0" w:color="auto"/>
              <w:bottom w:val="single" w:sz="4" w:space="0" w:color="auto"/>
            </w:tcBorders>
            <w:shd w:val="clear" w:color="auto" w:fill="auto"/>
            <w:noWrap/>
            <w:vAlign w:val="bottom"/>
            <w:hideMark/>
          </w:tcPr>
          <w:p w14:paraId="247398F4" w14:textId="77777777" w:rsidR="00E7045B" w:rsidRPr="007831BB" w:rsidRDefault="00E7045B" w:rsidP="00440196">
            <w:pPr>
              <w:widowControl w:val="0"/>
              <w:tabs>
                <w:tab w:val="left" w:pos="6480"/>
                <w:tab w:val="left" w:pos="7200"/>
              </w:tabs>
              <w:spacing w:before="40" w:after="40"/>
              <w:rPr>
                <w:b/>
                <w:sz w:val="18"/>
              </w:rPr>
            </w:pPr>
            <w:r w:rsidRPr="00440196">
              <w:rPr>
                <w:b/>
                <w:sz w:val="18"/>
              </w:rPr>
              <w:t>Total cost to the trust fund</w:t>
            </w:r>
          </w:p>
        </w:tc>
        <w:tc>
          <w:tcPr>
            <w:tcW w:w="707" w:type="pct"/>
            <w:tcBorders>
              <w:top w:val="single" w:sz="4" w:space="0" w:color="auto"/>
              <w:bottom w:val="single" w:sz="4" w:space="0" w:color="auto"/>
            </w:tcBorders>
            <w:shd w:val="clear" w:color="auto" w:fill="auto"/>
            <w:noWrap/>
            <w:vAlign w:val="bottom"/>
            <w:hideMark/>
          </w:tcPr>
          <w:p w14:paraId="01BF808B"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8 298 126</w:t>
            </w:r>
          </w:p>
        </w:tc>
        <w:tc>
          <w:tcPr>
            <w:tcW w:w="691" w:type="pct"/>
            <w:tcBorders>
              <w:top w:val="single" w:sz="4" w:space="0" w:color="auto"/>
              <w:bottom w:val="single" w:sz="4" w:space="0" w:color="auto"/>
            </w:tcBorders>
            <w:shd w:val="clear" w:color="auto" w:fill="auto"/>
            <w:noWrap/>
            <w:vAlign w:val="bottom"/>
            <w:hideMark/>
          </w:tcPr>
          <w:p w14:paraId="2AB2F4F1"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6 148 664</w:t>
            </w:r>
          </w:p>
        </w:tc>
        <w:tc>
          <w:tcPr>
            <w:tcW w:w="805" w:type="pct"/>
            <w:tcBorders>
              <w:top w:val="single" w:sz="4" w:space="0" w:color="auto"/>
              <w:bottom w:val="single" w:sz="4" w:space="0" w:color="auto"/>
            </w:tcBorders>
            <w:shd w:val="clear" w:color="auto" w:fill="auto"/>
            <w:noWrap/>
            <w:vAlign w:val="bottom"/>
            <w:hideMark/>
          </w:tcPr>
          <w:p w14:paraId="2E6B8DFB"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2 149 462</w:t>
            </w:r>
          </w:p>
        </w:tc>
      </w:tr>
      <w:tr w:rsidR="00E7045B" w:rsidRPr="00440196" w14:paraId="53F6BCD8" w14:textId="77777777" w:rsidTr="00440196">
        <w:trPr>
          <w:trHeight w:val="152"/>
        </w:trPr>
        <w:tc>
          <w:tcPr>
            <w:tcW w:w="2797" w:type="pct"/>
            <w:tcBorders>
              <w:top w:val="single" w:sz="4" w:space="0" w:color="auto"/>
              <w:bottom w:val="single" w:sz="4" w:space="0" w:color="auto"/>
            </w:tcBorders>
            <w:shd w:val="clear" w:color="auto" w:fill="auto"/>
            <w:noWrap/>
            <w:vAlign w:val="bottom"/>
            <w:hideMark/>
          </w:tcPr>
          <w:p w14:paraId="05DCD043" w14:textId="77777777" w:rsidR="00E7045B" w:rsidRPr="007831BB" w:rsidRDefault="00E7045B" w:rsidP="00440196">
            <w:pPr>
              <w:widowControl w:val="0"/>
              <w:tabs>
                <w:tab w:val="left" w:pos="6480"/>
                <w:tab w:val="left" w:pos="7200"/>
              </w:tabs>
              <w:spacing w:before="40" w:after="40"/>
              <w:rPr>
                <w:sz w:val="18"/>
                <w:szCs w:val="18"/>
              </w:rPr>
            </w:pPr>
            <w:r w:rsidRPr="00440196">
              <w:rPr>
                <w:sz w:val="18"/>
              </w:rPr>
              <w:t xml:space="preserve">Contribution to </w:t>
            </w:r>
            <w:r w:rsidRPr="00440196">
              <w:rPr>
                <w:sz w:val="18"/>
                <w:szCs w:val="18"/>
              </w:rPr>
              <w:t xml:space="preserve">the </w:t>
            </w:r>
            <w:r w:rsidRPr="00440196">
              <w:rPr>
                <w:sz w:val="18"/>
              </w:rPr>
              <w:t>working capital reserve (10 per cent)</w:t>
            </w:r>
          </w:p>
        </w:tc>
        <w:tc>
          <w:tcPr>
            <w:tcW w:w="707" w:type="pct"/>
            <w:tcBorders>
              <w:top w:val="single" w:sz="4" w:space="0" w:color="auto"/>
              <w:bottom w:val="single" w:sz="4" w:space="0" w:color="auto"/>
            </w:tcBorders>
            <w:shd w:val="clear" w:color="auto" w:fill="auto"/>
            <w:noWrap/>
            <w:vAlign w:val="bottom"/>
            <w:hideMark/>
          </w:tcPr>
          <w:p w14:paraId="032E4CC5"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126 873</w:t>
            </w:r>
          </w:p>
        </w:tc>
        <w:tc>
          <w:tcPr>
            <w:tcW w:w="691" w:type="pct"/>
            <w:tcBorders>
              <w:top w:val="single" w:sz="4" w:space="0" w:color="auto"/>
              <w:bottom w:val="single" w:sz="4" w:space="0" w:color="auto"/>
            </w:tcBorders>
            <w:shd w:val="clear" w:color="auto" w:fill="auto"/>
            <w:noWrap/>
            <w:vAlign w:val="bottom"/>
            <w:hideMark/>
          </w:tcPr>
          <w:p w14:paraId="2243DE69"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126 873</w:t>
            </w:r>
          </w:p>
        </w:tc>
        <w:tc>
          <w:tcPr>
            <w:tcW w:w="805" w:type="pct"/>
            <w:tcBorders>
              <w:top w:val="single" w:sz="4" w:space="0" w:color="auto"/>
              <w:bottom w:val="single" w:sz="4" w:space="0" w:color="auto"/>
            </w:tcBorders>
            <w:shd w:val="clear" w:color="auto" w:fill="auto"/>
            <w:noWrap/>
            <w:vAlign w:val="bottom"/>
            <w:hideMark/>
          </w:tcPr>
          <w:p w14:paraId="20B82882" w14:textId="77777777" w:rsidR="00E7045B" w:rsidRPr="007831BB" w:rsidRDefault="00E7045B" w:rsidP="00440196">
            <w:pPr>
              <w:widowControl w:val="0"/>
              <w:tabs>
                <w:tab w:val="left" w:pos="6480"/>
                <w:tab w:val="left" w:pos="7200"/>
              </w:tabs>
              <w:spacing w:before="40" w:after="40"/>
              <w:jc w:val="right"/>
              <w:rPr>
                <w:sz w:val="18"/>
                <w:szCs w:val="18"/>
              </w:rPr>
            </w:pPr>
            <w:r w:rsidRPr="00440196">
              <w:rPr>
                <w:sz w:val="18"/>
              </w:rPr>
              <w:t>0</w:t>
            </w:r>
          </w:p>
        </w:tc>
      </w:tr>
      <w:tr w:rsidR="00E7045B" w:rsidRPr="00440196" w14:paraId="5A08B7F9" w14:textId="77777777" w:rsidTr="00440196">
        <w:trPr>
          <w:trHeight w:val="184"/>
        </w:trPr>
        <w:tc>
          <w:tcPr>
            <w:tcW w:w="2797" w:type="pct"/>
            <w:tcBorders>
              <w:top w:val="single" w:sz="4" w:space="0" w:color="auto"/>
              <w:bottom w:val="single" w:sz="12" w:space="0" w:color="auto"/>
            </w:tcBorders>
            <w:shd w:val="clear" w:color="auto" w:fill="auto"/>
            <w:noWrap/>
            <w:vAlign w:val="bottom"/>
            <w:hideMark/>
          </w:tcPr>
          <w:p w14:paraId="3BB79E75" w14:textId="77777777" w:rsidR="00E7045B" w:rsidRPr="007831BB" w:rsidRDefault="00E7045B" w:rsidP="00440196">
            <w:pPr>
              <w:widowControl w:val="0"/>
              <w:tabs>
                <w:tab w:val="left" w:pos="6480"/>
                <w:tab w:val="left" w:pos="7200"/>
              </w:tabs>
              <w:spacing w:before="40" w:after="40"/>
              <w:rPr>
                <w:b/>
                <w:sz w:val="18"/>
              </w:rPr>
            </w:pPr>
            <w:r w:rsidRPr="00440196">
              <w:rPr>
                <w:b/>
                <w:sz w:val="18"/>
              </w:rPr>
              <w:t>Total cash requirement</w:t>
            </w:r>
          </w:p>
        </w:tc>
        <w:tc>
          <w:tcPr>
            <w:tcW w:w="707" w:type="pct"/>
            <w:tcBorders>
              <w:top w:val="single" w:sz="4" w:space="0" w:color="auto"/>
              <w:bottom w:val="single" w:sz="12" w:space="0" w:color="auto"/>
            </w:tcBorders>
            <w:shd w:val="clear" w:color="auto" w:fill="auto"/>
            <w:noWrap/>
            <w:vAlign w:val="bottom"/>
            <w:hideMark/>
          </w:tcPr>
          <w:p w14:paraId="0E46CF3D"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8 424 999</w:t>
            </w:r>
          </w:p>
        </w:tc>
        <w:tc>
          <w:tcPr>
            <w:tcW w:w="691" w:type="pct"/>
            <w:tcBorders>
              <w:top w:val="single" w:sz="4" w:space="0" w:color="auto"/>
              <w:bottom w:val="single" w:sz="12" w:space="0" w:color="auto"/>
            </w:tcBorders>
            <w:shd w:val="clear" w:color="auto" w:fill="auto"/>
            <w:noWrap/>
            <w:vAlign w:val="bottom"/>
            <w:hideMark/>
          </w:tcPr>
          <w:p w14:paraId="4D891DBE"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6 275 537</w:t>
            </w:r>
          </w:p>
        </w:tc>
        <w:tc>
          <w:tcPr>
            <w:tcW w:w="805" w:type="pct"/>
            <w:tcBorders>
              <w:top w:val="single" w:sz="4" w:space="0" w:color="auto"/>
              <w:bottom w:val="single" w:sz="12" w:space="0" w:color="auto"/>
            </w:tcBorders>
            <w:shd w:val="clear" w:color="auto" w:fill="auto"/>
            <w:noWrap/>
            <w:vAlign w:val="bottom"/>
            <w:hideMark/>
          </w:tcPr>
          <w:p w14:paraId="2046DFE9" w14:textId="77777777" w:rsidR="00E7045B" w:rsidRPr="007831BB" w:rsidRDefault="00E7045B" w:rsidP="00440196">
            <w:pPr>
              <w:widowControl w:val="0"/>
              <w:tabs>
                <w:tab w:val="left" w:pos="6480"/>
                <w:tab w:val="left" w:pos="7200"/>
              </w:tabs>
              <w:spacing w:before="40" w:after="40"/>
              <w:jc w:val="right"/>
              <w:rPr>
                <w:b/>
                <w:sz w:val="18"/>
              </w:rPr>
            </w:pPr>
            <w:r w:rsidRPr="00440196">
              <w:rPr>
                <w:b/>
                <w:sz w:val="18"/>
              </w:rPr>
              <w:t>2 149 462</w:t>
            </w:r>
          </w:p>
        </w:tc>
      </w:tr>
    </w:tbl>
    <w:p w14:paraId="1B86AC7E" w14:textId="77777777" w:rsidR="00E7045B" w:rsidRPr="00440196" w:rsidRDefault="00E7045B" w:rsidP="00E7045B">
      <w:pPr>
        <w:spacing w:before="40"/>
        <w:rPr>
          <w:color w:val="000000"/>
          <w:sz w:val="16"/>
        </w:rPr>
      </w:pPr>
      <w:proofErr w:type="spellStart"/>
      <w:proofErr w:type="gramStart"/>
      <w:r w:rsidRPr="00440196">
        <w:rPr>
          <w:color w:val="000000"/>
          <w:sz w:val="16"/>
          <w:vertAlign w:val="superscript"/>
        </w:rPr>
        <w:t>a</w:t>
      </w:r>
      <w:proofErr w:type="spellEnd"/>
      <w:proofErr w:type="gramEnd"/>
      <w:r w:rsidRPr="00440196">
        <w:rPr>
          <w:color w:val="000000"/>
          <w:sz w:val="16"/>
        </w:rPr>
        <w:t xml:space="preserve"> According to the security risk assessment conducted by the United Nations Department of Safety and Security, Malaysia was </w:t>
      </w:r>
      <w:r w:rsidRPr="00440196">
        <w:rPr>
          <w:color w:val="000000"/>
          <w:sz w:val="16"/>
          <w:szCs w:val="16"/>
        </w:rPr>
        <w:t xml:space="preserve">at security </w:t>
      </w:r>
      <w:r w:rsidRPr="00440196">
        <w:rPr>
          <w:color w:val="000000"/>
          <w:sz w:val="16"/>
        </w:rPr>
        <w:t xml:space="preserve">level </w:t>
      </w:r>
      <w:r w:rsidRPr="00440196">
        <w:rPr>
          <w:color w:val="000000"/>
          <w:sz w:val="16"/>
          <w:szCs w:val="16"/>
        </w:rPr>
        <w:t>I (the lowest level). A</w:t>
      </w:r>
      <w:r w:rsidRPr="00440196">
        <w:rPr>
          <w:color w:val="000000"/>
          <w:sz w:val="16"/>
        </w:rPr>
        <w:t xml:space="preserve">s a result, </w:t>
      </w:r>
      <w:r w:rsidRPr="00440196">
        <w:rPr>
          <w:color w:val="000000"/>
          <w:sz w:val="16"/>
          <w:szCs w:val="16"/>
        </w:rPr>
        <w:t xml:space="preserve">the </w:t>
      </w:r>
      <w:r w:rsidRPr="00440196">
        <w:rPr>
          <w:color w:val="000000"/>
          <w:sz w:val="16"/>
        </w:rPr>
        <w:t xml:space="preserve">United Nations </w:t>
      </w:r>
      <w:r w:rsidRPr="00440196">
        <w:rPr>
          <w:color w:val="000000"/>
          <w:sz w:val="16"/>
          <w:szCs w:val="16"/>
        </w:rPr>
        <w:t>was</w:t>
      </w:r>
      <w:r w:rsidRPr="00440196">
        <w:rPr>
          <w:color w:val="000000"/>
          <w:sz w:val="16"/>
        </w:rPr>
        <w:t xml:space="preserve"> not requested to provide security services and security was instead provided by the host Government, at its own expense, in accordance with the host government agreement between UNEP and the Government of Malaysia</w:t>
      </w:r>
      <w:r w:rsidRPr="00440196">
        <w:rPr>
          <w:color w:val="000000"/>
          <w:sz w:val="16"/>
          <w:szCs w:val="16"/>
        </w:rPr>
        <w:t>.</w:t>
      </w:r>
    </w:p>
    <w:p w14:paraId="189419DE" w14:textId="77777777" w:rsidR="00E7045B" w:rsidRPr="00440196" w:rsidRDefault="00E7045B" w:rsidP="00E7045B">
      <w:pPr>
        <w:spacing w:before="40"/>
        <w:rPr>
          <w:color w:val="000000"/>
          <w:sz w:val="16"/>
        </w:rPr>
      </w:pPr>
      <w:proofErr w:type="gramStart"/>
      <w:r w:rsidRPr="00440196">
        <w:rPr>
          <w:color w:val="000000"/>
          <w:sz w:val="16"/>
          <w:vertAlign w:val="superscript"/>
        </w:rPr>
        <w:t>b</w:t>
      </w:r>
      <w:proofErr w:type="gramEnd"/>
      <w:r w:rsidRPr="00440196">
        <w:rPr>
          <w:color w:val="000000"/>
          <w:sz w:val="16"/>
        </w:rPr>
        <w:t xml:space="preserve"> P-4 secondment</w:t>
      </w:r>
      <w:r w:rsidRPr="00440196">
        <w:rPr>
          <w:color w:val="000000"/>
          <w:sz w:val="16"/>
          <w:szCs w:val="16"/>
        </w:rPr>
        <w:t xml:space="preserve"> from UNEP</w:t>
      </w:r>
      <w:r w:rsidRPr="00440196">
        <w:rPr>
          <w:color w:val="000000"/>
          <w:sz w:val="16"/>
        </w:rPr>
        <w:t>.</w:t>
      </w:r>
    </w:p>
    <w:p w14:paraId="04B1270E" w14:textId="4AEE1D7B" w:rsidR="00E7045B" w:rsidRPr="00440196" w:rsidRDefault="00E7045B" w:rsidP="00E7045B">
      <w:pPr>
        <w:spacing w:before="40"/>
        <w:rPr>
          <w:color w:val="000000"/>
          <w:sz w:val="16"/>
        </w:rPr>
      </w:pPr>
      <w:proofErr w:type="gramStart"/>
      <w:r w:rsidRPr="00440196">
        <w:rPr>
          <w:color w:val="000000"/>
          <w:sz w:val="16"/>
          <w:vertAlign w:val="superscript"/>
        </w:rPr>
        <w:t>c</w:t>
      </w:r>
      <w:proofErr w:type="gramEnd"/>
      <w:r w:rsidRPr="00440196">
        <w:rPr>
          <w:color w:val="000000"/>
          <w:sz w:val="16"/>
          <w:szCs w:val="16"/>
        </w:rPr>
        <w:t xml:space="preserve"> </w:t>
      </w:r>
      <w:r w:rsidR="00C341D5">
        <w:rPr>
          <w:color w:val="000000"/>
          <w:sz w:val="16"/>
          <w:szCs w:val="16"/>
        </w:rPr>
        <w:t>T</w:t>
      </w:r>
      <w:r w:rsidR="00C341D5" w:rsidRPr="00440196">
        <w:rPr>
          <w:color w:val="000000"/>
          <w:sz w:val="16"/>
          <w:szCs w:val="16"/>
        </w:rPr>
        <w:t xml:space="preserve">he </w:t>
      </w:r>
      <w:r w:rsidR="00C341D5" w:rsidRPr="00440196">
        <w:rPr>
          <w:color w:val="000000"/>
          <w:sz w:val="16"/>
        </w:rPr>
        <w:t xml:space="preserve">United Nations Volunteers </w:t>
      </w:r>
      <w:r w:rsidR="00C341D5" w:rsidRPr="00440196">
        <w:rPr>
          <w:color w:val="000000"/>
          <w:sz w:val="16"/>
          <w:szCs w:val="16"/>
        </w:rPr>
        <w:t xml:space="preserve">programme </w:t>
      </w:r>
      <w:r w:rsidRPr="00440196">
        <w:rPr>
          <w:color w:val="000000"/>
          <w:sz w:val="16"/>
          <w:szCs w:val="16"/>
        </w:rPr>
        <w:t>provides</w:t>
      </w:r>
      <w:r w:rsidRPr="00440196">
        <w:rPr>
          <w:color w:val="000000"/>
          <w:sz w:val="16"/>
        </w:rPr>
        <w:t xml:space="preserve"> IT services to all UNEP</w:t>
      </w:r>
      <w:r w:rsidRPr="00440196">
        <w:rPr>
          <w:color w:val="000000"/>
          <w:sz w:val="16"/>
          <w:szCs w:val="16"/>
        </w:rPr>
        <w:t>-</w:t>
      </w:r>
      <w:r w:rsidRPr="00440196">
        <w:rPr>
          <w:color w:val="000000"/>
          <w:sz w:val="16"/>
        </w:rPr>
        <w:t>related offices based in Bonn through a service</w:t>
      </w:r>
      <w:r w:rsidRPr="00440196">
        <w:rPr>
          <w:color w:val="000000"/>
          <w:sz w:val="16"/>
          <w:szCs w:val="16"/>
        </w:rPr>
        <w:t>-</w:t>
      </w:r>
      <w:r w:rsidRPr="00440196">
        <w:rPr>
          <w:color w:val="000000"/>
          <w:sz w:val="16"/>
        </w:rPr>
        <w:t xml:space="preserve">level agreement. </w:t>
      </w:r>
      <w:r w:rsidRPr="00440196">
        <w:rPr>
          <w:color w:val="000000"/>
          <w:sz w:val="16"/>
          <w:szCs w:val="16"/>
        </w:rPr>
        <w:t>The</w:t>
      </w:r>
      <w:r w:rsidRPr="00440196">
        <w:rPr>
          <w:color w:val="000000"/>
          <w:sz w:val="16"/>
        </w:rPr>
        <w:t xml:space="preserve"> services </w:t>
      </w:r>
      <w:r w:rsidRPr="00440196">
        <w:rPr>
          <w:color w:val="000000"/>
          <w:sz w:val="16"/>
          <w:szCs w:val="16"/>
        </w:rPr>
        <w:t>include</w:t>
      </w:r>
      <w:r w:rsidRPr="00440196">
        <w:rPr>
          <w:color w:val="000000"/>
          <w:sz w:val="16"/>
        </w:rPr>
        <w:t xml:space="preserve"> a help desk, local area network</w:t>
      </w:r>
      <w:r w:rsidRPr="00440196">
        <w:rPr>
          <w:color w:val="000000"/>
          <w:sz w:val="16"/>
          <w:szCs w:val="16"/>
        </w:rPr>
        <w:t xml:space="preserve">, </w:t>
      </w:r>
      <w:r w:rsidRPr="00440196">
        <w:rPr>
          <w:color w:val="000000"/>
          <w:sz w:val="16"/>
        </w:rPr>
        <w:t>internet</w:t>
      </w:r>
      <w:r w:rsidRPr="00440196">
        <w:rPr>
          <w:color w:val="000000"/>
          <w:sz w:val="16"/>
          <w:szCs w:val="16"/>
        </w:rPr>
        <w:t xml:space="preserve"> </w:t>
      </w:r>
      <w:r w:rsidRPr="00440196">
        <w:rPr>
          <w:color w:val="000000"/>
          <w:sz w:val="16"/>
        </w:rPr>
        <w:t xml:space="preserve">security, DNS services, server hosting </w:t>
      </w:r>
      <w:r w:rsidRPr="00440196">
        <w:rPr>
          <w:color w:val="000000"/>
          <w:sz w:val="16"/>
          <w:szCs w:val="16"/>
        </w:rPr>
        <w:t>and</w:t>
      </w:r>
      <w:r w:rsidRPr="00440196">
        <w:rPr>
          <w:color w:val="000000"/>
          <w:sz w:val="16"/>
        </w:rPr>
        <w:t xml:space="preserve"> subscriptions to Microsoft Office 365 </w:t>
      </w:r>
      <w:r w:rsidRPr="00440196">
        <w:rPr>
          <w:color w:val="000000"/>
          <w:sz w:val="16"/>
          <w:szCs w:val="16"/>
        </w:rPr>
        <w:t>Enterprise</w:t>
      </w:r>
      <w:r w:rsidRPr="00440196">
        <w:rPr>
          <w:color w:val="000000"/>
          <w:sz w:val="16"/>
        </w:rPr>
        <w:t xml:space="preserve"> E3. Under the agreement, which has been </w:t>
      </w:r>
      <w:r w:rsidRPr="00440196">
        <w:rPr>
          <w:color w:val="000000"/>
          <w:sz w:val="16"/>
          <w:szCs w:val="16"/>
        </w:rPr>
        <w:t>in effect</w:t>
      </w:r>
      <w:r w:rsidRPr="00440196">
        <w:rPr>
          <w:color w:val="000000"/>
          <w:sz w:val="16"/>
        </w:rPr>
        <w:t xml:space="preserve"> since 1 January 2015, the fee charged each year depends on the number of users. In 2015 the fee was $22,000; in 2016 it increased to $49,000 owing to an </w:t>
      </w:r>
      <w:r w:rsidRPr="00440196">
        <w:rPr>
          <w:color w:val="000000"/>
          <w:sz w:val="16"/>
          <w:szCs w:val="16"/>
        </w:rPr>
        <w:t>increase in the</w:t>
      </w:r>
      <w:r w:rsidRPr="00440196">
        <w:rPr>
          <w:color w:val="000000"/>
          <w:sz w:val="16"/>
        </w:rPr>
        <w:t xml:space="preserve"> number of users </w:t>
      </w:r>
      <w:r w:rsidRPr="00440196">
        <w:rPr>
          <w:color w:val="000000"/>
          <w:sz w:val="16"/>
          <w:szCs w:val="16"/>
        </w:rPr>
        <w:t>as well as</w:t>
      </w:r>
      <w:r w:rsidRPr="00440196">
        <w:rPr>
          <w:color w:val="000000"/>
          <w:sz w:val="16"/>
        </w:rPr>
        <w:t xml:space="preserve"> an increase in the help desk fee charged by </w:t>
      </w:r>
      <w:r w:rsidR="0050015A" w:rsidRPr="00440196">
        <w:rPr>
          <w:color w:val="000000"/>
          <w:sz w:val="16"/>
          <w:szCs w:val="16"/>
        </w:rPr>
        <w:t xml:space="preserve">the </w:t>
      </w:r>
      <w:r w:rsidR="0050015A" w:rsidRPr="00440196">
        <w:rPr>
          <w:color w:val="000000"/>
          <w:sz w:val="16"/>
        </w:rPr>
        <w:t xml:space="preserve">United Nations Volunteers </w:t>
      </w:r>
      <w:r w:rsidR="0050015A" w:rsidRPr="00440196">
        <w:rPr>
          <w:color w:val="000000"/>
          <w:sz w:val="16"/>
          <w:szCs w:val="16"/>
        </w:rPr>
        <w:t>programme</w:t>
      </w:r>
      <w:r w:rsidRPr="00440196">
        <w:rPr>
          <w:color w:val="000000"/>
          <w:sz w:val="16"/>
        </w:rPr>
        <w:t xml:space="preserve">. </w:t>
      </w:r>
    </w:p>
    <w:p w14:paraId="1B33E98D" w14:textId="2CCAC119" w:rsidR="00E7045B" w:rsidRPr="007831BB" w:rsidRDefault="00E7045B" w:rsidP="00E7045B">
      <w:pPr>
        <w:pStyle w:val="CH1"/>
        <w:rPr>
          <w:lang w:val="en-GB"/>
        </w:rPr>
      </w:pPr>
      <w:r w:rsidRPr="007831BB">
        <w:rPr>
          <w:lang w:val="en-GB"/>
        </w:rPr>
        <w:tab/>
        <w:t>IV.</w:t>
      </w:r>
      <w:r w:rsidRPr="007831BB">
        <w:rPr>
          <w:lang w:val="en-GB"/>
        </w:rPr>
        <w:tab/>
        <w:t>Budget for the biennium 2017-2018</w:t>
      </w:r>
      <w:r w:rsidR="00237625">
        <w:rPr>
          <w:rStyle w:val="FootnoteReference"/>
          <w:lang w:val="en-GB"/>
        </w:rPr>
        <w:footnoteReference w:id="29"/>
      </w:r>
      <w:r w:rsidRPr="007831BB">
        <w:rPr>
          <w:lang w:val="en-GB"/>
        </w:rPr>
        <w:t xml:space="preserve"> </w:t>
      </w:r>
    </w:p>
    <w:p w14:paraId="0667E363" w14:textId="146E8ACC" w:rsidR="00E7045B" w:rsidRPr="007831BB" w:rsidRDefault="00E7045B" w:rsidP="00125411">
      <w:pPr>
        <w:pStyle w:val="Titletable"/>
        <w:spacing w:after="0"/>
        <w:rPr>
          <w:lang w:val="en-GB"/>
        </w:rPr>
      </w:pPr>
      <w:r w:rsidRPr="00125411">
        <w:rPr>
          <w:b w:val="0"/>
        </w:rPr>
        <w:t>Table 5</w:t>
      </w:r>
      <w:r w:rsidRPr="00125411">
        <w:rPr>
          <w:b w:val="0"/>
        </w:rPr>
        <w:br/>
      </w:r>
      <w:r w:rsidRPr="007831BB">
        <w:rPr>
          <w:lang w:val="en-GB"/>
        </w:rPr>
        <w:t xml:space="preserve">Approved budgets for 2017-2018 </w:t>
      </w:r>
    </w:p>
    <w:p w14:paraId="5A8AFB7E" w14:textId="6FCF6F4D" w:rsidR="00E7045B" w:rsidRPr="007831BB" w:rsidRDefault="00E7045B" w:rsidP="00125411">
      <w:pPr>
        <w:pStyle w:val="Titletable"/>
        <w:rPr>
          <w:b w:val="0"/>
          <w:sz w:val="18"/>
          <w:szCs w:val="18"/>
          <w:lang w:val="en-GB"/>
        </w:rPr>
      </w:pPr>
      <w:r w:rsidRPr="007831BB">
        <w:rPr>
          <w:b w:val="0"/>
          <w:sz w:val="18"/>
          <w:szCs w:val="18"/>
          <w:lang w:val="en-GB"/>
        </w:rPr>
        <w:t>(United States dollars)</w:t>
      </w:r>
    </w:p>
    <w:tbl>
      <w:tblPr>
        <w:tblW w:w="9733" w:type="dxa"/>
        <w:tblInd w:w="108" w:type="dxa"/>
        <w:tblLook w:val="04A0" w:firstRow="1" w:lastRow="0" w:firstColumn="1" w:lastColumn="0" w:noHBand="0" w:noVBand="1"/>
      </w:tblPr>
      <w:tblGrid>
        <w:gridCol w:w="6436"/>
        <w:gridCol w:w="1641"/>
        <w:gridCol w:w="1656"/>
      </w:tblGrid>
      <w:tr w:rsidR="00E7045B" w:rsidRPr="00440196" w14:paraId="22259B9A" w14:textId="77777777" w:rsidTr="00204C0B">
        <w:trPr>
          <w:trHeight w:val="171"/>
          <w:tblHeader/>
        </w:trPr>
        <w:tc>
          <w:tcPr>
            <w:tcW w:w="6436" w:type="dxa"/>
            <w:tcBorders>
              <w:top w:val="single" w:sz="4" w:space="0" w:color="auto"/>
              <w:left w:val="nil"/>
              <w:bottom w:val="single" w:sz="12" w:space="0" w:color="auto"/>
              <w:right w:val="nil"/>
            </w:tcBorders>
            <w:shd w:val="clear" w:color="auto" w:fill="auto"/>
            <w:vAlign w:val="bottom"/>
            <w:hideMark/>
          </w:tcPr>
          <w:p w14:paraId="20DF0943" w14:textId="77777777" w:rsidR="00E7045B" w:rsidRPr="001B4189" w:rsidRDefault="00E7045B" w:rsidP="00204C0B">
            <w:pPr>
              <w:spacing w:before="40" w:after="40"/>
              <w:rPr>
                <w:i/>
                <w:sz w:val="18"/>
                <w:szCs w:val="18"/>
                <w:lang w:eastAsia="zh-CN"/>
              </w:rPr>
            </w:pPr>
            <w:r w:rsidRPr="00440196">
              <w:rPr>
                <w:i/>
                <w:sz w:val="18"/>
                <w:szCs w:val="18"/>
                <w:lang w:eastAsia="zh-CN"/>
              </w:rPr>
              <w:t>Budget items</w:t>
            </w:r>
          </w:p>
        </w:tc>
        <w:tc>
          <w:tcPr>
            <w:tcW w:w="1641" w:type="dxa"/>
            <w:tcBorders>
              <w:top w:val="single" w:sz="4" w:space="0" w:color="auto"/>
              <w:left w:val="nil"/>
              <w:bottom w:val="single" w:sz="12" w:space="0" w:color="auto"/>
              <w:right w:val="nil"/>
            </w:tcBorders>
            <w:shd w:val="clear" w:color="auto" w:fill="auto"/>
            <w:vAlign w:val="bottom"/>
            <w:hideMark/>
          </w:tcPr>
          <w:p w14:paraId="277305D1" w14:textId="77777777" w:rsidR="00E7045B" w:rsidRPr="00440196" w:rsidRDefault="00E7045B" w:rsidP="00440196">
            <w:pPr>
              <w:spacing w:before="40" w:after="40"/>
              <w:jc w:val="right"/>
              <w:rPr>
                <w:i/>
                <w:sz w:val="18"/>
                <w:szCs w:val="18"/>
                <w:lang w:eastAsia="zh-CN"/>
              </w:rPr>
            </w:pPr>
            <w:r w:rsidRPr="00440196">
              <w:rPr>
                <w:i/>
                <w:sz w:val="18"/>
                <w:szCs w:val="18"/>
                <w:lang w:eastAsia="zh-CN"/>
              </w:rPr>
              <w:t>2017</w:t>
            </w:r>
          </w:p>
        </w:tc>
        <w:tc>
          <w:tcPr>
            <w:tcW w:w="1656" w:type="dxa"/>
            <w:tcBorders>
              <w:top w:val="single" w:sz="4" w:space="0" w:color="auto"/>
              <w:left w:val="nil"/>
              <w:bottom w:val="single" w:sz="12" w:space="0" w:color="auto"/>
              <w:right w:val="nil"/>
            </w:tcBorders>
            <w:shd w:val="clear" w:color="auto" w:fill="auto"/>
            <w:vAlign w:val="bottom"/>
            <w:hideMark/>
          </w:tcPr>
          <w:p w14:paraId="02B2D86E" w14:textId="77777777" w:rsidR="00E7045B" w:rsidRPr="00440196" w:rsidRDefault="00E7045B" w:rsidP="00440196">
            <w:pPr>
              <w:spacing w:before="40" w:after="40"/>
              <w:jc w:val="right"/>
              <w:rPr>
                <w:i/>
                <w:sz w:val="18"/>
                <w:szCs w:val="18"/>
                <w:lang w:eastAsia="zh-CN"/>
              </w:rPr>
            </w:pPr>
            <w:r w:rsidRPr="00440196">
              <w:rPr>
                <w:i/>
                <w:sz w:val="18"/>
                <w:szCs w:val="18"/>
                <w:lang w:eastAsia="zh-CN"/>
              </w:rPr>
              <w:t>2018</w:t>
            </w:r>
          </w:p>
        </w:tc>
      </w:tr>
      <w:tr w:rsidR="00E7045B" w:rsidRPr="00440196" w14:paraId="749C2157" w14:textId="77777777" w:rsidTr="00440196">
        <w:trPr>
          <w:trHeight w:val="327"/>
        </w:trPr>
        <w:tc>
          <w:tcPr>
            <w:tcW w:w="6436" w:type="dxa"/>
            <w:tcBorders>
              <w:top w:val="nil"/>
              <w:left w:val="nil"/>
              <w:bottom w:val="nil"/>
              <w:right w:val="nil"/>
            </w:tcBorders>
            <w:shd w:val="clear" w:color="000000" w:fill="FFFFFF"/>
            <w:noWrap/>
            <w:hideMark/>
          </w:tcPr>
          <w:p w14:paraId="17CF19CC" w14:textId="77777777" w:rsidR="00E7045B" w:rsidRPr="00440196" w:rsidRDefault="00E7045B" w:rsidP="00440196">
            <w:pPr>
              <w:spacing w:before="40" w:after="40"/>
              <w:rPr>
                <w:b/>
                <w:sz w:val="18"/>
                <w:szCs w:val="18"/>
                <w:u w:val="single"/>
                <w:lang w:eastAsia="zh-CN"/>
              </w:rPr>
            </w:pPr>
            <w:r w:rsidRPr="00440196">
              <w:rPr>
                <w:b/>
                <w:sz w:val="18"/>
                <w:szCs w:val="18"/>
                <w:u w:val="single"/>
                <w:lang w:eastAsia="zh-CN"/>
              </w:rPr>
              <w:t>1. Meetings of the Platform bodies</w:t>
            </w:r>
          </w:p>
        </w:tc>
        <w:tc>
          <w:tcPr>
            <w:tcW w:w="1641" w:type="dxa"/>
            <w:tcBorders>
              <w:top w:val="nil"/>
              <w:left w:val="nil"/>
              <w:bottom w:val="nil"/>
              <w:right w:val="nil"/>
            </w:tcBorders>
            <w:shd w:val="clear" w:color="auto" w:fill="auto"/>
            <w:noWrap/>
            <w:hideMark/>
          </w:tcPr>
          <w:p w14:paraId="7F1D7016"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2761F90D" w14:textId="77777777" w:rsidR="00E7045B" w:rsidRPr="00440196" w:rsidRDefault="00E7045B" w:rsidP="00440196">
            <w:pPr>
              <w:spacing w:before="40" w:after="40"/>
              <w:jc w:val="right"/>
              <w:rPr>
                <w:sz w:val="18"/>
                <w:szCs w:val="18"/>
                <w:lang w:eastAsia="zh-CN"/>
              </w:rPr>
            </w:pPr>
          </w:p>
        </w:tc>
      </w:tr>
      <w:tr w:rsidR="00E7045B" w:rsidRPr="00440196" w14:paraId="0A1D0499" w14:textId="77777777" w:rsidTr="00440196">
        <w:trPr>
          <w:trHeight w:val="327"/>
        </w:trPr>
        <w:tc>
          <w:tcPr>
            <w:tcW w:w="6436" w:type="dxa"/>
            <w:tcBorders>
              <w:top w:val="nil"/>
              <w:left w:val="nil"/>
              <w:bottom w:val="nil"/>
              <w:right w:val="nil"/>
            </w:tcBorders>
            <w:shd w:val="clear" w:color="000000" w:fill="FFFFFF"/>
            <w:noWrap/>
            <w:hideMark/>
          </w:tcPr>
          <w:p w14:paraId="24B7FA99" w14:textId="448E4FAA"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1.1 Annual sessions of the Plenary (</w:t>
            </w:r>
            <w:r w:rsidR="004F145C">
              <w:rPr>
                <w:b/>
                <w:sz w:val="18"/>
                <w:szCs w:val="18"/>
                <w:lang w:eastAsia="zh-CN"/>
              </w:rPr>
              <w:t>f</w:t>
            </w:r>
            <w:r w:rsidRPr="00440196">
              <w:rPr>
                <w:b/>
                <w:sz w:val="18"/>
                <w:szCs w:val="18"/>
                <w:lang w:eastAsia="zh-CN"/>
              </w:rPr>
              <w:t xml:space="preserve">ifth and </w:t>
            </w:r>
            <w:r w:rsidR="004F145C">
              <w:rPr>
                <w:b/>
                <w:sz w:val="18"/>
                <w:szCs w:val="18"/>
                <w:lang w:eastAsia="zh-CN"/>
              </w:rPr>
              <w:t>s</w:t>
            </w:r>
            <w:r w:rsidRPr="00440196">
              <w:rPr>
                <w:b/>
                <w:sz w:val="18"/>
                <w:szCs w:val="18"/>
                <w:lang w:eastAsia="zh-CN"/>
              </w:rPr>
              <w:t>ixth)</w:t>
            </w:r>
          </w:p>
        </w:tc>
        <w:tc>
          <w:tcPr>
            <w:tcW w:w="1641" w:type="dxa"/>
            <w:tcBorders>
              <w:top w:val="nil"/>
              <w:left w:val="nil"/>
              <w:bottom w:val="nil"/>
              <w:right w:val="nil"/>
            </w:tcBorders>
            <w:shd w:val="clear" w:color="auto" w:fill="auto"/>
            <w:noWrap/>
            <w:hideMark/>
          </w:tcPr>
          <w:p w14:paraId="411579F4"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6FF44C38" w14:textId="77777777" w:rsidR="00E7045B" w:rsidRPr="00440196" w:rsidRDefault="00E7045B" w:rsidP="00440196">
            <w:pPr>
              <w:spacing w:before="40" w:after="40"/>
              <w:jc w:val="right"/>
              <w:rPr>
                <w:sz w:val="18"/>
                <w:szCs w:val="18"/>
                <w:lang w:eastAsia="zh-CN"/>
              </w:rPr>
            </w:pPr>
          </w:p>
        </w:tc>
      </w:tr>
      <w:tr w:rsidR="00E7045B" w:rsidRPr="00440196" w14:paraId="6DF3D31F" w14:textId="77777777" w:rsidTr="00440196">
        <w:trPr>
          <w:trHeight w:val="327"/>
        </w:trPr>
        <w:tc>
          <w:tcPr>
            <w:tcW w:w="6436" w:type="dxa"/>
            <w:tcBorders>
              <w:top w:val="nil"/>
              <w:left w:val="nil"/>
              <w:bottom w:val="nil"/>
              <w:right w:val="nil"/>
            </w:tcBorders>
            <w:shd w:val="clear" w:color="000000" w:fill="FFFFFF"/>
            <w:noWrap/>
            <w:hideMark/>
          </w:tcPr>
          <w:p w14:paraId="164605A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Travel costs for Plenary session participants (travel/DSA) </w:t>
            </w:r>
          </w:p>
        </w:tc>
        <w:tc>
          <w:tcPr>
            <w:tcW w:w="1641" w:type="dxa"/>
            <w:tcBorders>
              <w:top w:val="nil"/>
              <w:left w:val="nil"/>
              <w:bottom w:val="nil"/>
              <w:right w:val="nil"/>
            </w:tcBorders>
            <w:shd w:val="clear" w:color="auto" w:fill="auto"/>
            <w:noWrap/>
            <w:hideMark/>
          </w:tcPr>
          <w:p w14:paraId="17528CC4"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500 000 </w:t>
            </w:r>
          </w:p>
        </w:tc>
        <w:tc>
          <w:tcPr>
            <w:tcW w:w="1656" w:type="dxa"/>
            <w:tcBorders>
              <w:top w:val="nil"/>
              <w:left w:val="nil"/>
              <w:bottom w:val="nil"/>
              <w:right w:val="nil"/>
            </w:tcBorders>
            <w:shd w:val="clear" w:color="auto" w:fill="auto"/>
            <w:noWrap/>
            <w:hideMark/>
          </w:tcPr>
          <w:p w14:paraId="54EEF32C" w14:textId="03EDC9D9"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500 000 </w:t>
            </w:r>
          </w:p>
        </w:tc>
      </w:tr>
      <w:tr w:rsidR="00E7045B" w:rsidRPr="00440196" w14:paraId="4458CC5E" w14:textId="77777777" w:rsidTr="00440196">
        <w:trPr>
          <w:trHeight w:val="327"/>
        </w:trPr>
        <w:tc>
          <w:tcPr>
            <w:tcW w:w="6436" w:type="dxa"/>
            <w:tcBorders>
              <w:top w:val="nil"/>
              <w:left w:val="nil"/>
              <w:bottom w:val="nil"/>
              <w:right w:val="nil"/>
            </w:tcBorders>
            <w:shd w:val="clear" w:color="000000" w:fill="FFFFFF"/>
            <w:noWrap/>
            <w:hideMark/>
          </w:tcPr>
          <w:p w14:paraId="3DF73AEE"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Conference services (translation and editing) and venue</w:t>
            </w:r>
          </w:p>
        </w:tc>
        <w:tc>
          <w:tcPr>
            <w:tcW w:w="1641" w:type="dxa"/>
            <w:tcBorders>
              <w:top w:val="nil"/>
              <w:left w:val="nil"/>
              <w:bottom w:val="nil"/>
              <w:right w:val="nil"/>
            </w:tcBorders>
            <w:shd w:val="clear" w:color="auto" w:fill="auto"/>
            <w:noWrap/>
            <w:hideMark/>
          </w:tcPr>
          <w:p w14:paraId="509CA13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830 000 </w:t>
            </w:r>
          </w:p>
        </w:tc>
        <w:tc>
          <w:tcPr>
            <w:tcW w:w="1656" w:type="dxa"/>
            <w:tcBorders>
              <w:top w:val="nil"/>
              <w:left w:val="nil"/>
              <w:bottom w:val="nil"/>
              <w:right w:val="nil"/>
            </w:tcBorders>
            <w:shd w:val="clear" w:color="auto" w:fill="auto"/>
            <w:noWrap/>
            <w:hideMark/>
          </w:tcPr>
          <w:p w14:paraId="23E286C4" w14:textId="54653A76"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1 065 000 </w:t>
            </w:r>
          </w:p>
        </w:tc>
      </w:tr>
      <w:tr w:rsidR="00E7045B" w:rsidRPr="00440196" w14:paraId="6912DC50" w14:textId="77777777" w:rsidTr="00440196">
        <w:trPr>
          <w:trHeight w:val="327"/>
        </w:trPr>
        <w:tc>
          <w:tcPr>
            <w:tcW w:w="6436" w:type="dxa"/>
            <w:tcBorders>
              <w:top w:val="nil"/>
              <w:left w:val="nil"/>
              <w:bottom w:val="nil"/>
              <w:right w:val="nil"/>
            </w:tcBorders>
            <w:shd w:val="clear" w:color="000000" w:fill="FFFFFF"/>
            <w:noWrap/>
            <w:hideMark/>
          </w:tcPr>
          <w:p w14:paraId="1DA510B6"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Plenary reporting services</w:t>
            </w:r>
          </w:p>
        </w:tc>
        <w:tc>
          <w:tcPr>
            <w:tcW w:w="1641" w:type="dxa"/>
            <w:tcBorders>
              <w:top w:val="nil"/>
              <w:left w:val="nil"/>
              <w:bottom w:val="nil"/>
              <w:right w:val="nil"/>
            </w:tcBorders>
            <w:shd w:val="clear" w:color="auto" w:fill="auto"/>
            <w:noWrap/>
            <w:hideMark/>
          </w:tcPr>
          <w:p w14:paraId="607ED26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65 000 </w:t>
            </w:r>
          </w:p>
        </w:tc>
        <w:tc>
          <w:tcPr>
            <w:tcW w:w="1656" w:type="dxa"/>
            <w:tcBorders>
              <w:top w:val="nil"/>
              <w:left w:val="nil"/>
              <w:bottom w:val="nil"/>
              <w:right w:val="nil"/>
            </w:tcBorders>
            <w:shd w:val="clear" w:color="auto" w:fill="auto"/>
            <w:noWrap/>
            <w:hideMark/>
          </w:tcPr>
          <w:p w14:paraId="7C5BCEA0" w14:textId="4A809649"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65 000 </w:t>
            </w:r>
          </w:p>
        </w:tc>
      </w:tr>
      <w:tr w:rsidR="00E7045B" w:rsidRPr="00440196" w14:paraId="36D51A85" w14:textId="77777777" w:rsidTr="00440196">
        <w:trPr>
          <w:trHeight w:val="327"/>
        </w:trPr>
        <w:tc>
          <w:tcPr>
            <w:tcW w:w="6436" w:type="dxa"/>
            <w:tcBorders>
              <w:top w:val="nil"/>
              <w:left w:val="nil"/>
              <w:bottom w:val="single" w:sz="8" w:space="0" w:color="auto"/>
              <w:right w:val="nil"/>
            </w:tcBorders>
            <w:shd w:val="clear" w:color="000000" w:fill="FFFFFF"/>
            <w:noWrap/>
            <w:hideMark/>
          </w:tcPr>
          <w:p w14:paraId="139AE39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Security for the Plenary</w:t>
            </w:r>
          </w:p>
        </w:tc>
        <w:tc>
          <w:tcPr>
            <w:tcW w:w="1641" w:type="dxa"/>
            <w:tcBorders>
              <w:top w:val="nil"/>
              <w:left w:val="nil"/>
              <w:bottom w:val="single" w:sz="8" w:space="0" w:color="auto"/>
              <w:right w:val="nil"/>
            </w:tcBorders>
            <w:shd w:val="clear" w:color="auto" w:fill="auto"/>
            <w:noWrap/>
            <w:hideMark/>
          </w:tcPr>
          <w:p w14:paraId="38193134"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100 000 </w:t>
            </w:r>
          </w:p>
        </w:tc>
        <w:tc>
          <w:tcPr>
            <w:tcW w:w="1656" w:type="dxa"/>
            <w:tcBorders>
              <w:top w:val="nil"/>
              <w:left w:val="nil"/>
              <w:bottom w:val="single" w:sz="8" w:space="0" w:color="auto"/>
              <w:right w:val="nil"/>
            </w:tcBorders>
            <w:shd w:val="clear" w:color="auto" w:fill="auto"/>
            <w:noWrap/>
            <w:hideMark/>
          </w:tcPr>
          <w:p w14:paraId="39817793" w14:textId="42124B0E"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100 000 </w:t>
            </w:r>
          </w:p>
        </w:tc>
      </w:tr>
      <w:tr w:rsidR="00E7045B" w:rsidRPr="00440196" w14:paraId="00F9F5D5" w14:textId="77777777" w:rsidTr="00440196">
        <w:trPr>
          <w:trHeight w:val="327"/>
        </w:trPr>
        <w:tc>
          <w:tcPr>
            <w:tcW w:w="6436" w:type="dxa"/>
            <w:tcBorders>
              <w:top w:val="nil"/>
              <w:left w:val="nil"/>
              <w:bottom w:val="single" w:sz="8" w:space="0" w:color="auto"/>
              <w:right w:val="nil"/>
            </w:tcBorders>
            <w:shd w:val="clear" w:color="auto" w:fill="auto"/>
            <w:noWrap/>
            <w:hideMark/>
          </w:tcPr>
          <w:p w14:paraId="28672B2C"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1.1, sessions of the Plenary</w:t>
            </w:r>
          </w:p>
        </w:tc>
        <w:tc>
          <w:tcPr>
            <w:tcW w:w="1641" w:type="dxa"/>
            <w:tcBorders>
              <w:top w:val="nil"/>
              <w:left w:val="nil"/>
              <w:bottom w:val="single" w:sz="8" w:space="0" w:color="auto"/>
              <w:right w:val="nil"/>
            </w:tcBorders>
            <w:shd w:val="clear" w:color="auto" w:fill="auto"/>
            <w:noWrap/>
            <w:hideMark/>
          </w:tcPr>
          <w:p w14:paraId="18EFFC12"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1 495 000 </w:t>
            </w:r>
          </w:p>
        </w:tc>
        <w:tc>
          <w:tcPr>
            <w:tcW w:w="1656" w:type="dxa"/>
            <w:tcBorders>
              <w:top w:val="nil"/>
              <w:left w:val="nil"/>
              <w:bottom w:val="single" w:sz="8" w:space="0" w:color="auto"/>
              <w:right w:val="nil"/>
            </w:tcBorders>
            <w:shd w:val="clear" w:color="auto" w:fill="auto"/>
            <w:noWrap/>
            <w:hideMark/>
          </w:tcPr>
          <w:p w14:paraId="49A60426" w14:textId="52D63E70"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1 730 000 </w:t>
            </w:r>
          </w:p>
        </w:tc>
      </w:tr>
      <w:tr w:rsidR="00E7045B" w:rsidRPr="00440196" w14:paraId="5ED46E37" w14:textId="77777777" w:rsidTr="00440196">
        <w:trPr>
          <w:trHeight w:val="327"/>
        </w:trPr>
        <w:tc>
          <w:tcPr>
            <w:tcW w:w="6436" w:type="dxa"/>
            <w:tcBorders>
              <w:top w:val="nil"/>
              <w:left w:val="nil"/>
              <w:bottom w:val="nil"/>
              <w:right w:val="nil"/>
            </w:tcBorders>
            <w:shd w:val="clear" w:color="auto" w:fill="auto"/>
            <w:noWrap/>
            <w:hideMark/>
          </w:tcPr>
          <w:p w14:paraId="10589F8F" w14:textId="77777777" w:rsidR="00E7045B" w:rsidRPr="007831BB" w:rsidRDefault="00E7045B" w:rsidP="006F57F3">
            <w:pPr>
              <w:keepNext/>
              <w:keepLines/>
              <w:widowControl w:val="0"/>
              <w:tabs>
                <w:tab w:val="left" w:pos="6480"/>
                <w:tab w:val="left" w:pos="7200"/>
              </w:tabs>
              <w:spacing w:before="40" w:after="40"/>
              <w:rPr>
                <w:b/>
                <w:sz w:val="18"/>
                <w:szCs w:val="18"/>
                <w:lang w:eastAsia="zh-CN"/>
              </w:rPr>
            </w:pPr>
            <w:r w:rsidRPr="00440196">
              <w:rPr>
                <w:b/>
                <w:sz w:val="18"/>
                <w:szCs w:val="18"/>
                <w:lang w:eastAsia="zh-CN"/>
              </w:rPr>
              <w:t>1.2 Bureau and Multidisciplinary Expert Panel sessions</w:t>
            </w:r>
          </w:p>
        </w:tc>
        <w:tc>
          <w:tcPr>
            <w:tcW w:w="1641" w:type="dxa"/>
            <w:tcBorders>
              <w:top w:val="nil"/>
              <w:left w:val="nil"/>
              <w:bottom w:val="nil"/>
              <w:right w:val="nil"/>
            </w:tcBorders>
            <w:shd w:val="clear" w:color="auto" w:fill="auto"/>
            <w:noWrap/>
            <w:hideMark/>
          </w:tcPr>
          <w:p w14:paraId="32EDE6C0" w14:textId="77777777" w:rsidR="00E7045B" w:rsidRPr="00440196" w:rsidRDefault="00E7045B" w:rsidP="006F57F3">
            <w:pPr>
              <w:keepNext/>
              <w:keepLines/>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6BBA22C2" w14:textId="77777777" w:rsidR="00E7045B" w:rsidRPr="00440196" w:rsidRDefault="00E7045B" w:rsidP="006F57F3">
            <w:pPr>
              <w:keepNext/>
              <w:keepLines/>
              <w:spacing w:before="40" w:after="40"/>
              <w:jc w:val="right"/>
              <w:rPr>
                <w:sz w:val="18"/>
                <w:szCs w:val="18"/>
                <w:lang w:eastAsia="zh-CN"/>
              </w:rPr>
            </w:pPr>
          </w:p>
        </w:tc>
      </w:tr>
      <w:tr w:rsidR="00E7045B" w:rsidRPr="00440196" w14:paraId="09C271FF" w14:textId="77777777" w:rsidTr="00440196">
        <w:trPr>
          <w:trHeight w:val="327"/>
        </w:trPr>
        <w:tc>
          <w:tcPr>
            <w:tcW w:w="6436" w:type="dxa"/>
            <w:tcBorders>
              <w:top w:val="nil"/>
              <w:left w:val="nil"/>
              <w:bottom w:val="nil"/>
              <w:right w:val="nil"/>
            </w:tcBorders>
            <w:shd w:val="clear" w:color="auto" w:fill="auto"/>
            <w:noWrap/>
            <w:hideMark/>
          </w:tcPr>
          <w:p w14:paraId="16950E46" w14:textId="22930001" w:rsidR="00E7045B" w:rsidRPr="007831BB" w:rsidRDefault="00E7045B" w:rsidP="006F57F3">
            <w:pPr>
              <w:keepNext/>
              <w:keepLines/>
              <w:widowControl w:val="0"/>
              <w:tabs>
                <w:tab w:val="left" w:pos="6480"/>
                <w:tab w:val="left" w:pos="7200"/>
              </w:tabs>
              <w:spacing w:before="40" w:after="40"/>
              <w:rPr>
                <w:sz w:val="18"/>
                <w:szCs w:val="18"/>
                <w:lang w:eastAsia="zh-CN"/>
              </w:rPr>
            </w:pPr>
            <w:r w:rsidRPr="00440196">
              <w:rPr>
                <w:sz w:val="18"/>
                <w:szCs w:val="18"/>
                <w:lang w:eastAsia="zh-CN"/>
              </w:rPr>
              <w:t xml:space="preserve">Travel and meeting costs for participants for </w:t>
            </w:r>
            <w:r w:rsidR="00530C40">
              <w:rPr>
                <w:sz w:val="18"/>
                <w:szCs w:val="18"/>
                <w:lang w:eastAsia="zh-CN"/>
              </w:rPr>
              <w:t>two</w:t>
            </w:r>
            <w:r w:rsidRPr="00440196">
              <w:rPr>
                <w:sz w:val="18"/>
                <w:szCs w:val="18"/>
                <w:lang w:eastAsia="zh-CN"/>
              </w:rPr>
              <w:t xml:space="preserve"> Bureau sessions </w:t>
            </w:r>
          </w:p>
        </w:tc>
        <w:tc>
          <w:tcPr>
            <w:tcW w:w="1641" w:type="dxa"/>
            <w:tcBorders>
              <w:top w:val="nil"/>
              <w:left w:val="nil"/>
              <w:bottom w:val="nil"/>
              <w:right w:val="nil"/>
            </w:tcBorders>
            <w:shd w:val="clear" w:color="auto" w:fill="auto"/>
            <w:noWrap/>
            <w:hideMark/>
          </w:tcPr>
          <w:p w14:paraId="6F51422F" w14:textId="77777777" w:rsidR="00E7045B" w:rsidRPr="007831BB" w:rsidRDefault="00E7045B" w:rsidP="006F57F3">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70 900 </w:t>
            </w:r>
          </w:p>
        </w:tc>
        <w:tc>
          <w:tcPr>
            <w:tcW w:w="1656" w:type="dxa"/>
            <w:tcBorders>
              <w:top w:val="nil"/>
              <w:left w:val="nil"/>
              <w:bottom w:val="nil"/>
              <w:right w:val="nil"/>
            </w:tcBorders>
            <w:shd w:val="clear" w:color="auto" w:fill="auto"/>
            <w:noWrap/>
            <w:hideMark/>
          </w:tcPr>
          <w:p w14:paraId="1B64EC1A" w14:textId="00262D2D" w:rsidR="00E7045B" w:rsidRPr="007831BB" w:rsidRDefault="00E7045B" w:rsidP="006F57F3">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70 900 </w:t>
            </w:r>
          </w:p>
        </w:tc>
      </w:tr>
      <w:tr w:rsidR="00E7045B" w:rsidRPr="00440196" w14:paraId="076D028B" w14:textId="77777777" w:rsidTr="00440196">
        <w:trPr>
          <w:trHeight w:val="327"/>
        </w:trPr>
        <w:tc>
          <w:tcPr>
            <w:tcW w:w="6436" w:type="dxa"/>
            <w:tcBorders>
              <w:top w:val="nil"/>
              <w:left w:val="nil"/>
              <w:bottom w:val="single" w:sz="8" w:space="0" w:color="auto"/>
              <w:right w:val="nil"/>
            </w:tcBorders>
            <w:shd w:val="clear" w:color="auto" w:fill="auto"/>
            <w:noWrap/>
            <w:hideMark/>
          </w:tcPr>
          <w:p w14:paraId="039C013B" w14:textId="7C73F8A2" w:rsidR="00E7045B" w:rsidRPr="007831BB" w:rsidRDefault="00E7045B" w:rsidP="006F57F3">
            <w:pPr>
              <w:keepNext/>
              <w:keepLines/>
              <w:widowControl w:val="0"/>
              <w:tabs>
                <w:tab w:val="left" w:pos="6480"/>
                <w:tab w:val="left" w:pos="7200"/>
              </w:tabs>
              <w:spacing w:before="40" w:after="40"/>
              <w:rPr>
                <w:sz w:val="18"/>
                <w:szCs w:val="18"/>
                <w:lang w:eastAsia="zh-CN"/>
              </w:rPr>
            </w:pPr>
            <w:r w:rsidRPr="00440196">
              <w:rPr>
                <w:sz w:val="18"/>
                <w:szCs w:val="18"/>
                <w:lang w:eastAsia="zh-CN"/>
              </w:rPr>
              <w:t xml:space="preserve">Travel and meeting costs for participants for </w:t>
            </w:r>
            <w:r w:rsidR="00530C40">
              <w:rPr>
                <w:sz w:val="18"/>
                <w:szCs w:val="18"/>
                <w:lang w:eastAsia="zh-CN"/>
              </w:rPr>
              <w:t>two</w:t>
            </w:r>
            <w:r w:rsidRPr="00440196">
              <w:rPr>
                <w:sz w:val="18"/>
                <w:szCs w:val="18"/>
                <w:lang w:eastAsia="zh-CN"/>
              </w:rPr>
              <w:t xml:space="preserve"> Panel sessions </w:t>
            </w:r>
          </w:p>
        </w:tc>
        <w:tc>
          <w:tcPr>
            <w:tcW w:w="1641" w:type="dxa"/>
            <w:tcBorders>
              <w:top w:val="nil"/>
              <w:left w:val="nil"/>
              <w:bottom w:val="single" w:sz="8" w:space="0" w:color="auto"/>
              <w:right w:val="nil"/>
            </w:tcBorders>
            <w:shd w:val="clear" w:color="auto" w:fill="auto"/>
            <w:noWrap/>
            <w:hideMark/>
          </w:tcPr>
          <w:p w14:paraId="12E7F3C0" w14:textId="77777777" w:rsidR="00E7045B" w:rsidRPr="007831BB" w:rsidRDefault="00E7045B" w:rsidP="006F57F3">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c>
          <w:tcPr>
            <w:tcW w:w="1656" w:type="dxa"/>
            <w:tcBorders>
              <w:top w:val="nil"/>
              <w:left w:val="nil"/>
              <w:bottom w:val="single" w:sz="8" w:space="0" w:color="auto"/>
              <w:right w:val="nil"/>
            </w:tcBorders>
            <w:shd w:val="clear" w:color="auto" w:fill="auto"/>
            <w:noWrap/>
            <w:hideMark/>
          </w:tcPr>
          <w:p w14:paraId="677ED2E1" w14:textId="539FCCB2" w:rsidR="00E7045B" w:rsidRPr="007831BB" w:rsidRDefault="00E7045B" w:rsidP="006F57F3">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r>
      <w:tr w:rsidR="00E7045B" w:rsidRPr="00440196" w14:paraId="0FC47647" w14:textId="77777777" w:rsidTr="00440196">
        <w:trPr>
          <w:trHeight w:val="327"/>
        </w:trPr>
        <w:tc>
          <w:tcPr>
            <w:tcW w:w="6436" w:type="dxa"/>
            <w:tcBorders>
              <w:top w:val="nil"/>
              <w:left w:val="nil"/>
              <w:bottom w:val="single" w:sz="8" w:space="0" w:color="auto"/>
              <w:right w:val="nil"/>
            </w:tcBorders>
            <w:shd w:val="clear" w:color="auto" w:fill="auto"/>
            <w:noWrap/>
            <w:hideMark/>
          </w:tcPr>
          <w:p w14:paraId="7C074B2F"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1.2, Bureau and Multidisciplinary Expert Panel sessions</w:t>
            </w:r>
          </w:p>
        </w:tc>
        <w:tc>
          <w:tcPr>
            <w:tcW w:w="1641" w:type="dxa"/>
            <w:tcBorders>
              <w:top w:val="nil"/>
              <w:left w:val="nil"/>
              <w:bottom w:val="single" w:sz="8" w:space="0" w:color="auto"/>
              <w:right w:val="nil"/>
            </w:tcBorders>
            <w:shd w:val="clear" w:color="auto" w:fill="auto"/>
            <w:noWrap/>
            <w:hideMark/>
          </w:tcPr>
          <w:p w14:paraId="3EDC4F39"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240 900 </w:t>
            </w:r>
          </w:p>
        </w:tc>
        <w:tc>
          <w:tcPr>
            <w:tcW w:w="1656" w:type="dxa"/>
            <w:tcBorders>
              <w:top w:val="nil"/>
              <w:left w:val="nil"/>
              <w:bottom w:val="single" w:sz="8" w:space="0" w:color="auto"/>
              <w:right w:val="nil"/>
            </w:tcBorders>
            <w:shd w:val="clear" w:color="auto" w:fill="auto"/>
            <w:noWrap/>
            <w:hideMark/>
          </w:tcPr>
          <w:p w14:paraId="24D80F02" w14:textId="347CAF18"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240 900 </w:t>
            </w:r>
          </w:p>
        </w:tc>
      </w:tr>
      <w:tr w:rsidR="00E7045B" w:rsidRPr="00440196" w14:paraId="7A52C647" w14:textId="77777777" w:rsidTr="00440196">
        <w:trPr>
          <w:trHeight w:val="327"/>
        </w:trPr>
        <w:tc>
          <w:tcPr>
            <w:tcW w:w="6436" w:type="dxa"/>
            <w:tcBorders>
              <w:top w:val="nil"/>
              <w:left w:val="nil"/>
              <w:bottom w:val="single" w:sz="8" w:space="0" w:color="auto"/>
              <w:right w:val="nil"/>
            </w:tcBorders>
            <w:shd w:val="clear" w:color="auto" w:fill="auto"/>
            <w:noWrap/>
            <w:hideMark/>
          </w:tcPr>
          <w:p w14:paraId="7EFA3E42" w14:textId="77777777" w:rsidR="00E7045B" w:rsidRPr="007831BB" w:rsidRDefault="00E7045B" w:rsidP="00FB1807">
            <w:pPr>
              <w:keepNext/>
              <w:keepLines/>
              <w:widowControl w:val="0"/>
              <w:tabs>
                <w:tab w:val="left" w:pos="6480"/>
                <w:tab w:val="left" w:pos="7200"/>
              </w:tabs>
              <w:spacing w:before="40" w:after="40"/>
              <w:rPr>
                <w:b/>
                <w:sz w:val="18"/>
                <w:szCs w:val="18"/>
                <w:lang w:eastAsia="zh-CN"/>
              </w:rPr>
            </w:pPr>
            <w:r w:rsidRPr="00440196">
              <w:rPr>
                <w:b/>
                <w:sz w:val="18"/>
                <w:szCs w:val="18"/>
                <w:lang w:eastAsia="zh-CN"/>
              </w:rPr>
              <w:t>1.3 Travel costs of the Chair to represent the Platform</w:t>
            </w:r>
          </w:p>
        </w:tc>
        <w:tc>
          <w:tcPr>
            <w:tcW w:w="1641" w:type="dxa"/>
            <w:tcBorders>
              <w:top w:val="nil"/>
              <w:left w:val="nil"/>
              <w:bottom w:val="single" w:sz="8" w:space="0" w:color="auto"/>
              <w:right w:val="nil"/>
            </w:tcBorders>
            <w:shd w:val="clear" w:color="auto" w:fill="auto"/>
            <w:noWrap/>
            <w:hideMark/>
          </w:tcPr>
          <w:p w14:paraId="61335A38" w14:textId="77777777" w:rsidR="00E7045B" w:rsidRPr="007831BB" w:rsidRDefault="00E7045B" w:rsidP="00FB1807">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25 000 </w:t>
            </w:r>
          </w:p>
        </w:tc>
        <w:tc>
          <w:tcPr>
            <w:tcW w:w="1656" w:type="dxa"/>
            <w:tcBorders>
              <w:top w:val="nil"/>
              <w:left w:val="nil"/>
              <w:bottom w:val="single" w:sz="8" w:space="0" w:color="auto"/>
              <w:right w:val="nil"/>
            </w:tcBorders>
            <w:shd w:val="clear" w:color="auto" w:fill="auto"/>
            <w:noWrap/>
            <w:hideMark/>
          </w:tcPr>
          <w:p w14:paraId="0A18F3EF" w14:textId="2E55F932" w:rsidR="00E7045B" w:rsidRPr="007831BB" w:rsidRDefault="00E7045B" w:rsidP="00FB1807">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30 000 </w:t>
            </w:r>
          </w:p>
        </w:tc>
      </w:tr>
      <w:tr w:rsidR="00E7045B" w:rsidRPr="00440196" w14:paraId="48064FBB" w14:textId="77777777" w:rsidTr="00440196">
        <w:trPr>
          <w:trHeight w:val="327"/>
        </w:trPr>
        <w:tc>
          <w:tcPr>
            <w:tcW w:w="6436" w:type="dxa"/>
            <w:tcBorders>
              <w:top w:val="nil"/>
              <w:left w:val="nil"/>
              <w:bottom w:val="single" w:sz="8" w:space="0" w:color="auto"/>
              <w:right w:val="nil"/>
            </w:tcBorders>
            <w:shd w:val="clear" w:color="auto" w:fill="auto"/>
            <w:noWrap/>
            <w:hideMark/>
          </w:tcPr>
          <w:p w14:paraId="548D834F"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1, meetings of the Platform bodies</w:t>
            </w:r>
          </w:p>
        </w:tc>
        <w:tc>
          <w:tcPr>
            <w:tcW w:w="1641" w:type="dxa"/>
            <w:tcBorders>
              <w:top w:val="nil"/>
              <w:left w:val="nil"/>
              <w:bottom w:val="single" w:sz="8" w:space="0" w:color="auto"/>
              <w:right w:val="nil"/>
            </w:tcBorders>
            <w:shd w:val="clear" w:color="auto" w:fill="auto"/>
            <w:noWrap/>
            <w:hideMark/>
          </w:tcPr>
          <w:p w14:paraId="53F34EBB"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1 760 900 </w:t>
            </w:r>
          </w:p>
        </w:tc>
        <w:tc>
          <w:tcPr>
            <w:tcW w:w="1656" w:type="dxa"/>
            <w:tcBorders>
              <w:top w:val="nil"/>
              <w:left w:val="nil"/>
              <w:bottom w:val="single" w:sz="8" w:space="0" w:color="auto"/>
              <w:right w:val="nil"/>
            </w:tcBorders>
            <w:shd w:val="clear" w:color="auto" w:fill="auto"/>
            <w:noWrap/>
            <w:hideMark/>
          </w:tcPr>
          <w:p w14:paraId="38203E64" w14:textId="3345C5F6"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2 000 900 </w:t>
            </w:r>
          </w:p>
        </w:tc>
      </w:tr>
      <w:tr w:rsidR="00E7045B" w:rsidRPr="00440196" w14:paraId="532F338D" w14:textId="77777777" w:rsidTr="00440196">
        <w:trPr>
          <w:trHeight w:val="299"/>
        </w:trPr>
        <w:tc>
          <w:tcPr>
            <w:tcW w:w="6436" w:type="dxa"/>
            <w:tcBorders>
              <w:top w:val="nil"/>
              <w:left w:val="nil"/>
              <w:bottom w:val="nil"/>
              <w:right w:val="nil"/>
            </w:tcBorders>
            <w:shd w:val="clear" w:color="000000" w:fill="FFFFFF"/>
            <w:noWrap/>
            <w:hideMark/>
          </w:tcPr>
          <w:p w14:paraId="352D84C3" w14:textId="77777777" w:rsidR="00E7045B" w:rsidRPr="007831BB" w:rsidRDefault="00E7045B" w:rsidP="00440196">
            <w:pPr>
              <w:widowControl w:val="0"/>
              <w:tabs>
                <w:tab w:val="left" w:pos="6480"/>
                <w:tab w:val="left" w:pos="7200"/>
              </w:tabs>
              <w:spacing w:before="40" w:after="40"/>
              <w:rPr>
                <w:b/>
                <w:sz w:val="18"/>
                <w:szCs w:val="18"/>
                <w:u w:val="single"/>
                <w:lang w:eastAsia="zh-CN"/>
              </w:rPr>
            </w:pPr>
            <w:r w:rsidRPr="00440196">
              <w:rPr>
                <w:b/>
                <w:sz w:val="18"/>
                <w:szCs w:val="18"/>
                <w:u w:val="single"/>
                <w:lang w:eastAsia="zh-CN"/>
              </w:rPr>
              <w:t xml:space="preserve">2. Implementation of the work programme </w:t>
            </w:r>
          </w:p>
        </w:tc>
        <w:tc>
          <w:tcPr>
            <w:tcW w:w="1641" w:type="dxa"/>
            <w:tcBorders>
              <w:top w:val="nil"/>
              <w:left w:val="nil"/>
              <w:bottom w:val="nil"/>
              <w:right w:val="nil"/>
            </w:tcBorders>
            <w:shd w:val="clear" w:color="auto" w:fill="auto"/>
            <w:noWrap/>
            <w:hideMark/>
          </w:tcPr>
          <w:p w14:paraId="2E4AFFC9"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0E439EC9" w14:textId="77777777" w:rsidR="00E7045B" w:rsidRPr="00440196" w:rsidRDefault="00E7045B" w:rsidP="00440196">
            <w:pPr>
              <w:spacing w:before="40" w:after="40"/>
              <w:jc w:val="right"/>
              <w:rPr>
                <w:sz w:val="18"/>
                <w:szCs w:val="18"/>
                <w:lang w:eastAsia="zh-CN"/>
              </w:rPr>
            </w:pPr>
          </w:p>
        </w:tc>
      </w:tr>
      <w:tr w:rsidR="00E7045B" w:rsidRPr="00440196" w14:paraId="0B850108" w14:textId="77777777" w:rsidTr="00440196">
        <w:trPr>
          <w:trHeight w:val="410"/>
        </w:trPr>
        <w:tc>
          <w:tcPr>
            <w:tcW w:w="6436" w:type="dxa"/>
            <w:tcBorders>
              <w:top w:val="nil"/>
              <w:left w:val="nil"/>
              <w:bottom w:val="nil"/>
              <w:right w:val="nil"/>
            </w:tcBorders>
            <w:shd w:val="clear" w:color="000000" w:fill="FFFFFF"/>
            <w:hideMark/>
          </w:tcPr>
          <w:p w14:paraId="54D97A58" w14:textId="081649A1"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2.1 Objective 1: strengthen the capacity and knowledge foundations of the science</w:t>
            </w:r>
            <w:r w:rsidR="000861B1">
              <w:rPr>
                <w:sz w:val="18"/>
                <w:szCs w:val="18"/>
                <w:lang w:eastAsia="zh-CN"/>
              </w:rPr>
              <w:noBreakHyphen/>
            </w:r>
            <w:r w:rsidRPr="00440196">
              <w:rPr>
                <w:sz w:val="18"/>
                <w:szCs w:val="18"/>
                <w:lang w:eastAsia="zh-CN"/>
              </w:rPr>
              <w:t>policy interface to implement key functions of the Platform</w:t>
            </w:r>
          </w:p>
        </w:tc>
        <w:tc>
          <w:tcPr>
            <w:tcW w:w="1641" w:type="dxa"/>
            <w:tcBorders>
              <w:top w:val="nil"/>
              <w:left w:val="nil"/>
              <w:bottom w:val="nil"/>
              <w:right w:val="nil"/>
            </w:tcBorders>
            <w:shd w:val="clear" w:color="auto" w:fill="auto"/>
            <w:noWrap/>
            <w:hideMark/>
          </w:tcPr>
          <w:p w14:paraId="36375ECE"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798 000 </w:t>
            </w:r>
          </w:p>
        </w:tc>
        <w:tc>
          <w:tcPr>
            <w:tcW w:w="1656" w:type="dxa"/>
            <w:tcBorders>
              <w:top w:val="nil"/>
              <w:left w:val="nil"/>
              <w:bottom w:val="nil"/>
              <w:right w:val="nil"/>
            </w:tcBorders>
            <w:shd w:val="clear" w:color="auto" w:fill="auto"/>
            <w:noWrap/>
            <w:hideMark/>
          </w:tcPr>
          <w:p w14:paraId="053CE0B4" w14:textId="1AE05DF0" w:rsidR="00E7045B" w:rsidRPr="007831BB" w:rsidRDefault="00E7045B" w:rsidP="00440196">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E7045B" w:rsidRPr="00440196" w14:paraId="539C35A3" w14:textId="77777777" w:rsidTr="00440196">
        <w:trPr>
          <w:trHeight w:val="502"/>
        </w:trPr>
        <w:tc>
          <w:tcPr>
            <w:tcW w:w="6436" w:type="dxa"/>
            <w:tcBorders>
              <w:top w:val="nil"/>
              <w:left w:val="nil"/>
              <w:bottom w:val="nil"/>
              <w:right w:val="nil"/>
            </w:tcBorders>
            <w:shd w:val="clear" w:color="000000" w:fill="FFFFFF"/>
            <w:hideMark/>
          </w:tcPr>
          <w:p w14:paraId="088546C2"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2.2 Objective 2: strengthen the science-policy interface on biodiversity and ecosystem services at and across the </w:t>
            </w:r>
            <w:proofErr w:type="spellStart"/>
            <w:r w:rsidRPr="00440196">
              <w:rPr>
                <w:sz w:val="18"/>
                <w:szCs w:val="18"/>
                <w:lang w:eastAsia="zh-CN"/>
              </w:rPr>
              <w:t>subregional</w:t>
            </w:r>
            <w:proofErr w:type="spellEnd"/>
            <w:r w:rsidRPr="00440196">
              <w:rPr>
                <w:sz w:val="18"/>
                <w:szCs w:val="18"/>
                <w:lang w:eastAsia="zh-CN"/>
              </w:rPr>
              <w:t>, regional and global levels</w:t>
            </w:r>
          </w:p>
        </w:tc>
        <w:tc>
          <w:tcPr>
            <w:tcW w:w="1641" w:type="dxa"/>
            <w:tcBorders>
              <w:top w:val="nil"/>
              <w:left w:val="nil"/>
              <w:bottom w:val="nil"/>
              <w:right w:val="nil"/>
            </w:tcBorders>
            <w:shd w:val="clear" w:color="auto" w:fill="auto"/>
            <w:noWrap/>
            <w:hideMark/>
          </w:tcPr>
          <w:p w14:paraId="7BF83273"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2 703 750</w:t>
            </w:r>
          </w:p>
        </w:tc>
        <w:tc>
          <w:tcPr>
            <w:tcW w:w="1656" w:type="dxa"/>
            <w:tcBorders>
              <w:top w:val="nil"/>
              <w:left w:val="nil"/>
              <w:bottom w:val="nil"/>
              <w:right w:val="nil"/>
            </w:tcBorders>
            <w:shd w:val="clear" w:color="auto" w:fill="auto"/>
            <w:noWrap/>
            <w:hideMark/>
          </w:tcPr>
          <w:p w14:paraId="7BB46BE5" w14:textId="5B5CFED4" w:rsidR="00E7045B" w:rsidRPr="007831BB" w:rsidRDefault="00E7045B" w:rsidP="00440196">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E7045B" w:rsidRPr="00440196" w14:paraId="44B7A830" w14:textId="77777777" w:rsidTr="00440196">
        <w:trPr>
          <w:trHeight w:val="552"/>
        </w:trPr>
        <w:tc>
          <w:tcPr>
            <w:tcW w:w="6436" w:type="dxa"/>
            <w:tcBorders>
              <w:top w:val="nil"/>
              <w:left w:val="nil"/>
              <w:bottom w:val="nil"/>
              <w:right w:val="nil"/>
            </w:tcBorders>
            <w:shd w:val="clear" w:color="000000" w:fill="FFFFFF"/>
            <w:hideMark/>
          </w:tcPr>
          <w:p w14:paraId="2AC29B6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2.3 Objective 3: strengthen the knowledge-policy interface with regard to thematic and methodological issues</w:t>
            </w:r>
          </w:p>
        </w:tc>
        <w:tc>
          <w:tcPr>
            <w:tcW w:w="1641" w:type="dxa"/>
            <w:tcBorders>
              <w:top w:val="nil"/>
              <w:left w:val="nil"/>
              <w:bottom w:val="nil"/>
              <w:right w:val="nil"/>
            </w:tcBorders>
            <w:shd w:val="clear" w:color="auto" w:fill="auto"/>
            <w:noWrap/>
            <w:hideMark/>
          </w:tcPr>
          <w:p w14:paraId="06CFF16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507 000</w:t>
            </w:r>
          </w:p>
        </w:tc>
        <w:tc>
          <w:tcPr>
            <w:tcW w:w="1656" w:type="dxa"/>
            <w:tcBorders>
              <w:top w:val="nil"/>
              <w:left w:val="nil"/>
              <w:bottom w:val="nil"/>
              <w:right w:val="nil"/>
            </w:tcBorders>
            <w:shd w:val="clear" w:color="auto" w:fill="auto"/>
            <w:noWrap/>
            <w:hideMark/>
          </w:tcPr>
          <w:p w14:paraId="726C6DA8" w14:textId="001B4ED4" w:rsidR="00E7045B" w:rsidRPr="007831BB" w:rsidRDefault="00E7045B" w:rsidP="00440196">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E7045B" w:rsidRPr="00440196" w14:paraId="4EADEEB7" w14:textId="77777777" w:rsidTr="00440196">
        <w:trPr>
          <w:trHeight w:val="453"/>
        </w:trPr>
        <w:tc>
          <w:tcPr>
            <w:tcW w:w="6436" w:type="dxa"/>
            <w:tcBorders>
              <w:top w:val="nil"/>
              <w:left w:val="nil"/>
              <w:bottom w:val="single" w:sz="8" w:space="0" w:color="auto"/>
              <w:right w:val="nil"/>
            </w:tcBorders>
            <w:shd w:val="clear" w:color="auto" w:fill="auto"/>
            <w:hideMark/>
          </w:tcPr>
          <w:p w14:paraId="54BC115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2.4 Objective 4: communicate and evaluate Platform activities, deliverables and findings</w:t>
            </w:r>
          </w:p>
        </w:tc>
        <w:tc>
          <w:tcPr>
            <w:tcW w:w="1641" w:type="dxa"/>
            <w:tcBorders>
              <w:top w:val="nil"/>
              <w:left w:val="nil"/>
              <w:bottom w:val="single" w:sz="8" w:space="0" w:color="auto"/>
              <w:right w:val="nil"/>
            </w:tcBorders>
            <w:shd w:val="clear" w:color="auto" w:fill="auto"/>
            <w:noWrap/>
            <w:hideMark/>
          </w:tcPr>
          <w:p w14:paraId="4DF19FD4"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150 000</w:t>
            </w:r>
          </w:p>
        </w:tc>
        <w:tc>
          <w:tcPr>
            <w:tcW w:w="1656" w:type="dxa"/>
            <w:tcBorders>
              <w:top w:val="nil"/>
              <w:left w:val="nil"/>
              <w:bottom w:val="single" w:sz="8" w:space="0" w:color="auto"/>
              <w:right w:val="nil"/>
            </w:tcBorders>
            <w:shd w:val="clear" w:color="auto" w:fill="auto"/>
            <w:noWrap/>
            <w:hideMark/>
          </w:tcPr>
          <w:p w14:paraId="498D5976" w14:textId="04262910" w:rsidR="00E7045B" w:rsidRPr="007831BB" w:rsidRDefault="00E7045B" w:rsidP="00440196">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E7045B" w:rsidRPr="00440196" w14:paraId="3A39323C" w14:textId="77777777" w:rsidTr="00440196">
        <w:trPr>
          <w:trHeight w:val="327"/>
        </w:trPr>
        <w:tc>
          <w:tcPr>
            <w:tcW w:w="6436" w:type="dxa"/>
            <w:tcBorders>
              <w:top w:val="nil"/>
              <w:left w:val="nil"/>
              <w:bottom w:val="single" w:sz="8" w:space="0" w:color="auto"/>
              <w:right w:val="nil"/>
            </w:tcBorders>
            <w:shd w:val="clear" w:color="auto" w:fill="auto"/>
            <w:noWrap/>
            <w:hideMark/>
          </w:tcPr>
          <w:p w14:paraId="01ABBD13"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2, implementation of the work programme</w:t>
            </w:r>
          </w:p>
        </w:tc>
        <w:tc>
          <w:tcPr>
            <w:tcW w:w="1641" w:type="dxa"/>
            <w:tcBorders>
              <w:top w:val="nil"/>
              <w:left w:val="nil"/>
              <w:bottom w:val="single" w:sz="8" w:space="0" w:color="auto"/>
              <w:right w:val="nil"/>
            </w:tcBorders>
            <w:shd w:val="clear" w:color="auto" w:fill="auto"/>
            <w:noWrap/>
            <w:hideMark/>
          </w:tcPr>
          <w:p w14:paraId="3481262B"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4 158 750</w:t>
            </w:r>
          </w:p>
        </w:tc>
        <w:tc>
          <w:tcPr>
            <w:tcW w:w="1656" w:type="dxa"/>
            <w:tcBorders>
              <w:top w:val="nil"/>
              <w:left w:val="nil"/>
              <w:bottom w:val="single" w:sz="8" w:space="0" w:color="auto"/>
              <w:right w:val="nil"/>
            </w:tcBorders>
            <w:shd w:val="clear" w:color="auto" w:fill="auto"/>
            <w:noWrap/>
            <w:hideMark/>
          </w:tcPr>
          <w:p w14:paraId="59A2162A" w14:textId="32C18BD7" w:rsidR="00E7045B" w:rsidRPr="007831BB" w:rsidRDefault="00E7045B" w:rsidP="00440196">
            <w:pPr>
              <w:widowControl w:val="0"/>
              <w:tabs>
                <w:tab w:val="left" w:pos="6480"/>
                <w:tab w:val="left" w:pos="7200"/>
              </w:tabs>
              <w:spacing w:before="40" w:after="40"/>
              <w:jc w:val="right"/>
              <w:rPr>
                <w:rFonts w:eastAsiaTheme="minorEastAsia"/>
                <w:b/>
                <w:sz w:val="18"/>
                <w:szCs w:val="18"/>
                <w:highlight w:val="yellow"/>
                <w:lang w:eastAsia="zh-CN"/>
              </w:rPr>
            </w:pPr>
            <w:r w:rsidRPr="007831BB">
              <w:rPr>
                <w:rFonts w:eastAsiaTheme="minorEastAsia"/>
                <w:b/>
                <w:sz w:val="18"/>
                <w:szCs w:val="18"/>
                <w:lang w:eastAsia="zh-CN"/>
              </w:rPr>
              <w:t>1</w:t>
            </w:r>
            <w:r w:rsidRPr="00440196">
              <w:rPr>
                <w:b/>
                <w:sz w:val="18"/>
                <w:szCs w:val="18"/>
                <w:lang w:eastAsia="zh-CN"/>
              </w:rPr>
              <w:t xml:space="preserve"> </w:t>
            </w:r>
            <w:r w:rsidRPr="007831BB">
              <w:rPr>
                <w:rFonts w:eastAsiaTheme="minorEastAsia"/>
                <w:b/>
                <w:sz w:val="18"/>
                <w:szCs w:val="18"/>
                <w:lang w:eastAsia="zh-CN"/>
              </w:rPr>
              <w:t>272</w:t>
            </w:r>
            <w:r w:rsidRPr="00440196">
              <w:rPr>
                <w:b/>
                <w:sz w:val="18"/>
                <w:szCs w:val="18"/>
                <w:lang w:eastAsia="zh-CN"/>
              </w:rPr>
              <w:t xml:space="preserve"> </w:t>
            </w:r>
            <w:r w:rsidRPr="007831BB">
              <w:rPr>
                <w:rFonts w:eastAsiaTheme="minorEastAsia"/>
                <w:b/>
                <w:sz w:val="18"/>
                <w:szCs w:val="18"/>
                <w:lang w:eastAsia="zh-CN"/>
              </w:rPr>
              <w:t>350</w:t>
            </w:r>
          </w:p>
        </w:tc>
      </w:tr>
      <w:tr w:rsidR="00E7045B" w:rsidRPr="00440196" w14:paraId="28A2F5A6" w14:textId="77777777" w:rsidTr="00440196">
        <w:trPr>
          <w:trHeight w:val="327"/>
        </w:trPr>
        <w:tc>
          <w:tcPr>
            <w:tcW w:w="6436" w:type="dxa"/>
            <w:tcBorders>
              <w:top w:val="nil"/>
              <w:left w:val="nil"/>
              <w:bottom w:val="nil"/>
              <w:right w:val="nil"/>
            </w:tcBorders>
            <w:shd w:val="clear" w:color="auto" w:fill="auto"/>
            <w:noWrap/>
            <w:hideMark/>
          </w:tcPr>
          <w:p w14:paraId="3F48EDA1" w14:textId="77777777" w:rsidR="00E7045B" w:rsidRPr="007831BB" w:rsidRDefault="00E7045B" w:rsidP="00440196">
            <w:pPr>
              <w:widowControl w:val="0"/>
              <w:tabs>
                <w:tab w:val="left" w:pos="6480"/>
                <w:tab w:val="left" w:pos="7200"/>
              </w:tabs>
              <w:spacing w:before="40" w:after="40"/>
              <w:rPr>
                <w:b/>
                <w:sz w:val="18"/>
                <w:szCs w:val="18"/>
                <w:u w:val="single"/>
                <w:lang w:eastAsia="zh-CN"/>
              </w:rPr>
            </w:pPr>
            <w:r w:rsidRPr="00440196">
              <w:rPr>
                <w:b/>
                <w:sz w:val="18"/>
                <w:szCs w:val="18"/>
                <w:u w:val="single"/>
                <w:lang w:eastAsia="zh-CN"/>
              </w:rPr>
              <w:t>3. Secretariat</w:t>
            </w:r>
          </w:p>
        </w:tc>
        <w:tc>
          <w:tcPr>
            <w:tcW w:w="1641" w:type="dxa"/>
            <w:tcBorders>
              <w:top w:val="nil"/>
              <w:left w:val="nil"/>
              <w:bottom w:val="nil"/>
              <w:right w:val="nil"/>
            </w:tcBorders>
            <w:shd w:val="clear" w:color="auto" w:fill="auto"/>
            <w:noWrap/>
            <w:hideMark/>
          </w:tcPr>
          <w:p w14:paraId="6BD11E6A" w14:textId="77777777" w:rsidR="00E7045B" w:rsidRPr="00440196" w:rsidRDefault="00E7045B" w:rsidP="00440196">
            <w:pPr>
              <w:spacing w:before="40" w:after="40"/>
              <w:jc w:val="right"/>
              <w:rPr>
                <w:sz w:val="18"/>
                <w:szCs w:val="18"/>
                <w:lang w:eastAsia="zh-CN"/>
              </w:rPr>
            </w:pPr>
          </w:p>
        </w:tc>
        <w:tc>
          <w:tcPr>
            <w:tcW w:w="1656" w:type="dxa"/>
            <w:vMerge w:val="restart"/>
            <w:tcBorders>
              <w:top w:val="nil"/>
              <w:left w:val="nil"/>
              <w:bottom w:val="nil"/>
              <w:right w:val="nil"/>
            </w:tcBorders>
            <w:shd w:val="clear" w:color="auto" w:fill="auto"/>
            <w:hideMark/>
          </w:tcPr>
          <w:p w14:paraId="5088BC0C" w14:textId="461E86AE"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w:t>
            </w:r>
          </w:p>
        </w:tc>
      </w:tr>
      <w:tr w:rsidR="00E7045B" w:rsidRPr="00440196" w14:paraId="3595424F" w14:textId="77777777" w:rsidTr="00440196">
        <w:trPr>
          <w:trHeight w:val="327"/>
        </w:trPr>
        <w:tc>
          <w:tcPr>
            <w:tcW w:w="6436" w:type="dxa"/>
            <w:tcBorders>
              <w:top w:val="nil"/>
              <w:left w:val="nil"/>
              <w:bottom w:val="nil"/>
              <w:right w:val="nil"/>
            </w:tcBorders>
            <w:shd w:val="clear" w:color="auto" w:fill="auto"/>
            <w:noWrap/>
            <w:hideMark/>
          </w:tcPr>
          <w:p w14:paraId="0EB69A41"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3.1 Personnel</w:t>
            </w:r>
          </w:p>
        </w:tc>
        <w:tc>
          <w:tcPr>
            <w:tcW w:w="1641" w:type="dxa"/>
            <w:tcBorders>
              <w:top w:val="nil"/>
              <w:left w:val="nil"/>
              <w:bottom w:val="nil"/>
              <w:right w:val="nil"/>
            </w:tcBorders>
            <w:shd w:val="clear" w:color="auto" w:fill="auto"/>
            <w:noWrap/>
            <w:hideMark/>
          </w:tcPr>
          <w:p w14:paraId="0E4864E4" w14:textId="77777777" w:rsidR="00E7045B" w:rsidRPr="00440196" w:rsidRDefault="00E7045B" w:rsidP="00440196">
            <w:pPr>
              <w:spacing w:before="40" w:after="40"/>
              <w:jc w:val="right"/>
              <w:rPr>
                <w:sz w:val="18"/>
                <w:szCs w:val="18"/>
                <w:lang w:eastAsia="zh-CN"/>
              </w:rPr>
            </w:pPr>
          </w:p>
        </w:tc>
        <w:tc>
          <w:tcPr>
            <w:tcW w:w="1656" w:type="dxa"/>
            <w:vMerge/>
            <w:tcBorders>
              <w:top w:val="nil"/>
              <w:left w:val="nil"/>
              <w:bottom w:val="nil"/>
              <w:right w:val="nil"/>
            </w:tcBorders>
            <w:hideMark/>
          </w:tcPr>
          <w:p w14:paraId="0A5337ED" w14:textId="77777777" w:rsidR="00E7045B" w:rsidRPr="00440196" w:rsidRDefault="00E7045B" w:rsidP="00440196">
            <w:pPr>
              <w:spacing w:before="40" w:after="40"/>
              <w:jc w:val="right"/>
              <w:rPr>
                <w:sz w:val="18"/>
                <w:szCs w:val="18"/>
                <w:lang w:eastAsia="zh-CN"/>
              </w:rPr>
            </w:pPr>
          </w:p>
        </w:tc>
      </w:tr>
      <w:tr w:rsidR="00E7045B" w:rsidRPr="00440196" w14:paraId="3A4C6933" w14:textId="77777777" w:rsidTr="00440196">
        <w:trPr>
          <w:trHeight w:val="327"/>
        </w:trPr>
        <w:tc>
          <w:tcPr>
            <w:tcW w:w="6436" w:type="dxa"/>
            <w:tcBorders>
              <w:top w:val="nil"/>
              <w:left w:val="nil"/>
              <w:bottom w:val="nil"/>
              <w:right w:val="nil"/>
            </w:tcBorders>
            <w:shd w:val="clear" w:color="auto" w:fill="auto"/>
            <w:noWrap/>
            <w:hideMark/>
          </w:tcPr>
          <w:p w14:paraId="3A1DA7EB"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3.1.1 Professional and higher category</w:t>
            </w:r>
          </w:p>
        </w:tc>
        <w:tc>
          <w:tcPr>
            <w:tcW w:w="1641" w:type="dxa"/>
            <w:tcBorders>
              <w:top w:val="nil"/>
              <w:left w:val="nil"/>
              <w:bottom w:val="nil"/>
              <w:right w:val="nil"/>
            </w:tcBorders>
            <w:shd w:val="clear" w:color="auto" w:fill="auto"/>
            <w:noWrap/>
            <w:hideMark/>
          </w:tcPr>
          <w:p w14:paraId="1EBFA655"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395CDB0E" w14:textId="77777777" w:rsidR="00E7045B" w:rsidRPr="00440196" w:rsidRDefault="00E7045B" w:rsidP="00440196">
            <w:pPr>
              <w:spacing w:before="40" w:after="40"/>
              <w:jc w:val="right"/>
              <w:rPr>
                <w:sz w:val="18"/>
                <w:szCs w:val="18"/>
                <w:lang w:eastAsia="zh-CN"/>
              </w:rPr>
            </w:pPr>
          </w:p>
        </w:tc>
      </w:tr>
      <w:tr w:rsidR="00E7045B" w:rsidRPr="00440196" w14:paraId="61DB1C6B" w14:textId="77777777" w:rsidTr="00440196">
        <w:trPr>
          <w:trHeight w:val="327"/>
        </w:trPr>
        <w:tc>
          <w:tcPr>
            <w:tcW w:w="6436" w:type="dxa"/>
            <w:tcBorders>
              <w:top w:val="nil"/>
              <w:left w:val="nil"/>
              <w:bottom w:val="nil"/>
              <w:right w:val="nil"/>
            </w:tcBorders>
            <w:shd w:val="clear" w:color="auto" w:fill="auto"/>
            <w:noWrap/>
            <w:hideMark/>
          </w:tcPr>
          <w:p w14:paraId="206C9D7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Head of Secretariat (D-1)</w:t>
            </w:r>
          </w:p>
        </w:tc>
        <w:tc>
          <w:tcPr>
            <w:tcW w:w="1641" w:type="dxa"/>
            <w:tcBorders>
              <w:top w:val="nil"/>
              <w:left w:val="nil"/>
              <w:bottom w:val="nil"/>
              <w:right w:val="nil"/>
            </w:tcBorders>
            <w:shd w:val="clear" w:color="auto" w:fill="auto"/>
            <w:noWrap/>
            <w:hideMark/>
          </w:tcPr>
          <w:p w14:paraId="01E1090B"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298 000 </w:t>
            </w:r>
          </w:p>
        </w:tc>
        <w:tc>
          <w:tcPr>
            <w:tcW w:w="1656" w:type="dxa"/>
            <w:tcBorders>
              <w:top w:val="nil"/>
              <w:left w:val="nil"/>
              <w:bottom w:val="nil"/>
              <w:right w:val="nil"/>
            </w:tcBorders>
            <w:shd w:val="clear" w:color="auto" w:fill="auto"/>
            <w:noWrap/>
            <w:hideMark/>
          </w:tcPr>
          <w:p w14:paraId="31248A51" w14:textId="1C21974E"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305 400 </w:t>
            </w:r>
          </w:p>
        </w:tc>
      </w:tr>
      <w:tr w:rsidR="00E7045B" w:rsidRPr="00440196" w14:paraId="10F16772" w14:textId="77777777" w:rsidTr="00440196">
        <w:trPr>
          <w:trHeight w:val="327"/>
        </w:trPr>
        <w:tc>
          <w:tcPr>
            <w:tcW w:w="6436" w:type="dxa"/>
            <w:tcBorders>
              <w:top w:val="nil"/>
              <w:left w:val="nil"/>
              <w:bottom w:val="nil"/>
              <w:right w:val="nil"/>
            </w:tcBorders>
            <w:shd w:val="clear" w:color="auto" w:fill="auto"/>
            <w:noWrap/>
            <w:hideMark/>
          </w:tcPr>
          <w:p w14:paraId="2DDE214B"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Programme Officer (P-4) </w:t>
            </w:r>
          </w:p>
        </w:tc>
        <w:tc>
          <w:tcPr>
            <w:tcW w:w="1641" w:type="dxa"/>
            <w:tcBorders>
              <w:top w:val="nil"/>
              <w:left w:val="nil"/>
              <w:bottom w:val="nil"/>
              <w:right w:val="nil"/>
            </w:tcBorders>
            <w:shd w:val="clear" w:color="auto" w:fill="auto"/>
            <w:noWrap/>
            <w:hideMark/>
          </w:tcPr>
          <w:p w14:paraId="3DB00DB7"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234 400 </w:t>
            </w:r>
          </w:p>
        </w:tc>
        <w:tc>
          <w:tcPr>
            <w:tcW w:w="1656" w:type="dxa"/>
            <w:tcBorders>
              <w:top w:val="nil"/>
              <w:left w:val="nil"/>
              <w:bottom w:val="nil"/>
              <w:right w:val="nil"/>
            </w:tcBorders>
            <w:shd w:val="clear" w:color="auto" w:fill="auto"/>
            <w:noWrap/>
            <w:hideMark/>
          </w:tcPr>
          <w:p w14:paraId="260B0CA9" w14:textId="4FB659DC"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240 300 </w:t>
            </w:r>
          </w:p>
        </w:tc>
      </w:tr>
      <w:tr w:rsidR="00E7045B" w:rsidRPr="00440196" w14:paraId="5BE11144" w14:textId="77777777" w:rsidTr="00440196">
        <w:trPr>
          <w:trHeight w:val="327"/>
        </w:trPr>
        <w:tc>
          <w:tcPr>
            <w:tcW w:w="6436" w:type="dxa"/>
            <w:tcBorders>
              <w:top w:val="nil"/>
              <w:left w:val="nil"/>
              <w:bottom w:val="nil"/>
              <w:right w:val="nil"/>
            </w:tcBorders>
            <w:shd w:val="clear" w:color="auto" w:fill="auto"/>
            <w:noWrap/>
            <w:hideMark/>
          </w:tcPr>
          <w:p w14:paraId="181A2EC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Programme Officer (P-4)</w:t>
            </w:r>
            <w:r w:rsidRPr="00440196">
              <w:rPr>
                <w:sz w:val="18"/>
                <w:szCs w:val="18"/>
                <w:vertAlign w:val="superscript"/>
                <w:lang w:eastAsia="zh-CN"/>
              </w:rPr>
              <w:t>a</w:t>
            </w:r>
          </w:p>
        </w:tc>
        <w:tc>
          <w:tcPr>
            <w:tcW w:w="1641" w:type="dxa"/>
            <w:tcBorders>
              <w:top w:val="nil"/>
              <w:left w:val="nil"/>
              <w:bottom w:val="nil"/>
              <w:right w:val="nil"/>
            </w:tcBorders>
            <w:shd w:val="clear" w:color="auto" w:fill="auto"/>
            <w:noWrap/>
            <w:hideMark/>
          </w:tcPr>
          <w:p w14:paraId="3F820C4B"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7B1E7E52"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 </w:t>
            </w:r>
          </w:p>
        </w:tc>
      </w:tr>
      <w:tr w:rsidR="00E7045B" w:rsidRPr="00440196" w14:paraId="6FEFDC56" w14:textId="77777777" w:rsidTr="00440196">
        <w:trPr>
          <w:trHeight w:val="327"/>
        </w:trPr>
        <w:tc>
          <w:tcPr>
            <w:tcW w:w="6436" w:type="dxa"/>
            <w:tcBorders>
              <w:top w:val="nil"/>
              <w:left w:val="nil"/>
              <w:bottom w:val="nil"/>
              <w:right w:val="nil"/>
            </w:tcBorders>
            <w:shd w:val="clear" w:color="auto" w:fill="auto"/>
            <w:noWrap/>
            <w:hideMark/>
          </w:tcPr>
          <w:p w14:paraId="646032B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Programme Officer (P-3)</w:t>
            </w:r>
          </w:p>
        </w:tc>
        <w:tc>
          <w:tcPr>
            <w:tcW w:w="1641" w:type="dxa"/>
            <w:tcBorders>
              <w:top w:val="nil"/>
              <w:left w:val="nil"/>
              <w:bottom w:val="nil"/>
              <w:right w:val="nil"/>
            </w:tcBorders>
            <w:shd w:val="clear" w:color="auto" w:fill="auto"/>
            <w:noWrap/>
            <w:hideMark/>
          </w:tcPr>
          <w:p w14:paraId="5987A972"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195 600 </w:t>
            </w:r>
          </w:p>
        </w:tc>
        <w:tc>
          <w:tcPr>
            <w:tcW w:w="1656" w:type="dxa"/>
            <w:tcBorders>
              <w:top w:val="nil"/>
              <w:left w:val="nil"/>
              <w:bottom w:val="nil"/>
              <w:right w:val="nil"/>
            </w:tcBorders>
            <w:shd w:val="clear" w:color="auto" w:fill="auto"/>
            <w:noWrap/>
            <w:hideMark/>
          </w:tcPr>
          <w:p w14:paraId="447C4F02" w14:textId="21A2348D"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200 500 </w:t>
            </w:r>
          </w:p>
        </w:tc>
      </w:tr>
      <w:tr w:rsidR="00E7045B" w:rsidRPr="00440196" w14:paraId="79D3CF9E" w14:textId="77777777" w:rsidTr="00440196">
        <w:trPr>
          <w:trHeight w:val="327"/>
        </w:trPr>
        <w:tc>
          <w:tcPr>
            <w:tcW w:w="6436" w:type="dxa"/>
            <w:tcBorders>
              <w:top w:val="nil"/>
              <w:left w:val="nil"/>
              <w:bottom w:val="nil"/>
              <w:right w:val="nil"/>
            </w:tcBorders>
            <w:shd w:val="clear" w:color="auto" w:fill="auto"/>
            <w:noWrap/>
            <w:hideMark/>
          </w:tcPr>
          <w:p w14:paraId="5FE4BC9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Programme Officer (P-3)</w:t>
            </w:r>
          </w:p>
        </w:tc>
        <w:tc>
          <w:tcPr>
            <w:tcW w:w="1641" w:type="dxa"/>
            <w:tcBorders>
              <w:top w:val="nil"/>
              <w:left w:val="nil"/>
              <w:bottom w:val="nil"/>
              <w:right w:val="nil"/>
            </w:tcBorders>
            <w:shd w:val="clear" w:color="auto" w:fill="auto"/>
            <w:noWrap/>
            <w:hideMark/>
          </w:tcPr>
          <w:p w14:paraId="6522BAC0"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195 600 </w:t>
            </w:r>
          </w:p>
        </w:tc>
        <w:tc>
          <w:tcPr>
            <w:tcW w:w="1656" w:type="dxa"/>
            <w:tcBorders>
              <w:top w:val="nil"/>
              <w:left w:val="nil"/>
              <w:bottom w:val="nil"/>
              <w:right w:val="nil"/>
            </w:tcBorders>
            <w:shd w:val="clear" w:color="auto" w:fill="auto"/>
            <w:noWrap/>
            <w:hideMark/>
          </w:tcPr>
          <w:p w14:paraId="00633ACF" w14:textId="66C6C0B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200 500 </w:t>
            </w:r>
          </w:p>
        </w:tc>
      </w:tr>
      <w:tr w:rsidR="00E7045B" w:rsidRPr="00440196" w14:paraId="1B2F524D" w14:textId="77777777" w:rsidTr="00440196">
        <w:trPr>
          <w:trHeight w:val="327"/>
        </w:trPr>
        <w:tc>
          <w:tcPr>
            <w:tcW w:w="6436" w:type="dxa"/>
            <w:tcBorders>
              <w:top w:val="nil"/>
              <w:left w:val="nil"/>
              <w:bottom w:val="nil"/>
              <w:right w:val="nil"/>
            </w:tcBorders>
            <w:shd w:val="clear" w:color="auto" w:fill="auto"/>
            <w:noWrap/>
            <w:hideMark/>
          </w:tcPr>
          <w:p w14:paraId="4DD0D7F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Associate Programme Officer (P-2)</w:t>
            </w:r>
          </w:p>
        </w:tc>
        <w:tc>
          <w:tcPr>
            <w:tcW w:w="1641" w:type="dxa"/>
            <w:tcBorders>
              <w:top w:val="nil"/>
              <w:left w:val="nil"/>
              <w:bottom w:val="nil"/>
              <w:right w:val="nil"/>
            </w:tcBorders>
            <w:shd w:val="clear" w:color="auto" w:fill="auto"/>
            <w:noWrap/>
            <w:hideMark/>
          </w:tcPr>
          <w:p w14:paraId="5FFAC2E0"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c>
          <w:tcPr>
            <w:tcW w:w="1656" w:type="dxa"/>
            <w:tcBorders>
              <w:top w:val="nil"/>
              <w:left w:val="nil"/>
              <w:bottom w:val="nil"/>
              <w:right w:val="nil"/>
            </w:tcBorders>
            <w:shd w:val="clear" w:color="auto" w:fill="auto"/>
            <w:noWrap/>
            <w:hideMark/>
          </w:tcPr>
          <w:p w14:paraId="3212ED88" w14:textId="71DC0EDC"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174 300 </w:t>
            </w:r>
          </w:p>
        </w:tc>
      </w:tr>
      <w:tr w:rsidR="00E7045B" w:rsidRPr="00440196" w14:paraId="3FE79B09" w14:textId="77777777" w:rsidTr="00440196">
        <w:trPr>
          <w:trHeight w:val="327"/>
        </w:trPr>
        <w:tc>
          <w:tcPr>
            <w:tcW w:w="6436" w:type="dxa"/>
            <w:tcBorders>
              <w:top w:val="nil"/>
              <w:left w:val="nil"/>
              <w:bottom w:val="single" w:sz="8" w:space="0" w:color="auto"/>
              <w:right w:val="nil"/>
            </w:tcBorders>
            <w:shd w:val="clear" w:color="auto" w:fill="auto"/>
            <w:noWrap/>
            <w:hideMark/>
          </w:tcPr>
          <w:p w14:paraId="017509E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Associate Programme Officer (P-2) </w:t>
            </w:r>
          </w:p>
        </w:tc>
        <w:tc>
          <w:tcPr>
            <w:tcW w:w="1641" w:type="dxa"/>
            <w:tcBorders>
              <w:top w:val="nil"/>
              <w:left w:val="nil"/>
              <w:bottom w:val="single" w:sz="8" w:space="0" w:color="auto"/>
              <w:right w:val="nil"/>
            </w:tcBorders>
            <w:shd w:val="clear" w:color="auto" w:fill="auto"/>
            <w:noWrap/>
            <w:hideMark/>
          </w:tcPr>
          <w:p w14:paraId="020A742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c>
          <w:tcPr>
            <w:tcW w:w="1656" w:type="dxa"/>
            <w:tcBorders>
              <w:top w:val="nil"/>
              <w:left w:val="nil"/>
              <w:bottom w:val="single" w:sz="8" w:space="0" w:color="auto"/>
              <w:right w:val="nil"/>
            </w:tcBorders>
            <w:shd w:val="clear" w:color="auto" w:fill="auto"/>
            <w:noWrap/>
            <w:hideMark/>
          </w:tcPr>
          <w:p w14:paraId="6617F38F" w14:textId="2232FAB8"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174 300 </w:t>
            </w:r>
          </w:p>
        </w:tc>
      </w:tr>
      <w:tr w:rsidR="00E7045B" w:rsidRPr="00440196" w14:paraId="2DEEAE4C" w14:textId="77777777" w:rsidTr="00440196">
        <w:trPr>
          <w:trHeight w:val="327"/>
        </w:trPr>
        <w:tc>
          <w:tcPr>
            <w:tcW w:w="6436" w:type="dxa"/>
            <w:tcBorders>
              <w:top w:val="nil"/>
              <w:left w:val="nil"/>
              <w:bottom w:val="single" w:sz="8" w:space="0" w:color="auto"/>
              <w:right w:val="nil"/>
            </w:tcBorders>
            <w:shd w:val="clear" w:color="auto" w:fill="auto"/>
            <w:noWrap/>
            <w:hideMark/>
          </w:tcPr>
          <w:p w14:paraId="333390F2"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3.1.1, Professional and higher category</w:t>
            </w:r>
          </w:p>
        </w:tc>
        <w:tc>
          <w:tcPr>
            <w:tcW w:w="1641" w:type="dxa"/>
            <w:tcBorders>
              <w:top w:val="nil"/>
              <w:left w:val="nil"/>
              <w:bottom w:val="single" w:sz="8" w:space="0" w:color="auto"/>
              <w:right w:val="nil"/>
            </w:tcBorders>
            <w:shd w:val="clear" w:color="auto" w:fill="auto"/>
            <w:noWrap/>
            <w:hideMark/>
          </w:tcPr>
          <w:p w14:paraId="5C4C643C"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1 263 600 </w:t>
            </w:r>
          </w:p>
        </w:tc>
        <w:tc>
          <w:tcPr>
            <w:tcW w:w="1656" w:type="dxa"/>
            <w:tcBorders>
              <w:top w:val="nil"/>
              <w:left w:val="nil"/>
              <w:bottom w:val="single" w:sz="8" w:space="0" w:color="auto"/>
              <w:right w:val="nil"/>
            </w:tcBorders>
            <w:shd w:val="clear" w:color="auto" w:fill="auto"/>
            <w:noWrap/>
            <w:hideMark/>
          </w:tcPr>
          <w:p w14:paraId="79AE4735" w14:textId="18C934CC"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1 295 300 </w:t>
            </w:r>
          </w:p>
        </w:tc>
      </w:tr>
      <w:tr w:rsidR="00E7045B" w:rsidRPr="00440196" w14:paraId="0A703C7B" w14:textId="77777777" w:rsidTr="00440196">
        <w:trPr>
          <w:trHeight w:val="327"/>
        </w:trPr>
        <w:tc>
          <w:tcPr>
            <w:tcW w:w="6436" w:type="dxa"/>
            <w:tcBorders>
              <w:top w:val="nil"/>
              <w:left w:val="nil"/>
              <w:bottom w:val="nil"/>
              <w:right w:val="nil"/>
            </w:tcBorders>
            <w:shd w:val="clear" w:color="auto" w:fill="auto"/>
            <w:noWrap/>
            <w:hideMark/>
          </w:tcPr>
          <w:p w14:paraId="38A15E9E"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3.1.2 Administrative personnel</w:t>
            </w:r>
          </w:p>
        </w:tc>
        <w:tc>
          <w:tcPr>
            <w:tcW w:w="1641" w:type="dxa"/>
            <w:tcBorders>
              <w:top w:val="nil"/>
              <w:left w:val="nil"/>
              <w:bottom w:val="nil"/>
              <w:right w:val="nil"/>
            </w:tcBorders>
            <w:shd w:val="clear" w:color="auto" w:fill="auto"/>
            <w:noWrap/>
            <w:hideMark/>
          </w:tcPr>
          <w:p w14:paraId="21B7B867"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202A1B91" w14:textId="77777777" w:rsidR="00E7045B" w:rsidRPr="00440196" w:rsidRDefault="00E7045B" w:rsidP="00440196">
            <w:pPr>
              <w:spacing w:before="40" w:after="40"/>
              <w:jc w:val="right"/>
              <w:rPr>
                <w:sz w:val="18"/>
                <w:szCs w:val="18"/>
                <w:lang w:eastAsia="zh-CN"/>
              </w:rPr>
            </w:pPr>
          </w:p>
        </w:tc>
      </w:tr>
      <w:tr w:rsidR="00E7045B" w:rsidRPr="00440196" w14:paraId="73495A37" w14:textId="77777777" w:rsidTr="00440196">
        <w:trPr>
          <w:trHeight w:val="327"/>
        </w:trPr>
        <w:tc>
          <w:tcPr>
            <w:tcW w:w="6436" w:type="dxa"/>
            <w:tcBorders>
              <w:top w:val="nil"/>
              <w:left w:val="nil"/>
              <w:bottom w:val="nil"/>
              <w:right w:val="nil"/>
            </w:tcBorders>
            <w:shd w:val="clear" w:color="auto" w:fill="auto"/>
            <w:noWrap/>
            <w:hideMark/>
          </w:tcPr>
          <w:p w14:paraId="0ECCF402"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Administrative support staff member (G-6)</w:t>
            </w:r>
          </w:p>
        </w:tc>
        <w:tc>
          <w:tcPr>
            <w:tcW w:w="1641" w:type="dxa"/>
            <w:tcBorders>
              <w:top w:val="nil"/>
              <w:left w:val="nil"/>
              <w:bottom w:val="nil"/>
              <w:right w:val="nil"/>
            </w:tcBorders>
            <w:shd w:val="clear" w:color="auto" w:fill="auto"/>
            <w:hideMark/>
          </w:tcPr>
          <w:p w14:paraId="67B9A27A"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14:paraId="579B1389" w14:textId="79FB2250"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7045B" w:rsidRPr="00440196" w14:paraId="40CB77AA" w14:textId="77777777" w:rsidTr="00440196">
        <w:trPr>
          <w:trHeight w:val="327"/>
        </w:trPr>
        <w:tc>
          <w:tcPr>
            <w:tcW w:w="6436" w:type="dxa"/>
            <w:tcBorders>
              <w:top w:val="nil"/>
              <w:left w:val="nil"/>
              <w:bottom w:val="nil"/>
              <w:right w:val="nil"/>
            </w:tcBorders>
            <w:shd w:val="clear" w:color="auto" w:fill="auto"/>
            <w:noWrap/>
            <w:hideMark/>
          </w:tcPr>
          <w:p w14:paraId="6016DBF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Administrative support staff member (G-6)</w:t>
            </w:r>
          </w:p>
        </w:tc>
        <w:tc>
          <w:tcPr>
            <w:tcW w:w="1641" w:type="dxa"/>
            <w:tcBorders>
              <w:top w:val="nil"/>
              <w:left w:val="nil"/>
              <w:bottom w:val="nil"/>
              <w:right w:val="nil"/>
            </w:tcBorders>
            <w:shd w:val="clear" w:color="auto" w:fill="auto"/>
            <w:hideMark/>
          </w:tcPr>
          <w:p w14:paraId="6800EFBD"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14:paraId="06FA062C" w14:textId="32605DB6"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7045B" w:rsidRPr="00440196" w14:paraId="3EFCC12E" w14:textId="77777777" w:rsidTr="00440196">
        <w:trPr>
          <w:trHeight w:val="327"/>
        </w:trPr>
        <w:tc>
          <w:tcPr>
            <w:tcW w:w="6436" w:type="dxa"/>
            <w:tcBorders>
              <w:top w:val="nil"/>
              <w:left w:val="nil"/>
              <w:bottom w:val="nil"/>
              <w:right w:val="nil"/>
            </w:tcBorders>
            <w:shd w:val="clear" w:color="auto" w:fill="auto"/>
            <w:noWrap/>
            <w:hideMark/>
          </w:tcPr>
          <w:p w14:paraId="58BA78A4"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Administrative support staff member (G-6) </w:t>
            </w:r>
          </w:p>
        </w:tc>
        <w:tc>
          <w:tcPr>
            <w:tcW w:w="1641" w:type="dxa"/>
            <w:tcBorders>
              <w:top w:val="nil"/>
              <w:left w:val="nil"/>
              <w:bottom w:val="nil"/>
              <w:right w:val="nil"/>
            </w:tcBorders>
            <w:shd w:val="clear" w:color="auto" w:fill="auto"/>
            <w:hideMark/>
          </w:tcPr>
          <w:p w14:paraId="04B31B26"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14:paraId="66254609" w14:textId="35F7D254"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7045B" w:rsidRPr="00440196" w14:paraId="17CE37F4" w14:textId="77777777" w:rsidTr="00440196">
        <w:trPr>
          <w:trHeight w:val="327"/>
        </w:trPr>
        <w:tc>
          <w:tcPr>
            <w:tcW w:w="6436" w:type="dxa"/>
            <w:tcBorders>
              <w:top w:val="nil"/>
              <w:left w:val="nil"/>
              <w:bottom w:val="nil"/>
              <w:right w:val="nil"/>
            </w:tcBorders>
            <w:shd w:val="clear" w:color="auto" w:fill="auto"/>
            <w:noWrap/>
            <w:hideMark/>
          </w:tcPr>
          <w:p w14:paraId="018BC97F"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Administrative support staff member (G-6): part-time</w:t>
            </w:r>
          </w:p>
        </w:tc>
        <w:tc>
          <w:tcPr>
            <w:tcW w:w="1641" w:type="dxa"/>
            <w:tcBorders>
              <w:top w:val="nil"/>
              <w:left w:val="nil"/>
              <w:bottom w:val="nil"/>
              <w:right w:val="nil"/>
            </w:tcBorders>
            <w:shd w:val="clear" w:color="auto" w:fill="auto"/>
            <w:hideMark/>
          </w:tcPr>
          <w:p w14:paraId="6ABDC10F"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59 400 </w:t>
            </w:r>
          </w:p>
        </w:tc>
        <w:tc>
          <w:tcPr>
            <w:tcW w:w="1656" w:type="dxa"/>
            <w:tcBorders>
              <w:top w:val="nil"/>
              <w:left w:val="nil"/>
              <w:bottom w:val="nil"/>
              <w:right w:val="nil"/>
            </w:tcBorders>
            <w:shd w:val="clear" w:color="auto" w:fill="auto"/>
            <w:hideMark/>
          </w:tcPr>
          <w:p w14:paraId="0CA457F0" w14:textId="7F4CB7BB"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59 400 </w:t>
            </w:r>
          </w:p>
        </w:tc>
      </w:tr>
      <w:tr w:rsidR="00E7045B" w:rsidRPr="00440196" w14:paraId="4B089FF6" w14:textId="77777777" w:rsidTr="00440196">
        <w:trPr>
          <w:trHeight w:val="327"/>
        </w:trPr>
        <w:tc>
          <w:tcPr>
            <w:tcW w:w="6436" w:type="dxa"/>
            <w:tcBorders>
              <w:top w:val="nil"/>
              <w:left w:val="nil"/>
              <w:bottom w:val="nil"/>
              <w:right w:val="nil"/>
            </w:tcBorders>
            <w:shd w:val="clear" w:color="auto" w:fill="auto"/>
            <w:noWrap/>
            <w:hideMark/>
          </w:tcPr>
          <w:p w14:paraId="5D455418"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Administrative support staff member (G-5) </w:t>
            </w:r>
          </w:p>
        </w:tc>
        <w:tc>
          <w:tcPr>
            <w:tcW w:w="1641" w:type="dxa"/>
            <w:tcBorders>
              <w:top w:val="nil"/>
              <w:left w:val="nil"/>
              <w:bottom w:val="nil"/>
              <w:right w:val="nil"/>
            </w:tcBorders>
            <w:shd w:val="clear" w:color="auto" w:fill="auto"/>
            <w:hideMark/>
          </w:tcPr>
          <w:p w14:paraId="47B80F5C"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14:paraId="7B3212D0" w14:textId="3D316B42"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7045B" w:rsidRPr="00440196" w14:paraId="553DBF56" w14:textId="77777777" w:rsidTr="00440196">
        <w:trPr>
          <w:trHeight w:val="327"/>
        </w:trPr>
        <w:tc>
          <w:tcPr>
            <w:tcW w:w="6436" w:type="dxa"/>
            <w:tcBorders>
              <w:top w:val="nil"/>
              <w:left w:val="nil"/>
              <w:bottom w:val="single" w:sz="8" w:space="0" w:color="auto"/>
              <w:right w:val="nil"/>
            </w:tcBorders>
            <w:shd w:val="clear" w:color="auto" w:fill="auto"/>
            <w:noWrap/>
            <w:hideMark/>
          </w:tcPr>
          <w:p w14:paraId="24ED7783"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Administrative support staff member (G-5)</w:t>
            </w:r>
          </w:p>
        </w:tc>
        <w:tc>
          <w:tcPr>
            <w:tcW w:w="1641" w:type="dxa"/>
            <w:tcBorders>
              <w:top w:val="nil"/>
              <w:left w:val="nil"/>
              <w:bottom w:val="single" w:sz="8" w:space="0" w:color="auto"/>
              <w:right w:val="nil"/>
            </w:tcBorders>
            <w:shd w:val="clear" w:color="auto" w:fill="auto"/>
            <w:hideMark/>
          </w:tcPr>
          <w:p w14:paraId="450E999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single" w:sz="8" w:space="0" w:color="auto"/>
              <w:right w:val="nil"/>
            </w:tcBorders>
            <w:shd w:val="clear" w:color="auto" w:fill="auto"/>
            <w:hideMark/>
          </w:tcPr>
          <w:p w14:paraId="5C26BD6C" w14:textId="2BEC933A"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7045B" w:rsidRPr="00440196" w14:paraId="336D3D86" w14:textId="77777777" w:rsidTr="00440196">
        <w:trPr>
          <w:trHeight w:val="327"/>
        </w:trPr>
        <w:tc>
          <w:tcPr>
            <w:tcW w:w="6436" w:type="dxa"/>
            <w:tcBorders>
              <w:top w:val="nil"/>
              <w:left w:val="nil"/>
              <w:bottom w:val="single" w:sz="8" w:space="0" w:color="auto"/>
              <w:right w:val="nil"/>
            </w:tcBorders>
            <w:shd w:val="clear" w:color="auto" w:fill="auto"/>
            <w:noWrap/>
            <w:hideMark/>
          </w:tcPr>
          <w:p w14:paraId="3CE21DAF"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3.1.2, Administrative personnel</w:t>
            </w:r>
          </w:p>
        </w:tc>
        <w:tc>
          <w:tcPr>
            <w:tcW w:w="1641" w:type="dxa"/>
            <w:tcBorders>
              <w:top w:val="nil"/>
              <w:left w:val="nil"/>
              <w:bottom w:val="single" w:sz="8" w:space="0" w:color="auto"/>
              <w:right w:val="nil"/>
            </w:tcBorders>
            <w:shd w:val="clear" w:color="auto" w:fill="auto"/>
            <w:noWrap/>
            <w:hideMark/>
          </w:tcPr>
          <w:p w14:paraId="49999B70"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653 400 </w:t>
            </w:r>
          </w:p>
        </w:tc>
        <w:tc>
          <w:tcPr>
            <w:tcW w:w="1656" w:type="dxa"/>
            <w:tcBorders>
              <w:top w:val="nil"/>
              <w:left w:val="nil"/>
              <w:bottom w:val="single" w:sz="8" w:space="0" w:color="auto"/>
              <w:right w:val="nil"/>
            </w:tcBorders>
            <w:shd w:val="clear" w:color="auto" w:fill="auto"/>
            <w:noWrap/>
            <w:hideMark/>
          </w:tcPr>
          <w:p w14:paraId="24ED01DD" w14:textId="2DD8E02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668 400 </w:t>
            </w:r>
          </w:p>
        </w:tc>
      </w:tr>
      <w:tr w:rsidR="00E7045B" w:rsidRPr="00440196" w14:paraId="25EDB80E" w14:textId="77777777" w:rsidTr="00440196">
        <w:trPr>
          <w:trHeight w:val="327"/>
        </w:trPr>
        <w:tc>
          <w:tcPr>
            <w:tcW w:w="6436" w:type="dxa"/>
            <w:tcBorders>
              <w:top w:val="nil"/>
              <w:left w:val="nil"/>
              <w:bottom w:val="single" w:sz="8" w:space="0" w:color="auto"/>
              <w:right w:val="nil"/>
            </w:tcBorders>
            <w:shd w:val="clear" w:color="auto" w:fill="auto"/>
            <w:noWrap/>
            <w:hideMark/>
          </w:tcPr>
          <w:p w14:paraId="00DE070A"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3.1, personnel</w:t>
            </w:r>
          </w:p>
        </w:tc>
        <w:tc>
          <w:tcPr>
            <w:tcW w:w="1641" w:type="dxa"/>
            <w:tcBorders>
              <w:top w:val="nil"/>
              <w:left w:val="nil"/>
              <w:bottom w:val="single" w:sz="8" w:space="0" w:color="auto"/>
              <w:right w:val="nil"/>
            </w:tcBorders>
            <w:shd w:val="clear" w:color="auto" w:fill="auto"/>
            <w:noWrap/>
            <w:hideMark/>
          </w:tcPr>
          <w:p w14:paraId="60C0B770"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1 917 000 </w:t>
            </w:r>
          </w:p>
        </w:tc>
        <w:tc>
          <w:tcPr>
            <w:tcW w:w="1656" w:type="dxa"/>
            <w:tcBorders>
              <w:top w:val="nil"/>
              <w:left w:val="nil"/>
              <w:bottom w:val="single" w:sz="8" w:space="0" w:color="auto"/>
              <w:right w:val="nil"/>
            </w:tcBorders>
            <w:shd w:val="clear" w:color="auto" w:fill="auto"/>
            <w:noWrap/>
            <w:hideMark/>
          </w:tcPr>
          <w:p w14:paraId="5C4A355A" w14:textId="741C07F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1 963 700 </w:t>
            </w:r>
          </w:p>
        </w:tc>
      </w:tr>
      <w:tr w:rsidR="00E7045B" w:rsidRPr="00440196" w14:paraId="799242B0" w14:textId="77777777" w:rsidTr="00440196">
        <w:trPr>
          <w:trHeight w:val="327"/>
        </w:trPr>
        <w:tc>
          <w:tcPr>
            <w:tcW w:w="6436" w:type="dxa"/>
            <w:tcBorders>
              <w:top w:val="nil"/>
              <w:left w:val="nil"/>
              <w:bottom w:val="nil"/>
              <w:right w:val="nil"/>
            </w:tcBorders>
            <w:shd w:val="clear" w:color="auto" w:fill="auto"/>
            <w:noWrap/>
            <w:hideMark/>
          </w:tcPr>
          <w:p w14:paraId="2BBABC51"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3.2 Secretariat: operating costs (non-personnel)</w:t>
            </w:r>
          </w:p>
        </w:tc>
        <w:tc>
          <w:tcPr>
            <w:tcW w:w="1641" w:type="dxa"/>
            <w:tcBorders>
              <w:top w:val="nil"/>
              <w:left w:val="nil"/>
              <w:bottom w:val="nil"/>
              <w:right w:val="nil"/>
            </w:tcBorders>
            <w:shd w:val="clear" w:color="auto" w:fill="auto"/>
            <w:noWrap/>
            <w:hideMark/>
          </w:tcPr>
          <w:p w14:paraId="35D730FD"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1B7F3147" w14:textId="77777777" w:rsidR="00E7045B" w:rsidRPr="00440196" w:rsidRDefault="00E7045B" w:rsidP="00440196">
            <w:pPr>
              <w:spacing w:before="40" w:after="40"/>
              <w:jc w:val="right"/>
              <w:rPr>
                <w:sz w:val="18"/>
                <w:szCs w:val="18"/>
                <w:lang w:eastAsia="zh-CN"/>
              </w:rPr>
            </w:pPr>
          </w:p>
        </w:tc>
      </w:tr>
      <w:tr w:rsidR="00E7045B" w:rsidRPr="00440196" w14:paraId="53741DC9" w14:textId="77777777" w:rsidTr="00440196">
        <w:trPr>
          <w:trHeight w:val="327"/>
        </w:trPr>
        <w:tc>
          <w:tcPr>
            <w:tcW w:w="6436" w:type="dxa"/>
            <w:tcBorders>
              <w:top w:val="nil"/>
              <w:left w:val="nil"/>
              <w:bottom w:val="nil"/>
              <w:right w:val="nil"/>
            </w:tcBorders>
            <w:shd w:val="clear" w:color="auto" w:fill="auto"/>
            <w:noWrap/>
            <w:hideMark/>
          </w:tcPr>
          <w:p w14:paraId="7B15483B"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3.2.1 Travel on official business</w:t>
            </w:r>
          </w:p>
        </w:tc>
        <w:tc>
          <w:tcPr>
            <w:tcW w:w="1641" w:type="dxa"/>
            <w:tcBorders>
              <w:top w:val="nil"/>
              <w:left w:val="nil"/>
              <w:bottom w:val="nil"/>
              <w:right w:val="nil"/>
            </w:tcBorders>
            <w:shd w:val="clear" w:color="auto" w:fill="auto"/>
            <w:noWrap/>
            <w:hideMark/>
          </w:tcPr>
          <w:p w14:paraId="7A80E7A8"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3E440B59" w14:textId="77777777" w:rsidR="00E7045B" w:rsidRPr="00440196" w:rsidRDefault="00E7045B" w:rsidP="00440196">
            <w:pPr>
              <w:spacing w:before="40" w:after="40"/>
              <w:jc w:val="right"/>
              <w:rPr>
                <w:sz w:val="18"/>
                <w:szCs w:val="18"/>
                <w:lang w:eastAsia="zh-CN"/>
              </w:rPr>
            </w:pPr>
          </w:p>
        </w:tc>
      </w:tr>
      <w:tr w:rsidR="00E7045B" w:rsidRPr="00440196" w14:paraId="1AE65804" w14:textId="77777777" w:rsidTr="00440196">
        <w:trPr>
          <w:trHeight w:val="327"/>
        </w:trPr>
        <w:tc>
          <w:tcPr>
            <w:tcW w:w="6436" w:type="dxa"/>
            <w:tcBorders>
              <w:top w:val="nil"/>
              <w:left w:val="nil"/>
              <w:bottom w:val="single" w:sz="8" w:space="0" w:color="auto"/>
              <w:right w:val="nil"/>
            </w:tcBorders>
            <w:shd w:val="clear" w:color="auto" w:fill="auto"/>
            <w:noWrap/>
            <w:hideMark/>
          </w:tcPr>
          <w:p w14:paraId="28A79AA9"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Official travel</w:t>
            </w:r>
          </w:p>
        </w:tc>
        <w:tc>
          <w:tcPr>
            <w:tcW w:w="1641" w:type="dxa"/>
            <w:tcBorders>
              <w:top w:val="nil"/>
              <w:left w:val="nil"/>
              <w:bottom w:val="single" w:sz="8" w:space="0" w:color="auto"/>
              <w:right w:val="nil"/>
            </w:tcBorders>
            <w:shd w:val="clear" w:color="auto" w:fill="auto"/>
            <w:noWrap/>
            <w:hideMark/>
          </w:tcPr>
          <w:p w14:paraId="40E51BCA"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80 000 </w:t>
            </w:r>
          </w:p>
        </w:tc>
        <w:tc>
          <w:tcPr>
            <w:tcW w:w="1656" w:type="dxa"/>
            <w:tcBorders>
              <w:top w:val="nil"/>
              <w:left w:val="nil"/>
              <w:bottom w:val="single" w:sz="8" w:space="0" w:color="auto"/>
              <w:right w:val="nil"/>
            </w:tcBorders>
            <w:shd w:val="clear" w:color="auto" w:fill="auto"/>
            <w:noWrap/>
            <w:hideMark/>
          </w:tcPr>
          <w:p w14:paraId="3067D86B" w14:textId="726A79BA"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80 000 </w:t>
            </w:r>
          </w:p>
        </w:tc>
      </w:tr>
      <w:tr w:rsidR="00E7045B" w:rsidRPr="00440196" w14:paraId="18054E01" w14:textId="77777777" w:rsidTr="00440196">
        <w:trPr>
          <w:trHeight w:val="327"/>
        </w:trPr>
        <w:tc>
          <w:tcPr>
            <w:tcW w:w="6436" w:type="dxa"/>
            <w:tcBorders>
              <w:top w:val="nil"/>
              <w:left w:val="nil"/>
              <w:bottom w:val="single" w:sz="8" w:space="0" w:color="auto"/>
              <w:right w:val="nil"/>
            </w:tcBorders>
            <w:shd w:val="clear" w:color="auto" w:fill="auto"/>
            <w:noWrap/>
            <w:hideMark/>
          </w:tcPr>
          <w:p w14:paraId="11CB4E73"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3.2.1, travel on official business</w:t>
            </w:r>
          </w:p>
        </w:tc>
        <w:tc>
          <w:tcPr>
            <w:tcW w:w="1641" w:type="dxa"/>
            <w:tcBorders>
              <w:top w:val="nil"/>
              <w:left w:val="nil"/>
              <w:bottom w:val="single" w:sz="8" w:space="0" w:color="auto"/>
              <w:right w:val="nil"/>
            </w:tcBorders>
            <w:shd w:val="clear" w:color="auto" w:fill="auto"/>
            <w:noWrap/>
            <w:hideMark/>
          </w:tcPr>
          <w:p w14:paraId="3F8D3FB5"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80 000 </w:t>
            </w:r>
          </w:p>
        </w:tc>
        <w:tc>
          <w:tcPr>
            <w:tcW w:w="1656" w:type="dxa"/>
            <w:tcBorders>
              <w:top w:val="nil"/>
              <w:left w:val="nil"/>
              <w:bottom w:val="single" w:sz="8" w:space="0" w:color="auto"/>
              <w:right w:val="nil"/>
            </w:tcBorders>
            <w:shd w:val="clear" w:color="auto" w:fill="auto"/>
            <w:noWrap/>
            <w:hideMark/>
          </w:tcPr>
          <w:p w14:paraId="28D1E9DB" w14:textId="79CCBD18"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80 000 </w:t>
            </w:r>
          </w:p>
        </w:tc>
      </w:tr>
      <w:tr w:rsidR="00E7045B" w:rsidRPr="00440196" w14:paraId="5BA91029" w14:textId="77777777" w:rsidTr="00440196">
        <w:trPr>
          <w:trHeight w:val="327"/>
        </w:trPr>
        <w:tc>
          <w:tcPr>
            <w:tcW w:w="6436" w:type="dxa"/>
            <w:tcBorders>
              <w:top w:val="nil"/>
              <w:left w:val="nil"/>
              <w:bottom w:val="nil"/>
              <w:right w:val="nil"/>
            </w:tcBorders>
            <w:shd w:val="clear" w:color="auto" w:fill="auto"/>
            <w:noWrap/>
            <w:hideMark/>
          </w:tcPr>
          <w:p w14:paraId="1E8E2EDE"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 xml:space="preserve">3.2.2 Staff training </w:t>
            </w:r>
          </w:p>
        </w:tc>
        <w:tc>
          <w:tcPr>
            <w:tcW w:w="1641" w:type="dxa"/>
            <w:tcBorders>
              <w:top w:val="nil"/>
              <w:left w:val="nil"/>
              <w:bottom w:val="nil"/>
              <w:right w:val="nil"/>
            </w:tcBorders>
            <w:shd w:val="clear" w:color="auto" w:fill="auto"/>
            <w:noWrap/>
            <w:hideMark/>
          </w:tcPr>
          <w:p w14:paraId="4FA8BE75"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179F771B" w14:textId="77777777" w:rsidR="00E7045B" w:rsidRPr="00440196" w:rsidRDefault="00E7045B" w:rsidP="00440196">
            <w:pPr>
              <w:spacing w:before="40" w:after="40"/>
              <w:jc w:val="right"/>
              <w:rPr>
                <w:sz w:val="18"/>
                <w:szCs w:val="18"/>
                <w:lang w:eastAsia="zh-CN"/>
              </w:rPr>
            </w:pPr>
          </w:p>
        </w:tc>
      </w:tr>
      <w:tr w:rsidR="00E7045B" w:rsidRPr="00440196" w14:paraId="47148AEA" w14:textId="77777777" w:rsidTr="00440196">
        <w:trPr>
          <w:trHeight w:val="327"/>
        </w:trPr>
        <w:tc>
          <w:tcPr>
            <w:tcW w:w="6436" w:type="dxa"/>
            <w:tcBorders>
              <w:top w:val="nil"/>
              <w:left w:val="nil"/>
              <w:bottom w:val="single" w:sz="8" w:space="0" w:color="auto"/>
              <w:right w:val="nil"/>
            </w:tcBorders>
            <w:shd w:val="clear" w:color="auto" w:fill="auto"/>
            <w:noWrap/>
            <w:hideMark/>
          </w:tcPr>
          <w:p w14:paraId="7FDDEE6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Staff training</w:t>
            </w:r>
          </w:p>
        </w:tc>
        <w:tc>
          <w:tcPr>
            <w:tcW w:w="1641" w:type="dxa"/>
            <w:tcBorders>
              <w:top w:val="nil"/>
              <w:left w:val="nil"/>
              <w:bottom w:val="single" w:sz="8" w:space="0" w:color="auto"/>
              <w:right w:val="nil"/>
            </w:tcBorders>
            <w:shd w:val="clear" w:color="auto" w:fill="auto"/>
            <w:noWrap/>
            <w:hideMark/>
          </w:tcPr>
          <w:p w14:paraId="0010BD45"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15 000 </w:t>
            </w:r>
          </w:p>
        </w:tc>
        <w:tc>
          <w:tcPr>
            <w:tcW w:w="1656" w:type="dxa"/>
            <w:tcBorders>
              <w:top w:val="nil"/>
              <w:left w:val="nil"/>
              <w:bottom w:val="single" w:sz="8" w:space="0" w:color="auto"/>
              <w:right w:val="nil"/>
            </w:tcBorders>
            <w:shd w:val="clear" w:color="auto" w:fill="auto"/>
            <w:noWrap/>
            <w:hideMark/>
          </w:tcPr>
          <w:p w14:paraId="1D39A250" w14:textId="3E7F2A8B"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15 000 </w:t>
            </w:r>
          </w:p>
        </w:tc>
      </w:tr>
      <w:tr w:rsidR="00E7045B" w:rsidRPr="00440196" w14:paraId="6B7C291C" w14:textId="77777777" w:rsidTr="00440196">
        <w:trPr>
          <w:trHeight w:val="327"/>
        </w:trPr>
        <w:tc>
          <w:tcPr>
            <w:tcW w:w="6436" w:type="dxa"/>
            <w:tcBorders>
              <w:top w:val="nil"/>
              <w:left w:val="nil"/>
              <w:bottom w:val="single" w:sz="8" w:space="0" w:color="auto"/>
              <w:right w:val="nil"/>
            </w:tcBorders>
            <w:shd w:val="clear" w:color="auto" w:fill="auto"/>
            <w:noWrap/>
            <w:hideMark/>
          </w:tcPr>
          <w:p w14:paraId="7A220ECB"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3.2.2, staff training</w:t>
            </w:r>
          </w:p>
        </w:tc>
        <w:tc>
          <w:tcPr>
            <w:tcW w:w="1641" w:type="dxa"/>
            <w:tcBorders>
              <w:top w:val="nil"/>
              <w:left w:val="nil"/>
              <w:bottom w:val="single" w:sz="8" w:space="0" w:color="auto"/>
              <w:right w:val="nil"/>
            </w:tcBorders>
            <w:shd w:val="clear" w:color="auto" w:fill="auto"/>
            <w:noWrap/>
            <w:hideMark/>
          </w:tcPr>
          <w:p w14:paraId="079E6F25"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15 000 </w:t>
            </w:r>
          </w:p>
        </w:tc>
        <w:tc>
          <w:tcPr>
            <w:tcW w:w="1656" w:type="dxa"/>
            <w:tcBorders>
              <w:top w:val="nil"/>
              <w:left w:val="nil"/>
              <w:bottom w:val="single" w:sz="8" w:space="0" w:color="auto"/>
              <w:right w:val="nil"/>
            </w:tcBorders>
            <w:shd w:val="clear" w:color="auto" w:fill="auto"/>
            <w:noWrap/>
            <w:hideMark/>
          </w:tcPr>
          <w:p w14:paraId="641A9968" w14:textId="2F8FF4D5"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15 000 </w:t>
            </w:r>
          </w:p>
        </w:tc>
      </w:tr>
      <w:tr w:rsidR="00E7045B" w:rsidRPr="00440196" w14:paraId="1C102C1A" w14:textId="77777777" w:rsidTr="00440196">
        <w:trPr>
          <w:trHeight w:val="327"/>
        </w:trPr>
        <w:tc>
          <w:tcPr>
            <w:tcW w:w="6436" w:type="dxa"/>
            <w:tcBorders>
              <w:top w:val="nil"/>
              <w:left w:val="nil"/>
              <w:bottom w:val="nil"/>
              <w:right w:val="nil"/>
            </w:tcBorders>
            <w:shd w:val="clear" w:color="auto" w:fill="auto"/>
            <w:noWrap/>
            <w:hideMark/>
          </w:tcPr>
          <w:p w14:paraId="1541FA74" w14:textId="77777777" w:rsidR="00E7045B" w:rsidRPr="007831BB" w:rsidRDefault="00E7045B" w:rsidP="006F57F3">
            <w:pPr>
              <w:keepNext/>
              <w:keepLines/>
              <w:widowControl w:val="0"/>
              <w:tabs>
                <w:tab w:val="left" w:pos="6480"/>
                <w:tab w:val="left" w:pos="7200"/>
              </w:tabs>
              <w:spacing w:before="40" w:after="40"/>
              <w:rPr>
                <w:b/>
                <w:sz w:val="18"/>
                <w:szCs w:val="18"/>
                <w:lang w:eastAsia="zh-CN"/>
              </w:rPr>
            </w:pPr>
            <w:r w:rsidRPr="00440196">
              <w:rPr>
                <w:b/>
                <w:sz w:val="18"/>
                <w:szCs w:val="18"/>
                <w:lang w:eastAsia="zh-CN"/>
              </w:rPr>
              <w:t>3.2.3 Equipment and office supplies</w:t>
            </w:r>
          </w:p>
        </w:tc>
        <w:tc>
          <w:tcPr>
            <w:tcW w:w="1641" w:type="dxa"/>
            <w:tcBorders>
              <w:top w:val="nil"/>
              <w:left w:val="nil"/>
              <w:bottom w:val="nil"/>
              <w:right w:val="nil"/>
            </w:tcBorders>
            <w:shd w:val="clear" w:color="auto" w:fill="auto"/>
            <w:noWrap/>
            <w:hideMark/>
          </w:tcPr>
          <w:p w14:paraId="1F32018B" w14:textId="77777777" w:rsidR="00E7045B" w:rsidRPr="00440196" w:rsidRDefault="00E7045B" w:rsidP="006F57F3">
            <w:pPr>
              <w:keepNext/>
              <w:keepLines/>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5C71FD52" w14:textId="77777777" w:rsidR="00E7045B" w:rsidRPr="00440196" w:rsidRDefault="00E7045B" w:rsidP="006F57F3">
            <w:pPr>
              <w:keepNext/>
              <w:keepLines/>
              <w:spacing w:before="40" w:after="40"/>
              <w:jc w:val="right"/>
              <w:rPr>
                <w:sz w:val="18"/>
                <w:szCs w:val="18"/>
                <w:lang w:eastAsia="zh-CN"/>
              </w:rPr>
            </w:pPr>
          </w:p>
        </w:tc>
      </w:tr>
      <w:tr w:rsidR="00E7045B" w:rsidRPr="00440196" w14:paraId="5B04BC1E" w14:textId="77777777" w:rsidTr="00440196">
        <w:trPr>
          <w:trHeight w:val="327"/>
        </w:trPr>
        <w:tc>
          <w:tcPr>
            <w:tcW w:w="6436" w:type="dxa"/>
            <w:tcBorders>
              <w:top w:val="nil"/>
              <w:left w:val="nil"/>
              <w:bottom w:val="nil"/>
              <w:right w:val="nil"/>
            </w:tcBorders>
            <w:shd w:val="clear" w:color="auto" w:fill="auto"/>
            <w:noWrap/>
            <w:hideMark/>
          </w:tcPr>
          <w:p w14:paraId="337897D8" w14:textId="77777777" w:rsidR="00E7045B" w:rsidRPr="007831BB" w:rsidRDefault="00E7045B" w:rsidP="006F57F3">
            <w:pPr>
              <w:keepNext/>
              <w:keepLines/>
              <w:widowControl w:val="0"/>
              <w:tabs>
                <w:tab w:val="left" w:pos="6480"/>
                <w:tab w:val="left" w:pos="7200"/>
              </w:tabs>
              <w:spacing w:before="40" w:after="40"/>
              <w:rPr>
                <w:sz w:val="18"/>
                <w:szCs w:val="18"/>
                <w:lang w:eastAsia="zh-CN"/>
              </w:rPr>
            </w:pPr>
            <w:r w:rsidRPr="00440196">
              <w:rPr>
                <w:sz w:val="18"/>
                <w:szCs w:val="18"/>
                <w:lang w:eastAsia="zh-CN"/>
              </w:rPr>
              <w:t>Expendable equipment (items under $1 500 each)</w:t>
            </w:r>
          </w:p>
        </w:tc>
        <w:tc>
          <w:tcPr>
            <w:tcW w:w="1641" w:type="dxa"/>
            <w:tcBorders>
              <w:top w:val="nil"/>
              <w:left w:val="nil"/>
              <w:bottom w:val="nil"/>
              <w:right w:val="nil"/>
            </w:tcBorders>
            <w:shd w:val="clear" w:color="auto" w:fill="auto"/>
            <w:noWrap/>
            <w:hideMark/>
          </w:tcPr>
          <w:p w14:paraId="34660E5D" w14:textId="77777777" w:rsidR="00E7045B" w:rsidRPr="007831BB" w:rsidRDefault="00E7045B" w:rsidP="006F57F3">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c>
          <w:tcPr>
            <w:tcW w:w="1656" w:type="dxa"/>
            <w:tcBorders>
              <w:top w:val="nil"/>
              <w:left w:val="nil"/>
              <w:bottom w:val="nil"/>
              <w:right w:val="nil"/>
            </w:tcBorders>
            <w:shd w:val="clear" w:color="auto" w:fill="auto"/>
            <w:noWrap/>
            <w:hideMark/>
          </w:tcPr>
          <w:p w14:paraId="4A41D7E8" w14:textId="40B05D28" w:rsidR="00E7045B" w:rsidRPr="007831BB" w:rsidRDefault="00E7045B" w:rsidP="006F57F3">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r>
      <w:tr w:rsidR="00E7045B" w:rsidRPr="00440196" w14:paraId="7A2C90C3" w14:textId="77777777" w:rsidTr="00440196">
        <w:trPr>
          <w:trHeight w:val="327"/>
        </w:trPr>
        <w:tc>
          <w:tcPr>
            <w:tcW w:w="6436" w:type="dxa"/>
            <w:tcBorders>
              <w:top w:val="nil"/>
              <w:left w:val="nil"/>
              <w:bottom w:val="single" w:sz="8" w:space="0" w:color="auto"/>
              <w:right w:val="nil"/>
            </w:tcBorders>
            <w:shd w:val="clear" w:color="auto" w:fill="auto"/>
            <w:noWrap/>
            <w:hideMark/>
          </w:tcPr>
          <w:p w14:paraId="5FB1A6C2"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Office supplies</w:t>
            </w:r>
          </w:p>
        </w:tc>
        <w:tc>
          <w:tcPr>
            <w:tcW w:w="1641" w:type="dxa"/>
            <w:tcBorders>
              <w:top w:val="nil"/>
              <w:left w:val="nil"/>
              <w:bottom w:val="single" w:sz="8" w:space="0" w:color="auto"/>
              <w:right w:val="nil"/>
            </w:tcBorders>
            <w:shd w:val="clear" w:color="auto" w:fill="auto"/>
            <w:noWrap/>
            <w:hideMark/>
          </w:tcPr>
          <w:p w14:paraId="3D5754D7"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12 000 </w:t>
            </w:r>
          </w:p>
        </w:tc>
        <w:tc>
          <w:tcPr>
            <w:tcW w:w="1656" w:type="dxa"/>
            <w:tcBorders>
              <w:top w:val="nil"/>
              <w:left w:val="nil"/>
              <w:bottom w:val="single" w:sz="8" w:space="0" w:color="auto"/>
              <w:right w:val="nil"/>
            </w:tcBorders>
            <w:shd w:val="clear" w:color="auto" w:fill="auto"/>
            <w:noWrap/>
            <w:hideMark/>
          </w:tcPr>
          <w:p w14:paraId="5A5E9951" w14:textId="48F28FD6"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12 000 </w:t>
            </w:r>
          </w:p>
        </w:tc>
      </w:tr>
      <w:tr w:rsidR="00E7045B" w:rsidRPr="00440196" w14:paraId="138040D7" w14:textId="77777777" w:rsidTr="00440196">
        <w:trPr>
          <w:trHeight w:val="327"/>
        </w:trPr>
        <w:tc>
          <w:tcPr>
            <w:tcW w:w="6436" w:type="dxa"/>
            <w:tcBorders>
              <w:top w:val="nil"/>
              <w:left w:val="nil"/>
              <w:bottom w:val="single" w:sz="8" w:space="0" w:color="auto"/>
              <w:right w:val="nil"/>
            </w:tcBorders>
            <w:shd w:val="clear" w:color="auto" w:fill="auto"/>
            <w:noWrap/>
            <w:hideMark/>
          </w:tcPr>
          <w:p w14:paraId="1ABA8EF7"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3.2.3, equipment and office supplies</w:t>
            </w:r>
          </w:p>
        </w:tc>
        <w:tc>
          <w:tcPr>
            <w:tcW w:w="1641" w:type="dxa"/>
            <w:tcBorders>
              <w:top w:val="nil"/>
              <w:left w:val="nil"/>
              <w:bottom w:val="single" w:sz="8" w:space="0" w:color="auto"/>
              <w:right w:val="nil"/>
            </w:tcBorders>
            <w:shd w:val="clear" w:color="auto" w:fill="auto"/>
            <w:noWrap/>
            <w:hideMark/>
          </w:tcPr>
          <w:p w14:paraId="020B5275"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22 000 </w:t>
            </w:r>
          </w:p>
        </w:tc>
        <w:tc>
          <w:tcPr>
            <w:tcW w:w="1656" w:type="dxa"/>
            <w:tcBorders>
              <w:top w:val="nil"/>
              <w:left w:val="nil"/>
              <w:bottom w:val="single" w:sz="8" w:space="0" w:color="auto"/>
              <w:right w:val="nil"/>
            </w:tcBorders>
            <w:shd w:val="clear" w:color="auto" w:fill="auto"/>
            <w:noWrap/>
            <w:hideMark/>
          </w:tcPr>
          <w:p w14:paraId="0766F2E0" w14:textId="1C84E973"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22 000 </w:t>
            </w:r>
          </w:p>
        </w:tc>
      </w:tr>
      <w:tr w:rsidR="00E7045B" w:rsidRPr="00440196" w14:paraId="3FC30EA1" w14:textId="77777777" w:rsidTr="00440196">
        <w:trPr>
          <w:trHeight w:val="327"/>
        </w:trPr>
        <w:tc>
          <w:tcPr>
            <w:tcW w:w="6436" w:type="dxa"/>
            <w:tcBorders>
              <w:top w:val="nil"/>
              <w:left w:val="nil"/>
              <w:bottom w:val="nil"/>
              <w:right w:val="nil"/>
            </w:tcBorders>
            <w:shd w:val="clear" w:color="auto" w:fill="auto"/>
            <w:noWrap/>
            <w:hideMark/>
          </w:tcPr>
          <w:p w14:paraId="3A442AD3" w14:textId="77777777" w:rsidR="00E7045B" w:rsidRPr="007831BB" w:rsidRDefault="00E7045B" w:rsidP="00204C0B">
            <w:pPr>
              <w:keepNext/>
              <w:keepLines/>
              <w:widowControl w:val="0"/>
              <w:tabs>
                <w:tab w:val="left" w:pos="6480"/>
                <w:tab w:val="left" w:pos="7200"/>
              </w:tabs>
              <w:spacing w:before="40" w:after="40"/>
              <w:rPr>
                <w:b/>
                <w:sz w:val="18"/>
                <w:szCs w:val="18"/>
                <w:lang w:eastAsia="zh-CN"/>
              </w:rPr>
            </w:pPr>
            <w:r w:rsidRPr="00440196">
              <w:rPr>
                <w:b/>
                <w:sz w:val="18"/>
                <w:szCs w:val="18"/>
                <w:lang w:eastAsia="zh-CN"/>
              </w:rPr>
              <w:t xml:space="preserve">3.2.4 Premises </w:t>
            </w:r>
          </w:p>
        </w:tc>
        <w:tc>
          <w:tcPr>
            <w:tcW w:w="1641" w:type="dxa"/>
            <w:tcBorders>
              <w:top w:val="nil"/>
              <w:left w:val="nil"/>
              <w:bottom w:val="nil"/>
              <w:right w:val="nil"/>
            </w:tcBorders>
            <w:shd w:val="clear" w:color="auto" w:fill="auto"/>
            <w:noWrap/>
            <w:hideMark/>
          </w:tcPr>
          <w:p w14:paraId="642BAA1E" w14:textId="77777777" w:rsidR="00E7045B" w:rsidRPr="00440196" w:rsidRDefault="00E7045B" w:rsidP="00204C0B">
            <w:pPr>
              <w:keepNext/>
              <w:keepLines/>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7A2A31BD" w14:textId="77777777" w:rsidR="00E7045B" w:rsidRPr="00440196" w:rsidRDefault="00E7045B" w:rsidP="00204C0B">
            <w:pPr>
              <w:keepNext/>
              <w:keepLines/>
              <w:spacing w:before="40" w:after="40"/>
              <w:jc w:val="right"/>
              <w:rPr>
                <w:sz w:val="18"/>
                <w:szCs w:val="18"/>
                <w:lang w:eastAsia="zh-CN"/>
              </w:rPr>
            </w:pPr>
          </w:p>
        </w:tc>
      </w:tr>
      <w:tr w:rsidR="00E7045B" w:rsidRPr="00440196" w14:paraId="615E0E88" w14:textId="77777777" w:rsidTr="00440196">
        <w:trPr>
          <w:trHeight w:val="441"/>
        </w:trPr>
        <w:tc>
          <w:tcPr>
            <w:tcW w:w="6436" w:type="dxa"/>
            <w:tcBorders>
              <w:top w:val="nil"/>
              <w:left w:val="nil"/>
              <w:bottom w:val="single" w:sz="8" w:space="0" w:color="auto"/>
              <w:right w:val="nil"/>
            </w:tcBorders>
            <w:shd w:val="clear" w:color="auto" w:fill="auto"/>
            <w:hideMark/>
          </w:tcPr>
          <w:p w14:paraId="391510C7" w14:textId="5A1352D2"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Contribution to common cost</w:t>
            </w:r>
            <w:r w:rsidR="00162597">
              <w:rPr>
                <w:sz w:val="18"/>
                <w:szCs w:val="18"/>
                <w:lang w:eastAsia="zh-CN"/>
              </w:rPr>
              <w:t>s</w:t>
            </w:r>
            <w:r w:rsidRPr="00440196">
              <w:rPr>
                <w:sz w:val="18"/>
                <w:szCs w:val="18"/>
                <w:lang w:eastAsia="zh-CN"/>
              </w:rPr>
              <w:t xml:space="preserve"> (maintenance of office space, common security, switchboard service, etc.)</w:t>
            </w:r>
          </w:p>
        </w:tc>
        <w:tc>
          <w:tcPr>
            <w:tcW w:w="1641" w:type="dxa"/>
            <w:tcBorders>
              <w:top w:val="nil"/>
              <w:left w:val="nil"/>
              <w:bottom w:val="single" w:sz="8" w:space="0" w:color="auto"/>
              <w:right w:val="nil"/>
            </w:tcBorders>
            <w:shd w:val="clear" w:color="auto" w:fill="auto"/>
            <w:noWrap/>
            <w:hideMark/>
          </w:tcPr>
          <w:p w14:paraId="78317769"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45 000 </w:t>
            </w:r>
          </w:p>
        </w:tc>
        <w:tc>
          <w:tcPr>
            <w:tcW w:w="1656" w:type="dxa"/>
            <w:tcBorders>
              <w:top w:val="nil"/>
              <w:left w:val="nil"/>
              <w:bottom w:val="single" w:sz="8" w:space="0" w:color="auto"/>
              <w:right w:val="nil"/>
            </w:tcBorders>
            <w:shd w:val="clear" w:color="auto" w:fill="auto"/>
            <w:noWrap/>
            <w:hideMark/>
          </w:tcPr>
          <w:p w14:paraId="1CBEDE2C" w14:textId="31FC990D"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45 000 </w:t>
            </w:r>
          </w:p>
        </w:tc>
      </w:tr>
      <w:tr w:rsidR="00E7045B" w:rsidRPr="00440196" w14:paraId="6FB63512" w14:textId="77777777" w:rsidTr="00440196">
        <w:trPr>
          <w:trHeight w:val="327"/>
        </w:trPr>
        <w:tc>
          <w:tcPr>
            <w:tcW w:w="6436" w:type="dxa"/>
            <w:tcBorders>
              <w:top w:val="nil"/>
              <w:left w:val="nil"/>
              <w:bottom w:val="single" w:sz="8" w:space="0" w:color="auto"/>
              <w:right w:val="nil"/>
            </w:tcBorders>
            <w:shd w:val="clear" w:color="auto" w:fill="auto"/>
            <w:noWrap/>
            <w:hideMark/>
          </w:tcPr>
          <w:p w14:paraId="70605B5C"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3.2.4, premises</w:t>
            </w:r>
          </w:p>
        </w:tc>
        <w:tc>
          <w:tcPr>
            <w:tcW w:w="1641" w:type="dxa"/>
            <w:tcBorders>
              <w:top w:val="nil"/>
              <w:left w:val="nil"/>
              <w:bottom w:val="single" w:sz="8" w:space="0" w:color="auto"/>
              <w:right w:val="nil"/>
            </w:tcBorders>
            <w:shd w:val="clear" w:color="auto" w:fill="auto"/>
            <w:noWrap/>
            <w:hideMark/>
          </w:tcPr>
          <w:p w14:paraId="3B9DBE1A"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45 000 </w:t>
            </w:r>
          </w:p>
        </w:tc>
        <w:tc>
          <w:tcPr>
            <w:tcW w:w="1656" w:type="dxa"/>
            <w:tcBorders>
              <w:top w:val="nil"/>
              <w:left w:val="nil"/>
              <w:bottom w:val="single" w:sz="8" w:space="0" w:color="auto"/>
              <w:right w:val="nil"/>
            </w:tcBorders>
            <w:shd w:val="clear" w:color="auto" w:fill="auto"/>
            <w:noWrap/>
            <w:hideMark/>
          </w:tcPr>
          <w:p w14:paraId="2D92B1A8" w14:textId="42884B02"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45 000 </w:t>
            </w:r>
          </w:p>
        </w:tc>
      </w:tr>
      <w:tr w:rsidR="00E7045B" w:rsidRPr="00440196" w14:paraId="4D5A25FD" w14:textId="77777777" w:rsidTr="00440196">
        <w:trPr>
          <w:trHeight w:val="327"/>
        </w:trPr>
        <w:tc>
          <w:tcPr>
            <w:tcW w:w="6436" w:type="dxa"/>
            <w:tcBorders>
              <w:top w:val="nil"/>
              <w:left w:val="nil"/>
              <w:bottom w:val="nil"/>
              <w:right w:val="nil"/>
            </w:tcBorders>
            <w:shd w:val="clear" w:color="auto" w:fill="auto"/>
            <w:noWrap/>
            <w:hideMark/>
          </w:tcPr>
          <w:p w14:paraId="3C1EF8D6"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3.2.5 Printers, photocopiers and IT services</w:t>
            </w:r>
          </w:p>
        </w:tc>
        <w:tc>
          <w:tcPr>
            <w:tcW w:w="1641" w:type="dxa"/>
            <w:tcBorders>
              <w:top w:val="nil"/>
              <w:left w:val="nil"/>
              <w:bottom w:val="nil"/>
              <w:right w:val="nil"/>
            </w:tcBorders>
            <w:shd w:val="clear" w:color="auto" w:fill="auto"/>
            <w:noWrap/>
            <w:hideMark/>
          </w:tcPr>
          <w:p w14:paraId="0B3D08FB"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14:paraId="3F8E337D" w14:textId="77777777" w:rsidR="00E7045B" w:rsidRPr="00440196" w:rsidRDefault="00E7045B" w:rsidP="00440196">
            <w:pPr>
              <w:spacing w:before="40" w:after="40"/>
              <w:jc w:val="right"/>
              <w:rPr>
                <w:sz w:val="18"/>
                <w:szCs w:val="18"/>
                <w:lang w:eastAsia="zh-CN"/>
              </w:rPr>
            </w:pPr>
          </w:p>
        </w:tc>
      </w:tr>
      <w:tr w:rsidR="00E7045B" w:rsidRPr="00440196" w14:paraId="0DF07CEC" w14:textId="77777777" w:rsidTr="00440196">
        <w:trPr>
          <w:trHeight w:val="327"/>
        </w:trPr>
        <w:tc>
          <w:tcPr>
            <w:tcW w:w="6436" w:type="dxa"/>
            <w:tcBorders>
              <w:top w:val="nil"/>
              <w:left w:val="nil"/>
              <w:bottom w:val="nil"/>
              <w:right w:val="nil"/>
            </w:tcBorders>
            <w:shd w:val="clear" w:color="auto" w:fill="auto"/>
            <w:noWrap/>
            <w:hideMark/>
          </w:tcPr>
          <w:p w14:paraId="1670441D"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Operation and maintenance of printers and photocopiers</w:t>
            </w:r>
          </w:p>
        </w:tc>
        <w:tc>
          <w:tcPr>
            <w:tcW w:w="1641" w:type="dxa"/>
            <w:tcBorders>
              <w:top w:val="nil"/>
              <w:left w:val="nil"/>
              <w:bottom w:val="nil"/>
              <w:right w:val="nil"/>
            </w:tcBorders>
            <w:shd w:val="clear" w:color="auto" w:fill="auto"/>
            <w:noWrap/>
            <w:hideMark/>
          </w:tcPr>
          <w:p w14:paraId="6BF1C0E8"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c>
          <w:tcPr>
            <w:tcW w:w="1656" w:type="dxa"/>
            <w:tcBorders>
              <w:top w:val="nil"/>
              <w:left w:val="nil"/>
              <w:bottom w:val="nil"/>
              <w:right w:val="nil"/>
            </w:tcBorders>
            <w:shd w:val="clear" w:color="auto" w:fill="auto"/>
            <w:noWrap/>
            <w:hideMark/>
          </w:tcPr>
          <w:p w14:paraId="34828336" w14:textId="01B269EA"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r>
      <w:tr w:rsidR="00E7045B" w:rsidRPr="00440196" w14:paraId="0CF93A65" w14:textId="77777777" w:rsidTr="00440196">
        <w:trPr>
          <w:trHeight w:val="327"/>
        </w:trPr>
        <w:tc>
          <w:tcPr>
            <w:tcW w:w="6436" w:type="dxa"/>
            <w:tcBorders>
              <w:top w:val="nil"/>
              <w:left w:val="nil"/>
              <w:bottom w:val="nil"/>
              <w:right w:val="nil"/>
            </w:tcBorders>
            <w:shd w:val="clear" w:color="auto" w:fill="auto"/>
            <w:noWrap/>
            <w:hideMark/>
          </w:tcPr>
          <w:p w14:paraId="5DF5161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Software and other miscellaneous expenses</w:t>
            </w:r>
          </w:p>
        </w:tc>
        <w:tc>
          <w:tcPr>
            <w:tcW w:w="1641" w:type="dxa"/>
            <w:tcBorders>
              <w:top w:val="nil"/>
              <w:left w:val="nil"/>
              <w:bottom w:val="nil"/>
              <w:right w:val="nil"/>
            </w:tcBorders>
            <w:shd w:val="clear" w:color="auto" w:fill="auto"/>
            <w:noWrap/>
            <w:hideMark/>
          </w:tcPr>
          <w:p w14:paraId="1E5D5E94"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4 000 </w:t>
            </w:r>
          </w:p>
        </w:tc>
        <w:tc>
          <w:tcPr>
            <w:tcW w:w="1656" w:type="dxa"/>
            <w:tcBorders>
              <w:top w:val="nil"/>
              <w:left w:val="nil"/>
              <w:bottom w:val="nil"/>
              <w:right w:val="nil"/>
            </w:tcBorders>
            <w:shd w:val="clear" w:color="auto" w:fill="auto"/>
            <w:noWrap/>
            <w:hideMark/>
          </w:tcPr>
          <w:p w14:paraId="7F020EA8" w14:textId="3495F5D9"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4 000 </w:t>
            </w:r>
          </w:p>
        </w:tc>
      </w:tr>
      <w:tr w:rsidR="00E7045B" w:rsidRPr="00440196" w14:paraId="1C8A6159" w14:textId="77777777" w:rsidTr="00440196">
        <w:trPr>
          <w:trHeight w:val="264"/>
        </w:trPr>
        <w:tc>
          <w:tcPr>
            <w:tcW w:w="6436" w:type="dxa"/>
            <w:tcBorders>
              <w:top w:val="nil"/>
              <w:left w:val="nil"/>
              <w:bottom w:val="single" w:sz="8" w:space="0" w:color="auto"/>
              <w:right w:val="nil"/>
            </w:tcBorders>
            <w:shd w:val="clear" w:color="auto" w:fill="auto"/>
            <w:noWrap/>
            <w:hideMark/>
          </w:tcPr>
          <w:p w14:paraId="5041F5CE"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IT support services</w:t>
            </w:r>
          </w:p>
        </w:tc>
        <w:tc>
          <w:tcPr>
            <w:tcW w:w="1641" w:type="dxa"/>
            <w:tcBorders>
              <w:top w:val="nil"/>
              <w:left w:val="nil"/>
              <w:bottom w:val="single" w:sz="8" w:space="0" w:color="auto"/>
              <w:right w:val="nil"/>
            </w:tcBorders>
            <w:shd w:val="clear" w:color="auto" w:fill="auto"/>
            <w:noWrap/>
            <w:hideMark/>
          </w:tcPr>
          <w:p w14:paraId="0D7FB3C2"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61 250 </w:t>
            </w:r>
          </w:p>
        </w:tc>
        <w:tc>
          <w:tcPr>
            <w:tcW w:w="1656" w:type="dxa"/>
            <w:tcBorders>
              <w:top w:val="nil"/>
              <w:left w:val="nil"/>
              <w:bottom w:val="single" w:sz="8" w:space="0" w:color="auto"/>
              <w:right w:val="nil"/>
            </w:tcBorders>
            <w:shd w:val="clear" w:color="auto" w:fill="auto"/>
            <w:noWrap/>
            <w:hideMark/>
          </w:tcPr>
          <w:p w14:paraId="771FDDBC" w14:textId="78055661"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61 250 </w:t>
            </w:r>
          </w:p>
        </w:tc>
      </w:tr>
      <w:tr w:rsidR="00E7045B" w:rsidRPr="00440196" w14:paraId="1BA26DF1" w14:textId="77777777" w:rsidTr="00440196">
        <w:trPr>
          <w:trHeight w:val="327"/>
        </w:trPr>
        <w:tc>
          <w:tcPr>
            <w:tcW w:w="6436" w:type="dxa"/>
            <w:tcBorders>
              <w:top w:val="nil"/>
              <w:left w:val="nil"/>
              <w:bottom w:val="single" w:sz="8" w:space="0" w:color="auto"/>
              <w:right w:val="nil"/>
            </w:tcBorders>
            <w:shd w:val="clear" w:color="auto" w:fill="auto"/>
            <w:noWrap/>
            <w:hideMark/>
          </w:tcPr>
          <w:p w14:paraId="03C543F7"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3.2.5, printers, photocopiers and IT services</w:t>
            </w:r>
          </w:p>
        </w:tc>
        <w:tc>
          <w:tcPr>
            <w:tcW w:w="1641" w:type="dxa"/>
            <w:tcBorders>
              <w:top w:val="nil"/>
              <w:left w:val="nil"/>
              <w:bottom w:val="single" w:sz="8" w:space="0" w:color="auto"/>
              <w:right w:val="nil"/>
            </w:tcBorders>
            <w:shd w:val="clear" w:color="auto" w:fill="auto"/>
            <w:noWrap/>
            <w:hideMark/>
          </w:tcPr>
          <w:p w14:paraId="41CD09C9"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70 250 </w:t>
            </w:r>
          </w:p>
        </w:tc>
        <w:tc>
          <w:tcPr>
            <w:tcW w:w="1656" w:type="dxa"/>
            <w:tcBorders>
              <w:top w:val="nil"/>
              <w:left w:val="nil"/>
              <w:bottom w:val="single" w:sz="8" w:space="0" w:color="auto"/>
              <w:right w:val="nil"/>
            </w:tcBorders>
            <w:shd w:val="clear" w:color="auto" w:fill="auto"/>
            <w:noWrap/>
            <w:hideMark/>
          </w:tcPr>
          <w:p w14:paraId="71FD408E" w14:textId="7FCFC231"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70 250 </w:t>
            </w:r>
          </w:p>
        </w:tc>
      </w:tr>
      <w:tr w:rsidR="00E7045B" w:rsidRPr="00440196" w14:paraId="7425324E" w14:textId="77777777" w:rsidTr="00440196">
        <w:trPr>
          <w:trHeight w:val="327"/>
        </w:trPr>
        <w:tc>
          <w:tcPr>
            <w:tcW w:w="6436" w:type="dxa"/>
            <w:tcBorders>
              <w:top w:val="nil"/>
              <w:left w:val="nil"/>
              <w:bottom w:val="nil"/>
              <w:right w:val="nil"/>
            </w:tcBorders>
            <w:shd w:val="clear" w:color="auto" w:fill="auto"/>
            <w:noWrap/>
            <w:hideMark/>
          </w:tcPr>
          <w:p w14:paraId="41606EAC"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3.2.6 Telephone, postage and miscellaneous</w:t>
            </w:r>
          </w:p>
        </w:tc>
        <w:tc>
          <w:tcPr>
            <w:tcW w:w="1641" w:type="dxa"/>
            <w:tcBorders>
              <w:top w:val="nil"/>
              <w:left w:val="nil"/>
              <w:bottom w:val="nil"/>
              <w:right w:val="nil"/>
            </w:tcBorders>
            <w:shd w:val="clear" w:color="auto" w:fill="auto"/>
            <w:noWrap/>
            <w:hideMark/>
          </w:tcPr>
          <w:p w14:paraId="2B829833" w14:textId="77777777" w:rsidR="00E7045B" w:rsidRPr="00440196" w:rsidRDefault="00E7045B" w:rsidP="00440196">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14:paraId="4C159C97" w14:textId="77777777" w:rsidR="00E7045B" w:rsidRPr="00440196" w:rsidRDefault="00E7045B" w:rsidP="00440196">
            <w:pPr>
              <w:spacing w:before="40" w:after="40"/>
              <w:jc w:val="right"/>
              <w:rPr>
                <w:b/>
                <w:sz w:val="18"/>
                <w:szCs w:val="18"/>
                <w:lang w:eastAsia="zh-CN"/>
              </w:rPr>
            </w:pPr>
          </w:p>
        </w:tc>
      </w:tr>
      <w:tr w:rsidR="00E7045B" w:rsidRPr="00440196" w14:paraId="3623541B" w14:textId="77777777" w:rsidTr="00440196">
        <w:trPr>
          <w:trHeight w:val="327"/>
        </w:trPr>
        <w:tc>
          <w:tcPr>
            <w:tcW w:w="6436" w:type="dxa"/>
            <w:tcBorders>
              <w:top w:val="nil"/>
              <w:left w:val="nil"/>
              <w:bottom w:val="nil"/>
              <w:right w:val="nil"/>
            </w:tcBorders>
            <w:shd w:val="clear" w:color="auto" w:fill="auto"/>
            <w:noWrap/>
            <w:hideMark/>
          </w:tcPr>
          <w:p w14:paraId="5207D84A"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Telephone </w:t>
            </w:r>
          </w:p>
        </w:tc>
        <w:tc>
          <w:tcPr>
            <w:tcW w:w="1641" w:type="dxa"/>
            <w:tcBorders>
              <w:top w:val="nil"/>
              <w:left w:val="nil"/>
              <w:bottom w:val="nil"/>
              <w:right w:val="nil"/>
            </w:tcBorders>
            <w:shd w:val="clear" w:color="auto" w:fill="auto"/>
            <w:noWrap/>
            <w:hideMark/>
          </w:tcPr>
          <w:p w14:paraId="120175C3"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c>
          <w:tcPr>
            <w:tcW w:w="1656" w:type="dxa"/>
            <w:tcBorders>
              <w:top w:val="nil"/>
              <w:left w:val="nil"/>
              <w:bottom w:val="nil"/>
              <w:right w:val="nil"/>
            </w:tcBorders>
            <w:shd w:val="clear" w:color="auto" w:fill="auto"/>
            <w:noWrap/>
            <w:hideMark/>
          </w:tcPr>
          <w:p w14:paraId="5D0F7C60" w14:textId="6059D4D9"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r>
      <w:tr w:rsidR="00E7045B" w:rsidRPr="00440196" w14:paraId="0F442D31" w14:textId="77777777" w:rsidTr="00440196">
        <w:trPr>
          <w:trHeight w:val="327"/>
        </w:trPr>
        <w:tc>
          <w:tcPr>
            <w:tcW w:w="6436" w:type="dxa"/>
            <w:tcBorders>
              <w:top w:val="nil"/>
              <w:left w:val="nil"/>
              <w:bottom w:val="single" w:sz="8" w:space="0" w:color="auto"/>
              <w:right w:val="nil"/>
            </w:tcBorders>
            <w:shd w:val="clear" w:color="auto" w:fill="auto"/>
            <w:noWrap/>
            <w:hideMark/>
          </w:tcPr>
          <w:p w14:paraId="045E5280"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Postage and miscellaneous </w:t>
            </w:r>
          </w:p>
        </w:tc>
        <w:tc>
          <w:tcPr>
            <w:tcW w:w="1641" w:type="dxa"/>
            <w:tcBorders>
              <w:top w:val="nil"/>
              <w:left w:val="nil"/>
              <w:bottom w:val="single" w:sz="8" w:space="0" w:color="auto"/>
              <w:right w:val="nil"/>
            </w:tcBorders>
            <w:shd w:val="clear" w:color="auto" w:fill="auto"/>
            <w:noWrap/>
            <w:hideMark/>
          </w:tcPr>
          <w:p w14:paraId="318F9EF0"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2 000 </w:t>
            </w:r>
          </w:p>
        </w:tc>
        <w:tc>
          <w:tcPr>
            <w:tcW w:w="1656" w:type="dxa"/>
            <w:tcBorders>
              <w:top w:val="nil"/>
              <w:left w:val="nil"/>
              <w:bottom w:val="single" w:sz="8" w:space="0" w:color="auto"/>
              <w:right w:val="nil"/>
            </w:tcBorders>
            <w:shd w:val="clear" w:color="auto" w:fill="auto"/>
            <w:noWrap/>
            <w:hideMark/>
          </w:tcPr>
          <w:p w14:paraId="6DD13DFE" w14:textId="71477D31"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2 000 </w:t>
            </w:r>
          </w:p>
        </w:tc>
      </w:tr>
      <w:tr w:rsidR="00E7045B" w:rsidRPr="00440196" w14:paraId="2AA9A8FD" w14:textId="77777777" w:rsidTr="00440196">
        <w:trPr>
          <w:trHeight w:val="327"/>
        </w:trPr>
        <w:tc>
          <w:tcPr>
            <w:tcW w:w="6436" w:type="dxa"/>
            <w:tcBorders>
              <w:top w:val="nil"/>
              <w:left w:val="nil"/>
              <w:bottom w:val="single" w:sz="8" w:space="0" w:color="auto"/>
              <w:right w:val="nil"/>
            </w:tcBorders>
            <w:shd w:val="clear" w:color="auto" w:fill="auto"/>
            <w:noWrap/>
            <w:hideMark/>
          </w:tcPr>
          <w:p w14:paraId="45866447"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3.2.6, Telephone, postage and miscellaneous</w:t>
            </w:r>
          </w:p>
        </w:tc>
        <w:tc>
          <w:tcPr>
            <w:tcW w:w="1641" w:type="dxa"/>
            <w:tcBorders>
              <w:top w:val="nil"/>
              <w:left w:val="nil"/>
              <w:bottom w:val="single" w:sz="8" w:space="0" w:color="auto"/>
              <w:right w:val="nil"/>
            </w:tcBorders>
            <w:shd w:val="clear" w:color="auto" w:fill="auto"/>
            <w:noWrap/>
            <w:hideMark/>
          </w:tcPr>
          <w:p w14:paraId="4FC1C977"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12 000 </w:t>
            </w:r>
          </w:p>
        </w:tc>
        <w:tc>
          <w:tcPr>
            <w:tcW w:w="1656" w:type="dxa"/>
            <w:tcBorders>
              <w:top w:val="nil"/>
              <w:left w:val="nil"/>
              <w:bottom w:val="single" w:sz="8" w:space="0" w:color="auto"/>
              <w:right w:val="nil"/>
            </w:tcBorders>
            <w:shd w:val="clear" w:color="auto" w:fill="auto"/>
            <w:noWrap/>
            <w:hideMark/>
          </w:tcPr>
          <w:p w14:paraId="585AB39E" w14:textId="5E9AC460"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12 000 </w:t>
            </w:r>
          </w:p>
        </w:tc>
      </w:tr>
      <w:tr w:rsidR="00E7045B" w:rsidRPr="00440196" w14:paraId="0968503C" w14:textId="77777777" w:rsidTr="00440196">
        <w:trPr>
          <w:trHeight w:val="327"/>
        </w:trPr>
        <w:tc>
          <w:tcPr>
            <w:tcW w:w="6436" w:type="dxa"/>
            <w:tcBorders>
              <w:top w:val="nil"/>
              <w:left w:val="nil"/>
              <w:bottom w:val="nil"/>
              <w:right w:val="nil"/>
            </w:tcBorders>
            <w:shd w:val="clear" w:color="auto" w:fill="auto"/>
            <w:noWrap/>
            <w:hideMark/>
          </w:tcPr>
          <w:p w14:paraId="49C4BDAA"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 xml:space="preserve">3.2.7 Hospitality </w:t>
            </w:r>
          </w:p>
        </w:tc>
        <w:tc>
          <w:tcPr>
            <w:tcW w:w="1641" w:type="dxa"/>
            <w:tcBorders>
              <w:top w:val="nil"/>
              <w:left w:val="nil"/>
              <w:bottom w:val="nil"/>
              <w:right w:val="nil"/>
            </w:tcBorders>
            <w:shd w:val="clear" w:color="auto" w:fill="auto"/>
            <w:noWrap/>
            <w:hideMark/>
          </w:tcPr>
          <w:p w14:paraId="1BACEEBD" w14:textId="77777777" w:rsidR="00E7045B" w:rsidRPr="00440196" w:rsidRDefault="00E7045B" w:rsidP="00440196">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14:paraId="544F832E" w14:textId="77777777" w:rsidR="00E7045B" w:rsidRPr="00440196" w:rsidRDefault="00E7045B" w:rsidP="00440196">
            <w:pPr>
              <w:spacing w:before="40" w:after="40"/>
              <w:jc w:val="right"/>
              <w:rPr>
                <w:b/>
                <w:sz w:val="18"/>
                <w:szCs w:val="18"/>
                <w:lang w:eastAsia="zh-CN"/>
              </w:rPr>
            </w:pPr>
          </w:p>
        </w:tc>
      </w:tr>
      <w:tr w:rsidR="00E7045B" w:rsidRPr="00440196" w14:paraId="22723D9E" w14:textId="77777777" w:rsidTr="00440196">
        <w:trPr>
          <w:trHeight w:val="327"/>
        </w:trPr>
        <w:tc>
          <w:tcPr>
            <w:tcW w:w="6436" w:type="dxa"/>
            <w:tcBorders>
              <w:top w:val="nil"/>
              <w:left w:val="nil"/>
              <w:bottom w:val="single" w:sz="8" w:space="0" w:color="auto"/>
              <w:right w:val="nil"/>
            </w:tcBorders>
            <w:shd w:val="clear" w:color="auto" w:fill="auto"/>
            <w:noWrap/>
            <w:hideMark/>
          </w:tcPr>
          <w:p w14:paraId="01DABD15"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 xml:space="preserve">Hospitality </w:t>
            </w:r>
          </w:p>
        </w:tc>
        <w:tc>
          <w:tcPr>
            <w:tcW w:w="1641" w:type="dxa"/>
            <w:tcBorders>
              <w:top w:val="nil"/>
              <w:left w:val="nil"/>
              <w:bottom w:val="single" w:sz="8" w:space="0" w:color="auto"/>
              <w:right w:val="nil"/>
            </w:tcBorders>
            <w:shd w:val="clear" w:color="auto" w:fill="auto"/>
            <w:noWrap/>
            <w:hideMark/>
          </w:tcPr>
          <w:p w14:paraId="3F947358"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c>
          <w:tcPr>
            <w:tcW w:w="1656" w:type="dxa"/>
            <w:tcBorders>
              <w:top w:val="nil"/>
              <w:left w:val="nil"/>
              <w:bottom w:val="single" w:sz="8" w:space="0" w:color="auto"/>
              <w:right w:val="nil"/>
            </w:tcBorders>
            <w:shd w:val="clear" w:color="auto" w:fill="auto"/>
            <w:noWrap/>
            <w:hideMark/>
          </w:tcPr>
          <w:p w14:paraId="3D19D0F6" w14:textId="726C6F36"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r>
      <w:tr w:rsidR="00E7045B" w:rsidRPr="00440196" w14:paraId="62FB14BC" w14:textId="77777777" w:rsidTr="00440196">
        <w:trPr>
          <w:trHeight w:val="327"/>
        </w:trPr>
        <w:tc>
          <w:tcPr>
            <w:tcW w:w="6436" w:type="dxa"/>
            <w:tcBorders>
              <w:top w:val="nil"/>
              <w:left w:val="nil"/>
              <w:bottom w:val="single" w:sz="8" w:space="0" w:color="auto"/>
              <w:right w:val="nil"/>
            </w:tcBorders>
            <w:shd w:val="clear" w:color="auto" w:fill="auto"/>
            <w:noWrap/>
            <w:hideMark/>
          </w:tcPr>
          <w:p w14:paraId="13B29E7C"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3.2.7, hospitality</w:t>
            </w:r>
          </w:p>
        </w:tc>
        <w:tc>
          <w:tcPr>
            <w:tcW w:w="1641" w:type="dxa"/>
            <w:tcBorders>
              <w:top w:val="nil"/>
              <w:left w:val="nil"/>
              <w:bottom w:val="single" w:sz="8" w:space="0" w:color="auto"/>
              <w:right w:val="nil"/>
            </w:tcBorders>
            <w:shd w:val="clear" w:color="auto" w:fill="auto"/>
            <w:noWrap/>
            <w:hideMark/>
          </w:tcPr>
          <w:p w14:paraId="4676A47B"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5 000 </w:t>
            </w:r>
          </w:p>
        </w:tc>
        <w:tc>
          <w:tcPr>
            <w:tcW w:w="1656" w:type="dxa"/>
            <w:tcBorders>
              <w:top w:val="nil"/>
              <w:left w:val="nil"/>
              <w:bottom w:val="single" w:sz="8" w:space="0" w:color="auto"/>
              <w:right w:val="nil"/>
            </w:tcBorders>
            <w:shd w:val="clear" w:color="auto" w:fill="auto"/>
            <w:noWrap/>
            <w:hideMark/>
          </w:tcPr>
          <w:p w14:paraId="5090EDAE" w14:textId="44F370BD"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5 000 </w:t>
            </w:r>
          </w:p>
        </w:tc>
      </w:tr>
      <w:tr w:rsidR="00E7045B" w:rsidRPr="00440196" w14:paraId="01F85EA3" w14:textId="77777777" w:rsidTr="00440196">
        <w:trPr>
          <w:trHeight w:val="327"/>
        </w:trPr>
        <w:tc>
          <w:tcPr>
            <w:tcW w:w="6436" w:type="dxa"/>
            <w:tcBorders>
              <w:top w:val="nil"/>
              <w:left w:val="nil"/>
              <w:bottom w:val="single" w:sz="8" w:space="0" w:color="auto"/>
              <w:right w:val="nil"/>
            </w:tcBorders>
            <w:shd w:val="clear" w:color="auto" w:fill="auto"/>
            <w:noWrap/>
            <w:hideMark/>
          </w:tcPr>
          <w:p w14:paraId="5557590C"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3.2, operating costs (non-personnel)</w:t>
            </w:r>
          </w:p>
        </w:tc>
        <w:tc>
          <w:tcPr>
            <w:tcW w:w="1641" w:type="dxa"/>
            <w:tcBorders>
              <w:top w:val="nil"/>
              <w:left w:val="nil"/>
              <w:bottom w:val="single" w:sz="8" w:space="0" w:color="auto"/>
              <w:right w:val="nil"/>
            </w:tcBorders>
            <w:shd w:val="clear" w:color="auto" w:fill="auto"/>
            <w:noWrap/>
            <w:hideMark/>
          </w:tcPr>
          <w:p w14:paraId="12FFF8A7"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249 250 </w:t>
            </w:r>
          </w:p>
        </w:tc>
        <w:tc>
          <w:tcPr>
            <w:tcW w:w="1656" w:type="dxa"/>
            <w:tcBorders>
              <w:top w:val="nil"/>
              <w:left w:val="nil"/>
              <w:bottom w:val="single" w:sz="8" w:space="0" w:color="auto"/>
              <w:right w:val="nil"/>
            </w:tcBorders>
            <w:shd w:val="clear" w:color="auto" w:fill="auto"/>
            <w:noWrap/>
            <w:hideMark/>
          </w:tcPr>
          <w:p w14:paraId="00F2E99A" w14:textId="4A38E1E5"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249 250 </w:t>
            </w:r>
          </w:p>
        </w:tc>
      </w:tr>
      <w:tr w:rsidR="00E7045B" w:rsidRPr="00440196" w14:paraId="6B6F80E4" w14:textId="77777777" w:rsidTr="00440196">
        <w:trPr>
          <w:trHeight w:val="327"/>
        </w:trPr>
        <w:tc>
          <w:tcPr>
            <w:tcW w:w="6436" w:type="dxa"/>
            <w:tcBorders>
              <w:top w:val="nil"/>
              <w:left w:val="nil"/>
              <w:bottom w:val="single" w:sz="8" w:space="0" w:color="auto"/>
              <w:right w:val="nil"/>
            </w:tcBorders>
            <w:shd w:val="clear" w:color="auto" w:fill="auto"/>
            <w:noWrap/>
            <w:hideMark/>
          </w:tcPr>
          <w:p w14:paraId="305354B4"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3, secretariat (personnel + operating)</w:t>
            </w:r>
          </w:p>
        </w:tc>
        <w:tc>
          <w:tcPr>
            <w:tcW w:w="1641" w:type="dxa"/>
            <w:tcBorders>
              <w:top w:val="nil"/>
              <w:left w:val="nil"/>
              <w:bottom w:val="nil"/>
              <w:right w:val="nil"/>
            </w:tcBorders>
            <w:shd w:val="clear" w:color="auto" w:fill="auto"/>
            <w:noWrap/>
            <w:hideMark/>
          </w:tcPr>
          <w:p w14:paraId="07E5594B"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2 166 250 </w:t>
            </w:r>
          </w:p>
        </w:tc>
        <w:tc>
          <w:tcPr>
            <w:tcW w:w="1656" w:type="dxa"/>
            <w:tcBorders>
              <w:top w:val="nil"/>
              <w:left w:val="nil"/>
              <w:bottom w:val="nil"/>
              <w:right w:val="nil"/>
            </w:tcBorders>
            <w:shd w:val="clear" w:color="auto" w:fill="auto"/>
            <w:noWrap/>
            <w:hideMark/>
          </w:tcPr>
          <w:p w14:paraId="049F398D" w14:textId="033EE2DD"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2 212 950 </w:t>
            </w:r>
          </w:p>
        </w:tc>
      </w:tr>
      <w:tr w:rsidR="00E7045B" w:rsidRPr="00440196" w14:paraId="4CB4B008" w14:textId="77777777" w:rsidTr="00440196">
        <w:trPr>
          <w:trHeight w:val="327"/>
        </w:trPr>
        <w:tc>
          <w:tcPr>
            <w:tcW w:w="6436" w:type="dxa"/>
            <w:tcBorders>
              <w:top w:val="nil"/>
              <w:left w:val="nil"/>
              <w:bottom w:val="single" w:sz="8" w:space="0" w:color="auto"/>
              <w:right w:val="nil"/>
            </w:tcBorders>
            <w:shd w:val="clear" w:color="auto" w:fill="auto"/>
            <w:noWrap/>
            <w:hideMark/>
          </w:tcPr>
          <w:p w14:paraId="2FB0A8E5"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Subtotal, 1+2+3</w:t>
            </w:r>
          </w:p>
        </w:tc>
        <w:tc>
          <w:tcPr>
            <w:tcW w:w="1641" w:type="dxa"/>
            <w:tcBorders>
              <w:top w:val="single" w:sz="8" w:space="0" w:color="auto"/>
              <w:left w:val="nil"/>
              <w:bottom w:val="single" w:sz="8" w:space="0" w:color="auto"/>
              <w:right w:val="nil"/>
            </w:tcBorders>
            <w:shd w:val="clear" w:color="auto" w:fill="auto"/>
            <w:noWrap/>
            <w:hideMark/>
          </w:tcPr>
          <w:p w14:paraId="274C373A"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8 085 900 </w:t>
            </w:r>
          </w:p>
        </w:tc>
        <w:tc>
          <w:tcPr>
            <w:tcW w:w="1656" w:type="dxa"/>
            <w:tcBorders>
              <w:top w:val="single" w:sz="8" w:space="0" w:color="auto"/>
              <w:left w:val="nil"/>
              <w:bottom w:val="single" w:sz="8" w:space="0" w:color="auto"/>
              <w:right w:val="nil"/>
            </w:tcBorders>
            <w:shd w:val="clear" w:color="auto" w:fill="auto"/>
            <w:noWrap/>
            <w:hideMark/>
          </w:tcPr>
          <w:p w14:paraId="31EF8456" w14:textId="15236111" w:rsidR="00E7045B" w:rsidRPr="007831BB" w:rsidRDefault="00E7045B" w:rsidP="00440196">
            <w:pPr>
              <w:widowControl w:val="0"/>
              <w:tabs>
                <w:tab w:val="left" w:pos="6480"/>
                <w:tab w:val="left" w:pos="7200"/>
              </w:tabs>
              <w:spacing w:before="40" w:after="40"/>
              <w:jc w:val="right"/>
              <w:rPr>
                <w:b/>
                <w:sz w:val="18"/>
                <w:szCs w:val="18"/>
                <w:lang w:eastAsia="zh-CN"/>
              </w:rPr>
            </w:pPr>
            <w:r w:rsidRPr="007831BB">
              <w:rPr>
                <w:rFonts w:eastAsiaTheme="minorEastAsia"/>
                <w:b/>
                <w:sz w:val="18"/>
                <w:szCs w:val="18"/>
                <w:lang w:eastAsia="zh-CN"/>
              </w:rPr>
              <w:t>5</w:t>
            </w:r>
            <w:r w:rsidRPr="00440196">
              <w:rPr>
                <w:b/>
                <w:sz w:val="18"/>
                <w:szCs w:val="18"/>
                <w:lang w:eastAsia="zh-CN"/>
              </w:rPr>
              <w:t xml:space="preserve"> </w:t>
            </w:r>
            <w:r w:rsidRPr="007831BB">
              <w:rPr>
                <w:rFonts w:eastAsiaTheme="minorEastAsia"/>
                <w:b/>
                <w:sz w:val="18"/>
                <w:szCs w:val="18"/>
                <w:lang w:eastAsia="zh-CN"/>
              </w:rPr>
              <w:t>486</w:t>
            </w:r>
            <w:r w:rsidRPr="00440196">
              <w:rPr>
                <w:b/>
                <w:sz w:val="18"/>
                <w:szCs w:val="18"/>
                <w:lang w:eastAsia="zh-CN"/>
              </w:rPr>
              <w:t xml:space="preserve"> </w:t>
            </w:r>
            <w:r w:rsidRPr="007831BB">
              <w:rPr>
                <w:rFonts w:eastAsiaTheme="minorEastAsia"/>
                <w:b/>
                <w:sz w:val="18"/>
                <w:szCs w:val="18"/>
                <w:lang w:eastAsia="zh-CN"/>
              </w:rPr>
              <w:t>200</w:t>
            </w:r>
            <w:r w:rsidRPr="00440196">
              <w:rPr>
                <w:b/>
                <w:sz w:val="18"/>
                <w:szCs w:val="18"/>
                <w:lang w:eastAsia="zh-CN"/>
              </w:rPr>
              <w:t xml:space="preserve"> </w:t>
            </w:r>
          </w:p>
        </w:tc>
      </w:tr>
      <w:tr w:rsidR="00E7045B" w:rsidRPr="00440196" w14:paraId="3B6C8CAD" w14:textId="77777777" w:rsidTr="00440196">
        <w:trPr>
          <w:trHeight w:val="327"/>
        </w:trPr>
        <w:tc>
          <w:tcPr>
            <w:tcW w:w="6436" w:type="dxa"/>
            <w:tcBorders>
              <w:top w:val="nil"/>
              <w:left w:val="nil"/>
              <w:bottom w:val="single" w:sz="8" w:space="0" w:color="auto"/>
              <w:right w:val="nil"/>
            </w:tcBorders>
            <w:shd w:val="clear" w:color="auto" w:fill="auto"/>
            <w:noWrap/>
            <w:hideMark/>
          </w:tcPr>
          <w:p w14:paraId="4AD2061C"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Programme support costs (8 per cent)</w:t>
            </w:r>
          </w:p>
        </w:tc>
        <w:tc>
          <w:tcPr>
            <w:tcW w:w="1641" w:type="dxa"/>
            <w:tcBorders>
              <w:top w:val="nil"/>
              <w:left w:val="nil"/>
              <w:bottom w:val="single" w:sz="8" w:space="0" w:color="auto"/>
              <w:right w:val="nil"/>
            </w:tcBorders>
            <w:shd w:val="clear" w:color="auto" w:fill="auto"/>
            <w:noWrap/>
            <w:hideMark/>
          </w:tcPr>
          <w:p w14:paraId="76414CE4" w14:textId="77777777" w:rsidR="00E7045B" w:rsidRPr="007831BB" w:rsidRDefault="00E7045B" w:rsidP="00440196">
            <w:pPr>
              <w:widowControl w:val="0"/>
              <w:tabs>
                <w:tab w:val="left" w:pos="6480"/>
                <w:tab w:val="left" w:pos="7200"/>
              </w:tabs>
              <w:spacing w:before="40" w:after="40"/>
              <w:jc w:val="right"/>
              <w:rPr>
                <w:sz w:val="18"/>
                <w:szCs w:val="18"/>
                <w:lang w:eastAsia="zh-CN"/>
              </w:rPr>
            </w:pPr>
            <w:r w:rsidRPr="00440196">
              <w:rPr>
                <w:sz w:val="18"/>
                <w:szCs w:val="18"/>
                <w:lang w:eastAsia="zh-CN"/>
              </w:rPr>
              <w:t xml:space="preserve">646 872 </w:t>
            </w:r>
          </w:p>
        </w:tc>
        <w:tc>
          <w:tcPr>
            <w:tcW w:w="1656" w:type="dxa"/>
            <w:tcBorders>
              <w:top w:val="nil"/>
              <w:left w:val="nil"/>
              <w:bottom w:val="single" w:sz="8" w:space="0" w:color="auto"/>
              <w:right w:val="nil"/>
            </w:tcBorders>
            <w:shd w:val="clear" w:color="auto" w:fill="auto"/>
            <w:noWrap/>
            <w:hideMark/>
          </w:tcPr>
          <w:p w14:paraId="422FB62C" w14:textId="70C1BDAE" w:rsidR="00E7045B" w:rsidRPr="007831BB" w:rsidRDefault="00E7045B" w:rsidP="00440196">
            <w:pPr>
              <w:widowControl w:val="0"/>
              <w:tabs>
                <w:tab w:val="left" w:pos="6480"/>
                <w:tab w:val="left" w:pos="7200"/>
              </w:tabs>
              <w:spacing w:before="40" w:after="40"/>
              <w:jc w:val="right"/>
              <w:rPr>
                <w:sz w:val="18"/>
                <w:szCs w:val="18"/>
                <w:lang w:eastAsia="zh-CN"/>
              </w:rPr>
            </w:pPr>
            <w:r w:rsidRPr="007831BB">
              <w:rPr>
                <w:rFonts w:eastAsiaTheme="minorEastAsia"/>
                <w:sz w:val="18"/>
                <w:szCs w:val="18"/>
                <w:lang w:eastAsia="zh-CN"/>
              </w:rPr>
              <w:t>438</w:t>
            </w:r>
            <w:r w:rsidRPr="00440196">
              <w:rPr>
                <w:sz w:val="18"/>
                <w:szCs w:val="18"/>
                <w:lang w:eastAsia="zh-CN"/>
              </w:rPr>
              <w:t xml:space="preserve"> </w:t>
            </w:r>
            <w:r w:rsidRPr="007831BB">
              <w:rPr>
                <w:rFonts w:eastAsiaTheme="minorEastAsia"/>
                <w:sz w:val="18"/>
                <w:szCs w:val="18"/>
                <w:lang w:eastAsia="zh-CN"/>
              </w:rPr>
              <w:t>896</w:t>
            </w:r>
            <w:r w:rsidRPr="00440196">
              <w:rPr>
                <w:sz w:val="18"/>
                <w:szCs w:val="18"/>
                <w:lang w:eastAsia="zh-CN"/>
              </w:rPr>
              <w:t xml:space="preserve"> </w:t>
            </w:r>
          </w:p>
        </w:tc>
      </w:tr>
      <w:tr w:rsidR="00E7045B" w:rsidRPr="00440196" w14:paraId="67504976" w14:textId="77777777" w:rsidTr="00440196">
        <w:trPr>
          <w:trHeight w:val="327"/>
        </w:trPr>
        <w:tc>
          <w:tcPr>
            <w:tcW w:w="6436" w:type="dxa"/>
            <w:tcBorders>
              <w:top w:val="nil"/>
              <w:left w:val="nil"/>
              <w:bottom w:val="single" w:sz="8" w:space="0" w:color="auto"/>
              <w:right w:val="nil"/>
            </w:tcBorders>
            <w:shd w:val="clear" w:color="auto" w:fill="auto"/>
            <w:noWrap/>
            <w:hideMark/>
          </w:tcPr>
          <w:p w14:paraId="4E5DA8C1"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Total cost to the trust fund</w:t>
            </w:r>
          </w:p>
        </w:tc>
        <w:tc>
          <w:tcPr>
            <w:tcW w:w="1641" w:type="dxa"/>
            <w:tcBorders>
              <w:top w:val="nil"/>
              <w:left w:val="nil"/>
              <w:bottom w:val="single" w:sz="8" w:space="0" w:color="auto"/>
              <w:right w:val="nil"/>
            </w:tcBorders>
            <w:shd w:val="clear" w:color="auto" w:fill="auto"/>
            <w:noWrap/>
            <w:hideMark/>
          </w:tcPr>
          <w:p w14:paraId="7A1FE121"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8 732 772 </w:t>
            </w:r>
          </w:p>
        </w:tc>
        <w:tc>
          <w:tcPr>
            <w:tcW w:w="1656" w:type="dxa"/>
            <w:tcBorders>
              <w:top w:val="nil"/>
              <w:left w:val="nil"/>
              <w:bottom w:val="single" w:sz="8" w:space="0" w:color="auto"/>
              <w:right w:val="nil"/>
            </w:tcBorders>
            <w:shd w:val="clear" w:color="auto" w:fill="auto"/>
            <w:noWrap/>
            <w:hideMark/>
          </w:tcPr>
          <w:p w14:paraId="340CBA35" w14:textId="690530BA" w:rsidR="00E7045B" w:rsidRPr="007831BB" w:rsidRDefault="00E7045B" w:rsidP="00440196">
            <w:pPr>
              <w:widowControl w:val="0"/>
              <w:tabs>
                <w:tab w:val="left" w:pos="6480"/>
                <w:tab w:val="left" w:pos="7200"/>
              </w:tabs>
              <w:spacing w:before="40" w:after="40"/>
              <w:jc w:val="right"/>
              <w:rPr>
                <w:b/>
                <w:sz w:val="18"/>
                <w:szCs w:val="18"/>
                <w:lang w:eastAsia="zh-CN"/>
              </w:rPr>
            </w:pPr>
            <w:r w:rsidRPr="007831BB">
              <w:rPr>
                <w:rFonts w:eastAsiaTheme="minorEastAsia"/>
                <w:b/>
                <w:sz w:val="18"/>
                <w:szCs w:val="18"/>
                <w:lang w:eastAsia="zh-CN"/>
              </w:rPr>
              <w:t>5</w:t>
            </w:r>
            <w:r w:rsidRPr="00440196">
              <w:rPr>
                <w:b/>
                <w:sz w:val="18"/>
                <w:szCs w:val="18"/>
                <w:lang w:eastAsia="zh-CN"/>
              </w:rPr>
              <w:t xml:space="preserve"> </w:t>
            </w:r>
            <w:r w:rsidRPr="007831BB">
              <w:rPr>
                <w:rFonts w:eastAsiaTheme="minorEastAsia"/>
                <w:b/>
                <w:sz w:val="18"/>
                <w:szCs w:val="18"/>
                <w:lang w:eastAsia="zh-CN"/>
              </w:rPr>
              <w:t>925</w:t>
            </w:r>
            <w:r w:rsidRPr="00440196">
              <w:rPr>
                <w:b/>
                <w:sz w:val="18"/>
                <w:szCs w:val="18"/>
                <w:lang w:eastAsia="zh-CN"/>
              </w:rPr>
              <w:t xml:space="preserve"> </w:t>
            </w:r>
            <w:r w:rsidRPr="007831BB">
              <w:rPr>
                <w:rFonts w:eastAsiaTheme="minorEastAsia"/>
                <w:b/>
                <w:sz w:val="18"/>
                <w:szCs w:val="18"/>
                <w:lang w:eastAsia="zh-CN"/>
              </w:rPr>
              <w:t>096</w:t>
            </w:r>
            <w:r w:rsidRPr="00440196">
              <w:rPr>
                <w:b/>
                <w:sz w:val="18"/>
                <w:szCs w:val="18"/>
                <w:lang w:eastAsia="zh-CN"/>
              </w:rPr>
              <w:t xml:space="preserve"> </w:t>
            </w:r>
          </w:p>
        </w:tc>
      </w:tr>
      <w:tr w:rsidR="00E7045B" w:rsidRPr="00440196" w14:paraId="74C88C9D" w14:textId="77777777" w:rsidTr="00440196">
        <w:trPr>
          <w:trHeight w:val="327"/>
        </w:trPr>
        <w:tc>
          <w:tcPr>
            <w:tcW w:w="6436" w:type="dxa"/>
            <w:tcBorders>
              <w:top w:val="nil"/>
              <w:left w:val="nil"/>
              <w:bottom w:val="single" w:sz="8" w:space="0" w:color="auto"/>
              <w:right w:val="nil"/>
            </w:tcBorders>
            <w:shd w:val="clear" w:color="000000" w:fill="FFFFFF"/>
            <w:noWrap/>
            <w:hideMark/>
          </w:tcPr>
          <w:p w14:paraId="0E1F1547" w14:textId="77777777" w:rsidR="00E7045B" w:rsidRPr="007831BB" w:rsidRDefault="00E7045B" w:rsidP="00440196">
            <w:pPr>
              <w:widowControl w:val="0"/>
              <w:tabs>
                <w:tab w:val="left" w:pos="6480"/>
                <w:tab w:val="left" w:pos="7200"/>
              </w:tabs>
              <w:spacing w:before="40" w:after="40"/>
              <w:rPr>
                <w:sz w:val="18"/>
                <w:szCs w:val="18"/>
                <w:lang w:eastAsia="zh-CN"/>
              </w:rPr>
            </w:pPr>
            <w:r w:rsidRPr="00440196">
              <w:rPr>
                <w:sz w:val="18"/>
                <w:szCs w:val="18"/>
                <w:lang w:eastAsia="zh-CN"/>
              </w:rPr>
              <w:t>Contribution to working capital reserve (10 per cent)</w:t>
            </w:r>
          </w:p>
        </w:tc>
        <w:tc>
          <w:tcPr>
            <w:tcW w:w="1641" w:type="dxa"/>
            <w:tcBorders>
              <w:top w:val="nil"/>
              <w:left w:val="nil"/>
              <w:bottom w:val="single" w:sz="8" w:space="0" w:color="auto"/>
              <w:right w:val="nil"/>
            </w:tcBorders>
            <w:shd w:val="clear" w:color="auto" w:fill="auto"/>
            <w:noWrap/>
            <w:hideMark/>
          </w:tcPr>
          <w:p w14:paraId="597FFD5D" w14:textId="77777777" w:rsidR="00E7045B" w:rsidRPr="00440196" w:rsidRDefault="00E7045B" w:rsidP="00440196">
            <w:pPr>
              <w:spacing w:before="40" w:after="40"/>
              <w:jc w:val="right"/>
              <w:rPr>
                <w:sz w:val="18"/>
                <w:szCs w:val="18"/>
                <w:lang w:eastAsia="zh-CN"/>
              </w:rPr>
            </w:pPr>
          </w:p>
        </w:tc>
        <w:tc>
          <w:tcPr>
            <w:tcW w:w="1656" w:type="dxa"/>
            <w:tcBorders>
              <w:top w:val="nil"/>
              <w:left w:val="nil"/>
              <w:bottom w:val="single" w:sz="8" w:space="0" w:color="auto"/>
              <w:right w:val="nil"/>
            </w:tcBorders>
            <w:shd w:val="clear" w:color="auto" w:fill="auto"/>
            <w:noWrap/>
            <w:hideMark/>
          </w:tcPr>
          <w:p w14:paraId="1E27B7F2" w14:textId="072B4CDB" w:rsidR="00E7045B" w:rsidRPr="001B4189" w:rsidRDefault="00E7045B" w:rsidP="00440196">
            <w:pPr>
              <w:spacing w:before="40" w:after="40"/>
              <w:jc w:val="right"/>
              <w:rPr>
                <w:sz w:val="18"/>
                <w:szCs w:val="18"/>
                <w:lang w:eastAsia="zh-CN"/>
              </w:rPr>
            </w:pPr>
            <w:r w:rsidRPr="007831BB">
              <w:rPr>
                <w:rFonts w:eastAsiaTheme="minorEastAsia"/>
                <w:sz w:val="18"/>
                <w:szCs w:val="18"/>
                <w:lang w:eastAsia="zh-CN"/>
              </w:rPr>
              <w:t>(925</w:t>
            </w:r>
            <w:r w:rsidRPr="00440196">
              <w:rPr>
                <w:sz w:val="18"/>
                <w:szCs w:val="18"/>
                <w:lang w:eastAsia="zh-CN"/>
              </w:rPr>
              <w:t xml:space="preserve"> </w:t>
            </w:r>
            <w:r w:rsidRPr="007831BB">
              <w:rPr>
                <w:rFonts w:eastAsiaTheme="minorEastAsia"/>
                <w:sz w:val="18"/>
                <w:szCs w:val="18"/>
                <w:lang w:eastAsia="zh-CN"/>
              </w:rPr>
              <w:t>096)</w:t>
            </w:r>
          </w:p>
        </w:tc>
      </w:tr>
      <w:tr w:rsidR="00E7045B" w:rsidRPr="00440196" w14:paraId="0C66617E" w14:textId="77777777" w:rsidTr="00440196">
        <w:trPr>
          <w:trHeight w:val="327"/>
        </w:trPr>
        <w:tc>
          <w:tcPr>
            <w:tcW w:w="6436" w:type="dxa"/>
            <w:tcBorders>
              <w:top w:val="single" w:sz="8" w:space="0" w:color="auto"/>
              <w:left w:val="nil"/>
              <w:bottom w:val="single" w:sz="12" w:space="0" w:color="auto"/>
              <w:right w:val="nil"/>
            </w:tcBorders>
            <w:shd w:val="clear" w:color="000000" w:fill="FFFFFF"/>
            <w:noWrap/>
            <w:hideMark/>
          </w:tcPr>
          <w:p w14:paraId="4CC74ABC" w14:textId="77777777" w:rsidR="00E7045B" w:rsidRPr="007831BB" w:rsidRDefault="00E7045B" w:rsidP="00440196">
            <w:pPr>
              <w:widowControl w:val="0"/>
              <w:tabs>
                <w:tab w:val="left" w:pos="6480"/>
                <w:tab w:val="left" w:pos="7200"/>
              </w:tabs>
              <w:spacing w:before="40" w:after="40"/>
              <w:rPr>
                <w:b/>
                <w:sz w:val="18"/>
                <w:szCs w:val="18"/>
                <w:lang w:eastAsia="zh-CN"/>
              </w:rPr>
            </w:pPr>
            <w:r w:rsidRPr="00440196">
              <w:rPr>
                <w:b/>
                <w:sz w:val="18"/>
                <w:szCs w:val="18"/>
                <w:lang w:eastAsia="zh-CN"/>
              </w:rPr>
              <w:t>Total cash requirement</w:t>
            </w:r>
          </w:p>
        </w:tc>
        <w:tc>
          <w:tcPr>
            <w:tcW w:w="1641" w:type="dxa"/>
            <w:tcBorders>
              <w:top w:val="single" w:sz="8" w:space="0" w:color="auto"/>
              <w:left w:val="nil"/>
              <w:bottom w:val="single" w:sz="12" w:space="0" w:color="auto"/>
              <w:right w:val="nil"/>
            </w:tcBorders>
            <w:shd w:val="clear" w:color="auto" w:fill="auto"/>
            <w:noWrap/>
            <w:hideMark/>
          </w:tcPr>
          <w:p w14:paraId="148AF720" w14:textId="77777777" w:rsidR="00E7045B" w:rsidRPr="007831BB" w:rsidRDefault="00E7045B" w:rsidP="00440196">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8 732 772 </w:t>
            </w:r>
          </w:p>
        </w:tc>
        <w:tc>
          <w:tcPr>
            <w:tcW w:w="1656" w:type="dxa"/>
            <w:tcBorders>
              <w:top w:val="single" w:sz="8" w:space="0" w:color="auto"/>
              <w:left w:val="nil"/>
              <w:bottom w:val="single" w:sz="12" w:space="0" w:color="auto"/>
              <w:right w:val="nil"/>
            </w:tcBorders>
            <w:shd w:val="clear" w:color="auto" w:fill="auto"/>
            <w:noWrap/>
            <w:hideMark/>
          </w:tcPr>
          <w:p w14:paraId="32373E86" w14:textId="510849F4" w:rsidR="00E7045B" w:rsidRPr="007831BB" w:rsidRDefault="00E7045B" w:rsidP="00440196">
            <w:pPr>
              <w:widowControl w:val="0"/>
              <w:tabs>
                <w:tab w:val="left" w:pos="6480"/>
                <w:tab w:val="left" w:pos="7200"/>
              </w:tabs>
              <w:spacing w:before="40" w:after="40"/>
              <w:jc w:val="right"/>
              <w:rPr>
                <w:b/>
                <w:sz w:val="18"/>
                <w:szCs w:val="18"/>
                <w:lang w:eastAsia="zh-CN"/>
              </w:rPr>
            </w:pPr>
            <w:r w:rsidRPr="007831BB">
              <w:rPr>
                <w:rFonts w:eastAsiaTheme="minorEastAsia"/>
                <w:b/>
                <w:sz w:val="18"/>
                <w:szCs w:val="18"/>
                <w:lang w:eastAsia="zh-CN"/>
              </w:rPr>
              <w:t>5</w:t>
            </w:r>
            <w:r w:rsidRPr="00440196">
              <w:rPr>
                <w:b/>
                <w:sz w:val="18"/>
                <w:szCs w:val="18"/>
                <w:lang w:eastAsia="zh-CN"/>
              </w:rPr>
              <w:t xml:space="preserve"> </w:t>
            </w:r>
            <w:r w:rsidRPr="007831BB">
              <w:rPr>
                <w:rFonts w:eastAsiaTheme="minorEastAsia"/>
                <w:b/>
                <w:sz w:val="18"/>
                <w:szCs w:val="18"/>
                <w:lang w:eastAsia="zh-CN"/>
              </w:rPr>
              <w:t>000</w:t>
            </w:r>
            <w:r w:rsidRPr="00440196">
              <w:rPr>
                <w:b/>
                <w:sz w:val="18"/>
                <w:szCs w:val="18"/>
                <w:lang w:eastAsia="zh-CN"/>
              </w:rPr>
              <w:t xml:space="preserve"> </w:t>
            </w:r>
            <w:r w:rsidRPr="007831BB">
              <w:rPr>
                <w:rFonts w:eastAsiaTheme="minorEastAsia"/>
                <w:b/>
                <w:sz w:val="18"/>
                <w:szCs w:val="18"/>
                <w:lang w:eastAsia="zh-CN"/>
              </w:rPr>
              <w:t>000</w:t>
            </w:r>
            <w:r w:rsidRPr="00440196">
              <w:rPr>
                <w:b/>
                <w:sz w:val="18"/>
                <w:szCs w:val="18"/>
                <w:lang w:eastAsia="zh-CN"/>
              </w:rPr>
              <w:t xml:space="preserve"> </w:t>
            </w:r>
          </w:p>
        </w:tc>
      </w:tr>
    </w:tbl>
    <w:p w14:paraId="54AA2A12" w14:textId="77777777" w:rsidR="00E7045B" w:rsidRPr="00440196" w:rsidRDefault="00E7045B" w:rsidP="00C30B45">
      <w:pPr>
        <w:pStyle w:val="Normal-pool"/>
        <w:rPr>
          <w:rFonts w:eastAsiaTheme="minorEastAsia"/>
          <w:w w:val="103"/>
        </w:rPr>
      </w:pPr>
      <w:r w:rsidRPr="00440196">
        <w:rPr>
          <w:w w:val="103"/>
        </w:rPr>
        <w:br w:type="page"/>
      </w:r>
    </w:p>
    <w:p w14:paraId="1F1CD6B3" w14:textId="59DA53A2" w:rsidR="00E7045B" w:rsidRPr="007831BB" w:rsidRDefault="00E7045B" w:rsidP="00E7045B">
      <w:pPr>
        <w:pStyle w:val="CH1"/>
        <w:rPr>
          <w:lang w:val="en-GB"/>
        </w:rPr>
      </w:pPr>
      <w:r w:rsidRPr="007831BB">
        <w:rPr>
          <w:w w:val="103"/>
          <w:lang w:val="en-GB"/>
        </w:rPr>
        <w:tab/>
      </w:r>
      <w:r w:rsidRPr="007831BB">
        <w:rPr>
          <w:w w:val="103"/>
          <w:lang w:val="en-GB"/>
        </w:rPr>
        <w:tab/>
        <w:t>Annex II to decision IPBES-5/6</w:t>
      </w:r>
    </w:p>
    <w:p w14:paraId="3065428E" w14:textId="77777777" w:rsidR="00E7045B" w:rsidRPr="007831BB" w:rsidRDefault="00E7045B" w:rsidP="00E7045B">
      <w:pPr>
        <w:pStyle w:val="CH1"/>
        <w:rPr>
          <w:lang w:val="en-GB"/>
        </w:rPr>
      </w:pPr>
      <w:r w:rsidRPr="007831BB">
        <w:rPr>
          <w:lang w:val="en-GB"/>
        </w:rPr>
        <w:tab/>
      </w:r>
      <w:r w:rsidRPr="007831BB">
        <w:rPr>
          <w:lang w:val="en-GB"/>
        </w:rPr>
        <w:tab/>
        <w:t>Draft fundraising strategy</w:t>
      </w:r>
    </w:p>
    <w:p w14:paraId="37B71DE6" w14:textId="77777777" w:rsidR="00E7045B" w:rsidRPr="007831BB" w:rsidRDefault="00E7045B" w:rsidP="00E7045B">
      <w:pPr>
        <w:pStyle w:val="CH1"/>
        <w:rPr>
          <w:lang w:val="en-GB"/>
        </w:rPr>
      </w:pPr>
      <w:r w:rsidRPr="007831BB">
        <w:rPr>
          <w:lang w:val="en-GB"/>
        </w:rPr>
        <w:tab/>
        <w:t>I.</w:t>
      </w:r>
      <w:r w:rsidRPr="007831BB">
        <w:rPr>
          <w:lang w:val="en-GB"/>
        </w:rPr>
        <w:tab/>
        <w:t>Fundraising under IPBES: three types of resources</w:t>
      </w:r>
    </w:p>
    <w:p w14:paraId="0702D201" w14:textId="77777777" w:rsidR="00E7045B" w:rsidRPr="00964A01"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IPBES relies on three types of resources to successfully and effectively implement its mandate and reach its objective of strengthening the science-policy interface for biodiversity and ecosystem services: cash contributions to the trust fund; in-kind contributions to support the implementation of the work </w:t>
      </w:r>
      <w:proofErr w:type="spellStart"/>
      <w:r w:rsidRPr="00964A01">
        <w:rPr>
          <w:lang w:val="en-US"/>
        </w:rPr>
        <w:t>programme</w:t>
      </w:r>
      <w:proofErr w:type="spellEnd"/>
      <w:r w:rsidRPr="00964A01">
        <w:rPr>
          <w:lang w:val="en-US"/>
        </w:rPr>
        <w:t xml:space="preserve">; and the leveraging of activities of partners in support of IPBES. </w:t>
      </w:r>
    </w:p>
    <w:p w14:paraId="123F34DA" w14:textId="386ED6C6" w:rsidR="00E7045B" w:rsidRPr="00964A01"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Cash contributions to the trust fund support the basic operation</w:t>
      </w:r>
      <w:r w:rsidR="009F2FA4">
        <w:rPr>
          <w:lang w:val="en-US"/>
        </w:rPr>
        <w:t>s</w:t>
      </w:r>
      <w:r w:rsidRPr="00964A01">
        <w:rPr>
          <w:lang w:val="en-US"/>
        </w:rPr>
        <w:t xml:space="preserve"> of IPBES, including the sessions of the Plenary, the Bureau and the Multidisciplinary Expert Panel, the operation of the secretariat and the implementation of the work </w:t>
      </w:r>
      <w:proofErr w:type="spellStart"/>
      <w:r w:rsidRPr="00964A01">
        <w:rPr>
          <w:lang w:val="en-US"/>
        </w:rPr>
        <w:t>programme</w:t>
      </w:r>
      <w:proofErr w:type="spellEnd"/>
      <w:r w:rsidRPr="00964A01">
        <w:rPr>
          <w:lang w:val="en-US"/>
        </w:rPr>
        <w:t>. According to rule 5 of the IPBES financial procedures, adopted by the Plenary in decisions IPBES</w:t>
      </w:r>
      <w:r w:rsidRPr="00964A01">
        <w:rPr>
          <w:lang w:val="en-US"/>
        </w:rPr>
        <w:noBreakHyphen/>
        <w:t xml:space="preserve">2/7 and IPBES-3/2, cash contributions to the trust fund are to be made as non-earmarked contributions. As an exception, single contributions in excess of $300,000 per contributor per activity are allowed with the approval of the Plenary. Single contributions not exceeding $300,000 per contributor per activity may be accepted with the approval of the Bureau. To date, cash contributions to the trust fund have been received exclusively from Governments. Some donor Governments are contributing to the trust fund on a regular basis, while other contributions have been irregular, and the range of contributions has varied. </w:t>
      </w:r>
    </w:p>
    <w:p w14:paraId="1DDB436C" w14:textId="0F323FCD" w:rsidR="00E7045B" w:rsidRPr="00964A01"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In-kind contributions are defined as direct support, not received by the trust fund, for activities either scheduled as part of the work </w:t>
      </w:r>
      <w:proofErr w:type="spellStart"/>
      <w:r w:rsidRPr="00964A01">
        <w:rPr>
          <w:lang w:val="en-US"/>
        </w:rPr>
        <w:t>programme</w:t>
      </w:r>
      <w:proofErr w:type="spellEnd"/>
      <w:r w:rsidRPr="00964A01">
        <w:rPr>
          <w:lang w:val="en-US"/>
        </w:rPr>
        <w:t xml:space="preserve">, </w:t>
      </w:r>
      <w:r w:rsidR="00D866A8">
        <w:rPr>
          <w:lang w:val="en-US"/>
        </w:rPr>
        <w:t>which</w:t>
      </w:r>
      <w:r w:rsidR="00D866A8" w:rsidRPr="00964A01">
        <w:rPr>
          <w:lang w:val="en-US"/>
        </w:rPr>
        <w:t xml:space="preserve"> </w:t>
      </w:r>
      <w:r w:rsidRPr="00964A01">
        <w:rPr>
          <w:lang w:val="en-US"/>
        </w:rPr>
        <w:t xml:space="preserve">otherwise would have to be covered by the trust fund, or organized in support of the work </w:t>
      </w:r>
      <w:proofErr w:type="spellStart"/>
      <w:r w:rsidRPr="00964A01">
        <w:rPr>
          <w:lang w:val="en-US"/>
        </w:rPr>
        <w:t>programme</w:t>
      </w:r>
      <w:proofErr w:type="spellEnd"/>
      <w:r w:rsidRPr="00964A01">
        <w:rPr>
          <w:lang w:val="en-US"/>
        </w:rPr>
        <w:t>. Providers of in-kind contributions range from individuals to institutions and Governments, and their contributions cover a wide range of activities, including:</w:t>
      </w:r>
    </w:p>
    <w:p w14:paraId="7FB650DC" w14:textId="77777777" w:rsidR="00E7045B" w:rsidRPr="007831BB" w:rsidRDefault="00E7045B" w:rsidP="00E7045B">
      <w:pPr>
        <w:pStyle w:val="Normalnumber"/>
        <w:numPr>
          <w:ilvl w:val="0"/>
          <w:numId w:val="334"/>
        </w:numPr>
        <w:tabs>
          <w:tab w:val="clear" w:pos="1134"/>
          <w:tab w:val="clear" w:pos="1247"/>
          <w:tab w:val="clear" w:pos="1814"/>
          <w:tab w:val="clear" w:pos="2381"/>
          <w:tab w:val="clear" w:pos="2948"/>
          <w:tab w:val="clear" w:pos="3515"/>
          <w:tab w:val="clear" w:pos="4082"/>
          <w:tab w:val="left" w:pos="624"/>
        </w:tabs>
        <w:ind w:firstLine="624"/>
        <w:rPr>
          <w:lang w:val="en-GB"/>
        </w:rPr>
      </w:pPr>
      <w:r w:rsidRPr="007831BB">
        <w:rPr>
          <w:lang w:val="en-GB"/>
        </w:rPr>
        <w:t>Provision of time and expertise at no cost to IPBES by the experts that are members of assessment and other expert groups – an in-kind contribution without which the implementation of the work programme of IPBES would not be viable within the current financial limits;</w:t>
      </w:r>
    </w:p>
    <w:p w14:paraId="104904D5" w14:textId="77777777" w:rsidR="00E7045B" w:rsidRPr="007831BB"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Costs of participation in IPBES meetings by experts from developed countries that are not eligible for financial support;</w:t>
      </w:r>
    </w:p>
    <w:p w14:paraId="5C4B0B10" w14:textId="77777777" w:rsidR="00E7045B" w:rsidRPr="007831BB"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Provision of technical support for specific deliverables by institutions hosting technical support units;</w:t>
      </w:r>
    </w:p>
    <w:p w14:paraId="45F43AAE" w14:textId="77777777" w:rsidR="00E7045B" w:rsidRPr="007831BB"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Provision of meeting facilities and logistical support for specific meetings;</w:t>
      </w:r>
    </w:p>
    <w:p w14:paraId="457C0532" w14:textId="77777777" w:rsidR="00E7045B" w:rsidRPr="007831BB"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Provision of data such as data relevant to indicators, access to knowledge otherwise available only for a fee, or free access to </w:t>
      </w:r>
      <w:proofErr w:type="spellStart"/>
      <w:r w:rsidRPr="007831BB">
        <w:rPr>
          <w:lang w:val="en-GB"/>
        </w:rPr>
        <w:t>built</w:t>
      </w:r>
      <w:proofErr w:type="spellEnd"/>
      <w:r w:rsidRPr="007831BB">
        <w:rPr>
          <w:lang w:val="en-GB"/>
        </w:rPr>
        <w:t xml:space="preserve"> digital infrastructure. </w:t>
      </w:r>
    </w:p>
    <w:p w14:paraId="41E01CCA" w14:textId="77777777" w:rsidR="00E7045B" w:rsidRPr="00964A01"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The leveraging of activities of partners in support of IPBES does not directly contribute to the implementation of the IPBES work </w:t>
      </w:r>
      <w:proofErr w:type="spellStart"/>
      <w:r w:rsidRPr="00964A01">
        <w:rPr>
          <w:lang w:val="en-US"/>
        </w:rPr>
        <w:t>programme</w:t>
      </w:r>
      <w:proofErr w:type="spellEnd"/>
      <w:r w:rsidRPr="00964A01">
        <w:rPr>
          <w:lang w:val="en-US"/>
        </w:rPr>
        <w:t xml:space="preserve">, but it does indirectly play an important role in ensuring the overall success of IPBES. Such leveraging includes building the foundations on which IPBES can draw in its operations and that enable the successful uptake and practical application of IPBES deliverables. In this vein, partners contribute to the work of IPBES by, for example, promoting and </w:t>
      </w:r>
      <w:proofErr w:type="spellStart"/>
      <w:r w:rsidRPr="00964A01">
        <w:rPr>
          <w:lang w:val="en-US"/>
        </w:rPr>
        <w:t>catalysing</w:t>
      </w:r>
      <w:proofErr w:type="spellEnd"/>
      <w:r w:rsidRPr="00964A01">
        <w:rPr>
          <w:lang w:val="en-US"/>
        </w:rPr>
        <w:t xml:space="preserve"> activities aimed at responding to priority capacity</w:t>
      </w:r>
      <w:r w:rsidRPr="00964A01">
        <w:rPr>
          <w:lang w:val="en-US"/>
        </w:rPr>
        <w:noBreakHyphen/>
        <w:t xml:space="preserve">building needs, supporting the generation of knowledge in areas where IPBES has identified and prioritized gaps and enabling the engagement of indigenous and local communities within IPBES. </w:t>
      </w:r>
    </w:p>
    <w:p w14:paraId="4DBD521D" w14:textId="77777777" w:rsidR="00E7045B" w:rsidRPr="00964A01"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Fundraising for IPBES needs to address all three types of resources. As a well-resourced trust fund is most central to the functioning of IPBES, emphasis should be placed on the raising of cash contributions to the trust fund. At the same time, however, in-kind contributions and the leveraging of activities of partners are also crucial in ensuring the success of IPBES. </w:t>
      </w:r>
    </w:p>
    <w:p w14:paraId="73040F7A" w14:textId="77777777" w:rsidR="00E7045B" w:rsidRPr="007831BB" w:rsidRDefault="00E7045B" w:rsidP="00E7045B">
      <w:pPr>
        <w:pStyle w:val="CH1"/>
        <w:rPr>
          <w:lang w:val="en-GB"/>
        </w:rPr>
      </w:pPr>
      <w:r w:rsidRPr="007831BB">
        <w:rPr>
          <w:lang w:val="en-GB"/>
        </w:rPr>
        <w:tab/>
        <w:t>II.</w:t>
      </w:r>
      <w:r w:rsidRPr="007831BB">
        <w:rPr>
          <w:lang w:val="en-GB"/>
        </w:rPr>
        <w:tab/>
        <w:t>Activities to strengthen fundraising</w:t>
      </w:r>
    </w:p>
    <w:p w14:paraId="7DD2BF91" w14:textId="77777777" w:rsidR="00E7045B" w:rsidRPr="00964A01"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The following activities are suggested to strengthen fundraising for IPBES: </w:t>
      </w:r>
    </w:p>
    <w:p w14:paraId="190C0E72"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Increasing understanding of the current structure of IPBES donors and identifying potential donors or partners for each of the three types of resources, noting that, while engaging philanthropic foundations and the private sector should be one objective of IPBES fundraising activities, Governments are likely to remain the key group of donors to the trust fund;</w:t>
      </w:r>
    </w:p>
    <w:p w14:paraId="7E92ED1F"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 xml:space="preserve">Increasing understanding of incentives, motivation, disincentives and barriers in respect of donors providing funds, in-kind contributions and supporting activities; </w:t>
      </w:r>
    </w:p>
    <w:p w14:paraId="659FC9ED"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Enhancing efforts to increase the membership of IPBES;</w:t>
      </w:r>
    </w:p>
    <w:p w14:paraId="3E12791E"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Actively communicating the importance of the work of IPBES and its benefits to potential donors and partners;</w:t>
      </w:r>
    </w:p>
    <w:p w14:paraId="65BD3C94"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Increasing the awareness of potential donors and partners with regard to available avenues for supporting IPBES;</w:t>
      </w:r>
    </w:p>
    <w:p w14:paraId="27C9DAF3"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Creating opportunities for engagement with potential donors and partners, including in the margins of high-level events and through bilateral meetings;</w:t>
      </w:r>
    </w:p>
    <w:p w14:paraId="05E1664F"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Working with existing donors willing to champion fundraising efforts;</w:t>
      </w:r>
    </w:p>
    <w:p w14:paraId="331EA9DC" w14:textId="77777777" w:rsidR="00E7045B" w:rsidRPr="007831BB"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Widely acknowledging the contributions of donors and partners.</w:t>
      </w:r>
    </w:p>
    <w:p w14:paraId="3A672980" w14:textId="77777777" w:rsidR="00E7045B" w:rsidRPr="007831BB" w:rsidRDefault="00E7045B" w:rsidP="00E7045B">
      <w:pPr>
        <w:pStyle w:val="CH1"/>
        <w:rPr>
          <w:lang w:val="en-GB"/>
        </w:rPr>
      </w:pPr>
      <w:r w:rsidRPr="007831BB">
        <w:rPr>
          <w:lang w:val="en-GB"/>
        </w:rPr>
        <w:tab/>
        <w:t>III.</w:t>
      </w:r>
      <w:r w:rsidRPr="007831BB">
        <w:rPr>
          <w:lang w:val="en-GB"/>
        </w:rPr>
        <w:tab/>
        <w:t>Priority activities for 2017</w:t>
      </w:r>
    </w:p>
    <w:p w14:paraId="22AFDF68" w14:textId="15C65518" w:rsidR="00E7045B" w:rsidRPr="00964A01"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n-US"/>
        </w:rPr>
      </w:pPr>
      <w:r w:rsidRPr="00964A01">
        <w:rPr>
          <w:lang w:val="en-US"/>
        </w:rPr>
        <w:t xml:space="preserve">A resource mobilization officer, sponsored by the French Government, will coordinate the implementation of the fundraising strategy for the first work </w:t>
      </w:r>
      <w:proofErr w:type="spellStart"/>
      <w:r w:rsidRPr="00964A01">
        <w:rPr>
          <w:lang w:val="en-US"/>
        </w:rPr>
        <w:t>programme</w:t>
      </w:r>
      <w:proofErr w:type="spellEnd"/>
      <w:r w:rsidRPr="00964A01">
        <w:rPr>
          <w:lang w:val="en-US"/>
        </w:rPr>
        <w:t xml:space="preserve"> of IPBES starting in September 2017. It is suggested that the following activities be undertaken between the fifth and sixth sessions of the Plenary:</w:t>
      </w:r>
    </w:p>
    <w:p w14:paraId="501A4C55" w14:textId="77777777" w:rsidR="00E7045B" w:rsidRPr="007831BB"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Formal invitation to countries not members of IPBES to become members;</w:t>
      </w:r>
    </w:p>
    <w:p w14:paraId="1BEF3186" w14:textId="77777777" w:rsidR="00E7045B" w:rsidRPr="007831BB"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Production of communication materials to showcase the value of the work of IPBES to potential partners and donors, using tangible examples and narratives and outlining specific avenues for the provision of support, including contributions to the trust fund, the provision of earmarked funds to the extent that the financial rules permit, the more flexible option of in-kind contributions and the undertaking of supporting activities;</w:t>
      </w:r>
    </w:p>
    <w:p w14:paraId="424B9096" w14:textId="77777777" w:rsidR="00E7045B" w:rsidRPr="007831BB"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Identification of a number of donor champions and collaboration with them in the organization of fundraising meetings, including meetings in the margins of the high-level political forum on sustainable development that will be held from 10 to 19 July 2017 in New York</w:t>
      </w:r>
      <w:r w:rsidRPr="007831BB">
        <w:rPr>
          <w:b/>
          <w:lang w:val="en-GB"/>
        </w:rPr>
        <w:t xml:space="preserve">, </w:t>
      </w:r>
      <w:r w:rsidRPr="007831BB">
        <w:rPr>
          <w:lang w:val="en-GB"/>
        </w:rPr>
        <w:t>subject to the availability of resources;</w:t>
      </w:r>
    </w:p>
    <w:p w14:paraId="67F69917" w14:textId="72A4A7E5" w:rsidR="00E7045B" w:rsidRPr="007831BB"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Preparation of an analysis, including through consultations with members and other potential donors, of the current structure of IPBES contributions and the incentives, motivations, disincentives and barriers faced in providing funds, contributions and support and</w:t>
      </w:r>
      <w:r w:rsidR="006D38C8">
        <w:rPr>
          <w:lang w:val="en-GB"/>
        </w:rPr>
        <w:t xml:space="preserve"> the</w:t>
      </w:r>
      <w:r w:rsidRPr="007831BB">
        <w:rPr>
          <w:lang w:val="en-GB"/>
        </w:rPr>
        <w:t xml:space="preserve"> identification of strategies for enhancing incentives, overcoming obstacles and engaging additional potential donors and partners;</w:t>
      </w:r>
    </w:p>
    <w:p w14:paraId="7A5BF5F2" w14:textId="77777777" w:rsidR="00E7045B" w:rsidRPr="007831BB"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Engagement with targeted Governments, foundations, businesses and existing relevant fundraising events in line with the strategies identified;</w:t>
      </w:r>
    </w:p>
    <w:p w14:paraId="34F74903" w14:textId="77777777" w:rsidR="00E7045B" w:rsidRPr="007831BB"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n-GB"/>
        </w:rPr>
      </w:pPr>
      <w:r w:rsidRPr="007831BB">
        <w:rPr>
          <w:lang w:val="en-GB"/>
        </w:rPr>
        <w:t>Development and maintenance of a list of contributors to IPBES on the IPBES website.</w:t>
      </w:r>
    </w:p>
    <w:p w14:paraId="0DB8DAEC" w14:textId="77777777" w:rsidR="00E7045B" w:rsidRPr="007831BB" w:rsidRDefault="00E7045B" w:rsidP="00FB1807">
      <w:pPr>
        <w:pStyle w:val="Normal-pool"/>
        <w:rPr>
          <w:lang w:eastAsia="zh-CN"/>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E7045B" w:rsidRPr="00440196" w14:paraId="17D0FB06" w14:textId="77777777" w:rsidTr="00440196">
        <w:tc>
          <w:tcPr>
            <w:tcW w:w="1921" w:type="dxa"/>
          </w:tcPr>
          <w:p w14:paraId="07B3599E" w14:textId="77777777" w:rsidR="00E7045B" w:rsidRPr="00440196" w:rsidRDefault="00E7045B" w:rsidP="00FB1807">
            <w:pPr>
              <w:pStyle w:val="Normal-pool"/>
              <w:spacing w:before="520" w:after="0"/>
            </w:pPr>
          </w:p>
        </w:tc>
        <w:tc>
          <w:tcPr>
            <w:tcW w:w="1921" w:type="dxa"/>
          </w:tcPr>
          <w:p w14:paraId="0681B9A0" w14:textId="77777777" w:rsidR="00E7045B" w:rsidRPr="007831BB" w:rsidRDefault="00E7045B" w:rsidP="00FB1807">
            <w:pPr>
              <w:pStyle w:val="Normal-pool"/>
              <w:spacing w:before="520" w:after="0"/>
            </w:pPr>
          </w:p>
        </w:tc>
        <w:tc>
          <w:tcPr>
            <w:tcW w:w="1922" w:type="dxa"/>
            <w:tcBorders>
              <w:bottom w:val="single" w:sz="4" w:space="0" w:color="auto"/>
            </w:tcBorders>
          </w:tcPr>
          <w:p w14:paraId="39BADD95" w14:textId="77777777" w:rsidR="00E7045B" w:rsidRPr="007831BB" w:rsidRDefault="00E7045B" w:rsidP="00FB1807">
            <w:pPr>
              <w:pStyle w:val="Normal-pool"/>
              <w:spacing w:before="520" w:after="0"/>
            </w:pPr>
          </w:p>
        </w:tc>
        <w:tc>
          <w:tcPr>
            <w:tcW w:w="1923" w:type="dxa"/>
          </w:tcPr>
          <w:p w14:paraId="50D36848" w14:textId="77777777" w:rsidR="00E7045B" w:rsidRPr="007831BB" w:rsidRDefault="00E7045B" w:rsidP="00FB1807">
            <w:pPr>
              <w:pStyle w:val="Normal-pool"/>
              <w:spacing w:before="520" w:after="0"/>
            </w:pPr>
          </w:p>
        </w:tc>
        <w:tc>
          <w:tcPr>
            <w:tcW w:w="1923" w:type="dxa"/>
          </w:tcPr>
          <w:p w14:paraId="5954731D" w14:textId="77777777" w:rsidR="00E7045B" w:rsidRPr="007831BB" w:rsidRDefault="00E7045B" w:rsidP="00FB1807">
            <w:pPr>
              <w:pStyle w:val="Normal-pool"/>
              <w:spacing w:before="520" w:after="0"/>
            </w:pPr>
          </w:p>
        </w:tc>
      </w:tr>
    </w:tbl>
    <w:p w14:paraId="473AE6B4" w14:textId="77777777" w:rsidR="00E7045B" w:rsidRPr="00440196" w:rsidRDefault="00E7045B" w:rsidP="00FB1807">
      <w:pPr>
        <w:pStyle w:val="Normal-pool"/>
        <w:rPr>
          <w:lang w:eastAsia="zh-CN"/>
        </w:rPr>
      </w:pPr>
    </w:p>
    <w:sectPr w:rsidR="00E7045B" w:rsidRPr="00440196" w:rsidSect="00440196">
      <w:headerReference w:type="even" r:id="rId34"/>
      <w:headerReference w:type="default" r:id="rId35"/>
      <w:footerReference w:type="even" r:id="rId36"/>
      <w:footerReference w:type="default" r:id="rId37"/>
      <w:headerReference w:type="first" r:id="rId38"/>
      <w:footerReference w:type="first" r:id="rId3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2643F" w14:textId="77777777" w:rsidR="00004615" w:rsidRDefault="00004615">
      <w:r>
        <w:separator/>
      </w:r>
    </w:p>
  </w:endnote>
  <w:endnote w:type="continuationSeparator" w:id="0">
    <w:p w14:paraId="560B0378" w14:textId="77777777" w:rsidR="00004615" w:rsidRDefault="00004615">
      <w:r>
        <w:continuationSeparator/>
      </w:r>
    </w:p>
  </w:endnote>
  <w:endnote w:type="continuationNotice" w:id="1">
    <w:p w14:paraId="79F87FE2" w14:textId="77777777" w:rsidR="00004615" w:rsidRDefault="0000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FA74" w14:textId="098F52D3" w:rsidR="00004615" w:rsidRPr="008C00D6" w:rsidRDefault="00004615">
    <w:pPr>
      <w:pStyle w:val="Foote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125411">
      <w:rPr>
        <w:rStyle w:val="PageNumber"/>
        <w:noProof/>
      </w:rPr>
      <w:t>4</w:t>
    </w:r>
    <w:r w:rsidRPr="008C00D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9CD3" w14:textId="173A3BB1" w:rsidR="00004615" w:rsidRPr="008C00D6" w:rsidRDefault="00004615" w:rsidP="00035EDE">
    <w:pPr>
      <w:pStyle w:val="Footer"/>
      <w:jc w:val="right"/>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125411">
      <w:rPr>
        <w:rStyle w:val="PageNumber"/>
        <w:noProof/>
      </w:rPr>
      <w:t>3</w:t>
    </w:r>
    <w:r w:rsidRPr="008C00D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80334"/>
      <w:docPartObj>
        <w:docPartGallery w:val="Page Numbers (Bottom of Page)"/>
        <w:docPartUnique/>
      </w:docPartObj>
    </w:sdtPr>
    <w:sdtEndPr>
      <w:rPr>
        <w:noProof/>
      </w:rPr>
    </w:sdtEndPr>
    <w:sdtContent>
      <w:p w14:paraId="1A63B319" w14:textId="61BCFE70" w:rsidR="00004615" w:rsidRPr="00BC2F02" w:rsidRDefault="00004615" w:rsidP="00125411">
        <w:pPr>
          <w:pStyle w:val="Normal-pool"/>
          <w:spacing w:before="60" w:after="120"/>
        </w:pPr>
        <w:r>
          <w:t>K1703318</w:t>
        </w:r>
        <w:r>
          <w:tab/>
          <w:t>260717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06507074"/>
      <w:docPartObj>
        <w:docPartGallery w:val="Page Numbers (Bottom of Page)"/>
        <w:docPartUnique/>
      </w:docPartObj>
    </w:sdtPr>
    <w:sdtEndPr>
      <w:rPr>
        <w:noProof/>
      </w:rPr>
    </w:sdtEndPr>
    <w:sdtContent>
      <w:p w14:paraId="498FF212" w14:textId="0B9464BE" w:rsidR="00004615" w:rsidRPr="00BC2F02" w:rsidRDefault="00004615" w:rsidP="00BC2F02">
        <w:pPr>
          <w:pStyle w:val="Footer"/>
          <w:jc w:val="right"/>
          <w:rPr>
            <w:b/>
          </w:rPr>
        </w:pPr>
        <w:r w:rsidRPr="00BC2F02">
          <w:rPr>
            <w:b/>
          </w:rPr>
          <w:fldChar w:fldCharType="begin"/>
        </w:r>
        <w:r w:rsidRPr="00BC2F02">
          <w:rPr>
            <w:b/>
          </w:rPr>
          <w:instrText xml:space="preserve"> PAGE   \* MERGEFORMAT </w:instrText>
        </w:r>
        <w:r w:rsidRPr="00BC2F02">
          <w:rPr>
            <w:b/>
          </w:rPr>
          <w:fldChar w:fldCharType="separate"/>
        </w:r>
        <w:r w:rsidR="00125411">
          <w:rPr>
            <w:b/>
            <w:noProof/>
          </w:rPr>
          <w:t>61</w:t>
        </w:r>
        <w:r w:rsidRPr="00BC2F02">
          <w:rPr>
            <w:b/>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6300" w14:textId="42ED7CE3" w:rsidR="00004615" w:rsidRDefault="00004615">
    <w:pPr>
      <w:pStyle w:val="Footer"/>
    </w:pPr>
    <w:r>
      <w:rPr>
        <w:rStyle w:val="PageNumber"/>
      </w:rPr>
      <w:fldChar w:fldCharType="begin"/>
    </w:r>
    <w:r>
      <w:rPr>
        <w:rStyle w:val="PageNumber"/>
      </w:rPr>
      <w:instrText xml:space="preserve"> PAGE </w:instrText>
    </w:r>
    <w:r>
      <w:rPr>
        <w:rStyle w:val="PageNumber"/>
      </w:rPr>
      <w:fldChar w:fldCharType="separate"/>
    </w:r>
    <w:r w:rsidR="00125411">
      <w:rPr>
        <w:rStyle w:val="PageNumber"/>
        <w:noProof/>
      </w:rPr>
      <w:t>72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9311"/>
      <w:docPartObj>
        <w:docPartGallery w:val="Page Numbers (Bottom of Page)"/>
        <w:docPartUnique/>
      </w:docPartObj>
    </w:sdtPr>
    <w:sdtEndPr>
      <w:rPr>
        <w:b/>
        <w:noProof/>
      </w:rPr>
    </w:sdtEndPr>
    <w:sdtContent>
      <w:p w14:paraId="6DC32197" w14:textId="72E91A8E" w:rsidR="00004615" w:rsidRPr="00204C0B" w:rsidRDefault="00004615" w:rsidP="00204C0B">
        <w:pPr>
          <w:pStyle w:val="Footer"/>
          <w:jc w:val="right"/>
          <w:rPr>
            <w:b/>
          </w:rPr>
        </w:pPr>
        <w:r w:rsidRPr="000E2EF5">
          <w:rPr>
            <w:b/>
          </w:rPr>
          <w:fldChar w:fldCharType="begin"/>
        </w:r>
        <w:r w:rsidRPr="000E2EF5">
          <w:rPr>
            <w:b/>
          </w:rPr>
          <w:instrText xml:space="preserve"> PAGE   \* MERGEFORMAT </w:instrText>
        </w:r>
        <w:r w:rsidRPr="000E2EF5">
          <w:rPr>
            <w:b/>
          </w:rPr>
          <w:fldChar w:fldCharType="separate"/>
        </w:r>
        <w:r w:rsidR="00125411">
          <w:rPr>
            <w:b/>
            <w:noProof/>
          </w:rPr>
          <w:t>67</w:t>
        </w:r>
        <w:r w:rsidRPr="000E2EF5">
          <w:rPr>
            <w:b/>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21331085"/>
      <w:docPartObj>
        <w:docPartGallery w:val="Page Numbers (Bottom of Page)"/>
        <w:docPartUnique/>
      </w:docPartObj>
    </w:sdtPr>
    <w:sdtEndPr>
      <w:rPr>
        <w:noProof/>
      </w:rPr>
    </w:sdtEndPr>
    <w:sdtContent>
      <w:p w14:paraId="4DBA9381" w14:textId="59D07F31" w:rsidR="00004615" w:rsidRPr="00BC2F02" w:rsidRDefault="00004615">
        <w:pPr>
          <w:pStyle w:val="Footer"/>
          <w:rPr>
            <w:b/>
          </w:rPr>
        </w:pPr>
        <w:r w:rsidRPr="00BC2F02">
          <w:rPr>
            <w:b/>
          </w:rPr>
          <w:fldChar w:fldCharType="begin"/>
        </w:r>
        <w:r w:rsidRPr="00BC2F02">
          <w:rPr>
            <w:b/>
          </w:rPr>
          <w:instrText xml:space="preserve"> PAGE   \* MERGEFORMAT </w:instrText>
        </w:r>
        <w:r w:rsidRPr="00BC2F02">
          <w:rPr>
            <w:b/>
          </w:rPr>
          <w:fldChar w:fldCharType="separate"/>
        </w:r>
        <w:r w:rsidR="00125411">
          <w:rPr>
            <w:b/>
            <w:noProof/>
          </w:rPr>
          <w:t>62</w:t>
        </w:r>
        <w:r w:rsidRPr="00BC2F02">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7659" w14:textId="77777777" w:rsidR="00004615" w:rsidRPr="00CE5DA1" w:rsidRDefault="00004615" w:rsidP="00532959">
      <w:pPr>
        <w:tabs>
          <w:tab w:val="clear" w:pos="1247"/>
          <w:tab w:val="clear" w:pos="1814"/>
          <w:tab w:val="clear" w:pos="2381"/>
          <w:tab w:val="clear" w:pos="2948"/>
          <w:tab w:val="clear" w:pos="3515"/>
          <w:tab w:val="left" w:pos="624"/>
        </w:tabs>
        <w:spacing w:before="60"/>
        <w:ind w:left="624"/>
        <w:rPr>
          <w:sz w:val="18"/>
          <w:szCs w:val="18"/>
        </w:rPr>
      </w:pPr>
      <w:r w:rsidRPr="00CE5DA1">
        <w:rPr>
          <w:sz w:val="18"/>
          <w:szCs w:val="18"/>
        </w:rPr>
        <w:separator/>
      </w:r>
    </w:p>
  </w:footnote>
  <w:footnote w:type="continuationSeparator" w:id="0">
    <w:p w14:paraId="3367E767" w14:textId="77777777" w:rsidR="00004615" w:rsidRDefault="00004615">
      <w:r>
        <w:continuationSeparator/>
      </w:r>
    </w:p>
  </w:footnote>
  <w:footnote w:type="continuationNotice" w:id="1">
    <w:p w14:paraId="0E140A89" w14:textId="77777777" w:rsidR="00004615" w:rsidRDefault="00004615"/>
  </w:footnote>
  <w:footnote w:id="2">
    <w:p w14:paraId="39B152D8" w14:textId="77777777" w:rsidR="00004615" w:rsidRPr="00964A01" w:rsidRDefault="00004615" w:rsidP="00532959">
      <w:pPr>
        <w:pStyle w:val="FootnoteText"/>
        <w:tabs>
          <w:tab w:val="left" w:pos="624"/>
        </w:tabs>
        <w:rPr>
          <w:szCs w:val="18"/>
          <w:lang w:val="fr-FR"/>
        </w:rPr>
      </w:pPr>
      <w:r w:rsidRPr="00CE5DA1">
        <w:rPr>
          <w:rStyle w:val="FootnoteReference"/>
          <w:sz w:val="18"/>
        </w:rPr>
        <w:footnoteRef/>
      </w:r>
      <w:r w:rsidRPr="00964A01">
        <w:rPr>
          <w:szCs w:val="18"/>
          <w:lang w:val="fr-FR"/>
        </w:rPr>
        <w:t xml:space="preserve"> IPBES/5/2.</w:t>
      </w:r>
    </w:p>
  </w:footnote>
  <w:footnote w:id="3">
    <w:p w14:paraId="62C3FEEF" w14:textId="76BA9D1F" w:rsidR="00004615" w:rsidRPr="00964A01" w:rsidRDefault="00004615" w:rsidP="00532959">
      <w:pPr>
        <w:pStyle w:val="FootnoteText"/>
        <w:tabs>
          <w:tab w:val="left" w:pos="624"/>
        </w:tabs>
        <w:rPr>
          <w:szCs w:val="18"/>
          <w:lang w:val="fr-FR"/>
        </w:rPr>
      </w:pPr>
      <w:r w:rsidRPr="00CE5DA1">
        <w:rPr>
          <w:rStyle w:val="FootnoteReference"/>
          <w:sz w:val="18"/>
        </w:rPr>
        <w:footnoteRef/>
      </w:r>
      <w:r w:rsidRPr="00964A01">
        <w:rPr>
          <w:szCs w:val="18"/>
          <w:lang w:val="fr-FR"/>
        </w:rPr>
        <w:t xml:space="preserve"> IPBES/5/INF/3. </w:t>
      </w:r>
    </w:p>
  </w:footnote>
  <w:footnote w:id="4">
    <w:p w14:paraId="78FF12D1" w14:textId="77777777" w:rsidR="00004615" w:rsidRPr="00CE5DA1" w:rsidRDefault="00004615" w:rsidP="00532959">
      <w:pPr>
        <w:pStyle w:val="FootnoteText"/>
        <w:tabs>
          <w:tab w:val="clear" w:pos="1247"/>
          <w:tab w:val="clear" w:pos="1814"/>
          <w:tab w:val="clear" w:pos="2381"/>
          <w:tab w:val="clear" w:pos="2948"/>
          <w:tab w:val="clear" w:pos="3515"/>
          <w:tab w:val="left" w:pos="624"/>
        </w:tabs>
        <w:rPr>
          <w:b/>
          <w:szCs w:val="18"/>
        </w:rPr>
      </w:pPr>
      <w:r w:rsidRPr="00CE5DA1">
        <w:rPr>
          <w:rStyle w:val="FootnoteReference"/>
          <w:sz w:val="18"/>
        </w:rPr>
        <w:footnoteRef/>
      </w:r>
      <w:r w:rsidRPr="00CE5DA1">
        <w:rPr>
          <w:szCs w:val="18"/>
        </w:rPr>
        <w:t xml:space="preserve"> IPBES/5/INF/8.</w:t>
      </w:r>
    </w:p>
  </w:footnote>
  <w:footnote w:id="5">
    <w:p w14:paraId="6C81E604" w14:textId="77777777" w:rsidR="00004615" w:rsidRPr="00CE5DA1" w:rsidRDefault="00004615" w:rsidP="00532959">
      <w:pPr>
        <w:pStyle w:val="FootnoteText"/>
        <w:tabs>
          <w:tab w:val="clear" w:pos="1247"/>
          <w:tab w:val="clear" w:pos="1814"/>
          <w:tab w:val="clear" w:pos="2381"/>
          <w:tab w:val="clear" w:pos="2948"/>
          <w:tab w:val="clear" w:pos="3515"/>
          <w:tab w:val="left" w:pos="624"/>
        </w:tabs>
        <w:rPr>
          <w:szCs w:val="18"/>
        </w:rPr>
      </w:pPr>
      <w:r w:rsidRPr="00CE5DA1">
        <w:rPr>
          <w:rStyle w:val="FootnoteReference"/>
          <w:sz w:val="18"/>
        </w:rPr>
        <w:footnoteRef/>
      </w:r>
      <w:r w:rsidRPr="00CE5DA1">
        <w:rPr>
          <w:szCs w:val="18"/>
        </w:rPr>
        <w:t xml:space="preserve"> IPBES/5/INF/7.</w:t>
      </w:r>
    </w:p>
  </w:footnote>
  <w:footnote w:id="6">
    <w:p w14:paraId="4E621EAA" w14:textId="77777777" w:rsidR="00004615" w:rsidRPr="00CE5DA1" w:rsidRDefault="00004615" w:rsidP="00532959">
      <w:pPr>
        <w:pStyle w:val="FootnoteText"/>
        <w:tabs>
          <w:tab w:val="left" w:pos="624"/>
        </w:tabs>
        <w:rPr>
          <w:szCs w:val="18"/>
        </w:rPr>
      </w:pPr>
      <w:r w:rsidRPr="00CE5DA1">
        <w:rPr>
          <w:rStyle w:val="FootnoteReference"/>
          <w:sz w:val="18"/>
        </w:rPr>
        <w:footnoteRef/>
      </w:r>
      <w:r w:rsidRPr="00CE5DA1">
        <w:rPr>
          <w:szCs w:val="18"/>
        </w:rPr>
        <w:t xml:space="preserve"> </w:t>
      </w:r>
      <w:r w:rsidRPr="007831BB">
        <w:rPr>
          <w:szCs w:val="18"/>
          <w:lang w:val="fr-FR"/>
        </w:rPr>
        <w:t>IPBES/5/INF/1.</w:t>
      </w:r>
    </w:p>
  </w:footnote>
  <w:footnote w:id="7">
    <w:p w14:paraId="253F394D" w14:textId="57AB5A05" w:rsidR="00004615" w:rsidRPr="00CE5DA1" w:rsidRDefault="00004615" w:rsidP="00532959">
      <w:pPr>
        <w:pStyle w:val="FootnoteText"/>
        <w:tabs>
          <w:tab w:val="left" w:pos="624"/>
        </w:tabs>
        <w:rPr>
          <w:szCs w:val="18"/>
        </w:rPr>
      </w:pPr>
      <w:r w:rsidRPr="00CE5DA1">
        <w:rPr>
          <w:rStyle w:val="FootnoteReference"/>
          <w:sz w:val="18"/>
        </w:rPr>
        <w:footnoteRef/>
      </w:r>
      <w:r w:rsidRPr="00CE5DA1">
        <w:rPr>
          <w:szCs w:val="18"/>
        </w:rPr>
        <w:t xml:space="preserve"> </w:t>
      </w:r>
      <w:proofErr w:type="spellStart"/>
      <w:r w:rsidRPr="00CE5DA1">
        <w:rPr>
          <w:szCs w:val="18"/>
        </w:rPr>
        <w:t>Decision</w:t>
      </w:r>
      <w:proofErr w:type="spellEnd"/>
      <w:r w:rsidRPr="00CE5DA1">
        <w:rPr>
          <w:szCs w:val="18"/>
        </w:rPr>
        <w:t xml:space="preserve"> IPBES-4/1, </w:t>
      </w:r>
      <w:proofErr w:type="spellStart"/>
      <w:r w:rsidRPr="00CE5DA1">
        <w:rPr>
          <w:szCs w:val="18"/>
        </w:rPr>
        <w:t>annex</w:t>
      </w:r>
      <w:proofErr w:type="spellEnd"/>
      <w:r w:rsidRPr="00CE5DA1">
        <w:rPr>
          <w:szCs w:val="18"/>
        </w:rPr>
        <w:t xml:space="preserve"> II</w:t>
      </w:r>
    </w:p>
  </w:footnote>
  <w:footnote w:id="8">
    <w:p w14:paraId="0585F4C6" w14:textId="77777777" w:rsidR="00004615" w:rsidRPr="00CE5DA1" w:rsidRDefault="00004615" w:rsidP="00532959">
      <w:pPr>
        <w:pStyle w:val="FootnoteText"/>
        <w:tabs>
          <w:tab w:val="left" w:pos="624"/>
        </w:tabs>
        <w:rPr>
          <w:szCs w:val="18"/>
        </w:rPr>
      </w:pPr>
      <w:r w:rsidRPr="00CE5DA1">
        <w:rPr>
          <w:rStyle w:val="FootnoteReference"/>
          <w:sz w:val="18"/>
        </w:rPr>
        <w:footnoteRef/>
      </w:r>
      <w:r w:rsidRPr="00CE5DA1">
        <w:rPr>
          <w:szCs w:val="18"/>
        </w:rPr>
        <w:t xml:space="preserve"> IPBES/4/INF/1/Rev.1.</w:t>
      </w:r>
    </w:p>
  </w:footnote>
  <w:footnote w:id="9">
    <w:p w14:paraId="0D52A2C8" w14:textId="77777777" w:rsidR="00004615" w:rsidRPr="007831BB" w:rsidRDefault="00004615" w:rsidP="00532959">
      <w:pPr>
        <w:pStyle w:val="FootnoteText"/>
        <w:tabs>
          <w:tab w:val="clear" w:pos="1247"/>
          <w:tab w:val="clear" w:pos="1814"/>
          <w:tab w:val="clear" w:pos="2381"/>
          <w:tab w:val="clear" w:pos="2948"/>
          <w:tab w:val="clear" w:pos="3515"/>
          <w:tab w:val="left" w:pos="624"/>
        </w:tabs>
        <w:rPr>
          <w:szCs w:val="18"/>
          <w:lang w:val="fr-FR"/>
        </w:rPr>
      </w:pPr>
      <w:r w:rsidRPr="00CE5DA1">
        <w:rPr>
          <w:rStyle w:val="FootnoteReference"/>
          <w:sz w:val="18"/>
        </w:rPr>
        <w:footnoteRef/>
      </w:r>
      <w:r w:rsidRPr="007831BB">
        <w:rPr>
          <w:szCs w:val="18"/>
          <w:lang w:val="fr-FR"/>
        </w:rPr>
        <w:t xml:space="preserve"> IPBES/5/INF/9.</w:t>
      </w:r>
    </w:p>
  </w:footnote>
  <w:footnote w:id="10">
    <w:p w14:paraId="24959807" w14:textId="77777777" w:rsidR="00004615" w:rsidRPr="00964A01" w:rsidRDefault="00004615" w:rsidP="00532959">
      <w:pPr>
        <w:pStyle w:val="FootnoteText"/>
        <w:tabs>
          <w:tab w:val="left" w:pos="624"/>
        </w:tabs>
        <w:rPr>
          <w:szCs w:val="18"/>
        </w:rPr>
      </w:pPr>
      <w:r w:rsidRPr="00CE5DA1">
        <w:rPr>
          <w:rStyle w:val="FootnoteReference"/>
          <w:sz w:val="18"/>
        </w:rPr>
        <w:footnoteRef/>
      </w:r>
      <w:r w:rsidRPr="00964A01">
        <w:rPr>
          <w:szCs w:val="18"/>
        </w:rPr>
        <w:t xml:space="preserve"> IPBES/5/INF/2.</w:t>
      </w:r>
    </w:p>
  </w:footnote>
  <w:footnote w:id="11">
    <w:p w14:paraId="19F5F792" w14:textId="63A958EA" w:rsidR="00004615" w:rsidRPr="00964A01" w:rsidRDefault="00004615" w:rsidP="00532959">
      <w:pPr>
        <w:pStyle w:val="FootnoteText"/>
        <w:tabs>
          <w:tab w:val="left" w:pos="624"/>
        </w:tabs>
        <w:rPr>
          <w:szCs w:val="18"/>
        </w:rPr>
      </w:pPr>
      <w:r w:rsidRPr="00CE5DA1">
        <w:rPr>
          <w:rStyle w:val="FootnoteReference"/>
          <w:sz w:val="18"/>
        </w:rPr>
        <w:footnoteRef/>
      </w:r>
      <w:r w:rsidRPr="00964A01">
        <w:rPr>
          <w:szCs w:val="18"/>
        </w:rPr>
        <w:t xml:space="preserve"> </w:t>
      </w:r>
      <w:proofErr w:type="spellStart"/>
      <w:r w:rsidRPr="00964A01">
        <w:rPr>
          <w:szCs w:val="18"/>
        </w:rPr>
        <w:t>Decision</w:t>
      </w:r>
      <w:proofErr w:type="spellEnd"/>
      <w:r w:rsidRPr="00964A01">
        <w:rPr>
          <w:szCs w:val="18"/>
        </w:rPr>
        <w:t xml:space="preserve"> IPBES-4/1, </w:t>
      </w:r>
      <w:proofErr w:type="spellStart"/>
      <w:r w:rsidRPr="00964A01">
        <w:rPr>
          <w:szCs w:val="18"/>
        </w:rPr>
        <w:t>annex</w:t>
      </w:r>
      <w:proofErr w:type="spellEnd"/>
      <w:r w:rsidRPr="00964A01">
        <w:rPr>
          <w:szCs w:val="18"/>
        </w:rPr>
        <w:t xml:space="preserve"> IV</w:t>
      </w:r>
    </w:p>
  </w:footnote>
  <w:footnote w:id="12">
    <w:p w14:paraId="0C276A45" w14:textId="77777777" w:rsidR="00004615" w:rsidRPr="00964A01" w:rsidRDefault="00004615" w:rsidP="00532959">
      <w:pPr>
        <w:pStyle w:val="FootnoteText"/>
        <w:tabs>
          <w:tab w:val="left" w:pos="624"/>
        </w:tabs>
        <w:rPr>
          <w:szCs w:val="18"/>
        </w:rPr>
      </w:pPr>
      <w:r w:rsidRPr="00CE5DA1">
        <w:rPr>
          <w:rStyle w:val="FootnoteReference"/>
          <w:sz w:val="18"/>
        </w:rPr>
        <w:footnoteRef/>
      </w:r>
      <w:r w:rsidRPr="00964A01">
        <w:rPr>
          <w:szCs w:val="18"/>
        </w:rPr>
        <w:t xml:space="preserve"> IPBES/4/INF/3/Rev.1.</w:t>
      </w:r>
    </w:p>
  </w:footnote>
  <w:footnote w:id="13">
    <w:p w14:paraId="5F247E74" w14:textId="77777777" w:rsidR="00004615" w:rsidRPr="00160BD4" w:rsidRDefault="00004615" w:rsidP="00532959">
      <w:pPr>
        <w:pStyle w:val="FootnoteText"/>
        <w:tabs>
          <w:tab w:val="clear" w:pos="1247"/>
          <w:tab w:val="clear" w:pos="1814"/>
          <w:tab w:val="clear" w:pos="2381"/>
          <w:tab w:val="clear" w:pos="2948"/>
          <w:tab w:val="clear" w:pos="3515"/>
          <w:tab w:val="left" w:pos="624"/>
        </w:tabs>
        <w:rPr>
          <w:szCs w:val="18"/>
          <w:lang w:val="en-US"/>
        </w:rPr>
      </w:pPr>
      <w:r w:rsidRPr="00CE5DA1">
        <w:rPr>
          <w:rStyle w:val="FootnoteReference"/>
          <w:sz w:val="18"/>
        </w:rPr>
        <w:footnoteRef/>
      </w:r>
      <w:r w:rsidRPr="00160BD4">
        <w:rPr>
          <w:szCs w:val="18"/>
          <w:lang w:val="en-US"/>
        </w:rPr>
        <w:t xml:space="preserve"> </w:t>
      </w:r>
      <w:proofErr w:type="gramStart"/>
      <w:r w:rsidRPr="00160BD4">
        <w:rPr>
          <w:szCs w:val="18"/>
          <w:lang w:val="en-US"/>
        </w:rPr>
        <w:t>IPBES/5/INF/2.</w:t>
      </w:r>
      <w:proofErr w:type="gramEnd"/>
      <w:r w:rsidRPr="00160BD4">
        <w:rPr>
          <w:szCs w:val="18"/>
          <w:lang w:val="en-US"/>
        </w:rPr>
        <w:t xml:space="preserve"> </w:t>
      </w:r>
    </w:p>
  </w:footnote>
  <w:footnote w:id="14">
    <w:p w14:paraId="16141A7C" w14:textId="77777777" w:rsidR="00004615" w:rsidRPr="00964A01" w:rsidRDefault="00004615" w:rsidP="00532959">
      <w:pPr>
        <w:pStyle w:val="FootnoteText"/>
        <w:tabs>
          <w:tab w:val="clear" w:pos="1247"/>
          <w:tab w:val="clear" w:pos="1814"/>
          <w:tab w:val="clear" w:pos="2381"/>
          <w:tab w:val="clear" w:pos="2948"/>
          <w:tab w:val="clear" w:pos="3515"/>
          <w:tab w:val="left" w:pos="624"/>
        </w:tabs>
        <w:rPr>
          <w:szCs w:val="18"/>
          <w:lang w:val="en-US"/>
        </w:rPr>
      </w:pPr>
      <w:r w:rsidRPr="00CE5DA1">
        <w:rPr>
          <w:rStyle w:val="FootnoteReference"/>
          <w:sz w:val="18"/>
        </w:rPr>
        <w:footnoteRef/>
      </w:r>
      <w:r w:rsidRPr="00964A01">
        <w:rPr>
          <w:szCs w:val="18"/>
          <w:lang w:val="en-US"/>
        </w:rPr>
        <w:t xml:space="preserve"> </w:t>
      </w:r>
      <w:proofErr w:type="gramStart"/>
      <w:r w:rsidRPr="00964A01">
        <w:rPr>
          <w:szCs w:val="18"/>
          <w:lang w:val="en-US"/>
        </w:rPr>
        <w:t>IPBES/5/INF/13.</w:t>
      </w:r>
      <w:proofErr w:type="gramEnd"/>
      <w:r w:rsidRPr="00964A01">
        <w:rPr>
          <w:szCs w:val="18"/>
          <w:lang w:val="en-US"/>
        </w:rPr>
        <w:t xml:space="preserve"> </w:t>
      </w:r>
    </w:p>
  </w:footnote>
  <w:footnote w:id="15">
    <w:p w14:paraId="1C48C192" w14:textId="62D83116" w:rsidR="00004615" w:rsidRPr="00BE06C9" w:rsidRDefault="00004615" w:rsidP="00532959">
      <w:pPr>
        <w:pStyle w:val="FootnoteText"/>
        <w:tabs>
          <w:tab w:val="left" w:pos="624"/>
        </w:tabs>
        <w:rPr>
          <w:szCs w:val="18"/>
          <w:lang w:val="en-US"/>
        </w:rPr>
      </w:pPr>
      <w:r w:rsidRPr="00CE5DA1">
        <w:rPr>
          <w:rStyle w:val="FootnoteReference"/>
          <w:sz w:val="18"/>
        </w:rPr>
        <w:footnoteRef/>
      </w:r>
      <w:r w:rsidRPr="007831BB">
        <w:rPr>
          <w:szCs w:val="18"/>
          <w:lang w:val="en-US"/>
        </w:rPr>
        <w:t xml:space="preserve"> </w:t>
      </w:r>
      <w:proofErr w:type="gramStart"/>
      <w:r w:rsidRPr="007831BB">
        <w:rPr>
          <w:szCs w:val="18"/>
          <w:lang w:val="en-US"/>
        </w:rPr>
        <w:t>IPBES/5/8 and IPBES/5/</w:t>
      </w:r>
      <w:r w:rsidRPr="00160BD4">
        <w:rPr>
          <w:szCs w:val="18"/>
          <w:lang w:val="en-US"/>
        </w:rPr>
        <w:t>INF/14.</w:t>
      </w:r>
      <w:proofErr w:type="gramEnd"/>
    </w:p>
  </w:footnote>
  <w:footnote w:id="16">
    <w:p w14:paraId="2E36AC32" w14:textId="77777777" w:rsidR="00004615" w:rsidRPr="00964A01" w:rsidRDefault="00004615" w:rsidP="00532959">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160BD4">
        <w:rPr>
          <w:rStyle w:val="FootnoteReference"/>
          <w:color w:val="000000" w:themeColor="text1"/>
          <w:sz w:val="18"/>
        </w:rPr>
        <w:footnoteRef/>
      </w:r>
      <w:r w:rsidRPr="00BE06C9">
        <w:rPr>
          <w:sz w:val="18"/>
          <w:szCs w:val="18"/>
          <w:lang w:val="en-US"/>
        </w:rPr>
        <w:t xml:space="preserve"> Ibid.</w:t>
      </w:r>
    </w:p>
  </w:footnote>
  <w:footnote w:id="17">
    <w:p w14:paraId="0278CFD0" w14:textId="77777777" w:rsidR="00004615" w:rsidRPr="00221595" w:rsidRDefault="00004615" w:rsidP="00532959">
      <w:pPr>
        <w:pStyle w:val="FootnoteText"/>
        <w:tabs>
          <w:tab w:val="clear" w:pos="1247"/>
          <w:tab w:val="clear" w:pos="1814"/>
          <w:tab w:val="clear" w:pos="2381"/>
          <w:tab w:val="clear" w:pos="2948"/>
          <w:tab w:val="clear" w:pos="3515"/>
          <w:tab w:val="left" w:pos="624"/>
        </w:tabs>
        <w:snapToGrid w:val="0"/>
        <w:rPr>
          <w:szCs w:val="18"/>
          <w:lang w:val="en-US"/>
        </w:rPr>
      </w:pPr>
      <w:r w:rsidRPr="00221595">
        <w:rPr>
          <w:rStyle w:val="FootnoteReference"/>
          <w:sz w:val="18"/>
        </w:rPr>
        <w:footnoteRef/>
      </w:r>
      <w:r w:rsidRPr="00221595">
        <w:rPr>
          <w:rStyle w:val="FootnoteReference"/>
          <w:sz w:val="18"/>
          <w:lang w:val="en-US"/>
        </w:rPr>
        <w:t xml:space="preserve"> </w:t>
      </w:r>
      <w:r w:rsidRPr="00221595">
        <w:rPr>
          <w:szCs w:val="18"/>
          <w:lang w:val="en-US"/>
        </w:rPr>
        <w:t xml:space="preserve">The work </w:t>
      </w:r>
      <w:proofErr w:type="spellStart"/>
      <w:r w:rsidRPr="00221595">
        <w:rPr>
          <w:szCs w:val="18"/>
          <w:lang w:val="en-US"/>
        </w:rPr>
        <w:t>programme</w:t>
      </w:r>
      <w:proofErr w:type="spellEnd"/>
      <w:r w:rsidRPr="00221595">
        <w:rPr>
          <w:szCs w:val="18"/>
          <w:lang w:val="en-US"/>
        </w:rPr>
        <w:t xml:space="preserve"> was adopted by the IPBES Plenary through </w:t>
      </w:r>
      <w:hyperlink r:id="rId1" w:history="1">
        <w:r w:rsidRPr="00221595">
          <w:rPr>
            <w:rStyle w:val="Hyperlink"/>
            <w:sz w:val="18"/>
            <w:szCs w:val="18"/>
            <w:lang w:val="en-US"/>
          </w:rPr>
          <w:t>decision IPBES-2/5</w:t>
        </w:r>
      </w:hyperlink>
      <w:r w:rsidRPr="00221595">
        <w:rPr>
          <w:szCs w:val="18"/>
          <w:lang w:val="en-US"/>
        </w:rPr>
        <w:t xml:space="preserve"> and is set out in annex I to that decision. </w:t>
      </w:r>
    </w:p>
  </w:footnote>
  <w:footnote w:id="18">
    <w:p w14:paraId="6FC90346" w14:textId="4925B701" w:rsidR="00004615" w:rsidRPr="00647316" w:rsidRDefault="00004615" w:rsidP="00532959">
      <w:pPr>
        <w:pStyle w:val="FootnoteText"/>
        <w:tabs>
          <w:tab w:val="clear" w:pos="1247"/>
          <w:tab w:val="clear" w:pos="1814"/>
          <w:tab w:val="clear" w:pos="2381"/>
          <w:tab w:val="clear" w:pos="2948"/>
          <w:tab w:val="clear" w:pos="3515"/>
          <w:tab w:val="left" w:pos="624"/>
        </w:tabs>
        <w:snapToGrid w:val="0"/>
        <w:rPr>
          <w:lang w:val="en-US"/>
        </w:rPr>
      </w:pPr>
      <w:r w:rsidRPr="00221595">
        <w:rPr>
          <w:rStyle w:val="FootnoteReference"/>
          <w:rFonts w:eastAsia="MS Gothic"/>
          <w:sz w:val="18"/>
        </w:rPr>
        <w:footnoteRef/>
      </w:r>
      <w:r w:rsidRPr="00221595">
        <w:rPr>
          <w:szCs w:val="18"/>
          <w:lang w:val="en-US"/>
        </w:rPr>
        <w:t xml:space="preserve"> </w:t>
      </w:r>
      <w:proofErr w:type="gramStart"/>
      <w:r w:rsidRPr="00221595">
        <w:rPr>
          <w:szCs w:val="18"/>
          <w:lang w:val="en-US"/>
        </w:rPr>
        <w:t xml:space="preserve">See </w:t>
      </w:r>
      <w:proofErr w:type="gramEnd"/>
      <w:r>
        <w:fldChar w:fldCharType="begin"/>
      </w:r>
      <w:r w:rsidRPr="00125411">
        <w:rPr>
          <w:lang w:val="en-US"/>
        </w:rPr>
        <w:instrText xml:space="preserve"> HYPERLINK "http://www.ipbes.net/sites/default/files/downloads/Decision%20IPBES_2_5.pdf" </w:instrText>
      </w:r>
      <w:r>
        <w:fldChar w:fldCharType="separate"/>
      </w:r>
      <w:hyperlink r:id="rId2" w:history="1">
        <w:r w:rsidRPr="00221595">
          <w:rPr>
            <w:rStyle w:val="Hyperlink"/>
            <w:sz w:val="18"/>
            <w:szCs w:val="18"/>
            <w:lang w:val="en-US"/>
          </w:rPr>
          <w:t>decision IPBES-3/1</w:t>
        </w:r>
      </w:hyperlink>
      <w:r>
        <w:rPr>
          <w:rStyle w:val="Hyperlink"/>
          <w:sz w:val="18"/>
          <w:szCs w:val="18"/>
          <w:lang w:val="en-US"/>
        </w:rPr>
        <w:fldChar w:fldCharType="end"/>
      </w:r>
      <w:r w:rsidRPr="00221595">
        <w:rPr>
          <w:szCs w:val="18"/>
          <w:lang w:val="en-US"/>
        </w:rPr>
        <w:t>, by which the IPBES Plenary adopted priority capacity-building needs based on advice from its task force on capacity-building.</w:t>
      </w:r>
    </w:p>
  </w:footnote>
  <w:footnote w:id="19">
    <w:p w14:paraId="0D8F94CA" w14:textId="4EC2CA31" w:rsidR="00004615" w:rsidRPr="00221595" w:rsidRDefault="00004615" w:rsidP="00532959">
      <w:pPr>
        <w:pStyle w:val="FootnoteText"/>
        <w:tabs>
          <w:tab w:val="clear" w:pos="1247"/>
          <w:tab w:val="clear" w:pos="1814"/>
          <w:tab w:val="clear" w:pos="2381"/>
          <w:tab w:val="clear" w:pos="2948"/>
          <w:tab w:val="clear" w:pos="3515"/>
          <w:tab w:val="left" w:pos="624"/>
        </w:tabs>
        <w:snapToGrid w:val="0"/>
        <w:rPr>
          <w:szCs w:val="18"/>
          <w:lang w:val="en-US"/>
        </w:rPr>
      </w:pPr>
      <w:r w:rsidRPr="00221595">
        <w:rPr>
          <w:rStyle w:val="FootnoteReference"/>
          <w:sz w:val="18"/>
        </w:rPr>
        <w:footnoteRef/>
      </w:r>
      <w:r w:rsidRPr="00221595">
        <w:rPr>
          <w:szCs w:val="18"/>
          <w:lang w:val="en-US"/>
        </w:rPr>
        <w:t xml:space="preserve"> The terms of reference of the task force on capacity-building were agreed in </w:t>
      </w:r>
      <w:hyperlink r:id="rId3" w:history="1">
        <w:r w:rsidRPr="00221595">
          <w:rPr>
            <w:rStyle w:val="Hyperlink"/>
            <w:sz w:val="18"/>
            <w:szCs w:val="18"/>
            <w:lang w:val="en-US"/>
          </w:rPr>
          <w:t>decision IPBES-2/5</w:t>
        </w:r>
      </w:hyperlink>
      <w:r w:rsidRPr="00221595">
        <w:rPr>
          <w:szCs w:val="18"/>
          <w:lang w:val="en-US"/>
        </w:rPr>
        <w:t xml:space="preserve"> and are set out in annex II to that decision.</w:t>
      </w:r>
    </w:p>
  </w:footnote>
  <w:footnote w:id="20">
    <w:p w14:paraId="584BB344" w14:textId="32850462" w:rsidR="00004615" w:rsidRPr="00CE5DA1" w:rsidRDefault="00004615" w:rsidP="00532959">
      <w:pPr>
        <w:pStyle w:val="FootnoteText"/>
        <w:tabs>
          <w:tab w:val="clear" w:pos="1247"/>
          <w:tab w:val="clear" w:pos="1814"/>
          <w:tab w:val="clear" w:pos="2381"/>
          <w:tab w:val="clear" w:pos="2948"/>
          <w:tab w:val="clear" w:pos="3515"/>
          <w:tab w:val="left" w:pos="624"/>
        </w:tabs>
        <w:snapToGrid w:val="0"/>
        <w:rPr>
          <w:szCs w:val="18"/>
          <w:lang w:val="en-US"/>
        </w:rPr>
      </w:pPr>
      <w:r w:rsidRPr="00CE5DA1">
        <w:rPr>
          <w:rStyle w:val="FootnoteReference"/>
          <w:rFonts w:eastAsia="MS Gothic"/>
          <w:sz w:val="18"/>
        </w:rPr>
        <w:footnoteRef/>
      </w:r>
      <w:r w:rsidRPr="00CE5DA1">
        <w:rPr>
          <w:szCs w:val="18"/>
          <w:lang w:val="en-US"/>
        </w:rPr>
        <w:t xml:space="preserve"> The secretariat has benefited from the </w:t>
      </w:r>
      <w:proofErr w:type="spellStart"/>
      <w:r w:rsidRPr="00CE5DA1">
        <w:rPr>
          <w:szCs w:val="18"/>
          <w:lang w:val="en-US"/>
        </w:rPr>
        <w:t>secondment</w:t>
      </w:r>
      <w:proofErr w:type="spellEnd"/>
      <w:r w:rsidRPr="00CE5DA1">
        <w:rPr>
          <w:szCs w:val="18"/>
          <w:lang w:val="en-US"/>
        </w:rPr>
        <w:t xml:space="preserve"> of three staff members, one from UNEP, one from the Government of China and one member of the IPBES Asia-Pacific technical support unit, and also from the contribution of interns. A seconded staff member from the capacity-building task force and </w:t>
      </w:r>
      <w:r>
        <w:rPr>
          <w:szCs w:val="18"/>
          <w:lang w:val="en-US"/>
        </w:rPr>
        <w:t xml:space="preserve">the </w:t>
      </w:r>
      <w:r w:rsidRPr="00CE5DA1">
        <w:rPr>
          <w:szCs w:val="18"/>
          <w:lang w:val="en-US"/>
        </w:rPr>
        <w:t xml:space="preserve">University of Montreal is currently supporting the technical support unit of the Africa regional assessment on biodiversity and ecosystem services. These </w:t>
      </w:r>
      <w:proofErr w:type="spellStart"/>
      <w:r w:rsidRPr="00CE5DA1">
        <w:rPr>
          <w:szCs w:val="18"/>
          <w:lang w:val="en-US"/>
        </w:rPr>
        <w:t>secondments</w:t>
      </w:r>
      <w:proofErr w:type="spellEnd"/>
      <w:r w:rsidRPr="00CE5DA1">
        <w:rPr>
          <w:szCs w:val="18"/>
          <w:lang w:val="en-US"/>
        </w:rPr>
        <w:t xml:space="preserve"> and internships have to date been achieved without the need for significant advertising. </w:t>
      </w:r>
    </w:p>
  </w:footnote>
  <w:footnote w:id="21">
    <w:p w14:paraId="6B292625" w14:textId="77777777" w:rsidR="00004615" w:rsidRPr="00CE5DA1" w:rsidRDefault="00004615" w:rsidP="00532959">
      <w:pPr>
        <w:pStyle w:val="FootnoteText"/>
        <w:tabs>
          <w:tab w:val="clear" w:pos="1247"/>
          <w:tab w:val="clear" w:pos="1814"/>
          <w:tab w:val="clear" w:pos="2381"/>
          <w:tab w:val="clear" w:pos="2948"/>
          <w:tab w:val="clear" w:pos="3515"/>
          <w:tab w:val="left" w:pos="624"/>
        </w:tabs>
        <w:snapToGrid w:val="0"/>
        <w:rPr>
          <w:szCs w:val="18"/>
          <w:lang w:val="en-US"/>
        </w:rPr>
      </w:pPr>
      <w:r w:rsidRPr="00CE5DA1">
        <w:rPr>
          <w:rStyle w:val="FootnoteReference"/>
          <w:rFonts w:eastAsia="MS Gothic"/>
          <w:sz w:val="18"/>
        </w:rPr>
        <w:footnoteRef/>
      </w:r>
      <w:r w:rsidRPr="00CE5DA1">
        <w:rPr>
          <w:szCs w:val="18"/>
          <w:lang w:val="en-US"/>
        </w:rPr>
        <w:t xml:space="preserve"> One of the officers of the technical support unit for the task force on knowledge and data worked at the secretariat in Bonn for a period, and the full team of the technical support unit visited the UNEP World Conservation Monitoring Centre in Cambridge. Further visits have been associated with meetings and workshops.</w:t>
      </w:r>
    </w:p>
  </w:footnote>
  <w:footnote w:id="22">
    <w:p w14:paraId="24A94F9B" w14:textId="77777777" w:rsidR="00004615" w:rsidRPr="00CE5DA1" w:rsidRDefault="00004615" w:rsidP="00532959">
      <w:pPr>
        <w:pStyle w:val="FootnoteText"/>
        <w:tabs>
          <w:tab w:val="clear" w:pos="1247"/>
          <w:tab w:val="clear" w:pos="1814"/>
          <w:tab w:val="clear" w:pos="2381"/>
          <w:tab w:val="clear" w:pos="2948"/>
          <w:tab w:val="clear" w:pos="3515"/>
          <w:tab w:val="left" w:pos="624"/>
        </w:tabs>
        <w:snapToGrid w:val="0"/>
        <w:rPr>
          <w:szCs w:val="18"/>
          <w:lang w:val="en-US"/>
        </w:rPr>
      </w:pPr>
      <w:r w:rsidRPr="00CE5DA1">
        <w:rPr>
          <w:rStyle w:val="FootnoteReference"/>
          <w:rFonts w:eastAsia="MS Gothic"/>
          <w:sz w:val="18"/>
        </w:rPr>
        <w:footnoteRef/>
      </w:r>
      <w:r w:rsidRPr="00CE5DA1">
        <w:rPr>
          <w:szCs w:val="18"/>
          <w:lang w:val="en-US"/>
        </w:rPr>
        <w:t xml:space="preserve"> The UNDP Biodiversity and Ecosystem Services Network initiative has indicated an interest in promoting what it refers to as “</w:t>
      </w:r>
      <w:proofErr w:type="spellStart"/>
      <w:r w:rsidRPr="00CE5DA1">
        <w:rPr>
          <w:szCs w:val="18"/>
          <w:lang w:val="en-US"/>
        </w:rPr>
        <w:t>trialogues</w:t>
      </w:r>
      <w:proofErr w:type="spellEnd"/>
      <w:r w:rsidRPr="00CE5DA1">
        <w:rPr>
          <w:szCs w:val="18"/>
          <w:lang w:val="en-US"/>
        </w:rPr>
        <w:t>” (bringing together knowledge holders, policymakers and practitioners) on the use of IPBES products. In addition, the task force is working with the Sub-Global Assessment Network, which is an existing community of practice among ecosystem assessment practitioners.</w:t>
      </w:r>
    </w:p>
  </w:footnote>
  <w:footnote w:id="23">
    <w:p w14:paraId="0E5FB205" w14:textId="31BD7E96" w:rsidR="00004615" w:rsidRPr="00CE5DA1" w:rsidRDefault="00004615" w:rsidP="00532959">
      <w:pPr>
        <w:pStyle w:val="FootnoteText"/>
        <w:tabs>
          <w:tab w:val="clear" w:pos="1247"/>
          <w:tab w:val="clear" w:pos="1814"/>
          <w:tab w:val="clear" w:pos="2381"/>
          <w:tab w:val="clear" w:pos="2948"/>
          <w:tab w:val="clear" w:pos="3515"/>
          <w:tab w:val="left" w:pos="624"/>
        </w:tabs>
        <w:snapToGrid w:val="0"/>
        <w:rPr>
          <w:szCs w:val="18"/>
          <w:lang w:val="en-US"/>
        </w:rPr>
      </w:pPr>
      <w:r w:rsidRPr="00CE5DA1">
        <w:rPr>
          <w:rStyle w:val="FootnoteReference"/>
          <w:rFonts w:eastAsia="MS Gothic"/>
          <w:sz w:val="18"/>
        </w:rPr>
        <w:footnoteRef/>
      </w:r>
      <w:r w:rsidRPr="00CE5DA1">
        <w:rPr>
          <w:szCs w:val="18"/>
          <w:lang w:val="en-US"/>
        </w:rPr>
        <w:t xml:space="preserve"> The IPBES data and information management plan was agreed on in </w:t>
      </w:r>
      <w:hyperlink r:id="rId4" w:history="1">
        <w:r w:rsidRPr="00CE5DA1">
          <w:rPr>
            <w:szCs w:val="18"/>
            <w:lang w:val="en-US"/>
          </w:rPr>
          <w:t>decision IPBES-3/1</w:t>
        </w:r>
      </w:hyperlink>
      <w:r w:rsidRPr="00CE5DA1">
        <w:rPr>
          <w:szCs w:val="18"/>
          <w:lang w:val="en-US"/>
        </w:rPr>
        <w:t xml:space="preserve"> and is set out in annex II to that decision.</w:t>
      </w:r>
    </w:p>
  </w:footnote>
  <w:footnote w:id="24">
    <w:p w14:paraId="083D32F3" w14:textId="77777777" w:rsidR="00004615" w:rsidRPr="00CE5DA1" w:rsidRDefault="00004615" w:rsidP="00532959">
      <w:pPr>
        <w:pStyle w:val="FootnoteText"/>
        <w:tabs>
          <w:tab w:val="right" w:pos="426"/>
          <w:tab w:val="left" w:pos="624"/>
        </w:tabs>
        <w:snapToGrid w:val="0"/>
        <w:rPr>
          <w:szCs w:val="18"/>
          <w:lang w:val="en-US"/>
        </w:rPr>
      </w:pPr>
      <w:r w:rsidRPr="00CE5DA1">
        <w:rPr>
          <w:rStyle w:val="FootnoteReference"/>
          <w:sz w:val="18"/>
        </w:rPr>
        <w:footnoteRef/>
      </w:r>
      <w:r w:rsidRPr="00CE5DA1">
        <w:rPr>
          <w:szCs w:val="18"/>
          <w:lang w:val="en-US"/>
        </w:rPr>
        <w:t xml:space="preserve"> IPBES guidance on the development of strategic partnerships and other collaborative arrangements was agreed on in </w:t>
      </w:r>
      <w:hyperlink r:id="rId5" w:history="1">
        <w:r w:rsidRPr="00CE5DA1">
          <w:rPr>
            <w:rStyle w:val="Hyperlink"/>
            <w:sz w:val="18"/>
            <w:szCs w:val="18"/>
            <w:lang w:val="en-US"/>
          </w:rPr>
          <w:t>d</w:t>
        </w:r>
        <w:r w:rsidRPr="00CE5DA1">
          <w:rPr>
            <w:rStyle w:val="Hyperlink"/>
            <w:rFonts w:eastAsia="Calibri"/>
            <w:sz w:val="18"/>
            <w:szCs w:val="18"/>
            <w:lang w:val="en-US"/>
          </w:rPr>
          <w:t>ecision</w:t>
        </w:r>
        <w:r w:rsidRPr="00CE5DA1">
          <w:rPr>
            <w:rStyle w:val="Hyperlink"/>
            <w:sz w:val="18"/>
            <w:szCs w:val="18"/>
            <w:lang w:val="en-US"/>
          </w:rPr>
          <w:t xml:space="preserve"> IPBES-3/4</w:t>
        </w:r>
      </w:hyperlink>
      <w:r w:rsidRPr="00CE5DA1">
        <w:rPr>
          <w:szCs w:val="18"/>
          <w:lang w:val="en-US"/>
        </w:rPr>
        <w:t>, and is set out in annex III to that decision.</w:t>
      </w:r>
    </w:p>
  </w:footnote>
  <w:footnote w:id="25">
    <w:p w14:paraId="2ED8528B" w14:textId="77777777" w:rsidR="00004615" w:rsidRPr="00CE5DA1" w:rsidRDefault="00004615" w:rsidP="00532959">
      <w:pPr>
        <w:pStyle w:val="FootnoteText"/>
        <w:tabs>
          <w:tab w:val="clear" w:pos="1247"/>
          <w:tab w:val="left" w:pos="624"/>
          <w:tab w:val="left" w:pos="851"/>
        </w:tabs>
        <w:snapToGrid w:val="0"/>
        <w:rPr>
          <w:szCs w:val="18"/>
          <w:lang w:val="en-US"/>
        </w:rPr>
      </w:pPr>
      <w:r w:rsidRPr="00CE5DA1">
        <w:rPr>
          <w:rStyle w:val="FootnoteReference"/>
          <w:sz w:val="18"/>
        </w:rPr>
        <w:footnoteRef/>
      </w:r>
      <w:r w:rsidRPr="00CE5DA1">
        <w:rPr>
          <w:szCs w:val="18"/>
          <w:lang w:val="en-US"/>
        </w:rPr>
        <w:t xml:space="preserve"> </w:t>
      </w:r>
      <w:r w:rsidRPr="00CE5DA1">
        <w:rPr>
          <w:rFonts w:eastAsia="Calibri"/>
          <w:szCs w:val="18"/>
          <w:lang w:val="en-US"/>
        </w:rPr>
        <w:t xml:space="preserve">The financial procedures for IPBES state that </w:t>
      </w:r>
      <w:r w:rsidRPr="00CE5DA1">
        <w:rPr>
          <w:rFonts w:eastAsia="Calibri"/>
          <w:iCs/>
          <w:szCs w:val="18"/>
          <w:lang w:val="en-US"/>
        </w:rPr>
        <w:t xml:space="preserve">“…additional contributions for specific activities approved by the Plenary may be accepted. Single contributions in excess of 300,000 United States dollars per contributor per activity require approval by the Plenary. </w:t>
      </w:r>
      <w:proofErr w:type="gramStart"/>
      <w:r w:rsidRPr="00CE5DA1">
        <w:rPr>
          <w:rFonts w:eastAsia="Calibri"/>
          <w:iCs/>
          <w:szCs w:val="18"/>
          <w:lang w:val="en-US"/>
        </w:rPr>
        <w:t>Single contributions not exceeding 300,000 United States dollars per contributor per activity require approval by the Bureau”</w:t>
      </w:r>
      <w:r w:rsidRPr="00CE5DA1">
        <w:rPr>
          <w:rFonts w:eastAsia="Calibri"/>
          <w:szCs w:val="18"/>
          <w:lang w:val="en-US"/>
        </w:rPr>
        <w:t xml:space="preserve"> (IPBES Financial Procedures, Rule 10).</w:t>
      </w:r>
      <w:proofErr w:type="gramEnd"/>
    </w:p>
  </w:footnote>
  <w:footnote w:id="26">
    <w:p w14:paraId="3BE3762A" w14:textId="2874C03D" w:rsidR="00004615" w:rsidRPr="00964A01" w:rsidRDefault="00004615" w:rsidP="00532959">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CE5DA1">
        <w:rPr>
          <w:rStyle w:val="FootnoteReference"/>
          <w:sz w:val="18"/>
        </w:rPr>
        <w:footnoteRef/>
      </w:r>
      <w:r w:rsidRPr="00964A01">
        <w:rPr>
          <w:sz w:val="18"/>
          <w:szCs w:val="18"/>
          <w:lang w:val="en-US"/>
        </w:rPr>
        <w:t xml:space="preserve"> In the “Procedures for working with indigenous and local knowledge systems” (</w:t>
      </w:r>
      <w:r>
        <w:rPr>
          <w:sz w:val="18"/>
          <w:szCs w:val="18"/>
          <w:lang w:val="en-US"/>
        </w:rPr>
        <w:t>D</w:t>
      </w:r>
      <w:r w:rsidRPr="00964A01">
        <w:rPr>
          <w:sz w:val="18"/>
          <w:szCs w:val="18"/>
          <w:lang w:val="en-US"/>
        </w:rPr>
        <w:t>ecision IPBES-4/3</w:t>
      </w:r>
      <w:r>
        <w:rPr>
          <w:sz w:val="18"/>
          <w:szCs w:val="18"/>
          <w:lang w:val="en-US"/>
        </w:rPr>
        <w:t>, annex</w:t>
      </w:r>
      <w:r w:rsidRPr="00964A01">
        <w:rPr>
          <w:sz w:val="18"/>
          <w:szCs w:val="18"/>
          <w:lang w:val="en-US"/>
        </w:rPr>
        <w:t>), the terms “indigenous and local knowledge experts” refer both to “indigenous and local knowledge experts” and to “experts on indigenous and local knowledge” according to the understanding of th</w:t>
      </w:r>
      <w:r>
        <w:rPr>
          <w:sz w:val="18"/>
          <w:szCs w:val="18"/>
          <w:lang w:val="en-US"/>
        </w:rPr>
        <w:t>o</w:t>
      </w:r>
      <w:r w:rsidRPr="00964A01">
        <w:rPr>
          <w:sz w:val="18"/>
          <w:szCs w:val="18"/>
          <w:lang w:val="en-US"/>
        </w:rPr>
        <w:t xml:space="preserve">se terms set out in the present paragraph. </w:t>
      </w:r>
    </w:p>
  </w:footnote>
  <w:footnote w:id="27">
    <w:p w14:paraId="2038F0AB" w14:textId="77777777" w:rsidR="00004615" w:rsidRPr="00CE5DA1" w:rsidRDefault="00004615" w:rsidP="00532959">
      <w:pPr>
        <w:pStyle w:val="FootnoteText"/>
        <w:tabs>
          <w:tab w:val="left" w:pos="624"/>
        </w:tabs>
        <w:rPr>
          <w:szCs w:val="18"/>
          <w:lang w:val="en-US"/>
        </w:rPr>
      </w:pPr>
      <w:r w:rsidRPr="00CE5DA1">
        <w:rPr>
          <w:rStyle w:val="FootnoteReference"/>
          <w:sz w:val="18"/>
        </w:rPr>
        <w:footnoteRef/>
      </w:r>
      <w:r w:rsidRPr="00CE5DA1">
        <w:rPr>
          <w:szCs w:val="18"/>
          <w:lang w:val="en-US"/>
        </w:rPr>
        <w:t xml:space="preserve"> </w:t>
      </w:r>
      <w:proofErr w:type="gramStart"/>
      <w:r w:rsidRPr="00964A01">
        <w:rPr>
          <w:szCs w:val="18"/>
          <w:lang w:val="en-US"/>
        </w:rPr>
        <w:t>Referred to in the guide for assessments (IPBES/5/INF/6).</w:t>
      </w:r>
      <w:proofErr w:type="gramEnd"/>
    </w:p>
  </w:footnote>
  <w:footnote w:id="28">
    <w:p w14:paraId="0EDEAF67" w14:textId="77777777" w:rsidR="00004615" w:rsidRPr="00964A01" w:rsidRDefault="00004615" w:rsidP="00532959">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CE5DA1">
        <w:rPr>
          <w:rStyle w:val="FootnoteReference"/>
          <w:sz w:val="18"/>
        </w:rPr>
        <w:footnoteRef/>
      </w:r>
      <w:r w:rsidRPr="00964A01">
        <w:rPr>
          <w:sz w:val="18"/>
          <w:szCs w:val="18"/>
          <w:lang w:val="en-US"/>
        </w:rPr>
        <w:t xml:space="preserve"> The draft preliminary agenda is set out in annex I to document IPBES/5/12.</w:t>
      </w:r>
    </w:p>
  </w:footnote>
  <w:footnote w:id="29">
    <w:p w14:paraId="6F1590B5" w14:textId="77777777" w:rsidR="00004615" w:rsidRPr="00004615" w:rsidRDefault="00004615" w:rsidP="00004615">
      <w:pPr>
        <w:pStyle w:val="Normalnumber"/>
        <w:tabs>
          <w:tab w:val="clear" w:pos="1247"/>
          <w:tab w:val="clear" w:pos="1814"/>
          <w:tab w:val="clear" w:pos="2381"/>
          <w:tab w:val="clear" w:pos="2948"/>
          <w:tab w:val="clear" w:pos="3515"/>
          <w:tab w:val="clear" w:pos="4082"/>
          <w:tab w:val="left" w:pos="624"/>
        </w:tabs>
        <w:ind w:left="1247"/>
        <w:rPr>
          <w:sz w:val="18"/>
          <w:szCs w:val="18"/>
          <w:lang w:val="en-US"/>
        </w:rPr>
      </w:pPr>
      <w:r w:rsidRPr="007E59B1">
        <w:rPr>
          <w:rStyle w:val="FootnoteReference"/>
        </w:rPr>
        <w:footnoteRef/>
      </w:r>
      <w:r w:rsidRPr="00125411">
        <w:rPr>
          <w:lang w:val="en-US"/>
        </w:rPr>
        <w:t xml:space="preserve"> </w:t>
      </w:r>
      <w:r w:rsidRPr="00004615">
        <w:rPr>
          <w:sz w:val="18"/>
          <w:szCs w:val="18"/>
          <w:lang w:val="en-US"/>
        </w:rPr>
        <w:t>By its decision IPBES-5/6, the Plenary adopted a revised annual budget for 2017 amounting to $8,732,772. The Plenary further adopted a revised budget of $5,000,000 for 2018. Accordingly, table 5 provides the approved budgets for 2017 and 2018. The budget for 2018 is based on the proposal made by the secretariat in document IPBES/5/10, adjusted in consultation with the Bureau to the $5,000,000 figure agreed to by the Plenary. The secretariat, in response to the request from the Plenary, will examine, in consultation with the Bureau, the implications of a $5,000,000 budget and options both above and below that amount, for consideration by the Plenary at its sixth session.</w:t>
      </w:r>
    </w:p>
    <w:p w14:paraId="36D51DE2" w14:textId="6E754D39" w:rsidR="00004615" w:rsidRPr="00004615" w:rsidRDefault="0000461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C136" w14:textId="57671FBB" w:rsidR="00004615" w:rsidRPr="00C40700" w:rsidRDefault="00004615" w:rsidP="00440196">
    <w:pPr>
      <w:pStyle w:val="Header"/>
      <w:rPr>
        <w:rFonts w:eastAsiaTheme="minorEastAsia"/>
        <w:szCs w:val="18"/>
        <w:lang w:eastAsia="zh-CN"/>
      </w:rPr>
    </w:pPr>
    <w:r w:rsidRPr="00D75480">
      <w:rPr>
        <w:szCs w:val="18"/>
      </w:rPr>
      <w:t>IPBES/5</w:t>
    </w:r>
    <w:r w:rsidRPr="00A00B62">
      <w:rPr>
        <w:rFonts w:eastAsiaTheme="minorEastAsia" w:hint="eastAsia"/>
        <w:szCs w:val="18"/>
        <w:lang w:eastAsia="zh-CN"/>
      </w:rPr>
      <w:t>/</w:t>
    </w:r>
    <w:r w:rsidRPr="007831BB">
      <w:rPr>
        <w:rFonts w:eastAsiaTheme="minorEastAsia"/>
        <w:szCs w:val="18"/>
        <w:lang w:eastAsia="zh-CN"/>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E429" w14:textId="2A393009" w:rsidR="00004615" w:rsidRPr="008C00D6" w:rsidRDefault="00004615" w:rsidP="00035EDE">
    <w:pPr>
      <w:pStyle w:val="Header"/>
      <w:jc w:val="right"/>
    </w:pPr>
    <w:r w:rsidRPr="00D75480">
      <w:rPr>
        <w:szCs w:val="18"/>
      </w:rPr>
      <w:t>IPBES/5</w:t>
    </w:r>
    <w:r w:rsidRPr="0017066A">
      <w:rPr>
        <w:szCs w:val="18"/>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3C95" w14:textId="52F9E230" w:rsidR="00004615" w:rsidRDefault="00004615" w:rsidP="0044019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CAF7" w14:textId="39C63EFC" w:rsidR="00004615" w:rsidRDefault="000046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E93B" w14:textId="056B0D83" w:rsidR="00004615" w:rsidRDefault="000046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CE168" w14:textId="6EF4A0B5" w:rsidR="00004615" w:rsidRPr="00BC2F02" w:rsidRDefault="00004615" w:rsidP="00BC2F02">
    <w:pPr>
      <w:pStyle w:val="Header"/>
      <w:jc w:val="right"/>
      <w:rPr>
        <w:rFonts w:eastAsiaTheme="minorEastAsia"/>
        <w:szCs w:val="18"/>
        <w:lang w:eastAsia="zh-CN"/>
      </w:rPr>
    </w:pPr>
    <w:r w:rsidRPr="00D75480">
      <w:rPr>
        <w:szCs w:val="18"/>
      </w:rPr>
      <w:t>IPBES/5</w:t>
    </w:r>
    <w:r w:rsidRPr="00A00B62">
      <w:rPr>
        <w:rFonts w:eastAsiaTheme="minorEastAsia" w:hint="eastAsia"/>
        <w:szCs w:val="18"/>
        <w:lang w:eastAsia="zh-CN"/>
      </w:rPr>
      <w:t>/</w:t>
    </w:r>
    <w:r w:rsidRPr="007831BB">
      <w:rPr>
        <w:rFonts w:eastAsiaTheme="minorEastAsia"/>
        <w:szCs w:val="18"/>
        <w:lang w:eastAsia="zh-CN"/>
      </w:rPr>
      <w:t>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BEDF" w14:textId="3D9FA488" w:rsidR="00004615" w:rsidRPr="00AC2543" w:rsidRDefault="00004615" w:rsidP="00BD1990">
    <w:pPr>
      <w:pStyle w:val="Header"/>
      <w:pBdr>
        <w:bottom w:val="single" w:sz="4" w:space="2" w:color="auto"/>
      </w:pBdr>
      <w:rPr>
        <w:szCs w:val="18"/>
      </w:rPr>
    </w:pPr>
    <w:r>
      <w:t>IPBES/5/15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5813" w14:textId="3077C967" w:rsidR="00004615" w:rsidRPr="000E2EF5" w:rsidRDefault="00004615" w:rsidP="000E2EF5">
    <w:pPr>
      <w:pStyle w:val="Header"/>
      <w:pBdr>
        <w:bottom w:val="single" w:sz="4" w:space="2" w:color="auto"/>
      </w:pBdr>
      <w:jc w:val="right"/>
      <w:rPr>
        <w:szCs w:val="18"/>
      </w:rPr>
    </w:pPr>
    <w:r>
      <w:t>IPBES/5/</w:t>
    </w:r>
    <w:r w:rsidRPr="00555D37">
      <w:t>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6513" w14:textId="76F20466" w:rsidR="00004615" w:rsidRPr="00BC2F02" w:rsidRDefault="00004615" w:rsidP="00BC2F02">
    <w:pPr>
      <w:pStyle w:val="Header"/>
      <w:rPr>
        <w:rFonts w:eastAsiaTheme="minorEastAsia"/>
        <w:szCs w:val="18"/>
        <w:lang w:eastAsia="zh-CN"/>
      </w:rPr>
    </w:pPr>
    <w:r w:rsidRPr="00D75480">
      <w:rPr>
        <w:szCs w:val="18"/>
      </w:rPr>
      <w:t>IPBES/5</w:t>
    </w:r>
    <w:r w:rsidRPr="00A00B62">
      <w:rPr>
        <w:rFonts w:eastAsiaTheme="minorEastAsia" w:hint="eastAsia"/>
        <w:szCs w:val="18"/>
        <w:lang w:eastAsia="zh-CN"/>
      </w:rPr>
      <w:t>/</w:t>
    </w:r>
    <w:r w:rsidRPr="007831BB">
      <w:rPr>
        <w:rFonts w:eastAsiaTheme="minorEastAsia"/>
        <w:szCs w:val="18"/>
        <w:lang w:eastAsia="zh-CN"/>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361F06"/>
    <w:lvl w:ilvl="0">
      <w:start w:val="1"/>
      <w:numFmt w:val="decimal"/>
      <w:lvlText w:val="%1."/>
      <w:lvlJc w:val="left"/>
      <w:pPr>
        <w:tabs>
          <w:tab w:val="num" w:pos="1492"/>
        </w:tabs>
        <w:ind w:left="1492" w:hanging="360"/>
      </w:pPr>
    </w:lvl>
  </w:abstractNum>
  <w:abstractNum w:abstractNumId="1">
    <w:nsid w:val="FFFFFF7D"/>
    <w:multiLevelType w:val="singleLevel"/>
    <w:tmpl w:val="3662D4E2"/>
    <w:lvl w:ilvl="0">
      <w:start w:val="1"/>
      <w:numFmt w:val="decimal"/>
      <w:lvlText w:val="%1."/>
      <w:lvlJc w:val="left"/>
      <w:pPr>
        <w:tabs>
          <w:tab w:val="num" w:pos="1209"/>
        </w:tabs>
        <w:ind w:left="1209" w:hanging="360"/>
      </w:pPr>
    </w:lvl>
  </w:abstractNum>
  <w:abstractNum w:abstractNumId="2">
    <w:nsid w:val="FFFFFF7E"/>
    <w:multiLevelType w:val="singleLevel"/>
    <w:tmpl w:val="7342482E"/>
    <w:lvl w:ilvl="0">
      <w:start w:val="1"/>
      <w:numFmt w:val="decimal"/>
      <w:lvlText w:val="%1."/>
      <w:lvlJc w:val="left"/>
      <w:pPr>
        <w:tabs>
          <w:tab w:val="num" w:pos="926"/>
        </w:tabs>
        <w:ind w:left="926" w:hanging="360"/>
      </w:pPr>
    </w:lvl>
  </w:abstractNum>
  <w:abstractNum w:abstractNumId="3">
    <w:nsid w:val="FFFFFF7F"/>
    <w:multiLevelType w:val="singleLevel"/>
    <w:tmpl w:val="ACD01F12"/>
    <w:lvl w:ilvl="0">
      <w:start w:val="1"/>
      <w:numFmt w:val="decimal"/>
      <w:lvlText w:val="%1."/>
      <w:lvlJc w:val="left"/>
      <w:pPr>
        <w:tabs>
          <w:tab w:val="num" w:pos="643"/>
        </w:tabs>
        <w:ind w:left="643" w:hanging="360"/>
      </w:pPr>
    </w:lvl>
  </w:abstractNum>
  <w:abstractNum w:abstractNumId="4">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6A0248"/>
    <w:lvl w:ilvl="0">
      <w:start w:val="1"/>
      <w:numFmt w:val="decimal"/>
      <w:lvlText w:val="%1."/>
      <w:lvlJc w:val="left"/>
      <w:pPr>
        <w:tabs>
          <w:tab w:val="num" w:pos="360"/>
        </w:tabs>
        <w:ind w:left="360" w:hanging="360"/>
      </w:pPr>
    </w:lvl>
  </w:abstractNum>
  <w:abstractNum w:abstractNumId="9">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13">
    <w:nsid w:val="04224976"/>
    <w:multiLevelType w:val="multilevel"/>
    <w:tmpl w:val="DD2802C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08C75F30"/>
    <w:multiLevelType w:val="hybridMultilevel"/>
    <w:tmpl w:val="74D811FC"/>
    <w:lvl w:ilvl="0" w:tplc="44FA8A48">
      <w:start w:val="1"/>
      <w:numFmt w:val="decimal"/>
      <w:lvlText w:val="%1."/>
      <w:lvlJc w:val="left"/>
      <w:pPr>
        <w:ind w:left="1980" w:hanging="360"/>
      </w:pPr>
      <w:rPr>
        <w:sz w:val="20"/>
        <w:szCs w:val="20"/>
      </w:r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16">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0BE3457D"/>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0C8039D7"/>
    <w:multiLevelType w:val="hybridMultilevel"/>
    <w:tmpl w:val="14C058D6"/>
    <w:lvl w:ilvl="0" w:tplc="677EB1E4">
      <w:start w:val="1"/>
      <w:numFmt w:val="lowerRoman"/>
      <w:lvlText w:val="(%1)"/>
      <w:lvlJc w:val="left"/>
      <w:pPr>
        <w:ind w:left="1967" w:hanging="360"/>
      </w:pPr>
      <w:rPr>
        <w:rFonts w:hint="default"/>
        <w:sz w:val="18"/>
        <w:szCs w:val="18"/>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0F4928CB"/>
    <w:multiLevelType w:val="hybridMultilevel"/>
    <w:tmpl w:val="FD0A121E"/>
    <w:lvl w:ilvl="0" w:tplc="1EFAD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3">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5">
    <w:nsid w:val="14F06BB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7">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3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1">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nsid w:val="1CAF287D"/>
    <w:multiLevelType w:val="hybridMultilevel"/>
    <w:tmpl w:val="6C240502"/>
    <w:lvl w:ilvl="0" w:tplc="354A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EC3EAD"/>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1F2516B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nsid w:val="21F5644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8">
    <w:nsid w:val="229431E5"/>
    <w:multiLevelType w:val="hybridMultilevel"/>
    <w:tmpl w:val="C20028B2"/>
    <w:lvl w:ilvl="0" w:tplc="EAFE9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41">
    <w:nsid w:val="290B574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2">
    <w:nsid w:val="29456B0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3">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5">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6">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48">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9">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1">
    <w:nsid w:val="374059AE"/>
    <w:multiLevelType w:val="multilevel"/>
    <w:tmpl w:val="5E428B5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2">
    <w:nsid w:val="37FF617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3">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4">
    <w:nsid w:val="39E836F1"/>
    <w:multiLevelType w:val="multilevel"/>
    <w:tmpl w:val="F2486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B7661F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6">
    <w:nsid w:val="3CAF45F8"/>
    <w:multiLevelType w:val="multilevel"/>
    <w:tmpl w:val="F36E6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0075A9"/>
    <w:multiLevelType w:val="multilevel"/>
    <w:tmpl w:val="28025D7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8">
    <w:nsid w:val="3D3553BD"/>
    <w:multiLevelType w:val="hybridMultilevel"/>
    <w:tmpl w:val="87322CEC"/>
    <w:lvl w:ilvl="0" w:tplc="DF765B2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1">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2">
    <w:nsid w:val="408F7AC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3">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61706A"/>
    <w:multiLevelType w:val="hybridMultilevel"/>
    <w:tmpl w:val="E5C418A8"/>
    <w:lvl w:ilvl="0" w:tplc="2ACC6046">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65">
    <w:nsid w:val="46364E56"/>
    <w:multiLevelType w:val="hybridMultilevel"/>
    <w:tmpl w:val="9E62B05A"/>
    <w:lvl w:ilvl="0" w:tplc="D8B4F444">
      <w:start w:val="1"/>
      <w:numFmt w:val="upperLetter"/>
      <w:lvlText w:val="%1."/>
      <w:lvlJc w:val="left"/>
      <w:pPr>
        <w:ind w:left="1248" w:hanging="62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66">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7">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8">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69">
    <w:nsid w:val="50A21B4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0">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525C4C5A"/>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2">
    <w:nsid w:val="526F3EA8"/>
    <w:multiLevelType w:val="multilevel"/>
    <w:tmpl w:val="0802AFF4"/>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3">
    <w:nsid w:val="52A66A9D"/>
    <w:multiLevelType w:val="multilevel"/>
    <w:tmpl w:val="E0C45CA0"/>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4">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5">
    <w:nsid w:val="56DF767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6">
    <w:nsid w:val="583B1FEA"/>
    <w:multiLevelType w:val="multilevel"/>
    <w:tmpl w:val="2D186E92"/>
    <w:lvl w:ilvl="0">
      <w:start w:val="1"/>
      <w:numFmt w:val="lowerLetter"/>
      <w:lvlText w:val="(%1)"/>
      <w:lvlJc w:val="left"/>
      <w:pPr>
        <w:tabs>
          <w:tab w:val="num" w:pos="3856"/>
        </w:tabs>
        <w:ind w:left="3969"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7">
    <w:nsid w:val="584E776B"/>
    <w:multiLevelType w:val="multilevel"/>
    <w:tmpl w:val="3E500CCE"/>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8">
    <w:nsid w:val="58F45339"/>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0">
    <w:nsid w:val="59A54C0F"/>
    <w:multiLevelType w:val="hybridMultilevel"/>
    <w:tmpl w:val="4856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82">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3">
    <w:nsid w:val="5DAC5CCD"/>
    <w:multiLevelType w:val="multilevel"/>
    <w:tmpl w:val="D93C5D62"/>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4">
    <w:nsid w:val="5EA5359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5">
    <w:nsid w:val="5EB800E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6">
    <w:nsid w:val="5FE1036D"/>
    <w:multiLevelType w:val="multilevel"/>
    <w:tmpl w:val="E78098BA"/>
    <w:lvl w:ilvl="0">
      <w:start w:val="1"/>
      <w:numFmt w:val="lowerLetter"/>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7">
    <w:nsid w:val="62291BF8"/>
    <w:multiLevelType w:val="multilevel"/>
    <w:tmpl w:val="96EEAC34"/>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8">
    <w:nsid w:val="63063168"/>
    <w:multiLevelType w:val="multilevel"/>
    <w:tmpl w:val="64DA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34942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0">
    <w:nsid w:val="68DE62E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1">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92">
    <w:nsid w:val="6AF3308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3">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94">
    <w:nsid w:val="6D996493"/>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5">
    <w:nsid w:val="6DA6504D"/>
    <w:multiLevelType w:val="hybridMultilevel"/>
    <w:tmpl w:val="B8623306"/>
    <w:lvl w:ilvl="0" w:tplc="B8CAC532">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97">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98">
    <w:nsid w:val="75E2347F"/>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9">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0">
    <w:nsid w:val="76613B07"/>
    <w:multiLevelType w:val="multilevel"/>
    <w:tmpl w:val="6534ED22"/>
    <w:lvl w:ilvl="0">
      <w:start w:val="1"/>
      <w:numFmt w:val="lowerLetter"/>
      <w:lvlText w:val="(%1)"/>
      <w:lvlJc w:val="left"/>
      <w:pPr>
        <w:ind w:left="1607" w:hanging="36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1">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2">
    <w:nsid w:val="779854D7"/>
    <w:multiLevelType w:val="hybridMultilevel"/>
    <w:tmpl w:val="F2FA0E88"/>
    <w:lvl w:ilvl="0" w:tplc="B8F6379A">
      <w:start w:val="1"/>
      <w:numFmt w:val="bullet"/>
      <w:lvlText w:val=""/>
      <w:lvlJc w:val="left"/>
      <w:pPr>
        <w:tabs>
          <w:tab w:val="num" w:pos="720"/>
        </w:tabs>
        <w:ind w:left="720" w:hanging="360"/>
      </w:pPr>
      <w:rPr>
        <w:rFonts w:ascii="Wingdings" w:hAnsi="Wingdings" w:hint="default"/>
      </w:rPr>
    </w:lvl>
    <w:lvl w:ilvl="1" w:tplc="98BE3632" w:tentative="1">
      <w:start w:val="1"/>
      <w:numFmt w:val="bullet"/>
      <w:lvlText w:val=""/>
      <w:lvlJc w:val="left"/>
      <w:pPr>
        <w:tabs>
          <w:tab w:val="num" w:pos="1440"/>
        </w:tabs>
        <w:ind w:left="1440" w:hanging="360"/>
      </w:pPr>
      <w:rPr>
        <w:rFonts w:ascii="Wingdings" w:hAnsi="Wingdings" w:hint="default"/>
      </w:rPr>
    </w:lvl>
    <w:lvl w:ilvl="2" w:tplc="7856F13A" w:tentative="1">
      <w:start w:val="1"/>
      <w:numFmt w:val="bullet"/>
      <w:lvlText w:val=""/>
      <w:lvlJc w:val="left"/>
      <w:pPr>
        <w:tabs>
          <w:tab w:val="num" w:pos="2160"/>
        </w:tabs>
        <w:ind w:left="2160" w:hanging="360"/>
      </w:pPr>
      <w:rPr>
        <w:rFonts w:ascii="Wingdings" w:hAnsi="Wingdings" w:hint="default"/>
      </w:rPr>
    </w:lvl>
    <w:lvl w:ilvl="3" w:tplc="DF9C01E6" w:tentative="1">
      <w:start w:val="1"/>
      <w:numFmt w:val="bullet"/>
      <w:lvlText w:val=""/>
      <w:lvlJc w:val="left"/>
      <w:pPr>
        <w:tabs>
          <w:tab w:val="num" w:pos="2880"/>
        </w:tabs>
        <w:ind w:left="2880" w:hanging="360"/>
      </w:pPr>
      <w:rPr>
        <w:rFonts w:ascii="Wingdings" w:hAnsi="Wingdings" w:hint="default"/>
      </w:rPr>
    </w:lvl>
    <w:lvl w:ilvl="4" w:tplc="14E03706" w:tentative="1">
      <w:start w:val="1"/>
      <w:numFmt w:val="bullet"/>
      <w:lvlText w:val=""/>
      <w:lvlJc w:val="left"/>
      <w:pPr>
        <w:tabs>
          <w:tab w:val="num" w:pos="3600"/>
        </w:tabs>
        <w:ind w:left="3600" w:hanging="360"/>
      </w:pPr>
      <w:rPr>
        <w:rFonts w:ascii="Wingdings" w:hAnsi="Wingdings" w:hint="default"/>
      </w:rPr>
    </w:lvl>
    <w:lvl w:ilvl="5" w:tplc="53380D20" w:tentative="1">
      <w:start w:val="1"/>
      <w:numFmt w:val="bullet"/>
      <w:lvlText w:val=""/>
      <w:lvlJc w:val="left"/>
      <w:pPr>
        <w:tabs>
          <w:tab w:val="num" w:pos="4320"/>
        </w:tabs>
        <w:ind w:left="4320" w:hanging="360"/>
      </w:pPr>
      <w:rPr>
        <w:rFonts w:ascii="Wingdings" w:hAnsi="Wingdings" w:hint="default"/>
      </w:rPr>
    </w:lvl>
    <w:lvl w:ilvl="6" w:tplc="FEC0B906" w:tentative="1">
      <w:start w:val="1"/>
      <w:numFmt w:val="bullet"/>
      <w:lvlText w:val=""/>
      <w:lvlJc w:val="left"/>
      <w:pPr>
        <w:tabs>
          <w:tab w:val="num" w:pos="5040"/>
        </w:tabs>
        <w:ind w:left="5040" w:hanging="360"/>
      </w:pPr>
      <w:rPr>
        <w:rFonts w:ascii="Wingdings" w:hAnsi="Wingdings" w:hint="default"/>
      </w:rPr>
    </w:lvl>
    <w:lvl w:ilvl="7" w:tplc="8B1087B2" w:tentative="1">
      <w:start w:val="1"/>
      <w:numFmt w:val="bullet"/>
      <w:lvlText w:val=""/>
      <w:lvlJc w:val="left"/>
      <w:pPr>
        <w:tabs>
          <w:tab w:val="num" w:pos="5760"/>
        </w:tabs>
        <w:ind w:left="5760" w:hanging="360"/>
      </w:pPr>
      <w:rPr>
        <w:rFonts w:ascii="Wingdings" w:hAnsi="Wingdings" w:hint="default"/>
      </w:rPr>
    </w:lvl>
    <w:lvl w:ilvl="8" w:tplc="5D561984" w:tentative="1">
      <w:start w:val="1"/>
      <w:numFmt w:val="bullet"/>
      <w:lvlText w:val=""/>
      <w:lvlJc w:val="left"/>
      <w:pPr>
        <w:tabs>
          <w:tab w:val="num" w:pos="6480"/>
        </w:tabs>
        <w:ind w:left="6480" w:hanging="360"/>
      </w:pPr>
      <w:rPr>
        <w:rFonts w:ascii="Wingdings" w:hAnsi="Wingdings" w:hint="default"/>
      </w:rPr>
    </w:lvl>
  </w:abstractNum>
  <w:abstractNum w:abstractNumId="103">
    <w:nsid w:val="7B140062"/>
    <w:multiLevelType w:val="hybridMultilevel"/>
    <w:tmpl w:val="80326740"/>
    <w:lvl w:ilvl="0" w:tplc="9B5A519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BA827D5"/>
    <w:multiLevelType w:val="hybridMultilevel"/>
    <w:tmpl w:val="ADE26A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6">
    <w:nsid w:val="7C337DE7"/>
    <w:multiLevelType w:val="multilevel"/>
    <w:tmpl w:val="72F8EE1A"/>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7">
    <w:nsid w:val="7CC61C97"/>
    <w:multiLevelType w:val="multilevel"/>
    <w:tmpl w:val="18DAE16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8">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3"/>
  </w:num>
  <w:num w:numId="2">
    <w:abstractNumId w:val="87"/>
  </w:num>
  <w:num w:numId="3">
    <w:abstractNumId w:val="30"/>
  </w:num>
  <w:num w:numId="4">
    <w:abstractNumId w:val="50"/>
  </w:num>
  <w:num w:numId="5">
    <w:abstractNumId w:val="27"/>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0"/>
  </w:num>
  <w:num w:numId="7">
    <w:abstractNumId w:val="87"/>
  </w:num>
  <w:num w:numId="8">
    <w:abstractNumId w:val="87"/>
  </w:num>
  <w:num w:numId="9">
    <w:abstractNumId w:val="58"/>
  </w:num>
  <w:num w:numId="10">
    <w:abstractNumId w:val="95"/>
  </w:num>
  <w:num w:numId="11">
    <w:abstractNumId w:val="92"/>
  </w:num>
  <w:num w:numId="12">
    <w:abstractNumId w:val="87"/>
  </w:num>
  <w:num w:numId="13">
    <w:abstractNumId w:val="87"/>
  </w:num>
  <w:num w:numId="14">
    <w:abstractNumId w:val="87"/>
  </w:num>
  <w:num w:numId="15">
    <w:abstractNumId w:val="87"/>
  </w:num>
  <w:num w:numId="16">
    <w:abstractNumId w:val="87"/>
  </w:num>
  <w:num w:numId="17">
    <w:abstractNumId w:val="87"/>
  </w:num>
  <w:num w:numId="18">
    <w:abstractNumId w:val="87"/>
  </w:num>
  <w:num w:numId="19">
    <w:abstractNumId w:val="87"/>
  </w:num>
  <w:num w:numId="20">
    <w:abstractNumId w:val="87"/>
  </w:num>
  <w:num w:numId="21">
    <w:abstractNumId w:val="87"/>
  </w:num>
  <w:num w:numId="22">
    <w:abstractNumId w:val="87"/>
  </w:num>
  <w:num w:numId="23">
    <w:abstractNumId w:val="87"/>
  </w:num>
  <w:num w:numId="24">
    <w:abstractNumId w:val="87"/>
  </w:num>
  <w:num w:numId="25">
    <w:abstractNumId w:val="87"/>
  </w:num>
  <w:num w:numId="26">
    <w:abstractNumId w:val="87"/>
  </w:num>
  <w:num w:numId="27">
    <w:abstractNumId w:val="87"/>
  </w:num>
  <w:num w:numId="28">
    <w:abstractNumId w:val="87"/>
  </w:num>
  <w:num w:numId="29">
    <w:abstractNumId w:val="87"/>
  </w:num>
  <w:num w:numId="30">
    <w:abstractNumId w:val="87"/>
  </w:num>
  <w:num w:numId="31">
    <w:abstractNumId w:val="87"/>
  </w:num>
  <w:num w:numId="32">
    <w:abstractNumId w:val="87"/>
  </w:num>
  <w:num w:numId="33">
    <w:abstractNumId w:val="87"/>
  </w:num>
  <w:num w:numId="34">
    <w:abstractNumId w:val="87"/>
  </w:num>
  <w:num w:numId="35">
    <w:abstractNumId w:val="87"/>
  </w:num>
  <w:num w:numId="36">
    <w:abstractNumId w:val="87"/>
  </w:num>
  <w:num w:numId="37">
    <w:abstractNumId w:val="87"/>
  </w:num>
  <w:num w:numId="38">
    <w:abstractNumId w:val="87"/>
  </w:num>
  <w:num w:numId="39">
    <w:abstractNumId w:val="87"/>
  </w:num>
  <w:num w:numId="40">
    <w:abstractNumId w:val="62"/>
  </w:num>
  <w:num w:numId="41">
    <w:abstractNumId w:val="80"/>
  </w:num>
  <w:num w:numId="42">
    <w:abstractNumId w:val="87"/>
  </w:num>
  <w:num w:numId="43">
    <w:abstractNumId w:val="87"/>
  </w:num>
  <w:num w:numId="44">
    <w:abstractNumId w:val="87"/>
  </w:num>
  <w:num w:numId="45">
    <w:abstractNumId w:val="87"/>
  </w:num>
  <w:num w:numId="46">
    <w:abstractNumId w:val="87"/>
  </w:num>
  <w:num w:numId="47">
    <w:abstractNumId w:val="87"/>
  </w:num>
  <w:num w:numId="48">
    <w:abstractNumId w:val="87"/>
  </w:num>
  <w:num w:numId="49">
    <w:abstractNumId w:val="87"/>
  </w:num>
  <w:num w:numId="50">
    <w:abstractNumId w:val="87"/>
  </w:num>
  <w:num w:numId="51">
    <w:abstractNumId w:val="87"/>
  </w:num>
  <w:num w:numId="52">
    <w:abstractNumId w:val="87"/>
  </w:num>
  <w:num w:numId="53">
    <w:abstractNumId w:val="87"/>
  </w:num>
  <w:num w:numId="54">
    <w:abstractNumId w:val="87"/>
  </w:num>
  <w:num w:numId="55">
    <w:abstractNumId w:val="87"/>
  </w:num>
  <w:num w:numId="56">
    <w:abstractNumId w:val="87"/>
  </w:num>
  <w:num w:numId="57">
    <w:abstractNumId w:val="87"/>
  </w:num>
  <w:num w:numId="58">
    <w:abstractNumId w:val="87"/>
  </w:num>
  <w:num w:numId="59">
    <w:abstractNumId w:val="87"/>
  </w:num>
  <w:num w:numId="60">
    <w:abstractNumId w:val="87"/>
  </w:num>
  <w:num w:numId="61">
    <w:abstractNumId w:val="87"/>
  </w:num>
  <w:num w:numId="62">
    <w:abstractNumId w:val="87"/>
  </w:num>
  <w:num w:numId="63">
    <w:abstractNumId w:val="87"/>
  </w:num>
  <w:num w:numId="64">
    <w:abstractNumId w:val="87"/>
  </w:num>
  <w:num w:numId="65">
    <w:abstractNumId w:val="87"/>
  </w:num>
  <w:num w:numId="66">
    <w:abstractNumId w:val="87"/>
  </w:num>
  <w:num w:numId="67">
    <w:abstractNumId w:val="87"/>
  </w:num>
  <w:num w:numId="68">
    <w:abstractNumId w:val="87"/>
  </w:num>
  <w:num w:numId="69">
    <w:abstractNumId w:val="87"/>
  </w:num>
  <w:num w:numId="70">
    <w:abstractNumId w:val="87"/>
  </w:num>
  <w:num w:numId="71">
    <w:abstractNumId w:val="87"/>
  </w:num>
  <w:num w:numId="72">
    <w:abstractNumId w:val="87"/>
  </w:num>
  <w:num w:numId="73">
    <w:abstractNumId w:val="87"/>
  </w:num>
  <w:num w:numId="74">
    <w:abstractNumId w:val="87"/>
  </w:num>
  <w:num w:numId="75">
    <w:abstractNumId w:val="87"/>
  </w:num>
  <w:num w:numId="76">
    <w:abstractNumId w:val="87"/>
  </w:num>
  <w:num w:numId="77">
    <w:abstractNumId w:val="87"/>
  </w:num>
  <w:num w:numId="78">
    <w:abstractNumId w:val="87"/>
  </w:num>
  <w:num w:numId="79">
    <w:abstractNumId w:val="87"/>
  </w:num>
  <w:num w:numId="80">
    <w:abstractNumId w:val="87"/>
  </w:num>
  <w:num w:numId="81">
    <w:abstractNumId w:val="87"/>
  </w:num>
  <w:num w:numId="82">
    <w:abstractNumId w:val="87"/>
  </w:num>
  <w:num w:numId="83">
    <w:abstractNumId w:val="87"/>
  </w:num>
  <w:num w:numId="84">
    <w:abstractNumId w:val="87"/>
  </w:num>
  <w:num w:numId="85">
    <w:abstractNumId w:val="87"/>
  </w:num>
  <w:num w:numId="86">
    <w:abstractNumId w:val="87"/>
  </w:num>
  <w:num w:numId="87">
    <w:abstractNumId w:val="87"/>
  </w:num>
  <w:num w:numId="88">
    <w:abstractNumId w:val="87"/>
  </w:num>
  <w:num w:numId="89">
    <w:abstractNumId w:val="87"/>
  </w:num>
  <w:num w:numId="90">
    <w:abstractNumId w:val="87"/>
  </w:num>
  <w:num w:numId="91">
    <w:abstractNumId w:val="87"/>
  </w:num>
  <w:num w:numId="92">
    <w:abstractNumId w:val="87"/>
  </w:num>
  <w:num w:numId="93">
    <w:abstractNumId w:val="87"/>
  </w:num>
  <w:num w:numId="94">
    <w:abstractNumId w:val="87"/>
  </w:num>
  <w:num w:numId="95">
    <w:abstractNumId w:val="87"/>
  </w:num>
  <w:num w:numId="96">
    <w:abstractNumId w:val="87"/>
  </w:num>
  <w:num w:numId="97">
    <w:abstractNumId w:val="87"/>
  </w:num>
  <w:num w:numId="98">
    <w:abstractNumId w:val="87"/>
  </w:num>
  <w:num w:numId="99">
    <w:abstractNumId w:val="87"/>
  </w:num>
  <w:num w:numId="100">
    <w:abstractNumId w:val="87"/>
  </w:num>
  <w:num w:numId="101">
    <w:abstractNumId w:val="87"/>
  </w:num>
  <w:num w:numId="102">
    <w:abstractNumId w:val="87"/>
  </w:num>
  <w:num w:numId="103">
    <w:abstractNumId w:val="87"/>
  </w:num>
  <w:num w:numId="104">
    <w:abstractNumId w:val="87"/>
  </w:num>
  <w:num w:numId="105">
    <w:abstractNumId w:val="87"/>
  </w:num>
  <w:num w:numId="106">
    <w:abstractNumId w:val="87"/>
  </w:num>
  <w:num w:numId="107">
    <w:abstractNumId w:val="87"/>
  </w:num>
  <w:num w:numId="108">
    <w:abstractNumId w:val="87"/>
  </w:num>
  <w:num w:numId="109">
    <w:abstractNumId w:val="87"/>
  </w:num>
  <w:num w:numId="110">
    <w:abstractNumId w:val="87"/>
  </w:num>
  <w:num w:numId="111">
    <w:abstractNumId w:val="87"/>
  </w:num>
  <w:num w:numId="112">
    <w:abstractNumId w:val="87"/>
  </w:num>
  <w:num w:numId="113">
    <w:abstractNumId w:val="87"/>
  </w:num>
  <w:num w:numId="114">
    <w:abstractNumId w:val="87"/>
  </w:num>
  <w:num w:numId="115">
    <w:abstractNumId w:val="87"/>
  </w:num>
  <w:num w:numId="116">
    <w:abstractNumId w:val="87"/>
  </w:num>
  <w:num w:numId="117">
    <w:abstractNumId w:val="87"/>
  </w:num>
  <w:num w:numId="118">
    <w:abstractNumId w:val="87"/>
  </w:num>
  <w:num w:numId="119">
    <w:abstractNumId w:val="87"/>
  </w:num>
  <w:num w:numId="120">
    <w:abstractNumId w:val="87"/>
  </w:num>
  <w:num w:numId="121">
    <w:abstractNumId w:val="87"/>
  </w:num>
  <w:num w:numId="122">
    <w:abstractNumId w:val="87"/>
  </w:num>
  <w:num w:numId="123">
    <w:abstractNumId w:val="87"/>
  </w:num>
  <w:num w:numId="124">
    <w:abstractNumId w:val="87"/>
  </w:num>
  <w:num w:numId="125">
    <w:abstractNumId w:val="87"/>
  </w:num>
  <w:num w:numId="126">
    <w:abstractNumId w:val="87"/>
  </w:num>
  <w:num w:numId="127">
    <w:abstractNumId w:val="87"/>
  </w:num>
  <w:num w:numId="128">
    <w:abstractNumId w:val="87"/>
  </w:num>
  <w:num w:numId="129">
    <w:abstractNumId w:val="87"/>
  </w:num>
  <w:num w:numId="130">
    <w:abstractNumId w:val="87"/>
  </w:num>
  <w:num w:numId="131">
    <w:abstractNumId w:val="87"/>
  </w:num>
  <w:num w:numId="132">
    <w:abstractNumId w:val="87"/>
  </w:num>
  <w:num w:numId="133">
    <w:abstractNumId w:val="87"/>
  </w:num>
  <w:num w:numId="134">
    <w:abstractNumId w:val="87"/>
  </w:num>
  <w:num w:numId="135">
    <w:abstractNumId w:val="87"/>
  </w:num>
  <w:num w:numId="136">
    <w:abstractNumId w:val="87"/>
  </w:num>
  <w:num w:numId="137">
    <w:abstractNumId w:val="87"/>
  </w:num>
  <w:num w:numId="138">
    <w:abstractNumId w:val="87"/>
  </w:num>
  <w:num w:numId="139">
    <w:abstractNumId w:val="87"/>
  </w:num>
  <w:num w:numId="140">
    <w:abstractNumId w:val="87"/>
  </w:num>
  <w:num w:numId="141">
    <w:abstractNumId w:val="87"/>
  </w:num>
  <w:num w:numId="142">
    <w:abstractNumId w:val="87"/>
  </w:num>
  <w:num w:numId="143">
    <w:abstractNumId w:val="87"/>
  </w:num>
  <w:num w:numId="144">
    <w:abstractNumId w:val="87"/>
  </w:num>
  <w:num w:numId="145">
    <w:abstractNumId w:val="87"/>
  </w:num>
  <w:num w:numId="146">
    <w:abstractNumId w:val="87"/>
  </w:num>
  <w:num w:numId="147">
    <w:abstractNumId w:val="87"/>
  </w:num>
  <w:num w:numId="148">
    <w:abstractNumId w:val="87"/>
  </w:num>
  <w:num w:numId="149">
    <w:abstractNumId w:val="87"/>
  </w:num>
  <w:num w:numId="150">
    <w:abstractNumId w:val="87"/>
  </w:num>
  <w:num w:numId="151">
    <w:abstractNumId w:val="87"/>
  </w:num>
  <w:num w:numId="152">
    <w:abstractNumId w:val="87"/>
  </w:num>
  <w:num w:numId="153">
    <w:abstractNumId w:val="87"/>
  </w:num>
  <w:num w:numId="154">
    <w:abstractNumId w:val="87"/>
  </w:num>
  <w:num w:numId="155">
    <w:abstractNumId w:val="87"/>
  </w:num>
  <w:num w:numId="156">
    <w:abstractNumId w:val="87"/>
  </w:num>
  <w:num w:numId="157">
    <w:abstractNumId w:val="87"/>
  </w:num>
  <w:num w:numId="158">
    <w:abstractNumId w:val="87"/>
  </w:num>
  <w:num w:numId="159">
    <w:abstractNumId w:val="87"/>
  </w:num>
  <w:num w:numId="160">
    <w:abstractNumId w:val="87"/>
  </w:num>
  <w:num w:numId="161">
    <w:abstractNumId w:val="87"/>
  </w:num>
  <w:num w:numId="162">
    <w:abstractNumId w:val="87"/>
  </w:num>
  <w:num w:numId="163">
    <w:abstractNumId w:val="87"/>
  </w:num>
  <w:num w:numId="164">
    <w:abstractNumId w:val="87"/>
  </w:num>
  <w:num w:numId="165">
    <w:abstractNumId w:val="87"/>
  </w:num>
  <w:num w:numId="166">
    <w:abstractNumId w:val="87"/>
  </w:num>
  <w:num w:numId="167">
    <w:abstractNumId w:val="87"/>
  </w:num>
  <w:num w:numId="168">
    <w:abstractNumId w:val="87"/>
  </w:num>
  <w:num w:numId="169">
    <w:abstractNumId w:val="87"/>
  </w:num>
  <w:num w:numId="170">
    <w:abstractNumId w:val="87"/>
  </w:num>
  <w:num w:numId="171">
    <w:abstractNumId w:val="87"/>
  </w:num>
  <w:num w:numId="172">
    <w:abstractNumId w:val="87"/>
  </w:num>
  <w:num w:numId="173">
    <w:abstractNumId w:val="87"/>
  </w:num>
  <w:num w:numId="174">
    <w:abstractNumId w:val="87"/>
  </w:num>
  <w:num w:numId="175">
    <w:abstractNumId w:val="87"/>
  </w:num>
  <w:num w:numId="176">
    <w:abstractNumId w:val="87"/>
  </w:num>
  <w:num w:numId="177">
    <w:abstractNumId w:val="87"/>
  </w:num>
  <w:num w:numId="178">
    <w:abstractNumId w:val="87"/>
  </w:num>
  <w:num w:numId="179">
    <w:abstractNumId w:val="87"/>
  </w:num>
  <w:num w:numId="180">
    <w:abstractNumId w:val="87"/>
  </w:num>
  <w:num w:numId="181">
    <w:abstractNumId w:val="87"/>
  </w:num>
  <w:num w:numId="182">
    <w:abstractNumId w:val="87"/>
  </w:num>
  <w:num w:numId="183">
    <w:abstractNumId w:val="87"/>
  </w:num>
  <w:num w:numId="184">
    <w:abstractNumId w:val="87"/>
  </w:num>
  <w:num w:numId="185">
    <w:abstractNumId w:val="87"/>
  </w:num>
  <w:num w:numId="186">
    <w:abstractNumId w:val="87"/>
  </w:num>
  <w:num w:numId="187">
    <w:abstractNumId w:val="87"/>
  </w:num>
  <w:num w:numId="188">
    <w:abstractNumId w:val="87"/>
  </w:num>
  <w:num w:numId="189">
    <w:abstractNumId w:val="87"/>
  </w:num>
  <w:num w:numId="190">
    <w:abstractNumId w:val="87"/>
  </w:num>
  <w:num w:numId="191">
    <w:abstractNumId w:val="94"/>
  </w:num>
  <w:num w:numId="192">
    <w:abstractNumId w:val="87"/>
  </w:num>
  <w:num w:numId="193">
    <w:abstractNumId w:val="87"/>
  </w:num>
  <w:num w:numId="194">
    <w:abstractNumId w:val="87"/>
  </w:num>
  <w:num w:numId="195">
    <w:abstractNumId w:val="87"/>
  </w:num>
  <w:num w:numId="196">
    <w:abstractNumId w:val="87"/>
  </w:num>
  <w:num w:numId="197">
    <w:abstractNumId w:val="87"/>
  </w:num>
  <w:num w:numId="198">
    <w:abstractNumId w:val="87"/>
  </w:num>
  <w:num w:numId="199">
    <w:abstractNumId w:val="87"/>
  </w:num>
  <w:num w:numId="200">
    <w:abstractNumId w:val="87"/>
  </w:num>
  <w:num w:numId="201">
    <w:abstractNumId w:val="87"/>
  </w:num>
  <w:num w:numId="202">
    <w:abstractNumId w:val="87"/>
  </w:num>
  <w:num w:numId="203">
    <w:abstractNumId w:val="87"/>
  </w:num>
  <w:num w:numId="204">
    <w:abstractNumId w:val="87"/>
  </w:num>
  <w:num w:numId="205">
    <w:abstractNumId w:val="87"/>
  </w:num>
  <w:num w:numId="206">
    <w:abstractNumId w:val="87"/>
  </w:num>
  <w:num w:numId="207">
    <w:abstractNumId w:val="87"/>
  </w:num>
  <w:num w:numId="208">
    <w:abstractNumId w:val="87"/>
  </w:num>
  <w:num w:numId="209">
    <w:abstractNumId w:val="87"/>
  </w:num>
  <w:num w:numId="210">
    <w:abstractNumId w:val="87"/>
  </w:num>
  <w:num w:numId="211">
    <w:abstractNumId w:val="87"/>
  </w:num>
  <w:num w:numId="212">
    <w:abstractNumId w:val="87"/>
  </w:num>
  <w:num w:numId="213">
    <w:abstractNumId w:val="87"/>
  </w:num>
  <w:num w:numId="214">
    <w:abstractNumId w:val="87"/>
  </w:num>
  <w:num w:numId="215">
    <w:abstractNumId w:val="87"/>
  </w:num>
  <w:num w:numId="216">
    <w:abstractNumId w:val="87"/>
  </w:num>
  <w:num w:numId="217">
    <w:abstractNumId w:val="87"/>
  </w:num>
  <w:num w:numId="218">
    <w:abstractNumId w:val="87"/>
  </w:num>
  <w:num w:numId="219">
    <w:abstractNumId w:val="87"/>
  </w:num>
  <w:num w:numId="220">
    <w:abstractNumId w:val="87"/>
  </w:num>
  <w:num w:numId="221">
    <w:abstractNumId w:val="87"/>
  </w:num>
  <w:num w:numId="222">
    <w:abstractNumId w:val="87"/>
  </w:num>
  <w:num w:numId="223">
    <w:abstractNumId w:val="87"/>
  </w:num>
  <w:num w:numId="224">
    <w:abstractNumId w:val="87"/>
  </w:num>
  <w:num w:numId="225">
    <w:abstractNumId w:val="87"/>
  </w:num>
  <w:num w:numId="226">
    <w:abstractNumId w:val="87"/>
  </w:num>
  <w:num w:numId="227">
    <w:abstractNumId w:val="87"/>
  </w:num>
  <w:num w:numId="228">
    <w:abstractNumId w:val="87"/>
  </w:num>
  <w:num w:numId="229">
    <w:abstractNumId w:val="87"/>
  </w:num>
  <w:num w:numId="230">
    <w:abstractNumId w:val="87"/>
  </w:num>
  <w:num w:numId="231">
    <w:abstractNumId w:val="87"/>
  </w:num>
  <w:num w:numId="232">
    <w:abstractNumId w:val="87"/>
  </w:num>
  <w:num w:numId="233">
    <w:abstractNumId w:val="87"/>
  </w:num>
  <w:num w:numId="234">
    <w:abstractNumId w:val="87"/>
  </w:num>
  <w:num w:numId="235">
    <w:abstractNumId w:val="87"/>
  </w:num>
  <w:num w:numId="236">
    <w:abstractNumId w:val="87"/>
  </w:num>
  <w:num w:numId="237">
    <w:abstractNumId w:val="87"/>
  </w:num>
  <w:num w:numId="238">
    <w:abstractNumId w:val="87"/>
  </w:num>
  <w:num w:numId="239">
    <w:abstractNumId w:val="87"/>
  </w:num>
  <w:num w:numId="240">
    <w:abstractNumId w:val="18"/>
  </w:num>
  <w:num w:numId="241">
    <w:abstractNumId w:val="70"/>
  </w:num>
  <w:num w:numId="242">
    <w:abstractNumId w:val="35"/>
  </w:num>
  <w:num w:numId="243">
    <w:abstractNumId w:val="9"/>
  </w:num>
  <w:num w:numId="244">
    <w:abstractNumId w:val="7"/>
  </w:num>
  <w:num w:numId="245">
    <w:abstractNumId w:val="6"/>
  </w:num>
  <w:num w:numId="246">
    <w:abstractNumId w:val="5"/>
  </w:num>
  <w:num w:numId="247">
    <w:abstractNumId w:val="4"/>
  </w:num>
  <w:num w:numId="248">
    <w:abstractNumId w:val="8"/>
  </w:num>
  <w:num w:numId="249">
    <w:abstractNumId w:val="3"/>
  </w:num>
  <w:num w:numId="250">
    <w:abstractNumId w:val="2"/>
  </w:num>
  <w:num w:numId="251">
    <w:abstractNumId w:val="1"/>
  </w:num>
  <w:num w:numId="252">
    <w:abstractNumId w:val="0"/>
  </w:num>
  <w:num w:numId="253">
    <w:abstractNumId w:val="97"/>
  </w:num>
  <w:num w:numId="254">
    <w:abstractNumId w:val="24"/>
  </w:num>
  <w:num w:numId="255">
    <w:abstractNumId w:val="101"/>
  </w:num>
  <w:num w:numId="256">
    <w:abstractNumId w:val="81"/>
  </w:num>
  <w:num w:numId="257">
    <w:abstractNumId w:val="68"/>
  </w:num>
  <w:num w:numId="258">
    <w:abstractNumId w:val="63"/>
  </w:num>
  <w:num w:numId="259">
    <w:abstractNumId w:val="26"/>
  </w:num>
  <w:num w:numId="260">
    <w:abstractNumId w:val="22"/>
  </w:num>
  <w:num w:numId="261">
    <w:abstractNumId w:val="61"/>
  </w:num>
  <w:num w:numId="262">
    <w:abstractNumId w:val="93"/>
  </w:num>
  <w:num w:numId="263">
    <w:abstractNumId w:val="59"/>
  </w:num>
  <w:num w:numId="264">
    <w:abstractNumId w:val="44"/>
  </w:num>
  <w:num w:numId="265">
    <w:abstractNumId w:val="91"/>
  </w:num>
  <w:num w:numId="266">
    <w:abstractNumId w:val="20"/>
  </w:num>
  <w:num w:numId="267">
    <w:abstractNumId w:val="96"/>
  </w:num>
  <w:num w:numId="268">
    <w:abstractNumId w:val="47"/>
  </w:num>
  <w:num w:numId="269">
    <w:abstractNumId w:val="27"/>
  </w:num>
  <w:num w:numId="270">
    <w:abstractNumId w:val="88"/>
  </w:num>
  <w:num w:numId="271">
    <w:abstractNumId w:val="54"/>
  </w:num>
  <w:num w:numId="272">
    <w:abstractNumId w:val="29"/>
  </w:num>
  <w:num w:numId="273">
    <w:abstractNumId w:val="15"/>
  </w:num>
  <w:num w:numId="274">
    <w:abstractNumId w:val="86"/>
  </w:num>
  <w:num w:numId="275">
    <w:abstractNumId w:val="19"/>
  </w:num>
  <w:num w:numId="276">
    <w:abstractNumId w:val="100"/>
  </w:num>
  <w:num w:numId="277">
    <w:abstractNumId w:val="57"/>
  </w:num>
  <w:num w:numId="278">
    <w:abstractNumId w:val="72"/>
  </w:num>
  <w:num w:numId="279">
    <w:abstractNumId w:val="13"/>
  </w:num>
  <w:num w:numId="280">
    <w:abstractNumId w:val="107"/>
  </w:num>
  <w:num w:numId="281">
    <w:abstractNumId w:val="83"/>
  </w:num>
  <w:num w:numId="282">
    <w:abstractNumId w:val="51"/>
  </w:num>
  <w:num w:numId="283">
    <w:abstractNumId w:val="73"/>
    <w:lvlOverride w:ilvl="0">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4">
    <w:abstractNumId w:val="7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5">
    <w:abstractNumId w:val="41"/>
  </w:num>
  <w:num w:numId="286">
    <w:abstractNumId w:val="25"/>
  </w:num>
  <w:num w:numId="287">
    <w:abstractNumId w:val="52"/>
  </w:num>
  <w:num w:numId="288">
    <w:abstractNumId w:val="36"/>
  </w:num>
  <w:num w:numId="289">
    <w:abstractNumId w:val="55"/>
  </w:num>
  <w:num w:numId="290">
    <w:abstractNumId w:val="69"/>
  </w:num>
  <w:num w:numId="291">
    <w:abstractNumId w:val="71"/>
  </w:num>
  <w:num w:numId="292">
    <w:abstractNumId w:val="75"/>
  </w:num>
  <w:num w:numId="293">
    <w:abstractNumId w:val="42"/>
  </w:num>
  <w:num w:numId="294">
    <w:abstractNumId w:val="90"/>
  </w:num>
  <w:num w:numId="295">
    <w:abstractNumId w:val="89"/>
  </w:num>
  <w:num w:numId="296">
    <w:abstractNumId w:val="84"/>
  </w:num>
  <w:num w:numId="297">
    <w:abstractNumId w:val="73"/>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8">
    <w:abstractNumId w:val="73"/>
    <w:lvlOverride w:ilvl="0">
      <w:startOverride w:val="1"/>
      <w:lvl w:ilvl="0">
        <w:start w:val="1"/>
        <w:numFmt w:val="decimal"/>
        <w:lvlText w:val="%1."/>
        <w:lvlJc w:val="left"/>
        <w:pPr>
          <w:tabs>
            <w:tab w:val="num" w:pos="1134"/>
          </w:tabs>
          <w:ind w:left="1247" w:firstLine="0"/>
        </w:pPr>
        <w:rPr>
          <w:rFonts w:hint="default"/>
        </w:rPr>
      </w:lvl>
    </w:lvlOverride>
    <w:lvlOverride w:ilvl="1">
      <w:startOverride w:val="2"/>
      <w:lvl w:ilvl="1">
        <w:start w:val="2"/>
        <w:numFmt w:val="lowerLetter"/>
        <w:lvlText w:val="(%2)"/>
        <w:lvlJc w:val="left"/>
        <w:pPr>
          <w:tabs>
            <w:tab w:val="num" w:pos="1134"/>
          </w:tabs>
          <w:ind w:left="1247" w:firstLine="567"/>
        </w:pPr>
        <w:rPr>
          <w:rFonts w:hint="default"/>
        </w:rPr>
      </w:lvl>
    </w:lvlOverride>
  </w:num>
  <w:num w:numId="299">
    <w:abstractNumId w:val="12"/>
  </w:num>
  <w:num w:numId="3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04"/>
  </w:num>
  <w:num w:numId="302">
    <w:abstractNumId w:val="77"/>
  </w:num>
  <w:num w:numId="303">
    <w:abstractNumId w:val="28"/>
  </w:num>
  <w:num w:numId="304">
    <w:abstractNumId w:val="82"/>
  </w:num>
  <w:num w:numId="305">
    <w:abstractNumId w:val="79"/>
  </w:num>
  <w:num w:numId="306">
    <w:abstractNumId w:val="45"/>
  </w:num>
  <w:num w:numId="307">
    <w:abstractNumId w:val="49"/>
  </w:num>
  <w:num w:numId="308">
    <w:abstractNumId w:val="23"/>
  </w:num>
  <w:num w:numId="309">
    <w:abstractNumId w:val="48"/>
  </w:num>
  <w:num w:numId="310">
    <w:abstractNumId w:val="14"/>
  </w:num>
  <w:num w:numId="311">
    <w:abstractNumId w:val="16"/>
  </w:num>
  <w:num w:numId="312">
    <w:abstractNumId w:val="34"/>
  </w:num>
  <w:num w:numId="313">
    <w:abstractNumId w:val="11"/>
  </w:num>
  <w:num w:numId="314">
    <w:abstractNumId w:val="43"/>
  </w:num>
  <w:num w:numId="315">
    <w:abstractNumId w:val="74"/>
  </w:num>
  <w:num w:numId="316">
    <w:abstractNumId w:val="10"/>
  </w:num>
  <w:num w:numId="317">
    <w:abstractNumId w:val="53"/>
  </w:num>
  <w:num w:numId="318">
    <w:abstractNumId w:val="31"/>
  </w:num>
  <w:num w:numId="319">
    <w:abstractNumId w:val="39"/>
  </w:num>
  <w:num w:numId="320">
    <w:abstractNumId w:val="64"/>
  </w:num>
  <w:num w:numId="321">
    <w:abstractNumId w:val="99"/>
  </w:num>
  <w:num w:numId="322">
    <w:abstractNumId w:val="76"/>
  </w:num>
  <w:num w:numId="323">
    <w:abstractNumId w:val="27"/>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4">
    <w:abstractNumId w:val="66"/>
  </w:num>
  <w:num w:numId="325">
    <w:abstractNumId w:val="65"/>
  </w:num>
  <w:num w:numId="326">
    <w:abstractNumId w:val="7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7">
    <w:abstractNumId w:val="7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8">
    <w:abstractNumId w:val="7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9">
    <w:abstractNumId w:val="7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30">
    <w:abstractNumId w:val="105"/>
  </w:num>
  <w:num w:numId="331">
    <w:abstractNumId w:val="73"/>
    <w:lvlOverride w:ilvl="0">
      <w:lvl w:ilvl="0">
        <w:start w:val="1"/>
        <w:numFmt w:val="decimal"/>
        <w:lvlText w:val="%1."/>
        <w:lvlJc w:val="left"/>
        <w:pPr>
          <w:tabs>
            <w:tab w:val="num" w:pos="1134"/>
          </w:tabs>
          <w:ind w:left="1247" w:firstLine="0"/>
        </w:pPr>
        <w:rPr>
          <w:rFonts w:hint="default"/>
        </w:rPr>
      </w:lvl>
    </w:lvlOverride>
  </w:num>
  <w:num w:numId="332">
    <w:abstractNumId w:val="108"/>
  </w:num>
  <w:num w:numId="333">
    <w:abstractNumId w:val="67"/>
  </w:num>
  <w:num w:numId="334">
    <w:abstractNumId w:val="46"/>
  </w:num>
  <w:num w:numId="335">
    <w:abstractNumId w:val="78"/>
  </w:num>
  <w:num w:numId="336">
    <w:abstractNumId w:val="33"/>
  </w:num>
  <w:num w:numId="337">
    <w:abstractNumId w:val="60"/>
  </w:num>
  <w:num w:numId="338">
    <w:abstractNumId w:val="37"/>
  </w:num>
  <w:num w:numId="339">
    <w:abstractNumId w:val="32"/>
  </w:num>
  <w:num w:numId="340">
    <w:abstractNumId w:val="21"/>
  </w:num>
  <w:num w:numId="341">
    <w:abstractNumId w:val="56"/>
  </w:num>
  <w:num w:numId="342">
    <w:abstractNumId w:val="27"/>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3">
    <w:abstractNumId w:val="73"/>
    <w:lvlOverride w:ilvl="0">
      <w:startOverride w:val="1"/>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73"/>
    <w:lvlOverride w:ilvl="0">
      <w:startOverride w:val="1"/>
      <w:lvl w:ilvl="0">
        <w:start w:val="1"/>
        <w:numFmt w:val="decimal"/>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46">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7">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8">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9">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0">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1">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2">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3">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4">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5">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6">
    <w:abstractNumId w:val="7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87"/>
  </w:num>
  <w:num w:numId="361">
    <w:abstractNumId w:val="87"/>
  </w:num>
  <w:num w:numId="362">
    <w:abstractNumId w:val="87"/>
  </w:num>
  <w:num w:numId="363">
    <w:abstractNumId w:val="87"/>
  </w:num>
  <w:num w:numId="364">
    <w:abstractNumId w:val="87"/>
  </w:num>
  <w:num w:numId="3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87"/>
  </w:num>
  <w:num w:numId="367">
    <w:abstractNumId w:val="87"/>
  </w:num>
  <w:num w:numId="368">
    <w:abstractNumId w:val="87"/>
  </w:num>
  <w:num w:numId="369">
    <w:abstractNumId w:val="87"/>
  </w:num>
  <w:num w:numId="370">
    <w:abstractNumId w:val="87"/>
  </w:num>
  <w:num w:numId="371">
    <w:abstractNumId w:val="87"/>
  </w:num>
  <w:num w:numId="372">
    <w:abstractNumId w:val="87"/>
  </w:num>
  <w:num w:numId="373">
    <w:abstractNumId w:val="87"/>
  </w:num>
  <w:num w:numId="374">
    <w:abstractNumId w:val="87"/>
  </w:num>
  <w:num w:numId="375">
    <w:abstractNumId w:val="87"/>
  </w:num>
  <w:num w:numId="3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85"/>
  </w:num>
  <w:num w:numId="378">
    <w:abstractNumId w:val="87"/>
  </w:num>
  <w:num w:numId="379">
    <w:abstractNumId w:val="87"/>
  </w:num>
  <w:num w:numId="380">
    <w:abstractNumId w:val="87"/>
  </w:num>
  <w:num w:numId="381">
    <w:abstractNumId w:val="87"/>
  </w:num>
  <w:num w:numId="382">
    <w:abstractNumId w:val="87"/>
  </w:num>
  <w:num w:numId="383">
    <w:abstractNumId w:val="87"/>
  </w:num>
  <w:num w:numId="384">
    <w:abstractNumId w:val="87"/>
  </w:num>
  <w:num w:numId="385">
    <w:abstractNumId w:val="87"/>
  </w:num>
  <w:num w:numId="386">
    <w:abstractNumId w:val="87"/>
  </w:num>
  <w:num w:numId="387">
    <w:abstractNumId w:val="87"/>
  </w:num>
  <w:num w:numId="388">
    <w:abstractNumId w:val="87"/>
  </w:num>
  <w:num w:numId="389">
    <w:abstractNumId w:val="87"/>
  </w:num>
  <w:num w:numId="390">
    <w:abstractNumId w:val="87"/>
  </w:num>
  <w:num w:numId="391">
    <w:abstractNumId w:val="98"/>
  </w:num>
  <w:num w:numId="3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87"/>
  </w:num>
  <w:num w:numId="394">
    <w:abstractNumId w:val="87"/>
  </w:num>
  <w:num w:numId="395">
    <w:abstractNumId w:val="87"/>
  </w:num>
  <w:num w:numId="396">
    <w:abstractNumId w:val="87"/>
  </w:num>
  <w:num w:numId="397">
    <w:abstractNumId w:val="87"/>
  </w:num>
  <w:num w:numId="398">
    <w:abstractNumId w:val="87"/>
  </w:num>
  <w:num w:numId="399">
    <w:abstractNumId w:val="87"/>
  </w:num>
  <w:num w:numId="400">
    <w:abstractNumId w:val="87"/>
  </w:num>
  <w:num w:numId="401">
    <w:abstractNumId w:val="87"/>
  </w:num>
  <w:num w:numId="402">
    <w:abstractNumId w:val="87"/>
  </w:num>
  <w:num w:numId="403">
    <w:abstractNumId w:val="87"/>
  </w:num>
  <w:num w:numId="404">
    <w:abstractNumId w:val="87"/>
  </w:num>
  <w:num w:numId="405">
    <w:abstractNumId w:val="87"/>
  </w:num>
  <w:num w:numId="406">
    <w:abstractNumId w:val="87"/>
  </w:num>
  <w:num w:numId="407">
    <w:abstractNumId w:val="87"/>
  </w:num>
  <w:num w:numId="408">
    <w:abstractNumId w:val="87"/>
  </w:num>
  <w:num w:numId="409">
    <w:abstractNumId w:val="87"/>
  </w:num>
  <w:num w:numId="410">
    <w:abstractNumId w:val="87"/>
  </w:num>
  <w:num w:numId="411">
    <w:abstractNumId w:val="87"/>
  </w:num>
  <w:num w:numId="412">
    <w:abstractNumId w:val="87"/>
  </w:num>
  <w:num w:numId="413">
    <w:abstractNumId w:val="87"/>
  </w:num>
  <w:num w:numId="414">
    <w:abstractNumId w:val="87"/>
  </w:num>
  <w:num w:numId="415">
    <w:abstractNumId w:val="87"/>
  </w:num>
  <w:num w:numId="416">
    <w:abstractNumId w:val="87"/>
  </w:num>
  <w:num w:numId="417">
    <w:abstractNumId w:val="87"/>
  </w:num>
  <w:num w:numId="418">
    <w:abstractNumId w:val="87"/>
  </w:num>
  <w:num w:numId="419">
    <w:abstractNumId w:val="87"/>
  </w:num>
  <w:num w:numId="420">
    <w:abstractNumId w:val="87"/>
  </w:num>
  <w:num w:numId="421">
    <w:abstractNumId w:val="87"/>
  </w:num>
  <w:num w:numId="422">
    <w:abstractNumId w:val="87"/>
  </w:num>
  <w:num w:numId="423">
    <w:abstractNumId w:val="87"/>
  </w:num>
  <w:num w:numId="424">
    <w:abstractNumId w:val="87"/>
  </w:num>
  <w:num w:numId="425">
    <w:abstractNumId w:val="87"/>
  </w:num>
  <w:num w:numId="426">
    <w:abstractNumId w:val="87"/>
  </w:num>
  <w:num w:numId="427">
    <w:abstractNumId w:val="87"/>
  </w:num>
  <w:num w:numId="428">
    <w:abstractNumId w:val="87"/>
  </w:num>
  <w:num w:numId="429">
    <w:abstractNumId w:val="87"/>
  </w:num>
  <w:num w:numId="430">
    <w:abstractNumId w:val="87"/>
  </w:num>
  <w:num w:numId="431">
    <w:abstractNumId w:val="87"/>
  </w:num>
  <w:num w:numId="432">
    <w:abstractNumId w:val="87"/>
  </w:num>
  <w:num w:numId="433">
    <w:abstractNumId w:val="87"/>
  </w:num>
  <w:num w:numId="434">
    <w:abstractNumId w:val="87"/>
  </w:num>
  <w:num w:numId="435">
    <w:abstractNumId w:val="87"/>
  </w:num>
  <w:num w:numId="436">
    <w:abstractNumId w:val="87"/>
  </w:num>
  <w:num w:numId="437">
    <w:abstractNumId w:val="17"/>
  </w:num>
  <w:num w:numId="4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87"/>
  </w:num>
  <w:num w:numId="440">
    <w:abstractNumId w:val="87"/>
  </w:num>
  <w:num w:numId="441">
    <w:abstractNumId w:val="87"/>
  </w:num>
  <w:num w:numId="442">
    <w:abstractNumId w:val="87"/>
  </w:num>
  <w:num w:numId="4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87"/>
  </w:num>
  <w:num w:numId="445">
    <w:abstractNumId w:val="87"/>
  </w:num>
  <w:num w:numId="446">
    <w:abstractNumId w:val="87"/>
  </w:num>
  <w:num w:numId="447">
    <w:abstractNumId w:val="87"/>
  </w:num>
  <w:num w:numId="448">
    <w:abstractNumId w:val="87"/>
  </w:num>
  <w:num w:numId="449">
    <w:abstractNumId w:val="87"/>
  </w:num>
  <w:num w:numId="450">
    <w:abstractNumId w:val="87"/>
  </w:num>
  <w:num w:numId="451">
    <w:abstractNumId w:val="87"/>
  </w:num>
  <w:num w:numId="452">
    <w:abstractNumId w:val="87"/>
  </w:num>
  <w:num w:numId="453">
    <w:abstractNumId w:val="87"/>
  </w:num>
  <w:num w:numId="454">
    <w:abstractNumId w:val="87"/>
  </w:num>
  <w:num w:numId="455">
    <w:abstractNumId w:val="87"/>
  </w:num>
  <w:num w:numId="456">
    <w:abstractNumId w:val="87"/>
  </w:num>
  <w:num w:numId="457">
    <w:abstractNumId w:val="87"/>
  </w:num>
  <w:num w:numId="458">
    <w:abstractNumId w:val="87"/>
  </w:num>
  <w:num w:numId="459">
    <w:abstractNumId w:val="87"/>
  </w:num>
  <w:num w:numId="460">
    <w:abstractNumId w:val="87"/>
  </w:num>
  <w:num w:numId="461">
    <w:abstractNumId w:val="87"/>
  </w:num>
  <w:num w:numId="462">
    <w:abstractNumId w:val="87"/>
  </w:num>
  <w:num w:numId="463">
    <w:abstractNumId w:val="87"/>
  </w:num>
  <w:num w:numId="464">
    <w:abstractNumId w:val="87"/>
  </w:num>
  <w:num w:numId="465">
    <w:abstractNumId w:val="87"/>
  </w:num>
  <w:num w:numId="466">
    <w:abstractNumId w:val="87"/>
  </w:num>
  <w:num w:numId="467">
    <w:abstractNumId w:val="87"/>
  </w:num>
  <w:num w:numId="468">
    <w:abstractNumId w:val="87"/>
  </w:num>
  <w:num w:numId="469">
    <w:abstractNumId w:val="87"/>
  </w:num>
  <w:num w:numId="470">
    <w:abstractNumId w:val="87"/>
  </w:num>
  <w:num w:numId="471">
    <w:abstractNumId w:val="87"/>
  </w:num>
  <w:num w:numId="472">
    <w:abstractNumId w:val="87"/>
  </w:num>
  <w:num w:numId="473">
    <w:abstractNumId w:val="87"/>
  </w:num>
  <w:num w:numId="474">
    <w:abstractNumId w:val="87"/>
  </w:num>
  <w:num w:numId="475">
    <w:abstractNumId w:val="87"/>
  </w:num>
  <w:num w:numId="476">
    <w:abstractNumId w:val="87"/>
  </w:num>
  <w:num w:numId="477">
    <w:abstractNumId w:val="87"/>
  </w:num>
  <w:num w:numId="478">
    <w:abstractNumId w:val="38"/>
  </w:num>
  <w:num w:numId="479">
    <w:abstractNumId w:val="102"/>
  </w:num>
  <w:num w:numId="480">
    <w:abstractNumId w:val="106"/>
  </w:num>
  <w:num w:numId="481">
    <w:abstractNumId w:val="103"/>
  </w:num>
  <w:numIdMacAtCleanup w:val="4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Dowdall">
    <w15:presenceInfo w15:providerId="None" w15:userId="Joanna Dow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ctiveWritingStyle w:appName="MSWord" w:lang="en-AU" w:vendorID="64" w:dllVersion="0" w:nlCheck="1" w:checkStyle="1"/>
  <w:activeWritingStyle w:appName="MSWord" w:lang="de-DE" w:vendorID="64" w:dllVersion="0" w:nlCheck="1" w:checkStyle="1"/>
  <w:activeWritingStyle w:appName="MSWord" w:lang="fr-BE"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69"/>
    <w:rsid w:val="00000348"/>
    <w:rsid w:val="0000280B"/>
    <w:rsid w:val="00004615"/>
    <w:rsid w:val="00005CEB"/>
    <w:rsid w:val="000061D4"/>
    <w:rsid w:val="000069B9"/>
    <w:rsid w:val="000077FB"/>
    <w:rsid w:val="00012DEE"/>
    <w:rsid w:val="0001341F"/>
    <w:rsid w:val="00013A73"/>
    <w:rsid w:val="000149E6"/>
    <w:rsid w:val="000156F7"/>
    <w:rsid w:val="00020B93"/>
    <w:rsid w:val="000219F6"/>
    <w:rsid w:val="00021D45"/>
    <w:rsid w:val="00022C02"/>
    <w:rsid w:val="00022EFA"/>
    <w:rsid w:val="00024164"/>
    <w:rsid w:val="000247B0"/>
    <w:rsid w:val="000250EB"/>
    <w:rsid w:val="00026997"/>
    <w:rsid w:val="00032908"/>
    <w:rsid w:val="00033E0B"/>
    <w:rsid w:val="0003486B"/>
    <w:rsid w:val="00034C5A"/>
    <w:rsid w:val="00035187"/>
    <w:rsid w:val="00035EDE"/>
    <w:rsid w:val="000361FA"/>
    <w:rsid w:val="0003674E"/>
    <w:rsid w:val="00037111"/>
    <w:rsid w:val="00041734"/>
    <w:rsid w:val="000429D4"/>
    <w:rsid w:val="000433EF"/>
    <w:rsid w:val="00043722"/>
    <w:rsid w:val="00043B1C"/>
    <w:rsid w:val="00046629"/>
    <w:rsid w:val="000466C5"/>
    <w:rsid w:val="00046B36"/>
    <w:rsid w:val="00047700"/>
    <w:rsid w:val="0005006D"/>
    <w:rsid w:val="00050560"/>
    <w:rsid w:val="00050650"/>
    <w:rsid w:val="000509B4"/>
    <w:rsid w:val="00050B69"/>
    <w:rsid w:val="00053984"/>
    <w:rsid w:val="00055AA1"/>
    <w:rsid w:val="0006035B"/>
    <w:rsid w:val="00061F92"/>
    <w:rsid w:val="0006232F"/>
    <w:rsid w:val="000638F6"/>
    <w:rsid w:val="00063FD9"/>
    <w:rsid w:val="0006429C"/>
    <w:rsid w:val="000645B1"/>
    <w:rsid w:val="000667ED"/>
    <w:rsid w:val="00066D89"/>
    <w:rsid w:val="00067929"/>
    <w:rsid w:val="00070ACA"/>
    <w:rsid w:val="0007166E"/>
    <w:rsid w:val="00071886"/>
    <w:rsid w:val="00071F87"/>
    <w:rsid w:val="000742BC"/>
    <w:rsid w:val="00074A2F"/>
    <w:rsid w:val="000764D0"/>
    <w:rsid w:val="000767C5"/>
    <w:rsid w:val="0007721C"/>
    <w:rsid w:val="00082A0C"/>
    <w:rsid w:val="00082CBF"/>
    <w:rsid w:val="00083504"/>
    <w:rsid w:val="00083940"/>
    <w:rsid w:val="00085F45"/>
    <w:rsid w:val="000861B1"/>
    <w:rsid w:val="0008641D"/>
    <w:rsid w:val="000864A0"/>
    <w:rsid w:val="0008779A"/>
    <w:rsid w:val="0009015E"/>
    <w:rsid w:val="00090258"/>
    <w:rsid w:val="00090B2D"/>
    <w:rsid w:val="000912D6"/>
    <w:rsid w:val="000916E6"/>
    <w:rsid w:val="000925EF"/>
    <w:rsid w:val="00094301"/>
    <w:rsid w:val="00095989"/>
    <w:rsid w:val="0009640C"/>
    <w:rsid w:val="0009643A"/>
    <w:rsid w:val="000A0040"/>
    <w:rsid w:val="000A0E4E"/>
    <w:rsid w:val="000A11C8"/>
    <w:rsid w:val="000A218C"/>
    <w:rsid w:val="000A23D3"/>
    <w:rsid w:val="000A24A8"/>
    <w:rsid w:val="000A2AE9"/>
    <w:rsid w:val="000A2D29"/>
    <w:rsid w:val="000A4A4F"/>
    <w:rsid w:val="000A53CE"/>
    <w:rsid w:val="000A55CA"/>
    <w:rsid w:val="000A64D8"/>
    <w:rsid w:val="000A7D5F"/>
    <w:rsid w:val="000B1695"/>
    <w:rsid w:val="000B21D5"/>
    <w:rsid w:val="000B22A2"/>
    <w:rsid w:val="000B3ECF"/>
    <w:rsid w:val="000B3F6F"/>
    <w:rsid w:val="000B4A3F"/>
    <w:rsid w:val="000B5CE8"/>
    <w:rsid w:val="000B6330"/>
    <w:rsid w:val="000B6BE1"/>
    <w:rsid w:val="000B7A4F"/>
    <w:rsid w:val="000C0B01"/>
    <w:rsid w:val="000C2A52"/>
    <w:rsid w:val="000C3A57"/>
    <w:rsid w:val="000C4EB3"/>
    <w:rsid w:val="000C6468"/>
    <w:rsid w:val="000D0115"/>
    <w:rsid w:val="000D1B7C"/>
    <w:rsid w:val="000D2512"/>
    <w:rsid w:val="000D2A37"/>
    <w:rsid w:val="000D33C0"/>
    <w:rsid w:val="000D37BD"/>
    <w:rsid w:val="000D48A0"/>
    <w:rsid w:val="000D4EAD"/>
    <w:rsid w:val="000D672F"/>
    <w:rsid w:val="000D6941"/>
    <w:rsid w:val="000D74EB"/>
    <w:rsid w:val="000E07FE"/>
    <w:rsid w:val="000E149C"/>
    <w:rsid w:val="000E1B11"/>
    <w:rsid w:val="000E2EF5"/>
    <w:rsid w:val="000E372D"/>
    <w:rsid w:val="000E3964"/>
    <w:rsid w:val="000E4722"/>
    <w:rsid w:val="000E4840"/>
    <w:rsid w:val="000E537A"/>
    <w:rsid w:val="000E587C"/>
    <w:rsid w:val="000E677E"/>
    <w:rsid w:val="000F53AB"/>
    <w:rsid w:val="000F68B5"/>
    <w:rsid w:val="000F6DC5"/>
    <w:rsid w:val="0010455C"/>
    <w:rsid w:val="0010538F"/>
    <w:rsid w:val="00106830"/>
    <w:rsid w:val="00107105"/>
    <w:rsid w:val="001118B1"/>
    <w:rsid w:val="001139E9"/>
    <w:rsid w:val="00114669"/>
    <w:rsid w:val="00115C25"/>
    <w:rsid w:val="00116C81"/>
    <w:rsid w:val="00117E4B"/>
    <w:rsid w:val="001202E3"/>
    <w:rsid w:val="001205D6"/>
    <w:rsid w:val="00120EE3"/>
    <w:rsid w:val="00120FFA"/>
    <w:rsid w:val="00121C0B"/>
    <w:rsid w:val="00123699"/>
    <w:rsid w:val="001237EA"/>
    <w:rsid w:val="001238FA"/>
    <w:rsid w:val="0012397B"/>
    <w:rsid w:val="00123EC6"/>
    <w:rsid w:val="00125411"/>
    <w:rsid w:val="00126115"/>
    <w:rsid w:val="001266B4"/>
    <w:rsid w:val="00126AF2"/>
    <w:rsid w:val="00127D72"/>
    <w:rsid w:val="0013059D"/>
    <w:rsid w:val="0013081C"/>
    <w:rsid w:val="00130DC7"/>
    <w:rsid w:val="00131EC3"/>
    <w:rsid w:val="001409E5"/>
    <w:rsid w:val="0014147C"/>
    <w:rsid w:val="00141A55"/>
    <w:rsid w:val="00143A84"/>
    <w:rsid w:val="001446A3"/>
    <w:rsid w:val="0014507D"/>
    <w:rsid w:val="001450B2"/>
    <w:rsid w:val="001452C5"/>
    <w:rsid w:val="00145FFB"/>
    <w:rsid w:val="00146C19"/>
    <w:rsid w:val="00147F69"/>
    <w:rsid w:val="00150AAD"/>
    <w:rsid w:val="0015140E"/>
    <w:rsid w:val="001535BC"/>
    <w:rsid w:val="00153C84"/>
    <w:rsid w:val="0015488C"/>
    <w:rsid w:val="00155395"/>
    <w:rsid w:val="001566CE"/>
    <w:rsid w:val="001574BC"/>
    <w:rsid w:val="00157D50"/>
    <w:rsid w:val="00160376"/>
    <w:rsid w:val="00160BD4"/>
    <w:rsid w:val="001622D3"/>
    <w:rsid w:val="00162597"/>
    <w:rsid w:val="00166532"/>
    <w:rsid w:val="001667D0"/>
    <w:rsid w:val="001669B6"/>
    <w:rsid w:val="0017248E"/>
    <w:rsid w:val="0017430F"/>
    <w:rsid w:val="0017661F"/>
    <w:rsid w:val="001767A9"/>
    <w:rsid w:val="00177294"/>
    <w:rsid w:val="001773CD"/>
    <w:rsid w:val="001812AC"/>
    <w:rsid w:val="00181EC8"/>
    <w:rsid w:val="0018248D"/>
    <w:rsid w:val="00183ECA"/>
    <w:rsid w:val="00184349"/>
    <w:rsid w:val="00185DE5"/>
    <w:rsid w:val="00186BE6"/>
    <w:rsid w:val="00187021"/>
    <w:rsid w:val="001874AC"/>
    <w:rsid w:val="00190570"/>
    <w:rsid w:val="00192532"/>
    <w:rsid w:val="00195081"/>
    <w:rsid w:val="00195F33"/>
    <w:rsid w:val="00196C39"/>
    <w:rsid w:val="001A0248"/>
    <w:rsid w:val="001A03C6"/>
    <w:rsid w:val="001A1D42"/>
    <w:rsid w:val="001A30BE"/>
    <w:rsid w:val="001A4A54"/>
    <w:rsid w:val="001B0C7B"/>
    <w:rsid w:val="001B1607"/>
    <w:rsid w:val="001B1617"/>
    <w:rsid w:val="001B1EB6"/>
    <w:rsid w:val="001B3C60"/>
    <w:rsid w:val="001B4189"/>
    <w:rsid w:val="001B504B"/>
    <w:rsid w:val="001B5D09"/>
    <w:rsid w:val="001B63E9"/>
    <w:rsid w:val="001B78BF"/>
    <w:rsid w:val="001C032C"/>
    <w:rsid w:val="001C1BA6"/>
    <w:rsid w:val="001C4B5C"/>
    <w:rsid w:val="001D1354"/>
    <w:rsid w:val="001D2417"/>
    <w:rsid w:val="001D3874"/>
    <w:rsid w:val="001D4A29"/>
    <w:rsid w:val="001D791C"/>
    <w:rsid w:val="001D7E75"/>
    <w:rsid w:val="001E1096"/>
    <w:rsid w:val="001E202C"/>
    <w:rsid w:val="001E3422"/>
    <w:rsid w:val="001E56D2"/>
    <w:rsid w:val="001E7ACA"/>
    <w:rsid w:val="001E7D56"/>
    <w:rsid w:val="001F026A"/>
    <w:rsid w:val="001F1FF2"/>
    <w:rsid w:val="001F21CC"/>
    <w:rsid w:val="001F24E7"/>
    <w:rsid w:val="001F460C"/>
    <w:rsid w:val="001F75DE"/>
    <w:rsid w:val="00200A18"/>
    <w:rsid w:val="00200D58"/>
    <w:rsid w:val="002013BE"/>
    <w:rsid w:val="00201BEE"/>
    <w:rsid w:val="002031C4"/>
    <w:rsid w:val="00204A96"/>
    <w:rsid w:val="00204AD7"/>
    <w:rsid w:val="00204C0B"/>
    <w:rsid w:val="00204E13"/>
    <w:rsid w:val="002062A2"/>
    <w:rsid w:val="002063A4"/>
    <w:rsid w:val="002069BA"/>
    <w:rsid w:val="00210EC6"/>
    <w:rsid w:val="0021145B"/>
    <w:rsid w:val="00211705"/>
    <w:rsid w:val="00213E07"/>
    <w:rsid w:val="00214E84"/>
    <w:rsid w:val="002150BB"/>
    <w:rsid w:val="0021669A"/>
    <w:rsid w:val="00216DBD"/>
    <w:rsid w:val="002173C0"/>
    <w:rsid w:val="00220F56"/>
    <w:rsid w:val="00221595"/>
    <w:rsid w:val="00223932"/>
    <w:rsid w:val="002241BB"/>
    <w:rsid w:val="002259BF"/>
    <w:rsid w:val="00226BB7"/>
    <w:rsid w:val="00227C82"/>
    <w:rsid w:val="00230BBA"/>
    <w:rsid w:val="00230E20"/>
    <w:rsid w:val="002325F4"/>
    <w:rsid w:val="00233FB5"/>
    <w:rsid w:val="0023455D"/>
    <w:rsid w:val="00234599"/>
    <w:rsid w:val="00235B8B"/>
    <w:rsid w:val="00235D02"/>
    <w:rsid w:val="0023644A"/>
    <w:rsid w:val="00237625"/>
    <w:rsid w:val="00237C63"/>
    <w:rsid w:val="00240B51"/>
    <w:rsid w:val="00243D36"/>
    <w:rsid w:val="00243F30"/>
    <w:rsid w:val="0024414C"/>
    <w:rsid w:val="00244D5A"/>
    <w:rsid w:val="00245497"/>
    <w:rsid w:val="00247707"/>
    <w:rsid w:val="002500BF"/>
    <w:rsid w:val="0025114D"/>
    <w:rsid w:val="0025202D"/>
    <w:rsid w:val="00252C43"/>
    <w:rsid w:val="00252DB8"/>
    <w:rsid w:val="002545A0"/>
    <w:rsid w:val="002548E6"/>
    <w:rsid w:val="0025523C"/>
    <w:rsid w:val="002560C1"/>
    <w:rsid w:val="00261822"/>
    <w:rsid w:val="00261939"/>
    <w:rsid w:val="00262292"/>
    <w:rsid w:val="0026302E"/>
    <w:rsid w:val="00263D0E"/>
    <w:rsid w:val="002654CE"/>
    <w:rsid w:val="00267B25"/>
    <w:rsid w:val="00270571"/>
    <w:rsid w:val="00270789"/>
    <w:rsid w:val="00271A79"/>
    <w:rsid w:val="00275C14"/>
    <w:rsid w:val="00277F07"/>
    <w:rsid w:val="00280395"/>
    <w:rsid w:val="0028147D"/>
    <w:rsid w:val="002833F9"/>
    <w:rsid w:val="00284682"/>
    <w:rsid w:val="00285642"/>
    <w:rsid w:val="00285A8C"/>
    <w:rsid w:val="00286740"/>
    <w:rsid w:val="002907B9"/>
    <w:rsid w:val="00291734"/>
    <w:rsid w:val="00291BCB"/>
    <w:rsid w:val="002929D3"/>
    <w:rsid w:val="002929D8"/>
    <w:rsid w:val="002932A2"/>
    <w:rsid w:val="00294076"/>
    <w:rsid w:val="002949EB"/>
    <w:rsid w:val="00294D94"/>
    <w:rsid w:val="002962FD"/>
    <w:rsid w:val="002A237D"/>
    <w:rsid w:val="002A253A"/>
    <w:rsid w:val="002A38DB"/>
    <w:rsid w:val="002A3F52"/>
    <w:rsid w:val="002A4C53"/>
    <w:rsid w:val="002A51ED"/>
    <w:rsid w:val="002A67B9"/>
    <w:rsid w:val="002A6E95"/>
    <w:rsid w:val="002A76D1"/>
    <w:rsid w:val="002A7CAC"/>
    <w:rsid w:val="002A7CB5"/>
    <w:rsid w:val="002B0672"/>
    <w:rsid w:val="002B128A"/>
    <w:rsid w:val="002B1499"/>
    <w:rsid w:val="002B1B4C"/>
    <w:rsid w:val="002B1CED"/>
    <w:rsid w:val="002B247F"/>
    <w:rsid w:val="002B252D"/>
    <w:rsid w:val="002B3A9B"/>
    <w:rsid w:val="002B4533"/>
    <w:rsid w:val="002B4664"/>
    <w:rsid w:val="002B4DD8"/>
    <w:rsid w:val="002B5903"/>
    <w:rsid w:val="002B64DE"/>
    <w:rsid w:val="002B78D0"/>
    <w:rsid w:val="002C145D"/>
    <w:rsid w:val="002C2C3E"/>
    <w:rsid w:val="002C30D3"/>
    <w:rsid w:val="002C35A1"/>
    <w:rsid w:val="002C3DEE"/>
    <w:rsid w:val="002C533E"/>
    <w:rsid w:val="002C5578"/>
    <w:rsid w:val="002C5EC2"/>
    <w:rsid w:val="002C6E06"/>
    <w:rsid w:val="002D00E7"/>
    <w:rsid w:val="002D027F"/>
    <w:rsid w:val="002D21D5"/>
    <w:rsid w:val="002D319B"/>
    <w:rsid w:val="002D3C28"/>
    <w:rsid w:val="002D4D2D"/>
    <w:rsid w:val="002D4E47"/>
    <w:rsid w:val="002D6305"/>
    <w:rsid w:val="002D6BB2"/>
    <w:rsid w:val="002D76C5"/>
    <w:rsid w:val="002D7A85"/>
    <w:rsid w:val="002D7B60"/>
    <w:rsid w:val="002E052C"/>
    <w:rsid w:val="002E1765"/>
    <w:rsid w:val="002E5919"/>
    <w:rsid w:val="002E7003"/>
    <w:rsid w:val="002E7582"/>
    <w:rsid w:val="002F0A92"/>
    <w:rsid w:val="002F3EAB"/>
    <w:rsid w:val="002F4761"/>
    <w:rsid w:val="002F5C79"/>
    <w:rsid w:val="002F74BD"/>
    <w:rsid w:val="0030073E"/>
    <w:rsid w:val="003019E2"/>
    <w:rsid w:val="00305E53"/>
    <w:rsid w:val="00311693"/>
    <w:rsid w:val="00312082"/>
    <w:rsid w:val="0031304F"/>
    <w:rsid w:val="00313D20"/>
    <w:rsid w:val="0031413F"/>
    <w:rsid w:val="003148BB"/>
    <w:rsid w:val="00315491"/>
    <w:rsid w:val="00317976"/>
    <w:rsid w:val="00317D2D"/>
    <w:rsid w:val="00321636"/>
    <w:rsid w:val="0032198F"/>
    <w:rsid w:val="00322F33"/>
    <w:rsid w:val="00323806"/>
    <w:rsid w:val="003241D5"/>
    <w:rsid w:val="00324D6A"/>
    <w:rsid w:val="0032771E"/>
    <w:rsid w:val="00330CB3"/>
    <w:rsid w:val="00330EA8"/>
    <w:rsid w:val="00331DDA"/>
    <w:rsid w:val="0033220D"/>
    <w:rsid w:val="00332640"/>
    <w:rsid w:val="003330FD"/>
    <w:rsid w:val="00333329"/>
    <w:rsid w:val="003338B1"/>
    <w:rsid w:val="00334939"/>
    <w:rsid w:val="00335DC5"/>
    <w:rsid w:val="0033726C"/>
    <w:rsid w:val="00337A19"/>
    <w:rsid w:val="00337C5F"/>
    <w:rsid w:val="003408D8"/>
    <w:rsid w:val="00343526"/>
    <w:rsid w:val="00345557"/>
    <w:rsid w:val="00345841"/>
    <w:rsid w:val="00346797"/>
    <w:rsid w:val="00346815"/>
    <w:rsid w:val="00355082"/>
    <w:rsid w:val="00355EA9"/>
    <w:rsid w:val="00356308"/>
    <w:rsid w:val="003578DE"/>
    <w:rsid w:val="00360F41"/>
    <w:rsid w:val="00361249"/>
    <w:rsid w:val="00361969"/>
    <w:rsid w:val="00361B13"/>
    <w:rsid w:val="00362171"/>
    <w:rsid w:val="003624FD"/>
    <w:rsid w:val="003630E4"/>
    <w:rsid w:val="00365812"/>
    <w:rsid w:val="00366BCA"/>
    <w:rsid w:val="0036730E"/>
    <w:rsid w:val="00373018"/>
    <w:rsid w:val="00374182"/>
    <w:rsid w:val="00374716"/>
    <w:rsid w:val="003756CA"/>
    <w:rsid w:val="00375877"/>
    <w:rsid w:val="00377B9C"/>
    <w:rsid w:val="00383228"/>
    <w:rsid w:val="0038437E"/>
    <w:rsid w:val="00385B77"/>
    <w:rsid w:val="00390A85"/>
    <w:rsid w:val="003916F5"/>
    <w:rsid w:val="00392542"/>
    <w:rsid w:val="00392A9B"/>
    <w:rsid w:val="00395D59"/>
    <w:rsid w:val="00395DE8"/>
    <w:rsid w:val="00396257"/>
    <w:rsid w:val="00396905"/>
    <w:rsid w:val="00397C04"/>
    <w:rsid w:val="00397EB8"/>
    <w:rsid w:val="003A086E"/>
    <w:rsid w:val="003A2A35"/>
    <w:rsid w:val="003A483D"/>
    <w:rsid w:val="003A4FD0"/>
    <w:rsid w:val="003A69D1"/>
    <w:rsid w:val="003A7705"/>
    <w:rsid w:val="003B01C5"/>
    <w:rsid w:val="003B0427"/>
    <w:rsid w:val="003B0DDF"/>
    <w:rsid w:val="003B130E"/>
    <w:rsid w:val="003B1490"/>
    <w:rsid w:val="003B1545"/>
    <w:rsid w:val="003B36D6"/>
    <w:rsid w:val="003B4620"/>
    <w:rsid w:val="003B50FC"/>
    <w:rsid w:val="003B7FA2"/>
    <w:rsid w:val="003C152A"/>
    <w:rsid w:val="003C2A10"/>
    <w:rsid w:val="003C3E15"/>
    <w:rsid w:val="003C409D"/>
    <w:rsid w:val="003C4F20"/>
    <w:rsid w:val="003C5BA6"/>
    <w:rsid w:val="003C6CAC"/>
    <w:rsid w:val="003C79EC"/>
    <w:rsid w:val="003D23D2"/>
    <w:rsid w:val="003D2D84"/>
    <w:rsid w:val="003D4D62"/>
    <w:rsid w:val="003D7657"/>
    <w:rsid w:val="003E19D0"/>
    <w:rsid w:val="003E2128"/>
    <w:rsid w:val="003F0E85"/>
    <w:rsid w:val="003F17A0"/>
    <w:rsid w:val="003F1E84"/>
    <w:rsid w:val="003F2049"/>
    <w:rsid w:val="003F2C0E"/>
    <w:rsid w:val="003F610C"/>
    <w:rsid w:val="003F7E21"/>
    <w:rsid w:val="00400FE8"/>
    <w:rsid w:val="004030A7"/>
    <w:rsid w:val="004041F2"/>
    <w:rsid w:val="00405251"/>
    <w:rsid w:val="00405B3A"/>
    <w:rsid w:val="00406D1B"/>
    <w:rsid w:val="00406FAC"/>
    <w:rsid w:val="00410BE0"/>
    <w:rsid w:val="00410C55"/>
    <w:rsid w:val="00411B73"/>
    <w:rsid w:val="00411F5B"/>
    <w:rsid w:val="00412740"/>
    <w:rsid w:val="00412D2F"/>
    <w:rsid w:val="00412F3A"/>
    <w:rsid w:val="0041354A"/>
    <w:rsid w:val="0041464C"/>
    <w:rsid w:val="0041474E"/>
    <w:rsid w:val="004153C8"/>
    <w:rsid w:val="00415FEE"/>
    <w:rsid w:val="00416854"/>
    <w:rsid w:val="00416CA5"/>
    <w:rsid w:val="00417725"/>
    <w:rsid w:val="004178FF"/>
    <w:rsid w:val="00417C09"/>
    <w:rsid w:val="004204E7"/>
    <w:rsid w:val="00421127"/>
    <w:rsid w:val="00422563"/>
    <w:rsid w:val="00424B09"/>
    <w:rsid w:val="00425467"/>
    <w:rsid w:val="004275CF"/>
    <w:rsid w:val="00427699"/>
    <w:rsid w:val="00427B5A"/>
    <w:rsid w:val="004332BF"/>
    <w:rsid w:val="0043367B"/>
    <w:rsid w:val="00434267"/>
    <w:rsid w:val="00435090"/>
    <w:rsid w:val="004359F3"/>
    <w:rsid w:val="0043775B"/>
    <w:rsid w:val="00437F26"/>
    <w:rsid w:val="00440196"/>
    <w:rsid w:val="00440458"/>
    <w:rsid w:val="004420B5"/>
    <w:rsid w:val="00442605"/>
    <w:rsid w:val="00443A2E"/>
    <w:rsid w:val="00443F0D"/>
    <w:rsid w:val="00444097"/>
    <w:rsid w:val="00444B62"/>
    <w:rsid w:val="00445487"/>
    <w:rsid w:val="00446B6A"/>
    <w:rsid w:val="00447A57"/>
    <w:rsid w:val="004522D4"/>
    <w:rsid w:val="00454769"/>
    <w:rsid w:val="00454B58"/>
    <w:rsid w:val="00454B9F"/>
    <w:rsid w:val="0045607F"/>
    <w:rsid w:val="00457148"/>
    <w:rsid w:val="004614D4"/>
    <w:rsid w:val="004617CF"/>
    <w:rsid w:val="00462C96"/>
    <w:rsid w:val="00462E70"/>
    <w:rsid w:val="00463CD8"/>
    <w:rsid w:val="00466735"/>
    <w:rsid w:val="00466991"/>
    <w:rsid w:val="00467D06"/>
    <w:rsid w:val="004703E5"/>
    <w:rsid w:val="0047064C"/>
    <w:rsid w:val="00470DDC"/>
    <w:rsid w:val="004719BA"/>
    <w:rsid w:val="004722FE"/>
    <w:rsid w:val="00472661"/>
    <w:rsid w:val="00472A63"/>
    <w:rsid w:val="00475A31"/>
    <w:rsid w:val="00476410"/>
    <w:rsid w:val="004808F8"/>
    <w:rsid w:val="00480E01"/>
    <w:rsid w:val="00484582"/>
    <w:rsid w:val="00484762"/>
    <w:rsid w:val="00487BF3"/>
    <w:rsid w:val="00492A6C"/>
    <w:rsid w:val="00492C6E"/>
    <w:rsid w:val="00493D36"/>
    <w:rsid w:val="00495CAC"/>
    <w:rsid w:val="00495FAE"/>
    <w:rsid w:val="00496CE3"/>
    <w:rsid w:val="00497E42"/>
    <w:rsid w:val="004A0F70"/>
    <w:rsid w:val="004A28AB"/>
    <w:rsid w:val="004A296F"/>
    <w:rsid w:val="004A42E1"/>
    <w:rsid w:val="004A6683"/>
    <w:rsid w:val="004B162C"/>
    <w:rsid w:val="004B1671"/>
    <w:rsid w:val="004B3E35"/>
    <w:rsid w:val="004B4047"/>
    <w:rsid w:val="004B5DC2"/>
    <w:rsid w:val="004C14B3"/>
    <w:rsid w:val="004C1A85"/>
    <w:rsid w:val="004C2C56"/>
    <w:rsid w:val="004C36EB"/>
    <w:rsid w:val="004C3D8E"/>
    <w:rsid w:val="004C3DBE"/>
    <w:rsid w:val="004C4B2E"/>
    <w:rsid w:val="004C4B5D"/>
    <w:rsid w:val="004C5C96"/>
    <w:rsid w:val="004D06A4"/>
    <w:rsid w:val="004D0EB1"/>
    <w:rsid w:val="004D122F"/>
    <w:rsid w:val="004D130C"/>
    <w:rsid w:val="004D1717"/>
    <w:rsid w:val="004D1EB8"/>
    <w:rsid w:val="004D200E"/>
    <w:rsid w:val="004D2DB8"/>
    <w:rsid w:val="004D3189"/>
    <w:rsid w:val="004D50C4"/>
    <w:rsid w:val="004E0CCE"/>
    <w:rsid w:val="004E1E79"/>
    <w:rsid w:val="004E474D"/>
    <w:rsid w:val="004E605B"/>
    <w:rsid w:val="004E63A3"/>
    <w:rsid w:val="004E6D98"/>
    <w:rsid w:val="004E7753"/>
    <w:rsid w:val="004E777D"/>
    <w:rsid w:val="004F019B"/>
    <w:rsid w:val="004F03C7"/>
    <w:rsid w:val="004F145C"/>
    <w:rsid w:val="004F1A81"/>
    <w:rsid w:val="004F22D6"/>
    <w:rsid w:val="004F2DA9"/>
    <w:rsid w:val="004F3B40"/>
    <w:rsid w:val="004F4CB2"/>
    <w:rsid w:val="004F5017"/>
    <w:rsid w:val="004F5524"/>
    <w:rsid w:val="004F7F13"/>
    <w:rsid w:val="0050015A"/>
    <w:rsid w:val="00502CDB"/>
    <w:rsid w:val="005040C8"/>
    <w:rsid w:val="00505DCA"/>
    <w:rsid w:val="00506165"/>
    <w:rsid w:val="00510E35"/>
    <w:rsid w:val="00510EF7"/>
    <w:rsid w:val="00510F65"/>
    <w:rsid w:val="00510FA7"/>
    <w:rsid w:val="00511E8C"/>
    <w:rsid w:val="00511EA8"/>
    <w:rsid w:val="00512799"/>
    <w:rsid w:val="0051315C"/>
    <w:rsid w:val="00513491"/>
    <w:rsid w:val="00514308"/>
    <w:rsid w:val="005164F2"/>
    <w:rsid w:val="0052086B"/>
    <w:rsid w:val="005218BF"/>
    <w:rsid w:val="005218D9"/>
    <w:rsid w:val="00524841"/>
    <w:rsid w:val="00524DC0"/>
    <w:rsid w:val="00524E6D"/>
    <w:rsid w:val="00526AE4"/>
    <w:rsid w:val="00530C40"/>
    <w:rsid w:val="005310CB"/>
    <w:rsid w:val="005316BA"/>
    <w:rsid w:val="005317A8"/>
    <w:rsid w:val="00531928"/>
    <w:rsid w:val="00531ADB"/>
    <w:rsid w:val="00532718"/>
    <w:rsid w:val="00532959"/>
    <w:rsid w:val="00532A81"/>
    <w:rsid w:val="00534A16"/>
    <w:rsid w:val="0053514C"/>
    <w:rsid w:val="00536186"/>
    <w:rsid w:val="00537E9C"/>
    <w:rsid w:val="00541B6A"/>
    <w:rsid w:val="00542023"/>
    <w:rsid w:val="00542A04"/>
    <w:rsid w:val="00544CBB"/>
    <w:rsid w:val="0054589F"/>
    <w:rsid w:val="005458B1"/>
    <w:rsid w:val="00546539"/>
    <w:rsid w:val="005466CE"/>
    <w:rsid w:val="00546E18"/>
    <w:rsid w:val="005504ED"/>
    <w:rsid w:val="005525A0"/>
    <w:rsid w:val="00552A31"/>
    <w:rsid w:val="00552DF2"/>
    <w:rsid w:val="005534AB"/>
    <w:rsid w:val="005544CA"/>
    <w:rsid w:val="005559E2"/>
    <w:rsid w:val="00555D37"/>
    <w:rsid w:val="00555F5A"/>
    <w:rsid w:val="00561998"/>
    <w:rsid w:val="0056216E"/>
    <w:rsid w:val="00564F6E"/>
    <w:rsid w:val="0056656E"/>
    <w:rsid w:val="00571044"/>
    <w:rsid w:val="00571B62"/>
    <w:rsid w:val="00571EC5"/>
    <w:rsid w:val="00572584"/>
    <w:rsid w:val="005730B6"/>
    <w:rsid w:val="0057315F"/>
    <w:rsid w:val="005748E0"/>
    <w:rsid w:val="00576104"/>
    <w:rsid w:val="00577566"/>
    <w:rsid w:val="00577FA2"/>
    <w:rsid w:val="00582F5C"/>
    <w:rsid w:val="0058346E"/>
    <w:rsid w:val="00584659"/>
    <w:rsid w:val="005877BB"/>
    <w:rsid w:val="005901FC"/>
    <w:rsid w:val="00592029"/>
    <w:rsid w:val="005925F0"/>
    <w:rsid w:val="00593444"/>
    <w:rsid w:val="0059359C"/>
    <w:rsid w:val="00594B27"/>
    <w:rsid w:val="00594BF4"/>
    <w:rsid w:val="00595685"/>
    <w:rsid w:val="00597069"/>
    <w:rsid w:val="0059798F"/>
    <w:rsid w:val="00597A84"/>
    <w:rsid w:val="005A4A3A"/>
    <w:rsid w:val="005A4FCB"/>
    <w:rsid w:val="005A5DE8"/>
    <w:rsid w:val="005A6FCC"/>
    <w:rsid w:val="005A7715"/>
    <w:rsid w:val="005B0F19"/>
    <w:rsid w:val="005B13AD"/>
    <w:rsid w:val="005B251A"/>
    <w:rsid w:val="005B3CF6"/>
    <w:rsid w:val="005B3DAD"/>
    <w:rsid w:val="005B55EB"/>
    <w:rsid w:val="005C129F"/>
    <w:rsid w:val="005C4AFC"/>
    <w:rsid w:val="005C4F6D"/>
    <w:rsid w:val="005C52C1"/>
    <w:rsid w:val="005C67C8"/>
    <w:rsid w:val="005C6854"/>
    <w:rsid w:val="005D00F6"/>
    <w:rsid w:val="005D0249"/>
    <w:rsid w:val="005D025D"/>
    <w:rsid w:val="005D09F8"/>
    <w:rsid w:val="005D1FF2"/>
    <w:rsid w:val="005D236C"/>
    <w:rsid w:val="005D3298"/>
    <w:rsid w:val="005D4225"/>
    <w:rsid w:val="005D5972"/>
    <w:rsid w:val="005D5A98"/>
    <w:rsid w:val="005D6E8C"/>
    <w:rsid w:val="005D7763"/>
    <w:rsid w:val="005E0155"/>
    <w:rsid w:val="005E0A77"/>
    <w:rsid w:val="005E2065"/>
    <w:rsid w:val="005E42FB"/>
    <w:rsid w:val="005E51E8"/>
    <w:rsid w:val="005E74EA"/>
    <w:rsid w:val="005E78B3"/>
    <w:rsid w:val="005F100C"/>
    <w:rsid w:val="005F12DA"/>
    <w:rsid w:val="005F343B"/>
    <w:rsid w:val="005F46A1"/>
    <w:rsid w:val="005F5C70"/>
    <w:rsid w:val="005F68DA"/>
    <w:rsid w:val="005F7AF0"/>
    <w:rsid w:val="00600273"/>
    <w:rsid w:val="00601DE4"/>
    <w:rsid w:val="006035F4"/>
    <w:rsid w:val="0060376C"/>
    <w:rsid w:val="00604C28"/>
    <w:rsid w:val="0060773B"/>
    <w:rsid w:val="00610C43"/>
    <w:rsid w:val="006114A1"/>
    <w:rsid w:val="006137A4"/>
    <w:rsid w:val="00614E1B"/>
    <w:rsid w:val="00614EFF"/>
    <w:rsid w:val="00615598"/>
    <w:rsid w:val="006157B5"/>
    <w:rsid w:val="00615847"/>
    <w:rsid w:val="00616546"/>
    <w:rsid w:val="00616941"/>
    <w:rsid w:val="00616C57"/>
    <w:rsid w:val="00616D13"/>
    <w:rsid w:val="00617393"/>
    <w:rsid w:val="00617E4A"/>
    <w:rsid w:val="006222AD"/>
    <w:rsid w:val="00625281"/>
    <w:rsid w:val="0062533F"/>
    <w:rsid w:val="00626237"/>
    <w:rsid w:val="00626FC6"/>
    <w:rsid w:val="006276CD"/>
    <w:rsid w:val="006303B4"/>
    <w:rsid w:val="006306E7"/>
    <w:rsid w:val="006308ED"/>
    <w:rsid w:val="00630C58"/>
    <w:rsid w:val="00630D45"/>
    <w:rsid w:val="006315CC"/>
    <w:rsid w:val="00632869"/>
    <w:rsid w:val="00632A54"/>
    <w:rsid w:val="00633D3D"/>
    <w:rsid w:val="00634167"/>
    <w:rsid w:val="006341AC"/>
    <w:rsid w:val="006342E9"/>
    <w:rsid w:val="0063492C"/>
    <w:rsid w:val="00634C61"/>
    <w:rsid w:val="00636F9B"/>
    <w:rsid w:val="0063780E"/>
    <w:rsid w:val="00637DCC"/>
    <w:rsid w:val="00641703"/>
    <w:rsid w:val="006422EC"/>
    <w:rsid w:val="006424F8"/>
    <w:rsid w:val="006431A6"/>
    <w:rsid w:val="00643556"/>
    <w:rsid w:val="00643567"/>
    <w:rsid w:val="00645053"/>
    <w:rsid w:val="006459F6"/>
    <w:rsid w:val="00647316"/>
    <w:rsid w:val="006474B5"/>
    <w:rsid w:val="006501AD"/>
    <w:rsid w:val="00651213"/>
    <w:rsid w:val="006512DE"/>
    <w:rsid w:val="00651488"/>
    <w:rsid w:val="00651BFA"/>
    <w:rsid w:val="00651FC1"/>
    <w:rsid w:val="006525A8"/>
    <w:rsid w:val="00653CD6"/>
    <w:rsid w:val="00654E47"/>
    <w:rsid w:val="00657A14"/>
    <w:rsid w:val="006609CB"/>
    <w:rsid w:val="00662901"/>
    <w:rsid w:val="00665A4B"/>
    <w:rsid w:val="00666288"/>
    <w:rsid w:val="00666E11"/>
    <w:rsid w:val="006720BF"/>
    <w:rsid w:val="0067265D"/>
    <w:rsid w:val="00672960"/>
    <w:rsid w:val="006735EC"/>
    <w:rsid w:val="00673757"/>
    <w:rsid w:val="0067579E"/>
    <w:rsid w:val="00676A5F"/>
    <w:rsid w:val="00676A85"/>
    <w:rsid w:val="00681B23"/>
    <w:rsid w:val="00681BC4"/>
    <w:rsid w:val="00683BDA"/>
    <w:rsid w:val="00683D34"/>
    <w:rsid w:val="0068477C"/>
    <w:rsid w:val="00684D20"/>
    <w:rsid w:val="006851A8"/>
    <w:rsid w:val="0068576E"/>
    <w:rsid w:val="00686631"/>
    <w:rsid w:val="00692306"/>
    <w:rsid w:val="00692E2A"/>
    <w:rsid w:val="006963D6"/>
    <w:rsid w:val="00696E64"/>
    <w:rsid w:val="006973C4"/>
    <w:rsid w:val="00697CC3"/>
    <w:rsid w:val="006A29CB"/>
    <w:rsid w:val="006A5BCE"/>
    <w:rsid w:val="006A76F2"/>
    <w:rsid w:val="006B035A"/>
    <w:rsid w:val="006B1862"/>
    <w:rsid w:val="006B1FA2"/>
    <w:rsid w:val="006B2111"/>
    <w:rsid w:val="006B4951"/>
    <w:rsid w:val="006B4AA8"/>
    <w:rsid w:val="006B5416"/>
    <w:rsid w:val="006B68B5"/>
    <w:rsid w:val="006B7E15"/>
    <w:rsid w:val="006C13AB"/>
    <w:rsid w:val="006C1A4E"/>
    <w:rsid w:val="006C5428"/>
    <w:rsid w:val="006C714E"/>
    <w:rsid w:val="006C73FD"/>
    <w:rsid w:val="006C749C"/>
    <w:rsid w:val="006D0679"/>
    <w:rsid w:val="006D12C5"/>
    <w:rsid w:val="006D1E82"/>
    <w:rsid w:val="006D26CC"/>
    <w:rsid w:val="006D38C8"/>
    <w:rsid w:val="006D40FB"/>
    <w:rsid w:val="006D62F9"/>
    <w:rsid w:val="006D6E34"/>
    <w:rsid w:val="006D6F34"/>
    <w:rsid w:val="006D7CC6"/>
    <w:rsid w:val="006D7D2F"/>
    <w:rsid w:val="006D7EFB"/>
    <w:rsid w:val="006E0A75"/>
    <w:rsid w:val="006E4FFC"/>
    <w:rsid w:val="006E6672"/>
    <w:rsid w:val="006E6722"/>
    <w:rsid w:val="006E69C1"/>
    <w:rsid w:val="006E7020"/>
    <w:rsid w:val="006E7151"/>
    <w:rsid w:val="006E74AF"/>
    <w:rsid w:val="006E7D4D"/>
    <w:rsid w:val="006F0FEC"/>
    <w:rsid w:val="006F1703"/>
    <w:rsid w:val="006F4969"/>
    <w:rsid w:val="006F4E87"/>
    <w:rsid w:val="006F57F3"/>
    <w:rsid w:val="006F6EDB"/>
    <w:rsid w:val="006F749D"/>
    <w:rsid w:val="006F7B83"/>
    <w:rsid w:val="006F7E33"/>
    <w:rsid w:val="00700193"/>
    <w:rsid w:val="007003A8"/>
    <w:rsid w:val="00700DF1"/>
    <w:rsid w:val="00700FFB"/>
    <w:rsid w:val="00701425"/>
    <w:rsid w:val="007020A6"/>
    <w:rsid w:val="007027B9"/>
    <w:rsid w:val="0070291D"/>
    <w:rsid w:val="007032AD"/>
    <w:rsid w:val="00703446"/>
    <w:rsid w:val="00703F2D"/>
    <w:rsid w:val="00704E79"/>
    <w:rsid w:val="00705A62"/>
    <w:rsid w:val="007079F6"/>
    <w:rsid w:val="00707D5C"/>
    <w:rsid w:val="00710020"/>
    <w:rsid w:val="007100BA"/>
    <w:rsid w:val="007120B3"/>
    <w:rsid w:val="00713D8F"/>
    <w:rsid w:val="00715E88"/>
    <w:rsid w:val="00720FAE"/>
    <w:rsid w:val="00722DE5"/>
    <w:rsid w:val="007230D9"/>
    <w:rsid w:val="0072321C"/>
    <w:rsid w:val="00723425"/>
    <w:rsid w:val="00724CB6"/>
    <w:rsid w:val="00725AFD"/>
    <w:rsid w:val="00725F90"/>
    <w:rsid w:val="00727D49"/>
    <w:rsid w:val="00727F77"/>
    <w:rsid w:val="00732D46"/>
    <w:rsid w:val="00733314"/>
    <w:rsid w:val="00734094"/>
    <w:rsid w:val="00734CAA"/>
    <w:rsid w:val="00735248"/>
    <w:rsid w:val="007352EA"/>
    <w:rsid w:val="00735631"/>
    <w:rsid w:val="00741365"/>
    <w:rsid w:val="00741B57"/>
    <w:rsid w:val="00741C57"/>
    <w:rsid w:val="00742A3F"/>
    <w:rsid w:val="007432CF"/>
    <w:rsid w:val="00744445"/>
    <w:rsid w:val="00744575"/>
    <w:rsid w:val="00746B46"/>
    <w:rsid w:val="00747944"/>
    <w:rsid w:val="007501C5"/>
    <w:rsid w:val="0075533C"/>
    <w:rsid w:val="00755AC5"/>
    <w:rsid w:val="00756631"/>
    <w:rsid w:val="00757581"/>
    <w:rsid w:val="00757C74"/>
    <w:rsid w:val="00760279"/>
    <w:rsid w:val="007611A0"/>
    <w:rsid w:val="00761B57"/>
    <w:rsid w:val="00762491"/>
    <w:rsid w:val="00762AC5"/>
    <w:rsid w:val="007634FB"/>
    <w:rsid w:val="00763AC3"/>
    <w:rsid w:val="00767933"/>
    <w:rsid w:val="00767E4A"/>
    <w:rsid w:val="007744F3"/>
    <w:rsid w:val="00774AC8"/>
    <w:rsid w:val="00782519"/>
    <w:rsid w:val="00782E1F"/>
    <w:rsid w:val="007831BB"/>
    <w:rsid w:val="007835D4"/>
    <w:rsid w:val="007854D9"/>
    <w:rsid w:val="00790537"/>
    <w:rsid w:val="00790646"/>
    <w:rsid w:val="00791541"/>
    <w:rsid w:val="007915B8"/>
    <w:rsid w:val="007918C9"/>
    <w:rsid w:val="00791A42"/>
    <w:rsid w:val="00793DDF"/>
    <w:rsid w:val="00796D3F"/>
    <w:rsid w:val="007A1683"/>
    <w:rsid w:val="007A2899"/>
    <w:rsid w:val="007A2B5B"/>
    <w:rsid w:val="007A36F8"/>
    <w:rsid w:val="007A5A96"/>
    <w:rsid w:val="007A5C12"/>
    <w:rsid w:val="007A6A46"/>
    <w:rsid w:val="007A7227"/>
    <w:rsid w:val="007A7AAD"/>
    <w:rsid w:val="007A7B04"/>
    <w:rsid w:val="007A7CB0"/>
    <w:rsid w:val="007B071F"/>
    <w:rsid w:val="007B09B5"/>
    <w:rsid w:val="007B2E36"/>
    <w:rsid w:val="007B358A"/>
    <w:rsid w:val="007B45E5"/>
    <w:rsid w:val="007B4C30"/>
    <w:rsid w:val="007B62B1"/>
    <w:rsid w:val="007B68A3"/>
    <w:rsid w:val="007B6D06"/>
    <w:rsid w:val="007B751F"/>
    <w:rsid w:val="007C04F7"/>
    <w:rsid w:val="007C2541"/>
    <w:rsid w:val="007C2E55"/>
    <w:rsid w:val="007C7311"/>
    <w:rsid w:val="007C7AC5"/>
    <w:rsid w:val="007D015C"/>
    <w:rsid w:val="007D017C"/>
    <w:rsid w:val="007D0C52"/>
    <w:rsid w:val="007D1DC5"/>
    <w:rsid w:val="007D28D1"/>
    <w:rsid w:val="007D2F6D"/>
    <w:rsid w:val="007D4135"/>
    <w:rsid w:val="007D44DF"/>
    <w:rsid w:val="007D496E"/>
    <w:rsid w:val="007D6174"/>
    <w:rsid w:val="007D61E0"/>
    <w:rsid w:val="007D66A8"/>
    <w:rsid w:val="007D6DBE"/>
    <w:rsid w:val="007E003F"/>
    <w:rsid w:val="007E0C4A"/>
    <w:rsid w:val="007E1C21"/>
    <w:rsid w:val="007E204B"/>
    <w:rsid w:val="007E4BD7"/>
    <w:rsid w:val="007E59B1"/>
    <w:rsid w:val="007E5E91"/>
    <w:rsid w:val="007E7613"/>
    <w:rsid w:val="007F08B6"/>
    <w:rsid w:val="007F28B6"/>
    <w:rsid w:val="007F4812"/>
    <w:rsid w:val="007F4A98"/>
    <w:rsid w:val="007F51C1"/>
    <w:rsid w:val="007F5DC0"/>
    <w:rsid w:val="0080083A"/>
    <w:rsid w:val="00800DCD"/>
    <w:rsid w:val="0080161D"/>
    <w:rsid w:val="00801F29"/>
    <w:rsid w:val="00802B9E"/>
    <w:rsid w:val="00802E72"/>
    <w:rsid w:val="00806AFA"/>
    <w:rsid w:val="00806E28"/>
    <w:rsid w:val="0080723B"/>
    <w:rsid w:val="00810250"/>
    <w:rsid w:val="008104DD"/>
    <w:rsid w:val="00810546"/>
    <w:rsid w:val="00810F67"/>
    <w:rsid w:val="00811318"/>
    <w:rsid w:val="00812244"/>
    <w:rsid w:val="0081276D"/>
    <w:rsid w:val="008129D8"/>
    <w:rsid w:val="008164F2"/>
    <w:rsid w:val="00816F6C"/>
    <w:rsid w:val="00821395"/>
    <w:rsid w:val="00821ADF"/>
    <w:rsid w:val="00821D03"/>
    <w:rsid w:val="00821D85"/>
    <w:rsid w:val="00821EAD"/>
    <w:rsid w:val="00822253"/>
    <w:rsid w:val="008231DE"/>
    <w:rsid w:val="00824FB1"/>
    <w:rsid w:val="00825B4E"/>
    <w:rsid w:val="00825BF9"/>
    <w:rsid w:val="00826ACD"/>
    <w:rsid w:val="00826C42"/>
    <w:rsid w:val="00827898"/>
    <w:rsid w:val="00827C03"/>
    <w:rsid w:val="00830E26"/>
    <w:rsid w:val="008329D1"/>
    <w:rsid w:val="00832B9C"/>
    <w:rsid w:val="00834034"/>
    <w:rsid w:val="008352ED"/>
    <w:rsid w:val="0084123E"/>
    <w:rsid w:val="00842FD3"/>
    <w:rsid w:val="00843576"/>
    <w:rsid w:val="00843B64"/>
    <w:rsid w:val="0084478D"/>
    <w:rsid w:val="00845CF2"/>
    <w:rsid w:val="008460DF"/>
    <w:rsid w:val="008465D1"/>
    <w:rsid w:val="0084691F"/>
    <w:rsid w:val="008478FC"/>
    <w:rsid w:val="00847F52"/>
    <w:rsid w:val="008508A6"/>
    <w:rsid w:val="00851487"/>
    <w:rsid w:val="00852279"/>
    <w:rsid w:val="008536BD"/>
    <w:rsid w:val="0085474D"/>
    <w:rsid w:val="00854A8C"/>
    <w:rsid w:val="00855072"/>
    <w:rsid w:val="00855E4C"/>
    <w:rsid w:val="00856727"/>
    <w:rsid w:val="008567A5"/>
    <w:rsid w:val="008579C2"/>
    <w:rsid w:val="0086003B"/>
    <w:rsid w:val="00863243"/>
    <w:rsid w:val="00863788"/>
    <w:rsid w:val="00864A11"/>
    <w:rsid w:val="00865BF0"/>
    <w:rsid w:val="00867BFF"/>
    <w:rsid w:val="00867FCA"/>
    <w:rsid w:val="008727A7"/>
    <w:rsid w:val="008733B5"/>
    <w:rsid w:val="00873C26"/>
    <w:rsid w:val="00873E8D"/>
    <w:rsid w:val="0087465A"/>
    <w:rsid w:val="0087689E"/>
    <w:rsid w:val="00877AAA"/>
    <w:rsid w:val="008809B8"/>
    <w:rsid w:val="00882177"/>
    <w:rsid w:val="00882947"/>
    <w:rsid w:val="00882E3D"/>
    <w:rsid w:val="0088480A"/>
    <w:rsid w:val="0088498A"/>
    <w:rsid w:val="0088757A"/>
    <w:rsid w:val="00887C5C"/>
    <w:rsid w:val="0089241F"/>
    <w:rsid w:val="00895368"/>
    <w:rsid w:val="008957DD"/>
    <w:rsid w:val="00896E8F"/>
    <w:rsid w:val="008975E7"/>
    <w:rsid w:val="00897D98"/>
    <w:rsid w:val="008A01C6"/>
    <w:rsid w:val="008A1C6D"/>
    <w:rsid w:val="008A26B4"/>
    <w:rsid w:val="008A3E6C"/>
    <w:rsid w:val="008A45ED"/>
    <w:rsid w:val="008A5DB9"/>
    <w:rsid w:val="008A6DF2"/>
    <w:rsid w:val="008A76C1"/>
    <w:rsid w:val="008A7807"/>
    <w:rsid w:val="008A7852"/>
    <w:rsid w:val="008A793B"/>
    <w:rsid w:val="008B09D8"/>
    <w:rsid w:val="008B0AE2"/>
    <w:rsid w:val="008B1009"/>
    <w:rsid w:val="008B23E8"/>
    <w:rsid w:val="008B242D"/>
    <w:rsid w:val="008B2ACF"/>
    <w:rsid w:val="008B3045"/>
    <w:rsid w:val="008B3BD1"/>
    <w:rsid w:val="008B3CC5"/>
    <w:rsid w:val="008B4386"/>
    <w:rsid w:val="008B4CC9"/>
    <w:rsid w:val="008B6AF2"/>
    <w:rsid w:val="008C03DE"/>
    <w:rsid w:val="008C0522"/>
    <w:rsid w:val="008C0A18"/>
    <w:rsid w:val="008C2657"/>
    <w:rsid w:val="008C26B9"/>
    <w:rsid w:val="008C2FEF"/>
    <w:rsid w:val="008C560C"/>
    <w:rsid w:val="008C5628"/>
    <w:rsid w:val="008D0FD6"/>
    <w:rsid w:val="008D1C08"/>
    <w:rsid w:val="008D1D2D"/>
    <w:rsid w:val="008D22BB"/>
    <w:rsid w:val="008D22FD"/>
    <w:rsid w:val="008D2C7C"/>
    <w:rsid w:val="008D33CF"/>
    <w:rsid w:val="008D79AA"/>
    <w:rsid w:val="008D7C99"/>
    <w:rsid w:val="008E0FCB"/>
    <w:rsid w:val="008E1BBA"/>
    <w:rsid w:val="008E33C7"/>
    <w:rsid w:val="008E6F1A"/>
    <w:rsid w:val="008F0099"/>
    <w:rsid w:val="008F0B6A"/>
    <w:rsid w:val="008F295F"/>
    <w:rsid w:val="008F3039"/>
    <w:rsid w:val="008F3E46"/>
    <w:rsid w:val="008F5CEC"/>
    <w:rsid w:val="008F614B"/>
    <w:rsid w:val="008F6E4A"/>
    <w:rsid w:val="009006CC"/>
    <w:rsid w:val="00906E86"/>
    <w:rsid w:val="00906F7A"/>
    <w:rsid w:val="00910D5D"/>
    <w:rsid w:val="00911EE2"/>
    <w:rsid w:val="009168C2"/>
    <w:rsid w:val="00917CEA"/>
    <w:rsid w:val="00920BE2"/>
    <w:rsid w:val="00921327"/>
    <w:rsid w:val="0092138B"/>
    <w:rsid w:val="009216FD"/>
    <w:rsid w:val="0092178C"/>
    <w:rsid w:val="009233C9"/>
    <w:rsid w:val="00923546"/>
    <w:rsid w:val="0092402C"/>
    <w:rsid w:val="00924E8E"/>
    <w:rsid w:val="0092608B"/>
    <w:rsid w:val="009274E8"/>
    <w:rsid w:val="00930A1D"/>
    <w:rsid w:val="00930B88"/>
    <w:rsid w:val="00930CB2"/>
    <w:rsid w:val="009325EC"/>
    <w:rsid w:val="00933580"/>
    <w:rsid w:val="00936158"/>
    <w:rsid w:val="0094083E"/>
    <w:rsid w:val="00940DCC"/>
    <w:rsid w:val="0094179A"/>
    <w:rsid w:val="0094257E"/>
    <w:rsid w:val="009432DD"/>
    <w:rsid w:val="00943D3D"/>
    <w:rsid w:val="009443C6"/>
    <w:rsid w:val="0094459E"/>
    <w:rsid w:val="00944AE9"/>
    <w:rsid w:val="00944DBC"/>
    <w:rsid w:val="00945AB0"/>
    <w:rsid w:val="00945DB6"/>
    <w:rsid w:val="0094600C"/>
    <w:rsid w:val="00947AEA"/>
    <w:rsid w:val="00947C09"/>
    <w:rsid w:val="00947D02"/>
    <w:rsid w:val="00950977"/>
    <w:rsid w:val="00950D2E"/>
    <w:rsid w:val="00951A7B"/>
    <w:rsid w:val="009529CC"/>
    <w:rsid w:val="00953B4B"/>
    <w:rsid w:val="009555CB"/>
    <w:rsid w:val="009564A6"/>
    <w:rsid w:val="009576ED"/>
    <w:rsid w:val="00957DBC"/>
    <w:rsid w:val="00957FCC"/>
    <w:rsid w:val="009614E8"/>
    <w:rsid w:val="00962AE3"/>
    <w:rsid w:val="00963600"/>
    <w:rsid w:val="0096474B"/>
    <w:rsid w:val="00964A01"/>
    <w:rsid w:val="00964D37"/>
    <w:rsid w:val="009665A3"/>
    <w:rsid w:val="00967621"/>
    <w:rsid w:val="00967E6A"/>
    <w:rsid w:val="00970050"/>
    <w:rsid w:val="009723A9"/>
    <w:rsid w:val="009730E9"/>
    <w:rsid w:val="00973307"/>
    <w:rsid w:val="0097410F"/>
    <w:rsid w:val="009754F0"/>
    <w:rsid w:val="00975D04"/>
    <w:rsid w:val="00976A3D"/>
    <w:rsid w:val="00976D69"/>
    <w:rsid w:val="00977696"/>
    <w:rsid w:val="00980055"/>
    <w:rsid w:val="00980369"/>
    <w:rsid w:val="00982E51"/>
    <w:rsid w:val="009860F7"/>
    <w:rsid w:val="009861EF"/>
    <w:rsid w:val="00990418"/>
    <w:rsid w:val="00991C88"/>
    <w:rsid w:val="009928B8"/>
    <w:rsid w:val="0099358B"/>
    <w:rsid w:val="009935AC"/>
    <w:rsid w:val="00996F17"/>
    <w:rsid w:val="009974B6"/>
    <w:rsid w:val="00997B42"/>
    <w:rsid w:val="00997DD9"/>
    <w:rsid w:val="00997FB1"/>
    <w:rsid w:val="009A0BBC"/>
    <w:rsid w:val="009A2A3C"/>
    <w:rsid w:val="009A36C8"/>
    <w:rsid w:val="009A40DF"/>
    <w:rsid w:val="009A442F"/>
    <w:rsid w:val="009A4C36"/>
    <w:rsid w:val="009A4FE0"/>
    <w:rsid w:val="009A5C63"/>
    <w:rsid w:val="009A6456"/>
    <w:rsid w:val="009B2C13"/>
    <w:rsid w:val="009B2FBB"/>
    <w:rsid w:val="009B4A0F"/>
    <w:rsid w:val="009B62A8"/>
    <w:rsid w:val="009C11D2"/>
    <w:rsid w:val="009C126E"/>
    <w:rsid w:val="009C2187"/>
    <w:rsid w:val="009C4073"/>
    <w:rsid w:val="009C44C4"/>
    <w:rsid w:val="009C48E1"/>
    <w:rsid w:val="009C4B81"/>
    <w:rsid w:val="009C6BCA"/>
    <w:rsid w:val="009C6C70"/>
    <w:rsid w:val="009D0B63"/>
    <w:rsid w:val="009D1578"/>
    <w:rsid w:val="009D3A16"/>
    <w:rsid w:val="009D4BFF"/>
    <w:rsid w:val="009D5F11"/>
    <w:rsid w:val="009D6A1B"/>
    <w:rsid w:val="009E24AB"/>
    <w:rsid w:val="009E307E"/>
    <w:rsid w:val="009E420D"/>
    <w:rsid w:val="009E6E70"/>
    <w:rsid w:val="009F01C0"/>
    <w:rsid w:val="009F039B"/>
    <w:rsid w:val="009F17DD"/>
    <w:rsid w:val="009F1C8B"/>
    <w:rsid w:val="009F2F83"/>
    <w:rsid w:val="009F2FA4"/>
    <w:rsid w:val="009F3098"/>
    <w:rsid w:val="009F30DC"/>
    <w:rsid w:val="009F380E"/>
    <w:rsid w:val="009F448E"/>
    <w:rsid w:val="00A010B9"/>
    <w:rsid w:val="00A01A88"/>
    <w:rsid w:val="00A01B03"/>
    <w:rsid w:val="00A01EA8"/>
    <w:rsid w:val="00A02133"/>
    <w:rsid w:val="00A02B58"/>
    <w:rsid w:val="00A02FEE"/>
    <w:rsid w:val="00A069E6"/>
    <w:rsid w:val="00A075B0"/>
    <w:rsid w:val="00A07870"/>
    <w:rsid w:val="00A07CB1"/>
    <w:rsid w:val="00A07F19"/>
    <w:rsid w:val="00A07F65"/>
    <w:rsid w:val="00A10BE3"/>
    <w:rsid w:val="00A131CE"/>
    <w:rsid w:val="00A1348D"/>
    <w:rsid w:val="00A1496F"/>
    <w:rsid w:val="00A15880"/>
    <w:rsid w:val="00A1738F"/>
    <w:rsid w:val="00A17AC1"/>
    <w:rsid w:val="00A2076A"/>
    <w:rsid w:val="00A20E66"/>
    <w:rsid w:val="00A22966"/>
    <w:rsid w:val="00A232EE"/>
    <w:rsid w:val="00A2384A"/>
    <w:rsid w:val="00A23DA2"/>
    <w:rsid w:val="00A241AD"/>
    <w:rsid w:val="00A246FC"/>
    <w:rsid w:val="00A24E36"/>
    <w:rsid w:val="00A253BD"/>
    <w:rsid w:val="00A267F4"/>
    <w:rsid w:val="00A26C92"/>
    <w:rsid w:val="00A27328"/>
    <w:rsid w:val="00A273BE"/>
    <w:rsid w:val="00A30DFD"/>
    <w:rsid w:val="00A31B78"/>
    <w:rsid w:val="00A320A8"/>
    <w:rsid w:val="00A3275B"/>
    <w:rsid w:val="00A32A8E"/>
    <w:rsid w:val="00A32E7A"/>
    <w:rsid w:val="00A3305F"/>
    <w:rsid w:val="00A334BB"/>
    <w:rsid w:val="00A33810"/>
    <w:rsid w:val="00A33E7F"/>
    <w:rsid w:val="00A34BB9"/>
    <w:rsid w:val="00A3582E"/>
    <w:rsid w:val="00A3630E"/>
    <w:rsid w:val="00A36B50"/>
    <w:rsid w:val="00A37877"/>
    <w:rsid w:val="00A405F1"/>
    <w:rsid w:val="00A4175F"/>
    <w:rsid w:val="00A42391"/>
    <w:rsid w:val="00A433C1"/>
    <w:rsid w:val="00A43468"/>
    <w:rsid w:val="00A43E07"/>
    <w:rsid w:val="00A44411"/>
    <w:rsid w:val="00A44A84"/>
    <w:rsid w:val="00A44EBC"/>
    <w:rsid w:val="00A4523D"/>
    <w:rsid w:val="00A46594"/>
    <w:rsid w:val="00A469FA"/>
    <w:rsid w:val="00A46E5A"/>
    <w:rsid w:val="00A50ED1"/>
    <w:rsid w:val="00A5192E"/>
    <w:rsid w:val="00A51C1A"/>
    <w:rsid w:val="00A52590"/>
    <w:rsid w:val="00A53C43"/>
    <w:rsid w:val="00A55B01"/>
    <w:rsid w:val="00A56B5B"/>
    <w:rsid w:val="00A57EE1"/>
    <w:rsid w:val="00A603FF"/>
    <w:rsid w:val="00A6051B"/>
    <w:rsid w:val="00A6090C"/>
    <w:rsid w:val="00A63E56"/>
    <w:rsid w:val="00A64099"/>
    <w:rsid w:val="00A657DD"/>
    <w:rsid w:val="00A666A6"/>
    <w:rsid w:val="00A66A53"/>
    <w:rsid w:val="00A675FD"/>
    <w:rsid w:val="00A67C60"/>
    <w:rsid w:val="00A70475"/>
    <w:rsid w:val="00A70A8E"/>
    <w:rsid w:val="00A72437"/>
    <w:rsid w:val="00A75DA0"/>
    <w:rsid w:val="00A8022C"/>
    <w:rsid w:val="00A80611"/>
    <w:rsid w:val="00A81D3D"/>
    <w:rsid w:val="00A8293E"/>
    <w:rsid w:val="00A83113"/>
    <w:rsid w:val="00A84EFB"/>
    <w:rsid w:val="00A92A88"/>
    <w:rsid w:val="00A92FA6"/>
    <w:rsid w:val="00A96145"/>
    <w:rsid w:val="00A966E4"/>
    <w:rsid w:val="00A97D6D"/>
    <w:rsid w:val="00AA2C78"/>
    <w:rsid w:val="00AA3668"/>
    <w:rsid w:val="00AA4991"/>
    <w:rsid w:val="00AA7454"/>
    <w:rsid w:val="00AA7E52"/>
    <w:rsid w:val="00AB01E9"/>
    <w:rsid w:val="00AB07CE"/>
    <w:rsid w:val="00AB3C1F"/>
    <w:rsid w:val="00AB5340"/>
    <w:rsid w:val="00AB538F"/>
    <w:rsid w:val="00AB53DC"/>
    <w:rsid w:val="00AB5ADD"/>
    <w:rsid w:val="00AB61FB"/>
    <w:rsid w:val="00AB7D92"/>
    <w:rsid w:val="00AC10C0"/>
    <w:rsid w:val="00AC4F2E"/>
    <w:rsid w:val="00AC505F"/>
    <w:rsid w:val="00AC5271"/>
    <w:rsid w:val="00AC5488"/>
    <w:rsid w:val="00AC6208"/>
    <w:rsid w:val="00AC6500"/>
    <w:rsid w:val="00AC6F9F"/>
    <w:rsid w:val="00AC7389"/>
    <w:rsid w:val="00AC7532"/>
    <w:rsid w:val="00AC7C96"/>
    <w:rsid w:val="00AD10A2"/>
    <w:rsid w:val="00AD24E5"/>
    <w:rsid w:val="00AD310B"/>
    <w:rsid w:val="00AD51BD"/>
    <w:rsid w:val="00AD63E2"/>
    <w:rsid w:val="00AD6B30"/>
    <w:rsid w:val="00AD7845"/>
    <w:rsid w:val="00AE13C7"/>
    <w:rsid w:val="00AE237D"/>
    <w:rsid w:val="00AE3FDB"/>
    <w:rsid w:val="00AE41DE"/>
    <w:rsid w:val="00AE502A"/>
    <w:rsid w:val="00AE5D3B"/>
    <w:rsid w:val="00AE5FE2"/>
    <w:rsid w:val="00AE7118"/>
    <w:rsid w:val="00AF1246"/>
    <w:rsid w:val="00AF1E55"/>
    <w:rsid w:val="00AF2D57"/>
    <w:rsid w:val="00AF5B52"/>
    <w:rsid w:val="00AF6261"/>
    <w:rsid w:val="00AF63A8"/>
    <w:rsid w:val="00AF78B4"/>
    <w:rsid w:val="00AF7C07"/>
    <w:rsid w:val="00B00675"/>
    <w:rsid w:val="00B02848"/>
    <w:rsid w:val="00B0755D"/>
    <w:rsid w:val="00B10DC0"/>
    <w:rsid w:val="00B1307E"/>
    <w:rsid w:val="00B146DC"/>
    <w:rsid w:val="00B15C67"/>
    <w:rsid w:val="00B15EF0"/>
    <w:rsid w:val="00B213DF"/>
    <w:rsid w:val="00B22C93"/>
    <w:rsid w:val="00B22CDE"/>
    <w:rsid w:val="00B22E2E"/>
    <w:rsid w:val="00B24440"/>
    <w:rsid w:val="00B25282"/>
    <w:rsid w:val="00B264AA"/>
    <w:rsid w:val="00B269CC"/>
    <w:rsid w:val="00B26DF4"/>
    <w:rsid w:val="00B27589"/>
    <w:rsid w:val="00B313AF"/>
    <w:rsid w:val="00B32CA8"/>
    <w:rsid w:val="00B33777"/>
    <w:rsid w:val="00B33B06"/>
    <w:rsid w:val="00B34435"/>
    <w:rsid w:val="00B3596B"/>
    <w:rsid w:val="00B364F0"/>
    <w:rsid w:val="00B405B7"/>
    <w:rsid w:val="00B44244"/>
    <w:rsid w:val="00B44FF0"/>
    <w:rsid w:val="00B46C82"/>
    <w:rsid w:val="00B47AE3"/>
    <w:rsid w:val="00B50850"/>
    <w:rsid w:val="00B52222"/>
    <w:rsid w:val="00B5347E"/>
    <w:rsid w:val="00B5368E"/>
    <w:rsid w:val="00B53A90"/>
    <w:rsid w:val="00B54FE7"/>
    <w:rsid w:val="00B56117"/>
    <w:rsid w:val="00B61D02"/>
    <w:rsid w:val="00B64184"/>
    <w:rsid w:val="00B66293"/>
    <w:rsid w:val="00B66901"/>
    <w:rsid w:val="00B671D3"/>
    <w:rsid w:val="00B6734C"/>
    <w:rsid w:val="00B70534"/>
    <w:rsid w:val="00B70CE8"/>
    <w:rsid w:val="00B71E6D"/>
    <w:rsid w:val="00B72070"/>
    <w:rsid w:val="00B723D2"/>
    <w:rsid w:val="00B73C86"/>
    <w:rsid w:val="00B743A5"/>
    <w:rsid w:val="00B74C91"/>
    <w:rsid w:val="00B75BE7"/>
    <w:rsid w:val="00B772AF"/>
    <w:rsid w:val="00B772EE"/>
    <w:rsid w:val="00B779E1"/>
    <w:rsid w:val="00B77E64"/>
    <w:rsid w:val="00B810DD"/>
    <w:rsid w:val="00B81117"/>
    <w:rsid w:val="00B822AA"/>
    <w:rsid w:val="00B82B03"/>
    <w:rsid w:val="00B84155"/>
    <w:rsid w:val="00B84AE5"/>
    <w:rsid w:val="00B8533E"/>
    <w:rsid w:val="00B86A9D"/>
    <w:rsid w:val="00B86F57"/>
    <w:rsid w:val="00B90D24"/>
    <w:rsid w:val="00B911C9"/>
    <w:rsid w:val="00B915C1"/>
    <w:rsid w:val="00B91EE1"/>
    <w:rsid w:val="00B9443B"/>
    <w:rsid w:val="00B9514E"/>
    <w:rsid w:val="00B9552C"/>
    <w:rsid w:val="00B95EEF"/>
    <w:rsid w:val="00B96DE5"/>
    <w:rsid w:val="00B97D30"/>
    <w:rsid w:val="00BA0090"/>
    <w:rsid w:val="00BA07C2"/>
    <w:rsid w:val="00BA14BC"/>
    <w:rsid w:val="00BA1A67"/>
    <w:rsid w:val="00BA1B75"/>
    <w:rsid w:val="00BA1D25"/>
    <w:rsid w:val="00BA2B86"/>
    <w:rsid w:val="00BA330E"/>
    <w:rsid w:val="00BA3782"/>
    <w:rsid w:val="00BA40D5"/>
    <w:rsid w:val="00BA6993"/>
    <w:rsid w:val="00BA7883"/>
    <w:rsid w:val="00BA7E0B"/>
    <w:rsid w:val="00BB01BE"/>
    <w:rsid w:val="00BB0DB0"/>
    <w:rsid w:val="00BB416B"/>
    <w:rsid w:val="00BB4F81"/>
    <w:rsid w:val="00BB5410"/>
    <w:rsid w:val="00BB5930"/>
    <w:rsid w:val="00BB7E6F"/>
    <w:rsid w:val="00BB7FD2"/>
    <w:rsid w:val="00BC0559"/>
    <w:rsid w:val="00BC1088"/>
    <w:rsid w:val="00BC1489"/>
    <w:rsid w:val="00BC2F02"/>
    <w:rsid w:val="00BC5588"/>
    <w:rsid w:val="00BC5ABB"/>
    <w:rsid w:val="00BC6B5B"/>
    <w:rsid w:val="00BC6E97"/>
    <w:rsid w:val="00BC72F3"/>
    <w:rsid w:val="00BD008A"/>
    <w:rsid w:val="00BD1990"/>
    <w:rsid w:val="00BD2303"/>
    <w:rsid w:val="00BD36F3"/>
    <w:rsid w:val="00BD4928"/>
    <w:rsid w:val="00BE06C9"/>
    <w:rsid w:val="00BE0936"/>
    <w:rsid w:val="00BE0D75"/>
    <w:rsid w:val="00BE1392"/>
    <w:rsid w:val="00BE35D6"/>
    <w:rsid w:val="00BE3964"/>
    <w:rsid w:val="00BE3FDE"/>
    <w:rsid w:val="00BE4573"/>
    <w:rsid w:val="00BE473F"/>
    <w:rsid w:val="00BE5B5F"/>
    <w:rsid w:val="00BE5D34"/>
    <w:rsid w:val="00BE66DE"/>
    <w:rsid w:val="00BE786A"/>
    <w:rsid w:val="00BE78FF"/>
    <w:rsid w:val="00BF0609"/>
    <w:rsid w:val="00BF09EB"/>
    <w:rsid w:val="00BF3163"/>
    <w:rsid w:val="00BF3FAB"/>
    <w:rsid w:val="00C0204F"/>
    <w:rsid w:val="00C035A4"/>
    <w:rsid w:val="00C05B18"/>
    <w:rsid w:val="00C05C56"/>
    <w:rsid w:val="00C103AA"/>
    <w:rsid w:val="00C11DA4"/>
    <w:rsid w:val="00C12D49"/>
    <w:rsid w:val="00C1393B"/>
    <w:rsid w:val="00C15806"/>
    <w:rsid w:val="00C15C68"/>
    <w:rsid w:val="00C16C95"/>
    <w:rsid w:val="00C17C0C"/>
    <w:rsid w:val="00C20049"/>
    <w:rsid w:val="00C200B5"/>
    <w:rsid w:val="00C21127"/>
    <w:rsid w:val="00C21BFE"/>
    <w:rsid w:val="00C22CB2"/>
    <w:rsid w:val="00C23CE7"/>
    <w:rsid w:val="00C26F55"/>
    <w:rsid w:val="00C27984"/>
    <w:rsid w:val="00C3084E"/>
    <w:rsid w:val="00C30AE5"/>
    <w:rsid w:val="00C30B45"/>
    <w:rsid w:val="00C30C63"/>
    <w:rsid w:val="00C31FBB"/>
    <w:rsid w:val="00C341D5"/>
    <w:rsid w:val="00C362DF"/>
    <w:rsid w:val="00C36B8B"/>
    <w:rsid w:val="00C36CCE"/>
    <w:rsid w:val="00C40022"/>
    <w:rsid w:val="00C416F1"/>
    <w:rsid w:val="00C43DB6"/>
    <w:rsid w:val="00C46239"/>
    <w:rsid w:val="00C46995"/>
    <w:rsid w:val="00C46D4D"/>
    <w:rsid w:val="00C47DBF"/>
    <w:rsid w:val="00C508BC"/>
    <w:rsid w:val="00C52101"/>
    <w:rsid w:val="00C52C4F"/>
    <w:rsid w:val="00C52EB6"/>
    <w:rsid w:val="00C546E0"/>
    <w:rsid w:val="00C552FF"/>
    <w:rsid w:val="00C558DA"/>
    <w:rsid w:val="00C55AF3"/>
    <w:rsid w:val="00C55CD4"/>
    <w:rsid w:val="00C56374"/>
    <w:rsid w:val="00C56DE1"/>
    <w:rsid w:val="00C605DB"/>
    <w:rsid w:val="00C60942"/>
    <w:rsid w:val="00C6224C"/>
    <w:rsid w:val="00C62BA3"/>
    <w:rsid w:val="00C6517E"/>
    <w:rsid w:val="00C65429"/>
    <w:rsid w:val="00C65A9E"/>
    <w:rsid w:val="00C66C3C"/>
    <w:rsid w:val="00C66CAB"/>
    <w:rsid w:val="00C6716F"/>
    <w:rsid w:val="00C67468"/>
    <w:rsid w:val="00C7192B"/>
    <w:rsid w:val="00C7195A"/>
    <w:rsid w:val="00C73463"/>
    <w:rsid w:val="00C7693A"/>
    <w:rsid w:val="00C777A8"/>
    <w:rsid w:val="00C8019D"/>
    <w:rsid w:val="00C808B0"/>
    <w:rsid w:val="00C81D12"/>
    <w:rsid w:val="00C82A90"/>
    <w:rsid w:val="00C838B3"/>
    <w:rsid w:val="00C83C61"/>
    <w:rsid w:val="00C84212"/>
    <w:rsid w:val="00C84759"/>
    <w:rsid w:val="00C86980"/>
    <w:rsid w:val="00C90F6C"/>
    <w:rsid w:val="00C92203"/>
    <w:rsid w:val="00C92BE0"/>
    <w:rsid w:val="00C935E8"/>
    <w:rsid w:val="00C93EAB"/>
    <w:rsid w:val="00C94EBF"/>
    <w:rsid w:val="00C951CF"/>
    <w:rsid w:val="00C95915"/>
    <w:rsid w:val="00C964FD"/>
    <w:rsid w:val="00C97E6B"/>
    <w:rsid w:val="00CA0A2A"/>
    <w:rsid w:val="00CA0FC1"/>
    <w:rsid w:val="00CA117C"/>
    <w:rsid w:val="00CA1BD2"/>
    <w:rsid w:val="00CA40A8"/>
    <w:rsid w:val="00CA4666"/>
    <w:rsid w:val="00CA4E46"/>
    <w:rsid w:val="00CA6C7F"/>
    <w:rsid w:val="00CA71E5"/>
    <w:rsid w:val="00CA779A"/>
    <w:rsid w:val="00CA7B23"/>
    <w:rsid w:val="00CB0D48"/>
    <w:rsid w:val="00CB136A"/>
    <w:rsid w:val="00CB1C6B"/>
    <w:rsid w:val="00CB33D5"/>
    <w:rsid w:val="00CB3B32"/>
    <w:rsid w:val="00CB6031"/>
    <w:rsid w:val="00CB688E"/>
    <w:rsid w:val="00CB6D2C"/>
    <w:rsid w:val="00CC0631"/>
    <w:rsid w:val="00CC10A6"/>
    <w:rsid w:val="00CC119C"/>
    <w:rsid w:val="00CC3B2A"/>
    <w:rsid w:val="00CC6F53"/>
    <w:rsid w:val="00CC720F"/>
    <w:rsid w:val="00CD148C"/>
    <w:rsid w:val="00CD1E48"/>
    <w:rsid w:val="00CD24F8"/>
    <w:rsid w:val="00CD3C9F"/>
    <w:rsid w:val="00CD4043"/>
    <w:rsid w:val="00CD5EB8"/>
    <w:rsid w:val="00CD6944"/>
    <w:rsid w:val="00CD6946"/>
    <w:rsid w:val="00CD7044"/>
    <w:rsid w:val="00CE08B9"/>
    <w:rsid w:val="00CE08EC"/>
    <w:rsid w:val="00CE19F1"/>
    <w:rsid w:val="00CE1A52"/>
    <w:rsid w:val="00CE1EF8"/>
    <w:rsid w:val="00CE2A76"/>
    <w:rsid w:val="00CE2DE7"/>
    <w:rsid w:val="00CE524C"/>
    <w:rsid w:val="00CE55CE"/>
    <w:rsid w:val="00CE5DA1"/>
    <w:rsid w:val="00CE610B"/>
    <w:rsid w:val="00CE74AB"/>
    <w:rsid w:val="00CF141F"/>
    <w:rsid w:val="00CF1573"/>
    <w:rsid w:val="00CF19AF"/>
    <w:rsid w:val="00CF4777"/>
    <w:rsid w:val="00CF558D"/>
    <w:rsid w:val="00CF56C4"/>
    <w:rsid w:val="00CF5B61"/>
    <w:rsid w:val="00CF5B89"/>
    <w:rsid w:val="00CF64CA"/>
    <w:rsid w:val="00CF716D"/>
    <w:rsid w:val="00CF724C"/>
    <w:rsid w:val="00D017D6"/>
    <w:rsid w:val="00D02D90"/>
    <w:rsid w:val="00D03E58"/>
    <w:rsid w:val="00D05220"/>
    <w:rsid w:val="00D05649"/>
    <w:rsid w:val="00D067BB"/>
    <w:rsid w:val="00D07CCF"/>
    <w:rsid w:val="00D11628"/>
    <w:rsid w:val="00D1167E"/>
    <w:rsid w:val="00D124A3"/>
    <w:rsid w:val="00D12985"/>
    <w:rsid w:val="00D1352A"/>
    <w:rsid w:val="00D169AF"/>
    <w:rsid w:val="00D17A73"/>
    <w:rsid w:val="00D2065E"/>
    <w:rsid w:val="00D21215"/>
    <w:rsid w:val="00D23341"/>
    <w:rsid w:val="00D2515B"/>
    <w:rsid w:val="00D25249"/>
    <w:rsid w:val="00D25DC6"/>
    <w:rsid w:val="00D27521"/>
    <w:rsid w:val="00D31529"/>
    <w:rsid w:val="00D318F8"/>
    <w:rsid w:val="00D32566"/>
    <w:rsid w:val="00D36F43"/>
    <w:rsid w:val="00D40137"/>
    <w:rsid w:val="00D411A4"/>
    <w:rsid w:val="00D42507"/>
    <w:rsid w:val="00D426D9"/>
    <w:rsid w:val="00D42963"/>
    <w:rsid w:val="00D42FAA"/>
    <w:rsid w:val="00D44172"/>
    <w:rsid w:val="00D4493A"/>
    <w:rsid w:val="00D4511E"/>
    <w:rsid w:val="00D4561F"/>
    <w:rsid w:val="00D50C61"/>
    <w:rsid w:val="00D52E1E"/>
    <w:rsid w:val="00D540EB"/>
    <w:rsid w:val="00D56282"/>
    <w:rsid w:val="00D61648"/>
    <w:rsid w:val="00D62BDE"/>
    <w:rsid w:val="00D63B8C"/>
    <w:rsid w:val="00D6539A"/>
    <w:rsid w:val="00D6539F"/>
    <w:rsid w:val="00D6588D"/>
    <w:rsid w:val="00D658DD"/>
    <w:rsid w:val="00D65A44"/>
    <w:rsid w:val="00D668B5"/>
    <w:rsid w:val="00D66C68"/>
    <w:rsid w:val="00D71187"/>
    <w:rsid w:val="00D739CC"/>
    <w:rsid w:val="00D741A4"/>
    <w:rsid w:val="00D7548E"/>
    <w:rsid w:val="00D8093D"/>
    <w:rsid w:val="00D8108C"/>
    <w:rsid w:val="00D829E5"/>
    <w:rsid w:val="00D842AE"/>
    <w:rsid w:val="00D8473D"/>
    <w:rsid w:val="00D84C5E"/>
    <w:rsid w:val="00D85528"/>
    <w:rsid w:val="00D8554D"/>
    <w:rsid w:val="00D86544"/>
    <w:rsid w:val="00D866A8"/>
    <w:rsid w:val="00D86AC3"/>
    <w:rsid w:val="00D874B6"/>
    <w:rsid w:val="00D90D13"/>
    <w:rsid w:val="00D918BA"/>
    <w:rsid w:val="00D9211C"/>
    <w:rsid w:val="00D92DE0"/>
    <w:rsid w:val="00D92FEF"/>
    <w:rsid w:val="00D93A0F"/>
    <w:rsid w:val="00D94F2B"/>
    <w:rsid w:val="00D958BA"/>
    <w:rsid w:val="00D967E8"/>
    <w:rsid w:val="00DA0C21"/>
    <w:rsid w:val="00DA1BCA"/>
    <w:rsid w:val="00DA2567"/>
    <w:rsid w:val="00DA28DF"/>
    <w:rsid w:val="00DA2B25"/>
    <w:rsid w:val="00DA5DAF"/>
    <w:rsid w:val="00DB324C"/>
    <w:rsid w:val="00DB4CD2"/>
    <w:rsid w:val="00DB5063"/>
    <w:rsid w:val="00DB53BB"/>
    <w:rsid w:val="00DB58A2"/>
    <w:rsid w:val="00DB6E1B"/>
    <w:rsid w:val="00DC025D"/>
    <w:rsid w:val="00DC06CE"/>
    <w:rsid w:val="00DC270F"/>
    <w:rsid w:val="00DC35FD"/>
    <w:rsid w:val="00DC46FF"/>
    <w:rsid w:val="00DC4D05"/>
    <w:rsid w:val="00DC5254"/>
    <w:rsid w:val="00DC5278"/>
    <w:rsid w:val="00DC57CE"/>
    <w:rsid w:val="00DC5B93"/>
    <w:rsid w:val="00DC6AB6"/>
    <w:rsid w:val="00DD1A4F"/>
    <w:rsid w:val="00DD25B6"/>
    <w:rsid w:val="00DD2618"/>
    <w:rsid w:val="00DD3107"/>
    <w:rsid w:val="00DD768C"/>
    <w:rsid w:val="00DD7C2C"/>
    <w:rsid w:val="00DD7C51"/>
    <w:rsid w:val="00DE015D"/>
    <w:rsid w:val="00DE065C"/>
    <w:rsid w:val="00DE1896"/>
    <w:rsid w:val="00DE1F33"/>
    <w:rsid w:val="00DE2B4C"/>
    <w:rsid w:val="00DE3641"/>
    <w:rsid w:val="00DE462D"/>
    <w:rsid w:val="00DE4943"/>
    <w:rsid w:val="00DE5221"/>
    <w:rsid w:val="00DE5C6A"/>
    <w:rsid w:val="00E00626"/>
    <w:rsid w:val="00E01CD2"/>
    <w:rsid w:val="00E03464"/>
    <w:rsid w:val="00E05443"/>
    <w:rsid w:val="00E06526"/>
    <w:rsid w:val="00E0653E"/>
    <w:rsid w:val="00E06797"/>
    <w:rsid w:val="00E06AA8"/>
    <w:rsid w:val="00E070D6"/>
    <w:rsid w:val="00E10131"/>
    <w:rsid w:val="00E1265B"/>
    <w:rsid w:val="00E12F83"/>
    <w:rsid w:val="00E13B48"/>
    <w:rsid w:val="00E1404F"/>
    <w:rsid w:val="00E143EB"/>
    <w:rsid w:val="00E145EB"/>
    <w:rsid w:val="00E21C83"/>
    <w:rsid w:val="00E222A6"/>
    <w:rsid w:val="00E2371B"/>
    <w:rsid w:val="00E24ADA"/>
    <w:rsid w:val="00E25118"/>
    <w:rsid w:val="00E25C6C"/>
    <w:rsid w:val="00E275AE"/>
    <w:rsid w:val="00E27657"/>
    <w:rsid w:val="00E329F4"/>
    <w:rsid w:val="00E32F59"/>
    <w:rsid w:val="00E3446A"/>
    <w:rsid w:val="00E36F58"/>
    <w:rsid w:val="00E4066E"/>
    <w:rsid w:val="00E40B08"/>
    <w:rsid w:val="00E41E81"/>
    <w:rsid w:val="00E42079"/>
    <w:rsid w:val="00E43CCE"/>
    <w:rsid w:val="00E44C94"/>
    <w:rsid w:val="00E45369"/>
    <w:rsid w:val="00E46053"/>
    <w:rsid w:val="00E461B0"/>
    <w:rsid w:val="00E46D9A"/>
    <w:rsid w:val="00E5159D"/>
    <w:rsid w:val="00E515F6"/>
    <w:rsid w:val="00E54AEB"/>
    <w:rsid w:val="00E54BD4"/>
    <w:rsid w:val="00E54D5B"/>
    <w:rsid w:val="00E54E03"/>
    <w:rsid w:val="00E565FF"/>
    <w:rsid w:val="00E5700A"/>
    <w:rsid w:val="00E60F76"/>
    <w:rsid w:val="00E63789"/>
    <w:rsid w:val="00E64FEA"/>
    <w:rsid w:val="00E65388"/>
    <w:rsid w:val="00E65964"/>
    <w:rsid w:val="00E7045B"/>
    <w:rsid w:val="00E71FC8"/>
    <w:rsid w:val="00E7402C"/>
    <w:rsid w:val="00E74140"/>
    <w:rsid w:val="00E745D8"/>
    <w:rsid w:val="00E75CE1"/>
    <w:rsid w:val="00E82A08"/>
    <w:rsid w:val="00E832C0"/>
    <w:rsid w:val="00E83638"/>
    <w:rsid w:val="00E8364B"/>
    <w:rsid w:val="00E83F9E"/>
    <w:rsid w:val="00E8507D"/>
    <w:rsid w:val="00E85B7D"/>
    <w:rsid w:val="00E86D63"/>
    <w:rsid w:val="00E8769D"/>
    <w:rsid w:val="00E87970"/>
    <w:rsid w:val="00E87D2F"/>
    <w:rsid w:val="00E9074F"/>
    <w:rsid w:val="00E9121B"/>
    <w:rsid w:val="00E9334C"/>
    <w:rsid w:val="00E93B68"/>
    <w:rsid w:val="00E94B1F"/>
    <w:rsid w:val="00E94FF5"/>
    <w:rsid w:val="00E95F23"/>
    <w:rsid w:val="00E960B1"/>
    <w:rsid w:val="00EA0AE2"/>
    <w:rsid w:val="00EA39E5"/>
    <w:rsid w:val="00EA49D0"/>
    <w:rsid w:val="00EA6360"/>
    <w:rsid w:val="00EA7F68"/>
    <w:rsid w:val="00EB0DB6"/>
    <w:rsid w:val="00EB3E81"/>
    <w:rsid w:val="00EB48F4"/>
    <w:rsid w:val="00EB50F4"/>
    <w:rsid w:val="00EB51DE"/>
    <w:rsid w:val="00EB5AE3"/>
    <w:rsid w:val="00EB678E"/>
    <w:rsid w:val="00EB6F85"/>
    <w:rsid w:val="00EB7226"/>
    <w:rsid w:val="00EC023C"/>
    <w:rsid w:val="00EC0AE9"/>
    <w:rsid w:val="00EC12E4"/>
    <w:rsid w:val="00EC1690"/>
    <w:rsid w:val="00EC4146"/>
    <w:rsid w:val="00EC5261"/>
    <w:rsid w:val="00EC5A46"/>
    <w:rsid w:val="00EC5B0D"/>
    <w:rsid w:val="00EC63E2"/>
    <w:rsid w:val="00EC77C3"/>
    <w:rsid w:val="00ED1C34"/>
    <w:rsid w:val="00ED563F"/>
    <w:rsid w:val="00ED57E0"/>
    <w:rsid w:val="00ED78F0"/>
    <w:rsid w:val="00EE1E9B"/>
    <w:rsid w:val="00EE2B07"/>
    <w:rsid w:val="00EE32CD"/>
    <w:rsid w:val="00EE50C4"/>
    <w:rsid w:val="00EE59E3"/>
    <w:rsid w:val="00EE6EFF"/>
    <w:rsid w:val="00EF1A9D"/>
    <w:rsid w:val="00EF22B3"/>
    <w:rsid w:val="00EF25DF"/>
    <w:rsid w:val="00EF3695"/>
    <w:rsid w:val="00EF4136"/>
    <w:rsid w:val="00EF420F"/>
    <w:rsid w:val="00EF44D2"/>
    <w:rsid w:val="00EF48F2"/>
    <w:rsid w:val="00EF5B6E"/>
    <w:rsid w:val="00EF7A71"/>
    <w:rsid w:val="00F00269"/>
    <w:rsid w:val="00F0054B"/>
    <w:rsid w:val="00F00AB1"/>
    <w:rsid w:val="00F01B5C"/>
    <w:rsid w:val="00F02AF6"/>
    <w:rsid w:val="00F03002"/>
    <w:rsid w:val="00F03B69"/>
    <w:rsid w:val="00F06255"/>
    <w:rsid w:val="00F07963"/>
    <w:rsid w:val="00F07A50"/>
    <w:rsid w:val="00F07A5D"/>
    <w:rsid w:val="00F101A4"/>
    <w:rsid w:val="00F113DA"/>
    <w:rsid w:val="00F11A45"/>
    <w:rsid w:val="00F13547"/>
    <w:rsid w:val="00F1413A"/>
    <w:rsid w:val="00F163B5"/>
    <w:rsid w:val="00F170F3"/>
    <w:rsid w:val="00F200B0"/>
    <w:rsid w:val="00F2330E"/>
    <w:rsid w:val="00F23C45"/>
    <w:rsid w:val="00F26896"/>
    <w:rsid w:val="00F26ACA"/>
    <w:rsid w:val="00F27874"/>
    <w:rsid w:val="00F31A2F"/>
    <w:rsid w:val="00F31BC0"/>
    <w:rsid w:val="00F32816"/>
    <w:rsid w:val="00F3320F"/>
    <w:rsid w:val="00F3497A"/>
    <w:rsid w:val="00F36BA9"/>
    <w:rsid w:val="00F376A9"/>
    <w:rsid w:val="00F37DC8"/>
    <w:rsid w:val="00F403D0"/>
    <w:rsid w:val="00F409F5"/>
    <w:rsid w:val="00F41C71"/>
    <w:rsid w:val="00F42047"/>
    <w:rsid w:val="00F439B3"/>
    <w:rsid w:val="00F44171"/>
    <w:rsid w:val="00F47A52"/>
    <w:rsid w:val="00F47C96"/>
    <w:rsid w:val="00F51565"/>
    <w:rsid w:val="00F51FD9"/>
    <w:rsid w:val="00F548A7"/>
    <w:rsid w:val="00F5519E"/>
    <w:rsid w:val="00F60E1F"/>
    <w:rsid w:val="00F62F25"/>
    <w:rsid w:val="00F634B7"/>
    <w:rsid w:val="00F6364B"/>
    <w:rsid w:val="00F63788"/>
    <w:rsid w:val="00F63FD5"/>
    <w:rsid w:val="00F650C3"/>
    <w:rsid w:val="00F65D85"/>
    <w:rsid w:val="00F7324F"/>
    <w:rsid w:val="00F741CF"/>
    <w:rsid w:val="00F7517A"/>
    <w:rsid w:val="00F75264"/>
    <w:rsid w:val="00F7622A"/>
    <w:rsid w:val="00F765B0"/>
    <w:rsid w:val="00F807E8"/>
    <w:rsid w:val="00F8091E"/>
    <w:rsid w:val="00F80C76"/>
    <w:rsid w:val="00F81AF9"/>
    <w:rsid w:val="00F83283"/>
    <w:rsid w:val="00F8460F"/>
    <w:rsid w:val="00F8615C"/>
    <w:rsid w:val="00F872B5"/>
    <w:rsid w:val="00F912DE"/>
    <w:rsid w:val="00F91632"/>
    <w:rsid w:val="00F925BD"/>
    <w:rsid w:val="00F93478"/>
    <w:rsid w:val="00F94F82"/>
    <w:rsid w:val="00F9562B"/>
    <w:rsid w:val="00F966EB"/>
    <w:rsid w:val="00F969E5"/>
    <w:rsid w:val="00FA0767"/>
    <w:rsid w:val="00FA1927"/>
    <w:rsid w:val="00FA34A3"/>
    <w:rsid w:val="00FA3F56"/>
    <w:rsid w:val="00FA3F7A"/>
    <w:rsid w:val="00FA54BA"/>
    <w:rsid w:val="00FA60A6"/>
    <w:rsid w:val="00FA6BB0"/>
    <w:rsid w:val="00FA6DF9"/>
    <w:rsid w:val="00FB0069"/>
    <w:rsid w:val="00FB0448"/>
    <w:rsid w:val="00FB1807"/>
    <w:rsid w:val="00FB47B0"/>
    <w:rsid w:val="00FB5A8E"/>
    <w:rsid w:val="00FB6988"/>
    <w:rsid w:val="00FB6D5B"/>
    <w:rsid w:val="00FB7A41"/>
    <w:rsid w:val="00FC16C9"/>
    <w:rsid w:val="00FC2D32"/>
    <w:rsid w:val="00FC45D5"/>
    <w:rsid w:val="00FC49C4"/>
    <w:rsid w:val="00FC5E2C"/>
    <w:rsid w:val="00FC63BE"/>
    <w:rsid w:val="00FC6E70"/>
    <w:rsid w:val="00FD0FCC"/>
    <w:rsid w:val="00FD15A8"/>
    <w:rsid w:val="00FD5371"/>
    <w:rsid w:val="00FD5860"/>
    <w:rsid w:val="00FD5F89"/>
    <w:rsid w:val="00FD68FA"/>
    <w:rsid w:val="00FE02F4"/>
    <w:rsid w:val="00FE0866"/>
    <w:rsid w:val="00FE2644"/>
    <w:rsid w:val="00FE352D"/>
    <w:rsid w:val="00FE40EB"/>
    <w:rsid w:val="00FE4178"/>
    <w:rsid w:val="00FE479D"/>
    <w:rsid w:val="00FE4957"/>
    <w:rsid w:val="00FE4D02"/>
    <w:rsid w:val="00FE4D4C"/>
    <w:rsid w:val="00FE64CC"/>
    <w:rsid w:val="00FE656B"/>
    <w:rsid w:val="00FE685E"/>
    <w:rsid w:val="00FE7073"/>
    <w:rsid w:val="00FE7D62"/>
    <w:rsid w:val="00FF244D"/>
    <w:rsid w:val="00FF3819"/>
    <w:rsid w:val="00FF75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03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footer" w:uiPriority="99"/>
    <w:lsdException w:name="caption" w:qFormat="1"/>
    <w:lsdException w:name="line number" w:uiPriority="99"/>
    <w:lsdException w:name="endnote reference" w:uiPriority="99"/>
    <w:lsdException w:name="endnote text" w:uiPriority="99"/>
    <w:lsdException w:name="List Number 2" w:semiHidden="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9"/>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rsid w:val="00F002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6"/>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rsid w:val="00F00269"/>
    <w:rPr>
      <w:rFonts w:ascii="Tahoma" w:hAnsi="Tahoma"/>
      <w:sz w:val="16"/>
      <w:szCs w:val="16"/>
      <w:lang w:val="en-GB" w:eastAsia="en-US"/>
    </w:rPr>
  </w:style>
  <w:style w:type="paragraph" w:styleId="CommentSubject">
    <w:name w:val="annotation subject"/>
    <w:basedOn w:val="CommentText"/>
    <w:next w:val="CommentText"/>
    <w:link w:val="CommentSubjectChar"/>
    <w:unhideWhenUsed/>
    <w:rsid w:val="00F00269"/>
    <w:rPr>
      <w:b/>
      <w:bCs/>
      <w:lang w:eastAsia="zh-CN"/>
    </w:rPr>
  </w:style>
  <w:style w:type="character" w:customStyle="1" w:styleId="CommentSubjectChar">
    <w:name w:val="Comment Subject Char"/>
    <w:link w:val="CommentSubject"/>
    <w:rsid w:val="00F00269"/>
    <w:rPr>
      <w:rFonts w:eastAsia="SimSun"/>
      <w:b/>
      <w:bCs/>
      <w:lang w:val="en-GB" w:eastAsia="zh-CN"/>
    </w:rPr>
  </w:style>
  <w:style w:type="paragraph" w:customStyle="1" w:styleId="Ingenmellomrom1">
    <w:name w:val="Ingen mellomrom1"/>
    <w:qFormat/>
    <w:rsid w:val="00F00269"/>
    <w:rPr>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sz w:val="24"/>
      <w:szCs w:val="24"/>
      <w:lang w:eastAsia="zh-CN"/>
    </w:rPr>
  </w:style>
  <w:style w:type="paragraph" w:customStyle="1" w:styleId="MediumList2-Accent22">
    <w:name w:val="Medium List 2 - Accent 22"/>
    <w:hidden/>
    <w:semiHidden/>
    <w:rsid w:val="00F00269"/>
    <w:rPr>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sz w:val="24"/>
      <w:szCs w:val="24"/>
      <w:lang w:val="pt-BR" w:eastAsia="pt-BR"/>
    </w:rPr>
  </w:style>
  <w:style w:type="character" w:customStyle="1" w:styleId="FooterChar">
    <w:name w:val="Footer Char"/>
    <w:link w:val="Footer"/>
    <w:uiPriority w:val="99"/>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uiPriority w:val="99"/>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snapToGrid w:val="0"/>
      <w:u w:val="single"/>
      <w:lang w:val="en-US" w:eastAsia="en-US"/>
    </w:rPr>
  </w:style>
  <w:style w:type="character" w:customStyle="1" w:styleId="Heading9Char">
    <w:name w:val="Heading 9 Char"/>
    <w:link w:val="Heading9"/>
    <w:rsid w:val="00F00269"/>
    <w:rPr>
      <w:snapToGrid w:val="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paragraph" w:customStyle="1" w:styleId="normalnumber0">
    <w:name w:val="normalnumber"/>
    <w:basedOn w:val="Normal"/>
    <w:rsid w:val="00107105"/>
    <w:pPr>
      <w:tabs>
        <w:tab w:val="clear" w:pos="1247"/>
        <w:tab w:val="clear" w:pos="1814"/>
        <w:tab w:val="clear" w:pos="2381"/>
        <w:tab w:val="clear" w:pos="2948"/>
        <w:tab w:val="clear" w:pos="3515"/>
      </w:tabs>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E7045B"/>
    <w:pPr>
      <w:tabs>
        <w:tab w:val="clear" w:pos="1247"/>
        <w:tab w:val="clear" w:pos="1814"/>
        <w:tab w:val="clear" w:pos="2381"/>
        <w:tab w:val="clear" w:pos="2948"/>
        <w:tab w:val="clear" w:pos="3515"/>
      </w:tabs>
      <w:ind w:left="1260"/>
    </w:pPr>
    <w:rPr>
      <w:rFonts w:eastAsia="MS Mincho"/>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footer" w:uiPriority="99"/>
    <w:lsdException w:name="caption" w:qFormat="1"/>
    <w:lsdException w:name="line number" w:uiPriority="99"/>
    <w:lsdException w:name="endnote reference" w:uiPriority="99"/>
    <w:lsdException w:name="endnote text" w:uiPriority="99"/>
    <w:lsdException w:name="List Number 2" w:semiHidden="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9"/>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rsid w:val="00F002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6"/>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rsid w:val="00F00269"/>
    <w:rPr>
      <w:rFonts w:ascii="Tahoma" w:hAnsi="Tahoma"/>
      <w:sz w:val="16"/>
      <w:szCs w:val="16"/>
      <w:lang w:val="en-GB" w:eastAsia="en-US"/>
    </w:rPr>
  </w:style>
  <w:style w:type="paragraph" w:styleId="CommentSubject">
    <w:name w:val="annotation subject"/>
    <w:basedOn w:val="CommentText"/>
    <w:next w:val="CommentText"/>
    <w:link w:val="CommentSubjectChar"/>
    <w:unhideWhenUsed/>
    <w:rsid w:val="00F00269"/>
    <w:rPr>
      <w:b/>
      <w:bCs/>
      <w:lang w:eastAsia="zh-CN"/>
    </w:rPr>
  </w:style>
  <w:style w:type="character" w:customStyle="1" w:styleId="CommentSubjectChar">
    <w:name w:val="Comment Subject Char"/>
    <w:link w:val="CommentSubject"/>
    <w:rsid w:val="00F00269"/>
    <w:rPr>
      <w:rFonts w:eastAsia="SimSun"/>
      <w:b/>
      <w:bCs/>
      <w:lang w:val="en-GB" w:eastAsia="zh-CN"/>
    </w:rPr>
  </w:style>
  <w:style w:type="paragraph" w:customStyle="1" w:styleId="Ingenmellomrom1">
    <w:name w:val="Ingen mellomrom1"/>
    <w:qFormat/>
    <w:rsid w:val="00F00269"/>
    <w:rPr>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sz w:val="24"/>
      <w:szCs w:val="24"/>
      <w:lang w:eastAsia="zh-CN"/>
    </w:rPr>
  </w:style>
  <w:style w:type="paragraph" w:customStyle="1" w:styleId="MediumList2-Accent22">
    <w:name w:val="Medium List 2 - Accent 22"/>
    <w:hidden/>
    <w:semiHidden/>
    <w:rsid w:val="00F00269"/>
    <w:rPr>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sz w:val="24"/>
      <w:szCs w:val="24"/>
      <w:lang w:val="pt-BR" w:eastAsia="pt-BR"/>
    </w:rPr>
  </w:style>
  <w:style w:type="character" w:customStyle="1" w:styleId="FooterChar">
    <w:name w:val="Footer Char"/>
    <w:link w:val="Footer"/>
    <w:uiPriority w:val="99"/>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uiPriority w:val="99"/>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snapToGrid w:val="0"/>
      <w:u w:val="single"/>
      <w:lang w:val="en-US" w:eastAsia="en-US"/>
    </w:rPr>
  </w:style>
  <w:style w:type="character" w:customStyle="1" w:styleId="Heading9Char">
    <w:name w:val="Heading 9 Char"/>
    <w:link w:val="Heading9"/>
    <w:rsid w:val="00F00269"/>
    <w:rPr>
      <w:snapToGrid w:val="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paragraph" w:customStyle="1" w:styleId="normalnumber0">
    <w:name w:val="normalnumber"/>
    <w:basedOn w:val="Normal"/>
    <w:rsid w:val="00107105"/>
    <w:pPr>
      <w:tabs>
        <w:tab w:val="clear" w:pos="1247"/>
        <w:tab w:val="clear" w:pos="1814"/>
        <w:tab w:val="clear" w:pos="2381"/>
        <w:tab w:val="clear" w:pos="2948"/>
        <w:tab w:val="clear" w:pos="3515"/>
      </w:tabs>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E7045B"/>
    <w:pPr>
      <w:tabs>
        <w:tab w:val="clear" w:pos="1247"/>
        <w:tab w:val="clear" w:pos="1814"/>
        <w:tab w:val="clear" w:pos="2381"/>
        <w:tab w:val="clear" w:pos="2948"/>
        <w:tab w:val="clear" w:pos="3515"/>
      </w:tabs>
      <w:ind w:left="1260"/>
    </w:pPr>
    <w:rPr>
      <w:rFonts w:eastAsia="MS Mincho"/>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016">
      <w:bodyDiv w:val="1"/>
      <w:marLeft w:val="0"/>
      <w:marRight w:val="0"/>
      <w:marTop w:val="0"/>
      <w:marBottom w:val="0"/>
      <w:divBdr>
        <w:top w:val="none" w:sz="0" w:space="0" w:color="auto"/>
        <w:left w:val="none" w:sz="0" w:space="0" w:color="auto"/>
        <w:bottom w:val="none" w:sz="0" w:space="0" w:color="auto"/>
        <w:right w:val="none" w:sz="0" w:space="0" w:color="auto"/>
      </w:divBdr>
    </w:div>
    <w:div w:id="275405411">
      <w:bodyDiv w:val="1"/>
      <w:marLeft w:val="0"/>
      <w:marRight w:val="0"/>
      <w:marTop w:val="0"/>
      <w:marBottom w:val="0"/>
      <w:divBdr>
        <w:top w:val="none" w:sz="0" w:space="0" w:color="auto"/>
        <w:left w:val="none" w:sz="0" w:space="0" w:color="auto"/>
        <w:bottom w:val="none" w:sz="0" w:space="0" w:color="auto"/>
        <w:right w:val="none" w:sz="0" w:space="0" w:color="auto"/>
      </w:divBdr>
      <w:divsChild>
        <w:div w:id="302781061">
          <w:marLeft w:val="0"/>
          <w:marRight w:val="0"/>
          <w:marTop w:val="0"/>
          <w:marBottom w:val="0"/>
          <w:divBdr>
            <w:top w:val="none" w:sz="0" w:space="0" w:color="auto"/>
            <w:left w:val="none" w:sz="0" w:space="0" w:color="auto"/>
            <w:bottom w:val="none" w:sz="0" w:space="0" w:color="auto"/>
            <w:right w:val="none" w:sz="0" w:space="0" w:color="auto"/>
          </w:divBdr>
          <w:divsChild>
            <w:div w:id="1404329701">
              <w:marLeft w:val="0"/>
              <w:marRight w:val="0"/>
              <w:marTop w:val="0"/>
              <w:marBottom w:val="0"/>
              <w:divBdr>
                <w:top w:val="none" w:sz="0" w:space="0" w:color="auto"/>
                <w:left w:val="none" w:sz="0" w:space="0" w:color="auto"/>
                <w:bottom w:val="none" w:sz="0" w:space="0" w:color="auto"/>
                <w:right w:val="none" w:sz="0" w:space="0" w:color="auto"/>
              </w:divBdr>
              <w:divsChild>
                <w:div w:id="1789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52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81479054">
      <w:bodyDiv w:val="1"/>
      <w:marLeft w:val="0"/>
      <w:marRight w:val="0"/>
      <w:marTop w:val="0"/>
      <w:marBottom w:val="0"/>
      <w:divBdr>
        <w:top w:val="none" w:sz="0" w:space="0" w:color="auto"/>
        <w:left w:val="none" w:sz="0" w:space="0" w:color="auto"/>
        <w:bottom w:val="none" w:sz="0" w:space="0" w:color="auto"/>
        <w:right w:val="none" w:sz="0" w:space="0" w:color="auto"/>
      </w:divBdr>
      <w:divsChild>
        <w:div w:id="1927641956">
          <w:marLeft w:val="0"/>
          <w:marRight w:val="0"/>
          <w:marTop w:val="82"/>
          <w:marBottom w:val="0"/>
          <w:divBdr>
            <w:top w:val="none" w:sz="0" w:space="0" w:color="auto"/>
            <w:left w:val="none" w:sz="0" w:space="0" w:color="auto"/>
            <w:bottom w:val="none" w:sz="0" w:space="0" w:color="auto"/>
            <w:right w:val="none" w:sz="0" w:space="0" w:color="auto"/>
          </w:divBdr>
        </w:div>
      </w:divsChild>
    </w:div>
    <w:div w:id="1990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eader" Target="header7.xml"/><Relationship Id="rId42" Type="http://schemas.microsoft.com/office/2011/relationships/people" Target="peop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hyperlink" Target="file:///K:\BASELINE_Financial%20consideration_revised_10%20March%202017_Plenary.xlsx"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styles" Target="styles.xml"/><Relationship Id="rId19" Type="http://schemas.openxmlformats.org/officeDocument/2006/relationships/image" Target="media/image4.jpe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ipbes.net/ilk-participatory-mechanis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www.ipbes.net/sites/default/files/downloads/Decision%20IPBES_2_5.pdf" TargetMode="External"/><Relationship Id="rId2" Type="http://schemas.openxmlformats.org/officeDocument/2006/relationships/hyperlink" Target="http://www.ipbes.net/sites/default/files/downloads/Decision%20IPBES_2_5.pdf" TargetMode="External"/><Relationship Id="rId1" Type="http://schemas.openxmlformats.org/officeDocument/2006/relationships/hyperlink" Target="http://www.ipbes.net/sites/default/files/downloads/Decision%20IPBES_2_5.pdf" TargetMode="External"/><Relationship Id="rId5" Type="http://schemas.openxmlformats.org/officeDocument/2006/relationships/hyperlink" Target="http://www.ipbes.net/sites/default/files/downloads/Decision_IPBES_3_4_EN_0.pdf" TargetMode="External"/><Relationship Id="rId4" Type="http://schemas.openxmlformats.org/officeDocument/2006/relationships/hyperlink" Target="http://www.ipbes.net/sites/default/files/downloads/Decision_IPBES_3_1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AF3D-1CAE-4506-B0D7-7DCB381C040D}">
  <ds:schemaRefs>
    <ds:schemaRef ds:uri="http://schemas.openxmlformats.org/officeDocument/2006/bibliography"/>
  </ds:schemaRefs>
</ds:datastoreItem>
</file>

<file path=customXml/itemProps2.xml><?xml version="1.0" encoding="utf-8"?>
<ds:datastoreItem xmlns:ds="http://schemas.openxmlformats.org/officeDocument/2006/customXml" ds:itemID="{1E88BE6A-A6A1-451C-9E08-9FA9DC702B2F}">
  <ds:schemaRefs>
    <ds:schemaRef ds:uri="http://schemas.openxmlformats.org/officeDocument/2006/bibliography"/>
  </ds:schemaRefs>
</ds:datastoreItem>
</file>

<file path=customXml/itemProps3.xml><?xml version="1.0" encoding="utf-8"?>
<ds:datastoreItem xmlns:ds="http://schemas.openxmlformats.org/officeDocument/2006/customXml" ds:itemID="{95EB5789-7CFD-4CD7-90F4-1245D8DBB17B}">
  <ds:schemaRefs>
    <ds:schemaRef ds:uri="http://schemas.openxmlformats.org/officeDocument/2006/bibliography"/>
  </ds:schemaRefs>
</ds:datastoreItem>
</file>

<file path=customXml/itemProps4.xml><?xml version="1.0" encoding="utf-8"?>
<ds:datastoreItem xmlns:ds="http://schemas.openxmlformats.org/officeDocument/2006/customXml" ds:itemID="{CEDAFB08-22F5-45F2-9CC3-24A58AEBC8E7}">
  <ds:schemaRefs>
    <ds:schemaRef ds:uri="http://schemas.openxmlformats.org/officeDocument/2006/bibliography"/>
  </ds:schemaRefs>
</ds:datastoreItem>
</file>

<file path=customXml/itemProps5.xml><?xml version="1.0" encoding="utf-8"?>
<ds:datastoreItem xmlns:ds="http://schemas.openxmlformats.org/officeDocument/2006/customXml" ds:itemID="{32A9DF02-37F8-4FE2-8978-EA895886F708}">
  <ds:schemaRefs>
    <ds:schemaRef ds:uri="http://schemas.openxmlformats.org/officeDocument/2006/bibliography"/>
  </ds:schemaRefs>
</ds:datastoreItem>
</file>

<file path=customXml/itemProps6.xml><?xml version="1.0" encoding="utf-8"?>
<ds:datastoreItem xmlns:ds="http://schemas.openxmlformats.org/officeDocument/2006/customXml" ds:itemID="{1F6F40F1-529C-4311-909D-745B7D77AB4D}">
  <ds:schemaRefs>
    <ds:schemaRef ds:uri="http://schemas.openxmlformats.org/officeDocument/2006/bibliography"/>
  </ds:schemaRefs>
</ds:datastoreItem>
</file>

<file path=customXml/itemProps7.xml><?xml version="1.0" encoding="utf-8"?>
<ds:datastoreItem xmlns:ds="http://schemas.openxmlformats.org/officeDocument/2006/customXml" ds:itemID="{FF84D4DB-A548-454F-8C17-1D95769D1823}">
  <ds:schemaRefs>
    <ds:schemaRef ds:uri="http://schemas.openxmlformats.org/officeDocument/2006/bibliography"/>
  </ds:schemaRefs>
</ds:datastoreItem>
</file>

<file path=customXml/itemProps8.xml><?xml version="1.0" encoding="utf-8"?>
<ds:datastoreItem xmlns:ds="http://schemas.openxmlformats.org/officeDocument/2006/customXml" ds:itemID="{D33D3E14-58BC-4B39-A615-84DE9C75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936B5FC6.dotm</Template>
  <TotalTime>22</TotalTime>
  <Pages>72</Pages>
  <Words>38587</Words>
  <Characters>219947</Characters>
  <Application>Microsoft Office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NATIONS UNIES</vt:lpstr>
    </vt:vector>
  </TitlesOfParts>
  <Company>UNFCCC</Company>
  <LinksUpToDate>false</LinksUpToDate>
  <CharactersWithSpaces>258018</CharactersWithSpaces>
  <SharedDoc>false</SharedDoc>
  <HLinks>
    <vt:vector size="30" baseType="variant">
      <vt:variant>
        <vt:i4>4784142</vt:i4>
      </vt:variant>
      <vt:variant>
        <vt:i4>9</vt:i4>
      </vt:variant>
      <vt:variant>
        <vt:i4>0</vt:i4>
      </vt:variant>
      <vt:variant>
        <vt:i4>5</vt:i4>
      </vt:variant>
      <vt:variant>
        <vt:lpwstr>http://www.ipbes.net/</vt:lpwstr>
      </vt:variant>
      <vt:variant>
        <vt:lpwstr/>
      </vt:variant>
      <vt:variant>
        <vt:i4>5636188</vt:i4>
      </vt:variant>
      <vt:variant>
        <vt:i4>6</vt:i4>
      </vt:variant>
      <vt:variant>
        <vt:i4>0</vt:i4>
      </vt:variant>
      <vt:variant>
        <vt:i4>5</vt:i4>
      </vt:variant>
      <vt:variant>
        <vt:lpwstr>http://www.gbif.org/</vt:lpwstr>
      </vt:variant>
      <vt:variant>
        <vt:lpwstr/>
      </vt:variant>
      <vt:variant>
        <vt:i4>5767248</vt:i4>
      </vt:variant>
      <vt:variant>
        <vt:i4>3</vt:i4>
      </vt:variant>
      <vt:variant>
        <vt:i4>0</vt:i4>
      </vt:variant>
      <vt:variant>
        <vt:i4>5</vt:i4>
      </vt:variant>
      <vt:variant>
        <vt:lpwstr>http://www.iisd.ca/ipbes/ipbes3/12jan.htm</vt:lpwstr>
      </vt:variant>
      <vt:variant>
        <vt:lpwstr/>
      </vt:variant>
      <vt:variant>
        <vt:i4>6619198</vt:i4>
      </vt:variant>
      <vt:variant>
        <vt:i4>0</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Cynthia Mwanza</cp:lastModifiedBy>
  <cp:revision>4</cp:revision>
  <cp:lastPrinted>2017-07-26T06:37:00Z</cp:lastPrinted>
  <dcterms:created xsi:type="dcterms:W3CDTF">2017-07-26T06:29:00Z</dcterms:created>
  <dcterms:modified xsi:type="dcterms:W3CDTF">2017-07-26T07:12:00Z</dcterms:modified>
</cp:coreProperties>
</file>