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1" w:type="pct"/>
        <w:jc w:val="right"/>
        <w:tblLayout w:type="fixed"/>
        <w:tblLook w:val="0000" w:firstRow="0" w:lastRow="0" w:firstColumn="0" w:lastColumn="0" w:noHBand="0" w:noVBand="0"/>
      </w:tblPr>
      <w:tblGrid>
        <w:gridCol w:w="1420"/>
        <w:gridCol w:w="567"/>
        <w:gridCol w:w="426"/>
        <w:gridCol w:w="850"/>
        <w:gridCol w:w="851"/>
        <w:gridCol w:w="3260"/>
        <w:gridCol w:w="709"/>
        <w:gridCol w:w="1807"/>
      </w:tblGrid>
      <w:tr w:rsidR="00C77353" w:rsidRPr="0065797E" w14:paraId="6B737FAF" w14:textId="77777777" w:rsidTr="00C77353">
        <w:trPr>
          <w:cantSplit/>
          <w:trHeight w:val="1247"/>
          <w:jc w:val="right"/>
        </w:trPr>
        <w:tc>
          <w:tcPr>
            <w:tcW w:w="1420" w:type="dxa"/>
          </w:tcPr>
          <w:p w14:paraId="746EEE97" w14:textId="77777777" w:rsidR="00C77353" w:rsidRPr="0065797E" w:rsidRDefault="00C77353" w:rsidP="00C77353">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r w:rsidRPr="0065797E">
              <w:rPr>
                <w:rFonts w:ascii="Arial" w:eastAsia="Times New Roman" w:hAnsi="Arial" w:cs="Arial"/>
                <w:b/>
                <w:sz w:val="27"/>
                <w:szCs w:val="27"/>
                <w:lang w:val="es-ES_tradnl"/>
              </w:rPr>
              <w:t>NACIONESUNIDAS</w:t>
            </w:r>
          </w:p>
        </w:tc>
        <w:tc>
          <w:tcPr>
            <w:tcW w:w="993" w:type="dxa"/>
            <w:gridSpan w:val="2"/>
            <w:tcBorders>
              <w:left w:val="nil"/>
            </w:tcBorders>
            <w:vAlign w:val="center"/>
          </w:tcPr>
          <w:p w14:paraId="5EC3F9FC" w14:textId="77777777" w:rsidR="00C77353" w:rsidRPr="0065797E" w:rsidRDefault="00C77353" w:rsidP="00C77353">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67CAB51A" wp14:editId="66928AB3">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1F5A1E60" w14:textId="77777777" w:rsidR="00C77353" w:rsidRPr="0065797E" w:rsidRDefault="00C77353" w:rsidP="00C77353">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sidRPr="000C74B3">
              <w:rPr>
                <w:lang w:val="es-ES"/>
              </w:rPr>
              <w:object w:dxaOrig="12002" w:dyaOrig="8999" w14:anchorId="0B220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4pt" o:ole="">
                  <v:imagedata r:id="rId10" o:title="" croptop="5897f" cropbottom="39980f" cropleft="24092f" cropright="26812f"/>
                </v:shape>
                <o:OLEObject Type="Embed" ProgID="PBrush" ShapeID="_x0000_i1025" DrawAspect="Content" ObjectID="_1546408746" r:id="rId11"/>
              </w:object>
            </w:r>
          </w:p>
        </w:tc>
        <w:tc>
          <w:tcPr>
            <w:tcW w:w="851" w:type="dxa"/>
            <w:tcBorders>
              <w:left w:val="nil"/>
            </w:tcBorders>
            <w:vAlign w:val="center"/>
          </w:tcPr>
          <w:p w14:paraId="5F4C1CF1" w14:textId="77777777" w:rsidR="00C77353" w:rsidRPr="0065797E" w:rsidRDefault="00C77353" w:rsidP="00C77353">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1EDFD038" wp14:editId="0B43A9FF">
                  <wp:extent cx="583987" cy="453313"/>
                  <wp:effectExtent l="0" t="0" r="6985" b="4445"/>
                  <wp:docPr id="1"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05FF421D" w14:textId="77777777" w:rsidR="00C77353" w:rsidRPr="0065797E" w:rsidRDefault="00C77353" w:rsidP="00C77353">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34B3E542">
                <v:shape id="_x0000_i1026" type="#_x0000_t75" style="width:156.5pt;height:30.5pt" o:ole="">
                  <v:imagedata r:id="rId13" o:title=""/>
                </v:shape>
                <o:OLEObject Type="Embed" ProgID="PBrush" ShapeID="_x0000_i1026" DrawAspect="Content" ObjectID="_1546408747" r:id="rId14"/>
              </w:object>
            </w:r>
          </w:p>
        </w:tc>
        <w:tc>
          <w:tcPr>
            <w:tcW w:w="709" w:type="dxa"/>
            <w:tcBorders>
              <w:left w:val="nil"/>
            </w:tcBorders>
            <w:vAlign w:val="center"/>
          </w:tcPr>
          <w:p w14:paraId="2C980FFA" w14:textId="77777777" w:rsidR="00C77353" w:rsidRPr="0065797E" w:rsidRDefault="00C77353" w:rsidP="00C77353">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3DDD5136" wp14:editId="6E815995">
                  <wp:extent cx="315046" cy="6300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047" cy="630092"/>
                          </a:xfrm>
                          <a:prstGeom prst="rect">
                            <a:avLst/>
                          </a:prstGeom>
                        </pic:spPr>
                      </pic:pic>
                    </a:graphicData>
                  </a:graphic>
                </wp:inline>
              </w:drawing>
            </w:r>
          </w:p>
        </w:tc>
        <w:tc>
          <w:tcPr>
            <w:tcW w:w="1807" w:type="dxa"/>
          </w:tcPr>
          <w:p w14:paraId="60A9C18F" w14:textId="77777777" w:rsidR="00C77353" w:rsidRPr="0065797E" w:rsidRDefault="00C77353" w:rsidP="00C77353">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C77353" w:rsidRPr="0065797E" w14:paraId="6F2B4CF8" w14:textId="77777777" w:rsidTr="00C77353">
        <w:trPr>
          <w:cantSplit/>
          <w:trHeight w:val="282"/>
          <w:jc w:val="right"/>
        </w:trPr>
        <w:tc>
          <w:tcPr>
            <w:tcW w:w="1420" w:type="dxa"/>
            <w:tcBorders>
              <w:bottom w:val="single" w:sz="2" w:space="0" w:color="auto"/>
            </w:tcBorders>
          </w:tcPr>
          <w:p w14:paraId="48F65CA0" w14:textId="77777777" w:rsidR="00C77353" w:rsidRPr="0065797E" w:rsidRDefault="00C77353" w:rsidP="00C77353">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54" w:type="dxa"/>
            <w:gridSpan w:val="5"/>
            <w:tcBorders>
              <w:bottom w:val="single" w:sz="2" w:space="0" w:color="auto"/>
            </w:tcBorders>
          </w:tcPr>
          <w:p w14:paraId="2E4C504D" w14:textId="77777777" w:rsidR="00C77353" w:rsidRPr="0065797E" w:rsidRDefault="00C77353" w:rsidP="00C77353">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516" w:type="dxa"/>
            <w:gridSpan w:val="2"/>
            <w:tcBorders>
              <w:bottom w:val="single" w:sz="2" w:space="0" w:color="auto"/>
            </w:tcBorders>
          </w:tcPr>
          <w:p w14:paraId="40B15C36" w14:textId="24A0107F" w:rsidR="00C77353" w:rsidRPr="0065797E" w:rsidRDefault="00C77353" w:rsidP="00C77353">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/5/6</w:t>
            </w:r>
          </w:p>
        </w:tc>
      </w:tr>
      <w:tr w:rsidR="00C77353" w:rsidRPr="0065797E" w14:paraId="578015A1" w14:textId="77777777" w:rsidTr="00C77353">
        <w:trPr>
          <w:cantSplit/>
          <w:trHeight w:val="1433"/>
          <w:jc w:val="right"/>
        </w:trPr>
        <w:tc>
          <w:tcPr>
            <w:tcW w:w="1987" w:type="dxa"/>
            <w:gridSpan w:val="2"/>
            <w:tcBorders>
              <w:top w:val="single" w:sz="2" w:space="0" w:color="auto"/>
              <w:bottom w:val="single" w:sz="24" w:space="0" w:color="auto"/>
            </w:tcBorders>
          </w:tcPr>
          <w:p w14:paraId="6B34BFA0" w14:textId="77777777" w:rsidR="00C77353" w:rsidRPr="0065797E" w:rsidRDefault="00C77353" w:rsidP="00C77353">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rPr>
              <w:drawing>
                <wp:inline distT="0" distB="0" distL="0" distR="0" wp14:anchorId="7356A894" wp14:editId="5E8E34EB">
                  <wp:extent cx="1111406"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61A84EF0" w14:textId="77777777" w:rsidR="00C77353" w:rsidRPr="0065797E" w:rsidRDefault="00C77353" w:rsidP="00C77353">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516" w:type="dxa"/>
            <w:gridSpan w:val="2"/>
            <w:tcBorders>
              <w:top w:val="single" w:sz="2" w:space="0" w:color="auto"/>
              <w:bottom w:val="single" w:sz="24" w:space="0" w:color="auto"/>
            </w:tcBorders>
          </w:tcPr>
          <w:p w14:paraId="10E94A19" w14:textId="77777777" w:rsidR="00C77353" w:rsidRPr="0065797E" w:rsidRDefault="00C77353" w:rsidP="00C77353">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proofErr w:type="spellStart"/>
            <w:r w:rsidRPr="0065797E">
              <w:rPr>
                <w:rFonts w:ascii="Times New Roman" w:eastAsia="Times New Roman" w:hAnsi="Times New Roman"/>
                <w:sz w:val="20"/>
                <w:szCs w:val="20"/>
                <w:lang w:val="es-ES_tradnl"/>
              </w:rPr>
              <w:t>Distr</w:t>
            </w:r>
            <w:proofErr w:type="spellEnd"/>
            <w:r w:rsidRPr="0065797E">
              <w:rPr>
                <w:rFonts w:ascii="Times New Roman" w:eastAsia="Times New Roman" w:hAnsi="Times New Roman"/>
                <w:sz w:val="20"/>
                <w:szCs w:val="20"/>
                <w:lang w:val="es-ES_tradnl"/>
              </w:rPr>
              <w:t>. general</w:t>
            </w:r>
          </w:p>
          <w:p w14:paraId="60CC4CB0" w14:textId="24371126" w:rsidR="00C77353" w:rsidRPr="0065797E" w:rsidRDefault="00C77353" w:rsidP="00C77353">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16</w:t>
            </w:r>
            <w:r w:rsidRPr="0065797E">
              <w:rPr>
                <w:rFonts w:ascii="Times New Roman" w:eastAsia="Times New Roman" w:hAnsi="Times New Roman"/>
                <w:sz w:val="20"/>
                <w:szCs w:val="20"/>
                <w:lang w:val="es-ES_tradnl"/>
              </w:rPr>
              <w:t xml:space="preserve"> de </w:t>
            </w:r>
            <w:r>
              <w:rPr>
                <w:rFonts w:ascii="Times New Roman" w:eastAsia="Times New Roman" w:hAnsi="Times New Roman"/>
                <w:sz w:val="20"/>
                <w:szCs w:val="20"/>
                <w:lang w:val="es-ES_tradnl"/>
              </w:rPr>
              <w:t xml:space="preserve">diciembre </w:t>
            </w:r>
            <w:r w:rsidRPr="0065797E">
              <w:rPr>
                <w:rFonts w:ascii="Times New Roman" w:eastAsia="Times New Roman" w:hAnsi="Times New Roman"/>
                <w:sz w:val="20"/>
                <w:szCs w:val="20"/>
                <w:lang w:val="es-ES_tradnl"/>
              </w:rPr>
              <w:t>de 2016</w:t>
            </w:r>
          </w:p>
          <w:p w14:paraId="18A6F134" w14:textId="77777777" w:rsidR="00C77353" w:rsidRPr="0065797E" w:rsidRDefault="00C77353" w:rsidP="00C77353">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5135673F" w14:textId="77777777" w:rsidR="007F3540" w:rsidRPr="00FC0839" w:rsidRDefault="007F3540" w:rsidP="00EA5E72">
      <w:pPr>
        <w:pStyle w:val="AATitle"/>
        <w:keepNext w:val="0"/>
        <w:keepLines w:val="0"/>
        <w:tabs>
          <w:tab w:val="clear" w:pos="4082"/>
        </w:tabs>
        <w:ind w:right="3402"/>
        <w:rPr>
          <w:lang w:val="es-ES_tradnl"/>
        </w:rPr>
      </w:pPr>
      <w:r w:rsidRPr="00FC0839">
        <w:rPr>
          <w:lang w:val="es-ES_tradnl"/>
        </w:rPr>
        <w:t>Plenario de la Plataforma Intergubernamental Científico-normativa</w:t>
      </w:r>
    </w:p>
    <w:p w14:paraId="08C6C7F0" w14:textId="77777777" w:rsidR="007F3540" w:rsidRPr="00FC0839" w:rsidRDefault="007F3540" w:rsidP="00EA5E72">
      <w:pPr>
        <w:pStyle w:val="AATitle"/>
        <w:keepNext w:val="0"/>
        <w:keepLines w:val="0"/>
        <w:tabs>
          <w:tab w:val="clear" w:pos="4082"/>
        </w:tabs>
        <w:ind w:right="3402"/>
        <w:rPr>
          <w:lang w:val="es-ES_tradnl"/>
        </w:rPr>
      </w:pPr>
      <w:r w:rsidRPr="00FC0839">
        <w:rPr>
          <w:lang w:val="es-ES_tradnl"/>
        </w:rPr>
        <w:t>sobre Diversidad Biológica y Servicios de los Ecosistemas</w:t>
      </w:r>
    </w:p>
    <w:p w14:paraId="4CF0F2D1" w14:textId="77777777" w:rsidR="007F3540" w:rsidRPr="00FC0839" w:rsidRDefault="007F3540" w:rsidP="00EA5E72">
      <w:pPr>
        <w:pStyle w:val="AATitle"/>
        <w:keepNext w:val="0"/>
        <w:keepLines w:val="0"/>
        <w:tabs>
          <w:tab w:val="clear" w:pos="4082"/>
        </w:tabs>
        <w:ind w:right="3402"/>
        <w:rPr>
          <w:lang w:val="es-ES_tradnl"/>
        </w:rPr>
      </w:pPr>
      <w:r w:rsidRPr="00FC0839">
        <w:rPr>
          <w:lang w:val="es-ES_tradnl"/>
        </w:rPr>
        <w:t>Quinto período de sesiones</w:t>
      </w:r>
    </w:p>
    <w:p w14:paraId="52A01158" w14:textId="77777777" w:rsidR="007F3540" w:rsidRPr="00FC0839" w:rsidRDefault="007F3540" w:rsidP="00EA5E72">
      <w:pPr>
        <w:pStyle w:val="AATitle"/>
        <w:keepNext w:val="0"/>
        <w:keepLines w:val="0"/>
        <w:tabs>
          <w:tab w:val="clear" w:pos="4082"/>
        </w:tabs>
        <w:ind w:right="3402"/>
        <w:rPr>
          <w:b w:val="0"/>
          <w:lang w:val="es-ES_tradnl"/>
        </w:rPr>
      </w:pPr>
      <w:r w:rsidRPr="00FC0839">
        <w:rPr>
          <w:b w:val="0"/>
          <w:lang w:val="es-ES_tradnl"/>
        </w:rPr>
        <w:t>Bonn (Alemania), 7 a 10 de marzo de 2017</w:t>
      </w:r>
    </w:p>
    <w:p w14:paraId="61C63981" w14:textId="149AB2C1" w:rsidR="00BD6F73" w:rsidRPr="00FC0839" w:rsidRDefault="00F61F29" w:rsidP="00BD6F73">
      <w:pPr>
        <w:pStyle w:val="AgendaItemTitle"/>
        <w:rPr>
          <w:b w:val="0"/>
          <w:lang w:val="es-ES_tradnl"/>
        </w:rPr>
      </w:pPr>
      <w:r>
        <w:rPr>
          <w:b w:val="0"/>
          <w:lang w:val="es-ES_tradnl"/>
        </w:rPr>
        <w:t xml:space="preserve">Temas </w:t>
      </w:r>
      <w:r w:rsidR="00BD6F73" w:rsidRPr="00FC0839">
        <w:rPr>
          <w:b w:val="0"/>
          <w:lang w:val="es-ES_tradnl"/>
        </w:rPr>
        <w:t>6 d), e) y f) del programa provisional</w:t>
      </w:r>
      <w:r w:rsidR="00BD6F73" w:rsidRPr="00FC0839">
        <w:rPr>
          <w:rStyle w:val="FootnoteReference"/>
          <w:b w:val="0"/>
          <w:vertAlign w:val="baseline"/>
          <w:lang w:val="es-ES_tradnl"/>
        </w:rPr>
        <w:footnoteReference w:id="1"/>
      </w:r>
    </w:p>
    <w:p w14:paraId="0C98F038" w14:textId="5F86EC23" w:rsidR="00BD6F73" w:rsidRPr="00FC0839" w:rsidRDefault="00BD6F73" w:rsidP="00C77353">
      <w:pPr>
        <w:pStyle w:val="AATitle2"/>
        <w:spacing w:before="60" w:after="60"/>
        <w:ind w:right="3969"/>
        <w:rPr>
          <w:lang w:val="es-ES_tradnl"/>
        </w:rPr>
      </w:pPr>
      <w:r w:rsidRPr="00FC0839">
        <w:rPr>
          <w:lang w:val="es-ES_tradnl"/>
        </w:rPr>
        <w:t>Program</w:t>
      </w:r>
      <w:r w:rsidR="000401D8">
        <w:rPr>
          <w:lang w:val="es-ES_tradnl"/>
        </w:rPr>
        <w:t>a de trabajo de la Plataforma: e</w:t>
      </w:r>
      <w:r w:rsidRPr="00FC0839">
        <w:rPr>
          <w:lang w:val="es-ES_tradnl"/>
        </w:rPr>
        <w:t>valuación metodológica relativa a la conceptualización diversa de valores múltiples de la naturaleza y sus beneficios; evaluación temática de las especies exóticas invasoras; evaluación temática del uso sostenible de la diversidad biológica</w:t>
      </w:r>
    </w:p>
    <w:p w14:paraId="62444C77" w14:textId="59F1AD43" w:rsidR="00BD6F73" w:rsidRPr="00FC0839" w:rsidRDefault="00BD6F73" w:rsidP="000B5220">
      <w:pPr>
        <w:pStyle w:val="BBTitle"/>
        <w:rPr>
          <w:lang w:val="es-ES_tradnl"/>
        </w:rPr>
      </w:pPr>
      <w:r w:rsidRPr="00FC0839">
        <w:rPr>
          <w:lang w:val="es-ES_tradnl"/>
        </w:rPr>
        <w:t>Consideraciones relativas a la realizaci</w:t>
      </w:r>
      <w:r w:rsidR="00FC0839" w:rsidRPr="00FC0839">
        <w:rPr>
          <w:lang w:val="es-ES_tradnl"/>
        </w:rPr>
        <w:t>ón</w:t>
      </w:r>
      <w:r w:rsidR="003047C9">
        <w:rPr>
          <w:lang w:val="es-ES_tradnl"/>
        </w:rPr>
        <w:t xml:space="preserve"> de dos evaluaciones </w:t>
      </w:r>
      <w:r w:rsidRPr="00FC0839">
        <w:rPr>
          <w:lang w:val="es-ES_tradnl"/>
        </w:rPr>
        <w:t>temáticas y una evaluación met</w:t>
      </w:r>
      <w:r w:rsidR="003047C9">
        <w:rPr>
          <w:lang w:val="es-ES_tradnl"/>
        </w:rPr>
        <w:t>odológica (productos </w:t>
      </w:r>
      <w:r w:rsidR="00F61F29">
        <w:rPr>
          <w:lang w:val="es-ES_tradnl"/>
        </w:rPr>
        <w:t xml:space="preserve">previstos </w:t>
      </w:r>
      <w:r w:rsidR="003047C9">
        <w:rPr>
          <w:lang w:val="es-ES_tradnl"/>
        </w:rPr>
        <w:t>3 b) </w:t>
      </w:r>
      <w:r w:rsidRPr="00FC0839">
        <w:rPr>
          <w:lang w:val="es-ES_tradnl"/>
        </w:rPr>
        <w:t>ii), 3 b) iii) y 3 d))</w:t>
      </w:r>
    </w:p>
    <w:p w14:paraId="71364CF1" w14:textId="77777777" w:rsidR="00BD6F73" w:rsidRPr="00FC0839" w:rsidRDefault="00333111">
      <w:pPr>
        <w:pStyle w:val="CH2"/>
        <w:rPr>
          <w:lang w:val="es-ES_tradnl"/>
        </w:rPr>
      </w:pPr>
      <w:r w:rsidRPr="00FC0839">
        <w:rPr>
          <w:lang w:val="es-ES_tradnl"/>
        </w:rPr>
        <w:tab/>
      </w:r>
      <w:r w:rsidRPr="00FC0839">
        <w:rPr>
          <w:lang w:val="es-ES_tradnl"/>
        </w:rPr>
        <w:tab/>
        <w:t xml:space="preserve">Nota de la Secretaría </w:t>
      </w:r>
    </w:p>
    <w:p w14:paraId="4B329FFA" w14:textId="757214B6" w:rsidR="00BD6F73" w:rsidRPr="00FC0839" w:rsidRDefault="00AD1320" w:rsidP="00AD1320">
      <w:pPr>
        <w:pStyle w:val="CH1"/>
        <w:rPr>
          <w:lang w:val="es-ES_tradnl"/>
        </w:rPr>
      </w:pPr>
      <w:r w:rsidRPr="00FC0839">
        <w:rPr>
          <w:lang w:val="es-ES_tradnl"/>
        </w:rPr>
        <w:tab/>
      </w:r>
      <w:r w:rsidRPr="00FC0839">
        <w:rPr>
          <w:lang w:val="es-ES_tradnl"/>
        </w:rPr>
        <w:tab/>
        <w:t>Introducción</w:t>
      </w:r>
    </w:p>
    <w:p w14:paraId="70301F58" w14:textId="3870FDA8" w:rsidR="00BD6F73" w:rsidRPr="00FC0839" w:rsidRDefault="00BD6F73" w:rsidP="00F61F29">
      <w:pPr>
        <w:pStyle w:val="Normalnumber"/>
        <w:numPr>
          <w:ilvl w:val="0"/>
          <w:numId w:val="9"/>
        </w:numPr>
        <w:tabs>
          <w:tab w:val="clear" w:pos="567"/>
          <w:tab w:val="clear" w:pos="1247"/>
          <w:tab w:val="clear" w:pos="1814"/>
          <w:tab w:val="clear" w:pos="2381"/>
          <w:tab w:val="clear" w:pos="2948"/>
          <w:tab w:val="clear" w:pos="3515"/>
          <w:tab w:val="clear" w:pos="4082"/>
        </w:tabs>
        <w:rPr>
          <w:lang w:val="es-ES_tradnl"/>
        </w:rPr>
      </w:pPr>
      <w:r w:rsidRPr="00FC0839">
        <w:rPr>
          <w:lang w:val="es-ES_tradnl"/>
        </w:rPr>
        <w:t xml:space="preserve">En la decisión IPBES-4/1, el Plenario de la Plataforma Intergubernamental Científico-normativa sobre Diversidad Biológica y Servicios de los Ecosistemas (IPBES) aprobó el informe de análisis inicial sobre una evaluación temática de las especies exóticas invasoras y su control, que figura en el anexo III de la </w:t>
      </w:r>
      <w:bookmarkStart w:id="0" w:name="_GoBack"/>
      <w:bookmarkEnd w:id="0"/>
      <w:r w:rsidRPr="00FC0839">
        <w:rPr>
          <w:lang w:val="es-ES_tradnl"/>
        </w:rPr>
        <w:t xml:space="preserve">decisión, y el informe de análisis inicial sobre la evaluación metodológica de la diversa conceptualización de los múltiples valores de la naturaleza y sus beneficios, que figura en el anexo VI de la decisión, y decidió examinar la realización de esas evaluaciones en su quinto período de sesiones. </w:t>
      </w:r>
    </w:p>
    <w:p w14:paraId="012F77E5" w14:textId="7DD72161" w:rsidR="00BD6F73" w:rsidRPr="00FC0839" w:rsidRDefault="00BD6F73"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En la misma decisión, el Plenario solicitó al Grupo Multidisciplinario de Expertos que, en consulta con la Mesa, reali</w:t>
      </w:r>
      <w:r w:rsidR="00FC0839">
        <w:rPr>
          <w:lang w:val="es-ES_tradnl"/>
        </w:rPr>
        <w:t>zase</w:t>
      </w:r>
      <w:r w:rsidRPr="00FC0839">
        <w:rPr>
          <w:lang w:val="es-ES_tradnl"/>
        </w:rPr>
        <w:t xml:space="preserve"> un nuevo análisis inicial de la evaluación temática del uso sostenible de la diversidad biológica de conformidad con los procedimientos para la preparación de productos previstos de la Plataforma. El informe revisado de análisis inicial respecto de una evaluación temática del uso sostenible de la diversidad biológica (IPBES/5/7) está ante el Plenario para su aprobación y para facilitar que este </w:t>
      </w:r>
      <w:r w:rsidR="00FC0839">
        <w:rPr>
          <w:lang w:val="es-ES_tradnl"/>
        </w:rPr>
        <w:t>considere</w:t>
      </w:r>
      <w:r w:rsidRPr="00FC0839">
        <w:rPr>
          <w:lang w:val="es-ES_tradnl"/>
        </w:rPr>
        <w:t xml:space="preserve"> la realización de la evaluación. </w:t>
      </w:r>
    </w:p>
    <w:p w14:paraId="151748A9" w14:textId="41287249" w:rsidR="00BD6F73" w:rsidRPr="00FC0839" w:rsidRDefault="00611FCB"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En su quinto período de sesiones se invitará al Plenario a examinar la realización de las tres evaluaciones mencionadas anteriormente. En la presente nota se proporciona información de antecedentes sobre la duración, los plazos y el orden de lanzamiento de las tres evaluaciones, así como consideraciones financieras.</w:t>
      </w:r>
    </w:p>
    <w:p w14:paraId="394B4547" w14:textId="02C74B77" w:rsidR="00BD6F73" w:rsidRPr="00FC0839" w:rsidRDefault="00AD1320" w:rsidP="00AD1320">
      <w:pPr>
        <w:pStyle w:val="CH1"/>
        <w:rPr>
          <w:lang w:val="es-ES_tradnl"/>
        </w:rPr>
      </w:pPr>
      <w:r w:rsidRPr="00FC0839">
        <w:rPr>
          <w:lang w:val="es-ES_tradnl"/>
        </w:rPr>
        <w:tab/>
        <w:t>I.</w:t>
      </w:r>
      <w:r w:rsidRPr="00FC0839">
        <w:rPr>
          <w:lang w:val="es-ES_tradnl"/>
        </w:rPr>
        <w:tab/>
        <w:t>Consideracio</w:t>
      </w:r>
      <w:r w:rsidR="00FC0839">
        <w:rPr>
          <w:lang w:val="es-ES_tradnl"/>
        </w:rPr>
        <w:t xml:space="preserve">nes relativas a la duración, los plazos </w:t>
      </w:r>
      <w:r w:rsidRPr="00FC0839">
        <w:rPr>
          <w:lang w:val="es-ES_tradnl"/>
        </w:rPr>
        <w:t>y el orden de lanzamiento de las evaluaciones</w:t>
      </w:r>
    </w:p>
    <w:p w14:paraId="17AD7785" w14:textId="4C050449" w:rsidR="00BD6F73" w:rsidRPr="00FC0839" w:rsidRDefault="00BD6F73"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La Mesa sugiere que la evaluación metodológica de la diversa conceptualización de los múltiples valores de la naturaleza y sus beneficios, cuya realización estaba originalmente prevista durante un período de dos años, s</w:t>
      </w:r>
      <w:r w:rsidR="00831132">
        <w:rPr>
          <w:lang w:val="es-ES_tradnl"/>
        </w:rPr>
        <w:t xml:space="preserve">e lleve a cabo a lo largo de </w:t>
      </w:r>
      <w:r w:rsidRPr="00FC0839">
        <w:rPr>
          <w:lang w:val="es-ES_tradnl"/>
        </w:rPr>
        <w:t xml:space="preserve">tres años. Esta sugerencia, </w:t>
      </w:r>
      <w:r w:rsidR="00FC0839">
        <w:rPr>
          <w:lang w:val="es-ES_tradnl"/>
        </w:rPr>
        <w:t>basada</w:t>
      </w:r>
      <w:r w:rsidRPr="00FC0839">
        <w:rPr>
          <w:lang w:val="es-ES_tradnl"/>
        </w:rPr>
        <w:t xml:space="preserve"> en la </w:t>
      </w:r>
      <w:r w:rsidRPr="00FC0839">
        <w:rPr>
          <w:lang w:val="es-ES_tradnl"/>
        </w:rPr>
        <w:lastRenderedPageBreak/>
        <w:t>experiencia adquirida en las dos evaluaciones completadas, tiene por objeto disponer de tiempo suficiente para realizar las labores necesarias. Con este cambio, cada una de las tres evaluaciones bajo examen se realizaría en un período de tres años.</w:t>
      </w:r>
    </w:p>
    <w:p w14:paraId="74CEE674" w14:textId="65FC0495" w:rsidR="00BD6F73" w:rsidRPr="00FC0839" w:rsidRDefault="00BD6F73" w:rsidP="00892E49">
      <w:pPr>
        <w:pStyle w:val="Normalnumber"/>
        <w:numPr>
          <w:ilvl w:val="0"/>
          <w:numId w:val="9"/>
        </w:numPr>
        <w:tabs>
          <w:tab w:val="clear" w:pos="567"/>
          <w:tab w:val="clear" w:pos="1247"/>
          <w:tab w:val="clear" w:pos="1814"/>
          <w:tab w:val="clear" w:pos="2381"/>
          <w:tab w:val="clear" w:pos="2948"/>
          <w:tab w:val="clear" w:pos="3515"/>
          <w:tab w:val="clear" w:pos="4082"/>
        </w:tabs>
        <w:rPr>
          <w:rFonts w:cs="Arial"/>
          <w:lang w:val="es-ES_tradnl"/>
        </w:rPr>
      </w:pPr>
      <w:r w:rsidRPr="00FC0839">
        <w:rPr>
          <w:lang w:val="es-ES_tradnl"/>
        </w:rPr>
        <w:t>A la hora de decidir sobre la realización de toda nueva evaluación, el Plenario tal vez desee tomar nota de la posible necesidad de contar con un funcionario adicional en la Secretaría, en el supuesto de que se decida la puesta en marcha de más de una nueva evaluación en 2017 o 2018 (véase</w:t>
      </w:r>
      <w:r w:rsidR="00C77353">
        <w:rPr>
          <w:lang w:val="es-ES_tradnl"/>
        </w:rPr>
        <w:t> </w:t>
      </w:r>
      <w:r w:rsidRPr="00FC0839">
        <w:rPr>
          <w:lang w:val="es-ES_tradnl"/>
        </w:rPr>
        <w:t xml:space="preserve">IPBES/5/10). </w:t>
      </w:r>
    </w:p>
    <w:p w14:paraId="406BF8BC" w14:textId="7382B614" w:rsidR="00BD6F73" w:rsidRPr="00FC0839" w:rsidRDefault="004B595C"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rFonts w:cs="Arial"/>
          <w:lang w:val="es-ES_tradnl"/>
        </w:rPr>
      </w:pPr>
      <w:r>
        <w:rPr>
          <w:lang w:val="es-ES_tradnl"/>
        </w:rPr>
        <w:t xml:space="preserve">En cuanto a los plazos </w:t>
      </w:r>
      <w:r w:rsidR="00BD6F73" w:rsidRPr="00FC0839">
        <w:rPr>
          <w:lang w:val="es-ES_tradnl"/>
        </w:rPr>
        <w:t xml:space="preserve">de las tres evaluaciones, el Plenario tal vez desee considerar la posibilidad de escalonar su lanzamiento o transferir algunas de ellas, o incluso todas, al próximo programa de trabajo. Aun en el supuesto de que hubiese fondos disponibles, poner en marcha tres nuevas evaluaciones en fechas similares supondría sin duda una sobrecarga inaceptable de trabajo en años venideros para todos los interesados, lo que incluiría una saturación de la capacidad de los Gobiernos </w:t>
      </w:r>
      <w:r>
        <w:rPr>
          <w:lang w:val="es-ES_tradnl"/>
        </w:rPr>
        <w:t>para</w:t>
      </w:r>
      <w:r w:rsidR="00BD6F73" w:rsidRPr="00FC0839">
        <w:rPr>
          <w:lang w:val="es-ES_tradnl"/>
        </w:rPr>
        <w:t xml:space="preserve"> nombrar expertos para las evaluaciones, proporcionar observaciones al respecto y examinar dichas evaluaciones en futuros períodos de sesiones del Plenario, sin dejar de aportar sus contribuciones a las seis evaluaciones en curso; la saturación de la capacidad de la comunidad de expertos para responder a </w:t>
      </w:r>
      <w:r w:rsidR="00504DAA">
        <w:rPr>
          <w:lang w:val="es-ES_tradnl"/>
        </w:rPr>
        <w:t>los llamamientos del Plenario y </w:t>
      </w:r>
      <w:r w:rsidR="00BD6F73" w:rsidRPr="00FC0839">
        <w:rPr>
          <w:lang w:val="es-ES_tradnl"/>
        </w:rPr>
        <w:t xml:space="preserve">cumplir con las labores requeridas; y un desafío importante para los miembros del Grupo Multidisciplinario de Expertos y la Mesa en lo relativo a la supervisión </w:t>
      </w:r>
      <w:r w:rsidR="00504DAA">
        <w:rPr>
          <w:lang w:val="es-ES_tradnl"/>
        </w:rPr>
        <w:t>y orientación de la labor de la </w:t>
      </w:r>
      <w:r w:rsidR="00BD6F73" w:rsidRPr="00FC0839">
        <w:rPr>
          <w:lang w:val="es-ES_tradnl"/>
        </w:rPr>
        <w:t>IPBES.</w:t>
      </w:r>
    </w:p>
    <w:p w14:paraId="0932233C" w14:textId="04FC5802" w:rsidR="00BD6F73" w:rsidRPr="00FC0839" w:rsidRDefault="002A652B"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rFonts w:cs="Arial"/>
          <w:lang w:val="es-ES_tradnl"/>
        </w:rPr>
      </w:pPr>
      <w:r w:rsidRPr="00FC0839">
        <w:rPr>
          <w:lang w:val="es-ES_tradnl"/>
        </w:rPr>
        <w:t>Estaba previsto que las evaluaciones metodológicas del p</w:t>
      </w:r>
      <w:r w:rsidR="005251CC">
        <w:rPr>
          <w:lang w:val="es-ES_tradnl"/>
        </w:rPr>
        <w:t>rimer programa de trabajo de la </w:t>
      </w:r>
      <w:r w:rsidRPr="00FC0839">
        <w:rPr>
          <w:lang w:val="es-ES_tradnl"/>
        </w:rPr>
        <w:t>IPBES comenzasen en una fase temprana de</w:t>
      </w:r>
      <w:r w:rsidR="005251CC">
        <w:rPr>
          <w:lang w:val="es-ES_tradnl"/>
        </w:rPr>
        <w:t xml:space="preserve"> </w:t>
      </w:r>
      <w:r w:rsidRPr="00FC0839">
        <w:rPr>
          <w:lang w:val="es-ES_tradnl"/>
        </w:rPr>
        <w:t>la ejecución del programa a fin de o</w:t>
      </w:r>
      <w:r w:rsidR="005251CC">
        <w:rPr>
          <w:lang w:val="es-ES_tradnl"/>
        </w:rPr>
        <w:t>rientar y apoyar las </w:t>
      </w:r>
      <w:r w:rsidR="00F61F29">
        <w:rPr>
          <w:lang w:val="es-ES_tradnl"/>
        </w:rPr>
        <w:t xml:space="preserve">restantes </w:t>
      </w:r>
      <w:r w:rsidRPr="00FC0839">
        <w:rPr>
          <w:lang w:val="es-ES_tradnl"/>
        </w:rPr>
        <w:t>evaluaciones y otras actividades de la IPBES. En consecuencia, el Plenario quizá desee considerar la posibilidad de poner en marcha en primer lugar la evaluación metodológica de la conceptualización diversa de valores múltiples de la naturaleza y sus benefic</w:t>
      </w:r>
      <w:r w:rsidR="005251CC">
        <w:rPr>
          <w:lang w:val="es-ES_tradnl"/>
        </w:rPr>
        <w:t>ios. Esta evaluación se </w:t>
      </w:r>
      <w:r w:rsidRPr="00FC0839">
        <w:rPr>
          <w:lang w:val="es-ES_tradnl"/>
        </w:rPr>
        <w:t>beneficiaría de la labor del grupo de expertos sobre valores establec</w:t>
      </w:r>
      <w:r w:rsidR="005251CC">
        <w:rPr>
          <w:lang w:val="es-ES_tradnl"/>
        </w:rPr>
        <w:t>idos en respuesta a la decisión </w:t>
      </w:r>
      <w:r w:rsidRPr="00FC0839">
        <w:rPr>
          <w:lang w:val="es-ES_tradnl"/>
        </w:rPr>
        <w:t>IPBES</w:t>
      </w:r>
      <w:r w:rsidR="00901DF8">
        <w:rPr>
          <w:lang w:val="es-ES_tradnl"/>
        </w:rPr>
        <w:noBreakHyphen/>
      </w:r>
      <w:r w:rsidRPr="00FC0839">
        <w:rPr>
          <w:lang w:val="es-ES_tradnl"/>
        </w:rPr>
        <w:t>4/1. La dependencia de apoyo técnico, constituida ya en el Instituto de Investigaciones en Ecosistemas y Sustentabilidad de la Universidad Nacional Autónoma de México con el fin de apoyar al grupo de expertos, también podría prestar apoyo a la evaluación metodológica, con lo que se garantizaría su rápido y eficiente lanzamiento.</w:t>
      </w:r>
    </w:p>
    <w:p w14:paraId="637E6D97" w14:textId="7AFF804D" w:rsidR="00BD6F73" w:rsidRPr="00FC0839" w:rsidRDefault="00BD6F73"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Si el Plenario decide no poner en marcha nuevas evaluaciones en 2017 o 2018, tal vez desee examinar las tres evaluaciones mencionadas anteriormente en el contexto de la elaboración de su segundo programa de trabajo.</w:t>
      </w:r>
    </w:p>
    <w:p w14:paraId="043F2DEC" w14:textId="36EA0C93" w:rsidR="00BD6F73" w:rsidRPr="00FC0839" w:rsidRDefault="00AD1320" w:rsidP="00AD1320">
      <w:pPr>
        <w:pStyle w:val="CH1"/>
        <w:rPr>
          <w:lang w:val="es-ES_tradnl"/>
        </w:rPr>
      </w:pPr>
      <w:r w:rsidRPr="00FC0839">
        <w:rPr>
          <w:lang w:val="es-ES_tradnl"/>
        </w:rPr>
        <w:tab/>
        <w:t>II.</w:t>
      </w:r>
      <w:r w:rsidRPr="00FC0839">
        <w:rPr>
          <w:lang w:val="es-ES_tradnl"/>
        </w:rPr>
        <w:tab/>
        <w:t>Consideraciones financieras</w:t>
      </w:r>
    </w:p>
    <w:p w14:paraId="06D17813" w14:textId="4BF12DF5" w:rsidR="00BD6F73" w:rsidRPr="00FC0839" w:rsidRDefault="00BD6F73"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rFonts w:cs="Arial"/>
          <w:lang w:val="es-ES_tradnl"/>
        </w:rPr>
      </w:pPr>
      <w:r w:rsidRPr="00FC0839">
        <w:rPr>
          <w:lang w:val="es-ES_tradnl"/>
        </w:rPr>
        <w:t>El costo de cada una de las tres evaluaciones sería similar.</w:t>
      </w:r>
    </w:p>
    <w:p w14:paraId="2CF8335D" w14:textId="04D3347C" w:rsidR="00BD6F73" w:rsidRPr="00FC0839" w:rsidRDefault="00B522BA"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rFonts w:cs="Arial"/>
          <w:lang w:val="es-ES_tradnl"/>
        </w:rPr>
      </w:pPr>
      <w:r w:rsidRPr="00FC0839">
        <w:rPr>
          <w:lang w:val="es-ES_tradnl"/>
        </w:rPr>
        <w:t>En su cuarto período de sesiones, el Plenario tomó nota del proy</w:t>
      </w:r>
      <w:r w:rsidR="00504DAA">
        <w:rPr>
          <w:lang w:val="es-ES_tradnl"/>
        </w:rPr>
        <w:t>ecto de presupuesto para 2018 y </w:t>
      </w:r>
      <w:r w:rsidRPr="00FC0839">
        <w:rPr>
          <w:lang w:val="es-ES_tradnl"/>
        </w:rPr>
        <w:t xml:space="preserve">2019, que incluía una cantidad indicativa de 800.000 dólares </w:t>
      </w:r>
      <w:r w:rsidR="004F729F">
        <w:rPr>
          <w:lang w:val="es-ES_tradnl"/>
        </w:rPr>
        <w:t xml:space="preserve">de los Estados Unidos </w:t>
      </w:r>
      <w:r w:rsidRPr="00FC0839">
        <w:rPr>
          <w:lang w:val="es-ES_tradnl"/>
        </w:rPr>
        <w:t xml:space="preserve">para cada una de las evaluaciones sobre los valores y las especies exóticas invasoras, y ninguna financiación para la evaluación sobre el uso sostenible de la diversidad biológica. Esa suma tan solo permitiría la participación de 50 expertos, es decir, aproximadamente seis expertos por capítulo, cifra que se considera demasiado escasa y no permitiría la convocatoria de una segunda reunión de autores plenamente inclusiva según se describe en el apartado 11 b) del presente documento. </w:t>
      </w:r>
    </w:p>
    <w:p w14:paraId="48D7550B" w14:textId="61E7A44D" w:rsidR="00BD6F73" w:rsidRPr="00FC0839" w:rsidRDefault="00624347"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Sobre la base de la experiencia adquirida, la Mesa propone aumentar el presupuesto de cada una de las tres evaluaciones a 997.000 dólares por las siguientes razones:</w:t>
      </w:r>
    </w:p>
    <w:p w14:paraId="07E6742C" w14:textId="496180BE" w:rsidR="00BD6F73" w:rsidRPr="00FC0839" w:rsidRDefault="00624347" w:rsidP="000B522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_tradnl"/>
        </w:rPr>
      </w:pPr>
      <w:r w:rsidRPr="00FC0839">
        <w:rPr>
          <w:lang w:val="es-ES_tradnl"/>
        </w:rPr>
        <w:t xml:space="preserve">Se considera que ocho es el número mínimo de expertos por capítulo necesario para disponer de opiniones y conocimientos especializados suficientes en cada capítulo y </w:t>
      </w:r>
      <w:r w:rsidR="004B595C">
        <w:rPr>
          <w:lang w:val="es-ES_tradnl"/>
        </w:rPr>
        <w:t xml:space="preserve">para </w:t>
      </w:r>
      <w:r w:rsidRPr="00FC0839">
        <w:rPr>
          <w:lang w:val="es-ES_tradnl"/>
        </w:rPr>
        <w:t>distribuir la pesada carga de trabajo entre expertos;</w:t>
      </w:r>
    </w:p>
    <w:p w14:paraId="2F03620D" w14:textId="53555DAC" w:rsidR="00BD6F73" w:rsidRPr="00FC0839" w:rsidRDefault="00624347" w:rsidP="000B522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_tradnl"/>
        </w:rPr>
      </w:pPr>
      <w:r w:rsidRPr="00FC0839">
        <w:rPr>
          <w:lang w:val="es-ES_tradnl"/>
        </w:rPr>
        <w:t xml:space="preserve">La celebración de tres reuniones de autores plenamente inclusivas que cuenten con </w:t>
      </w:r>
      <w:r w:rsidR="00831132">
        <w:rPr>
          <w:lang w:val="es-ES_tradnl"/>
        </w:rPr>
        <w:t>l</w:t>
      </w:r>
      <w:r w:rsidRPr="00FC0839">
        <w:rPr>
          <w:lang w:val="es-ES_tradnl"/>
        </w:rPr>
        <w:t>a presencia de autores principales, en lugar de solo dos, se considera un criterio clave para el éxito a la hora de asegurar la plena integración y la participación de los autores princi</w:t>
      </w:r>
      <w:r w:rsidR="00901DF8">
        <w:rPr>
          <w:lang w:val="es-ES_tradnl"/>
        </w:rPr>
        <w:t>pales durante los tres años del </w:t>
      </w:r>
      <w:r w:rsidRPr="00FC0839">
        <w:rPr>
          <w:lang w:val="es-ES_tradnl"/>
        </w:rPr>
        <w:t xml:space="preserve">proceso; </w:t>
      </w:r>
    </w:p>
    <w:p w14:paraId="2FD54AB1" w14:textId="3C94D3C3" w:rsidR="00BD6F73" w:rsidRPr="00FC0839" w:rsidRDefault="00BD6F73" w:rsidP="009B35F6">
      <w:pPr>
        <w:pStyle w:val="Normalnumber"/>
        <w:numPr>
          <w:ilvl w:val="1"/>
          <w:numId w:val="9"/>
        </w:numPr>
        <w:tabs>
          <w:tab w:val="clear" w:pos="4082"/>
        </w:tabs>
        <w:rPr>
          <w:lang w:val="es-ES_tradnl"/>
        </w:rPr>
      </w:pPr>
      <w:r w:rsidRPr="00FC0839">
        <w:rPr>
          <w:lang w:val="es-ES_tradnl"/>
        </w:rPr>
        <w:t xml:space="preserve">Mantener abiertas las dependencias de apoyo técnico durante un mínimo de tres meses tras la clausura del quinto período de sesiones del Plenario, en lugar de hasta la clausura del quinto período de sesiones, como está presupuestado en la actualidad, se considera igualmente fundamental para garantizar la finalización del informe de evaluación, así como la publicación de las observaciones al respecto en el sitio web de la IPBES; para coordinar la redacción y la presentación de las publicaciones pertinentes; y para llevar a cabo otras actividades de difusión y divulgación. </w:t>
      </w:r>
    </w:p>
    <w:p w14:paraId="249F2418" w14:textId="52B3249E" w:rsidR="00BD6F73" w:rsidRPr="00FC0839" w:rsidRDefault="0027136B"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lastRenderedPageBreak/>
        <w:t>El cuadro que figura a continuación refleja un presupuesto genérico, aplicable a cualquiera de esas tres evaluaciones. El presupuesto genérico se basa en las consideraciones mencionadas anteriormente y en los siguientes supuestos:</w:t>
      </w:r>
    </w:p>
    <w:p w14:paraId="0838849D" w14:textId="3D90AA60" w:rsidR="00BD6F73" w:rsidRPr="00FC0839" w:rsidRDefault="00BD6F73" w:rsidP="00504DAA">
      <w:pPr>
        <w:pStyle w:val="Normalnumber"/>
        <w:numPr>
          <w:ilvl w:val="1"/>
          <w:numId w:val="9"/>
        </w:numPr>
        <w:tabs>
          <w:tab w:val="clear" w:pos="567"/>
          <w:tab w:val="clear" w:pos="1247"/>
          <w:tab w:val="clear" w:pos="1814"/>
          <w:tab w:val="clear" w:pos="2381"/>
          <w:tab w:val="clear" w:pos="2948"/>
          <w:tab w:val="clear" w:pos="3515"/>
          <w:tab w:val="clear" w:pos="4082"/>
        </w:tabs>
        <w:ind w:firstLine="624"/>
        <w:rPr>
          <w:lang w:val="es-ES_tradnl"/>
        </w:rPr>
      </w:pPr>
      <w:r w:rsidRPr="00FC0839">
        <w:rPr>
          <w:lang w:val="es-ES_tradnl"/>
        </w:rPr>
        <w:t>Cada evaluación se llevará a cabo durante un período de tres años;</w:t>
      </w:r>
    </w:p>
    <w:p w14:paraId="7B4430FB" w14:textId="6CC634D3" w:rsidR="00BD6F73" w:rsidRPr="00FC0839" w:rsidRDefault="00BD6F73" w:rsidP="000B522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_tradnl"/>
        </w:rPr>
      </w:pPr>
      <w:r w:rsidRPr="00FC0839">
        <w:rPr>
          <w:lang w:val="es-ES_tradnl"/>
        </w:rPr>
        <w:t>Cada evaluación incluirá tres reuniones de autores plenamente inclusivas, que contarán con la asistencia de los autores principales en cada una de ellas;</w:t>
      </w:r>
    </w:p>
    <w:p w14:paraId="021804FF" w14:textId="6B3DCC6F" w:rsidR="00BD6F73" w:rsidRPr="00FC0839" w:rsidRDefault="00BD6F73" w:rsidP="000B522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_tradnl"/>
        </w:rPr>
      </w:pPr>
      <w:r w:rsidRPr="00FC0839">
        <w:rPr>
          <w:lang w:val="es-ES_tradnl"/>
        </w:rPr>
        <w:t>Cada evaluació</w:t>
      </w:r>
      <w:r w:rsidR="005251CC">
        <w:rPr>
          <w:lang w:val="es-ES_tradnl"/>
        </w:rPr>
        <w:t xml:space="preserve">n incluirá un total de </w:t>
      </w:r>
      <w:r w:rsidR="005251CC" w:rsidRPr="00FC0839">
        <w:rPr>
          <w:lang w:val="es-ES_tradnl"/>
        </w:rPr>
        <w:t>62</w:t>
      </w:r>
      <w:r w:rsidR="005251CC">
        <w:rPr>
          <w:lang w:val="es-ES_tradnl"/>
        </w:rPr>
        <w:t xml:space="preserve"> expertos</w:t>
      </w:r>
      <w:r w:rsidRPr="00FC0839">
        <w:rPr>
          <w:lang w:val="es-ES_tradnl"/>
        </w:rPr>
        <w:t xml:space="preserve"> </w:t>
      </w:r>
      <w:r w:rsidR="004B595C">
        <w:rPr>
          <w:lang w:val="es-ES_tradnl"/>
        </w:rPr>
        <w:t>(</w:t>
      </w:r>
      <w:r w:rsidRPr="00FC0839">
        <w:rPr>
          <w:lang w:val="es-ES_tradnl"/>
        </w:rPr>
        <w:t>2 Copresidentes, 12 autores principales encargados de la coordinación, 36 autores principales y 12 editores) o unos 8 expertos por capítulo, de los cuales el 75% recibirá el apoyo del fondo fiduciario.</w:t>
      </w:r>
    </w:p>
    <w:p w14:paraId="6E846F32" w14:textId="1CC6C057" w:rsidR="00BD6F73" w:rsidRPr="00FC0839" w:rsidRDefault="00AD1320" w:rsidP="00AD1320">
      <w:pPr>
        <w:pStyle w:val="CH1"/>
        <w:rPr>
          <w:sz w:val="24"/>
          <w:szCs w:val="24"/>
          <w:lang w:val="es-ES_tradnl"/>
        </w:rPr>
      </w:pPr>
      <w:r w:rsidRPr="00FC0839">
        <w:rPr>
          <w:lang w:val="es-ES_tradnl"/>
        </w:rPr>
        <w:tab/>
        <w:t>III.</w:t>
      </w:r>
      <w:r w:rsidRPr="00FC0839">
        <w:rPr>
          <w:lang w:val="es-ES_tradnl"/>
        </w:rPr>
        <w:tab/>
        <w:t>Medida cuya adopción se sugiere al Plenario</w:t>
      </w:r>
    </w:p>
    <w:p w14:paraId="69AAB2B9" w14:textId="77777777" w:rsidR="00BD6F73" w:rsidRPr="00FC0839" w:rsidRDefault="00BD6F73" w:rsidP="000B5220">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_tradnl"/>
        </w:rPr>
      </w:pPr>
      <w:r w:rsidRPr="00FC0839">
        <w:rPr>
          <w:lang w:val="es-ES_tradnl"/>
        </w:rPr>
        <w:t>El Plenario tal vez desee examinar:</w:t>
      </w:r>
    </w:p>
    <w:p w14:paraId="549740CB" w14:textId="760684D6" w:rsidR="00BD6F73" w:rsidRPr="00FC0839" w:rsidRDefault="0027136B" w:rsidP="00901DF8">
      <w:pPr>
        <w:pStyle w:val="Normalnumber"/>
        <w:numPr>
          <w:ilvl w:val="1"/>
          <w:numId w:val="9"/>
        </w:numPr>
        <w:tabs>
          <w:tab w:val="clear" w:pos="567"/>
          <w:tab w:val="clear" w:pos="1247"/>
          <w:tab w:val="clear" w:pos="1814"/>
          <w:tab w:val="clear" w:pos="2381"/>
          <w:tab w:val="clear" w:pos="2948"/>
          <w:tab w:val="clear" w:pos="3515"/>
          <w:tab w:val="clear" w:pos="4082"/>
        </w:tabs>
        <w:ind w:firstLine="624"/>
        <w:rPr>
          <w:lang w:val="es-ES_tradnl"/>
        </w:rPr>
      </w:pPr>
      <w:r w:rsidRPr="00FC0839">
        <w:rPr>
          <w:lang w:val="es-ES_tradnl"/>
        </w:rPr>
        <w:t>La duración y el presupuesto de las dos evaluaciones temáticas y la evaluación metodológica (productos pre</w:t>
      </w:r>
      <w:r w:rsidR="00F61F29">
        <w:rPr>
          <w:lang w:val="es-ES_tradnl"/>
        </w:rPr>
        <w:t xml:space="preserve">vistos </w:t>
      </w:r>
      <w:r w:rsidRPr="00FC0839">
        <w:rPr>
          <w:lang w:val="es-ES_tradnl"/>
        </w:rPr>
        <w:t>3 b) ii), 3 b) iii) y 3 d));</w:t>
      </w:r>
    </w:p>
    <w:p w14:paraId="499D8091" w14:textId="77FCD58B" w:rsidR="00BD6F73" w:rsidRPr="00FC0839" w:rsidRDefault="0027136B" w:rsidP="000B522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_tradnl"/>
        </w:rPr>
      </w:pPr>
      <w:r w:rsidRPr="00FC0839">
        <w:rPr>
          <w:lang w:val="es-ES_tradnl"/>
        </w:rPr>
        <w:t>El calendario de presentación de cada una de las tres evaluaciones, incluida la posibilidad de considerarlas en el contexto de la elaboración de un segundo programa de trabajo de la</w:t>
      </w:r>
      <w:r w:rsidR="005A6B9B">
        <w:rPr>
          <w:lang w:val="es-ES_tradnl"/>
        </w:rPr>
        <w:t> </w:t>
      </w:r>
      <w:r w:rsidRPr="00FC0839">
        <w:rPr>
          <w:lang w:val="es-ES_tradnl"/>
        </w:rPr>
        <w:t xml:space="preserve">IPBES. </w:t>
      </w:r>
    </w:p>
    <w:p w14:paraId="6C555A6F" w14:textId="20F3F2ED" w:rsidR="00BD6F73" w:rsidRPr="004B595C" w:rsidRDefault="00BD6F73" w:rsidP="005A6B9B">
      <w:pPr>
        <w:pStyle w:val="Normal-pool"/>
        <w:spacing w:before="120"/>
        <w:ind w:left="1248"/>
        <w:rPr>
          <w:rFonts w:eastAsia="Gulim"/>
          <w:b/>
          <w:sz w:val="24"/>
          <w:szCs w:val="24"/>
          <w:lang w:val="es-ES_tradnl"/>
        </w:rPr>
      </w:pPr>
      <w:r w:rsidRPr="004B595C">
        <w:rPr>
          <w:b/>
          <w:lang w:val="es-ES_tradnl"/>
        </w:rPr>
        <w:t xml:space="preserve">Costo estimado de una evaluación </w:t>
      </w:r>
    </w:p>
    <w:tbl>
      <w:tblPr>
        <w:tblW w:w="8505" w:type="dxa"/>
        <w:tblInd w:w="1384" w:type="dxa"/>
        <w:tblLayout w:type="fixed"/>
        <w:tblLook w:val="04A0" w:firstRow="1" w:lastRow="0" w:firstColumn="1" w:lastColumn="0" w:noHBand="0" w:noVBand="1"/>
      </w:tblPr>
      <w:tblGrid>
        <w:gridCol w:w="1277"/>
        <w:gridCol w:w="2834"/>
        <w:gridCol w:w="2977"/>
        <w:gridCol w:w="1417"/>
      </w:tblGrid>
      <w:tr w:rsidR="00333111" w:rsidRPr="00C77353" w14:paraId="1C116B45" w14:textId="77777777" w:rsidTr="005A6B9B">
        <w:trPr>
          <w:tblHeader/>
        </w:trPr>
        <w:tc>
          <w:tcPr>
            <w:tcW w:w="1277" w:type="dxa"/>
            <w:tcBorders>
              <w:top w:val="single" w:sz="4" w:space="0" w:color="auto"/>
              <w:bottom w:val="single" w:sz="12" w:space="0" w:color="auto"/>
            </w:tcBorders>
            <w:shd w:val="clear" w:color="auto" w:fill="auto"/>
            <w:vAlign w:val="bottom"/>
          </w:tcPr>
          <w:p w14:paraId="217B4624" w14:textId="77777777" w:rsidR="00BD6F73" w:rsidRPr="004B595C" w:rsidRDefault="00BD6F73" w:rsidP="0027136B">
            <w:pPr>
              <w:keepNext/>
              <w:keepLines/>
              <w:tabs>
                <w:tab w:val="left" w:pos="1247"/>
                <w:tab w:val="left" w:pos="1814"/>
                <w:tab w:val="left" w:pos="2381"/>
                <w:tab w:val="left" w:pos="2948"/>
                <w:tab w:val="left" w:pos="3515"/>
              </w:tabs>
              <w:spacing w:before="40" w:after="40"/>
              <w:rPr>
                <w:rFonts w:ascii="Times New Roman" w:eastAsia="SimSun" w:hAnsi="Times New Roman"/>
                <w:i/>
                <w:sz w:val="18"/>
                <w:szCs w:val="18"/>
                <w:lang w:val="es-ES_tradnl"/>
              </w:rPr>
            </w:pPr>
            <w:r w:rsidRPr="004B595C">
              <w:rPr>
                <w:rFonts w:ascii="Times New Roman" w:hAnsi="Times New Roman"/>
                <w:i/>
                <w:sz w:val="18"/>
                <w:szCs w:val="18"/>
                <w:lang w:val="es-ES_tradnl"/>
              </w:rPr>
              <w:t>Año</w:t>
            </w:r>
          </w:p>
        </w:tc>
        <w:tc>
          <w:tcPr>
            <w:tcW w:w="2834" w:type="dxa"/>
            <w:tcBorders>
              <w:top w:val="single" w:sz="4" w:space="0" w:color="auto"/>
              <w:bottom w:val="single" w:sz="12" w:space="0" w:color="auto"/>
            </w:tcBorders>
            <w:shd w:val="clear" w:color="auto" w:fill="auto"/>
            <w:vAlign w:val="bottom"/>
          </w:tcPr>
          <w:p w14:paraId="113EA9A0" w14:textId="77777777" w:rsidR="00BD6F73" w:rsidRPr="004B595C" w:rsidRDefault="00BD6F73" w:rsidP="0027136B">
            <w:pPr>
              <w:keepNext/>
              <w:keepLines/>
              <w:tabs>
                <w:tab w:val="left" w:pos="1247"/>
                <w:tab w:val="left" w:pos="1814"/>
                <w:tab w:val="left" w:pos="2381"/>
                <w:tab w:val="left" w:pos="2948"/>
                <w:tab w:val="left" w:pos="3515"/>
              </w:tabs>
              <w:spacing w:before="40" w:after="40"/>
              <w:rPr>
                <w:rFonts w:ascii="Times New Roman" w:eastAsia="SimSun" w:hAnsi="Times New Roman"/>
                <w:i/>
                <w:sz w:val="18"/>
                <w:szCs w:val="18"/>
                <w:lang w:val="es-ES_tradnl"/>
              </w:rPr>
            </w:pPr>
            <w:r w:rsidRPr="004B595C">
              <w:rPr>
                <w:rFonts w:ascii="Times New Roman" w:hAnsi="Times New Roman"/>
                <w:i/>
                <w:sz w:val="18"/>
                <w:szCs w:val="18"/>
                <w:lang w:val="es-ES_tradnl"/>
              </w:rPr>
              <w:t>Partida de gastos</w:t>
            </w:r>
          </w:p>
        </w:tc>
        <w:tc>
          <w:tcPr>
            <w:tcW w:w="2977" w:type="dxa"/>
            <w:tcBorders>
              <w:top w:val="single" w:sz="4" w:space="0" w:color="auto"/>
              <w:bottom w:val="single" w:sz="12" w:space="0" w:color="auto"/>
            </w:tcBorders>
            <w:shd w:val="clear" w:color="auto" w:fill="auto"/>
            <w:vAlign w:val="bottom"/>
          </w:tcPr>
          <w:p w14:paraId="2BFE0ABC" w14:textId="77777777" w:rsidR="00BD6F73" w:rsidRPr="004B595C" w:rsidRDefault="00BD6F73" w:rsidP="000E4C66">
            <w:pPr>
              <w:keepNext/>
              <w:keepLines/>
              <w:tabs>
                <w:tab w:val="left" w:pos="1247"/>
                <w:tab w:val="left" w:pos="1814"/>
                <w:tab w:val="left" w:pos="2381"/>
                <w:tab w:val="left" w:pos="2948"/>
                <w:tab w:val="left" w:pos="3515"/>
              </w:tabs>
              <w:spacing w:before="40" w:after="40"/>
              <w:jc w:val="center"/>
              <w:rPr>
                <w:rFonts w:ascii="Times New Roman" w:eastAsia="SimSun" w:hAnsi="Times New Roman"/>
                <w:i/>
                <w:sz w:val="18"/>
                <w:szCs w:val="18"/>
                <w:lang w:val="es-ES_tradnl"/>
              </w:rPr>
            </w:pPr>
            <w:r w:rsidRPr="004B595C">
              <w:rPr>
                <w:rFonts w:ascii="Times New Roman" w:hAnsi="Times New Roman"/>
                <w:i/>
                <w:sz w:val="18"/>
                <w:szCs w:val="18"/>
                <w:lang w:val="es-ES_tradnl"/>
              </w:rPr>
              <w:t>Supuestos</w:t>
            </w:r>
          </w:p>
        </w:tc>
        <w:tc>
          <w:tcPr>
            <w:tcW w:w="1417" w:type="dxa"/>
            <w:tcBorders>
              <w:top w:val="single" w:sz="4" w:space="0" w:color="auto"/>
              <w:bottom w:val="single" w:sz="12" w:space="0" w:color="auto"/>
            </w:tcBorders>
            <w:shd w:val="clear" w:color="auto" w:fill="auto"/>
            <w:vAlign w:val="bottom"/>
          </w:tcPr>
          <w:p w14:paraId="4BEE9D32" w14:textId="77777777" w:rsidR="00BD6F73" w:rsidRPr="004B595C" w:rsidRDefault="00BD6F73" w:rsidP="0027136B">
            <w:pPr>
              <w:keepNext/>
              <w:keepLines/>
              <w:tabs>
                <w:tab w:val="left" w:pos="1247"/>
                <w:tab w:val="left" w:pos="1814"/>
                <w:tab w:val="left" w:pos="2381"/>
                <w:tab w:val="left" w:pos="2948"/>
                <w:tab w:val="left" w:pos="3515"/>
              </w:tabs>
              <w:spacing w:before="40" w:after="40"/>
              <w:jc w:val="right"/>
              <w:rPr>
                <w:rFonts w:ascii="Times New Roman" w:eastAsia="SimSun" w:hAnsi="Times New Roman"/>
                <w:i/>
                <w:sz w:val="18"/>
                <w:szCs w:val="18"/>
                <w:lang w:val="es-ES_tradnl"/>
              </w:rPr>
            </w:pPr>
            <w:r w:rsidRPr="004B595C">
              <w:rPr>
                <w:rFonts w:ascii="Times New Roman" w:hAnsi="Times New Roman"/>
                <w:i/>
                <w:sz w:val="18"/>
                <w:szCs w:val="18"/>
                <w:lang w:val="es-ES_tradnl"/>
              </w:rPr>
              <w:t xml:space="preserve">Estimaciones de costos (dólares de los EE.UU.) </w:t>
            </w:r>
          </w:p>
        </w:tc>
      </w:tr>
      <w:tr w:rsidR="00333111" w:rsidRPr="005A6B9B" w14:paraId="0B174D1E" w14:textId="77777777" w:rsidTr="005A6B9B">
        <w:tc>
          <w:tcPr>
            <w:tcW w:w="1277" w:type="dxa"/>
            <w:vMerge w:val="restart"/>
            <w:tcBorders>
              <w:top w:val="single" w:sz="12" w:space="0" w:color="auto"/>
            </w:tcBorders>
            <w:shd w:val="clear" w:color="auto" w:fill="auto"/>
          </w:tcPr>
          <w:p w14:paraId="634D0351" w14:textId="77777777" w:rsidR="00BD6F73" w:rsidRPr="000B4FCB" w:rsidRDefault="00BD6F73" w:rsidP="0027136B">
            <w:pPr>
              <w:tabs>
                <w:tab w:val="left" w:pos="1247"/>
                <w:tab w:val="left" w:pos="1814"/>
                <w:tab w:val="left" w:pos="2381"/>
                <w:tab w:val="left" w:pos="2948"/>
                <w:tab w:val="left" w:pos="3515"/>
              </w:tabs>
              <w:spacing w:before="40" w:after="40"/>
              <w:rPr>
                <w:rFonts w:ascii="Times New Roman" w:eastAsia="SimSun" w:hAnsi="Times New Roman"/>
                <w:b/>
                <w:sz w:val="18"/>
                <w:szCs w:val="18"/>
                <w:lang w:val="es-ES_tradnl"/>
              </w:rPr>
            </w:pPr>
            <w:r w:rsidRPr="000B4FCB">
              <w:rPr>
                <w:rFonts w:ascii="Times New Roman" w:hAnsi="Times New Roman"/>
                <w:b/>
                <w:sz w:val="18"/>
                <w:szCs w:val="18"/>
                <w:lang w:val="es-ES_tradnl"/>
              </w:rPr>
              <w:t>Año 1</w:t>
            </w:r>
          </w:p>
        </w:tc>
        <w:tc>
          <w:tcPr>
            <w:tcW w:w="2834" w:type="dxa"/>
            <w:vMerge w:val="restart"/>
            <w:tcBorders>
              <w:top w:val="single" w:sz="12" w:space="0" w:color="auto"/>
            </w:tcBorders>
            <w:shd w:val="clear" w:color="auto" w:fill="auto"/>
          </w:tcPr>
          <w:p w14:paraId="1C851EAF" w14:textId="6E534BDE" w:rsidR="00BD6F73" w:rsidRPr="004B595C" w:rsidRDefault="00BD6F73">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Reunión de gestión para la evaluación (con asistencia de Copresidentes, la Secretaría, la dependencia de apoyo técnico y del Grupo Multidisciplinario de Expertos y de la Mesa)</w:t>
            </w:r>
          </w:p>
        </w:tc>
        <w:tc>
          <w:tcPr>
            <w:tcW w:w="2977" w:type="dxa"/>
            <w:tcBorders>
              <w:top w:val="single" w:sz="12" w:space="0" w:color="auto"/>
            </w:tcBorders>
            <w:shd w:val="clear" w:color="auto" w:fill="auto"/>
          </w:tcPr>
          <w:p w14:paraId="39F6D466" w14:textId="0C926E93" w:rsidR="00BD6F73" w:rsidRPr="004B595C" w:rsidRDefault="0027136B"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Costos del lugar de la reunión (0,5 semanas, 6 participantes, en Bonn)</w:t>
            </w:r>
          </w:p>
        </w:tc>
        <w:tc>
          <w:tcPr>
            <w:tcW w:w="1417" w:type="dxa"/>
            <w:tcBorders>
              <w:top w:val="single" w:sz="12" w:space="0" w:color="auto"/>
            </w:tcBorders>
            <w:shd w:val="clear" w:color="auto" w:fill="auto"/>
          </w:tcPr>
          <w:p w14:paraId="4D3F2911" w14:textId="1F3DD316" w:rsidR="00BD6F73"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sidR="00BD6F73" w:rsidRPr="004B595C">
              <w:rPr>
                <w:rFonts w:ascii="Times New Roman" w:hAnsi="Times New Roman"/>
                <w:sz w:val="18"/>
                <w:szCs w:val="18"/>
                <w:lang w:val="es-ES_tradnl"/>
              </w:rPr>
              <w:t>0</w:t>
            </w:r>
          </w:p>
        </w:tc>
      </w:tr>
      <w:tr w:rsidR="00333111" w:rsidRPr="005A6B9B" w14:paraId="28EAA917" w14:textId="77777777" w:rsidTr="005A6B9B">
        <w:tc>
          <w:tcPr>
            <w:tcW w:w="1277" w:type="dxa"/>
            <w:vMerge/>
            <w:shd w:val="clear" w:color="auto" w:fill="auto"/>
            <w:vAlign w:val="center"/>
          </w:tcPr>
          <w:p w14:paraId="17F62682"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vMerge/>
            <w:shd w:val="clear" w:color="auto" w:fill="auto"/>
          </w:tcPr>
          <w:p w14:paraId="592FFBF4"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977" w:type="dxa"/>
            <w:shd w:val="clear" w:color="auto" w:fill="auto"/>
          </w:tcPr>
          <w:p w14:paraId="20E1985C" w14:textId="2BC16BF6" w:rsidR="00BD6F73" w:rsidRPr="004B595C" w:rsidRDefault="00BD6F73" w:rsidP="000E4C66">
            <w:pPr>
              <w:tabs>
                <w:tab w:val="left" w:pos="1247"/>
                <w:tab w:val="left" w:pos="1814"/>
                <w:tab w:val="left" w:pos="2381"/>
                <w:tab w:val="left" w:pos="2948"/>
                <w:tab w:val="left" w:pos="3515"/>
              </w:tabs>
              <w:spacing w:before="40" w:after="60"/>
              <w:rPr>
                <w:rFonts w:ascii="Times New Roman" w:eastAsia="SimSun" w:hAnsi="Times New Roman"/>
                <w:sz w:val="18"/>
                <w:szCs w:val="18"/>
                <w:lang w:val="es-ES_tradnl"/>
              </w:rPr>
            </w:pPr>
            <w:r w:rsidRPr="004B595C">
              <w:rPr>
                <w:rFonts w:ascii="Times New Roman" w:hAnsi="Times New Roman"/>
                <w:sz w:val="18"/>
                <w:szCs w:val="18"/>
                <w:lang w:val="es-ES_tradnl"/>
              </w:rPr>
              <w:t>Viaje y dietas (4 x 3.750 dólares)</w:t>
            </w:r>
          </w:p>
        </w:tc>
        <w:tc>
          <w:tcPr>
            <w:tcW w:w="1417" w:type="dxa"/>
            <w:shd w:val="clear" w:color="auto" w:fill="auto"/>
          </w:tcPr>
          <w:p w14:paraId="099EB74D" w14:textId="754CC677" w:rsidR="00BD6F73"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sidR="00831132">
              <w:rPr>
                <w:rFonts w:ascii="Times New Roman" w:hAnsi="Times New Roman"/>
                <w:sz w:val="18"/>
                <w:szCs w:val="18"/>
                <w:lang w:val="es-ES_tradnl"/>
              </w:rPr>
              <w:t xml:space="preserve">15 </w:t>
            </w:r>
            <w:r w:rsidR="00BD6F73" w:rsidRPr="004B595C">
              <w:rPr>
                <w:rFonts w:ascii="Times New Roman" w:hAnsi="Times New Roman"/>
                <w:sz w:val="18"/>
                <w:szCs w:val="18"/>
                <w:lang w:val="es-ES_tradnl"/>
              </w:rPr>
              <w:t>000</w:t>
            </w:r>
          </w:p>
        </w:tc>
      </w:tr>
      <w:tr w:rsidR="00333111" w:rsidRPr="005A6B9B" w14:paraId="356397A6" w14:textId="77777777" w:rsidTr="005A6B9B">
        <w:tc>
          <w:tcPr>
            <w:tcW w:w="1277" w:type="dxa"/>
            <w:vMerge/>
            <w:shd w:val="clear" w:color="auto" w:fill="auto"/>
          </w:tcPr>
          <w:p w14:paraId="4D659FF6"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vMerge w:val="restart"/>
            <w:shd w:val="clear" w:color="auto" w:fill="auto"/>
          </w:tcPr>
          <w:p w14:paraId="4EB67A95" w14:textId="25562E49" w:rsidR="00BD6F73" w:rsidRPr="004B595C" w:rsidRDefault="00BD6F73">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Primera reunión de los autores (participantes: 2 Copresidentes, 12 autores principales encargados de la coordinación, 36 autores principales y 6 miembros del Grupo Multidisciplinario de Expertos y de la Mesa específicamente adscritos)</w:t>
            </w:r>
          </w:p>
        </w:tc>
        <w:tc>
          <w:tcPr>
            <w:tcW w:w="2977" w:type="dxa"/>
            <w:shd w:val="clear" w:color="auto" w:fill="auto"/>
          </w:tcPr>
          <w:p w14:paraId="49897447" w14:textId="495ADE42" w:rsidR="00BD6F73" w:rsidRPr="004B595C" w:rsidRDefault="0027136B"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Costos de local (correspondientes a 75</w:t>
            </w:r>
            <w:r w:rsidR="00D30A87">
              <w:rPr>
                <w:rFonts w:ascii="Times New Roman" w:hAnsi="Times New Roman"/>
                <w:sz w:val="18"/>
                <w:szCs w:val="18"/>
                <w:lang w:val="es-ES_tradnl"/>
              </w:rPr>
              <w:t>%, complementados con un 25% en </w:t>
            </w:r>
            <w:r w:rsidRPr="004B595C">
              <w:rPr>
                <w:rFonts w:ascii="Times New Roman" w:hAnsi="Times New Roman"/>
                <w:sz w:val="18"/>
                <w:szCs w:val="18"/>
                <w:lang w:val="es-ES_tradnl"/>
              </w:rPr>
              <w:t>especie); 56</w:t>
            </w:r>
            <w:r w:rsidR="005251CC">
              <w:rPr>
                <w:rFonts w:ascii="Times New Roman" w:hAnsi="Times New Roman"/>
                <w:sz w:val="18"/>
                <w:szCs w:val="18"/>
                <w:lang w:val="es-ES_tradnl"/>
              </w:rPr>
              <w:t> </w:t>
            </w:r>
            <w:r w:rsidRPr="004B595C">
              <w:rPr>
                <w:rFonts w:ascii="Times New Roman" w:hAnsi="Times New Roman"/>
                <w:sz w:val="18"/>
                <w:szCs w:val="18"/>
                <w:lang w:val="es-ES_tradnl"/>
              </w:rPr>
              <w:t xml:space="preserve">participantes </w:t>
            </w:r>
            <w:r w:rsidR="00D30A87">
              <w:rPr>
                <w:rFonts w:ascii="Times New Roman" w:hAnsi="Times New Roman"/>
                <w:sz w:val="18"/>
                <w:szCs w:val="18"/>
                <w:lang w:val="es-ES_tradnl"/>
              </w:rPr>
              <w:br/>
            </w:r>
            <w:r w:rsidRPr="004B595C">
              <w:rPr>
                <w:rFonts w:ascii="Times New Roman" w:hAnsi="Times New Roman"/>
                <w:sz w:val="18"/>
                <w:szCs w:val="18"/>
                <w:lang w:val="es-ES_tradnl"/>
              </w:rPr>
              <w:t xml:space="preserve">(42 </w:t>
            </w:r>
            <w:r w:rsidR="00A27D28">
              <w:rPr>
                <w:rFonts w:ascii="Times New Roman" w:hAnsi="Times New Roman"/>
                <w:sz w:val="18"/>
                <w:szCs w:val="18"/>
                <w:lang w:val="es-ES_tradnl"/>
              </w:rPr>
              <w:t>reciben</w:t>
            </w:r>
            <w:r w:rsidRPr="004B595C">
              <w:rPr>
                <w:rFonts w:ascii="Times New Roman" w:hAnsi="Times New Roman"/>
                <w:sz w:val="18"/>
                <w:szCs w:val="18"/>
                <w:lang w:val="es-ES_tradnl"/>
              </w:rPr>
              <w:t xml:space="preserve"> apoyo)</w:t>
            </w:r>
          </w:p>
        </w:tc>
        <w:tc>
          <w:tcPr>
            <w:tcW w:w="1417" w:type="dxa"/>
            <w:shd w:val="clear" w:color="auto" w:fill="auto"/>
          </w:tcPr>
          <w:p w14:paraId="393EB2F1" w14:textId="524B85CB" w:rsidR="00BD6F73" w:rsidRPr="004B595C" w:rsidRDefault="005A6B9B" w:rsidP="00A12487">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831132">
              <w:rPr>
                <w:rFonts w:ascii="Times New Roman" w:hAnsi="Times New Roman"/>
                <w:sz w:val="18"/>
                <w:szCs w:val="18"/>
                <w:lang w:val="es-ES_tradnl"/>
              </w:rPr>
              <w:t xml:space="preserve">18 </w:t>
            </w:r>
            <w:r w:rsidR="00BD6F73" w:rsidRPr="004B595C">
              <w:rPr>
                <w:rFonts w:ascii="Times New Roman" w:hAnsi="Times New Roman"/>
                <w:sz w:val="18"/>
                <w:szCs w:val="18"/>
                <w:lang w:val="es-ES_tradnl"/>
              </w:rPr>
              <w:t>750</w:t>
            </w:r>
          </w:p>
        </w:tc>
      </w:tr>
      <w:tr w:rsidR="00333111" w:rsidRPr="005A6B9B" w14:paraId="4727D4BF" w14:textId="77777777" w:rsidTr="005A6B9B">
        <w:tc>
          <w:tcPr>
            <w:tcW w:w="1277" w:type="dxa"/>
            <w:vMerge/>
            <w:shd w:val="clear" w:color="auto" w:fill="auto"/>
            <w:vAlign w:val="center"/>
          </w:tcPr>
          <w:p w14:paraId="48BD9BD0" w14:textId="77777777" w:rsidR="00BD6F73" w:rsidRPr="004B595C" w:rsidRDefault="00BD6F73" w:rsidP="0027136B">
            <w:pPr>
              <w:tabs>
                <w:tab w:val="left" w:pos="1247"/>
                <w:tab w:val="left" w:pos="1814"/>
                <w:tab w:val="left" w:pos="2381"/>
                <w:tab w:val="left" w:pos="2948"/>
                <w:tab w:val="left" w:pos="3515"/>
              </w:tabs>
              <w:spacing w:before="40" w:after="40"/>
              <w:ind w:left="1400"/>
              <w:rPr>
                <w:rFonts w:ascii="Times New Roman" w:eastAsia="SimSun" w:hAnsi="Times New Roman"/>
                <w:sz w:val="18"/>
                <w:szCs w:val="18"/>
                <w:lang w:val="es-ES_tradnl" w:eastAsia="zh-CN"/>
              </w:rPr>
            </w:pPr>
          </w:p>
        </w:tc>
        <w:tc>
          <w:tcPr>
            <w:tcW w:w="2834" w:type="dxa"/>
            <w:vMerge/>
            <w:shd w:val="clear" w:color="auto" w:fill="auto"/>
          </w:tcPr>
          <w:p w14:paraId="2D0F529B"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977" w:type="dxa"/>
            <w:shd w:val="clear" w:color="auto" w:fill="auto"/>
          </w:tcPr>
          <w:p w14:paraId="3FE0C832" w14:textId="333072A2" w:rsidR="00BD6F73" w:rsidRPr="004B595C" w:rsidRDefault="00BD6F73" w:rsidP="000E4C66">
            <w:pPr>
              <w:tabs>
                <w:tab w:val="left" w:pos="1247"/>
                <w:tab w:val="left" w:pos="1814"/>
                <w:tab w:val="left" w:pos="2381"/>
                <w:tab w:val="left" w:pos="2948"/>
                <w:tab w:val="left" w:pos="3515"/>
              </w:tabs>
              <w:spacing w:before="40" w:after="60"/>
              <w:rPr>
                <w:rFonts w:ascii="Times New Roman" w:eastAsia="SimSun" w:hAnsi="Times New Roman"/>
                <w:sz w:val="18"/>
                <w:szCs w:val="18"/>
                <w:lang w:val="es-ES_tradnl"/>
              </w:rPr>
            </w:pPr>
            <w:r w:rsidRPr="004B595C">
              <w:rPr>
                <w:rFonts w:ascii="Times New Roman" w:hAnsi="Times New Roman"/>
                <w:sz w:val="18"/>
                <w:szCs w:val="18"/>
                <w:lang w:val="es-ES_tradnl"/>
              </w:rPr>
              <w:t>Viaje y dietas (42 x 3.750 dólares)</w:t>
            </w:r>
          </w:p>
        </w:tc>
        <w:tc>
          <w:tcPr>
            <w:tcW w:w="1417" w:type="dxa"/>
            <w:shd w:val="clear" w:color="auto" w:fill="auto"/>
          </w:tcPr>
          <w:p w14:paraId="2D6CEF5F" w14:textId="6DF016E3" w:rsidR="00BD6F73"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sidR="00831132">
              <w:rPr>
                <w:rFonts w:ascii="Times New Roman" w:hAnsi="Times New Roman"/>
                <w:sz w:val="18"/>
                <w:szCs w:val="18"/>
                <w:lang w:val="es-ES_tradnl"/>
              </w:rPr>
              <w:t xml:space="preserve">157 </w:t>
            </w:r>
            <w:r w:rsidR="00BD6F73" w:rsidRPr="004B595C">
              <w:rPr>
                <w:rFonts w:ascii="Times New Roman" w:hAnsi="Times New Roman"/>
                <w:sz w:val="18"/>
                <w:szCs w:val="18"/>
                <w:lang w:val="es-ES_tradnl"/>
              </w:rPr>
              <w:t>500</w:t>
            </w:r>
          </w:p>
        </w:tc>
      </w:tr>
      <w:tr w:rsidR="00333111" w:rsidRPr="005A6B9B" w14:paraId="31B65F2A" w14:textId="77777777" w:rsidTr="005A6B9B">
        <w:tc>
          <w:tcPr>
            <w:tcW w:w="1277" w:type="dxa"/>
            <w:vMerge/>
            <w:shd w:val="clear" w:color="auto" w:fill="auto"/>
          </w:tcPr>
          <w:p w14:paraId="5E1976EE"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shd w:val="clear" w:color="auto" w:fill="auto"/>
          </w:tcPr>
          <w:p w14:paraId="7045ACB3" w14:textId="5D05A38E" w:rsidR="00BD6F73" w:rsidRPr="004B595C" w:rsidRDefault="00BD6F73" w:rsidP="00DC2381">
            <w:pPr>
              <w:keepNext/>
              <w:keepLines/>
              <w:tabs>
                <w:tab w:val="left" w:pos="1247"/>
                <w:tab w:val="left" w:pos="1814"/>
                <w:tab w:val="left" w:pos="2381"/>
                <w:tab w:val="left" w:pos="2948"/>
                <w:tab w:val="left" w:pos="3515"/>
                <w:tab w:val="left" w:pos="4082"/>
              </w:tabs>
              <w:suppressAutoHyphens/>
              <w:spacing w:before="40" w:after="40"/>
              <w:rPr>
                <w:rFonts w:ascii="Times New Roman" w:eastAsia="SimSun" w:hAnsi="Times New Roman"/>
                <w:b/>
                <w:sz w:val="18"/>
                <w:szCs w:val="18"/>
                <w:lang w:val="es-ES_tradnl"/>
              </w:rPr>
            </w:pPr>
            <w:r w:rsidRPr="004B595C">
              <w:rPr>
                <w:rFonts w:ascii="Times New Roman" w:hAnsi="Times New Roman"/>
                <w:sz w:val="18"/>
                <w:szCs w:val="18"/>
                <w:lang w:val="es-ES_tradnl"/>
              </w:rPr>
              <w:t>Apoyo técnico</w:t>
            </w:r>
          </w:p>
        </w:tc>
        <w:tc>
          <w:tcPr>
            <w:tcW w:w="2977" w:type="dxa"/>
            <w:shd w:val="clear" w:color="auto" w:fill="auto"/>
          </w:tcPr>
          <w:p w14:paraId="3BFF360E" w14:textId="7171F005" w:rsidR="00BD6F73" w:rsidRPr="005251CC" w:rsidRDefault="00BD6F73" w:rsidP="000E4C66">
            <w:pPr>
              <w:tabs>
                <w:tab w:val="left" w:pos="1247"/>
                <w:tab w:val="left" w:pos="1814"/>
                <w:tab w:val="left" w:pos="2381"/>
                <w:tab w:val="left" w:pos="2948"/>
                <w:tab w:val="left" w:pos="3515"/>
              </w:tabs>
              <w:spacing w:before="40" w:after="60"/>
              <w:rPr>
                <w:rFonts w:ascii="Times New Roman" w:eastAsia="SimSun" w:hAnsi="Times New Roman"/>
                <w:sz w:val="18"/>
                <w:szCs w:val="18"/>
                <w:lang w:val="es-ES_tradnl"/>
              </w:rPr>
            </w:pPr>
            <w:r w:rsidRPr="005251CC">
              <w:rPr>
                <w:rFonts w:ascii="Times New Roman" w:hAnsi="Times New Roman"/>
                <w:sz w:val="18"/>
                <w:szCs w:val="18"/>
                <w:lang w:val="es-ES_tradnl"/>
              </w:rPr>
              <w:t xml:space="preserve">1 </w:t>
            </w:r>
            <w:r w:rsidR="000E4C66">
              <w:rPr>
                <w:rFonts w:ascii="Times New Roman" w:hAnsi="Times New Roman"/>
                <w:sz w:val="18"/>
                <w:szCs w:val="18"/>
                <w:lang w:val="es-ES_tradnl"/>
              </w:rPr>
              <w:t>p</w:t>
            </w:r>
            <w:r w:rsidRPr="005251CC">
              <w:rPr>
                <w:rFonts w:ascii="Times New Roman" w:hAnsi="Times New Roman"/>
                <w:sz w:val="18"/>
                <w:szCs w:val="18"/>
                <w:lang w:val="es-ES_tradnl"/>
              </w:rPr>
              <w:t>uesto equivalente a funcionario del cuadro org</w:t>
            </w:r>
            <w:r w:rsidR="00901DF8" w:rsidRPr="005251CC">
              <w:rPr>
                <w:rFonts w:ascii="Times New Roman" w:hAnsi="Times New Roman"/>
                <w:sz w:val="18"/>
                <w:szCs w:val="18"/>
                <w:lang w:val="es-ES_tradnl"/>
              </w:rPr>
              <w:t>ánico a tiempo completo, gastos </w:t>
            </w:r>
            <w:r w:rsidRPr="005251CC">
              <w:rPr>
                <w:rFonts w:ascii="Times New Roman" w:hAnsi="Times New Roman"/>
                <w:sz w:val="18"/>
                <w:szCs w:val="18"/>
                <w:lang w:val="es-ES_tradnl"/>
              </w:rPr>
              <w:t>de viaje y g</w:t>
            </w:r>
            <w:r w:rsidR="00901DF8" w:rsidRPr="005251CC">
              <w:rPr>
                <w:rFonts w:ascii="Times New Roman" w:hAnsi="Times New Roman"/>
                <w:sz w:val="18"/>
                <w:szCs w:val="18"/>
                <w:lang w:val="es-ES_tradnl"/>
              </w:rPr>
              <w:t>astos generales (que se cubrirá </w:t>
            </w:r>
            <w:r w:rsidRPr="005251CC">
              <w:rPr>
                <w:rFonts w:ascii="Times New Roman" w:hAnsi="Times New Roman"/>
                <w:sz w:val="18"/>
                <w:szCs w:val="18"/>
                <w:lang w:val="es-ES_tradnl"/>
              </w:rPr>
              <w:t>con</w:t>
            </w:r>
            <w:r w:rsidR="00901DF8" w:rsidRPr="005251CC">
              <w:rPr>
                <w:rFonts w:ascii="Times New Roman" w:hAnsi="Times New Roman"/>
                <w:sz w:val="18"/>
                <w:szCs w:val="18"/>
                <w:lang w:val="es-ES_tradnl"/>
              </w:rPr>
              <w:t xml:space="preserve"> una oferta en especie de valor </w:t>
            </w:r>
            <w:r w:rsidRPr="005251CC">
              <w:rPr>
                <w:rFonts w:ascii="Times New Roman" w:hAnsi="Times New Roman"/>
                <w:sz w:val="18"/>
                <w:szCs w:val="18"/>
                <w:lang w:val="es-ES_tradnl"/>
              </w:rPr>
              <w:t>equivalente)</w:t>
            </w:r>
          </w:p>
        </w:tc>
        <w:tc>
          <w:tcPr>
            <w:tcW w:w="1417" w:type="dxa"/>
            <w:shd w:val="clear" w:color="auto" w:fill="auto"/>
          </w:tcPr>
          <w:p w14:paraId="23CE0584" w14:textId="489B2310" w:rsidR="00BD6F73"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b/>
                <w:sz w:val="18"/>
                <w:szCs w:val="18"/>
                <w:lang w:val="es-ES_tradnl" w:eastAsia="zh-CN"/>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831132">
              <w:rPr>
                <w:rFonts w:ascii="Times New Roman" w:hAnsi="Times New Roman"/>
                <w:sz w:val="18"/>
                <w:szCs w:val="18"/>
                <w:lang w:val="es-ES_tradnl"/>
              </w:rPr>
              <w:t xml:space="preserve">75 </w:t>
            </w:r>
            <w:r w:rsidR="00BD6F73" w:rsidRPr="004B595C">
              <w:rPr>
                <w:rFonts w:ascii="Times New Roman" w:hAnsi="Times New Roman"/>
                <w:sz w:val="18"/>
                <w:szCs w:val="18"/>
                <w:lang w:val="es-ES_tradnl"/>
              </w:rPr>
              <w:t>000</w:t>
            </w:r>
          </w:p>
        </w:tc>
      </w:tr>
      <w:tr w:rsidR="00333111" w:rsidRPr="005A6B9B" w14:paraId="57E2D573" w14:textId="77777777" w:rsidTr="005A6B9B">
        <w:tc>
          <w:tcPr>
            <w:tcW w:w="1277" w:type="dxa"/>
            <w:tcBorders>
              <w:bottom w:val="single" w:sz="4" w:space="0" w:color="auto"/>
            </w:tcBorders>
            <w:shd w:val="clear" w:color="auto" w:fill="auto"/>
          </w:tcPr>
          <w:p w14:paraId="3C6D894D" w14:textId="77777777" w:rsidR="00BD6F73" w:rsidRPr="004B595C" w:rsidRDefault="00BD6F73"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tcBorders>
              <w:bottom w:val="single" w:sz="4" w:space="0" w:color="auto"/>
            </w:tcBorders>
            <w:shd w:val="clear" w:color="auto" w:fill="auto"/>
          </w:tcPr>
          <w:p w14:paraId="51392DE8" w14:textId="77777777" w:rsidR="00BD6F73" w:rsidRPr="00A27D28" w:rsidRDefault="00BD6F73" w:rsidP="0027136B">
            <w:pPr>
              <w:tabs>
                <w:tab w:val="left" w:pos="1247"/>
                <w:tab w:val="left" w:pos="1814"/>
                <w:tab w:val="left" w:pos="2381"/>
                <w:tab w:val="left" w:pos="2948"/>
                <w:tab w:val="left" w:pos="3515"/>
              </w:tabs>
              <w:spacing w:before="40" w:after="40"/>
              <w:rPr>
                <w:rFonts w:ascii="Times New Roman" w:eastAsia="SimSun" w:hAnsi="Times New Roman"/>
                <w:b/>
                <w:i/>
                <w:sz w:val="18"/>
                <w:szCs w:val="18"/>
                <w:lang w:val="es-ES_tradnl"/>
              </w:rPr>
            </w:pPr>
            <w:r w:rsidRPr="00A27D28">
              <w:rPr>
                <w:rFonts w:ascii="Times New Roman" w:hAnsi="Times New Roman"/>
                <w:b/>
                <w:i/>
                <w:sz w:val="18"/>
                <w:szCs w:val="18"/>
                <w:lang w:val="es-ES_tradnl"/>
              </w:rPr>
              <w:t>Total año 1:</w:t>
            </w:r>
          </w:p>
        </w:tc>
        <w:tc>
          <w:tcPr>
            <w:tcW w:w="2977" w:type="dxa"/>
            <w:tcBorders>
              <w:bottom w:val="single" w:sz="4" w:space="0" w:color="auto"/>
            </w:tcBorders>
            <w:shd w:val="clear" w:color="auto" w:fill="auto"/>
          </w:tcPr>
          <w:p w14:paraId="19A2FC71" w14:textId="77777777" w:rsidR="00BD6F73" w:rsidRPr="00A27D28" w:rsidRDefault="00BD6F73" w:rsidP="000E4C66">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b/>
                <w:i/>
                <w:sz w:val="18"/>
                <w:szCs w:val="18"/>
                <w:lang w:val="es-ES_tradnl" w:eastAsia="zh-CN"/>
              </w:rPr>
            </w:pPr>
          </w:p>
        </w:tc>
        <w:tc>
          <w:tcPr>
            <w:tcW w:w="1417" w:type="dxa"/>
            <w:tcBorders>
              <w:bottom w:val="single" w:sz="4" w:space="0" w:color="auto"/>
            </w:tcBorders>
            <w:shd w:val="clear" w:color="auto" w:fill="auto"/>
          </w:tcPr>
          <w:p w14:paraId="1CBB48C1" w14:textId="2CB66137" w:rsidR="00BD6F73" w:rsidRPr="00A27D28" w:rsidRDefault="00831132" w:rsidP="0027136B">
            <w:pPr>
              <w:tabs>
                <w:tab w:val="left" w:pos="1247"/>
                <w:tab w:val="left" w:pos="1814"/>
                <w:tab w:val="left" w:pos="2381"/>
                <w:tab w:val="left" w:pos="2948"/>
                <w:tab w:val="left" w:pos="3515"/>
              </w:tabs>
              <w:spacing w:before="40" w:after="40"/>
              <w:jc w:val="right"/>
              <w:rPr>
                <w:rFonts w:ascii="Times New Roman" w:eastAsia="SimSun" w:hAnsi="Times New Roman"/>
                <w:b/>
                <w:i/>
                <w:sz w:val="18"/>
                <w:szCs w:val="18"/>
                <w:lang w:val="es-ES_tradnl"/>
              </w:rPr>
            </w:pPr>
            <w:r>
              <w:rPr>
                <w:rFonts w:ascii="Times New Roman" w:hAnsi="Times New Roman"/>
                <w:b/>
                <w:i/>
                <w:sz w:val="18"/>
                <w:szCs w:val="18"/>
                <w:lang w:val="es-ES_tradnl"/>
              </w:rPr>
              <w:t xml:space="preserve">266 </w:t>
            </w:r>
            <w:r w:rsidR="00BD6F73" w:rsidRPr="00A27D28">
              <w:rPr>
                <w:rFonts w:ascii="Times New Roman" w:hAnsi="Times New Roman"/>
                <w:b/>
                <w:i/>
                <w:sz w:val="18"/>
                <w:szCs w:val="18"/>
                <w:lang w:val="es-ES_tradnl"/>
              </w:rPr>
              <w:t>250</w:t>
            </w:r>
          </w:p>
        </w:tc>
      </w:tr>
      <w:tr w:rsidR="00333111" w:rsidRPr="005A6B9B" w14:paraId="1669F97E" w14:textId="77777777" w:rsidTr="005A6B9B">
        <w:trPr>
          <w:trHeight w:val="1036"/>
        </w:trPr>
        <w:tc>
          <w:tcPr>
            <w:tcW w:w="1277" w:type="dxa"/>
            <w:vMerge w:val="restart"/>
            <w:tcBorders>
              <w:top w:val="single" w:sz="4" w:space="0" w:color="auto"/>
            </w:tcBorders>
            <w:shd w:val="clear" w:color="auto" w:fill="auto"/>
          </w:tcPr>
          <w:p w14:paraId="3423859A" w14:textId="77777777" w:rsidR="00BD6F73" w:rsidRPr="000B4FCB" w:rsidRDefault="00BD6F73" w:rsidP="0027136B">
            <w:pPr>
              <w:tabs>
                <w:tab w:val="left" w:pos="1247"/>
                <w:tab w:val="left" w:pos="1814"/>
                <w:tab w:val="left" w:pos="2381"/>
                <w:tab w:val="left" w:pos="2948"/>
                <w:tab w:val="left" w:pos="3515"/>
              </w:tabs>
              <w:spacing w:before="40" w:after="40"/>
              <w:rPr>
                <w:rFonts w:ascii="Times New Roman" w:eastAsia="SimSun" w:hAnsi="Times New Roman"/>
                <w:b/>
                <w:sz w:val="18"/>
                <w:szCs w:val="18"/>
                <w:lang w:val="es-ES_tradnl"/>
              </w:rPr>
            </w:pPr>
            <w:r w:rsidRPr="000B4FCB">
              <w:rPr>
                <w:rFonts w:ascii="Times New Roman" w:hAnsi="Times New Roman"/>
                <w:b/>
                <w:sz w:val="18"/>
                <w:szCs w:val="18"/>
                <w:lang w:val="es-ES_tradnl"/>
              </w:rPr>
              <w:t>Año 2</w:t>
            </w:r>
          </w:p>
        </w:tc>
        <w:tc>
          <w:tcPr>
            <w:tcW w:w="2834" w:type="dxa"/>
            <w:vMerge w:val="restart"/>
            <w:tcBorders>
              <w:top w:val="single" w:sz="4" w:space="0" w:color="auto"/>
            </w:tcBorders>
            <w:shd w:val="clear" w:color="auto" w:fill="auto"/>
          </w:tcPr>
          <w:p w14:paraId="51C94334" w14:textId="061A10D4" w:rsidR="00BD6F73" w:rsidRPr="004B595C" w:rsidRDefault="00BD6F73">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Segunda reunión de los autores (participantes: 2 Copresidentes, 12 autores principales encargados de la coordinación, 36 autores principales, 12 revisores y 6 miembros del Grupo Multidisciplinario de Expertos y de la Mesa específicamente adscritos)</w:t>
            </w:r>
          </w:p>
        </w:tc>
        <w:tc>
          <w:tcPr>
            <w:tcW w:w="2977" w:type="dxa"/>
            <w:tcBorders>
              <w:top w:val="single" w:sz="4" w:space="0" w:color="auto"/>
            </w:tcBorders>
            <w:shd w:val="clear" w:color="auto" w:fill="auto"/>
          </w:tcPr>
          <w:p w14:paraId="31240F10" w14:textId="02105F14" w:rsidR="00BD6F73" w:rsidRPr="004B595C" w:rsidRDefault="00E15666"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Costos de local (correspondientes a</w:t>
            </w:r>
            <w:r w:rsidR="000E4C66">
              <w:rPr>
                <w:rFonts w:ascii="Times New Roman" w:hAnsi="Times New Roman"/>
                <w:sz w:val="18"/>
                <w:szCs w:val="18"/>
                <w:lang w:val="es-ES_tradnl"/>
              </w:rPr>
              <w:t> </w:t>
            </w:r>
            <w:r w:rsidR="00D30A87">
              <w:rPr>
                <w:rFonts w:ascii="Times New Roman" w:hAnsi="Times New Roman"/>
                <w:sz w:val="18"/>
                <w:szCs w:val="18"/>
                <w:lang w:val="es-ES_tradnl"/>
              </w:rPr>
              <w:t>75%, complementados con un 25% </w:t>
            </w:r>
            <w:r w:rsidRPr="004B595C">
              <w:rPr>
                <w:rFonts w:ascii="Times New Roman" w:hAnsi="Times New Roman"/>
                <w:sz w:val="18"/>
                <w:szCs w:val="18"/>
                <w:lang w:val="es-ES_tradnl"/>
              </w:rPr>
              <w:t>en especie); 68</w:t>
            </w:r>
            <w:r w:rsidR="00DC2381">
              <w:rPr>
                <w:rFonts w:ascii="Times New Roman" w:hAnsi="Times New Roman"/>
                <w:sz w:val="18"/>
                <w:szCs w:val="18"/>
                <w:lang w:val="es-ES_tradnl"/>
              </w:rPr>
              <w:t> </w:t>
            </w:r>
            <w:r w:rsidRPr="004B595C">
              <w:rPr>
                <w:rFonts w:ascii="Times New Roman" w:hAnsi="Times New Roman"/>
                <w:sz w:val="18"/>
                <w:szCs w:val="18"/>
                <w:lang w:val="es-ES_tradnl"/>
              </w:rPr>
              <w:t>participantes (51 reciben apoyo)</w:t>
            </w:r>
          </w:p>
        </w:tc>
        <w:tc>
          <w:tcPr>
            <w:tcW w:w="1417" w:type="dxa"/>
            <w:tcBorders>
              <w:top w:val="single" w:sz="4" w:space="0" w:color="auto"/>
            </w:tcBorders>
            <w:shd w:val="clear" w:color="auto" w:fill="auto"/>
          </w:tcPr>
          <w:p w14:paraId="4F62A53D" w14:textId="4D92D4C0" w:rsidR="00BD6F73" w:rsidRPr="004B595C" w:rsidRDefault="005A6B9B" w:rsidP="00A12487">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831132">
              <w:rPr>
                <w:rFonts w:ascii="Times New Roman" w:hAnsi="Times New Roman"/>
                <w:sz w:val="18"/>
                <w:szCs w:val="18"/>
                <w:lang w:val="es-ES_tradnl"/>
              </w:rPr>
              <w:t xml:space="preserve">20 </w:t>
            </w:r>
            <w:r w:rsidR="00BD6F73" w:rsidRPr="004B595C">
              <w:rPr>
                <w:rFonts w:ascii="Times New Roman" w:hAnsi="Times New Roman"/>
                <w:sz w:val="18"/>
                <w:szCs w:val="18"/>
                <w:lang w:val="es-ES_tradnl"/>
              </w:rPr>
              <w:t>000</w:t>
            </w:r>
          </w:p>
        </w:tc>
      </w:tr>
      <w:tr w:rsidR="00BA10AB" w:rsidRPr="005A6B9B" w14:paraId="63F5ADE5" w14:textId="77777777" w:rsidTr="005A6B9B">
        <w:trPr>
          <w:trHeight w:val="866"/>
        </w:trPr>
        <w:tc>
          <w:tcPr>
            <w:tcW w:w="1277" w:type="dxa"/>
            <w:vMerge/>
            <w:tcBorders>
              <w:top w:val="single" w:sz="4" w:space="0" w:color="auto"/>
            </w:tcBorders>
            <w:shd w:val="clear" w:color="auto" w:fill="auto"/>
          </w:tcPr>
          <w:p w14:paraId="688A235E" w14:textId="77777777" w:rsidR="00BA10AB" w:rsidRPr="000B4FCB" w:rsidRDefault="00BA10AB" w:rsidP="0027136B">
            <w:pPr>
              <w:tabs>
                <w:tab w:val="left" w:pos="1247"/>
                <w:tab w:val="left" w:pos="1814"/>
                <w:tab w:val="left" w:pos="2381"/>
                <w:tab w:val="left" w:pos="2948"/>
                <w:tab w:val="left" w:pos="3515"/>
              </w:tabs>
              <w:spacing w:before="40" w:after="40"/>
              <w:rPr>
                <w:rFonts w:ascii="Times New Roman" w:hAnsi="Times New Roman"/>
                <w:b/>
                <w:sz w:val="18"/>
                <w:szCs w:val="18"/>
                <w:lang w:val="es-ES_tradnl"/>
              </w:rPr>
            </w:pPr>
          </w:p>
        </w:tc>
        <w:tc>
          <w:tcPr>
            <w:tcW w:w="2834" w:type="dxa"/>
            <w:vMerge/>
            <w:tcBorders>
              <w:top w:val="single" w:sz="4" w:space="0" w:color="auto"/>
            </w:tcBorders>
            <w:shd w:val="clear" w:color="auto" w:fill="auto"/>
          </w:tcPr>
          <w:p w14:paraId="167BBB72" w14:textId="77777777" w:rsidR="00BA10AB" w:rsidRPr="004B595C" w:rsidRDefault="00BA10AB">
            <w:pPr>
              <w:keepNext/>
              <w:keepLines/>
              <w:tabs>
                <w:tab w:val="left" w:pos="1247"/>
                <w:tab w:val="left" w:pos="1814"/>
                <w:tab w:val="left" w:pos="2381"/>
                <w:tab w:val="left" w:pos="2948"/>
                <w:tab w:val="left" w:pos="3515"/>
              </w:tabs>
              <w:spacing w:before="40" w:after="40"/>
              <w:rPr>
                <w:rFonts w:ascii="Times New Roman" w:hAnsi="Times New Roman"/>
                <w:sz w:val="18"/>
                <w:szCs w:val="18"/>
                <w:lang w:val="es-ES_tradnl"/>
              </w:rPr>
            </w:pPr>
          </w:p>
        </w:tc>
        <w:tc>
          <w:tcPr>
            <w:tcW w:w="2977" w:type="dxa"/>
            <w:shd w:val="clear" w:color="auto" w:fill="auto"/>
          </w:tcPr>
          <w:p w14:paraId="23D2C647" w14:textId="44EC074F" w:rsidR="00BA10AB" w:rsidRPr="004B595C" w:rsidRDefault="00BA10AB" w:rsidP="000E4C66">
            <w:pPr>
              <w:tabs>
                <w:tab w:val="left" w:pos="1247"/>
                <w:tab w:val="left" w:pos="1814"/>
                <w:tab w:val="left" w:pos="2381"/>
                <w:tab w:val="left" w:pos="2948"/>
                <w:tab w:val="left" w:pos="3515"/>
              </w:tabs>
              <w:spacing w:before="40" w:after="40"/>
              <w:rPr>
                <w:rFonts w:ascii="Times New Roman" w:hAnsi="Times New Roman"/>
                <w:sz w:val="18"/>
                <w:szCs w:val="18"/>
                <w:lang w:val="es-ES_tradnl"/>
              </w:rPr>
            </w:pPr>
            <w:r w:rsidRPr="004B595C">
              <w:rPr>
                <w:rFonts w:ascii="Times New Roman" w:hAnsi="Times New Roman"/>
                <w:sz w:val="18"/>
                <w:szCs w:val="18"/>
                <w:lang w:val="es-ES_tradnl"/>
              </w:rPr>
              <w:t>Viaje y dietas (51 x 3.750 dólares)</w:t>
            </w:r>
          </w:p>
        </w:tc>
        <w:tc>
          <w:tcPr>
            <w:tcW w:w="1417" w:type="dxa"/>
            <w:shd w:val="clear" w:color="auto" w:fill="auto"/>
          </w:tcPr>
          <w:p w14:paraId="680D5EAB" w14:textId="7BEA0E19" w:rsidR="00BA10AB" w:rsidRDefault="005A6B9B" w:rsidP="005A6B9B">
            <w:pPr>
              <w:tabs>
                <w:tab w:val="left" w:pos="1247"/>
                <w:tab w:val="left" w:pos="1814"/>
                <w:tab w:val="left" w:pos="2381"/>
                <w:tab w:val="left" w:pos="2948"/>
                <w:tab w:val="left" w:pos="3515"/>
              </w:tabs>
              <w:spacing w:before="40" w:after="40"/>
              <w:jc w:val="right"/>
              <w:rPr>
                <w:rFonts w:ascii="Times New Roma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191 </w:t>
            </w:r>
            <w:r w:rsidR="00BA10AB" w:rsidRPr="004B595C">
              <w:rPr>
                <w:rFonts w:ascii="Times New Roman" w:hAnsi="Times New Roman"/>
                <w:sz w:val="18"/>
                <w:szCs w:val="18"/>
                <w:lang w:val="es-ES_tradnl"/>
              </w:rPr>
              <w:t>250</w:t>
            </w:r>
          </w:p>
        </w:tc>
      </w:tr>
      <w:tr w:rsidR="00BA10AB" w:rsidRPr="005A6B9B" w14:paraId="3D484205" w14:textId="77777777" w:rsidTr="005A6B9B">
        <w:tc>
          <w:tcPr>
            <w:tcW w:w="1277" w:type="dxa"/>
            <w:vMerge/>
            <w:shd w:val="clear" w:color="auto" w:fill="auto"/>
            <w:vAlign w:val="center"/>
          </w:tcPr>
          <w:p w14:paraId="6C00C512"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shd w:val="clear" w:color="auto" w:fill="auto"/>
          </w:tcPr>
          <w:p w14:paraId="220B7A56" w14:textId="0D7681B5" w:rsidR="00BA10AB" w:rsidRPr="004B595C" w:rsidRDefault="00BA10AB" w:rsidP="00DC2381">
            <w:pPr>
              <w:keepNext/>
              <w:keepLines/>
              <w:tabs>
                <w:tab w:val="left" w:pos="1247"/>
                <w:tab w:val="left" w:pos="1814"/>
                <w:tab w:val="left" w:pos="2381"/>
                <w:tab w:val="left" w:pos="2948"/>
                <w:tab w:val="left" w:pos="3515"/>
                <w:tab w:val="left" w:pos="4082"/>
              </w:tabs>
              <w:suppressAutoHyphens/>
              <w:spacing w:before="40" w:after="40"/>
              <w:rPr>
                <w:rFonts w:ascii="Times New Roman" w:eastAsia="SimSun" w:hAnsi="Times New Roman"/>
                <w:b/>
                <w:sz w:val="18"/>
                <w:szCs w:val="18"/>
                <w:lang w:val="es-ES_tradnl"/>
              </w:rPr>
            </w:pPr>
            <w:r w:rsidRPr="004B595C">
              <w:rPr>
                <w:rFonts w:ascii="Times New Roman" w:hAnsi="Times New Roman"/>
                <w:sz w:val="18"/>
                <w:szCs w:val="18"/>
                <w:lang w:val="es-ES_tradnl"/>
              </w:rPr>
              <w:t>Apoyo técnico</w:t>
            </w:r>
          </w:p>
        </w:tc>
        <w:tc>
          <w:tcPr>
            <w:tcW w:w="2977" w:type="dxa"/>
            <w:shd w:val="clear" w:color="auto" w:fill="auto"/>
          </w:tcPr>
          <w:p w14:paraId="2D60F562" w14:textId="432D062B" w:rsidR="00BA10AB" w:rsidRPr="004B595C" w:rsidRDefault="00BA10AB" w:rsidP="000E4C66">
            <w:pPr>
              <w:tabs>
                <w:tab w:val="left" w:pos="1247"/>
                <w:tab w:val="left" w:pos="1814"/>
                <w:tab w:val="left" w:pos="2381"/>
                <w:tab w:val="left" w:pos="2948"/>
                <w:tab w:val="left" w:pos="3515"/>
              </w:tabs>
              <w:spacing w:before="40" w:after="60"/>
              <w:rPr>
                <w:rFonts w:ascii="Times New Roman" w:eastAsia="SimSun" w:hAnsi="Times New Roman"/>
                <w:sz w:val="18"/>
                <w:szCs w:val="18"/>
                <w:lang w:val="es-ES_tradnl"/>
              </w:rPr>
            </w:pPr>
            <w:r w:rsidRPr="005251CC">
              <w:rPr>
                <w:rFonts w:ascii="Times New Roman" w:hAnsi="Times New Roman"/>
                <w:sz w:val="18"/>
                <w:szCs w:val="18"/>
                <w:lang w:val="es-ES_tradnl"/>
              </w:rPr>
              <w:t xml:space="preserve">1 </w:t>
            </w:r>
            <w:r w:rsidR="000E4C66">
              <w:rPr>
                <w:rFonts w:ascii="Times New Roman" w:hAnsi="Times New Roman"/>
                <w:sz w:val="18"/>
                <w:szCs w:val="18"/>
                <w:lang w:val="es-ES_tradnl"/>
              </w:rPr>
              <w:t>p</w:t>
            </w:r>
            <w:r w:rsidRPr="005251CC">
              <w:rPr>
                <w:rFonts w:ascii="Times New Roman" w:hAnsi="Times New Roman"/>
                <w:sz w:val="18"/>
                <w:szCs w:val="18"/>
                <w:lang w:val="es-ES_tradnl"/>
              </w:rPr>
              <w:t>uesto equivalente a funcionario del cuadro org</w:t>
            </w:r>
            <w:r>
              <w:rPr>
                <w:rFonts w:ascii="Times New Roman" w:hAnsi="Times New Roman"/>
                <w:sz w:val="18"/>
                <w:szCs w:val="18"/>
                <w:lang w:val="es-ES_tradnl"/>
              </w:rPr>
              <w:t>ánico a tiempo completo, gastos </w:t>
            </w:r>
            <w:r w:rsidRPr="005251CC">
              <w:rPr>
                <w:rFonts w:ascii="Times New Roman" w:hAnsi="Times New Roman"/>
                <w:sz w:val="18"/>
                <w:szCs w:val="18"/>
                <w:lang w:val="es-ES_tradnl"/>
              </w:rPr>
              <w:t>de viaje y gastos</w:t>
            </w:r>
            <w:r>
              <w:rPr>
                <w:rFonts w:ascii="Times New Roman" w:hAnsi="Times New Roman"/>
                <w:sz w:val="18"/>
                <w:szCs w:val="18"/>
                <w:lang w:val="es-ES_tradnl"/>
              </w:rPr>
              <w:t xml:space="preserve"> generales (que se </w:t>
            </w:r>
            <w:r w:rsidRPr="004B595C">
              <w:rPr>
                <w:rFonts w:ascii="Times New Roman" w:hAnsi="Times New Roman"/>
                <w:sz w:val="18"/>
                <w:szCs w:val="18"/>
                <w:lang w:val="es-ES_tradnl"/>
              </w:rPr>
              <w:t>cubrirá con una oferta en especie de valor</w:t>
            </w:r>
            <w:r>
              <w:rPr>
                <w:rFonts w:ascii="Times New Roman" w:hAnsi="Times New Roman"/>
                <w:sz w:val="18"/>
                <w:szCs w:val="18"/>
                <w:lang w:val="es-ES_tradnl"/>
              </w:rPr>
              <w:t> </w:t>
            </w:r>
            <w:r w:rsidRPr="004B595C">
              <w:rPr>
                <w:rFonts w:ascii="Times New Roman" w:hAnsi="Times New Roman"/>
                <w:sz w:val="18"/>
                <w:szCs w:val="18"/>
                <w:lang w:val="es-ES_tradnl"/>
              </w:rPr>
              <w:t>equivalente)</w:t>
            </w:r>
          </w:p>
        </w:tc>
        <w:tc>
          <w:tcPr>
            <w:tcW w:w="1417" w:type="dxa"/>
            <w:shd w:val="clear" w:color="auto" w:fill="auto"/>
          </w:tcPr>
          <w:p w14:paraId="0BEA799D" w14:textId="063D4B6C" w:rsidR="00BA10AB"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b/>
                <w:sz w:val="18"/>
                <w:szCs w:val="18"/>
                <w:lang w:val="es-ES_tradnl" w:eastAsia="zh-CN"/>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75 </w:t>
            </w:r>
            <w:r w:rsidR="00BA10AB" w:rsidRPr="004B595C">
              <w:rPr>
                <w:rFonts w:ascii="Times New Roman" w:hAnsi="Times New Roman"/>
                <w:sz w:val="18"/>
                <w:szCs w:val="18"/>
                <w:lang w:val="es-ES_tradnl"/>
              </w:rPr>
              <w:t>000</w:t>
            </w:r>
          </w:p>
        </w:tc>
      </w:tr>
      <w:tr w:rsidR="00BA10AB" w:rsidRPr="005A6B9B" w14:paraId="04C8B32D" w14:textId="77777777" w:rsidTr="005A6B9B">
        <w:tc>
          <w:tcPr>
            <w:tcW w:w="1277" w:type="dxa"/>
            <w:tcBorders>
              <w:bottom w:val="single" w:sz="4" w:space="0" w:color="auto"/>
            </w:tcBorders>
            <w:shd w:val="clear" w:color="auto" w:fill="auto"/>
            <w:vAlign w:val="center"/>
          </w:tcPr>
          <w:p w14:paraId="18198652"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tcBorders>
              <w:bottom w:val="single" w:sz="4" w:space="0" w:color="auto"/>
            </w:tcBorders>
            <w:shd w:val="clear" w:color="auto" w:fill="auto"/>
          </w:tcPr>
          <w:p w14:paraId="2642BCBA" w14:textId="469146F7" w:rsidR="00BA10AB" w:rsidRPr="00A27D28" w:rsidRDefault="00BA10AB" w:rsidP="00A27D28">
            <w:pPr>
              <w:tabs>
                <w:tab w:val="left" w:pos="1247"/>
                <w:tab w:val="left" w:pos="1814"/>
                <w:tab w:val="left" w:pos="2381"/>
                <w:tab w:val="left" w:pos="2948"/>
                <w:tab w:val="left" w:pos="3515"/>
              </w:tabs>
              <w:spacing w:before="40" w:after="40"/>
              <w:rPr>
                <w:rFonts w:ascii="Times New Roman" w:eastAsia="SimSun" w:hAnsi="Times New Roman"/>
                <w:b/>
                <w:i/>
                <w:sz w:val="18"/>
                <w:szCs w:val="18"/>
                <w:lang w:val="es-ES_tradnl"/>
              </w:rPr>
            </w:pPr>
            <w:r w:rsidRPr="00A27D28">
              <w:rPr>
                <w:rFonts w:ascii="Times New Roman" w:hAnsi="Times New Roman"/>
                <w:b/>
                <w:i/>
                <w:sz w:val="18"/>
                <w:szCs w:val="18"/>
                <w:lang w:val="es-ES_tradnl"/>
              </w:rPr>
              <w:t xml:space="preserve">Total año </w:t>
            </w:r>
            <w:r>
              <w:rPr>
                <w:rFonts w:ascii="Times New Roman" w:hAnsi="Times New Roman"/>
                <w:b/>
                <w:i/>
                <w:sz w:val="18"/>
                <w:szCs w:val="18"/>
                <w:lang w:val="es-ES_tradnl"/>
              </w:rPr>
              <w:t>2</w:t>
            </w:r>
            <w:r w:rsidRPr="00A27D28">
              <w:rPr>
                <w:rFonts w:ascii="Times New Roman" w:hAnsi="Times New Roman"/>
                <w:b/>
                <w:i/>
                <w:sz w:val="18"/>
                <w:szCs w:val="18"/>
                <w:lang w:val="es-ES_tradnl"/>
              </w:rPr>
              <w:t>:</w:t>
            </w:r>
          </w:p>
        </w:tc>
        <w:tc>
          <w:tcPr>
            <w:tcW w:w="2977" w:type="dxa"/>
            <w:tcBorders>
              <w:bottom w:val="single" w:sz="4" w:space="0" w:color="auto"/>
            </w:tcBorders>
            <w:shd w:val="clear" w:color="auto" w:fill="auto"/>
          </w:tcPr>
          <w:p w14:paraId="694EE33D" w14:textId="77777777" w:rsidR="00BA10AB" w:rsidRPr="00A27D28" w:rsidRDefault="00BA10AB" w:rsidP="000E4C66">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b/>
                <w:i/>
                <w:sz w:val="18"/>
                <w:szCs w:val="18"/>
                <w:lang w:val="es-ES_tradnl" w:eastAsia="zh-CN"/>
              </w:rPr>
            </w:pPr>
          </w:p>
        </w:tc>
        <w:tc>
          <w:tcPr>
            <w:tcW w:w="1417" w:type="dxa"/>
            <w:tcBorders>
              <w:bottom w:val="single" w:sz="4" w:space="0" w:color="auto"/>
            </w:tcBorders>
            <w:shd w:val="clear" w:color="auto" w:fill="auto"/>
          </w:tcPr>
          <w:p w14:paraId="127099CB" w14:textId="4B7E11CE" w:rsidR="00BA10AB" w:rsidRPr="00A27D28" w:rsidRDefault="00BA10AB" w:rsidP="00A12487">
            <w:pPr>
              <w:tabs>
                <w:tab w:val="left" w:pos="1247"/>
                <w:tab w:val="left" w:pos="1814"/>
                <w:tab w:val="left" w:pos="2381"/>
                <w:tab w:val="left" w:pos="2948"/>
                <w:tab w:val="left" w:pos="3515"/>
              </w:tabs>
              <w:spacing w:before="40" w:after="40"/>
              <w:jc w:val="right"/>
              <w:rPr>
                <w:rFonts w:ascii="Times New Roman" w:eastAsia="SimSun" w:hAnsi="Times New Roman"/>
                <w:b/>
                <w:i/>
                <w:sz w:val="18"/>
                <w:szCs w:val="18"/>
                <w:lang w:val="es-ES_tradnl"/>
              </w:rPr>
            </w:pPr>
            <w:r>
              <w:rPr>
                <w:rFonts w:ascii="Times New Roman" w:hAnsi="Times New Roman"/>
                <w:b/>
                <w:i/>
                <w:sz w:val="18"/>
                <w:szCs w:val="18"/>
                <w:lang w:val="es-ES_tradnl"/>
              </w:rPr>
              <w:t xml:space="preserve">286 </w:t>
            </w:r>
            <w:r w:rsidRPr="00A27D28">
              <w:rPr>
                <w:rFonts w:ascii="Times New Roman" w:hAnsi="Times New Roman"/>
                <w:b/>
                <w:i/>
                <w:sz w:val="18"/>
                <w:szCs w:val="18"/>
                <w:lang w:val="es-ES_tradnl"/>
              </w:rPr>
              <w:t>250</w:t>
            </w:r>
          </w:p>
        </w:tc>
      </w:tr>
      <w:tr w:rsidR="00BA10AB" w:rsidRPr="005A6B9B" w14:paraId="31AB0116" w14:textId="77777777" w:rsidTr="005A6B9B">
        <w:trPr>
          <w:cantSplit/>
        </w:trPr>
        <w:tc>
          <w:tcPr>
            <w:tcW w:w="1277" w:type="dxa"/>
            <w:vMerge w:val="restart"/>
            <w:tcBorders>
              <w:top w:val="single" w:sz="4" w:space="0" w:color="auto"/>
            </w:tcBorders>
            <w:shd w:val="clear" w:color="auto" w:fill="auto"/>
          </w:tcPr>
          <w:p w14:paraId="228E8231" w14:textId="77777777" w:rsidR="00BA10AB" w:rsidRPr="000B4FCB" w:rsidRDefault="00BA10AB" w:rsidP="0027136B">
            <w:pPr>
              <w:tabs>
                <w:tab w:val="left" w:pos="1247"/>
                <w:tab w:val="left" w:pos="1814"/>
                <w:tab w:val="left" w:pos="2381"/>
                <w:tab w:val="left" w:pos="2948"/>
                <w:tab w:val="left" w:pos="3515"/>
              </w:tabs>
              <w:spacing w:before="40" w:after="40"/>
              <w:rPr>
                <w:rFonts w:ascii="Times New Roman" w:eastAsia="SimSun" w:hAnsi="Times New Roman"/>
                <w:b/>
                <w:sz w:val="18"/>
                <w:szCs w:val="18"/>
                <w:lang w:val="es-ES_tradnl"/>
              </w:rPr>
            </w:pPr>
            <w:r w:rsidRPr="000B4FCB">
              <w:rPr>
                <w:rFonts w:ascii="Times New Roman" w:hAnsi="Times New Roman"/>
                <w:b/>
                <w:sz w:val="18"/>
                <w:szCs w:val="18"/>
                <w:lang w:val="es-ES_tradnl"/>
              </w:rPr>
              <w:t>Año 3</w:t>
            </w:r>
          </w:p>
        </w:tc>
        <w:tc>
          <w:tcPr>
            <w:tcW w:w="2834" w:type="dxa"/>
            <w:vMerge w:val="restart"/>
            <w:tcBorders>
              <w:top w:val="single" w:sz="4" w:space="0" w:color="auto"/>
            </w:tcBorders>
            <w:shd w:val="clear" w:color="auto" w:fill="auto"/>
          </w:tcPr>
          <w:p w14:paraId="50255828" w14:textId="0DF703E8" w:rsidR="00BA10AB" w:rsidRPr="004B595C" w:rsidRDefault="00BA10AB">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Tercera reunión de los autores (participantes: 2 Copresidentes, 12 autores principales encargados de la coordinación, 36 autores principales, 12 revisores y 6 miembros del Grupo Multidisciplinario de Expertos y de la Mesa específicamente adscritos)</w:t>
            </w:r>
          </w:p>
        </w:tc>
        <w:tc>
          <w:tcPr>
            <w:tcW w:w="2977" w:type="dxa"/>
            <w:tcBorders>
              <w:top w:val="single" w:sz="4" w:space="0" w:color="auto"/>
            </w:tcBorders>
            <w:shd w:val="clear" w:color="auto" w:fill="auto"/>
          </w:tcPr>
          <w:p w14:paraId="43B3E5E0" w14:textId="646C6B9D" w:rsidR="00BA10AB" w:rsidRPr="004B595C" w:rsidRDefault="00BA10AB"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Costos de local (correspondientes a 75%, complementados con un 25% en especie); 68</w:t>
            </w:r>
            <w:r>
              <w:rPr>
                <w:rFonts w:ascii="Times New Roman" w:hAnsi="Times New Roman"/>
                <w:sz w:val="18"/>
                <w:szCs w:val="18"/>
                <w:lang w:val="es-ES_tradnl"/>
              </w:rPr>
              <w:t> </w:t>
            </w:r>
            <w:r w:rsidRPr="004B595C">
              <w:rPr>
                <w:rFonts w:ascii="Times New Roman" w:hAnsi="Times New Roman"/>
                <w:sz w:val="18"/>
                <w:szCs w:val="18"/>
                <w:lang w:val="es-ES_tradnl"/>
              </w:rPr>
              <w:t>participantes (51 reciben apoyo)</w:t>
            </w:r>
          </w:p>
        </w:tc>
        <w:tc>
          <w:tcPr>
            <w:tcW w:w="1417" w:type="dxa"/>
            <w:tcBorders>
              <w:top w:val="single" w:sz="4" w:space="0" w:color="auto"/>
            </w:tcBorders>
            <w:shd w:val="clear" w:color="auto" w:fill="auto"/>
          </w:tcPr>
          <w:p w14:paraId="67869911" w14:textId="5D9FC6CF" w:rsidR="00BA10AB" w:rsidRPr="004B595C" w:rsidRDefault="005A6B9B" w:rsidP="00831132">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20 </w:t>
            </w:r>
            <w:r w:rsidR="00BA10AB" w:rsidRPr="004B595C">
              <w:rPr>
                <w:rFonts w:ascii="Times New Roman" w:hAnsi="Times New Roman"/>
                <w:sz w:val="18"/>
                <w:szCs w:val="18"/>
                <w:lang w:val="es-ES_tradnl"/>
              </w:rPr>
              <w:t>000</w:t>
            </w:r>
          </w:p>
        </w:tc>
      </w:tr>
      <w:tr w:rsidR="00BA10AB" w:rsidRPr="005A6B9B" w14:paraId="72107321" w14:textId="77777777" w:rsidTr="005A6B9B">
        <w:trPr>
          <w:cantSplit/>
        </w:trPr>
        <w:tc>
          <w:tcPr>
            <w:tcW w:w="1277" w:type="dxa"/>
            <w:vMerge/>
            <w:shd w:val="clear" w:color="auto" w:fill="auto"/>
            <w:vAlign w:val="center"/>
          </w:tcPr>
          <w:p w14:paraId="08556FA7"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vMerge/>
            <w:shd w:val="clear" w:color="auto" w:fill="auto"/>
          </w:tcPr>
          <w:p w14:paraId="50A91828"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977" w:type="dxa"/>
            <w:shd w:val="clear" w:color="auto" w:fill="auto"/>
          </w:tcPr>
          <w:p w14:paraId="0210A31B" w14:textId="396394FC" w:rsidR="00BA10AB" w:rsidRPr="004B595C" w:rsidRDefault="00BA10AB"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Viaje y dietas (51 x 3.750 dólares)</w:t>
            </w:r>
          </w:p>
        </w:tc>
        <w:tc>
          <w:tcPr>
            <w:tcW w:w="1417" w:type="dxa"/>
            <w:shd w:val="clear" w:color="auto" w:fill="auto"/>
          </w:tcPr>
          <w:p w14:paraId="534DFDDA" w14:textId="0409BA1D" w:rsidR="00BA10AB" w:rsidRPr="004B595C" w:rsidRDefault="005A6B9B" w:rsidP="005A6B9B">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191 </w:t>
            </w:r>
            <w:r w:rsidR="00BA10AB" w:rsidRPr="004B595C">
              <w:rPr>
                <w:rFonts w:ascii="Times New Roman" w:hAnsi="Times New Roman"/>
                <w:sz w:val="18"/>
                <w:szCs w:val="18"/>
                <w:lang w:val="es-ES_tradnl"/>
              </w:rPr>
              <w:t>250</w:t>
            </w:r>
          </w:p>
        </w:tc>
      </w:tr>
      <w:tr w:rsidR="00BA10AB" w:rsidRPr="005A6B9B" w14:paraId="3A1D355A" w14:textId="77777777" w:rsidTr="005A6B9B">
        <w:tc>
          <w:tcPr>
            <w:tcW w:w="1277" w:type="dxa"/>
            <w:vMerge/>
            <w:shd w:val="clear" w:color="auto" w:fill="auto"/>
            <w:vAlign w:val="center"/>
          </w:tcPr>
          <w:p w14:paraId="7C1DAF26"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shd w:val="clear" w:color="auto" w:fill="auto"/>
          </w:tcPr>
          <w:p w14:paraId="19D52FE1" w14:textId="77777777" w:rsidR="00BA10AB" w:rsidRPr="004B595C" w:rsidRDefault="00BA10AB" w:rsidP="0027136B">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Apoyo técnico</w:t>
            </w:r>
          </w:p>
        </w:tc>
        <w:tc>
          <w:tcPr>
            <w:tcW w:w="2977" w:type="dxa"/>
            <w:shd w:val="clear" w:color="auto" w:fill="auto"/>
          </w:tcPr>
          <w:p w14:paraId="229A93F2" w14:textId="50FCF557" w:rsidR="00BA10AB" w:rsidRPr="004B595C" w:rsidRDefault="00BA10AB" w:rsidP="000E4C66">
            <w:pPr>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5251CC">
              <w:rPr>
                <w:rFonts w:ascii="Times New Roman" w:hAnsi="Times New Roman"/>
                <w:sz w:val="18"/>
                <w:szCs w:val="18"/>
                <w:lang w:val="es-ES_tradnl"/>
              </w:rPr>
              <w:t xml:space="preserve">1 </w:t>
            </w:r>
            <w:r w:rsidR="000E4C66">
              <w:rPr>
                <w:rFonts w:ascii="Times New Roman" w:hAnsi="Times New Roman"/>
                <w:sz w:val="18"/>
                <w:szCs w:val="18"/>
                <w:lang w:val="es-ES_tradnl"/>
              </w:rPr>
              <w:t>p</w:t>
            </w:r>
            <w:r w:rsidRPr="005251CC">
              <w:rPr>
                <w:rFonts w:ascii="Times New Roman" w:hAnsi="Times New Roman"/>
                <w:sz w:val="18"/>
                <w:szCs w:val="18"/>
                <w:lang w:val="es-ES_tradnl"/>
              </w:rPr>
              <w:t>uesto equivalente</w:t>
            </w:r>
            <w:r w:rsidRPr="004B595C">
              <w:rPr>
                <w:rFonts w:ascii="Times New Roman" w:hAnsi="Times New Roman"/>
                <w:sz w:val="18"/>
                <w:szCs w:val="18"/>
                <w:lang w:val="es-ES_tradnl"/>
              </w:rPr>
              <w:t xml:space="preserve"> a funcionario del cuadro orgánico a tiempo completo, </w:t>
            </w:r>
            <w:r>
              <w:rPr>
                <w:rFonts w:ascii="Times New Roman" w:hAnsi="Times New Roman"/>
                <w:sz w:val="18"/>
                <w:szCs w:val="18"/>
                <w:lang w:val="es-ES_tradnl"/>
              </w:rPr>
              <w:t>gastos </w:t>
            </w:r>
            <w:r w:rsidRPr="004B595C">
              <w:rPr>
                <w:rFonts w:ascii="Times New Roman" w:hAnsi="Times New Roman"/>
                <w:sz w:val="18"/>
                <w:szCs w:val="18"/>
                <w:lang w:val="es-ES_tradnl"/>
              </w:rPr>
              <w:t>de v</w:t>
            </w:r>
            <w:r>
              <w:rPr>
                <w:rFonts w:ascii="Times New Roman" w:hAnsi="Times New Roman"/>
                <w:sz w:val="18"/>
                <w:szCs w:val="18"/>
                <w:lang w:val="es-ES_tradnl"/>
              </w:rPr>
              <w:t>iaje y gastos generales (que se </w:t>
            </w:r>
            <w:r w:rsidRPr="004B595C">
              <w:rPr>
                <w:rFonts w:ascii="Times New Roman" w:hAnsi="Times New Roman"/>
                <w:sz w:val="18"/>
                <w:szCs w:val="18"/>
                <w:lang w:val="es-ES_tradnl"/>
              </w:rPr>
              <w:t>cubrirá con</w:t>
            </w:r>
            <w:r>
              <w:rPr>
                <w:rFonts w:ascii="Times New Roman" w:hAnsi="Times New Roman"/>
                <w:sz w:val="18"/>
                <w:szCs w:val="18"/>
                <w:lang w:val="es-ES_tradnl"/>
              </w:rPr>
              <w:t xml:space="preserve"> una oferta en especie de valor </w:t>
            </w:r>
            <w:r w:rsidRPr="004B595C">
              <w:rPr>
                <w:rFonts w:ascii="Times New Roman" w:hAnsi="Times New Roman"/>
                <w:sz w:val="18"/>
                <w:szCs w:val="18"/>
                <w:lang w:val="es-ES_tradnl"/>
              </w:rPr>
              <w:t>equivalente)</w:t>
            </w:r>
          </w:p>
        </w:tc>
        <w:tc>
          <w:tcPr>
            <w:tcW w:w="1417" w:type="dxa"/>
            <w:shd w:val="clear" w:color="auto" w:fill="auto"/>
          </w:tcPr>
          <w:p w14:paraId="1F2A7026" w14:textId="5EBCB4FA" w:rsidR="00BA10AB" w:rsidRPr="005A6B9B" w:rsidRDefault="005A6B9B" w:rsidP="0027136B">
            <w:pPr>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sidRPr="005A6B9B">
              <w:rPr>
                <w:rFonts w:ascii="Times New Roman" w:hAnsi="Times New Roman"/>
                <w:sz w:val="18"/>
                <w:szCs w:val="18"/>
                <w:lang w:val="es-ES_tradnl"/>
              </w:rPr>
              <w:br/>
            </w:r>
            <w:r w:rsidRPr="005A6B9B">
              <w:rPr>
                <w:rFonts w:ascii="Times New Roman" w:hAnsi="Times New Roman"/>
                <w:sz w:val="18"/>
                <w:szCs w:val="18"/>
                <w:lang w:val="es-ES_tradnl"/>
              </w:rPr>
              <w:br/>
            </w:r>
            <w:r w:rsidRPr="005A6B9B">
              <w:rPr>
                <w:rFonts w:ascii="Times New Roman" w:hAnsi="Times New Roman"/>
                <w:sz w:val="18"/>
                <w:szCs w:val="18"/>
                <w:lang w:val="es-ES_tradnl"/>
              </w:rPr>
              <w:br/>
            </w:r>
            <w:r w:rsidRPr="005A6B9B">
              <w:rPr>
                <w:rFonts w:ascii="Times New Roman" w:hAnsi="Times New Roman"/>
                <w:sz w:val="18"/>
                <w:szCs w:val="18"/>
                <w:lang w:val="es-ES_tradnl"/>
              </w:rPr>
              <w:br/>
            </w:r>
            <w:r w:rsidR="00BA10AB" w:rsidRPr="005A6B9B">
              <w:rPr>
                <w:rFonts w:ascii="Times New Roman" w:hAnsi="Times New Roman"/>
                <w:sz w:val="18"/>
                <w:szCs w:val="18"/>
                <w:lang w:val="es-ES_tradnl"/>
              </w:rPr>
              <w:t>75 000</w:t>
            </w:r>
          </w:p>
        </w:tc>
      </w:tr>
      <w:tr w:rsidR="00BA10AB" w:rsidRPr="005A6B9B" w14:paraId="4FD1649E" w14:textId="77777777" w:rsidTr="005A6B9B">
        <w:tc>
          <w:tcPr>
            <w:tcW w:w="1277" w:type="dxa"/>
            <w:vMerge/>
            <w:shd w:val="clear" w:color="auto" w:fill="auto"/>
          </w:tcPr>
          <w:p w14:paraId="0D94857B"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shd w:val="clear" w:color="auto" w:fill="auto"/>
          </w:tcPr>
          <w:p w14:paraId="15D1739D" w14:textId="77777777" w:rsidR="00BA10AB" w:rsidRPr="004B595C" w:rsidRDefault="00BA10AB" w:rsidP="0027136B">
            <w:pPr>
              <w:tabs>
                <w:tab w:val="left" w:pos="1247"/>
                <w:tab w:val="left" w:pos="1814"/>
                <w:tab w:val="left" w:pos="2381"/>
                <w:tab w:val="left" w:pos="2948"/>
                <w:tab w:val="left" w:pos="3515"/>
              </w:tabs>
              <w:spacing w:afterLines="60" w:after="144"/>
              <w:rPr>
                <w:rFonts w:ascii="Times New Roman" w:eastAsia="SimSun" w:hAnsi="Times New Roman"/>
                <w:sz w:val="18"/>
                <w:szCs w:val="18"/>
                <w:lang w:val="es-ES_tradnl"/>
              </w:rPr>
            </w:pPr>
            <w:r w:rsidRPr="004B595C">
              <w:rPr>
                <w:rFonts w:ascii="Times New Roman" w:hAnsi="Times New Roman"/>
                <w:sz w:val="18"/>
                <w:szCs w:val="18"/>
                <w:lang w:val="es-ES_tradnl"/>
              </w:rPr>
              <w:t>Difusión y divulgación</w:t>
            </w:r>
          </w:p>
        </w:tc>
        <w:tc>
          <w:tcPr>
            <w:tcW w:w="2977" w:type="dxa"/>
            <w:shd w:val="clear" w:color="auto" w:fill="auto"/>
          </w:tcPr>
          <w:p w14:paraId="1F4CFCCB" w14:textId="77777777" w:rsidR="00BA10AB" w:rsidRPr="004B595C" w:rsidRDefault="00BA10AB" w:rsidP="000E4C66">
            <w:pPr>
              <w:keepNext/>
              <w:keepLines/>
              <w:tabs>
                <w:tab w:val="left" w:pos="1247"/>
                <w:tab w:val="left" w:pos="1814"/>
                <w:tab w:val="left" w:pos="2381"/>
                <w:tab w:val="left" w:pos="2948"/>
                <w:tab w:val="left" w:pos="3515"/>
                <w:tab w:val="left" w:pos="4082"/>
              </w:tabs>
              <w:suppressAutoHyphens/>
              <w:spacing w:afterLines="60" w:after="144"/>
              <w:ind w:left="1247"/>
              <w:rPr>
                <w:rFonts w:ascii="Times New Roman" w:eastAsia="SimSun" w:hAnsi="Times New Roman"/>
                <w:sz w:val="18"/>
                <w:szCs w:val="18"/>
                <w:lang w:val="es-ES_tradnl" w:eastAsia="zh-CN"/>
              </w:rPr>
            </w:pPr>
          </w:p>
        </w:tc>
        <w:tc>
          <w:tcPr>
            <w:tcW w:w="1417" w:type="dxa"/>
            <w:shd w:val="clear" w:color="auto" w:fill="auto"/>
          </w:tcPr>
          <w:p w14:paraId="678AB868" w14:textId="7354C952" w:rsidR="00BA10AB" w:rsidRPr="004B595C" w:rsidRDefault="00BA10AB" w:rsidP="00A12487">
            <w:pPr>
              <w:tabs>
                <w:tab w:val="left" w:pos="1247"/>
                <w:tab w:val="left" w:pos="1814"/>
                <w:tab w:val="left" w:pos="2381"/>
                <w:tab w:val="left" w:pos="2948"/>
                <w:tab w:val="left" w:pos="3515"/>
              </w:tabs>
              <w:spacing w:afterLines="60" w:after="144"/>
              <w:jc w:val="right"/>
              <w:rPr>
                <w:rFonts w:ascii="Times New Roman" w:eastAsia="SimSun" w:hAnsi="Times New Roman"/>
                <w:sz w:val="18"/>
                <w:szCs w:val="18"/>
                <w:lang w:val="es-ES_tradnl"/>
              </w:rPr>
            </w:pPr>
            <w:r>
              <w:rPr>
                <w:rFonts w:ascii="Times New Roman" w:hAnsi="Times New Roman"/>
                <w:sz w:val="18"/>
                <w:szCs w:val="18"/>
                <w:lang w:val="es-ES_tradnl"/>
              </w:rPr>
              <w:t xml:space="preserve">50 </w:t>
            </w:r>
            <w:r w:rsidRPr="004B595C">
              <w:rPr>
                <w:rFonts w:ascii="Times New Roman" w:hAnsi="Times New Roman"/>
                <w:sz w:val="18"/>
                <w:szCs w:val="18"/>
                <w:lang w:val="es-ES_tradnl"/>
              </w:rPr>
              <w:t>000</w:t>
            </w:r>
          </w:p>
        </w:tc>
      </w:tr>
      <w:tr w:rsidR="00BA10AB" w:rsidRPr="005A6B9B" w14:paraId="725D2BFE" w14:textId="77777777" w:rsidTr="005A6B9B">
        <w:tc>
          <w:tcPr>
            <w:tcW w:w="1277" w:type="dxa"/>
            <w:tcBorders>
              <w:bottom w:val="single" w:sz="4" w:space="0" w:color="auto"/>
            </w:tcBorders>
            <w:shd w:val="clear" w:color="auto" w:fill="auto"/>
          </w:tcPr>
          <w:p w14:paraId="2F0DDE63"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tcBorders>
              <w:bottom w:val="single" w:sz="4" w:space="0" w:color="auto"/>
            </w:tcBorders>
            <w:shd w:val="clear" w:color="auto" w:fill="auto"/>
          </w:tcPr>
          <w:p w14:paraId="42193F67" w14:textId="77777777" w:rsidR="00BA10AB" w:rsidRPr="00A27D28" w:rsidRDefault="00BA10AB" w:rsidP="0027136B">
            <w:pPr>
              <w:tabs>
                <w:tab w:val="left" w:pos="1247"/>
                <w:tab w:val="left" w:pos="1814"/>
                <w:tab w:val="left" w:pos="2381"/>
                <w:tab w:val="left" w:pos="2948"/>
                <w:tab w:val="left" w:pos="3515"/>
              </w:tabs>
              <w:spacing w:before="40" w:after="40"/>
              <w:rPr>
                <w:rFonts w:ascii="Times New Roman" w:eastAsia="SimSun" w:hAnsi="Times New Roman"/>
                <w:b/>
                <w:i/>
                <w:sz w:val="18"/>
                <w:szCs w:val="18"/>
                <w:lang w:val="es-ES_tradnl"/>
              </w:rPr>
            </w:pPr>
            <w:r w:rsidRPr="00A27D28">
              <w:rPr>
                <w:rFonts w:ascii="Times New Roman" w:hAnsi="Times New Roman"/>
                <w:b/>
                <w:i/>
                <w:sz w:val="18"/>
                <w:szCs w:val="18"/>
                <w:lang w:val="es-ES_tradnl"/>
              </w:rPr>
              <w:t>Total año 3:</w:t>
            </w:r>
          </w:p>
        </w:tc>
        <w:tc>
          <w:tcPr>
            <w:tcW w:w="2977" w:type="dxa"/>
            <w:tcBorders>
              <w:bottom w:val="single" w:sz="4" w:space="0" w:color="auto"/>
            </w:tcBorders>
            <w:shd w:val="clear" w:color="auto" w:fill="auto"/>
          </w:tcPr>
          <w:p w14:paraId="5DA2182D" w14:textId="77777777" w:rsidR="00BA10AB" w:rsidRPr="00A27D28" w:rsidRDefault="00BA10AB" w:rsidP="000E4C66">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b/>
                <w:i/>
                <w:sz w:val="18"/>
                <w:szCs w:val="18"/>
                <w:lang w:val="es-ES_tradnl" w:eastAsia="zh-CN"/>
              </w:rPr>
            </w:pPr>
          </w:p>
        </w:tc>
        <w:tc>
          <w:tcPr>
            <w:tcW w:w="1417" w:type="dxa"/>
            <w:tcBorders>
              <w:bottom w:val="single" w:sz="4" w:space="0" w:color="auto"/>
            </w:tcBorders>
            <w:shd w:val="clear" w:color="auto" w:fill="auto"/>
          </w:tcPr>
          <w:p w14:paraId="2E86544F" w14:textId="45F53BAF" w:rsidR="00BA10AB" w:rsidRPr="00A27D28" w:rsidRDefault="00BA10AB" w:rsidP="0027136B">
            <w:pPr>
              <w:tabs>
                <w:tab w:val="left" w:pos="1247"/>
                <w:tab w:val="left" w:pos="1814"/>
                <w:tab w:val="left" w:pos="2381"/>
                <w:tab w:val="left" w:pos="2948"/>
                <w:tab w:val="left" w:pos="3515"/>
              </w:tabs>
              <w:spacing w:before="40" w:after="40"/>
              <w:jc w:val="right"/>
              <w:rPr>
                <w:rFonts w:ascii="Times New Roman" w:eastAsia="SimSun" w:hAnsi="Times New Roman"/>
                <w:b/>
                <w:i/>
                <w:sz w:val="18"/>
                <w:szCs w:val="18"/>
                <w:lang w:val="es-ES_tradnl"/>
              </w:rPr>
            </w:pPr>
            <w:r>
              <w:rPr>
                <w:rFonts w:ascii="Times New Roman" w:hAnsi="Times New Roman"/>
                <w:b/>
                <w:i/>
                <w:sz w:val="18"/>
                <w:szCs w:val="18"/>
                <w:lang w:val="es-ES_tradnl"/>
              </w:rPr>
              <w:t xml:space="preserve">336 </w:t>
            </w:r>
            <w:r w:rsidRPr="00A27D28">
              <w:rPr>
                <w:rFonts w:ascii="Times New Roman" w:hAnsi="Times New Roman"/>
                <w:b/>
                <w:i/>
                <w:sz w:val="18"/>
                <w:szCs w:val="18"/>
                <w:lang w:val="es-ES_tradnl"/>
              </w:rPr>
              <w:t>250</w:t>
            </w:r>
          </w:p>
        </w:tc>
      </w:tr>
      <w:tr w:rsidR="00BA10AB" w:rsidRPr="005A6B9B" w14:paraId="7771E8DC" w14:textId="77777777" w:rsidTr="005A6B9B">
        <w:tc>
          <w:tcPr>
            <w:tcW w:w="1277" w:type="dxa"/>
            <w:vMerge w:val="restart"/>
            <w:tcBorders>
              <w:top w:val="single" w:sz="4" w:space="0" w:color="auto"/>
            </w:tcBorders>
            <w:shd w:val="clear" w:color="auto" w:fill="auto"/>
          </w:tcPr>
          <w:p w14:paraId="7B6DB28B" w14:textId="5F2A1BD4" w:rsidR="00BA10AB" w:rsidRPr="004B595C" w:rsidRDefault="00BA10AB" w:rsidP="005A6B9B">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0B4FCB">
              <w:rPr>
                <w:rFonts w:ascii="Times New Roman" w:hAnsi="Times New Roman"/>
                <w:b/>
                <w:sz w:val="18"/>
                <w:szCs w:val="18"/>
                <w:lang w:val="es-ES_tradnl"/>
              </w:rPr>
              <w:t>Año 4</w:t>
            </w:r>
            <w:r w:rsidR="00D30591">
              <w:rPr>
                <w:rFonts w:ascii="Times New Roman" w:hAnsi="Times New Roman"/>
                <w:sz w:val="18"/>
                <w:szCs w:val="18"/>
                <w:lang w:val="es-ES_tradnl"/>
              </w:rPr>
              <w:t xml:space="preserve"> (lanzamiento de la</w:t>
            </w:r>
            <w:r w:rsidR="005A6B9B">
              <w:rPr>
                <w:rFonts w:ascii="Times New Roman" w:hAnsi="Times New Roman"/>
                <w:sz w:val="18"/>
                <w:szCs w:val="18"/>
                <w:lang w:val="es-ES_tradnl"/>
              </w:rPr>
              <w:t xml:space="preserve"> </w:t>
            </w:r>
            <w:r w:rsidR="00D30591">
              <w:rPr>
                <w:rFonts w:ascii="Times New Roman" w:hAnsi="Times New Roman"/>
                <w:sz w:val="18"/>
                <w:szCs w:val="18"/>
                <w:lang w:val="es-ES_tradnl"/>
              </w:rPr>
              <w:t>evaluación y</w:t>
            </w:r>
            <w:r w:rsidR="005A6B9B">
              <w:rPr>
                <w:rFonts w:ascii="Times New Roman" w:hAnsi="Times New Roman"/>
                <w:sz w:val="18"/>
                <w:szCs w:val="18"/>
                <w:lang w:val="es-ES_tradnl"/>
              </w:rPr>
              <w:t xml:space="preserve"> </w:t>
            </w:r>
            <w:r w:rsidRPr="004B595C">
              <w:rPr>
                <w:rFonts w:ascii="Times New Roman" w:hAnsi="Times New Roman"/>
                <w:sz w:val="18"/>
                <w:szCs w:val="18"/>
                <w:lang w:val="es-ES_tradnl"/>
              </w:rPr>
              <w:t>actividades posteriores)</w:t>
            </w:r>
          </w:p>
        </w:tc>
        <w:tc>
          <w:tcPr>
            <w:tcW w:w="2834" w:type="dxa"/>
            <w:tcBorders>
              <w:top w:val="single" w:sz="4" w:space="0" w:color="auto"/>
            </w:tcBorders>
            <w:shd w:val="clear" w:color="auto" w:fill="auto"/>
          </w:tcPr>
          <w:p w14:paraId="3A6787B1" w14:textId="3815F565" w:rsidR="00BA10AB" w:rsidRPr="004B595C" w:rsidRDefault="00BA10AB" w:rsidP="00D30591">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Partici</w:t>
            </w:r>
            <w:r w:rsidR="00D30591">
              <w:rPr>
                <w:rFonts w:ascii="Times New Roman" w:hAnsi="Times New Roman"/>
                <w:sz w:val="18"/>
                <w:szCs w:val="18"/>
                <w:lang w:val="es-ES_tradnl"/>
              </w:rPr>
              <w:t>pación de 8 expertos, incluidos 2 Copresidentes y 6 autores </w:t>
            </w:r>
            <w:r w:rsidRPr="004B595C">
              <w:rPr>
                <w:rFonts w:ascii="Times New Roman" w:hAnsi="Times New Roman"/>
                <w:sz w:val="18"/>
                <w:szCs w:val="18"/>
                <w:lang w:val="es-ES_tradnl"/>
              </w:rPr>
              <w:t>principales</w:t>
            </w:r>
            <w:r w:rsidR="00D30591">
              <w:rPr>
                <w:rFonts w:ascii="Times New Roman" w:hAnsi="Times New Roman"/>
                <w:sz w:val="18"/>
                <w:szCs w:val="18"/>
                <w:lang w:val="es-ES_tradnl"/>
              </w:rPr>
              <w:t xml:space="preserve"> encargados de la </w:t>
            </w:r>
            <w:r w:rsidRPr="004B595C">
              <w:rPr>
                <w:rFonts w:ascii="Times New Roman" w:hAnsi="Times New Roman"/>
                <w:sz w:val="18"/>
                <w:szCs w:val="18"/>
                <w:lang w:val="es-ES_tradnl"/>
              </w:rPr>
              <w:t>coordinación o autores princ</w:t>
            </w:r>
            <w:r w:rsidR="00D30591">
              <w:rPr>
                <w:rFonts w:ascii="Times New Roman" w:hAnsi="Times New Roman"/>
                <w:sz w:val="18"/>
                <w:szCs w:val="18"/>
                <w:lang w:val="es-ES_tradnl"/>
              </w:rPr>
              <w:t>ipales, en el octavo período de </w:t>
            </w:r>
            <w:r w:rsidRPr="004B595C">
              <w:rPr>
                <w:rFonts w:ascii="Times New Roman" w:hAnsi="Times New Roman"/>
                <w:sz w:val="18"/>
                <w:szCs w:val="18"/>
                <w:lang w:val="es-ES_tradnl"/>
              </w:rPr>
              <w:t xml:space="preserve">sesiones del Plenario </w:t>
            </w:r>
          </w:p>
        </w:tc>
        <w:tc>
          <w:tcPr>
            <w:tcW w:w="2977" w:type="dxa"/>
            <w:tcBorders>
              <w:top w:val="single" w:sz="4" w:space="0" w:color="auto"/>
            </w:tcBorders>
            <w:shd w:val="clear" w:color="auto" w:fill="auto"/>
          </w:tcPr>
          <w:p w14:paraId="30CD5B42" w14:textId="0D96992A" w:rsidR="00BA10AB" w:rsidRPr="004B595C" w:rsidRDefault="00BA10AB" w:rsidP="000E4C66">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5251CC">
              <w:rPr>
                <w:rFonts w:ascii="Times New Roman" w:hAnsi="Times New Roman"/>
                <w:sz w:val="18"/>
                <w:szCs w:val="18"/>
                <w:lang w:val="es-ES_tradnl"/>
              </w:rPr>
              <w:t>8 participant</w:t>
            </w:r>
            <w:r w:rsidRPr="004B595C">
              <w:rPr>
                <w:rFonts w:ascii="Times New Roman" w:hAnsi="Times New Roman"/>
                <w:sz w:val="18"/>
                <w:szCs w:val="18"/>
                <w:lang w:val="es-ES_tradnl"/>
              </w:rPr>
              <w:t>es (6 reciben apoyo)</w:t>
            </w:r>
          </w:p>
          <w:p w14:paraId="5132B12B" w14:textId="65F6CF0B" w:rsidR="00BA10AB" w:rsidRPr="004B595C" w:rsidRDefault="00BA10AB" w:rsidP="000E4C66">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Viaje y dietas</w:t>
            </w:r>
          </w:p>
          <w:p w14:paraId="20C38F52" w14:textId="08B25971" w:rsidR="00BA10AB" w:rsidRPr="004B595C" w:rsidRDefault="00BA10AB" w:rsidP="000E4C66">
            <w:pPr>
              <w:keepNext/>
              <w:keepLines/>
              <w:tabs>
                <w:tab w:val="left" w:pos="1247"/>
                <w:tab w:val="left" w:pos="1814"/>
                <w:tab w:val="left" w:pos="2381"/>
                <w:tab w:val="left" w:pos="2948"/>
                <w:tab w:val="left" w:pos="3515"/>
              </w:tabs>
              <w:spacing w:before="40" w:after="60"/>
              <w:rPr>
                <w:rFonts w:ascii="Times New Roman" w:eastAsia="SimSun" w:hAnsi="Times New Roman"/>
                <w:sz w:val="18"/>
                <w:szCs w:val="18"/>
                <w:lang w:val="es-ES_tradnl"/>
              </w:rPr>
            </w:pPr>
            <w:r w:rsidRPr="004B595C">
              <w:rPr>
                <w:rFonts w:ascii="Times New Roman" w:hAnsi="Times New Roman"/>
                <w:sz w:val="18"/>
                <w:szCs w:val="18"/>
                <w:lang w:val="es-ES_tradnl"/>
              </w:rPr>
              <w:t>(6 × 3</w:t>
            </w:r>
            <w:r>
              <w:rPr>
                <w:rFonts w:ascii="Times New Roman" w:hAnsi="Times New Roman"/>
                <w:sz w:val="18"/>
                <w:szCs w:val="18"/>
                <w:lang w:val="es-ES_tradnl"/>
              </w:rPr>
              <w:t>.</w:t>
            </w:r>
            <w:r w:rsidRPr="004B595C">
              <w:rPr>
                <w:rFonts w:ascii="Times New Roman" w:hAnsi="Times New Roman"/>
                <w:sz w:val="18"/>
                <w:szCs w:val="18"/>
                <w:lang w:val="es-ES_tradnl"/>
              </w:rPr>
              <w:t>750</w:t>
            </w:r>
            <w:r>
              <w:rPr>
                <w:rFonts w:ascii="Times New Roman" w:hAnsi="Times New Roman"/>
                <w:sz w:val="18"/>
                <w:szCs w:val="18"/>
                <w:lang w:val="es-ES_tradnl"/>
              </w:rPr>
              <w:t xml:space="preserve"> dólares</w:t>
            </w:r>
            <w:r w:rsidRPr="004B595C">
              <w:rPr>
                <w:rFonts w:ascii="Times New Roman" w:hAnsi="Times New Roman"/>
                <w:sz w:val="18"/>
                <w:szCs w:val="18"/>
                <w:lang w:val="es-ES_tradnl"/>
              </w:rPr>
              <w:t>)</w:t>
            </w:r>
          </w:p>
        </w:tc>
        <w:tc>
          <w:tcPr>
            <w:tcW w:w="1417" w:type="dxa"/>
            <w:tcBorders>
              <w:top w:val="single" w:sz="4" w:space="0" w:color="auto"/>
            </w:tcBorders>
            <w:shd w:val="clear" w:color="auto" w:fill="auto"/>
          </w:tcPr>
          <w:p w14:paraId="095E0852" w14:textId="573CCCA4" w:rsidR="00BA10AB" w:rsidRPr="004B595C" w:rsidRDefault="005A6B9B" w:rsidP="000B5220">
            <w:pPr>
              <w:keepNext/>
              <w:keepLines/>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22 </w:t>
            </w:r>
            <w:r w:rsidR="00BA10AB" w:rsidRPr="004B595C">
              <w:rPr>
                <w:rFonts w:ascii="Times New Roman" w:hAnsi="Times New Roman"/>
                <w:sz w:val="18"/>
                <w:szCs w:val="18"/>
                <w:lang w:val="es-ES_tradnl"/>
              </w:rPr>
              <w:t>500</w:t>
            </w:r>
          </w:p>
        </w:tc>
      </w:tr>
      <w:tr w:rsidR="00BA10AB" w:rsidRPr="005A6B9B" w14:paraId="2DDD39A5" w14:textId="77777777" w:rsidTr="005A6B9B">
        <w:tc>
          <w:tcPr>
            <w:tcW w:w="1277" w:type="dxa"/>
            <w:vMerge/>
            <w:shd w:val="clear" w:color="auto" w:fill="auto"/>
          </w:tcPr>
          <w:p w14:paraId="67FF2D2A" w14:textId="77777777" w:rsidR="00BA10AB" w:rsidRPr="004B595C" w:rsidRDefault="00BA10AB" w:rsidP="000B5220">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eastAsia="zh-CN"/>
              </w:rPr>
            </w:pPr>
          </w:p>
        </w:tc>
        <w:tc>
          <w:tcPr>
            <w:tcW w:w="2834" w:type="dxa"/>
            <w:shd w:val="clear" w:color="auto" w:fill="auto"/>
          </w:tcPr>
          <w:p w14:paraId="482850F2" w14:textId="5D1EEF73" w:rsidR="00BA10AB" w:rsidRPr="004B595C" w:rsidRDefault="00BA10AB" w:rsidP="005A6B9B">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4B595C">
              <w:rPr>
                <w:rFonts w:ascii="Times New Roman" w:hAnsi="Times New Roman"/>
                <w:sz w:val="18"/>
                <w:szCs w:val="18"/>
                <w:lang w:val="es-ES_tradnl"/>
              </w:rPr>
              <w:t>Apo</w:t>
            </w:r>
            <w:r w:rsidR="00D30591">
              <w:rPr>
                <w:rFonts w:ascii="Times New Roman" w:hAnsi="Times New Roman"/>
                <w:sz w:val="18"/>
                <w:szCs w:val="18"/>
                <w:lang w:val="es-ES_tradnl"/>
              </w:rPr>
              <w:t>yo técnico (3 meses después del </w:t>
            </w:r>
            <w:r w:rsidRPr="004B595C">
              <w:rPr>
                <w:rFonts w:ascii="Times New Roman" w:hAnsi="Times New Roman"/>
                <w:sz w:val="18"/>
                <w:szCs w:val="18"/>
                <w:lang w:val="es-ES_tradnl"/>
              </w:rPr>
              <w:t>lanzamiento del informe de evaluación en el Plenario)</w:t>
            </w:r>
          </w:p>
        </w:tc>
        <w:tc>
          <w:tcPr>
            <w:tcW w:w="2977" w:type="dxa"/>
            <w:shd w:val="clear" w:color="auto" w:fill="auto"/>
          </w:tcPr>
          <w:p w14:paraId="4DB641E9" w14:textId="46E3503C" w:rsidR="00BA10AB" w:rsidRPr="004B595C" w:rsidRDefault="00BA10AB" w:rsidP="000E4C66">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rPr>
            </w:pPr>
            <w:r w:rsidRPr="005251CC">
              <w:rPr>
                <w:rFonts w:ascii="Times New Roman" w:hAnsi="Times New Roman"/>
                <w:sz w:val="18"/>
                <w:szCs w:val="18"/>
                <w:lang w:val="es-ES_tradnl"/>
              </w:rPr>
              <w:t>1 Puesto equivalente</w:t>
            </w:r>
            <w:r w:rsidRPr="004B595C">
              <w:rPr>
                <w:rFonts w:ascii="Times New Roman" w:hAnsi="Times New Roman"/>
                <w:sz w:val="18"/>
                <w:szCs w:val="18"/>
                <w:lang w:val="es-ES_tradnl"/>
              </w:rPr>
              <w:t xml:space="preserve"> a funcionario del cuadro org</w:t>
            </w:r>
            <w:r>
              <w:rPr>
                <w:rFonts w:ascii="Times New Roman" w:hAnsi="Times New Roman"/>
                <w:sz w:val="18"/>
                <w:szCs w:val="18"/>
                <w:lang w:val="es-ES_tradnl"/>
              </w:rPr>
              <w:t>ánico a tiempo completo, gastos </w:t>
            </w:r>
            <w:r w:rsidRPr="004B595C">
              <w:rPr>
                <w:rFonts w:ascii="Times New Roman" w:hAnsi="Times New Roman"/>
                <w:sz w:val="18"/>
                <w:szCs w:val="18"/>
                <w:lang w:val="es-ES_tradnl"/>
              </w:rPr>
              <w:t>de viaje y g</w:t>
            </w:r>
            <w:r>
              <w:rPr>
                <w:rFonts w:ascii="Times New Roman" w:hAnsi="Times New Roman"/>
                <w:sz w:val="18"/>
                <w:szCs w:val="18"/>
                <w:lang w:val="es-ES_tradnl"/>
              </w:rPr>
              <w:t>astos generales (que se cubrirá </w:t>
            </w:r>
            <w:r w:rsidRPr="004B595C">
              <w:rPr>
                <w:rFonts w:ascii="Times New Roman" w:hAnsi="Times New Roman"/>
                <w:sz w:val="18"/>
                <w:szCs w:val="18"/>
                <w:lang w:val="es-ES_tradnl"/>
              </w:rPr>
              <w:t>con</w:t>
            </w:r>
            <w:r>
              <w:rPr>
                <w:rFonts w:ascii="Times New Roman" w:hAnsi="Times New Roman"/>
                <w:sz w:val="18"/>
                <w:szCs w:val="18"/>
                <w:lang w:val="es-ES_tradnl"/>
              </w:rPr>
              <w:t xml:space="preserve"> una oferta en especie de valor </w:t>
            </w:r>
            <w:r w:rsidRPr="004B595C">
              <w:rPr>
                <w:rFonts w:ascii="Times New Roman" w:hAnsi="Times New Roman"/>
                <w:sz w:val="18"/>
                <w:szCs w:val="18"/>
                <w:lang w:val="es-ES_tradnl"/>
              </w:rPr>
              <w:t>equivalente)</w:t>
            </w:r>
          </w:p>
        </w:tc>
        <w:tc>
          <w:tcPr>
            <w:tcW w:w="1417" w:type="dxa"/>
            <w:shd w:val="clear" w:color="auto" w:fill="auto"/>
          </w:tcPr>
          <w:p w14:paraId="46405A83" w14:textId="7F719A36" w:rsidR="00BA10AB" w:rsidRPr="004B595C" w:rsidRDefault="005A6B9B" w:rsidP="005A6B9B">
            <w:pPr>
              <w:keepNext/>
              <w:keepLines/>
              <w:tabs>
                <w:tab w:val="left" w:pos="1247"/>
                <w:tab w:val="left" w:pos="1814"/>
                <w:tab w:val="left" w:pos="2381"/>
                <w:tab w:val="left" w:pos="2948"/>
                <w:tab w:val="left" w:pos="3515"/>
              </w:tabs>
              <w:spacing w:before="40" w:after="40"/>
              <w:jc w:val="right"/>
              <w:rPr>
                <w:rFonts w:ascii="Times New Roman" w:eastAsia="SimSun" w:hAnsi="Times New Roman"/>
                <w:sz w:val="18"/>
                <w:szCs w:val="18"/>
                <w:lang w:val="es-ES_tradnl"/>
              </w:rPr>
            </w:pP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Pr>
                <w:rFonts w:ascii="Times New Roman" w:hAnsi="Times New Roman"/>
                <w:sz w:val="18"/>
                <w:szCs w:val="18"/>
                <w:lang w:val="es-ES_tradnl"/>
              </w:rPr>
              <w:br/>
            </w:r>
            <w:r w:rsidR="00BA10AB">
              <w:rPr>
                <w:rFonts w:ascii="Times New Roman" w:hAnsi="Times New Roman"/>
                <w:sz w:val="18"/>
                <w:szCs w:val="18"/>
                <w:lang w:val="es-ES_tradnl"/>
              </w:rPr>
              <w:t xml:space="preserve">18 </w:t>
            </w:r>
            <w:r w:rsidR="00BA10AB" w:rsidRPr="004B595C">
              <w:rPr>
                <w:rFonts w:ascii="Times New Roman" w:hAnsi="Times New Roman"/>
                <w:sz w:val="18"/>
                <w:szCs w:val="18"/>
                <w:lang w:val="es-ES_tradnl"/>
              </w:rPr>
              <w:t>750</w:t>
            </w:r>
          </w:p>
        </w:tc>
      </w:tr>
      <w:tr w:rsidR="005A6B9B" w:rsidRPr="005A6B9B" w14:paraId="46D1CEE2" w14:textId="77777777" w:rsidTr="005A6B9B">
        <w:tc>
          <w:tcPr>
            <w:tcW w:w="1277" w:type="dxa"/>
            <w:shd w:val="clear" w:color="auto" w:fill="auto"/>
          </w:tcPr>
          <w:p w14:paraId="5E34A705" w14:textId="77777777" w:rsidR="005A6B9B" w:rsidRPr="004B595C" w:rsidRDefault="005A6B9B" w:rsidP="000B5220">
            <w:pPr>
              <w:keepNext/>
              <w:keepLines/>
              <w:tabs>
                <w:tab w:val="left" w:pos="1247"/>
                <w:tab w:val="left" w:pos="1814"/>
                <w:tab w:val="left" w:pos="2381"/>
                <w:tab w:val="left" w:pos="2948"/>
                <w:tab w:val="left" w:pos="3515"/>
              </w:tabs>
              <w:spacing w:before="40" w:after="40"/>
              <w:rPr>
                <w:rFonts w:ascii="Times New Roman" w:eastAsia="SimSun" w:hAnsi="Times New Roman"/>
                <w:sz w:val="18"/>
                <w:szCs w:val="18"/>
                <w:lang w:val="es-ES_tradnl" w:eastAsia="zh-CN"/>
              </w:rPr>
            </w:pPr>
          </w:p>
        </w:tc>
        <w:tc>
          <w:tcPr>
            <w:tcW w:w="2834" w:type="dxa"/>
            <w:shd w:val="clear" w:color="auto" w:fill="auto"/>
          </w:tcPr>
          <w:p w14:paraId="24F854EB" w14:textId="5FB91E3E" w:rsidR="005A6B9B" w:rsidRPr="004B595C" w:rsidRDefault="005A6B9B" w:rsidP="000B5220">
            <w:pPr>
              <w:keepNext/>
              <w:keepLines/>
              <w:tabs>
                <w:tab w:val="left" w:pos="1247"/>
                <w:tab w:val="left" w:pos="1814"/>
                <w:tab w:val="left" w:pos="2381"/>
                <w:tab w:val="left" w:pos="2948"/>
                <w:tab w:val="left" w:pos="3515"/>
              </w:tabs>
              <w:spacing w:before="40" w:after="40"/>
              <w:rPr>
                <w:rFonts w:ascii="Times New Roman" w:hAnsi="Times New Roman"/>
                <w:sz w:val="18"/>
                <w:szCs w:val="18"/>
                <w:lang w:val="es-ES_tradnl"/>
              </w:rPr>
            </w:pPr>
            <w:r w:rsidRPr="004B595C">
              <w:rPr>
                <w:rFonts w:ascii="Times New Roman" w:hAnsi="Times New Roman"/>
                <w:sz w:val="18"/>
                <w:szCs w:val="18"/>
                <w:lang w:val="es-ES_tradnl"/>
              </w:rPr>
              <w:t>Difusión y divulgación</w:t>
            </w:r>
          </w:p>
        </w:tc>
        <w:tc>
          <w:tcPr>
            <w:tcW w:w="2977" w:type="dxa"/>
            <w:shd w:val="clear" w:color="auto" w:fill="auto"/>
          </w:tcPr>
          <w:p w14:paraId="65DE76A3" w14:textId="77777777" w:rsidR="005A6B9B" w:rsidRPr="005251CC" w:rsidRDefault="005A6B9B" w:rsidP="000E4C66">
            <w:pPr>
              <w:keepNext/>
              <w:keepLines/>
              <w:tabs>
                <w:tab w:val="left" w:pos="1247"/>
                <w:tab w:val="left" w:pos="1814"/>
                <w:tab w:val="left" w:pos="2381"/>
                <w:tab w:val="left" w:pos="2948"/>
                <w:tab w:val="left" w:pos="3515"/>
              </w:tabs>
              <w:spacing w:before="40" w:after="40"/>
              <w:rPr>
                <w:rFonts w:ascii="Times New Roman" w:hAnsi="Times New Roman"/>
                <w:sz w:val="18"/>
                <w:szCs w:val="18"/>
                <w:lang w:val="es-ES_tradnl"/>
              </w:rPr>
            </w:pPr>
          </w:p>
        </w:tc>
        <w:tc>
          <w:tcPr>
            <w:tcW w:w="1417" w:type="dxa"/>
            <w:shd w:val="clear" w:color="auto" w:fill="auto"/>
          </w:tcPr>
          <w:p w14:paraId="227A3F0E" w14:textId="4C8A3572" w:rsidR="005A6B9B" w:rsidRDefault="005A6B9B" w:rsidP="000B5220">
            <w:pPr>
              <w:keepNext/>
              <w:keepLines/>
              <w:tabs>
                <w:tab w:val="left" w:pos="1247"/>
                <w:tab w:val="left" w:pos="1814"/>
                <w:tab w:val="left" w:pos="2381"/>
                <w:tab w:val="left" w:pos="2948"/>
                <w:tab w:val="left" w:pos="3515"/>
              </w:tabs>
              <w:spacing w:before="40" w:after="40"/>
              <w:jc w:val="right"/>
              <w:rPr>
                <w:rFonts w:ascii="Times New Roman" w:hAnsi="Times New Roman"/>
                <w:sz w:val="18"/>
                <w:szCs w:val="18"/>
                <w:lang w:val="es-ES_tradnl"/>
              </w:rPr>
            </w:pPr>
            <w:r>
              <w:rPr>
                <w:rFonts w:ascii="Times New Roman" w:hAnsi="Times New Roman"/>
                <w:sz w:val="18"/>
                <w:szCs w:val="18"/>
                <w:lang w:val="es-ES_tradnl"/>
              </w:rPr>
              <w:t xml:space="preserve">67 </w:t>
            </w:r>
            <w:r w:rsidRPr="004B595C">
              <w:rPr>
                <w:rFonts w:ascii="Times New Roman" w:hAnsi="Times New Roman"/>
                <w:sz w:val="18"/>
                <w:szCs w:val="18"/>
                <w:lang w:val="es-ES_tradnl"/>
              </w:rPr>
              <w:t>000</w:t>
            </w:r>
          </w:p>
        </w:tc>
      </w:tr>
      <w:tr w:rsidR="00BA10AB" w:rsidRPr="005A6B9B" w14:paraId="285C6598" w14:textId="77777777" w:rsidTr="005A6B9B">
        <w:tc>
          <w:tcPr>
            <w:tcW w:w="1277" w:type="dxa"/>
            <w:tcBorders>
              <w:bottom w:val="single" w:sz="4" w:space="0" w:color="auto"/>
            </w:tcBorders>
            <w:shd w:val="clear" w:color="auto" w:fill="auto"/>
          </w:tcPr>
          <w:p w14:paraId="1AF9318E" w14:textId="77777777" w:rsidR="00BA10AB" w:rsidRPr="004B595C" w:rsidRDefault="00BA10AB"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sz w:val="18"/>
                <w:szCs w:val="18"/>
                <w:lang w:val="es-ES_tradnl" w:eastAsia="zh-CN"/>
              </w:rPr>
            </w:pPr>
          </w:p>
        </w:tc>
        <w:tc>
          <w:tcPr>
            <w:tcW w:w="2834" w:type="dxa"/>
            <w:tcBorders>
              <w:bottom w:val="single" w:sz="4" w:space="0" w:color="auto"/>
            </w:tcBorders>
            <w:shd w:val="clear" w:color="auto" w:fill="auto"/>
          </w:tcPr>
          <w:p w14:paraId="64EEDA6B" w14:textId="77777777" w:rsidR="00BA10AB" w:rsidRPr="00A27D28" w:rsidRDefault="00BA10AB" w:rsidP="0027136B">
            <w:pPr>
              <w:tabs>
                <w:tab w:val="left" w:pos="1247"/>
                <w:tab w:val="left" w:pos="1814"/>
                <w:tab w:val="left" w:pos="2381"/>
                <w:tab w:val="left" w:pos="2948"/>
                <w:tab w:val="left" w:pos="3515"/>
              </w:tabs>
              <w:spacing w:before="40" w:after="40"/>
              <w:rPr>
                <w:rFonts w:ascii="Times New Roman" w:eastAsia="SimSun" w:hAnsi="Times New Roman"/>
                <w:b/>
                <w:i/>
                <w:sz w:val="18"/>
                <w:szCs w:val="18"/>
                <w:lang w:val="es-ES_tradnl"/>
              </w:rPr>
            </w:pPr>
            <w:r w:rsidRPr="00A27D28">
              <w:rPr>
                <w:rFonts w:ascii="Times New Roman" w:hAnsi="Times New Roman"/>
                <w:b/>
                <w:i/>
                <w:sz w:val="18"/>
                <w:szCs w:val="18"/>
                <w:lang w:val="es-ES_tradnl"/>
              </w:rPr>
              <w:t>Total año 4:</w:t>
            </w:r>
          </w:p>
        </w:tc>
        <w:tc>
          <w:tcPr>
            <w:tcW w:w="2977" w:type="dxa"/>
            <w:tcBorders>
              <w:bottom w:val="single" w:sz="4" w:space="0" w:color="auto"/>
            </w:tcBorders>
            <w:shd w:val="clear" w:color="auto" w:fill="auto"/>
          </w:tcPr>
          <w:p w14:paraId="3A3E1FCD" w14:textId="77777777" w:rsidR="00BA10AB" w:rsidRPr="00A27D28" w:rsidRDefault="00BA10AB" w:rsidP="000E4C66">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b/>
                <w:i/>
                <w:sz w:val="18"/>
                <w:szCs w:val="18"/>
                <w:lang w:val="es-ES_tradnl" w:eastAsia="zh-CN"/>
              </w:rPr>
            </w:pPr>
          </w:p>
        </w:tc>
        <w:tc>
          <w:tcPr>
            <w:tcW w:w="1417" w:type="dxa"/>
            <w:tcBorders>
              <w:bottom w:val="single" w:sz="4" w:space="0" w:color="auto"/>
            </w:tcBorders>
            <w:shd w:val="clear" w:color="auto" w:fill="auto"/>
          </w:tcPr>
          <w:p w14:paraId="7C56C8A5" w14:textId="09E2AF37" w:rsidR="00BA10AB" w:rsidRPr="00A27D28" w:rsidRDefault="00BA10AB" w:rsidP="00A12487">
            <w:pPr>
              <w:tabs>
                <w:tab w:val="left" w:pos="1247"/>
                <w:tab w:val="left" w:pos="1814"/>
                <w:tab w:val="left" w:pos="2381"/>
                <w:tab w:val="left" w:pos="2948"/>
                <w:tab w:val="left" w:pos="3515"/>
              </w:tabs>
              <w:spacing w:before="40" w:after="40"/>
              <w:jc w:val="right"/>
              <w:rPr>
                <w:rFonts w:ascii="Times New Roman" w:eastAsia="SimSun" w:hAnsi="Times New Roman"/>
                <w:b/>
                <w:i/>
                <w:sz w:val="18"/>
                <w:szCs w:val="18"/>
                <w:lang w:val="es-ES_tradnl"/>
              </w:rPr>
            </w:pPr>
            <w:r>
              <w:rPr>
                <w:rFonts w:ascii="Times New Roman" w:hAnsi="Times New Roman"/>
                <w:b/>
                <w:i/>
                <w:sz w:val="18"/>
                <w:szCs w:val="18"/>
                <w:lang w:val="es-ES_tradnl"/>
              </w:rPr>
              <w:t xml:space="preserve">108 </w:t>
            </w:r>
            <w:r w:rsidRPr="00A27D28">
              <w:rPr>
                <w:rFonts w:ascii="Times New Roman" w:hAnsi="Times New Roman"/>
                <w:b/>
                <w:i/>
                <w:sz w:val="18"/>
                <w:szCs w:val="18"/>
                <w:lang w:val="es-ES_tradnl"/>
              </w:rPr>
              <w:t>250</w:t>
            </w:r>
          </w:p>
        </w:tc>
      </w:tr>
      <w:tr w:rsidR="00BA10AB" w:rsidRPr="005A6B9B" w14:paraId="361FBA45" w14:textId="77777777" w:rsidTr="005A6B9B">
        <w:tc>
          <w:tcPr>
            <w:tcW w:w="1277" w:type="dxa"/>
            <w:tcBorders>
              <w:top w:val="single" w:sz="4" w:space="0" w:color="auto"/>
              <w:bottom w:val="single" w:sz="12" w:space="0" w:color="auto"/>
            </w:tcBorders>
            <w:shd w:val="clear" w:color="auto" w:fill="auto"/>
          </w:tcPr>
          <w:p w14:paraId="7BB2313C" w14:textId="77777777" w:rsidR="00BA10AB" w:rsidRPr="000B4FCB" w:rsidRDefault="00BA10AB" w:rsidP="0027136B">
            <w:pPr>
              <w:tabs>
                <w:tab w:val="left" w:pos="1247"/>
                <w:tab w:val="left" w:pos="1814"/>
                <w:tab w:val="left" w:pos="2381"/>
                <w:tab w:val="left" w:pos="2948"/>
                <w:tab w:val="left" w:pos="3515"/>
              </w:tabs>
              <w:spacing w:before="40" w:after="40"/>
              <w:rPr>
                <w:rFonts w:ascii="Times New Roman" w:eastAsia="SimSun" w:hAnsi="Times New Roman"/>
                <w:b/>
                <w:sz w:val="18"/>
                <w:szCs w:val="18"/>
                <w:lang w:val="es-ES_tradnl"/>
              </w:rPr>
            </w:pPr>
            <w:r w:rsidRPr="000B4FCB">
              <w:rPr>
                <w:rFonts w:ascii="Times New Roman" w:hAnsi="Times New Roman"/>
                <w:b/>
                <w:sz w:val="18"/>
                <w:szCs w:val="18"/>
                <w:lang w:val="es-ES_tradnl"/>
              </w:rPr>
              <w:t>Total</w:t>
            </w:r>
          </w:p>
        </w:tc>
        <w:tc>
          <w:tcPr>
            <w:tcW w:w="2834" w:type="dxa"/>
            <w:tcBorders>
              <w:top w:val="single" w:sz="4" w:space="0" w:color="auto"/>
              <w:bottom w:val="single" w:sz="12" w:space="0" w:color="auto"/>
            </w:tcBorders>
            <w:shd w:val="clear" w:color="auto" w:fill="auto"/>
          </w:tcPr>
          <w:p w14:paraId="7E17D3C3" w14:textId="77777777" w:rsidR="00BA10AB" w:rsidRPr="000B4FCB" w:rsidRDefault="00BA10AB" w:rsidP="0027136B">
            <w:pPr>
              <w:keepNext/>
              <w:keepLines/>
              <w:tabs>
                <w:tab w:val="left" w:pos="1247"/>
                <w:tab w:val="left" w:pos="1814"/>
                <w:tab w:val="left" w:pos="2381"/>
                <w:tab w:val="left" w:pos="2948"/>
                <w:tab w:val="left" w:pos="3515"/>
                <w:tab w:val="left" w:pos="4082"/>
              </w:tabs>
              <w:suppressAutoHyphens/>
              <w:spacing w:before="40" w:after="40"/>
              <w:ind w:left="1247"/>
              <w:contextualSpacing/>
              <w:rPr>
                <w:rFonts w:ascii="Times New Roman" w:eastAsia="SimSun" w:hAnsi="Times New Roman"/>
                <w:b/>
                <w:sz w:val="18"/>
                <w:szCs w:val="18"/>
                <w:lang w:val="es-ES_tradnl" w:eastAsia="zh-CN"/>
              </w:rPr>
            </w:pPr>
          </w:p>
        </w:tc>
        <w:tc>
          <w:tcPr>
            <w:tcW w:w="2977" w:type="dxa"/>
            <w:tcBorders>
              <w:top w:val="single" w:sz="4" w:space="0" w:color="auto"/>
              <w:bottom w:val="single" w:sz="12" w:space="0" w:color="auto"/>
            </w:tcBorders>
            <w:shd w:val="clear" w:color="auto" w:fill="auto"/>
          </w:tcPr>
          <w:p w14:paraId="7323E18A" w14:textId="77777777" w:rsidR="00BA10AB" w:rsidRPr="000B4FCB" w:rsidRDefault="00BA10AB" w:rsidP="000E4C66">
            <w:pPr>
              <w:keepNext/>
              <w:keepLines/>
              <w:tabs>
                <w:tab w:val="left" w:pos="1247"/>
                <w:tab w:val="left" w:pos="1814"/>
                <w:tab w:val="left" w:pos="2381"/>
                <w:tab w:val="left" w:pos="2948"/>
                <w:tab w:val="left" w:pos="3515"/>
                <w:tab w:val="left" w:pos="4082"/>
              </w:tabs>
              <w:suppressAutoHyphens/>
              <w:spacing w:before="40" w:after="40"/>
              <w:ind w:left="1247"/>
              <w:rPr>
                <w:rFonts w:ascii="Times New Roman" w:eastAsia="SimSun" w:hAnsi="Times New Roman"/>
                <w:b/>
                <w:sz w:val="18"/>
                <w:szCs w:val="18"/>
                <w:lang w:val="es-ES_tradnl" w:eastAsia="zh-CN"/>
              </w:rPr>
            </w:pPr>
          </w:p>
        </w:tc>
        <w:tc>
          <w:tcPr>
            <w:tcW w:w="1417" w:type="dxa"/>
            <w:tcBorders>
              <w:top w:val="single" w:sz="4" w:space="0" w:color="auto"/>
              <w:bottom w:val="single" w:sz="12" w:space="0" w:color="auto"/>
            </w:tcBorders>
            <w:shd w:val="clear" w:color="auto" w:fill="auto"/>
          </w:tcPr>
          <w:p w14:paraId="42905528" w14:textId="1BFDC068" w:rsidR="00BA10AB" w:rsidRPr="000B4FCB" w:rsidRDefault="00BA10AB" w:rsidP="00A12487">
            <w:pPr>
              <w:tabs>
                <w:tab w:val="left" w:pos="1247"/>
                <w:tab w:val="left" w:pos="1814"/>
                <w:tab w:val="left" w:pos="2381"/>
                <w:tab w:val="left" w:pos="2948"/>
                <w:tab w:val="left" w:pos="3515"/>
              </w:tabs>
              <w:spacing w:before="40" w:after="40"/>
              <w:jc w:val="right"/>
              <w:rPr>
                <w:rFonts w:ascii="Times New Roman" w:eastAsia="SimSun" w:hAnsi="Times New Roman"/>
                <w:b/>
                <w:sz w:val="18"/>
                <w:szCs w:val="18"/>
                <w:lang w:val="es-ES_tradnl"/>
              </w:rPr>
            </w:pPr>
            <w:r>
              <w:rPr>
                <w:rFonts w:ascii="Times New Roman" w:hAnsi="Times New Roman"/>
                <w:b/>
                <w:sz w:val="18"/>
                <w:szCs w:val="18"/>
                <w:lang w:val="es-ES_tradnl"/>
              </w:rPr>
              <w:t xml:space="preserve">997 </w:t>
            </w:r>
            <w:r w:rsidRPr="000B4FCB">
              <w:rPr>
                <w:rFonts w:ascii="Times New Roman" w:hAnsi="Times New Roman"/>
                <w:b/>
                <w:sz w:val="18"/>
                <w:szCs w:val="18"/>
                <w:lang w:val="es-ES_tradnl"/>
              </w:rPr>
              <w:t>000</w:t>
            </w:r>
          </w:p>
        </w:tc>
      </w:tr>
    </w:tbl>
    <w:p w14:paraId="7A39C1A1" w14:textId="77777777" w:rsidR="00BD6F73" w:rsidRPr="00FC0839" w:rsidRDefault="00BD6F73" w:rsidP="00BD6F73">
      <w:pPr>
        <w:pStyle w:val="NormalPlain"/>
        <w:ind w:left="0"/>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333111" w:rsidRPr="005A6B9B" w14:paraId="069BA5A6" w14:textId="77777777" w:rsidTr="00D30A87">
        <w:trPr>
          <w:trHeight w:val="676"/>
        </w:trPr>
        <w:tc>
          <w:tcPr>
            <w:tcW w:w="2009" w:type="dxa"/>
          </w:tcPr>
          <w:p w14:paraId="14C63228" w14:textId="77777777" w:rsidR="00333111" w:rsidRPr="00FC0839" w:rsidRDefault="00333111" w:rsidP="00831132">
            <w:pPr>
              <w:pStyle w:val="NormalPlain"/>
              <w:spacing w:before="300"/>
              <w:ind w:left="0"/>
              <w:rPr>
                <w:b/>
                <w:lang w:val="es-ES_tradnl"/>
              </w:rPr>
            </w:pPr>
          </w:p>
        </w:tc>
        <w:tc>
          <w:tcPr>
            <w:tcW w:w="2009" w:type="dxa"/>
          </w:tcPr>
          <w:p w14:paraId="127ED4F8" w14:textId="77777777" w:rsidR="00333111" w:rsidRPr="00FC0839" w:rsidRDefault="00333111" w:rsidP="00831132">
            <w:pPr>
              <w:pStyle w:val="NormalPlain"/>
              <w:spacing w:before="300"/>
              <w:ind w:left="0"/>
              <w:rPr>
                <w:b/>
                <w:lang w:val="es-ES_tradnl"/>
              </w:rPr>
            </w:pPr>
          </w:p>
        </w:tc>
        <w:tc>
          <w:tcPr>
            <w:tcW w:w="2009" w:type="dxa"/>
            <w:tcBorders>
              <w:bottom w:val="single" w:sz="4" w:space="0" w:color="auto"/>
            </w:tcBorders>
          </w:tcPr>
          <w:p w14:paraId="26BCD68F" w14:textId="77777777" w:rsidR="00333111" w:rsidRPr="00FC0839" w:rsidRDefault="00333111" w:rsidP="00831132">
            <w:pPr>
              <w:pStyle w:val="NormalPlain"/>
              <w:spacing w:before="300"/>
              <w:ind w:left="0"/>
              <w:rPr>
                <w:b/>
                <w:lang w:val="es-ES_tradnl"/>
              </w:rPr>
            </w:pPr>
          </w:p>
        </w:tc>
        <w:tc>
          <w:tcPr>
            <w:tcW w:w="2009" w:type="dxa"/>
          </w:tcPr>
          <w:p w14:paraId="357FE2B9" w14:textId="77777777" w:rsidR="00333111" w:rsidRPr="00FC0839" w:rsidRDefault="00333111" w:rsidP="00831132">
            <w:pPr>
              <w:pStyle w:val="NormalPlain"/>
              <w:spacing w:before="300"/>
              <w:ind w:left="0"/>
              <w:rPr>
                <w:b/>
                <w:lang w:val="es-ES_tradnl"/>
              </w:rPr>
            </w:pPr>
          </w:p>
        </w:tc>
        <w:tc>
          <w:tcPr>
            <w:tcW w:w="2010" w:type="dxa"/>
          </w:tcPr>
          <w:p w14:paraId="0629A495" w14:textId="77777777" w:rsidR="00333111" w:rsidRPr="00FC0839" w:rsidRDefault="00333111" w:rsidP="00831132">
            <w:pPr>
              <w:pStyle w:val="NormalPlain"/>
              <w:spacing w:before="300"/>
              <w:ind w:left="0"/>
              <w:rPr>
                <w:b/>
                <w:lang w:val="es-ES_tradnl"/>
              </w:rPr>
            </w:pPr>
          </w:p>
        </w:tc>
      </w:tr>
    </w:tbl>
    <w:p w14:paraId="1C2E89A7" w14:textId="77777777" w:rsidR="00333111" w:rsidRPr="00FC0839" w:rsidRDefault="00333111" w:rsidP="00BD6F73">
      <w:pPr>
        <w:pStyle w:val="NormalPlain"/>
        <w:ind w:left="0"/>
        <w:rPr>
          <w:lang w:val="es-ES_tradnl"/>
        </w:rPr>
      </w:pPr>
    </w:p>
    <w:sectPr w:rsidR="00333111" w:rsidRPr="00FC0839" w:rsidSect="00E86B8D">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7" w:h="16839"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62264" w15:done="0"/>
  <w15:commentEx w15:paraId="34084E29" w15:done="0"/>
  <w15:commentEx w15:paraId="68409A69" w15:done="0"/>
  <w15:commentEx w15:paraId="5F75DCCC" w15:done="0"/>
  <w15:commentEx w15:paraId="381A4B39" w15:done="0"/>
  <w15:commentEx w15:paraId="2865E678" w15:done="0"/>
  <w15:commentEx w15:paraId="6847587E" w15:done="0"/>
  <w15:commentEx w15:paraId="141ABDE1" w15:done="0"/>
  <w15:commentEx w15:paraId="60F32DFD" w15:done="0"/>
  <w15:commentEx w15:paraId="0F020884" w15:done="0"/>
  <w15:commentEx w15:paraId="41435172" w15:done="0"/>
  <w15:commentEx w15:paraId="4E985E80" w15:done="0"/>
  <w15:commentEx w15:paraId="5AF68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0A87" w14:textId="77777777" w:rsidR="005A6B9B" w:rsidRDefault="005A6B9B">
      <w:r>
        <w:separator/>
      </w:r>
    </w:p>
  </w:endnote>
  <w:endnote w:type="continuationSeparator" w:id="0">
    <w:p w14:paraId="57C4C256" w14:textId="77777777" w:rsidR="005A6B9B" w:rsidRDefault="005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Cs w:val="18"/>
      </w:rPr>
      <w:id w:val="-1631932756"/>
      <w:docPartObj>
        <w:docPartGallery w:val="Page Numbers (Bottom of Page)"/>
        <w:docPartUnique/>
      </w:docPartObj>
    </w:sdtPr>
    <w:sdtEndPr>
      <w:rPr>
        <w:noProof/>
      </w:rPr>
    </w:sdtEndPr>
    <w:sdtContent>
      <w:p w14:paraId="5AE99740" w14:textId="389DA800" w:rsidR="005A6B9B" w:rsidRPr="000B5220" w:rsidRDefault="005A6B9B" w:rsidP="000B5220">
        <w:pPr>
          <w:pStyle w:val="Footer"/>
          <w:rPr>
            <w:b/>
            <w:szCs w:val="18"/>
          </w:rPr>
        </w:pPr>
        <w:r w:rsidRPr="000B5220">
          <w:rPr>
            <w:rStyle w:val="Normal-poolChar"/>
            <w:rFonts w:ascii="Times New Roman" w:hAnsi="Times New Roman"/>
            <w:b/>
            <w:szCs w:val="18"/>
          </w:rPr>
          <w:fldChar w:fldCharType="begin"/>
        </w:r>
        <w:r w:rsidRPr="000B5220">
          <w:rPr>
            <w:rStyle w:val="Normal-poolChar"/>
            <w:rFonts w:ascii="Times New Roman" w:hAnsi="Times New Roman"/>
            <w:b/>
            <w:szCs w:val="18"/>
          </w:rPr>
          <w:instrText xml:space="preserve"> PAGE   \* MERGEFORMAT </w:instrText>
        </w:r>
        <w:r w:rsidRPr="000B5220">
          <w:rPr>
            <w:rStyle w:val="Normal-poolChar"/>
            <w:rFonts w:ascii="Times New Roman" w:hAnsi="Times New Roman"/>
            <w:b/>
            <w:szCs w:val="18"/>
          </w:rPr>
          <w:fldChar w:fldCharType="separate"/>
        </w:r>
        <w:r w:rsidR="00003C5F">
          <w:rPr>
            <w:rStyle w:val="Normal-poolChar"/>
            <w:rFonts w:ascii="Times New Roman" w:hAnsi="Times New Roman"/>
            <w:b/>
            <w:noProof/>
            <w:szCs w:val="18"/>
          </w:rPr>
          <w:t>2</w:t>
        </w:r>
        <w:r w:rsidRPr="000B5220">
          <w:rPr>
            <w:rStyle w:val="Normal-poolChar"/>
            <w:rFonts w:ascii="Times New Roman" w:hAnsi="Times New Roman"/>
            <w:b/>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20083"/>
      <w:docPartObj>
        <w:docPartGallery w:val="Page Numbers (Bottom of Page)"/>
        <w:docPartUnique/>
      </w:docPartObj>
    </w:sdtPr>
    <w:sdtEndPr>
      <w:rPr>
        <w:b/>
        <w:noProof/>
        <w:sz w:val="18"/>
        <w:szCs w:val="18"/>
      </w:rPr>
    </w:sdtEndPr>
    <w:sdtContent>
      <w:p w14:paraId="482765C6" w14:textId="0C6F4244" w:rsidR="005A6B9B" w:rsidRPr="000B5220" w:rsidRDefault="005A6B9B" w:rsidP="000B5220">
        <w:pPr>
          <w:pStyle w:val="Normal-pool"/>
          <w:jc w:val="right"/>
          <w:rPr>
            <w:b/>
            <w:sz w:val="18"/>
            <w:szCs w:val="18"/>
          </w:rPr>
        </w:pPr>
        <w:r w:rsidRPr="000B5220">
          <w:rPr>
            <w:b/>
            <w:sz w:val="18"/>
            <w:szCs w:val="18"/>
          </w:rPr>
          <w:fldChar w:fldCharType="begin"/>
        </w:r>
        <w:r w:rsidRPr="000B5220">
          <w:rPr>
            <w:b/>
            <w:sz w:val="18"/>
            <w:szCs w:val="18"/>
          </w:rPr>
          <w:instrText xml:space="preserve"> PAGE   \* MERGEFORMAT </w:instrText>
        </w:r>
        <w:r w:rsidRPr="000B5220">
          <w:rPr>
            <w:b/>
            <w:sz w:val="18"/>
            <w:szCs w:val="18"/>
          </w:rPr>
          <w:fldChar w:fldCharType="separate"/>
        </w:r>
        <w:r w:rsidR="00003C5F">
          <w:rPr>
            <w:b/>
            <w:noProof/>
            <w:sz w:val="18"/>
            <w:szCs w:val="18"/>
          </w:rPr>
          <w:t>3</w:t>
        </w:r>
        <w:r w:rsidRPr="000B5220">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162"/>
      <w:docPartObj>
        <w:docPartGallery w:val="Page Numbers (Bottom of Page)"/>
        <w:docPartUnique/>
      </w:docPartObj>
    </w:sdtPr>
    <w:sdtEndPr>
      <w:rPr>
        <w:noProof/>
      </w:rPr>
    </w:sdtEndPr>
    <w:sdtContent>
      <w:p w14:paraId="21FE8760" w14:textId="0A0B5721" w:rsidR="005A6B9B" w:rsidRPr="00AD1320" w:rsidRDefault="005A6B9B" w:rsidP="000B5220">
        <w:pPr>
          <w:pStyle w:val="Normal-pool"/>
        </w:pPr>
        <w:r>
          <w:rPr>
            <w:lang w:val="es-ES"/>
          </w:rPr>
          <w:t>K1612159</w:t>
        </w:r>
        <w:r>
          <w:rPr>
            <w:lang w:val="es-ES"/>
          </w:rPr>
          <w:tab/>
          <w:t>200117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32B3" w14:textId="77777777" w:rsidR="005A6B9B" w:rsidRPr="000B5220" w:rsidRDefault="005A6B9B" w:rsidP="00E346FA">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0B5220">
        <w:rPr>
          <w:sz w:val="18"/>
          <w:szCs w:val="18"/>
        </w:rPr>
        <w:separator/>
      </w:r>
    </w:p>
  </w:footnote>
  <w:footnote w:type="continuationSeparator" w:id="0">
    <w:p w14:paraId="6D752215" w14:textId="77777777" w:rsidR="005A6B9B" w:rsidRDefault="005A6B9B">
      <w:r>
        <w:continuationSeparator/>
      </w:r>
    </w:p>
  </w:footnote>
  <w:footnote w:id="1">
    <w:p w14:paraId="1F29A077" w14:textId="1E1B8E03" w:rsidR="005A6B9B" w:rsidRPr="004830DC" w:rsidRDefault="005A6B9B" w:rsidP="00E346FA">
      <w:pPr>
        <w:pStyle w:val="FootnoteText"/>
        <w:tabs>
          <w:tab w:val="clear" w:pos="1247"/>
          <w:tab w:val="clear" w:pos="1814"/>
          <w:tab w:val="clear" w:pos="2381"/>
          <w:tab w:val="clear" w:pos="2948"/>
          <w:tab w:val="clear" w:pos="3515"/>
          <w:tab w:val="clear" w:pos="4082"/>
          <w:tab w:val="left" w:pos="624"/>
        </w:tabs>
        <w:rPr>
          <w:szCs w:val="18"/>
        </w:rPr>
      </w:pPr>
      <w:r w:rsidRPr="003726C5">
        <w:rPr>
          <w:rStyle w:val="FootnoteReference"/>
          <w:sz w:val="18"/>
          <w:vertAlign w:val="baseline"/>
          <w:lang w:val="es-ES"/>
        </w:rPr>
        <w:footnoteRef/>
      </w:r>
      <w:r>
        <w:rPr>
          <w:lang w:val="es-ES"/>
        </w:rPr>
        <w:t xml:space="preserve"> IPBES/5/1/Rev.1.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E2A1" w14:textId="5CEB6651" w:rsidR="005A6B9B" w:rsidRPr="000B5220" w:rsidRDefault="005A6B9B">
    <w:pPr>
      <w:pStyle w:val="Header"/>
      <w:rPr>
        <w:szCs w:val="18"/>
      </w:rPr>
    </w:pPr>
    <w:r>
      <w:rPr>
        <w:rFonts w:ascii="Times New Roman" w:hAnsi="Times New Roman"/>
        <w:szCs w:val="18"/>
        <w:lang w:val="en-GB"/>
      </w:rPr>
      <w:t>IPBES/5/6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49C9" w14:textId="4DC1195A" w:rsidR="005A6B9B" w:rsidRPr="000B5220" w:rsidRDefault="005A6B9B" w:rsidP="000B5220">
    <w:pPr>
      <w:pStyle w:val="Header"/>
      <w:jc w:val="right"/>
      <w:rPr>
        <w:szCs w:val="18"/>
      </w:rPr>
    </w:pPr>
    <w:r>
      <w:rPr>
        <w:rFonts w:ascii="Times New Roman" w:hAnsi="Times New Roman"/>
        <w:szCs w:val="18"/>
        <w:lang w:val="en-GB"/>
      </w:rPr>
      <w:t>IPBES/5/6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3626" w14:textId="7A244802" w:rsidR="005A6B9B" w:rsidRPr="000B5220" w:rsidRDefault="005A6B9B" w:rsidP="000B522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26D0"/>
    <w:rsid w:val="00003C5F"/>
    <w:rsid w:val="00010869"/>
    <w:rsid w:val="000149E6"/>
    <w:rsid w:val="00021E01"/>
    <w:rsid w:val="000247B0"/>
    <w:rsid w:val="00026997"/>
    <w:rsid w:val="00033C5F"/>
    <w:rsid w:val="00033E0B"/>
    <w:rsid w:val="00035EDE"/>
    <w:rsid w:val="00035F48"/>
    <w:rsid w:val="000401D8"/>
    <w:rsid w:val="0004540A"/>
    <w:rsid w:val="000509B4"/>
    <w:rsid w:val="0006035B"/>
    <w:rsid w:val="00061444"/>
    <w:rsid w:val="0006430A"/>
    <w:rsid w:val="00071886"/>
    <w:rsid w:val="000742BC"/>
    <w:rsid w:val="00077367"/>
    <w:rsid w:val="00082A0C"/>
    <w:rsid w:val="00083504"/>
    <w:rsid w:val="000904EF"/>
    <w:rsid w:val="0009640C"/>
    <w:rsid w:val="000B22A2"/>
    <w:rsid w:val="000B4FCB"/>
    <w:rsid w:val="000B5220"/>
    <w:rsid w:val="000C2A52"/>
    <w:rsid w:val="000D33C0"/>
    <w:rsid w:val="000D6941"/>
    <w:rsid w:val="000E4C66"/>
    <w:rsid w:val="000F6B5C"/>
    <w:rsid w:val="001202E3"/>
    <w:rsid w:val="00123699"/>
    <w:rsid w:val="0013059D"/>
    <w:rsid w:val="00141A55"/>
    <w:rsid w:val="001446A3"/>
    <w:rsid w:val="00150F96"/>
    <w:rsid w:val="00155395"/>
    <w:rsid w:val="001565DC"/>
    <w:rsid w:val="00160D74"/>
    <w:rsid w:val="00167C67"/>
    <w:rsid w:val="00167D02"/>
    <w:rsid w:val="00181EC8"/>
    <w:rsid w:val="00184349"/>
    <w:rsid w:val="00190F6C"/>
    <w:rsid w:val="00195F33"/>
    <w:rsid w:val="001A5B35"/>
    <w:rsid w:val="001B1617"/>
    <w:rsid w:val="001B504B"/>
    <w:rsid w:val="001B72A4"/>
    <w:rsid w:val="001C66F0"/>
    <w:rsid w:val="001D3874"/>
    <w:rsid w:val="001D7E75"/>
    <w:rsid w:val="001E56D2"/>
    <w:rsid w:val="001E7D56"/>
    <w:rsid w:val="001F75DE"/>
    <w:rsid w:val="00200D58"/>
    <w:rsid w:val="002013BE"/>
    <w:rsid w:val="002063A4"/>
    <w:rsid w:val="0021145B"/>
    <w:rsid w:val="00211B03"/>
    <w:rsid w:val="00243D36"/>
    <w:rsid w:val="00247707"/>
    <w:rsid w:val="00251ADB"/>
    <w:rsid w:val="0026018E"/>
    <w:rsid w:val="00264593"/>
    <w:rsid w:val="0027136B"/>
    <w:rsid w:val="00285344"/>
    <w:rsid w:val="00286740"/>
    <w:rsid w:val="002929D8"/>
    <w:rsid w:val="002A0AED"/>
    <w:rsid w:val="002A237D"/>
    <w:rsid w:val="002A4C53"/>
    <w:rsid w:val="002A652B"/>
    <w:rsid w:val="002B0672"/>
    <w:rsid w:val="002B247F"/>
    <w:rsid w:val="002B7733"/>
    <w:rsid w:val="002C145D"/>
    <w:rsid w:val="002C2C3E"/>
    <w:rsid w:val="002C533E"/>
    <w:rsid w:val="002D027F"/>
    <w:rsid w:val="002D7A85"/>
    <w:rsid w:val="002D7B60"/>
    <w:rsid w:val="002E20AB"/>
    <w:rsid w:val="002E2C2B"/>
    <w:rsid w:val="002F4761"/>
    <w:rsid w:val="002F5C79"/>
    <w:rsid w:val="003019E2"/>
    <w:rsid w:val="003047C9"/>
    <w:rsid w:val="0031413F"/>
    <w:rsid w:val="003148BB"/>
    <w:rsid w:val="0031504B"/>
    <w:rsid w:val="00317976"/>
    <w:rsid w:val="00322F15"/>
    <w:rsid w:val="00333111"/>
    <w:rsid w:val="00334CD4"/>
    <w:rsid w:val="00336A8C"/>
    <w:rsid w:val="00354E40"/>
    <w:rsid w:val="00355EA9"/>
    <w:rsid w:val="003578DE"/>
    <w:rsid w:val="003726C5"/>
    <w:rsid w:val="00396257"/>
    <w:rsid w:val="00397EB8"/>
    <w:rsid w:val="003A4FD0"/>
    <w:rsid w:val="003A69D1"/>
    <w:rsid w:val="003A7705"/>
    <w:rsid w:val="003A77F1"/>
    <w:rsid w:val="003B1545"/>
    <w:rsid w:val="003B30F6"/>
    <w:rsid w:val="003C409D"/>
    <w:rsid w:val="003C5BA6"/>
    <w:rsid w:val="003D50CB"/>
    <w:rsid w:val="003F0E85"/>
    <w:rsid w:val="003F1D30"/>
    <w:rsid w:val="003F2C7A"/>
    <w:rsid w:val="003F7440"/>
    <w:rsid w:val="0041081A"/>
    <w:rsid w:val="00410C55"/>
    <w:rsid w:val="00416854"/>
    <w:rsid w:val="00417725"/>
    <w:rsid w:val="00436B6A"/>
    <w:rsid w:val="00437F26"/>
    <w:rsid w:val="00444097"/>
    <w:rsid w:val="00445487"/>
    <w:rsid w:val="00454769"/>
    <w:rsid w:val="00461A6E"/>
    <w:rsid w:val="00466991"/>
    <w:rsid w:val="0047064C"/>
    <w:rsid w:val="004830DC"/>
    <w:rsid w:val="004A050D"/>
    <w:rsid w:val="004A42E1"/>
    <w:rsid w:val="004B162C"/>
    <w:rsid w:val="004B595C"/>
    <w:rsid w:val="004C3DBE"/>
    <w:rsid w:val="004C5C96"/>
    <w:rsid w:val="004D06A4"/>
    <w:rsid w:val="004D0B3F"/>
    <w:rsid w:val="004F1A81"/>
    <w:rsid w:val="004F729F"/>
    <w:rsid w:val="00504DAA"/>
    <w:rsid w:val="00517861"/>
    <w:rsid w:val="00521825"/>
    <w:rsid w:val="005218D9"/>
    <w:rsid w:val="005251CC"/>
    <w:rsid w:val="00536186"/>
    <w:rsid w:val="00544CBB"/>
    <w:rsid w:val="0057315F"/>
    <w:rsid w:val="00576104"/>
    <w:rsid w:val="005834EC"/>
    <w:rsid w:val="005A6B9B"/>
    <w:rsid w:val="005C67C8"/>
    <w:rsid w:val="005D0249"/>
    <w:rsid w:val="005D6E8C"/>
    <w:rsid w:val="005F100C"/>
    <w:rsid w:val="005F68DA"/>
    <w:rsid w:val="00606059"/>
    <w:rsid w:val="0060773B"/>
    <w:rsid w:val="00611A56"/>
    <w:rsid w:val="00611FCB"/>
    <w:rsid w:val="006157B5"/>
    <w:rsid w:val="0062009F"/>
    <w:rsid w:val="00624347"/>
    <w:rsid w:val="00626FC6"/>
    <w:rsid w:val="006303B4"/>
    <w:rsid w:val="00633D3D"/>
    <w:rsid w:val="00641703"/>
    <w:rsid w:val="006431A6"/>
    <w:rsid w:val="00643A3F"/>
    <w:rsid w:val="006459F6"/>
    <w:rsid w:val="006501AD"/>
    <w:rsid w:val="00651BFA"/>
    <w:rsid w:val="00654475"/>
    <w:rsid w:val="006600AD"/>
    <w:rsid w:val="00665A4B"/>
    <w:rsid w:val="00671ADF"/>
    <w:rsid w:val="00692E2A"/>
    <w:rsid w:val="006A76F2"/>
    <w:rsid w:val="006D7EFB"/>
    <w:rsid w:val="006E6672"/>
    <w:rsid w:val="006E6722"/>
    <w:rsid w:val="007027B9"/>
    <w:rsid w:val="00714E08"/>
    <w:rsid w:val="00715E88"/>
    <w:rsid w:val="00734CAA"/>
    <w:rsid w:val="0075533C"/>
    <w:rsid w:val="00757581"/>
    <w:rsid w:val="007611A0"/>
    <w:rsid w:val="00796D3F"/>
    <w:rsid w:val="00797E9E"/>
    <w:rsid w:val="007A1683"/>
    <w:rsid w:val="007A5C12"/>
    <w:rsid w:val="007A7CB0"/>
    <w:rsid w:val="007B68A3"/>
    <w:rsid w:val="007C2541"/>
    <w:rsid w:val="007D66A8"/>
    <w:rsid w:val="007E003F"/>
    <w:rsid w:val="007F3540"/>
    <w:rsid w:val="007F6126"/>
    <w:rsid w:val="008034CE"/>
    <w:rsid w:val="008164F2"/>
    <w:rsid w:val="00821395"/>
    <w:rsid w:val="00830E26"/>
    <w:rsid w:val="00831132"/>
    <w:rsid w:val="00843576"/>
    <w:rsid w:val="00843B64"/>
    <w:rsid w:val="008478FC"/>
    <w:rsid w:val="008610E3"/>
    <w:rsid w:val="00867BFF"/>
    <w:rsid w:val="008829D3"/>
    <w:rsid w:val="008830F7"/>
    <w:rsid w:val="0088480A"/>
    <w:rsid w:val="0088690D"/>
    <w:rsid w:val="0088757A"/>
    <w:rsid w:val="00892E49"/>
    <w:rsid w:val="008957DD"/>
    <w:rsid w:val="00897D98"/>
    <w:rsid w:val="008A6DF2"/>
    <w:rsid w:val="008A7807"/>
    <w:rsid w:val="008B4CC9"/>
    <w:rsid w:val="008D5655"/>
    <w:rsid w:val="008D64A7"/>
    <w:rsid w:val="008D7C99"/>
    <w:rsid w:val="008E0FCB"/>
    <w:rsid w:val="008E56F2"/>
    <w:rsid w:val="00901DF8"/>
    <w:rsid w:val="009173B9"/>
    <w:rsid w:val="00920EC7"/>
    <w:rsid w:val="0092178C"/>
    <w:rsid w:val="00930B88"/>
    <w:rsid w:val="00940DCC"/>
    <w:rsid w:val="0094179A"/>
    <w:rsid w:val="009441A9"/>
    <w:rsid w:val="0094459E"/>
    <w:rsid w:val="00944DBC"/>
    <w:rsid w:val="0094617E"/>
    <w:rsid w:val="00950977"/>
    <w:rsid w:val="00950B6F"/>
    <w:rsid w:val="00951A7B"/>
    <w:rsid w:val="009527C6"/>
    <w:rsid w:val="009564A6"/>
    <w:rsid w:val="00964967"/>
    <w:rsid w:val="0096595F"/>
    <w:rsid w:val="00967621"/>
    <w:rsid w:val="00967E6A"/>
    <w:rsid w:val="00980F87"/>
    <w:rsid w:val="00984A20"/>
    <w:rsid w:val="00985ADF"/>
    <w:rsid w:val="009A04E2"/>
    <w:rsid w:val="009B35F6"/>
    <w:rsid w:val="009B4A0F"/>
    <w:rsid w:val="009C11D2"/>
    <w:rsid w:val="009C6C70"/>
    <w:rsid w:val="009D0B63"/>
    <w:rsid w:val="009E307E"/>
    <w:rsid w:val="009E78C3"/>
    <w:rsid w:val="009F3D34"/>
    <w:rsid w:val="00A07870"/>
    <w:rsid w:val="00A07F19"/>
    <w:rsid w:val="00A12487"/>
    <w:rsid w:val="00A1348D"/>
    <w:rsid w:val="00A232EE"/>
    <w:rsid w:val="00A27D28"/>
    <w:rsid w:val="00A4175F"/>
    <w:rsid w:val="00A44411"/>
    <w:rsid w:val="00A469FA"/>
    <w:rsid w:val="00A55B01"/>
    <w:rsid w:val="00A56B5B"/>
    <w:rsid w:val="00A603FF"/>
    <w:rsid w:val="00A657DD"/>
    <w:rsid w:val="00A666A6"/>
    <w:rsid w:val="00A675FD"/>
    <w:rsid w:val="00A72437"/>
    <w:rsid w:val="00A80611"/>
    <w:rsid w:val="00AA0C30"/>
    <w:rsid w:val="00AA1C27"/>
    <w:rsid w:val="00AB1FFB"/>
    <w:rsid w:val="00AB5340"/>
    <w:rsid w:val="00AC0A89"/>
    <w:rsid w:val="00AC7C96"/>
    <w:rsid w:val="00AD1320"/>
    <w:rsid w:val="00AE237D"/>
    <w:rsid w:val="00AE502A"/>
    <w:rsid w:val="00AF7C07"/>
    <w:rsid w:val="00B2116E"/>
    <w:rsid w:val="00B22C93"/>
    <w:rsid w:val="00B27589"/>
    <w:rsid w:val="00B405B7"/>
    <w:rsid w:val="00B50B38"/>
    <w:rsid w:val="00B52222"/>
    <w:rsid w:val="00B522BA"/>
    <w:rsid w:val="00B54FE7"/>
    <w:rsid w:val="00B57FCC"/>
    <w:rsid w:val="00B66901"/>
    <w:rsid w:val="00B71E6D"/>
    <w:rsid w:val="00B72070"/>
    <w:rsid w:val="00B779E1"/>
    <w:rsid w:val="00B8597A"/>
    <w:rsid w:val="00B91EE1"/>
    <w:rsid w:val="00BA0090"/>
    <w:rsid w:val="00BA10AB"/>
    <w:rsid w:val="00BA1A67"/>
    <w:rsid w:val="00BD6F73"/>
    <w:rsid w:val="00BE5B5F"/>
    <w:rsid w:val="00BF6F99"/>
    <w:rsid w:val="00C26F55"/>
    <w:rsid w:val="00C30C63"/>
    <w:rsid w:val="00C36B8B"/>
    <w:rsid w:val="00C415C1"/>
    <w:rsid w:val="00C47DBF"/>
    <w:rsid w:val="00C552FF"/>
    <w:rsid w:val="00C558DA"/>
    <w:rsid w:val="00C55AF3"/>
    <w:rsid w:val="00C576B7"/>
    <w:rsid w:val="00C70845"/>
    <w:rsid w:val="00C77353"/>
    <w:rsid w:val="00C84759"/>
    <w:rsid w:val="00C8789F"/>
    <w:rsid w:val="00CA15FC"/>
    <w:rsid w:val="00CA6C7F"/>
    <w:rsid w:val="00CB150D"/>
    <w:rsid w:val="00CC10A6"/>
    <w:rsid w:val="00CD5EB8"/>
    <w:rsid w:val="00CD7044"/>
    <w:rsid w:val="00CE08B9"/>
    <w:rsid w:val="00CE524C"/>
    <w:rsid w:val="00CF141F"/>
    <w:rsid w:val="00CF4777"/>
    <w:rsid w:val="00D067BB"/>
    <w:rsid w:val="00D1352A"/>
    <w:rsid w:val="00D169AF"/>
    <w:rsid w:val="00D25249"/>
    <w:rsid w:val="00D30591"/>
    <w:rsid w:val="00D30A87"/>
    <w:rsid w:val="00D31809"/>
    <w:rsid w:val="00D44172"/>
    <w:rsid w:val="00D57CDF"/>
    <w:rsid w:val="00D60C76"/>
    <w:rsid w:val="00D62C3C"/>
    <w:rsid w:val="00D62DAC"/>
    <w:rsid w:val="00D63625"/>
    <w:rsid w:val="00D63B8C"/>
    <w:rsid w:val="00D66D9B"/>
    <w:rsid w:val="00D739CC"/>
    <w:rsid w:val="00D8093D"/>
    <w:rsid w:val="00D8108C"/>
    <w:rsid w:val="00D842AE"/>
    <w:rsid w:val="00D86974"/>
    <w:rsid w:val="00D87566"/>
    <w:rsid w:val="00D9211C"/>
    <w:rsid w:val="00D92DE0"/>
    <w:rsid w:val="00D92FEF"/>
    <w:rsid w:val="00D93A0F"/>
    <w:rsid w:val="00DA1BCA"/>
    <w:rsid w:val="00DC2381"/>
    <w:rsid w:val="00DC45C7"/>
    <w:rsid w:val="00DC46FF"/>
    <w:rsid w:val="00DC5254"/>
    <w:rsid w:val="00DD1A4F"/>
    <w:rsid w:val="00DD2838"/>
    <w:rsid w:val="00DD3107"/>
    <w:rsid w:val="00DD7C2C"/>
    <w:rsid w:val="00DF05AB"/>
    <w:rsid w:val="00E06797"/>
    <w:rsid w:val="00E1265B"/>
    <w:rsid w:val="00E13B48"/>
    <w:rsid w:val="00E1404F"/>
    <w:rsid w:val="00E15666"/>
    <w:rsid w:val="00E21C83"/>
    <w:rsid w:val="00E24ADA"/>
    <w:rsid w:val="00E32F59"/>
    <w:rsid w:val="00E346FA"/>
    <w:rsid w:val="00E4188D"/>
    <w:rsid w:val="00E44A5A"/>
    <w:rsid w:val="00E46D9A"/>
    <w:rsid w:val="00E565FF"/>
    <w:rsid w:val="00E65388"/>
    <w:rsid w:val="00E85B7D"/>
    <w:rsid w:val="00E86B8D"/>
    <w:rsid w:val="00E9121B"/>
    <w:rsid w:val="00EA0AE2"/>
    <w:rsid w:val="00EA39E5"/>
    <w:rsid w:val="00EA5E72"/>
    <w:rsid w:val="00EB32C8"/>
    <w:rsid w:val="00EC5A46"/>
    <w:rsid w:val="00EC63E2"/>
    <w:rsid w:val="00EF22B3"/>
    <w:rsid w:val="00F03B69"/>
    <w:rsid w:val="00F07A50"/>
    <w:rsid w:val="00F113DA"/>
    <w:rsid w:val="00F24AB6"/>
    <w:rsid w:val="00F343AB"/>
    <w:rsid w:val="00F37DC8"/>
    <w:rsid w:val="00F439B3"/>
    <w:rsid w:val="00F60DF3"/>
    <w:rsid w:val="00F61F29"/>
    <w:rsid w:val="00F650C3"/>
    <w:rsid w:val="00F65D85"/>
    <w:rsid w:val="00F8091E"/>
    <w:rsid w:val="00F8615C"/>
    <w:rsid w:val="00F94214"/>
    <w:rsid w:val="00F969E5"/>
    <w:rsid w:val="00FA3208"/>
    <w:rsid w:val="00FA5BA4"/>
    <w:rsid w:val="00FA6BB0"/>
    <w:rsid w:val="00FC0839"/>
    <w:rsid w:val="00FD5860"/>
    <w:rsid w:val="00FD6314"/>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84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834EC"/>
    <w:rPr>
      <w:sz w:val="16"/>
      <w:szCs w:val="16"/>
    </w:rPr>
  </w:style>
  <w:style w:type="paragraph" w:styleId="CommentText">
    <w:name w:val="annotation text"/>
    <w:basedOn w:val="Normal"/>
    <w:link w:val="CommentTextChar"/>
    <w:semiHidden/>
    <w:unhideWhenUsed/>
    <w:rsid w:val="005834EC"/>
    <w:pPr>
      <w:spacing w:line="240" w:lineRule="auto"/>
    </w:pPr>
    <w:rPr>
      <w:sz w:val="20"/>
      <w:szCs w:val="20"/>
    </w:rPr>
  </w:style>
  <w:style w:type="character" w:customStyle="1" w:styleId="CommentTextChar">
    <w:name w:val="Comment Text Char"/>
    <w:basedOn w:val="DefaultParagraphFont"/>
    <w:link w:val="CommentText"/>
    <w:semiHidden/>
    <w:rsid w:val="005834EC"/>
    <w:rPr>
      <w:rFonts w:ascii="Calibri" w:eastAsia="MS Mincho" w:hAnsi="Calibri"/>
    </w:rPr>
  </w:style>
  <w:style w:type="paragraph" w:styleId="CommentSubject">
    <w:name w:val="annotation subject"/>
    <w:basedOn w:val="CommentText"/>
    <w:next w:val="CommentText"/>
    <w:link w:val="CommentSubjectChar"/>
    <w:semiHidden/>
    <w:unhideWhenUsed/>
    <w:rsid w:val="005834EC"/>
    <w:rPr>
      <w:b/>
      <w:bCs/>
    </w:rPr>
  </w:style>
  <w:style w:type="character" w:customStyle="1" w:styleId="CommentSubjectChar">
    <w:name w:val="Comment Subject Char"/>
    <w:basedOn w:val="CommentTextChar"/>
    <w:link w:val="CommentSubject"/>
    <w:semiHidden/>
    <w:rsid w:val="005834EC"/>
    <w:rPr>
      <w:rFonts w:ascii="Calibri" w:eastAsia="MS Mincho" w:hAnsi="Calibri"/>
      <w:b/>
      <w:bCs/>
    </w:rPr>
  </w:style>
  <w:style w:type="paragraph" w:styleId="Revision">
    <w:name w:val="Revision"/>
    <w:hidden/>
    <w:uiPriority w:val="99"/>
    <w:semiHidden/>
    <w:rsid w:val="009B35F6"/>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834EC"/>
    <w:rPr>
      <w:sz w:val="16"/>
      <w:szCs w:val="16"/>
    </w:rPr>
  </w:style>
  <w:style w:type="paragraph" w:styleId="CommentText">
    <w:name w:val="annotation text"/>
    <w:basedOn w:val="Normal"/>
    <w:link w:val="CommentTextChar"/>
    <w:semiHidden/>
    <w:unhideWhenUsed/>
    <w:rsid w:val="005834EC"/>
    <w:pPr>
      <w:spacing w:line="240" w:lineRule="auto"/>
    </w:pPr>
    <w:rPr>
      <w:sz w:val="20"/>
      <w:szCs w:val="20"/>
    </w:rPr>
  </w:style>
  <w:style w:type="character" w:customStyle="1" w:styleId="CommentTextChar">
    <w:name w:val="Comment Text Char"/>
    <w:basedOn w:val="DefaultParagraphFont"/>
    <w:link w:val="CommentText"/>
    <w:semiHidden/>
    <w:rsid w:val="005834EC"/>
    <w:rPr>
      <w:rFonts w:ascii="Calibri" w:eastAsia="MS Mincho" w:hAnsi="Calibri"/>
    </w:rPr>
  </w:style>
  <w:style w:type="paragraph" w:styleId="CommentSubject">
    <w:name w:val="annotation subject"/>
    <w:basedOn w:val="CommentText"/>
    <w:next w:val="CommentText"/>
    <w:link w:val="CommentSubjectChar"/>
    <w:semiHidden/>
    <w:unhideWhenUsed/>
    <w:rsid w:val="005834EC"/>
    <w:rPr>
      <w:b/>
      <w:bCs/>
    </w:rPr>
  </w:style>
  <w:style w:type="character" w:customStyle="1" w:styleId="CommentSubjectChar">
    <w:name w:val="Comment Subject Char"/>
    <w:basedOn w:val="CommentTextChar"/>
    <w:link w:val="CommentSubject"/>
    <w:semiHidden/>
    <w:rsid w:val="005834EC"/>
    <w:rPr>
      <w:rFonts w:ascii="Calibri" w:eastAsia="MS Mincho" w:hAnsi="Calibri"/>
      <w:b/>
      <w:bCs/>
    </w:rPr>
  </w:style>
  <w:style w:type="paragraph" w:styleId="Revision">
    <w:name w:val="Revision"/>
    <w:hidden/>
    <w:uiPriority w:val="99"/>
    <w:semiHidden/>
    <w:rsid w:val="009B35F6"/>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D58E-6BBF-46D9-B899-A63AB6B5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2016-12-28T11:36:00Z</cp:lastPrinted>
  <dcterms:created xsi:type="dcterms:W3CDTF">2017-01-20T06:13:00Z</dcterms:created>
  <dcterms:modified xsi:type="dcterms:W3CDTF">2017-01-20T06:13:00Z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1/13/2017 10:36:51 AM</vt:lpwstr>
  </property>
  <property fmtid="{D5CDD505-2E9C-101B-9397-08002B2CF9AE}" pid="5" name="OriginalDocID">
    <vt:lpwstr>fb8c23a9-a9fd-496e-b38c-70e22c155769</vt:lpwstr>
  </property>
</Properties>
</file>