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C4" w:rsidRDefault="00F801C4" w:rsidP="00642381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left="-180" w:right="3402"/>
        <w:rPr>
          <w:rFonts w:ascii="Times New Roman" w:hAnsi="Times New Roman"/>
          <w:sz w:val="20"/>
          <w:lang w:val="es-ES_tradnl"/>
        </w:rPr>
      </w:pPr>
      <w:bookmarkStart w:id="0" w:name="_GoBack"/>
      <w:bookmarkEnd w:id="0"/>
    </w:p>
    <w:tbl>
      <w:tblPr>
        <w:tblW w:w="5164" w:type="pct"/>
        <w:jc w:val="right"/>
        <w:tblLayout w:type="fixed"/>
        <w:tblLook w:val="04A0" w:firstRow="1" w:lastRow="0" w:firstColumn="1" w:lastColumn="0" w:noHBand="0" w:noVBand="1"/>
      </w:tblPr>
      <w:tblGrid>
        <w:gridCol w:w="1629"/>
        <w:gridCol w:w="563"/>
        <w:gridCol w:w="423"/>
        <w:gridCol w:w="844"/>
        <w:gridCol w:w="845"/>
        <w:gridCol w:w="3231"/>
        <w:gridCol w:w="704"/>
        <w:gridCol w:w="1792"/>
      </w:tblGrid>
      <w:tr w:rsidR="00F801C4" w:rsidTr="00FE4B60">
        <w:trPr>
          <w:cantSplit/>
          <w:trHeight w:val="1247"/>
          <w:jc w:val="right"/>
        </w:trPr>
        <w:tc>
          <w:tcPr>
            <w:tcW w:w="1629" w:type="dxa"/>
            <w:hideMark/>
          </w:tcPr>
          <w:p w:rsidR="00F801C4" w:rsidRDefault="00F801C4">
            <w:pPr>
              <w:keepNext/>
              <w:tabs>
                <w:tab w:val="left" w:pos="1560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0" w:line="240" w:lineRule="auto"/>
              <w:ind w:left="-113" w:right="-113"/>
              <w:outlineLvl w:val="1"/>
              <w:rPr>
                <w:rFonts w:ascii="Times New Roman" w:eastAsia="Times New Roman" w:hAnsi="Times New Roman"/>
                <w:sz w:val="27"/>
                <w:szCs w:val="27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val="es-ES_tradnl"/>
              </w:rPr>
              <w:t>NACIONES UNIDAS</w:t>
            </w:r>
          </w:p>
        </w:tc>
        <w:tc>
          <w:tcPr>
            <w:tcW w:w="986" w:type="dxa"/>
            <w:gridSpan w:val="2"/>
            <w:vAlign w:val="center"/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E4B60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887859C" wp14:editId="521D6D64">
                  <wp:extent cx="556260" cy="556260"/>
                  <wp:effectExtent l="0" t="0" r="0" b="0"/>
                  <wp:docPr id="4" name="Picture 4" descr="Description: 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Align w:val="center"/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lang w:val="es-ES"/>
              </w:rPr>
              <w:object w:dxaOrig="88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>
                  <v:imagedata r:id="rId9" o:title="" croptop="5897f" cropbottom="39980f" cropleft="24092f" cropright="26812f"/>
                </v:shape>
                <o:OLEObject Type="Embed" ProgID="PBrush" ShapeID="_x0000_i1025" DrawAspect="Content" ObjectID="_1546676580" r:id="rId10"/>
              </w:object>
            </w:r>
          </w:p>
        </w:tc>
        <w:tc>
          <w:tcPr>
            <w:tcW w:w="845" w:type="dxa"/>
            <w:vAlign w:val="center"/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E4B60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F4C7F4A" wp14:editId="54BBFBE5">
                  <wp:extent cx="577850" cy="461010"/>
                  <wp:effectExtent l="0" t="0" r="0" b="0"/>
                  <wp:docPr id="3" name="Picture 3" descr="Description: 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Align w:val="center"/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spacing w:after="0" w:line="240" w:lineRule="auto"/>
              <w:ind w:left="-57" w:right="-142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/>
                <w:szCs w:val="20"/>
                <w:lang w:val="en-GB"/>
              </w:rPr>
              <w:object w:dxaOrig="3135" w:dyaOrig="600">
                <v:shape id="_x0000_i1026" type="#_x0000_t75" style="width:156.75pt;height:30pt" o:ole="">
                  <v:imagedata r:id="rId12" o:title=""/>
                </v:shape>
                <o:OLEObject Type="Embed" ProgID="PBrush" ShapeID="_x0000_i1026" DrawAspect="Content" ObjectID="_1546676581" r:id="rId13"/>
              </w:object>
            </w:r>
          </w:p>
        </w:tc>
        <w:tc>
          <w:tcPr>
            <w:tcW w:w="704" w:type="dxa"/>
            <w:vAlign w:val="center"/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154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ABB6681" wp14:editId="12585103">
                  <wp:extent cx="314237" cy="66568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37" cy="66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hideMark/>
          </w:tcPr>
          <w:p w:rsidR="00F801C4" w:rsidRDefault="00F801C4">
            <w:pPr>
              <w:keepNext/>
              <w:tabs>
                <w:tab w:val="left" w:pos="1814"/>
                <w:tab w:val="left" w:pos="2381"/>
                <w:tab w:val="left" w:pos="2948"/>
                <w:tab w:val="left" w:pos="3515"/>
              </w:tabs>
              <w:spacing w:before="40" w:after="0" w:line="240" w:lineRule="auto"/>
              <w:ind w:left="-151"/>
              <w:jc w:val="right"/>
              <w:outlineLvl w:val="1"/>
              <w:rPr>
                <w:rFonts w:ascii="Arial" w:eastAsia="Times New Roman" w:hAnsi="Arial"/>
                <w:b/>
                <w:sz w:val="6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64"/>
                <w:szCs w:val="64"/>
                <w:lang w:val="es-ES_tradnl"/>
              </w:rPr>
              <w:t>BES</w:t>
            </w:r>
          </w:p>
        </w:tc>
      </w:tr>
      <w:tr w:rsidR="00F801C4" w:rsidTr="00FE4B60">
        <w:trPr>
          <w:cantSplit/>
          <w:trHeight w:val="282"/>
          <w:jc w:val="right"/>
        </w:trPr>
        <w:tc>
          <w:tcPr>
            <w:tcW w:w="16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90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Univers" w:eastAsia="Times New Roman" w:hAnsi="Univers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s-ES_tradnl"/>
              </w:rPr>
              <w:t>IPBES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/5/1/Rev.1</w:t>
            </w:r>
          </w:p>
        </w:tc>
      </w:tr>
      <w:tr w:rsidR="00F801C4" w:rsidTr="00FE4B60">
        <w:trPr>
          <w:cantSplit/>
          <w:trHeight w:val="1433"/>
          <w:jc w:val="right"/>
        </w:trPr>
        <w:tc>
          <w:tcPr>
            <w:tcW w:w="2192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240" w:after="2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 w:rsidRPr="00FE4B60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2A730B8" wp14:editId="6304B438">
                  <wp:extent cx="1111885" cy="5118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36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Plataforma Intergubernamental Científico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noBreakHyphen/>
              <w:t>normativa sobre Diversidad Biológica y Servicios de los Ecosistemas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Distr. general</w:t>
            </w:r>
          </w:p>
          <w:p w:rsidR="00F801C4" w:rsidRDefault="00F801C4">
            <w:pPr>
              <w:widowControl w:val="0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6480"/>
                <w:tab w:val="left" w:pos="720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23 de diciembre de 2016</w:t>
            </w:r>
          </w:p>
          <w:p w:rsidR="00F801C4" w:rsidRDefault="00F801C4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Español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br/>
              <w:t>Original: inglés</w:t>
            </w:r>
          </w:p>
        </w:tc>
      </w:tr>
    </w:tbl>
    <w:p w:rsidR="00F801C4" w:rsidRDefault="00F801C4" w:rsidP="00F801C4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left="-180" w:right="3402"/>
        <w:rPr>
          <w:rFonts w:ascii="Times New Roman" w:eastAsia="Times New Roman" w:hAnsi="Times New Roman"/>
          <w:b/>
          <w:sz w:val="18"/>
          <w:szCs w:val="20"/>
          <w:lang w:val="es-ES_tradnl"/>
        </w:rPr>
      </w:pPr>
      <w:r>
        <w:rPr>
          <w:rFonts w:ascii="Times New Roman" w:hAnsi="Times New Roman"/>
          <w:b/>
          <w:sz w:val="20"/>
          <w:lang w:val="es-ES_tradnl"/>
        </w:rPr>
        <w:t>Plenario de la Plataforma Intergubernamental Científico-normativa</w:t>
      </w:r>
    </w:p>
    <w:p w:rsidR="00F801C4" w:rsidRDefault="00F801C4" w:rsidP="00F801C4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left="-180" w:right="3402"/>
        <w:rPr>
          <w:rFonts w:ascii="Times New Roman" w:eastAsia="Times New Roman" w:hAnsi="Times New Roman"/>
          <w:b/>
          <w:sz w:val="18"/>
          <w:szCs w:val="20"/>
          <w:lang w:val="es-ES_tradnl"/>
        </w:rPr>
      </w:pPr>
      <w:r>
        <w:rPr>
          <w:rFonts w:ascii="Times New Roman" w:hAnsi="Times New Roman"/>
          <w:b/>
          <w:sz w:val="20"/>
          <w:lang w:val="es-ES_tradnl"/>
        </w:rPr>
        <w:t>sobre Diversidad Biológica y Servicios de los Ecosistemas</w:t>
      </w:r>
    </w:p>
    <w:p w:rsidR="00F801C4" w:rsidRDefault="00F801C4" w:rsidP="00F801C4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left="-180" w:right="3402"/>
        <w:rPr>
          <w:rFonts w:ascii="Times New Roman" w:eastAsia="Times New Roman" w:hAnsi="Times New Roman"/>
          <w:b/>
          <w:sz w:val="20"/>
          <w:szCs w:val="20"/>
          <w:lang w:val="es-ES_tradnl"/>
        </w:rPr>
      </w:pPr>
      <w:r>
        <w:rPr>
          <w:rFonts w:ascii="Times New Roman" w:hAnsi="Times New Roman"/>
          <w:b/>
          <w:sz w:val="20"/>
          <w:lang w:val="es-ES_tradnl"/>
        </w:rPr>
        <w:t>Quinto período de sesiones</w:t>
      </w:r>
    </w:p>
    <w:p w:rsidR="00F801C4" w:rsidRDefault="00F801C4" w:rsidP="00F801C4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left="-180" w:right="3402"/>
        <w:rPr>
          <w:rFonts w:ascii="Times New Roman" w:eastAsia="Times New Roman" w:hAnsi="Times New Roman"/>
          <w:sz w:val="18"/>
          <w:szCs w:val="20"/>
          <w:lang w:val="es-ES_tradnl"/>
        </w:rPr>
      </w:pPr>
      <w:r>
        <w:rPr>
          <w:rFonts w:ascii="Times New Roman" w:hAnsi="Times New Roman"/>
          <w:sz w:val="20"/>
          <w:lang w:val="es-ES_tradnl"/>
        </w:rPr>
        <w:t>Bonn (Alemania), 7 a 10 de marzo de 2017</w:t>
      </w:r>
    </w:p>
    <w:p w:rsidR="007F3540" w:rsidRPr="0065797E" w:rsidRDefault="007F3540" w:rsidP="00A3715C">
      <w:pPr>
        <w:pStyle w:val="BB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Programa provisional</w:t>
      </w:r>
    </w:p>
    <w:p w:rsidR="007F3540" w:rsidRPr="0065797E" w:rsidRDefault="007F3540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Apertura del período de sesiones.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Cuestiones de organización:</w:t>
      </w:r>
    </w:p>
    <w:p w:rsidR="007F3540" w:rsidRPr="0065797E" w:rsidRDefault="007F3540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_tradnl"/>
        </w:rPr>
      </w:pPr>
      <w:r w:rsidRPr="0065797E">
        <w:rPr>
          <w:lang w:val="es-ES_tradnl"/>
        </w:rPr>
        <w:t>Aprobación del programa</w:t>
      </w:r>
      <w:r w:rsidR="00C94F7C">
        <w:rPr>
          <w:lang w:val="es-ES_tradnl"/>
        </w:rPr>
        <w:t xml:space="preserve"> y organización de los trabajos;</w:t>
      </w:r>
    </w:p>
    <w:p w:rsidR="007D4D05" w:rsidRDefault="007F3540" w:rsidP="0065797E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_tradnl"/>
        </w:rPr>
      </w:pPr>
      <w:r w:rsidRPr="0065797E">
        <w:rPr>
          <w:lang w:val="es-ES_tradnl"/>
        </w:rPr>
        <w:t xml:space="preserve">Estado de </w:t>
      </w:r>
      <w:r w:rsidR="00C94F7C">
        <w:rPr>
          <w:lang w:val="es-ES_tradnl"/>
        </w:rPr>
        <w:t>la composición de la Plataforma</w:t>
      </w:r>
      <w:r w:rsidR="00F801C4">
        <w:rPr>
          <w:lang w:val="es-ES_tradnl"/>
        </w:rPr>
        <w:t>;</w:t>
      </w:r>
    </w:p>
    <w:p w:rsidR="007F3540" w:rsidRPr="0065797E" w:rsidRDefault="007D4D05" w:rsidP="0065797E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_tradnl"/>
        </w:rPr>
      </w:pPr>
      <w:r>
        <w:rPr>
          <w:lang w:val="es-ES_tradnl"/>
        </w:rPr>
        <w:t>Elección de miembros suplentes del Grupo Multidisciplinario de Expertos</w:t>
      </w:r>
      <w:r w:rsidR="00C94F7C">
        <w:rPr>
          <w:lang w:val="es-ES_tradnl"/>
        </w:rPr>
        <w:t>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Admisión de observadores en el quinto período de sesiones del Plenario de la Plataforma.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Credenciales de los representantes.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Informe de la Secretaria Ejecutiva sobre la ejecución del programa de trabajo para 2014</w:t>
      </w:r>
      <w:r w:rsidR="00C94F7C">
        <w:rPr>
          <w:lang w:val="es-ES_tradnl"/>
        </w:rPr>
        <w:noBreakHyphen/>
      </w:r>
      <w:r w:rsidRPr="0065797E">
        <w:rPr>
          <w:lang w:val="es-ES_tradnl"/>
        </w:rPr>
        <w:t>2018.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Programa de trabajo de la Plataforma:</w:t>
      </w:r>
    </w:p>
    <w:p w:rsidR="007F3540" w:rsidRPr="0065797E" w:rsidRDefault="009E78C3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>Creación de capacidad;</w:t>
      </w:r>
    </w:p>
    <w:p w:rsidR="007F3540" w:rsidRPr="0065797E" w:rsidRDefault="009E78C3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>Sistemas de conocimientos indígenas y locales;</w:t>
      </w:r>
    </w:p>
    <w:p w:rsidR="007F3540" w:rsidRPr="0065797E" w:rsidRDefault="009E78C3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>Conocimientos y datos;</w:t>
      </w:r>
    </w:p>
    <w:p w:rsidR="007F3540" w:rsidRPr="0065797E" w:rsidRDefault="007F3540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 xml:space="preserve">Evaluación metodológica relativa a la conceptualización diversa de valores múltiples de la naturaleza y sus beneficios; </w:t>
      </w:r>
    </w:p>
    <w:p w:rsidR="007F3540" w:rsidRPr="0065797E" w:rsidRDefault="007F3540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 xml:space="preserve">Evaluación temática de las especies exóticas invasoras; </w:t>
      </w:r>
    </w:p>
    <w:p w:rsidR="007F3540" w:rsidRPr="0065797E" w:rsidRDefault="007F3540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>Evaluación temática del uso sostenible de la diversidad biológica;</w:t>
      </w:r>
    </w:p>
    <w:p w:rsidR="007F3540" w:rsidRPr="0065797E" w:rsidRDefault="007F3540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>Instrumentos y metodologías de apoyo normativo;</w:t>
      </w:r>
    </w:p>
    <w:p w:rsidR="007F3540" w:rsidRPr="0065797E" w:rsidRDefault="007F3540" w:rsidP="00C94F7C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65797E">
        <w:rPr>
          <w:lang w:val="es-ES_tradnl"/>
        </w:rPr>
        <w:t>Comunicaciones, participación de interesados y asociaciones estratégicas.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Disposiciones financieras y presupuestarias para la Plataforma:</w:t>
      </w:r>
    </w:p>
    <w:p w:rsidR="007F3540" w:rsidRPr="0065797E" w:rsidRDefault="007F3540" w:rsidP="00FA5BA4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_tradnl"/>
        </w:rPr>
      </w:pPr>
      <w:r w:rsidRPr="0065797E">
        <w:rPr>
          <w:lang w:val="es-ES_tradnl"/>
        </w:rPr>
        <w:t>Presupuesto y gastos para 2014</w:t>
      </w:r>
      <w:r w:rsidR="00C94F7C">
        <w:rPr>
          <w:lang w:val="es-ES_tradnl"/>
        </w:rPr>
        <w:noBreakHyphen/>
      </w:r>
      <w:r w:rsidRPr="0065797E">
        <w:rPr>
          <w:lang w:val="es-ES_tradnl"/>
        </w:rPr>
        <w:t>2018;</w:t>
      </w:r>
    </w:p>
    <w:p w:rsidR="007F3540" w:rsidRPr="0065797E" w:rsidRDefault="007F3540" w:rsidP="00FA5BA4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rPr>
          <w:lang w:val="es-ES_tradnl"/>
        </w:rPr>
      </w:pPr>
      <w:r w:rsidRPr="0065797E">
        <w:rPr>
          <w:lang w:val="es-ES_tradnl"/>
        </w:rPr>
        <w:t>Fondo Fiduciario.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Examen de la Plataforma.</w:t>
      </w:r>
    </w:p>
    <w:p w:rsidR="007D4D05" w:rsidRDefault="007D4D05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>
        <w:rPr>
          <w:lang w:val="es-ES_tradnl"/>
        </w:rPr>
        <w:t xml:space="preserve">Planificación de </w:t>
      </w:r>
      <w:r w:rsidRPr="0065797E">
        <w:rPr>
          <w:lang w:val="es-ES_tradnl"/>
        </w:rPr>
        <w:t>futuros períodos de sesiones del Plenario</w:t>
      </w:r>
      <w:r>
        <w:rPr>
          <w:lang w:val="es-ES_tradnl"/>
        </w:rPr>
        <w:t>:</w:t>
      </w:r>
    </w:p>
    <w:p w:rsidR="007D4D05" w:rsidRDefault="007D4D05" w:rsidP="00FE4B60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Programa provisional, o</w:t>
      </w:r>
      <w:r w:rsidR="007F3540" w:rsidRPr="0065797E">
        <w:rPr>
          <w:lang w:val="es-ES_tradnl"/>
        </w:rPr>
        <w:t>rganización de los trabajos</w:t>
      </w:r>
      <w:r>
        <w:rPr>
          <w:lang w:val="es-ES_tradnl"/>
        </w:rPr>
        <w:t xml:space="preserve">, </w:t>
      </w:r>
      <w:r w:rsidR="007F3540" w:rsidRPr="0065797E">
        <w:rPr>
          <w:lang w:val="es-ES_tradnl"/>
        </w:rPr>
        <w:t>fecha y lugar de celebración de</w:t>
      </w:r>
      <w:r w:rsidR="00F801C4">
        <w:rPr>
          <w:lang w:val="es-ES_tradnl"/>
        </w:rPr>
        <w:t xml:space="preserve"> </w:t>
      </w:r>
      <w:r>
        <w:rPr>
          <w:lang w:val="es-ES_tradnl"/>
        </w:rPr>
        <w:t>los períodos de sesiones sexto y séptimo del Plenario;</w:t>
      </w:r>
    </w:p>
    <w:p w:rsidR="007F3540" w:rsidRPr="0065797E" w:rsidRDefault="007D4D05" w:rsidP="00FE4B60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/>
        <w:rPr>
          <w:lang w:val="es-ES_tradnl"/>
        </w:rPr>
      </w:pPr>
      <w:r>
        <w:rPr>
          <w:lang w:val="es-ES_tradnl"/>
        </w:rPr>
        <w:t>b)</w:t>
      </w:r>
      <w:r w:rsidR="00642381">
        <w:rPr>
          <w:lang w:val="es-ES_tradnl"/>
        </w:rPr>
        <w:tab/>
      </w:r>
      <w:r>
        <w:rPr>
          <w:lang w:val="es-ES_tradnl"/>
        </w:rPr>
        <w:t>Proceso para la elaboración de un segundo programa de trabajo de la Plataforma</w:t>
      </w:r>
      <w:r w:rsidR="007F3540" w:rsidRPr="0065797E">
        <w:rPr>
          <w:lang w:val="es-ES_tradnl"/>
        </w:rPr>
        <w:t>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 w:rsidRPr="0065797E">
        <w:rPr>
          <w:lang w:val="es-ES_tradnl"/>
        </w:rPr>
        <w:lastRenderedPageBreak/>
        <w:t>Arreglos institucionales: arreglos cooperativos de asociación de las Naciones Unidas para la labor de la Plataforma y su Secretaría.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Adopción de las decisiones y aprobación del informe del período de sesiones.</w:t>
      </w:r>
    </w:p>
    <w:p w:rsidR="007F3540" w:rsidRPr="0065797E" w:rsidRDefault="007F3540" w:rsidP="00C94F7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65797E">
        <w:rPr>
          <w:lang w:val="es-ES_tradnl"/>
        </w:rPr>
        <w:t>Clausura del período de sesiones.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3"/>
        <w:gridCol w:w="1923"/>
      </w:tblGrid>
      <w:tr w:rsidR="007F3540" w:rsidRPr="00FE4B60" w:rsidTr="00FE4B60">
        <w:trPr>
          <w:trHeight w:val="516"/>
        </w:trPr>
        <w:tc>
          <w:tcPr>
            <w:tcW w:w="1921" w:type="dxa"/>
          </w:tcPr>
          <w:p w:rsidR="007F3540" w:rsidRPr="0065797E" w:rsidRDefault="007F3540" w:rsidP="003F1D30">
            <w:pPr>
              <w:pStyle w:val="Normal-pool"/>
              <w:spacing w:before="0" w:after="0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1921" w:type="dxa"/>
          </w:tcPr>
          <w:p w:rsidR="007F3540" w:rsidRPr="0065797E" w:rsidRDefault="007F3540" w:rsidP="003F1D30">
            <w:pPr>
              <w:pStyle w:val="Normal-pool"/>
              <w:spacing w:before="0" w:after="0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F3540" w:rsidRPr="0065797E" w:rsidRDefault="007F3540" w:rsidP="003F1D30">
            <w:pPr>
              <w:pStyle w:val="Normal-pool"/>
              <w:spacing w:before="0" w:after="0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1923" w:type="dxa"/>
          </w:tcPr>
          <w:p w:rsidR="007F3540" w:rsidRPr="0065797E" w:rsidRDefault="007F3540" w:rsidP="003F1D30">
            <w:pPr>
              <w:pStyle w:val="Normal-pool"/>
              <w:spacing w:before="0" w:after="0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1923" w:type="dxa"/>
          </w:tcPr>
          <w:p w:rsidR="007F3540" w:rsidRPr="0065797E" w:rsidRDefault="007F3540" w:rsidP="003F1D30">
            <w:pPr>
              <w:pStyle w:val="Normal-pool"/>
              <w:spacing w:before="0" w:after="0"/>
              <w:rPr>
                <w:sz w:val="10"/>
                <w:szCs w:val="10"/>
                <w:lang w:val="es-ES_tradnl"/>
              </w:rPr>
            </w:pPr>
          </w:p>
        </w:tc>
      </w:tr>
    </w:tbl>
    <w:p w:rsidR="003F1D30" w:rsidRPr="0065797E" w:rsidRDefault="003F1D30" w:rsidP="003F1D30">
      <w:pPr>
        <w:pStyle w:val="Normal-pool"/>
        <w:rPr>
          <w:sz w:val="6"/>
          <w:szCs w:val="6"/>
          <w:lang w:val="es-ES_tradnl"/>
        </w:rPr>
      </w:pPr>
    </w:p>
    <w:sectPr w:rsidR="003F1D30" w:rsidRPr="0065797E" w:rsidSect="006423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6D" w:rsidRDefault="00E93B6D">
      <w:r>
        <w:separator/>
      </w:r>
    </w:p>
  </w:endnote>
  <w:endnote w:type="continuationSeparator" w:id="0">
    <w:p w:rsidR="00E93B6D" w:rsidRDefault="00E9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C" w:rsidRDefault="00C94F7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2B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C" w:rsidRDefault="00C94F7C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C" w:rsidRPr="00FA5BA4" w:rsidRDefault="00C94F7C" w:rsidP="00FA5BA4">
    <w:pPr>
      <w:pStyle w:val="Footer"/>
      <w:tabs>
        <w:tab w:val="clear" w:pos="4320"/>
        <w:tab w:val="clear" w:pos="8640"/>
        <w:tab w:val="left" w:pos="624"/>
      </w:tabs>
      <w:spacing w:line="240" w:lineRule="auto"/>
      <w:rPr>
        <w:rFonts w:ascii="Times New Roman" w:hAnsi="Times New Roman"/>
        <w:sz w:val="20"/>
        <w:szCs w:val="20"/>
      </w:rPr>
    </w:pPr>
    <w:r w:rsidRPr="00FA5BA4">
      <w:rPr>
        <w:rFonts w:ascii="Times New Roman" w:hAnsi="Times New Roman"/>
        <w:sz w:val="20"/>
        <w:szCs w:val="20"/>
      </w:rPr>
      <w:t>K16</w:t>
    </w:r>
    <w:r w:rsidR="00642381">
      <w:rPr>
        <w:rFonts w:ascii="Times New Roman" w:hAnsi="Times New Roman"/>
        <w:sz w:val="20"/>
        <w:szCs w:val="20"/>
      </w:rPr>
      <w:t>12652</w:t>
    </w:r>
    <w:r>
      <w:rPr>
        <w:rFonts w:ascii="Times New Roman" w:hAnsi="Times New Roman"/>
        <w:sz w:val="20"/>
        <w:szCs w:val="20"/>
      </w:rPr>
      <w:tab/>
    </w:r>
    <w:r w:rsidR="000C7D6B">
      <w:rPr>
        <w:rFonts w:ascii="Times New Roman" w:hAnsi="Times New Roman"/>
        <w:sz w:val="20"/>
        <w:szCs w:val="20"/>
      </w:rPr>
      <w:t>19</w:t>
    </w:r>
    <w:r w:rsidR="00642381">
      <w:rPr>
        <w:rFonts w:ascii="Times New Roman" w:hAnsi="Times New Roman"/>
        <w:sz w:val="20"/>
        <w:szCs w:val="20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6D" w:rsidRDefault="00E93B6D" w:rsidP="00D92DE0">
      <w:pPr>
        <w:ind w:left="624"/>
      </w:pPr>
      <w:r>
        <w:separator/>
      </w:r>
    </w:p>
  </w:footnote>
  <w:footnote w:type="continuationSeparator" w:id="0">
    <w:p w:rsidR="00E93B6D" w:rsidRDefault="00E9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C" w:rsidRPr="007F3540" w:rsidRDefault="00C94F7C" w:rsidP="007F3540">
    <w:pPr>
      <w:pStyle w:val="Header"/>
      <w:rPr>
        <w:szCs w:val="18"/>
      </w:rPr>
    </w:pPr>
    <w:r w:rsidRPr="007F3540">
      <w:rPr>
        <w:rFonts w:ascii="Times New Roman" w:hAnsi="Times New Roman"/>
        <w:szCs w:val="18"/>
        <w:lang w:val="en-GB"/>
      </w:rPr>
      <w:t>IPBES/5/1</w:t>
    </w:r>
    <w:r w:rsidR="00642381">
      <w:rPr>
        <w:rFonts w:ascii="Times New Roman" w:hAnsi="Times New Roman"/>
        <w:szCs w:val="18"/>
        <w:lang w:val="en-GB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C" w:rsidRDefault="00E93B6D" w:rsidP="00035EDE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3832" o:spid="_x0000_s2054" type="#_x0000_t136" style="position:absolute;left:0;text-align:left;margin-left:0;margin-top:0;width:602.5pt;height:66.9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 tanslation"/>
          <w10:wrap anchorx="margin" anchory="margin"/>
        </v:shape>
      </w:pict>
    </w:r>
    <w:r w:rsidR="00C94F7C">
      <w:t>UNON/DCS/ELU/TEMPLATE.1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81" w:rsidRDefault="00642381" w:rsidP="0064238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8245B2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0"/>
    <w:rsid w:val="000149E6"/>
    <w:rsid w:val="000247B0"/>
    <w:rsid w:val="00026997"/>
    <w:rsid w:val="00033E0B"/>
    <w:rsid w:val="00035EDE"/>
    <w:rsid w:val="000509B4"/>
    <w:rsid w:val="0006035B"/>
    <w:rsid w:val="00071886"/>
    <w:rsid w:val="000742BC"/>
    <w:rsid w:val="00082A0C"/>
    <w:rsid w:val="00083504"/>
    <w:rsid w:val="0009640C"/>
    <w:rsid w:val="000B22A2"/>
    <w:rsid w:val="000C2A52"/>
    <w:rsid w:val="000C7D6B"/>
    <w:rsid w:val="000D33C0"/>
    <w:rsid w:val="000D6941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6018E"/>
    <w:rsid w:val="00286740"/>
    <w:rsid w:val="002929D8"/>
    <w:rsid w:val="002A04EA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1413F"/>
    <w:rsid w:val="003148BB"/>
    <w:rsid w:val="00317976"/>
    <w:rsid w:val="00351834"/>
    <w:rsid w:val="00355EA9"/>
    <w:rsid w:val="003578DE"/>
    <w:rsid w:val="00390D03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3F1D30"/>
    <w:rsid w:val="00410C55"/>
    <w:rsid w:val="00416854"/>
    <w:rsid w:val="00417725"/>
    <w:rsid w:val="00420605"/>
    <w:rsid w:val="00437F26"/>
    <w:rsid w:val="00444097"/>
    <w:rsid w:val="00445487"/>
    <w:rsid w:val="00454769"/>
    <w:rsid w:val="00466991"/>
    <w:rsid w:val="0047064C"/>
    <w:rsid w:val="004A42E1"/>
    <w:rsid w:val="004B162C"/>
    <w:rsid w:val="004C3DBE"/>
    <w:rsid w:val="004C5C96"/>
    <w:rsid w:val="004D06A4"/>
    <w:rsid w:val="004F1A81"/>
    <w:rsid w:val="005218D9"/>
    <w:rsid w:val="00536186"/>
    <w:rsid w:val="00544CBB"/>
    <w:rsid w:val="0057315F"/>
    <w:rsid w:val="00576104"/>
    <w:rsid w:val="005C67C8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2381"/>
    <w:rsid w:val="006431A6"/>
    <w:rsid w:val="006459F6"/>
    <w:rsid w:val="006501AD"/>
    <w:rsid w:val="00651BFA"/>
    <w:rsid w:val="00654475"/>
    <w:rsid w:val="0065797E"/>
    <w:rsid w:val="00665A4B"/>
    <w:rsid w:val="00692E2A"/>
    <w:rsid w:val="006A76F2"/>
    <w:rsid w:val="006D7EFB"/>
    <w:rsid w:val="006E6672"/>
    <w:rsid w:val="006E6722"/>
    <w:rsid w:val="007027B9"/>
    <w:rsid w:val="00715E88"/>
    <w:rsid w:val="00734CAA"/>
    <w:rsid w:val="0075533C"/>
    <w:rsid w:val="00757581"/>
    <w:rsid w:val="007611A0"/>
    <w:rsid w:val="007861D9"/>
    <w:rsid w:val="00796D3F"/>
    <w:rsid w:val="007A1683"/>
    <w:rsid w:val="007A5C12"/>
    <w:rsid w:val="007A7CB0"/>
    <w:rsid w:val="007B68A3"/>
    <w:rsid w:val="007C2541"/>
    <w:rsid w:val="007D4D05"/>
    <w:rsid w:val="007D66A8"/>
    <w:rsid w:val="007E003F"/>
    <w:rsid w:val="007F3540"/>
    <w:rsid w:val="008164F2"/>
    <w:rsid w:val="0082139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4617E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9E78C3"/>
    <w:rsid w:val="00A07870"/>
    <w:rsid w:val="00A07F19"/>
    <w:rsid w:val="00A1348D"/>
    <w:rsid w:val="00A232EE"/>
    <w:rsid w:val="00A3715C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7C07"/>
    <w:rsid w:val="00B22C93"/>
    <w:rsid w:val="00B27589"/>
    <w:rsid w:val="00B27A48"/>
    <w:rsid w:val="00B405B7"/>
    <w:rsid w:val="00B52222"/>
    <w:rsid w:val="00B54FE7"/>
    <w:rsid w:val="00B66901"/>
    <w:rsid w:val="00B71E6D"/>
    <w:rsid w:val="00B72070"/>
    <w:rsid w:val="00B779E1"/>
    <w:rsid w:val="00B91EE1"/>
    <w:rsid w:val="00BA0090"/>
    <w:rsid w:val="00BA1A67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84759"/>
    <w:rsid w:val="00C94F7C"/>
    <w:rsid w:val="00CA6C7F"/>
    <w:rsid w:val="00CB2B72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27E9C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C46FF"/>
    <w:rsid w:val="00DC5254"/>
    <w:rsid w:val="00DD1A4F"/>
    <w:rsid w:val="00DD3107"/>
    <w:rsid w:val="00DD7C2C"/>
    <w:rsid w:val="00E06797"/>
    <w:rsid w:val="00E1265B"/>
    <w:rsid w:val="00E13B48"/>
    <w:rsid w:val="00E1404F"/>
    <w:rsid w:val="00E21C83"/>
    <w:rsid w:val="00E2408C"/>
    <w:rsid w:val="00E24ADA"/>
    <w:rsid w:val="00E32F59"/>
    <w:rsid w:val="00E46D9A"/>
    <w:rsid w:val="00E565FF"/>
    <w:rsid w:val="00E65388"/>
    <w:rsid w:val="00E85B7D"/>
    <w:rsid w:val="00E9121B"/>
    <w:rsid w:val="00E93B6D"/>
    <w:rsid w:val="00EA0AE2"/>
    <w:rsid w:val="00EA39E5"/>
    <w:rsid w:val="00EB6F5E"/>
    <w:rsid w:val="00EC5A46"/>
    <w:rsid w:val="00EC63E2"/>
    <w:rsid w:val="00EF22B3"/>
    <w:rsid w:val="00F03B69"/>
    <w:rsid w:val="00F07A50"/>
    <w:rsid w:val="00F113DA"/>
    <w:rsid w:val="00F37DC8"/>
    <w:rsid w:val="00F439B3"/>
    <w:rsid w:val="00F650C3"/>
    <w:rsid w:val="00F65D85"/>
    <w:rsid w:val="00F801C4"/>
    <w:rsid w:val="00F8091E"/>
    <w:rsid w:val="00F8615C"/>
    <w:rsid w:val="00F969E5"/>
    <w:rsid w:val="00FA5BA4"/>
    <w:rsid w:val="00FA6BB0"/>
    <w:rsid w:val="00FD5860"/>
    <w:rsid w:val="00FE352D"/>
    <w:rsid w:val="00FE40EB"/>
    <w:rsid w:val="00FE4B60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ACF2122E-C1D3-40DA-AB8F-331566CD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4843-90C5-4CB7-BD0C-01652ED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Sarah Banda-Genchev</cp:lastModifiedBy>
  <cp:revision>2</cp:revision>
  <cp:lastPrinted>2016-09-14T07:48:00Z</cp:lastPrinted>
  <dcterms:created xsi:type="dcterms:W3CDTF">2017-01-23T10:37:00Z</dcterms:created>
  <dcterms:modified xsi:type="dcterms:W3CDTF">2017-01-23T10:37:00Z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pablo.alvarez</vt:lpwstr>
  </property>
  <property fmtid="{D5CDD505-2E9C-101B-9397-08002B2CF9AE}" pid="4" name="GeneratedDate">
    <vt:lpwstr>9/12/2016 3:57:32 PM</vt:lpwstr>
  </property>
  <property fmtid="{D5CDD505-2E9C-101B-9397-08002B2CF9AE}" pid="5" name="OriginalDocID">
    <vt:lpwstr>35e91ba0-df63-4288-8d29-3fb49b2e5eab</vt:lpwstr>
  </property>
</Properties>
</file>