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005" w:rsidRPr="00F77964" w:rsidRDefault="00D66005">
      <w:bookmarkStart w:id="0" w:name="_GoBack"/>
      <w:bookmarkEnd w:id="0"/>
    </w:p>
    <w:tbl>
      <w:tblPr>
        <w:tblW w:w="9780" w:type="dxa"/>
        <w:tblLayout w:type="fixed"/>
        <w:tblLook w:val="04A0" w:firstRow="1" w:lastRow="0" w:firstColumn="1" w:lastColumn="0" w:noHBand="0" w:noVBand="1"/>
      </w:tblPr>
      <w:tblGrid>
        <w:gridCol w:w="1560"/>
        <w:gridCol w:w="5387"/>
        <w:gridCol w:w="2833"/>
      </w:tblGrid>
      <w:tr w:rsidR="00D66005" w:rsidRPr="0061490E" w:rsidTr="000E6E62">
        <w:trPr>
          <w:cantSplit/>
          <w:trHeight w:val="850"/>
        </w:trPr>
        <w:tc>
          <w:tcPr>
            <w:tcW w:w="1560" w:type="dxa"/>
            <w:hideMark/>
          </w:tcPr>
          <w:p w:rsidR="00D66005" w:rsidRPr="0061490E" w:rsidRDefault="003F3DA0" w:rsidP="003F3DA0">
            <w:pPr>
              <w:spacing w:after="0" w:line="240" w:lineRule="auto"/>
              <w:rPr>
                <w:rFonts w:ascii="Times New Roman" w:hAnsi="Times New Roman"/>
                <w:b/>
                <w:noProof/>
                <w:sz w:val="27"/>
                <w:szCs w:val="27"/>
              </w:rPr>
            </w:pPr>
            <w:r>
              <w:rPr>
                <w:rFonts w:ascii="Univers" w:hAnsi="Univers"/>
                <w:b/>
                <w:noProof/>
                <w:sz w:val="27"/>
                <w:szCs w:val="27"/>
                <w:lang w:val="en-GB"/>
              </w:rPr>
              <w:t>N</w:t>
            </w:r>
            <w:r w:rsidRPr="000A3F63">
              <w:rPr>
                <w:rFonts w:ascii="Univers" w:hAnsi="Univers"/>
                <w:b/>
                <w:noProof/>
                <w:sz w:val="27"/>
                <w:szCs w:val="27"/>
                <w:lang w:val="en-GB"/>
              </w:rPr>
              <w:t>ATIONS</w:t>
            </w:r>
            <w:r>
              <w:rPr>
                <w:rFonts w:ascii="Univers" w:hAnsi="Univers"/>
                <w:b/>
                <w:noProof/>
                <w:sz w:val="27"/>
                <w:szCs w:val="27"/>
                <w:lang w:val="en-GB"/>
              </w:rPr>
              <w:br/>
              <w:t>UNIES</w:t>
            </w:r>
          </w:p>
        </w:tc>
        <w:tc>
          <w:tcPr>
            <w:tcW w:w="5387" w:type="dxa"/>
          </w:tcPr>
          <w:p w:rsidR="00D66005" w:rsidRPr="0061490E" w:rsidRDefault="00D66005" w:rsidP="003F3DA0">
            <w:pPr>
              <w:spacing w:after="0" w:line="240" w:lineRule="auto"/>
              <w:rPr>
                <w:rFonts w:ascii="Times New Roman" w:hAnsi="Times New Roman"/>
                <w:b/>
                <w:sz w:val="27"/>
                <w:szCs w:val="27"/>
              </w:rPr>
            </w:pPr>
          </w:p>
        </w:tc>
        <w:tc>
          <w:tcPr>
            <w:tcW w:w="2833" w:type="dxa"/>
            <w:hideMark/>
          </w:tcPr>
          <w:p w:rsidR="00D66005" w:rsidRPr="0061490E" w:rsidRDefault="003F3DA0" w:rsidP="003F3DA0">
            <w:pPr>
              <w:spacing w:after="0" w:line="240" w:lineRule="auto"/>
              <w:jc w:val="right"/>
              <w:rPr>
                <w:rFonts w:ascii="Times New Roman" w:hAnsi="Times New Roman"/>
                <w:b/>
                <w:sz w:val="72"/>
                <w:szCs w:val="72"/>
              </w:rPr>
            </w:pPr>
            <w:r w:rsidRPr="000A3F63">
              <w:rPr>
                <w:rFonts w:ascii="Univers" w:hAnsi="Univers"/>
                <w:b/>
                <w:sz w:val="72"/>
                <w:szCs w:val="72"/>
                <w:lang w:val="en-GB"/>
              </w:rPr>
              <w:t>EP</w:t>
            </w:r>
          </w:p>
        </w:tc>
      </w:tr>
      <w:tr w:rsidR="00D66005" w:rsidRPr="0061490E" w:rsidTr="000E6E62">
        <w:trPr>
          <w:cantSplit/>
          <w:trHeight w:val="281"/>
        </w:trPr>
        <w:tc>
          <w:tcPr>
            <w:tcW w:w="1560" w:type="dxa"/>
            <w:tcBorders>
              <w:top w:val="nil"/>
              <w:left w:val="nil"/>
              <w:bottom w:val="single" w:sz="4" w:space="0" w:color="auto"/>
              <w:right w:val="nil"/>
            </w:tcBorders>
          </w:tcPr>
          <w:p w:rsidR="00D66005" w:rsidRPr="0061490E" w:rsidRDefault="00D66005" w:rsidP="003F3DA0">
            <w:pPr>
              <w:spacing w:after="0" w:line="240" w:lineRule="auto"/>
              <w:rPr>
                <w:rFonts w:ascii="Times New Roman" w:hAnsi="Times New Roman"/>
                <w:noProof/>
                <w:sz w:val="18"/>
                <w:szCs w:val="18"/>
              </w:rPr>
            </w:pPr>
          </w:p>
        </w:tc>
        <w:tc>
          <w:tcPr>
            <w:tcW w:w="5387" w:type="dxa"/>
            <w:tcBorders>
              <w:top w:val="nil"/>
              <w:left w:val="nil"/>
              <w:bottom w:val="single" w:sz="4" w:space="0" w:color="auto"/>
              <w:right w:val="nil"/>
            </w:tcBorders>
          </w:tcPr>
          <w:p w:rsidR="00D66005" w:rsidRPr="0061490E" w:rsidRDefault="00D66005" w:rsidP="003F3DA0">
            <w:pPr>
              <w:spacing w:after="0" w:line="240" w:lineRule="auto"/>
              <w:rPr>
                <w:rFonts w:ascii="Times New Roman" w:hAnsi="Times New Roman"/>
                <w:b/>
                <w:sz w:val="18"/>
                <w:szCs w:val="18"/>
              </w:rPr>
            </w:pPr>
          </w:p>
        </w:tc>
        <w:tc>
          <w:tcPr>
            <w:tcW w:w="2833" w:type="dxa"/>
            <w:tcBorders>
              <w:top w:val="nil"/>
              <w:left w:val="nil"/>
              <w:bottom w:val="single" w:sz="4" w:space="0" w:color="auto"/>
              <w:right w:val="nil"/>
            </w:tcBorders>
            <w:hideMark/>
          </w:tcPr>
          <w:p w:rsidR="00D66005" w:rsidRPr="0061490E" w:rsidRDefault="00D66005" w:rsidP="003F3DA0">
            <w:pPr>
              <w:spacing w:after="0" w:line="240" w:lineRule="auto"/>
              <w:rPr>
                <w:rFonts w:ascii="Times New Roman" w:hAnsi="Times New Roman"/>
                <w:noProof/>
                <w:sz w:val="18"/>
                <w:szCs w:val="18"/>
                <w:lang w:eastAsia="ja-JP"/>
              </w:rPr>
            </w:pPr>
            <w:r w:rsidRPr="0061490E">
              <w:rPr>
                <w:rFonts w:ascii="Times New Roman" w:hAnsi="Times New Roman"/>
                <w:b/>
                <w:sz w:val="24"/>
                <w:szCs w:val="24"/>
              </w:rPr>
              <w:t>IPBES</w:t>
            </w:r>
            <w:r w:rsidRPr="0061490E">
              <w:rPr>
                <w:rFonts w:ascii="Times New Roman" w:hAnsi="Times New Roman"/>
                <w:lang w:eastAsia="ja-JP"/>
              </w:rPr>
              <w:t>/</w:t>
            </w:r>
            <w:r w:rsidRPr="00110F18">
              <w:rPr>
                <w:rFonts w:ascii="Times New Roman" w:hAnsi="Times New Roman"/>
                <w:sz w:val="20"/>
                <w:szCs w:val="20"/>
                <w:lang w:eastAsia="ja-JP"/>
              </w:rPr>
              <w:t>2/2/Add.1</w:t>
            </w:r>
          </w:p>
        </w:tc>
      </w:tr>
      <w:tr w:rsidR="00D66005" w:rsidRPr="0061490E" w:rsidTr="000E6E62">
        <w:trPr>
          <w:cantSplit/>
          <w:trHeight w:val="2549"/>
        </w:trPr>
        <w:tc>
          <w:tcPr>
            <w:tcW w:w="1560" w:type="dxa"/>
            <w:tcBorders>
              <w:top w:val="single" w:sz="4" w:space="0" w:color="auto"/>
              <w:left w:val="nil"/>
              <w:bottom w:val="single" w:sz="24" w:space="0" w:color="auto"/>
              <w:right w:val="nil"/>
            </w:tcBorders>
            <w:hideMark/>
          </w:tcPr>
          <w:p w:rsidR="00D66005" w:rsidRPr="0061490E" w:rsidRDefault="00D66005" w:rsidP="00110F18">
            <w:pPr>
              <w:spacing w:line="240" w:lineRule="auto"/>
              <w:rPr>
                <w:rFonts w:ascii="Times New Roman" w:hAnsi="Times New Roman"/>
                <w:noProof/>
              </w:rPr>
            </w:pPr>
            <w:r w:rsidRPr="00F77964">
              <w:rPr>
                <w:rFonts w:ascii="Times New Roman" w:hAnsi="Times New Roman"/>
                <w:noProof/>
                <w:sz w:val="20"/>
                <w:szCs w:val="20"/>
              </w:rPr>
              <w:object w:dxaOrig="1305" w:dyaOrig="1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62.3pt" o:ole="" fillcolor="window">
                  <v:imagedata r:id="rId9" o:title=""/>
                </v:shape>
                <o:OLEObject Type="Embed" ProgID="Word.Picture.8" ShapeID="_x0000_i1025" DrawAspect="Content" ObjectID="_1446633320" r:id="rId10"/>
              </w:object>
            </w:r>
            <w:r w:rsidR="00844297">
              <w:rPr>
                <w:rFonts w:ascii="Times New Roman" w:hAnsi="Times New Roman"/>
                <w:noProof/>
                <w:lang w:val="en-US"/>
              </w:rPr>
              <w:drawing>
                <wp:inline distT="0" distB="0" distL="0" distR="0">
                  <wp:extent cx="720725" cy="765175"/>
                  <wp:effectExtent l="0" t="0" r="3175" b="0"/>
                  <wp:docPr id="2" name="Picture 1"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725" cy="765175"/>
                          </a:xfrm>
                          <a:prstGeom prst="rect">
                            <a:avLst/>
                          </a:prstGeom>
                          <a:noFill/>
                          <a:ln>
                            <a:noFill/>
                          </a:ln>
                        </pic:spPr>
                      </pic:pic>
                    </a:graphicData>
                  </a:graphic>
                </wp:inline>
              </w:drawing>
            </w:r>
          </w:p>
        </w:tc>
        <w:tc>
          <w:tcPr>
            <w:tcW w:w="5387" w:type="dxa"/>
            <w:tcBorders>
              <w:top w:val="single" w:sz="4" w:space="0" w:color="auto"/>
              <w:left w:val="nil"/>
              <w:bottom w:val="single" w:sz="24" w:space="0" w:color="auto"/>
              <w:right w:val="nil"/>
            </w:tcBorders>
            <w:hideMark/>
          </w:tcPr>
          <w:p w:rsidR="00D66005" w:rsidRPr="0061490E" w:rsidRDefault="003F3DA0" w:rsidP="003F3DA0">
            <w:pPr>
              <w:spacing w:before="1400" w:line="240" w:lineRule="auto"/>
              <w:rPr>
                <w:rFonts w:ascii="Times New Roman" w:hAnsi="Times New Roman"/>
                <w:b/>
                <w:sz w:val="28"/>
              </w:rPr>
            </w:pPr>
            <w:r>
              <w:rPr>
                <w:rFonts w:ascii="Univers" w:hAnsi="Univers"/>
                <w:b/>
                <w:sz w:val="32"/>
                <w:szCs w:val="32"/>
                <w:lang w:val="en-GB"/>
              </w:rPr>
              <w:t xml:space="preserve">Programme </w:t>
            </w:r>
            <w:r>
              <w:rPr>
                <w:rFonts w:ascii="Univers" w:hAnsi="Univers"/>
                <w:b/>
                <w:sz w:val="32"/>
                <w:szCs w:val="32"/>
                <w:lang w:val="en-GB"/>
              </w:rPr>
              <w:br/>
              <w:t xml:space="preserve">des Nations Unies </w:t>
            </w:r>
            <w:r>
              <w:rPr>
                <w:rFonts w:ascii="Univers" w:hAnsi="Univers"/>
                <w:b/>
                <w:sz w:val="32"/>
                <w:szCs w:val="32"/>
                <w:lang w:val="en-GB"/>
              </w:rPr>
              <w:br/>
              <w:t>pour l’e</w:t>
            </w:r>
            <w:r w:rsidRPr="000A3F63">
              <w:rPr>
                <w:rFonts w:ascii="Univers" w:hAnsi="Univers"/>
                <w:b/>
                <w:sz w:val="32"/>
                <w:szCs w:val="32"/>
                <w:lang w:val="en-GB"/>
              </w:rPr>
              <w:t>nviron</w:t>
            </w:r>
            <w:r>
              <w:rPr>
                <w:rFonts w:ascii="Univers" w:hAnsi="Univers"/>
                <w:b/>
                <w:sz w:val="32"/>
                <w:szCs w:val="32"/>
                <w:lang w:val="en-GB"/>
              </w:rPr>
              <w:t>ne</w:t>
            </w:r>
            <w:r w:rsidRPr="000A3F63">
              <w:rPr>
                <w:rFonts w:ascii="Univers" w:hAnsi="Univers"/>
                <w:b/>
                <w:sz w:val="32"/>
                <w:szCs w:val="32"/>
                <w:lang w:val="en-GB"/>
              </w:rPr>
              <w:t>ment</w:t>
            </w:r>
            <w:r w:rsidRPr="0061490E">
              <w:rPr>
                <w:rFonts w:ascii="Times New Roman" w:hAnsi="Times New Roman"/>
                <w:b/>
                <w:sz w:val="32"/>
                <w:szCs w:val="32"/>
              </w:rPr>
              <w:t xml:space="preserve"> </w:t>
            </w:r>
          </w:p>
        </w:tc>
        <w:tc>
          <w:tcPr>
            <w:tcW w:w="2833" w:type="dxa"/>
            <w:tcBorders>
              <w:top w:val="single" w:sz="4" w:space="0" w:color="auto"/>
              <w:left w:val="nil"/>
              <w:bottom w:val="single" w:sz="24" w:space="0" w:color="auto"/>
              <w:right w:val="nil"/>
            </w:tcBorders>
            <w:hideMark/>
          </w:tcPr>
          <w:p w:rsidR="00D66005" w:rsidRPr="00110F18" w:rsidRDefault="00D66005" w:rsidP="00110F18">
            <w:pPr>
              <w:spacing w:before="120" w:line="240" w:lineRule="auto"/>
              <w:rPr>
                <w:rFonts w:ascii="Times New Roman" w:hAnsi="Times New Roman"/>
                <w:sz w:val="20"/>
                <w:szCs w:val="20"/>
              </w:rPr>
            </w:pPr>
            <w:r w:rsidRPr="00110F18">
              <w:rPr>
                <w:rFonts w:ascii="Times New Roman" w:hAnsi="Times New Roman"/>
                <w:sz w:val="20"/>
                <w:szCs w:val="20"/>
              </w:rPr>
              <w:t xml:space="preserve">Distr.: </w:t>
            </w:r>
            <w:r w:rsidR="00272882" w:rsidRPr="00110F18">
              <w:rPr>
                <w:rFonts w:ascii="Times New Roman" w:hAnsi="Times New Roman"/>
                <w:sz w:val="20"/>
                <w:szCs w:val="20"/>
              </w:rPr>
              <w:t>générale</w:t>
            </w:r>
            <w:r w:rsidRPr="00110F18">
              <w:rPr>
                <w:rFonts w:ascii="Times New Roman" w:hAnsi="Times New Roman"/>
                <w:sz w:val="20"/>
                <w:szCs w:val="20"/>
              </w:rPr>
              <w:br/>
              <w:t>4</w:t>
            </w:r>
            <w:r w:rsidR="00272882" w:rsidRPr="00110F18">
              <w:rPr>
                <w:rFonts w:ascii="Times New Roman" w:hAnsi="Times New Roman"/>
                <w:sz w:val="20"/>
                <w:szCs w:val="20"/>
              </w:rPr>
              <w:t> octobre </w:t>
            </w:r>
            <w:r w:rsidRPr="00110F18">
              <w:rPr>
                <w:rFonts w:ascii="Times New Roman" w:hAnsi="Times New Roman"/>
                <w:sz w:val="20"/>
                <w:szCs w:val="20"/>
              </w:rPr>
              <w:t>2013</w:t>
            </w:r>
          </w:p>
          <w:p w:rsidR="00D66005" w:rsidRPr="0061490E" w:rsidRDefault="00272882" w:rsidP="003F3DA0">
            <w:pPr>
              <w:spacing w:before="120" w:line="240" w:lineRule="auto"/>
              <w:rPr>
                <w:rFonts w:ascii="Times New Roman" w:hAnsi="Times New Roman"/>
              </w:rPr>
            </w:pPr>
            <w:r w:rsidRPr="00110F18">
              <w:rPr>
                <w:rFonts w:ascii="Times New Roman" w:hAnsi="Times New Roman"/>
                <w:sz w:val="20"/>
                <w:szCs w:val="20"/>
              </w:rPr>
              <w:t>Français</w:t>
            </w:r>
            <w:r w:rsidR="003F3DA0">
              <w:rPr>
                <w:rFonts w:ascii="Times New Roman" w:hAnsi="Times New Roman"/>
                <w:sz w:val="20"/>
                <w:szCs w:val="20"/>
              </w:rPr>
              <w:br/>
            </w:r>
            <w:r w:rsidR="00D66005" w:rsidRPr="00110F18">
              <w:rPr>
                <w:rFonts w:ascii="Times New Roman" w:hAnsi="Times New Roman"/>
                <w:sz w:val="20"/>
                <w:szCs w:val="20"/>
              </w:rPr>
              <w:t>Original</w:t>
            </w:r>
            <w:r w:rsidRPr="00110F18">
              <w:rPr>
                <w:rFonts w:ascii="Times New Roman" w:hAnsi="Times New Roman"/>
                <w:sz w:val="20"/>
                <w:szCs w:val="20"/>
              </w:rPr>
              <w:t> </w:t>
            </w:r>
            <w:r w:rsidR="00D66005" w:rsidRPr="00110F18">
              <w:rPr>
                <w:rFonts w:ascii="Times New Roman" w:hAnsi="Times New Roman"/>
                <w:sz w:val="20"/>
                <w:szCs w:val="20"/>
              </w:rPr>
              <w:t xml:space="preserve">: </w:t>
            </w:r>
            <w:r w:rsidRPr="00110F18">
              <w:rPr>
                <w:rFonts w:ascii="Times New Roman" w:hAnsi="Times New Roman"/>
                <w:sz w:val="20"/>
                <w:szCs w:val="20"/>
              </w:rPr>
              <w:t>anglais</w:t>
            </w:r>
            <w:r w:rsidR="00D66005" w:rsidRPr="0061490E">
              <w:rPr>
                <w:rFonts w:ascii="Times New Roman" w:hAnsi="Times New Roman"/>
              </w:rPr>
              <w:t xml:space="preserve"> </w:t>
            </w:r>
          </w:p>
        </w:tc>
      </w:tr>
    </w:tbl>
    <w:p w:rsidR="000E6E62" w:rsidRPr="00430595" w:rsidRDefault="000E6E62" w:rsidP="000E6E62">
      <w:pPr>
        <w:pStyle w:val="AATitle"/>
        <w:keepNext w:val="0"/>
        <w:keepLines w:val="0"/>
        <w:tabs>
          <w:tab w:val="clear" w:pos="1814"/>
          <w:tab w:val="clear" w:pos="2381"/>
          <w:tab w:val="clear" w:pos="2948"/>
          <w:tab w:val="clear" w:pos="3515"/>
          <w:tab w:val="clear" w:pos="4082"/>
          <w:tab w:val="left" w:pos="624"/>
          <w:tab w:val="left" w:pos="1871"/>
          <w:tab w:val="left" w:pos="2495"/>
          <w:tab w:val="left" w:pos="3119"/>
        </w:tabs>
        <w:ind w:right="4631"/>
        <w:rPr>
          <w:lang w:val="fr-FR"/>
        </w:rPr>
      </w:pPr>
      <w:r w:rsidRPr="00430595">
        <w:rPr>
          <w:lang w:val="fr-FR"/>
        </w:rPr>
        <w:t xml:space="preserve">Plénière de </w:t>
      </w:r>
      <w:smartTag w:uri="urn:schemas-microsoft-com:office:smarttags" w:element="PersonName">
        <w:smartTagPr>
          <w:attr w:name="ProductID" w:val="la Plateforme"/>
        </w:smartTagPr>
        <w:r w:rsidRPr="00430595">
          <w:rPr>
            <w:lang w:val="fr-FR"/>
          </w:rPr>
          <w:t>la Plateforme</w:t>
        </w:r>
      </w:smartTag>
      <w:r w:rsidRPr="00430595">
        <w:rPr>
          <w:lang w:val="fr-FR"/>
        </w:rPr>
        <w:t xml:space="preserve"> intergouvernementale </w:t>
      </w:r>
    </w:p>
    <w:p w:rsidR="000E6E62" w:rsidRPr="00430595" w:rsidRDefault="000E6E62" w:rsidP="000E6E62">
      <w:pPr>
        <w:pStyle w:val="AATitle"/>
        <w:keepNext w:val="0"/>
        <w:keepLines w:val="0"/>
        <w:tabs>
          <w:tab w:val="clear" w:pos="1814"/>
          <w:tab w:val="clear" w:pos="2381"/>
          <w:tab w:val="clear" w:pos="2948"/>
          <w:tab w:val="clear" w:pos="3515"/>
          <w:tab w:val="left" w:pos="624"/>
          <w:tab w:val="left" w:pos="1871"/>
          <w:tab w:val="left" w:pos="2495"/>
          <w:tab w:val="left" w:pos="3119"/>
        </w:tabs>
        <w:rPr>
          <w:lang w:val="fr-FR"/>
        </w:rPr>
      </w:pPr>
      <w:r w:rsidRPr="00430595">
        <w:rPr>
          <w:lang w:val="fr-FR"/>
        </w:rPr>
        <w:t>scientifique et politique sur la biodiversité et les</w:t>
      </w:r>
      <w:r>
        <w:rPr>
          <w:lang w:val="fr-FR"/>
        </w:rPr>
        <w:t xml:space="preserve"> </w:t>
      </w:r>
      <w:r w:rsidRPr="00430595">
        <w:rPr>
          <w:lang w:val="fr-FR"/>
        </w:rPr>
        <w:t>services écosystémiques</w:t>
      </w:r>
    </w:p>
    <w:p w:rsidR="000E6E62" w:rsidRPr="00430595" w:rsidRDefault="000E6E62" w:rsidP="000E6E62">
      <w:pPr>
        <w:pStyle w:val="AATitle"/>
        <w:keepNext w:val="0"/>
        <w:keepLines w:val="0"/>
        <w:tabs>
          <w:tab w:val="clear" w:pos="1814"/>
          <w:tab w:val="clear" w:pos="2381"/>
          <w:tab w:val="clear" w:pos="2948"/>
          <w:tab w:val="clear" w:pos="3515"/>
          <w:tab w:val="left" w:pos="624"/>
          <w:tab w:val="left" w:pos="1871"/>
          <w:tab w:val="left" w:pos="2495"/>
          <w:tab w:val="left" w:pos="3119"/>
        </w:tabs>
        <w:rPr>
          <w:lang w:val="fr-FR"/>
        </w:rPr>
      </w:pPr>
      <w:r w:rsidRPr="00430595">
        <w:rPr>
          <w:lang w:val="fr-FR"/>
        </w:rPr>
        <w:t>Deuxième session</w:t>
      </w:r>
    </w:p>
    <w:p w:rsidR="00D66005" w:rsidRPr="00F77964" w:rsidRDefault="000E6E62" w:rsidP="000E6E62">
      <w:pPr>
        <w:pStyle w:val="AATitle"/>
        <w:keepNext w:val="0"/>
        <w:keepLines w:val="0"/>
        <w:rPr>
          <w:b w:val="0"/>
          <w:lang w:val="fr-FR" w:eastAsia="ja-JP"/>
        </w:rPr>
      </w:pPr>
      <w:r w:rsidRPr="00430595">
        <w:rPr>
          <w:b w:val="0"/>
          <w:lang w:val="fr-FR" w:eastAsia="ja-JP"/>
        </w:rPr>
        <w:t>Antalya (Turquie), 9–14 décembre 2013</w:t>
      </w:r>
    </w:p>
    <w:p w:rsidR="00D66005" w:rsidRPr="00F77964" w:rsidRDefault="00941C69" w:rsidP="00D66005">
      <w:pPr>
        <w:pStyle w:val="AATitle2"/>
        <w:spacing w:before="0" w:after="0"/>
        <w:rPr>
          <w:b w:val="0"/>
          <w:lang w:val="fr-FR"/>
        </w:rPr>
      </w:pPr>
      <w:r w:rsidRPr="00F77964">
        <w:rPr>
          <w:b w:val="0"/>
          <w:lang w:val="fr-FR"/>
        </w:rPr>
        <w:t>Point </w:t>
      </w:r>
      <w:r w:rsidR="00D66005" w:rsidRPr="00F77964">
        <w:rPr>
          <w:b w:val="0"/>
          <w:lang w:val="fr-FR"/>
        </w:rPr>
        <w:t>4</w:t>
      </w:r>
      <w:r w:rsidRPr="00F77964">
        <w:rPr>
          <w:b w:val="0"/>
          <w:lang w:val="fr-FR"/>
        </w:rPr>
        <w:t> </w:t>
      </w:r>
      <w:r w:rsidR="00D66005" w:rsidRPr="00F77964">
        <w:rPr>
          <w:b w:val="0"/>
          <w:lang w:val="fr-FR"/>
        </w:rPr>
        <w:t xml:space="preserve">a) </w:t>
      </w:r>
      <w:r w:rsidRPr="00F77964">
        <w:rPr>
          <w:b w:val="0"/>
          <w:lang w:val="fr-FR"/>
        </w:rPr>
        <w:t>de l’ordre du jour provisoire</w:t>
      </w:r>
      <w:r w:rsidR="00D66005" w:rsidRPr="00F77964">
        <w:rPr>
          <w:rStyle w:val="FootnoteReference"/>
          <w:b w:val="0"/>
          <w:sz w:val="18"/>
          <w:lang w:val="fr-FR" w:eastAsia="ja-JP"/>
        </w:rPr>
        <w:footnoteReference w:customMarkFollows="1" w:id="1"/>
        <w:sym w:font="Symbol" w:char="F02A"/>
      </w:r>
    </w:p>
    <w:p w:rsidR="00D66005" w:rsidRPr="00F77964" w:rsidRDefault="00144B59" w:rsidP="00D66005">
      <w:pPr>
        <w:pStyle w:val="AATitle2"/>
        <w:spacing w:before="60" w:after="0"/>
        <w:rPr>
          <w:lang w:val="fr-FR"/>
        </w:rPr>
      </w:pPr>
      <w:r w:rsidRPr="00F77964">
        <w:rPr>
          <w:lang w:val="fr-FR"/>
        </w:rPr>
        <w:t>Programme de travail initial de la plateforme :</w:t>
      </w:r>
      <w:r w:rsidR="00D66005" w:rsidRPr="00F77964">
        <w:rPr>
          <w:lang w:val="fr-FR"/>
        </w:rPr>
        <w:br/>
      </w:r>
      <w:r w:rsidRPr="00F77964">
        <w:rPr>
          <w:lang w:val="fr-FR"/>
        </w:rPr>
        <w:t>Programme de travail pour la période </w:t>
      </w:r>
      <w:r w:rsidR="00D66005" w:rsidRPr="00F77964">
        <w:rPr>
          <w:lang w:val="fr-FR"/>
        </w:rPr>
        <w:t>2014-2018</w:t>
      </w:r>
    </w:p>
    <w:p w:rsidR="00D66005" w:rsidRPr="00F77964" w:rsidRDefault="00144B59" w:rsidP="00D66005">
      <w:pPr>
        <w:pStyle w:val="BBTitle"/>
        <w:rPr>
          <w:lang w:val="fr-FR"/>
        </w:rPr>
      </w:pPr>
      <w:r w:rsidRPr="00F77964">
        <w:rPr>
          <w:lang w:val="fr-FR"/>
        </w:rPr>
        <w:t>Programme de travail pour la période </w:t>
      </w:r>
      <w:r w:rsidR="00D66005" w:rsidRPr="00F77964">
        <w:rPr>
          <w:lang w:val="fr-FR"/>
        </w:rPr>
        <w:t>2014–2018</w:t>
      </w:r>
    </w:p>
    <w:p w:rsidR="00D66005" w:rsidRPr="00F77964" w:rsidRDefault="00D66005" w:rsidP="00D66005">
      <w:pPr>
        <w:pStyle w:val="CH2"/>
        <w:rPr>
          <w:lang w:val="fr-FR"/>
        </w:rPr>
      </w:pPr>
      <w:r w:rsidRPr="00F77964">
        <w:rPr>
          <w:lang w:val="fr-FR"/>
        </w:rPr>
        <w:tab/>
      </w:r>
      <w:r w:rsidRPr="00F77964">
        <w:rPr>
          <w:lang w:val="fr-FR"/>
        </w:rPr>
        <w:tab/>
      </w:r>
      <w:r w:rsidR="00144B59" w:rsidRPr="00F77964">
        <w:rPr>
          <w:lang w:val="fr-FR"/>
        </w:rPr>
        <w:t xml:space="preserve">Modalités de </w:t>
      </w:r>
      <w:r w:rsidR="000D4169" w:rsidRPr="00F77964">
        <w:rPr>
          <w:lang w:val="fr-FR"/>
        </w:rPr>
        <w:t xml:space="preserve">réalisation </w:t>
      </w:r>
      <w:r w:rsidR="00144B59" w:rsidRPr="00F77964">
        <w:rPr>
          <w:lang w:val="fr-FR"/>
        </w:rPr>
        <w:t xml:space="preserve">des produits </w:t>
      </w:r>
      <w:r w:rsidR="00413820" w:rsidRPr="00F77964">
        <w:rPr>
          <w:lang w:val="fr-FR"/>
        </w:rPr>
        <w:t xml:space="preserve">inscrits au </w:t>
      </w:r>
      <w:r w:rsidR="00144B59" w:rsidRPr="00F77964">
        <w:rPr>
          <w:lang w:val="fr-FR"/>
        </w:rPr>
        <w:t>programme de travail</w:t>
      </w:r>
    </w:p>
    <w:p w:rsidR="00D66005" w:rsidRPr="00F77964" w:rsidRDefault="00D66005" w:rsidP="00D66005">
      <w:pPr>
        <w:pStyle w:val="CH2"/>
        <w:rPr>
          <w:lang w:val="fr-FR"/>
        </w:rPr>
      </w:pPr>
      <w:r w:rsidRPr="00F77964">
        <w:rPr>
          <w:lang w:val="fr-FR"/>
        </w:rPr>
        <w:tab/>
      </w:r>
      <w:r w:rsidRPr="00F77964">
        <w:rPr>
          <w:lang w:val="fr-FR"/>
        </w:rPr>
        <w:tab/>
        <w:t xml:space="preserve">Note </w:t>
      </w:r>
      <w:r w:rsidR="00592ADB">
        <w:rPr>
          <w:lang w:val="fr-FR"/>
        </w:rPr>
        <w:t>du s</w:t>
      </w:r>
      <w:r w:rsidR="00144B59" w:rsidRPr="00F77964">
        <w:rPr>
          <w:lang w:val="fr-FR"/>
        </w:rPr>
        <w:t>ecrétariat</w:t>
      </w:r>
    </w:p>
    <w:p w:rsidR="00D66005" w:rsidRPr="00F77964" w:rsidRDefault="00144B59" w:rsidP="00D66005">
      <w:pPr>
        <w:pStyle w:val="Normalnumber"/>
        <w:numPr>
          <w:ilvl w:val="0"/>
          <w:numId w:val="6"/>
        </w:numPr>
        <w:tabs>
          <w:tab w:val="left" w:pos="624"/>
        </w:tabs>
        <w:ind w:left="1247" w:firstLine="0"/>
        <w:rPr>
          <w:lang w:val="fr-FR"/>
        </w:rPr>
      </w:pPr>
      <w:r w:rsidRPr="00F77964">
        <w:rPr>
          <w:lang w:val="fr-FR"/>
        </w:rPr>
        <w:t xml:space="preserve">La présente note décrit </w:t>
      </w:r>
      <w:r w:rsidR="00225D5F" w:rsidRPr="00F77964">
        <w:rPr>
          <w:lang w:val="fr-FR"/>
        </w:rPr>
        <w:t xml:space="preserve">les modalités de </w:t>
      </w:r>
      <w:r w:rsidR="00413820" w:rsidRPr="00F77964">
        <w:rPr>
          <w:lang w:val="fr-FR"/>
        </w:rPr>
        <w:t xml:space="preserve">réalisation </w:t>
      </w:r>
      <w:r w:rsidR="00225D5F" w:rsidRPr="00F77964">
        <w:rPr>
          <w:lang w:val="fr-FR"/>
        </w:rPr>
        <w:t xml:space="preserve">des produits </w:t>
      </w:r>
      <w:r w:rsidR="00B31F93" w:rsidRPr="00F77964">
        <w:rPr>
          <w:lang w:val="fr-FR"/>
        </w:rPr>
        <w:t xml:space="preserve">prévus </w:t>
      </w:r>
      <w:r w:rsidR="00413820" w:rsidRPr="00F77964">
        <w:rPr>
          <w:lang w:val="fr-FR"/>
        </w:rPr>
        <w:t xml:space="preserve">au titre </w:t>
      </w:r>
      <w:r w:rsidR="00225D5F" w:rsidRPr="00F77964">
        <w:rPr>
          <w:lang w:val="fr-FR"/>
        </w:rPr>
        <w:t xml:space="preserve">de chaque objectif du projet de programme de travail de la </w:t>
      </w:r>
      <w:r w:rsidR="00413820" w:rsidRPr="00F77964">
        <w:rPr>
          <w:lang w:val="fr-FR"/>
        </w:rPr>
        <w:t>P</w:t>
      </w:r>
      <w:r w:rsidR="00225D5F" w:rsidRPr="00F77964">
        <w:rPr>
          <w:lang w:val="fr-FR"/>
        </w:rPr>
        <w:t>latefor</w:t>
      </w:r>
      <w:r w:rsidR="00A855EE" w:rsidRPr="00F77964">
        <w:rPr>
          <w:lang w:val="fr-FR"/>
        </w:rPr>
        <w:t xml:space="preserve">me intergouvernementale scientifique et politique </w:t>
      </w:r>
      <w:r w:rsidR="00AF4266" w:rsidRPr="00F77964">
        <w:rPr>
          <w:lang w:val="fr-FR"/>
        </w:rPr>
        <w:t>sur</w:t>
      </w:r>
      <w:r w:rsidR="00A855EE" w:rsidRPr="00F77964">
        <w:rPr>
          <w:lang w:val="fr-FR"/>
        </w:rPr>
        <w:t xml:space="preserve"> la biodiversité et les services écosystémiques pour la période </w:t>
      </w:r>
      <w:r w:rsidR="00D66005" w:rsidRPr="00F77964">
        <w:rPr>
          <w:lang w:val="fr-FR"/>
        </w:rPr>
        <w:t xml:space="preserve">2014–2018. </w:t>
      </w:r>
      <w:r w:rsidR="00A855EE" w:rsidRPr="00F77964">
        <w:rPr>
          <w:lang w:val="fr-FR"/>
        </w:rPr>
        <w:t xml:space="preserve">Pour chaque produit, une série d’hypothèses </w:t>
      </w:r>
      <w:r w:rsidR="009559E3" w:rsidRPr="00F77964">
        <w:rPr>
          <w:lang w:val="fr-FR"/>
        </w:rPr>
        <w:t>ainsi qu’un</w:t>
      </w:r>
      <w:r w:rsidR="00A855EE" w:rsidRPr="00F77964">
        <w:rPr>
          <w:lang w:val="fr-FR"/>
        </w:rPr>
        <w:t xml:space="preserve"> plan d’action, des étapes </w:t>
      </w:r>
      <w:r w:rsidR="009559E3" w:rsidRPr="00F77964">
        <w:rPr>
          <w:lang w:val="fr-FR"/>
        </w:rPr>
        <w:t xml:space="preserve">intermédiaires </w:t>
      </w:r>
      <w:r w:rsidR="00A855EE" w:rsidRPr="00F77964">
        <w:rPr>
          <w:lang w:val="fr-FR"/>
        </w:rPr>
        <w:t>et des dispositions institutionnelles sont présentés. Les plans indiquent</w:t>
      </w:r>
      <w:r w:rsidR="009559E3" w:rsidRPr="00F77964">
        <w:rPr>
          <w:lang w:val="fr-FR"/>
        </w:rPr>
        <w:t>,</w:t>
      </w:r>
      <w:r w:rsidR="00A855EE" w:rsidRPr="00F77964">
        <w:rPr>
          <w:lang w:val="fr-FR"/>
        </w:rPr>
        <w:t xml:space="preserve"> entre autre</w:t>
      </w:r>
      <w:r w:rsidR="00B31F93" w:rsidRPr="00F77964">
        <w:rPr>
          <w:lang w:val="fr-FR"/>
        </w:rPr>
        <w:t>s</w:t>
      </w:r>
      <w:r w:rsidR="00A855EE" w:rsidRPr="00F77964">
        <w:rPr>
          <w:lang w:val="fr-FR"/>
        </w:rPr>
        <w:t xml:space="preserve">, les décisions que la </w:t>
      </w:r>
      <w:r w:rsidR="009559E3" w:rsidRPr="00F77964">
        <w:rPr>
          <w:lang w:val="fr-FR"/>
        </w:rPr>
        <w:t>P</w:t>
      </w:r>
      <w:r w:rsidR="00A855EE" w:rsidRPr="00F77964">
        <w:rPr>
          <w:lang w:val="fr-FR"/>
        </w:rPr>
        <w:t xml:space="preserve">lénière pourrait </w:t>
      </w:r>
      <w:r w:rsidR="00B31F93" w:rsidRPr="00F77964">
        <w:rPr>
          <w:lang w:val="fr-FR"/>
        </w:rPr>
        <w:t>souhaiter</w:t>
      </w:r>
      <w:r w:rsidR="00A855EE" w:rsidRPr="00F77964">
        <w:rPr>
          <w:lang w:val="fr-FR"/>
        </w:rPr>
        <w:t xml:space="preserve"> prendre pour mettre en œuvre le programme de travail. Des prévisions annuelles des principaux </w:t>
      </w:r>
      <w:r w:rsidR="00D972E8">
        <w:rPr>
          <w:lang w:val="fr-FR"/>
        </w:rPr>
        <w:t>Postes de dépense</w:t>
      </w:r>
      <w:r w:rsidR="00A855EE" w:rsidRPr="00F77964">
        <w:rPr>
          <w:lang w:val="fr-FR"/>
        </w:rPr>
        <w:t xml:space="preserve"> pour chaque produit sont fournies et une prévision des coûts pour la mise en œuvre de l’ensemble du programme, par produit, figure dans le tableau 1.</w:t>
      </w:r>
    </w:p>
    <w:p w:rsidR="00D66005" w:rsidRPr="00F77964" w:rsidRDefault="00541E1A" w:rsidP="00D66005">
      <w:pPr>
        <w:pStyle w:val="Normalnumber"/>
        <w:numPr>
          <w:ilvl w:val="0"/>
          <w:numId w:val="6"/>
        </w:numPr>
        <w:tabs>
          <w:tab w:val="left" w:pos="624"/>
        </w:tabs>
        <w:ind w:left="1247" w:firstLine="0"/>
        <w:rPr>
          <w:lang w:val="fr-FR"/>
        </w:rPr>
      </w:pPr>
      <w:r w:rsidRPr="00F77964">
        <w:rPr>
          <w:lang w:val="fr-FR"/>
        </w:rPr>
        <w:t>Les prévisions de coût</w:t>
      </w:r>
      <w:r w:rsidR="00B31F93" w:rsidRPr="00F77964">
        <w:rPr>
          <w:lang w:val="fr-FR"/>
        </w:rPr>
        <w:t>s</w:t>
      </w:r>
      <w:r w:rsidRPr="00F77964">
        <w:rPr>
          <w:lang w:val="fr-FR"/>
        </w:rPr>
        <w:t xml:space="preserve"> sont fondées sur une série d’hypothèses générales présentées dans le projet de programme de travail et tiennent compte des variables suivantes :</w:t>
      </w:r>
    </w:p>
    <w:p w:rsidR="00D66005" w:rsidRPr="00F77964" w:rsidRDefault="00D66005" w:rsidP="00D66005">
      <w:pPr>
        <w:pStyle w:val="NormalNonumber"/>
        <w:tabs>
          <w:tab w:val="left" w:pos="624"/>
        </w:tabs>
        <w:ind w:firstLine="624"/>
        <w:rPr>
          <w:rFonts w:eastAsia="SimSun"/>
          <w:lang w:val="fr-FR" w:eastAsia="zh-CN"/>
        </w:rPr>
      </w:pPr>
      <w:r w:rsidRPr="00F77964">
        <w:rPr>
          <w:rFonts w:eastAsia="SimSun"/>
          <w:lang w:val="fr-FR" w:eastAsia="zh-CN"/>
        </w:rPr>
        <w:t>a)</w:t>
      </w:r>
      <w:r w:rsidRPr="00F77964">
        <w:rPr>
          <w:rFonts w:eastAsia="SimSun"/>
          <w:lang w:val="fr-FR" w:eastAsia="zh-CN"/>
        </w:rPr>
        <w:tab/>
      </w:r>
      <w:r w:rsidR="00541E1A" w:rsidRPr="00F77964">
        <w:rPr>
          <w:rFonts w:eastAsia="SimSun"/>
          <w:lang w:val="fr-FR" w:eastAsia="zh-CN"/>
        </w:rPr>
        <w:t>Le nombre et l</w:t>
      </w:r>
      <w:r w:rsidR="009559E3" w:rsidRPr="00F77964">
        <w:rPr>
          <w:rFonts w:eastAsia="SimSun"/>
          <w:lang w:val="fr-FR" w:eastAsia="zh-CN"/>
        </w:rPr>
        <w:t>’ampleur</w:t>
      </w:r>
      <w:r w:rsidR="00541E1A" w:rsidRPr="00F77964">
        <w:rPr>
          <w:rFonts w:eastAsia="SimSun"/>
          <w:lang w:val="fr-FR" w:eastAsia="zh-CN"/>
        </w:rPr>
        <w:t xml:space="preserve"> des besoins de renforcement des capacités à couvrir </w:t>
      </w:r>
      <w:r w:rsidR="009559E3" w:rsidRPr="00F77964">
        <w:rPr>
          <w:rFonts w:eastAsia="SimSun"/>
          <w:lang w:val="fr-FR" w:eastAsia="zh-CN"/>
        </w:rPr>
        <w:t>et à</w:t>
      </w:r>
      <w:r w:rsidR="00541E1A" w:rsidRPr="00F77964">
        <w:rPr>
          <w:rFonts w:eastAsia="SimSun"/>
          <w:lang w:val="fr-FR" w:eastAsia="zh-CN"/>
        </w:rPr>
        <w:t xml:space="preserve"> financ</w:t>
      </w:r>
      <w:r w:rsidR="009559E3" w:rsidRPr="00F77964">
        <w:rPr>
          <w:rFonts w:eastAsia="SimSun"/>
          <w:lang w:val="fr-FR" w:eastAsia="zh-CN"/>
        </w:rPr>
        <w:t>er</w:t>
      </w:r>
      <w:r w:rsidR="00541E1A" w:rsidRPr="00F77964">
        <w:rPr>
          <w:rFonts w:eastAsia="SimSun"/>
          <w:lang w:val="fr-FR" w:eastAsia="zh-CN"/>
        </w:rPr>
        <w:t xml:space="preserve"> par la </w:t>
      </w:r>
      <w:r w:rsidR="009559E3" w:rsidRPr="00F77964">
        <w:rPr>
          <w:rFonts w:eastAsia="SimSun"/>
          <w:lang w:val="fr-FR" w:eastAsia="zh-CN"/>
        </w:rPr>
        <w:t>P</w:t>
      </w:r>
      <w:r w:rsidR="00541E1A" w:rsidRPr="00F77964">
        <w:rPr>
          <w:rFonts w:eastAsia="SimSun"/>
          <w:lang w:val="fr-FR" w:eastAsia="zh-CN"/>
        </w:rPr>
        <w:t>lateforme, qui influeront sur le coût du programme de travail. Les ressources mobilisées pour répondre aux besoins prioritaires</w:t>
      </w:r>
      <w:r w:rsidR="00B31F93" w:rsidRPr="00F77964">
        <w:rPr>
          <w:rFonts w:eastAsia="SimSun"/>
          <w:lang w:val="fr-FR" w:eastAsia="zh-CN"/>
        </w:rPr>
        <w:t xml:space="preserve"> dans ce domaine</w:t>
      </w:r>
      <w:r w:rsidR="00541E1A" w:rsidRPr="00F77964">
        <w:rPr>
          <w:rFonts w:eastAsia="SimSun"/>
          <w:lang w:val="fr-FR" w:eastAsia="zh-CN"/>
        </w:rPr>
        <w:t xml:space="preserve"> pourraient compléter les ressources du Fonds d’affectation spécial</w:t>
      </w:r>
      <w:r w:rsidR="003174D8" w:rsidRPr="00F77964">
        <w:rPr>
          <w:rFonts w:eastAsia="SimSun"/>
          <w:lang w:val="fr-FR" w:eastAsia="zh-CN"/>
        </w:rPr>
        <w:t>e</w:t>
      </w:r>
      <w:r w:rsidR="00541E1A" w:rsidRPr="00F77964">
        <w:rPr>
          <w:rFonts w:eastAsia="SimSun"/>
          <w:lang w:val="fr-FR" w:eastAsia="zh-CN"/>
        </w:rPr>
        <w:t xml:space="preserve"> de la </w:t>
      </w:r>
      <w:r w:rsidR="003174D8" w:rsidRPr="00F77964">
        <w:rPr>
          <w:rFonts w:eastAsia="SimSun"/>
          <w:lang w:val="fr-FR" w:eastAsia="zh-CN"/>
        </w:rPr>
        <w:t>P</w:t>
      </w:r>
      <w:r w:rsidR="00541E1A" w:rsidRPr="00F77964">
        <w:rPr>
          <w:rFonts w:eastAsia="SimSun"/>
          <w:lang w:val="fr-FR" w:eastAsia="zh-CN"/>
        </w:rPr>
        <w:t>lateforme. Le niveau des ressources disponibles déterminera la mesure dans laquelle le renforcement des capacités sera intégré dans l</w:t>
      </w:r>
      <w:r w:rsidR="00C102B5" w:rsidRPr="00F77964">
        <w:rPr>
          <w:rFonts w:eastAsia="SimSun"/>
          <w:lang w:val="fr-FR" w:eastAsia="zh-CN"/>
        </w:rPr>
        <w:t>es</w:t>
      </w:r>
      <w:r w:rsidR="00541E1A" w:rsidRPr="00F77964">
        <w:rPr>
          <w:rFonts w:eastAsia="SimSun"/>
          <w:lang w:val="fr-FR" w:eastAsia="zh-CN"/>
        </w:rPr>
        <w:t xml:space="preserve"> produits du programme de travail;</w:t>
      </w:r>
      <w:r w:rsidRPr="00F77964">
        <w:rPr>
          <w:rFonts w:eastAsia="SimSun"/>
          <w:lang w:val="fr-FR" w:eastAsia="zh-CN"/>
        </w:rPr>
        <w:t xml:space="preserve"> </w:t>
      </w:r>
    </w:p>
    <w:p w:rsidR="00D66005" w:rsidRPr="00F77964" w:rsidRDefault="00D66005" w:rsidP="00D66005">
      <w:pPr>
        <w:pStyle w:val="NormalNonumber"/>
        <w:tabs>
          <w:tab w:val="left" w:pos="624"/>
        </w:tabs>
        <w:ind w:firstLine="624"/>
        <w:rPr>
          <w:rFonts w:eastAsia="SimSun"/>
          <w:lang w:val="fr-FR" w:eastAsia="zh-CN"/>
        </w:rPr>
      </w:pPr>
      <w:r w:rsidRPr="00F77964">
        <w:rPr>
          <w:rFonts w:eastAsia="SimSun"/>
          <w:lang w:val="fr-FR" w:eastAsia="zh-CN"/>
        </w:rPr>
        <w:t>b)</w:t>
      </w:r>
      <w:r w:rsidRPr="00F77964">
        <w:rPr>
          <w:rFonts w:eastAsia="SimSun"/>
          <w:lang w:val="fr-FR" w:eastAsia="zh-CN"/>
        </w:rPr>
        <w:tab/>
      </w:r>
      <w:r w:rsidR="0025338E" w:rsidRPr="00F77964">
        <w:rPr>
          <w:rFonts w:eastAsia="SimSun"/>
          <w:lang w:val="fr-FR" w:eastAsia="zh-CN"/>
        </w:rPr>
        <w:t xml:space="preserve">Le nombre et la portée des évaluations à établir par la </w:t>
      </w:r>
      <w:r w:rsidR="003174D8" w:rsidRPr="00F77964">
        <w:rPr>
          <w:rFonts w:eastAsia="SimSun"/>
          <w:lang w:val="fr-FR" w:eastAsia="zh-CN"/>
        </w:rPr>
        <w:t>P</w:t>
      </w:r>
      <w:r w:rsidR="0025338E" w:rsidRPr="00F77964">
        <w:rPr>
          <w:rFonts w:eastAsia="SimSun"/>
          <w:lang w:val="fr-FR" w:eastAsia="zh-CN"/>
        </w:rPr>
        <w:t>lateforme, qui influeront sur le coût du programme de travail. L’une des principales variables influant sur le coût est le nombre d’évaluations thématiques qui sont établies. Une autre variable est la portée, l</w:t>
      </w:r>
      <w:r w:rsidR="003174D8" w:rsidRPr="00F77964">
        <w:rPr>
          <w:rFonts w:eastAsia="SimSun"/>
          <w:lang w:val="fr-FR" w:eastAsia="zh-CN"/>
        </w:rPr>
        <w:t xml:space="preserve">e champ d’application </w:t>
      </w:r>
      <w:r w:rsidR="0025338E" w:rsidRPr="00F77964">
        <w:rPr>
          <w:rFonts w:eastAsia="SimSun"/>
          <w:lang w:val="fr-FR" w:eastAsia="zh-CN"/>
        </w:rPr>
        <w:t>et la complexité des évaluations, qui détermin</w:t>
      </w:r>
      <w:r w:rsidR="003174D8" w:rsidRPr="00F77964">
        <w:rPr>
          <w:rFonts w:eastAsia="SimSun"/>
          <w:lang w:val="fr-FR" w:eastAsia="zh-CN"/>
        </w:rPr>
        <w:t>eront</w:t>
      </w:r>
      <w:r w:rsidR="0025338E" w:rsidRPr="00F77964">
        <w:rPr>
          <w:rFonts w:eastAsia="SimSun"/>
          <w:lang w:val="fr-FR" w:eastAsia="zh-CN"/>
        </w:rPr>
        <w:t xml:space="preserve"> le nombre d’auteurs et de réunions nécessaires pour </w:t>
      </w:r>
      <w:r w:rsidR="00B31F93" w:rsidRPr="00F77964">
        <w:rPr>
          <w:rFonts w:eastAsia="SimSun"/>
          <w:lang w:val="fr-FR" w:eastAsia="zh-CN"/>
        </w:rPr>
        <w:t>assurer</w:t>
      </w:r>
      <w:r w:rsidR="0025338E" w:rsidRPr="00F77964">
        <w:rPr>
          <w:rFonts w:eastAsia="SimSun"/>
          <w:lang w:val="fr-FR" w:eastAsia="zh-CN"/>
        </w:rPr>
        <w:t xml:space="preserve"> des évaluations crédibles et légitimes;</w:t>
      </w:r>
    </w:p>
    <w:p w:rsidR="00D66005" w:rsidRPr="00F77964" w:rsidRDefault="00D66005" w:rsidP="00D66005">
      <w:pPr>
        <w:pStyle w:val="NormalNonumber"/>
        <w:tabs>
          <w:tab w:val="left" w:pos="624"/>
        </w:tabs>
        <w:ind w:firstLine="624"/>
        <w:rPr>
          <w:rFonts w:eastAsia="SimSun"/>
          <w:lang w:val="fr-FR" w:eastAsia="zh-CN"/>
        </w:rPr>
      </w:pPr>
      <w:r w:rsidRPr="00F77964">
        <w:rPr>
          <w:rFonts w:eastAsia="SimSun"/>
          <w:lang w:val="fr-FR" w:eastAsia="zh-CN"/>
        </w:rPr>
        <w:lastRenderedPageBreak/>
        <w:t>c)</w:t>
      </w:r>
      <w:r w:rsidRPr="00F77964">
        <w:rPr>
          <w:rFonts w:eastAsia="SimSun"/>
          <w:lang w:val="fr-FR" w:eastAsia="zh-CN"/>
        </w:rPr>
        <w:tab/>
      </w:r>
      <w:r w:rsidR="0025338E" w:rsidRPr="00F77964">
        <w:rPr>
          <w:rFonts w:eastAsia="SimSun"/>
          <w:lang w:val="fr-FR" w:eastAsia="zh-CN"/>
        </w:rPr>
        <w:t xml:space="preserve">Le nombre de réunions </w:t>
      </w:r>
      <w:r w:rsidR="00B31F93" w:rsidRPr="00F77964">
        <w:rPr>
          <w:rFonts w:eastAsia="SimSun"/>
          <w:lang w:val="fr-FR" w:eastAsia="zh-CN"/>
        </w:rPr>
        <w:t>physiques (« face</w:t>
      </w:r>
      <w:r w:rsidR="00E914BA">
        <w:rPr>
          <w:rFonts w:eastAsia="SimSun"/>
          <w:lang w:val="fr-FR" w:eastAsia="zh-CN"/>
        </w:rPr>
        <w:t xml:space="preserve"> à </w:t>
      </w:r>
      <w:r w:rsidR="00B31F93" w:rsidRPr="00F77964">
        <w:rPr>
          <w:rFonts w:eastAsia="SimSun"/>
          <w:lang w:val="fr-FR" w:eastAsia="zh-CN"/>
        </w:rPr>
        <w:t>face »)</w:t>
      </w:r>
      <w:r w:rsidR="0025338E" w:rsidRPr="00F77964">
        <w:rPr>
          <w:rFonts w:eastAsia="SimSun"/>
          <w:lang w:val="fr-FR" w:eastAsia="zh-CN"/>
        </w:rPr>
        <w:t>, qui pourrai</w:t>
      </w:r>
      <w:r w:rsidR="001A0C45" w:rsidRPr="00F77964">
        <w:rPr>
          <w:rFonts w:eastAsia="SimSun"/>
          <w:lang w:val="fr-FR" w:eastAsia="zh-CN"/>
        </w:rPr>
        <w:t>t</w:t>
      </w:r>
      <w:r w:rsidR="0025338E" w:rsidRPr="00F77964">
        <w:rPr>
          <w:rFonts w:eastAsia="SimSun"/>
          <w:lang w:val="fr-FR" w:eastAsia="zh-CN"/>
        </w:rPr>
        <w:t xml:space="preserve"> être </w:t>
      </w:r>
      <w:r w:rsidR="001A0C45" w:rsidRPr="00F77964">
        <w:rPr>
          <w:rFonts w:eastAsia="SimSun"/>
          <w:lang w:val="fr-FR" w:eastAsia="zh-CN"/>
        </w:rPr>
        <w:t>réduit par le recours à des</w:t>
      </w:r>
      <w:r w:rsidR="00E914BA">
        <w:rPr>
          <w:rFonts w:eastAsia="SimSun"/>
          <w:lang w:val="fr-FR" w:eastAsia="zh-CN"/>
        </w:rPr>
        <w:t xml:space="preserve"> réunions sur </w:t>
      </w:r>
      <w:r w:rsidR="0025338E" w:rsidRPr="00F77964">
        <w:rPr>
          <w:rFonts w:eastAsia="SimSun"/>
          <w:lang w:val="fr-FR" w:eastAsia="zh-CN"/>
        </w:rPr>
        <w:t>Internet</w:t>
      </w:r>
      <w:r w:rsidR="001A0C45" w:rsidRPr="00F77964">
        <w:rPr>
          <w:rFonts w:eastAsia="SimSun"/>
          <w:lang w:val="fr-FR" w:eastAsia="zh-CN"/>
        </w:rPr>
        <w:t>,</w:t>
      </w:r>
      <w:r w:rsidR="0025338E" w:rsidRPr="00F77964">
        <w:rPr>
          <w:rFonts w:eastAsia="SimSun"/>
          <w:lang w:val="fr-FR" w:eastAsia="zh-CN"/>
        </w:rPr>
        <w:t xml:space="preserve"> diminuant ainsi le coût du programme de travail. </w:t>
      </w:r>
      <w:r w:rsidR="001A0C45" w:rsidRPr="00F77964">
        <w:rPr>
          <w:rFonts w:eastAsia="SimSun"/>
          <w:lang w:val="fr-FR" w:eastAsia="zh-CN"/>
        </w:rPr>
        <w:t xml:space="preserve">Toutefois, ces </w:t>
      </w:r>
      <w:r w:rsidR="0025338E" w:rsidRPr="00F77964">
        <w:rPr>
          <w:rFonts w:eastAsia="SimSun"/>
          <w:lang w:val="fr-FR" w:eastAsia="zh-CN"/>
        </w:rPr>
        <w:t>économie</w:t>
      </w:r>
      <w:r w:rsidR="001A0C45" w:rsidRPr="00F77964">
        <w:rPr>
          <w:rFonts w:eastAsia="SimSun"/>
          <w:lang w:val="fr-FR" w:eastAsia="zh-CN"/>
        </w:rPr>
        <w:t>s doivent</w:t>
      </w:r>
      <w:r w:rsidR="0025338E" w:rsidRPr="00F77964">
        <w:rPr>
          <w:rFonts w:eastAsia="SimSun"/>
          <w:lang w:val="fr-FR" w:eastAsia="zh-CN"/>
        </w:rPr>
        <w:t xml:space="preserve"> être mise</w:t>
      </w:r>
      <w:r w:rsidR="001A0C45" w:rsidRPr="00F77964">
        <w:rPr>
          <w:rFonts w:eastAsia="SimSun"/>
          <w:lang w:val="fr-FR" w:eastAsia="zh-CN"/>
        </w:rPr>
        <w:t>s</w:t>
      </w:r>
      <w:r w:rsidR="0025338E" w:rsidRPr="00F77964">
        <w:rPr>
          <w:rFonts w:eastAsia="SimSun"/>
          <w:lang w:val="fr-FR" w:eastAsia="zh-CN"/>
        </w:rPr>
        <w:t xml:space="preserve"> en balance avec la nécessité d’assurer des interactions sociales et d’impliquer </w:t>
      </w:r>
      <w:r w:rsidR="001A0C45" w:rsidRPr="00F77964">
        <w:rPr>
          <w:rFonts w:eastAsia="SimSun"/>
          <w:lang w:val="fr-FR" w:eastAsia="zh-CN"/>
        </w:rPr>
        <w:t>d</w:t>
      </w:r>
      <w:r w:rsidR="0025338E" w:rsidRPr="00F77964">
        <w:rPr>
          <w:rFonts w:eastAsia="SimSun"/>
          <w:lang w:val="fr-FR" w:eastAsia="zh-CN"/>
        </w:rPr>
        <w:t xml:space="preserve">es participants </w:t>
      </w:r>
      <w:r w:rsidR="001A0C45" w:rsidRPr="00F77964">
        <w:rPr>
          <w:rFonts w:eastAsia="SimSun"/>
          <w:lang w:val="fr-FR" w:eastAsia="zh-CN"/>
        </w:rPr>
        <w:t>pouvant</w:t>
      </w:r>
      <w:r w:rsidR="0025338E" w:rsidRPr="00F77964">
        <w:rPr>
          <w:rFonts w:eastAsia="SimSun"/>
          <w:lang w:val="fr-FR" w:eastAsia="zh-CN"/>
        </w:rPr>
        <w:t xml:space="preserve"> être confrontés à des problèmes techniques;</w:t>
      </w:r>
    </w:p>
    <w:p w:rsidR="00D66005" w:rsidRPr="00F77964" w:rsidRDefault="00D66005" w:rsidP="00D66005">
      <w:pPr>
        <w:pStyle w:val="NormalNonumber"/>
        <w:tabs>
          <w:tab w:val="left" w:pos="624"/>
        </w:tabs>
        <w:ind w:firstLine="624"/>
        <w:rPr>
          <w:rFonts w:eastAsia="SimSun"/>
          <w:lang w:val="fr-FR" w:eastAsia="zh-CN"/>
        </w:rPr>
      </w:pPr>
      <w:r w:rsidRPr="00F77964">
        <w:rPr>
          <w:rFonts w:eastAsia="SimSun"/>
          <w:lang w:val="fr-FR" w:eastAsia="zh-CN"/>
        </w:rPr>
        <w:t>d)</w:t>
      </w:r>
      <w:r w:rsidRPr="00F77964">
        <w:rPr>
          <w:rFonts w:eastAsia="SimSun"/>
          <w:lang w:val="fr-FR" w:eastAsia="zh-CN"/>
        </w:rPr>
        <w:tab/>
      </w:r>
      <w:r w:rsidR="00281B80" w:rsidRPr="00F77964">
        <w:rPr>
          <w:rFonts w:eastAsia="SimSun"/>
          <w:lang w:val="fr-FR" w:eastAsia="zh-CN"/>
        </w:rPr>
        <w:t>L</w:t>
      </w:r>
      <w:r w:rsidR="00B31F93" w:rsidRPr="00F77964">
        <w:rPr>
          <w:rFonts w:eastAsia="SimSun"/>
          <w:lang w:val="fr-FR" w:eastAsia="zh-CN"/>
        </w:rPr>
        <w:t>’ampleur convenu</w:t>
      </w:r>
      <w:r w:rsidR="00BB58DA">
        <w:rPr>
          <w:rFonts w:eastAsia="SimSun"/>
          <w:lang w:val="fr-FR" w:eastAsia="zh-CN"/>
        </w:rPr>
        <w:t>e</w:t>
      </w:r>
      <w:r w:rsidR="00B31F93" w:rsidRPr="00F77964">
        <w:rPr>
          <w:rFonts w:eastAsia="SimSun"/>
          <w:lang w:val="fr-FR" w:eastAsia="zh-CN"/>
        </w:rPr>
        <w:t xml:space="preserve"> des activi</w:t>
      </w:r>
      <w:r w:rsidR="00C102B5" w:rsidRPr="00F77964">
        <w:rPr>
          <w:rFonts w:eastAsia="SimSun"/>
          <w:lang w:val="fr-FR" w:eastAsia="zh-CN"/>
        </w:rPr>
        <w:t>tés</w:t>
      </w:r>
      <w:r w:rsidR="00B31F93" w:rsidRPr="00F77964">
        <w:rPr>
          <w:rFonts w:eastAsia="SimSun"/>
          <w:lang w:val="fr-FR" w:eastAsia="zh-CN"/>
        </w:rPr>
        <w:t xml:space="preserve"> </w:t>
      </w:r>
      <w:r w:rsidR="00281B80" w:rsidRPr="00F77964">
        <w:rPr>
          <w:rFonts w:eastAsia="SimSun"/>
          <w:lang w:val="fr-FR" w:eastAsia="zh-CN"/>
        </w:rPr>
        <w:t xml:space="preserve">de communication, </w:t>
      </w:r>
      <w:r w:rsidR="001A0C45" w:rsidRPr="00F77964">
        <w:rPr>
          <w:rFonts w:eastAsia="SimSun"/>
          <w:lang w:val="fr-FR" w:eastAsia="zh-CN"/>
        </w:rPr>
        <w:t>d</w:t>
      </w:r>
      <w:r w:rsidR="00281B80" w:rsidRPr="00F77964">
        <w:rPr>
          <w:rFonts w:eastAsia="SimSun"/>
          <w:lang w:val="fr-FR" w:eastAsia="zh-CN"/>
        </w:rPr>
        <w:t>’</w:t>
      </w:r>
      <w:r w:rsidR="001A0C45" w:rsidRPr="00F77964">
        <w:rPr>
          <w:rFonts w:eastAsia="SimSun"/>
          <w:lang w:val="fr-FR" w:eastAsia="zh-CN"/>
        </w:rPr>
        <w:t>implication</w:t>
      </w:r>
      <w:r w:rsidR="00281B80" w:rsidRPr="00F77964">
        <w:rPr>
          <w:rFonts w:eastAsia="SimSun"/>
          <w:lang w:val="fr-FR" w:eastAsia="zh-CN"/>
        </w:rPr>
        <w:t xml:space="preserve"> des parties prenantes et </w:t>
      </w:r>
      <w:r w:rsidR="00F23269">
        <w:rPr>
          <w:rFonts w:eastAsia="SimSun"/>
          <w:lang w:val="fr-FR" w:eastAsia="zh-CN"/>
        </w:rPr>
        <w:t>d’animation</w:t>
      </w:r>
      <w:r w:rsidR="00281B80" w:rsidRPr="00F77964">
        <w:rPr>
          <w:rFonts w:eastAsia="SimSun"/>
          <w:lang w:val="fr-FR" w:eastAsia="zh-CN"/>
        </w:rPr>
        <w:t>. Ces activités auront une in</w:t>
      </w:r>
      <w:r w:rsidR="001A0C45" w:rsidRPr="00F77964">
        <w:rPr>
          <w:rFonts w:eastAsia="SimSun"/>
          <w:lang w:val="fr-FR" w:eastAsia="zh-CN"/>
        </w:rPr>
        <w:t>cidence</w:t>
      </w:r>
      <w:r w:rsidR="00281B80" w:rsidRPr="00F77964">
        <w:rPr>
          <w:rFonts w:eastAsia="SimSun"/>
          <w:lang w:val="fr-FR" w:eastAsia="zh-CN"/>
        </w:rPr>
        <w:t xml:space="preserve"> sur le coût et influeront aussi sur l’</w:t>
      </w:r>
      <w:r w:rsidR="001A0C45" w:rsidRPr="00F77964">
        <w:rPr>
          <w:rFonts w:eastAsia="SimSun"/>
          <w:lang w:val="fr-FR" w:eastAsia="zh-CN"/>
        </w:rPr>
        <w:t>impact</w:t>
      </w:r>
      <w:r w:rsidR="00FB05FA" w:rsidRPr="00F77964">
        <w:rPr>
          <w:rFonts w:eastAsia="SimSun"/>
          <w:lang w:val="fr-FR" w:eastAsia="zh-CN"/>
        </w:rPr>
        <w:t xml:space="preserve">, l’appropriation et la pertinence des produits </w:t>
      </w:r>
      <w:r w:rsidR="001A0C45" w:rsidRPr="00F77964">
        <w:rPr>
          <w:rFonts w:eastAsia="SimSun"/>
          <w:lang w:val="fr-FR" w:eastAsia="zh-CN"/>
        </w:rPr>
        <w:t>inscrits au</w:t>
      </w:r>
      <w:r w:rsidR="00FB05FA" w:rsidRPr="00F77964">
        <w:rPr>
          <w:rFonts w:eastAsia="SimSun"/>
          <w:lang w:val="fr-FR" w:eastAsia="zh-CN"/>
        </w:rPr>
        <w:t xml:space="preserve"> programme de travail;</w:t>
      </w:r>
    </w:p>
    <w:p w:rsidR="00D66005" w:rsidRPr="00F77964" w:rsidRDefault="00D66005" w:rsidP="00D66005">
      <w:pPr>
        <w:pStyle w:val="NormalNonumber"/>
        <w:tabs>
          <w:tab w:val="left" w:pos="624"/>
        </w:tabs>
        <w:ind w:firstLine="624"/>
        <w:rPr>
          <w:rFonts w:eastAsia="SimSun"/>
          <w:lang w:val="fr-FR" w:eastAsia="zh-CN"/>
        </w:rPr>
      </w:pPr>
      <w:r w:rsidRPr="00F77964">
        <w:rPr>
          <w:rFonts w:eastAsia="SimSun"/>
          <w:lang w:val="fr-FR" w:eastAsia="zh-CN"/>
        </w:rPr>
        <w:t>e)</w:t>
      </w:r>
      <w:r w:rsidRPr="00F77964">
        <w:rPr>
          <w:rFonts w:eastAsia="SimSun"/>
          <w:lang w:val="fr-FR" w:eastAsia="zh-CN"/>
        </w:rPr>
        <w:tab/>
      </w:r>
      <w:r w:rsidR="00FB05FA" w:rsidRPr="00F77964">
        <w:rPr>
          <w:rFonts w:eastAsia="SimSun"/>
          <w:lang w:val="fr-FR" w:eastAsia="zh-CN"/>
        </w:rPr>
        <w:t>L</w:t>
      </w:r>
      <w:r w:rsidR="00504574">
        <w:rPr>
          <w:rFonts w:eastAsia="SimSun"/>
          <w:lang w:val="fr-FR" w:eastAsia="zh-CN"/>
        </w:rPr>
        <w:t>a localisation</w:t>
      </w:r>
      <w:r w:rsidR="00FB05FA" w:rsidRPr="00F77964">
        <w:rPr>
          <w:rFonts w:eastAsia="SimSun"/>
          <w:lang w:val="fr-FR" w:eastAsia="zh-CN"/>
        </w:rPr>
        <w:t xml:space="preserve"> géographique et institutionnel</w:t>
      </w:r>
      <w:r w:rsidR="00504574">
        <w:rPr>
          <w:rFonts w:eastAsia="SimSun"/>
          <w:lang w:val="fr-FR" w:eastAsia="zh-CN"/>
        </w:rPr>
        <w:t>le</w:t>
      </w:r>
      <w:r w:rsidR="00FB05FA" w:rsidRPr="00F77964">
        <w:rPr>
          <w:rFonts w:eastAsia="SimSun"/>
          <w:lang w:val="fr-FR" w:eastAsia="zh-CN"/>
        </w:rPr>
        <w:t xml:space="preserve"> d</w:t>
      </w:r>
      <w:r w:rsidR="00E06BD8" w:rsidRPr="00F77964">
        <w:rPr>
          <w:rFonts w:eastAsia="SimSun"/>
          <w:lang w:val="fr-FR" w:eastAsia="zh-CN"/>
        </w:rPr>
        <w:t>u</w:t>
      </w:r>
      <w:r w:rsidR="00FB05FA" w:rsidRPr="00F77964">
        <w:rPr>
          <w:rFonts w:eastAsia="SimSun"/>
          <w:lang w:val="fr-FR" w:eastAsia="zh-CN"/>
        </w:rPr>
        <w:t xml:space="preserve"> personnel d’appui technique aura une incidence significative sur le coût du programme de travail. Le</w:t>
      </w:r>
      <w:r w:rsidR="00E06BD8" w:rsidRPr="00F77964">
        <w:rPr>
          <w:rFonts w:eastAsia="SimSun"/>
          <w:lang w:val="fr-FR" w:eastAsia="zh-CN"/>
        </w:rPr>
        <w:t>s dépenses de</w:t>
      </w:r>
      <w:r w:rsidR="00FB05FA" w:rsidRPr="00F77964">
        <w:rPr>
          <w:rFonts w:eastAsia="SimSun"/>
          <w:lang w:val="fr-FR" w:eastAsia="zh-CN"/>
        </w:rPr>
        <w:t xml:space="preserve"> recrutement du personnel d’appui technique par le biais du </w:t>
      </w:r>
      <w:r w:rsidR="00E06BD8" w:rsidRPr="00F77964">
        <w:rPr>
          <w:rFonts w:eastAsia="SimSun"/>
          <w:lang w:val="fr-FR" w:eastAsia="zh-CN"/>
        </w:rPr>
        <w:t>s</w:t>
      </w:r>
      <w:r w:rsidR="00FB05FA" w:rsidRPr="00F77964">
        <w:rPr>
          <w:rFonts w:eastAsia="SimSun"/>
          <w:lang w:val="fr-FR" w:eastAsia="zh-CN"/>
        </w:rPr>
        <w:t xml:space="preserve">ecrétariat de la </w:t>
      </w:r>
      <w:r w:rsidR="00E06BD8" w:rsidRPr="00F77964">
        <w:rPr>
          <w:rFonts w:eastAsia="SimSun"/>
          <w:lang w:val="fr-FR" w:eastAsia="zh-CN"/>
        </w:rPr>
        <w:t>P</w:t>
      </w:r>
      <w:r w:rsidR="00FB05FA" w:rsidRPr="00F77964">
        <w:rPr>
          <w:rFonts w:eastAsia="SimSun"/>
          <w:lang w:val="fr-FR" w:eastAsia="zh-CN"/>
        </w:rPr>
        <w:t>lateforme serai</w:t>
      </w:r>
      <w:r w:rsidR="00E06BD8" w:rsidRPr="00F77964">
        <w:rPr>
          <w:rFonts w:eastAsia="SimSun"/>
          <w:lang w:val="fr-FR" w:eastAsia="zh-CN"/>
        </w:rPr>
        <w:t>ent sensiblement</w:t>
      </w:r>
      <w:r w:rsidR="00FB05FA" w:rsidRPr="00F77964">
        <w:rPr>
          <w:rFonts w:eastAsia="SimSun"/>
          <w:lang w:val="fr-FR" w:eastAsia="zh-CN"/>
        </w:rPr>
        <w:t xml:space="preserve"> plus important</w:t>
      </w:r>
      <w:r w:rsidR="00E06BD8" w:rsidRPr="00F77964">
        <w:rPr>
          <w:rFonts w:eastAsia="SimSun"/>
          <w:lang w:val="fr-FR" w:eastAsia="zh-CN"/>
        </w:rPr>
        <w:t>es</w:t>
      </w:r>
      <w:r w:rsidR="00FB05FA" w:rsidRPr="00F77964">
        <w:rPr>
          <w:rFonts w:eastAsia="SimSun"/>
          <w:lang w:val="fr-FR" w:eastAsia="zh-CN"/>
        </w:rPr>
        <w:t xml:space="preserve"> que, par exemple, </w:t>
      </w:r>
      <w:r w:rsidR="00E06BD8" w:rsidRPr="00F77964">
        <w:rPr>
          <w:rFonts w:eastAsia="SimSun"/>
          <w:lang w:val="fr-FR" w:eastAsia="zh-CN"/>
        </w:rPr>
        <w:t>celles</w:t>
      </w:r>
      <w:r w:rsidR="00FB05FA" w:rsidRPr="00F77964">
        <w:rPr>
          <w:rFonts w:eastAsia="SimSun"/>
          <w:lang w:val="fr-FR" w:eastAsia="zh-CN"/>
        </w:rPr>
        <w:t xml:space="preserve"> d</w:t>
      </w:r>
      <w:r w:rsidR="00C06751">
        <w:rPr>
          <w:rFonts w:eastAsia="SimSun"/>
          <w:lang w:val="fr-FR" w:eastAsia="zh-CN"/>
        </w:rPr>
        <w:t>e</w:t>
      </w:r>
      <w:r w:rsidR="00FB05FA" w:rsidRPr="00F77964">
        <w:rPr>
          <w:rFonts w:eastAsia="SimSun"/>
          <w:lang w:val="fr-FR" w:eastAsia="zh-CN"/>
        </w:rPr>
        <w:t xml:space="preserve"> recrutement de ce</w:t>
      </w:r>
      <w:r w:rsidR="00E06BD8" w:rsidRPr="00F77964">
        <w:rPr>
          <w:rFonts w:eastAsia="SimSun"/>
          <w:lang w:val="fr-FR" w:eastAsia="zh-CN"/>
        </w:rPr>
        <w:t>s</w:t>
      </w:r>
      <w:r w:rsidR="00FB05FA" w:rsidRPr="00F77964">
        <w:rPr>
          <w:rFonts w:eastAsia="SimSun"/>
          <w:lang w:val="fr-FR" w:eastAsia="zh-CN"/>
        </w:rPr>
        <w:t xml:space="preserve"> </w:t>
      </w:r>
      <w:r w:rsidR="00E06BD8" w:rsidRPr="00F77964">
        <w:rPr>
          <w:rFonts w:eastAsia="SimSun"/>
          <w:lang w:val="fr-FR" w:eastAsia="zh-CN"/>
        </w:rPr>
        <w:t>agents</w:t>
      </w:r>
      <w:r w:rsidR="00FB05FA" w:rsidRPr="00F77964">
        <w:rPr>
          <w:rFonts w:eastAsia="SimSun"/>
          <w:lang w:val="fr-FR" w:eastAsia="zh-CN"/>
        </w:rPr>
        <w:t xml:space="preserve"> par l</w:t>
      </w:r>
      <w:r w:rsidR="00E06BD8" w:rsidRPr="00F77964">
        <w:rPr>
          <w:rFonts w:eastAsia="SimSun"/>
          <w:lang w:val="fr-FR" w:eastAsia="zh-CN"/>
        </w:rPr>
        <w:t xml:space="preserve">’intermédiaire </w:t>
      </w:r>
      <w:r w:rsidR="00FB05FA" w:rsidRPr="00F77964">
        <w:rPr>
          <w:rFonts w:eastAsia="SimSun"/>
          <w:lang w:val="fr-FR" w:eastAsia="zh-CN"/>
        </w:rPr>
        <w:t xml:space="preserve">des institutions régionales ou nationales, mais </w:t>
      </w:r>
      <w:r w:rsidR="00131EB8" w:rsidRPr="00F77964">
        <w:rPr>
          <w:rFonts w:eastAsia="SimSun"/>
          <w:lang w:val="fr-FR" w:eastAsia="zh-CN"/>
        </w:rPr>
        <w:t xml:space="preserve">le recrutement par le secrétariat </w:t>
      </w:r>
      <w:r w:rsidR="00FB05FA" w:rsidRPr="00F77964">
        <w:rPr>
          <w:rFonts w:eastAsia="SimSun"/>
          <w:lang w:val="fr-FR" w:eastAsia="zh-CN"/>
        </w:rPr>
        <w:t>pourrait néanmoins être requis dans certains cas pour assurer la coordination et la su</w:t>
      </w:r>
      <w:r w:rsidR="00131EB8" w:rsidRPr="00F77964">
        <w:rPr>
          <w:rFonts w:eastAsia="SimSun"/>
          <w:lang w:val="fr-FR" w:eastAsia="zh-CN"/>
        </w:rPr>
        <w:t xml:space="preserve">pervision </w:t>
      </w:r>
      <w:r w:rsidR="00FB05FA" w:rsidRPr="00F77964">
        <w:rPr>
          <w:rFonts w:eastAsia="SimSun"/>
          <w:lang w:val="fr-FR" w:eastAsia="zh-CN"/>
        </w:rPr>
        <w:t>nécessaires;</w:t>
      </w:r>
    </w:p>
    <w:p w:rsidR="00D66005" w:rsidRPr="00F77964" w:rsidRDefault="00D66005" w:rsidP="00D66005">
      <w:pPr>
        <w:pStyle w:val="NormalNonumber"/>
        <w:tabs>
          <w:tab w:val="left" w:pos="624"/>
        </w:tabs>
        <w:ind w:firstLine="624"/>
        <w:rPr>
          <w:rFonts w:eastAsia="SimSun"/>
          <w:u w:val="single"/>
          <w:lang w:val="fr-FR" w:eastAsia="zh-CN"/>
        </w:rPr>
      </w:pPr>
      <w:r w:rsidRPr="00F77964">
        <w:rPr>
          <w:rFonts w:eastAsia="SimSun"/>
          <w:lang w:val="fr-FR" w:eastAsia="zh-CN"/>
        </w:rPr>
        <w:t>f)</w:t>
      </w:r>
      <w:r w:rsidRPr="00F77964">
        <w:rPr>
          <w:rFonts w:eastAsia="SimSun"/>
          <w:lang w:val="fr-FR" w:eastAsia="zh-CN"/>
        </w:rPr>
        <w:tab/>
      </w:r>
      <w:r w:rsidR="008C3C63" w:rsidRPr="00F77964">
        <w:rPr>
          <w:rFonts w:eastAsia="SimSun"/>
          <w:lang w:val="fr-FR" w:eastAsia="zh-CN"/>
        </w:rPr>
        <w:t xml:space="preserve">Le niveau des contributions en nature offertes par </w:t>
      </w:r>
      <w:r w:rsidR="00131EB8" w:rsidRPr="00F77964">
        <w:rPr>
          <w:rFonts w:eastAsia="SimSun"/>
          <w:lang w:val="fr-FR" w:eastAsia="zh-CN"/>
        </w:rPr>
        <w:t>l</w:t>
      </w:r>
      <w:r w:rsidR="008C3C63" w:rsidRPr="00F77964">
        <w:rPr>
          <w:rFonts w:eastAsia="SimSun"/>
          <w:lang w:val="fr-FR" w:eastAsia="zh-CN"/>
        </w:rPr>
        <w:t xml:space="preserve">es </w:t>
      </w:r>
      <w:r w:rsidR="00B10062" w:rsidRPr="00F77964">
        <w:rPr>
          <w:rFonts w:eastAsia="SimSun"/>
          <w:lang w:val="fr-FR" w:eastAsia="zh-CN"/>
        </w:rPr>
        <w:t>États</w:t>
      </w:r>
      <w:r w:rsidR="008C3C63" w:rsidRPr="00F77964">
        <w:rPr>
          <w:rFonts w:eastAsia="SimSun"/>
          <w:lang w:val="fr-FR" w:eastAsia="zh-CN"/>
        </w:rPr>
        <w:t xml:space="preserve"> membres, </w:t>
      </w:r>
      <w:r w:rsidR="00131EB8" w:rsidRPr="00F77964">
        <w:rPr>
          <w:rFonts w:eastAsia="SimSun"/>
          <w:lang w:val="fr-FR" w:eastAsia="zh-CN"/>
        </w:rPr>
        <w:t>l</w:t>
      </w:r>
      <w:r w:rsidR="008C3C63" w:rsidRPr="00F77964">
        <w:rPr>
          <w:rFonts w:eastAsia="SimSun"/>
          <w:lang w:val="fr-FR" w:eastAsia="zh-CN"/>
        </w:rPr>
        <w:t xml:space="preserve">es observateurs et </w:t>
      </w:r>
      <w:r w:rsidR="00131EB8" w:rsidRPr="00F77964">
        <w:rPr>
          <w:rFonts w:eastAsia="SimSun"/>
          <w:lang w:val="fr-FR" w:eastAsia="zh-CN"/>
        </w:rPr>
        <w:t>les in</w:t>
      </w:r>
      <w:r w:rsidR="008C3C63" w:rsidRPr="00F77964">
        <w:rPr>
          <w:rFonts w:eastAsia="SimSun"/>
          <w:lang w:val="fr-FR" w:eastAsia="zh-CN"/>
        </w:rPr>
        <w:t xml:space="preserve">stitutions concernées aura une incidence sur le coût. Parmi les contributions en nature </w:t>
      </w:r>
      <w:r w:rsidR="00131EB8" w:rsidRPr="00F77964">
        <w:rPr>
          <w:rFonts w:eastAsia="SimSun"/>
          <w:lang w:val="fr-FR" w:eastAsia="zh-CN"/>
        </w:rPr>
        <w:t xml:space="preserve">possibles </w:t>
      </w:r>
      <w:r w:rsidR="008C3C63" w:rsidRPr="00F77964">
        <w:rPr>
          <w:rFonts w:eastAsia="SimSun"/>
          <w:lang w:val="fr-FR" w:eastAsia="zh-CN"/>
        </w:rPr>
        <w:t>figurent la fourniture d’un appui technique ou des détachements, l’accueil de réunions, le financement</w:t>
      </w:r>
      <w:r w:rsidR="00A45290" w:rsidRPr="00F77964">
        <w:rPr>
          <w:rFonts w:eastAsia="SimSun"/>
          <w:lang w:val="fr-FR" w:eastAsia="zh-CN"/>
        </w:rPr>
        <w:t xml:space="preserve"> d’activités de renforcement des capacités et la </w:t>
      </w:r>
      <w:r w:rsidR="00131EB8" w:rsidRPr="00F77964">
        <w:rPr>
          <w:rFonts w:eastAsia="SimSun"/>
          <w:lang w:val="fr-FR" w:eastAsia="zh-CN"/>
        </w:rPr>
        <w:t xml:space="preserve">mise à disposition gratuite ou à </w:t>
      </w:r>
      <w:r w:rsidR="00A45290" w:rsidRPr="00F77964">
        <w:rPr>
          <w:rFonts w:eastAsia="SimSun"/>
          <w:lang w:val="fr-FR" w:eastAsia="zh-CN"/>
        </w:rPr>
        <w:t xml:space="preserve">des conditions préférentielles </w:t>
      </w:r>
      <w:r w:rsidR="00131EB8" w:rsidRPr="00F77964">
        <w:rPr>
          <w:rFonts w:eastAsia="SimSun"/>
          <w:lang w:val="fr-FR" w:eastAsia="zh-CN"/>
        </w:rPr>
        <w:t>d</w:t>
      </w:r>
      <w:r w:rsidR="00A45290" w:rsidRPr="00F77964">
        <w:rPr>
          <w:rFonts w:eastAsia="SimSun"/>
          <w:lang w:val="fr-FR" w:eastAsia="zh-CN"/>
        </w:rPr>
        <w:t xml:space="preserve">e logiciels </w:t>
      </w:r>
      <w:r w:rsidR="00131EB8" w:rsidRPr="00F77964">
        <w:rPr>
          <w:rFonts w:eastAsia="SimSun"/>
          <w:lang w:val="fr-FR" w:eastAsia="zh-CN"/>
        </w:rPr>
        <w:t>et d’outils</w:t>
      </w:r>
      <w:r w:rsidR="00A45290" w:rsidRPr="00F77964">
        <w:rPr>
          <w:rFonts w:eastAsia="SimSun"/>
          <w:lang w:val="fr-FR" w:eastAsia="zh-CN"/>
        </w:rPr>
        <w:t xml:space="preserve"> informatiques (voir tableau 2). Les économies résultant des contributions en nature peuvent être </w:t>
      </w:r>
      <w:r w:rsidR="00B31F93" w:rsidRPr="00F77964">
        <w:rPr>
          <w:rFonts w:eastAsia="SimSun"/>
          <w:lang w:val="fr-FR" w:eastAsia="zh-CN"/>
        </w:rPr>
        <w:t>affectées</w:t>
      </w:r>
      <w:r w:rsidR="00A45290" w:rsidRPr="00F77964">
        <w:rPr>
          <w:rFonts w:eastAsia="SimSun"/>
          <w:lang w:val="fr-FR" w:eastAsia="zh-CN"/>
        </w:rPr>
        <w:t xml:space="preserve"> aux produits</w:t>
      </w:r>
      <w:r w:rsidR="00131EB8" w:rsidRPr="00F77964">
        <w:rPr>
          <w:rFonts w:eastAsia="SimSun"/>
          <w:lang w:val="fr-FR" w:eastAsia="zh-CN"/>
        </w:rPr>
        <w:t xml:space="preserve"> ne bénéficiant pas de ce type de soutien</w:t>
      </w:r>
      <w:r w:rsidR="00A45290" w:rsidRPr="00F77964">
        <w:rPr>
          <w:rFonts w:eastAsia="SimSun"/>
          <w:lang w:val="fr-FR" w:eastAsia="zh-CN"/>
        </w:rPr>
        <w:t xml:space="preserve">. </w:t>
      </w:r>
    </w:p>
    <w:p w:rsidR="00D66005" w:rsidRPr="00F77964" w:rsidRDefault="00D66005" w:rsidP="00D66005">
      <w:pPr>
        <w:pStyle w:val="CH3"/>
        <w:keepNext w:val="0"/>
        <w:keepLines w:val="0"/>
        <w:spacing w:after="0"/>
        <w:rPr>
          <w:rFonts w:eastAsia="SimSun"/>
          <w:lang w:val="fr-FR" w:eastAsia="zh-CN"/>
        </w:rPr>
      </w:pPr>
      <w:r w:rsidRPr="00F77964">
        <w:rPr>
          <w:rFonts w:eastAsia="SimSun"/>
          <w:lang w:val="fr-FR" w:eastAsia="zh-CN"/>
        </w:rPr>
        <w:tab/>
      </w:r>
      <w:r w:rsidRPr="00F77964">
        <w:rPr>
          <w:rFonts w:eastAsia="SimSun"/>
          <w:lang w:val="fr-FR" w:eastAsia="zh-CN"/>
        </w:rPr>
        <w:tab/>
      </w:r>
      <w:r w:rsidR="00A45290" w:rsidRPr="00F77964">
        <w:rPr>
          <w:rFonts w:eastAsia="SimSun"/>
          <w:lang w:val="fr-FR" w:eastAsia="zh-CN"/>
        </w:rPr>
        <w:t>Objectif 1</w:t>
      </w:r>
    </w:p>
    <w:p w:rsidR="00D66005" w:rsidRPr="00F77964" w:rsidRDefault="00D66005" w:rsidP="00D66005">
      <w:pPr>
        <w:pStyle w:val="CH3"/>
        <w:keepNext w:val="0"/>
        <w:keepLines w:val="0"/>
        <w:rPr>
          <w:lang w:val="fr-FR"/>
        </w:rPr>
      </w:pPr>
      <w:r w:rsidRPr="00F77964">
        <w:rPr>
          <w:rFonts w:eastAsia="SimSun"/>
          <w:lang w:val="fr-FR" w:eastAsia="zh-CN"/>
        </w:rPr>
        <w:tab/>
      </w:r>
      <w:r w:rsidRPr="00F77964">
        <w:rPr>
          <w:rFonts w:eastAsia="SimSun"/>
          <w:lang w:val="fr-FR" w:eastAsia="zh-CN"/>
        </w:rPr>
        <w:tab/>
      </w:r>
      <w:r w:rsidR="00B01F37" w:rsidRPr="00B01F37">
        <w:rPr>
          <w:rFonts w:eastAsia="SimSun"/>
          <w:lang w:val="fr-FR" w:eastAsia="zh-CN"/>
        </w:rPr>
        <w:t>Renforcer les capacités et les connaissances à l’interface science-politique pour que la Plateforme puisse s’acquitter de ses principales fonctions</w:t>
      </w:r>
    </w:p>
    <w:p w:rsidR="00D66005" w:rsidRPr="00F77964" w:rsidRDefault="00A45290" w:rsidP="00D66005">
      <w:pPr>
        <w:pStyle w:val="NormalNonumber"/>
        <w:spacing w:after="0"/>
        <w:rPr>
          <w:rFonts w:eastAsia="SimSun"/>
          <w:b/>
          <w:lang w:val="fr-FR" w:eastAsia="zh-CN"/>
        </w:rPr>
      </w:pPr>
      <w:r w:rsidRPr="00F77964">
        <w:rPr>
          <w:rFonts w:eastAsia="SimSun"/>
          <w:b/>
          <w:lang w:val="fr-FR" w:eastAsia="zh-CN"/>
        </w:rPr>
        <w:t>Produit </w:t>
      </w:r>
      <w:r w:rsidR="00D66005" w:rsidRPr="00F77964">
        <w:rPr>
          <w:rFonts w:eastAsia="SimSun"/>
          <w:b/>
          <w:lang w:val="fr-FR" w:eastAsia="zh-CN"/>
        </w:rPr>
        <w:t>1</w:t>
      </w:r>
      <w:r w:rsidR="00121D49" w:rsidRPr="00F77964">
        <w:rPr>
          <w:rFonts w:eastAsia="SimSun"/>
          <w:b/>
          <w:lang w:val="fr-FR" w:eastAsia="zh-CN"/>
        </w:rPr>
        <w:t> </w:t>
      </w:r>
      <w:r w:rsidR="00D66005" w:rsidRPr="00F77964">
        <w:rPr>
          <w:rFonts w:eastAsia="SimSun"/>
          <w:b/>
          <w:lang w:val="fr-FR" w:eastAsia="zh-CN"/>
        </w:rPr>
        <w:t>a)</w:t>
      </w:r>
    </w:p>
    <w:p w:rsidR="00D66005" w:rsidRPr="00F77964" w:rsidRDefault="00B01F37" w:rsidP="00D66005">
      <w:pPr>
        <w:pStyle w:val="NormalNonumber"/>
        <w:rPr>
          <w:rFonts w:eastAsia="SimSun"/>
          <w:i/>
          <w:lang w:val="fr-FR" w:eastAsia="zh-CN"/>
        </w:rPr>
      </w:pPr>
      <w:r w:rsidRPr="00B01F37">
        <w:rPr>
          <w:b/>
          <w:lang w:val="fr-FR"/>
        </w:rPr>
        <w:t>Mettre en adéquation les besoins prioritaires en matière de renforcement des capacités, auxquels il faut répondre pour mener à bien le programme de travail de la Plateforme, et les ressources que l’on pourrait mobiliser en catalysant un appui financier et en nature (</w:t>
      </w:r>
      <w:r w:rsidRPr="00B01F37">
        <w:rPr>
          <w:b/>
          <w:i/>
          <w:lang w:val="fr-FR"/>
        </w:rPr>
        <w:t>activité continue</w:t>
      </w:r>
      <w:r w:rsidRPr="00B01F37">
        <w:rPr>
          <w:b/>
          <w:lang w:val="fr-FR"/>
        </w:rPr>
        <w:t>)</w:t>
      </w:r>
    </w:p>
    <w:p w:rsidR="00D66005" w:rsidRPr="00F77964" w:rsidRDefault="00D66005" w:rsidP="00D66005">
      <w:pPr>
        <w:pStyle w:val="CH3"/>
        <w:rPr>
          <w:lang w:val="fr-FR"/>
        </w:rPr>
      </w:pPr>
      <w:r w:rsidRPr="00F77964">
        <w:rPr>
          <w:rFonts w:eastAsia="SimSun"/>
          <w:lang w:val="fr-FR" w:eastAsia="zh-CN"/>
        </w:rPr>
        <w:tab/>
      </w:r>
      <w:r w:rsidRPr="00F77964">
        <w:rPr>
          <w:rFonts w:eastAsia="SimSun"/>
          <w:lang w:val="fr-FR" w:eastAsia="zh-CN"/>
        </w:rPr>
        <w:tab/>
      </w:r>
      <w:r w:rsidR="00A45290" w:rsidRPr="00F77964">
        <w:rPr>
          <w:rFonts w:eastAsia="SimSun"/>
          <w:lang w:val="fr-FR" w:eastAsia="zh-CN"/>
        </w:rPr>
        <w:t>Hypothèses</w:t>
      </w:r>
    </w:p>
    <w:p w:rsidR="00D66005" w:rsidRPr="00F77964" w:rsidRDefault="00C06751" w:rsidP="00D66005">
      <w:pPr>
        <w:pStyle w:val="Normalnumber"/>
        <w:numPr>
          <w:ilvl w:val="0"/>
          <w:numId w:val="6"/>
        </w:numPr>
        <w:tabs>
          <w:tab w:val="left" w:pos="624"/>
        </w:tabs>
        <w:ind w:left="1247" w:firstLine="0"/>
        <w:rPr>
          <w:rFonts w:eastAsia="Calibri"/>
          <w:lang w:val="fr-FR"/>
        </w:rPr>
      </w:pPr>
      <w:r>
        <w:rPr>
          <w:lang w:val="fr-FR"/>
        </w:rPr>
        <w:t>Diverses</w:t>
      </w:r>
      <w:r w:rsidR="004D2BEE" w:rsidRPr="00F77964">
        <w:rPr>
          <w:lang w:val="fr-FR"/>
        </w:rPr>
        <w:t xml:space="preserve"> </w:t>
      </w:r>
      <w:r w:rsidR="00A45290" w:rsidRPr="00F77964">
        <w:rPr>
          <w:lang w:val="fr-FR"/>
        </w:rPr>
        <w:t xml:space="preserve">activités seront nécessaires pour </w:t>
      </w:r>
      <w:r w:rsidR="004D2BEE" w:rsidRPr="00F77964">
        <w:rPr>
          <w:lang w:val="fr-FR"/>
        </w:rPr>
        <w:t>cerner</w:t>
      </w:r>
      <w:r w:rsidR="00A45290" w:rsidRPr="00F77964">
        <w:rPr>
          <w:lang w:val="fr-FR"/>
        </w:rPr>
        <w:t xml:space="preserve"> et hiérarchiser les besoins en matière de renforcement des capacités et améliorer l’ac</w:t>
      </w:r>
      <w:r w:rsidR="00C8747C" w:rsidRPr="00F77964">
        <w:rPr>
          <w:lang w:val="fr-FR"/>
        </w:rPr>
        <w:t>cès</w:t>
      </w:r>
      <w:r w:rsidR="00A45290" w:rsidRPr="00F77964">
        <w:rPr>
          <w:lang w:val="fr-FR"/>
        </w:rPr>
        <w:t xml:space="preserve"> aux ressources </w:t>
      </w:r>
      <w:r w:rsidR="004D2BEE" w:rsidRPr="00F77964">
        <w:rPr>
          <w:lang w:val="fr-FR"/>
        </w:rPr>
        <w:t>voulues</w:t>
      </w:r>
      <w:r w:rsidR="00A45290" w:rsidRPr="00F77964">
        <w:rPr>
          <w:lang w:val="fr-FR"/>
        </w:rPr>
        <w:t xml:space="preserve"> pour répondre à ces besoins. Dans cette optique, </w:t>
      </w:r>
      <w:r w:rsidR="00C8747C" w:rsidRPr="00F77964">
        <w:rPr>
          <w:lang w:val="fr-FR"/>
        </w:rPr>
        <w:t xml:space="preserve">des efforts de </w:t>
      </w:r>
      <w:r w:rsidR="00A45290" w:rsidRPr="00F77964">
        <w:rPr>
          <w:lang w:val="fr-FR"/>
        </w:rPr>
        <w:t xml:space="preserve">la </w:t>
      </w:r>
      <w:r w:rsidR="004D2BEE" w:rsidRPr="00F77964">
        <w:rPr>
          <w:lang w:val="fr-FR"/>
        </w:rPr>
        <w:t>P</w:t>
      </w:r>
      <w:r w:rsidR="00A45290" w:rsidRPr="00F77964">
        <w:rPr>
          <w:lang w:val="fr-FR"/>
        </w:rPr>
        <w:t xml:space="preserve">lateforme elle-même </w:t>
      </w:r>
      <w:r w:rsidR="00C8747C" w:rsidRPr="00F77964">
        <w:rPr>
          <w:lang w:val="fr-FR"/>
        </w:rPr>
        <w:t>seront requis,</w:t>
      </w:r>
      <w:r w:rsidR="004D2BEE" w:rsidRPr="00F77964">
        <w:rPr>
          <w:lang w:val="fr-FR"/>
        </w:rPr>
        <w:t xml:space="preserve"> mais </w:t>
      </w:r>
      <w:r w:rsidR="009F3BC6" w:rsidRPr="00F77964">
        <w:rPr>
          <w:lang w:val="fr-FR"/>
        </w:rPr>
        <w:t>la</w:t>
      </w:r>
      <w:r w:rsidR="00A45290" w:rsidRPr="00F77964">
        <w:rPr>
          <w:lang w:val="fr-FR"/>
        </w:rPr>
        <w:t xml:space="preserve"> réalisation d’activités concertées d</w:t>
      </w:r>
      <w:r w:rsidR="009F3BC6" w:rsidRPr="00F77964">
        <w:rPr>
          <w:lang w:val="fr-FR"/>
        </w:rPr>
        <w:t>e</w:t>
      </w:r>
      <w:r w:rsidR="00A45290" w:rsidRPr="00F77964">
        <w:rPr>
          <w:lang w:val="fr-FR"/>
        </w:rPr>
        <w:t xml:space="preserve"> renforcement des capacités par d’autres</w:t>
      </w:r>
      <w:r w:rsidR="009F3BC6" w:rsidRPr="00F77964">
        <w:rPr>
          <w:lang w:val="fr-FR"/>
        </w:rPr>
        <w:t xml:space="preserve"> devra aussi être encouragée</w:t>
      </w:r>
      <w:r w:rsidR="00A45290" w:rsidRPr="00F77964">
        <w:rPr>
          <w:lang w:val="fr-FR"/>
        </w:rPr>
        <w:t xml:space="preserve">. </w:t>
      </w:r>
      <w:r w:rsidR="009F3BC6" w:rsidRPr="00F77964">
        <w:rPr>
          <w:lang w:val="fr-FR"/>
        </w:rPr>
        <w:t>L</w:t>
      </w:r>
      <w:r w:rsidR="00A45290" w:rsidRPr="00F77964">
        <w:rPr>
          <w:lang w:val="fr-FR"/>
        </w:rPr>
        <w:t xml:space="preserve">es liens institutionnels entre la </w:t>
      </w:r>
      <w:r w:rsidR="009F3BC6" w:rsidRPr="00F77964">
        <w:rPr>
          <w:lang w:val="fr-FR"/>
        </w:rPr>
        <w:t>P</w:t>
      </w:r>
      <w:r w:rsidR="00A45290" w:rsidRPr="00F77964">
        <w:rPr>
          <w:lang w:val="fr-FR"/>
        </w:rPr>
        <w:t>lateforme et le Programme des Nations Unies pour l’environnement (PNUE), l’Organisation des Nations Unies pour l’éducation, la science et la culture</w:t>
      </w:r>
      <w:r w:rsidR="009F3BC6" w:rsidRPr="00F77964">
        <w:rPr>
          <w:lang w:val="fr-FR"/>
        </w:rPr>
        <w:t xml:space="preserve"> (UNESCO)</w:t>
      </w:r>
      <w:r w:rsidR="00A45290" w:rsidRPr="00F77964">
        <w:rPr>
          <w:lang w:val="fr-FR"/>
        </w:rPr>
        <w:t xml:space="preserve">, l’Organisation des Nations Unies pour l’alimentation et l’agriculture (FAO) et le Programme des Nations Unies pour le développement (PNUD), </w:t>
      </w:r>
      <w:r w:rsidR="009F3BC6" w:rsidRPr="00F77964">
        <w:rPr>
          <w:lang w:val="fr-FR"/>
        </w:rPr>
        <w:t xml:space="preserve">que </w:t>
      </w:r>
      <w:r w:rsidR="00A45290" w:rsidRPr="00F77964">
        <w:rPr>
          <w:lang w:val="fr-FR"/>
        </w:rPr>
        <w:t xml:space="preserve">la </w:t>
      </w:r>
      <w:r w:rsidR="009F3BC6" w:rsidRPr="00F77964">
        <w:rPr>
          <w:lang w:val="fr-FR"/>
        </w:rPr>
        <w:t>P</w:t>
      </w:r>
      <w:r w:rsidR="00A45290" w:rsidRPr="00F77964">
        <w:rPr>
          <w:lang w:val="fr-FR"/>
        </w:rPr>
        <w:t>lénière a appelé</w:t>
      </w:r>
      <w:r w:rsidR="00C8747C" w:rsidRPr="00F77964">
        <w:rPr>
          <w:lang w:val="fr-FR"/>
        </w:rPr>
        <w:t>s</w:t>
      </w:r>
      <w:r w:rsidR="00A45290" w:rsidRPr="00F77964">
        <w:rPr>
          <w:lang w:val="fr-FR"/>
        </w:rPr>
        <w:t xml:space="preserve"> de ses vœux dans sa décision </w:t>
      </w:r>
      <w:r w:rsidR="00D66005" w:rsidRPr="00F77964">
        <w:rPr>
          <w:lang w:val="fr-FR"/>
        </w:rPr>
        <w:t xml:space="preserve">IPBES/1/4, </w:t>
      </w:r>
      <w:r w:rsidR="00AC33F5">
        <w:rPr>
          <w:lang w:val="fr-FR"/>
        </w:rPr>
        <w:t>pour</w:t>
      </w:r>
      <w:r w:rsidR="009F3BC6" w:rsidRPr="00F77964">
        <w:rPr>
          <w:lang w:val="fr-FR"/>
        </w:rPr>
        <w:t xml:space="preserve">raient notamment contribuer à </w:t>
      </w:r>
      <w:r w:rsidR="00AC33F5">
        <w:rPr>
          <w:lang w:val="fr-FR"/>
        </w:rPr>
        <w:t xml:space="preserve">la réalisation de </w:t>
      </w:r>
      <w:r w:rsidR="009F3BC6" w:rsidRPr="00F77964">
        <w:rPr>
          <w:lang w:val="fr-FR"/>
        </w:rPr>
        <w:t>ce produit</w:t>
      </w:r>
      <w:r w:rsidR="00A45290" w:rsidRPr="00F77964">
        <w:rPr>
          <w:lang w:val="fr-FR"/>
        </w:rPr>
        <w:t xml:space="preserve">. </w:t>
      </w:r>
      <w:r w:rsidR="005C58FA">
        <w:rPr>
          <w:lang w:val="fr-FR"/>
        </w:rPr>
        <w:t>Il est prévu que la Plénière examine la</w:t>
      </w:r>
      <w:r w:rsidR="00552C0D">
        <w:rPr>
          <w:lang w:val="fr-FR"/>
        </w:rPr>
        <w:t xml:space="preserve"> </w:t>
      </w:r>
      <w:r w:rsidR="005C58FA">
        <w:rPr>
          <w:lang w:val="fr-FR"/>
        </w:rPr>
        <w:t>possibilité de</w:t>
      </w:r>
      <w:r w:rsidR="00C8747C" w:rsidRPr="00F77964">
        <w:rPr>
          <w:lang w:val="fr-FR"/>
        </w:rPr>
        <w:t xml:space="preserve"> </w:t>
      </w:r>
      <w:r w:rsidR="00A45290" w:rsidRPr="00F77964">
        <w:rPr>
          <w:lang w:val="fr-FR"/>
        </w:rPr>
        <w:t xml:space="preserve">demander au Bureau d’organiser régulièrement </w:t>
      </w:r>
      <w:r w:rsidR="00F21575" w:rsidRPr="00F77964">
        <w:rPr>
          <w:lang w:val="fr-FR"/>
        </w:rPr>
        <w:t>un forum</w:t>
      </w:r>
      <w:r w:rsidR="009F3BC6" w:rsidRPr="00F77964">
        <w:rPr>
          <w:lang w:val="fr-FR"/>
        </w:rPr>
        <w:t xml:space="preserve"> </w:t>
      </w:r>
      <w:r w:rsidR="00A45290" w:rsidRPr="00F77964">
        <w:rPr>
          <w:lang w:val="fr-FR"/>
        </w:rPr>
        <w:t xml:space="preserve">avec les sources </w:t>
      </w:r>
      <w:r w:rsidR="00552C0D">
        <w:rPr>
          <w:lang w:val="fr-FR"/>
        </w:rPr>
        <w:t>traditionnelles</w:t>
      </w:r>
      <w:r w:rsidR="00A45290" w:rsidRPr="00F77964">
        <w:rPr>
          <w:lang w:val="fr-FR"/>
        </w:rPr>
        <w:t xml:space="preserve"> et potentielles</w:t>
      </w:r>
      <w:r w:rsidR="00061FB3" w:rsidRPr="00F77964">
        <w:rPr>
          <w:lang w:val="fr-FR"/>
        </w:rPr>
        <w:t xml:space="preserve"> de financement, </w:t>
      </w:r>
      <w:r w:rsidR="009F3BC6" w:rsidRPr="00F77964">
        <w:rPr>
          <w:lang w:val="fr-FR"/>
        </w:rPr>
        <w:t xml:space="preserve">comme </w:t>
      </w:r>
      <w:r w:rsidR="007F6C26" w:rsidRPr="00F77964">
        <w:rPr>
          <w:lang w:val="fr-FR"/>
        </w:rPr>
        <w:t>indiqué</w:t>
      </w:r>
      <w:r w:rsidR="009F3BC6" w:rsidRPr="00F77964">
        <w:rPr>
          <w:lang w:val="fr-FR"/>
        </w:rPr>
        <w:t xml:space="preserve"> au</w:t>
      </w:r>
      <w:r w:rsidR="00061FB3" w:rsidRPr="00F77964">
        <w:rPr>
          <w:lang w:val="fr-FR"/>
        </w:rPr>
        <w:t xml:space="preserve"> paragraphe 1 de l’a</w:t>
      </w:r>
      <w:r w:rsidR="007F6C26" w:rsidRPr="00F77964">
        <w:rPr>
          <w:lang w:val="fr-FR"/>
        </w:rPr>
        <w:t>ppendice</w:t>
      </w:r>
      <w:r w:rsidR="00592ADB">
        <w:rPr>
          <w:lang w:val="fr-FR"/>
        </w:rPr>
        <w:t> I</w:t>
      </w:r>
      <w:r w:rsidR="00061FB3" w:rsidRPr="00F77964">
        <w:rPr>
          <w:lang w:val="fr-FR"/>
        </w:rPr>
        <w:t xml:space="preserve"> de la </w:t>
      </w:r>
      <w:r w:rsidR="009F3BC6" w:rsidRPr="00F77964">
        <w:rPr>
          <w:lang w:val="fr-FR"/>
        </w:rPr>
        <w:t>r</w:t>
      </w:r>
      <w:r w:rsidR="00061FB3" w:rsidRPr="00F77964">
        <w:rPr>
          <w:lang w:val="fr-FR"/>
        </w:rPr>
        <w:t xml:space="preserve">ésolution établissant la </w:t>
      </w:r>
      <w:r w:rsidR="009F3BC6" w:rsidRPr="00F77964">
        <w:rPr>
          <w:lang w:val="fr-FR"/>
        </w:rPr>
        <w:t>P</w:t>
      </w:r>
      <w:r w:rsidR="00061FB3" w:rsidRPr="00F77964">
        <w:rPr>
          <w:lang w:val="fr-FR"/>
        </w:rPr>
        <w:t xml:space="preserve">lateforme, dans le cadre de réunions </w:t>
      </w:r>
      <w:r w:rsidR="00F21575" w:rsidRPr="00F77964">
        <w:rPr>
          <w:lang w:val="fr-FR"/>
        </w:rPr>
        <w:t>physiques</w:t>
      </w:r>
      <w:r w:rsidR="009F3BC6" w:rsidRPr="00F77964">
        <w:rPr>
          <w:lang w:val="fr-FR"/>
        </w:rPr>
        <w:t xml:space="preserve"> et d’échanges sur Internet</w:t>
      </w:r>
      <w:r w:rsidR="00061FB3" w:rsidRPr="00F77964">
        <w:rPr>
          <w:lang w:val="fr-FR"/>
        </w:rPr>
        <w:t xml:space="preserve">, y compris </w:t>
      </w:r>
      <w:r w:rsidR="00C102B5" w:rsidRPr="00F77964">
        <w:rPr>
          <w:lang w:val="fr-FR"/>
        </w:rPr>
        <w:t>des</w:t>
      </w:r>
      <w:r w:rsidR="00061FB3" w:rsidRPr="00F77964">
        <w:rPr>
          <w:lang w:val="fr-FR"/>
        </w:rPr>
        <w:t xml:space="preserve"> </w:t>
      </w:r>
      <w:r w:rsidR="0034645C" w:rsidRPr="00F77964">
        <w:rPr>
          <w:lang w:val="fr-FR"/>
        </w:rPr>
        <w:t>vidéo</w:t>
      </w:r>
      <w:r w:rsidR="00061FB3" w:rsidRPr="00F77964">
        <w:rPr>
          <w:lang w:val="fr-FR"/>
        </w:rPr>
        <w:t xml:space="preserve">conférences. </w:t>
      </w:r>
      <w:r w:rsidR="00991082">
        <w:rPr>
          <w:lang w:val="fr-FR"/>
        </w:rPr>
        <w:t>Il est également envi</w:t>
      </w:r>
      <w:r w:rsidR="009C3B40">
        <w:rPr>
          <w:lang w:val="fr-FR"/>
        </w:rPr>
        <w:t>s</w:t>
      </w:r>
      <w:r w:rsidR="00991082">
        <w:rPr>
          <w:lang w:val="fr-FR"/>
        </w:rPr>
        <w:t xml:space="preserve">agé que la </w:t>
      </w:r>
      <w:r w:rsidR="001C2093" w:rsidRPr="00F77964">
        <w:rPr>
          <w:lang w:val="fr-FR"/>
        </w:rPr>
        <w:t>P</w:t>
      </w:r>
      <w:r w:rsidR="00061FB3" w:rsidRPr="00F77964">
        <w:rPr>
          <w:lang w:val="fr-FR"/>
        </w:rPr>
        <w:t>l</w:t>
      </w:r>
      <w:r w:rsidR="00991082">
        <w:rPr>
          <w:lang w:val="fr-FR"/>
        </w:rPr>
        <w:t>énière</w:t>
      </w:r>
      <w:r w:rsidR="00061FB3" w:rsidRPr="00F77964">
        <w:rPr>
          <w:lang w:val="fr-FR"/>
        </w:rPr>
        <w:t xml:space="preserve"> </w:t>
      </w:r>
      <w:r w:rsidR="00991082">
        <w:rPr>
          <w:lang w:val="fr-FR"/>
        </w:rPr>
        <w:t>se penche sur la possibilité d’</w:t>
      </w:r>
      <w:r w:rsidR="00061FB3" w:rsidRPr="00F77964">
        <w:rPr>
          <w:lang w:val="fr-FR"/>
        </w:rPr>
        <w:t xml:space="preserve">établir une équipe </w:t>
      </w:r>
      <w:r w:rsidR="001C2093" w:rsidRPr="00F77964">
        <w:rPr>
          <w:lang w:val="fr-FR"/>
        </w:rPr>
        <w:t>spéciale</w:t>
      </w:r>
      <w:r w:rsidR="00061FB3" w:rsidRPr="00F77964">
        <w:rPr>
          <w:lang w:val="fr-FR"/>
        </w:rPr>
        <w:t xml:space="preserve"> sur le renforcement des capacités, dirigée par le Bureau et le Groupe d’experts multidisciplinaire et co</w:t>
      </w:r>
      <w:r w:rsidR="001C2093" w:rsidRPr="00F77964">
        <w:rPr>
          <w:lang w:val="fr-FR"/>
        </w:rPr>
        <w:t>nstitué</w:t>
      </w:r>
      <w:r w:rsidR="00F21575" w:rsidRPr="00F77964">
        <w:rPr>
          <w:lang w:val="fr-FR"/>
        </w:rPr>
        <w:t>e</w:t>
      </w:r>
      <w:r w:rsidR="001C2093" w:rsidRPr="00F77964">
        <w:rPr>
          <w:lang w:val="fr-FR"/>
        </w:rPr>
        <w:t xml:space="preserve"> du</w:t>
      </w:r>
      <w:r w:rsidR="00061FB3" w:rsidRPr="00F77964">
        <w:rPr>
          <w:lang w:val="fr-FR"/>
        </w:rPr>
        <w:t xml:space="preserve"> PNUE, </w:t>
      </w:r>
      <w:r w:rsidR="001C2093" w:rsidRPr="00F77964">
        <w:rPr>
          <w:lang w:val="fr-FR"/>
        </w:rPr>
        <w:t xml:space="preserve">de </w:t>
      </w:r>
      <w:r w:rsidR="00061FB3" w:rsidRPr="00F77964">
        <w:rPr>
          <w:lang w:val="fr-FR"/>
        </w:rPr>
        <w:t xml:space="preserve">l’UNESCO, </w:t>
      </w:r>
      <w:r w:rsidR="001C2093" w:rsidRPr="00F77964">
        <w:rPr>
          <w:lang w:val="fr-FR"/>
        </w:rPr>
        <w:t xml:space="preserve">de </w:t>
      </w:r>
      <w:r w:rsidR="00061FB3" w:rsidRPr="00F77964">
        <w:rPr>
          <w:lang w:val="fr-FR"/>
        </w:rPr>
        <w:t xml:space="preserve">la FAO, </w:t>
      </w:r>
      <w:r w:rsidR="001C2093" w:rsidRPr="00F77964">
        <w:rPr>
          <w:lang w:val="fr-FR"/>
        </w:rPr>
        <w:t>du</w:t>
      </w:r>
      <w:r w:rsidR="00061FB3" w:rsidRPr="00F77964">
        <w:rPr>
          <w:lang w:val="fr-FR"/>
        </w:rPr>
        <w:t xml:space="preserve"> PNUD et d’autres</w:t>
      </w:r>
      <w:r w:rsidR="001C2093" w:rsidRPr="00F77964">
        <w:rPr>
          <w:lang w:val="fr-FR"/>
        </w:rPr>
        <w:t xml:space="preserve"> initiatives,</w:t>
      </w:r>
      <w:r w:rsidR="00061FB3" w:rsidRPr="00F77964">
        <w:rPr>
          <w:lang w:val="fr-FR"/>
        </w:rPr>
        <w:t xml:space="preserve"> réseaux et institutions partenaires stratégiques, notamment le </w:t>
      </w:r>
      <w:r w:rsidR="006A6E7B">
        <w:rPr>
          <w:lang w:val="fr-FR"/>
        </w:rPr>
        <w:t>Sub-Global Assessment Network</w:t>
      </w:r>
      <w:r w:rsidR="00061FB3" w:rsidRPr="00F77964">
        <w:rPr>
          <w:lang w:val="fr-FR"/>
        </w:rPr>
        <w:t xml:space="preserve"> et le </w:t>
      </w:r>
      <w:r w:rsidR="006A6E7B">
        <w:rPr>
          <w:lang w:val="fr-FR"/>
        </w:rPr>
        <w:t>Biodiversity and Ecosystem Services-Net</w:t>
      </w:r>
      <w:r w:rsidR="00061FB3" w:rsidRPr="00F77964">
        <w:rPr>
          <w:lang w:val="fr-FR"/>
        </w:rPr>
        <w:t xml:space="preserve"> (BES</w:t>
      </w:r>
      <w:r w:rsidR="00AB104A" w:rsidRPr="00F77964">
        <w:rPr>
          <w:lang w:val="fr-FR"/>
        </w:rPr>
        <w:t xml:space="preserve">-Net). </w:t>
      </w:r>
      <w:r w:rsidR="00F21575" w:rsidRPr="00F77964">
        <w:rPr>
          <w:lang w:val="fr-FR"/>
        </w:rPr>
        <w:t xml:space="preserve">Cette </w:t>
      </w:r>
      <w:r w:rsidR="001C2093" w:rsidRPr="00F77964">
        <w:rPr>
          <w:lang w:val="fr-FR"/>
        </w:rPr>
        <w:t>équipe spéciale</w:t>
      </w:r>
      <w:r w:rsidR="00AB104A" w:rsidRPr="00F77964">
        <w:rPr>
          <w:lang w:val="fr-FR"/>
        </w:rPr>
        <w:t xml:space="preserve"> sera chargé</w:t>
      </w:r>
      <w:r w:rsidR="001C2093" w:rsidRPr="00F77964">
        <w:rPr>
          <w:lang w:val="fr-FR"/>
        </w:rPr>
        <w:t>e</w:t>
      </w:r>
      <w:r w:rsidR="00AB104A" w:rsidRPr="00F77964">
        <w:rPr>
          <w:lang w:val="fr-FR"/>
        </w:rPr>
        <w:t xml:space="preserve"> de </w:t>
      </w:r>
      <w:r w:rsidR="00D66005" w:rsidRPr="00F77964">
        <w:rPr>
          <w:lang w:val="fr-FR"/>
        </w:rPr>
        <w:t>a)</w:t>
      </w:r>
      <w:r w:rsidR="00AB104A" w:rsidRPr="00F77964">
        <w:rPr>
          <w:lang w:val="fr-FR"/>
        </w:rPr>
        <w:t> conseiller le Bureau sur les modalités d’établissement d’une liste régulièrement actualisée des besoins prioritaires en matière de renforcement des capacités</w:t>
      </w:r>
      <w:r w:rsidR="002D4344">
        <w:rPr>
          <w:lang w:val="fr-FR"/>
        </w:rPr>
        <w:t xml:space="preserve"> indiquant l</w:t>
      </w:r>
      <w:r w:rsidR="00507BA5" w:rsidRPr="00F77964">
        <w:rPr>
          <w:lang w:val="fr-FR"/>
        </w:rPr>
        <w:t xml:space="preserve">es déficits de financement correspondants et </w:t>
      </w:r>
      <w:r w:rsidR="002D4344">
        <w:rPr>
          <w:lang w:val="fr-FR"/>
        </w:rPr>
        <w:t>l</w:t>
      </w:r>
      <w:r w:rsidR="00507BA5" w:rsidRPr="00F77964">
        <w:rPr>
          <w:lang w:val="fr-FR"/>
        </w:rPr>
        <w:t xml:space="preserve">es sources de financement disponibles; </w:t>
      </w:r>
      <w:r w:rsidR="00D66005" w:rsidRPr="00F77964">
        <w:rPr>
          <w:lang w:val="fr-FR"/>
        </w:rPr>
        <w:t>b)</w:t>
      </w:r>
      <w:r w:rsidR="00507BA5" w:rsidRPr="00F77964">
        <w:rPr>
          <w:lang w:val="fr-FR"/>
        </w:rPr>
        <w:t> </w:t>
      </w:r>
      <w:r w:rsidR="00822642">
        <w:rPr>
          <w:lang w:val="fr-FR"/>
        </w:rPr>
        <w:t>aid</w:t>
      </w:r>
      <w:r w:rsidR="001C2093" w:rsidRPr="00F77964">
        <w:rPr>
          <w:lang w:val="fr-FR"/>
        </w:rPr>
        <w:t>er</w:t>
      </w:r>
      <w:r w:rsidR="00507BA5" w:rsidRPr="00F77964">
        <w:rPr>
          <w:lang w:val="fr-FR"/>
        </w:rPr>
        <w:t xml:space="preserve"> </w:t>
      </w:r>
      <w:r w:rsidR="00822642">
        <w:rPr>
          <w:lang w:val="fr-FR"/>
        </w:rPr>
        <w:t>le Bureau à organiser le forum</w:t>
      </w:r>
      <w:r w:rsidR="001C2093" w:rsidRPr="00F77964">
        <w:rPr>
          <w:lang w:val="fr-FR"/>
        </w:rPr>
        <w:t xml:space="preserve"> </w:t>
      </w:r>
      <w:r w:rsidR="002D4344">
        <w:rPr>
          <w:lang w:val="fr-FR"/>
        </w:rPr>
        <w:t>mentionn</w:t>
      </w:r>
      <w:r w:rsidR="00822642">
        <w:rPr>
          <w:lang w:val="fr-FR"/>
        </w:rPr>
        <w:t xml:space="preserve">é </w:t>
      </w:r>
      <w:r w:rsidR="002D4344">
        <w:rPr>
          <w:lang w:val="fr-FR"/>
        </w:rPr>
        <w:t xml:space="preserve">plus haut </w:t>
      </w:r>
      <w:r w:rsidR="001C2093" w:rsidRPr="00F77964">
        <w:rPr>
          <w:lang w:val="fr-FR"/>
        </w:rPr>
        <w:t>et c</w:t>
      </w:r>
      <w:r w:rsidR="00D66005" w:rsidRPr="00F77964">
        <w:rPr>
          <w:lang w:val="fr-FR"/>
        </w:rPr>
        <w:t>)</w:t>
      </w:r>
      <w:r w:rsidR="00507BA5" w:rsidRPr="00F77964">
        <w:rPr>
          <w:lang w:val="fr-FR"/>
        </w:rPr>
        <w:t xml:space="preserve"> conseiller le Bureau et le </w:t>
      </w:r>
      <w:r w:rsidR="001F5F53" w:rsidRPr="00F77964">
        <w:rPr>
          <w:lang w:val="fr-FR"/>
        </w:rPr>
        <w:t>s</w:t>
      </w:r>
      <w:r w:rsidR="00507BA5" w:rsidRPr="00F77964">
        <w:rPr>
          <w:lang w:val="fr-FR"/>
        </w:rPr>
        <w:t xml:space="preserve">ecrétariat sur l’établissement et le fonctionnement d’un mécanisme de mise en correspondance sous la forme d’un outil en ligne </w:t>
      </w:r>
      <w:r w:rsidR="001F5F53" w:rsidRPr="00F77964">
        <w:rPr>
          <w:lang w:val="fr-FR"/>
        </w:rPr>
        <w:t>comprenant</w:t>
      </w:r>
      <w:r w:rsidR="00507BA5" w:rsidRPr="00F77964">
        <w:rPr>
          <w:lang w:val="fr-FR"/>
        </w:rPr>
        <w:t xml:space="preserve"> un catalogue des besoins et un catalogue des offres </w:t>
      </w:r>
      <w:r w:rsidR="007836D9">
        <w:rPr>
          <w:lang w:val="fr-FR"/>
        </w:rPr>
        <w:t xml:space="preserve">en matière de </w:t>
      </w:r>
      <w:r w:rsidR="00507BA5" w:rsidRPr="00F77964">
        <w:rPr>
          <w:lang w:val="fr-FR"/>
        </w:rPr>
        <w:t xml:space="preserve">renforcement des capacités </w:t>
      </w:r>
      <w:r w:rsidR="007836D9">
        <w:rPr>
          <w:lang w:val="fr-FR"/>
        </w:rPr>
        <w:t xml:space="preserve">destiné à </w:t>
      </w:r>
      <w:r w:rsidR="00507BA5" w:rsidRPr="00F77964">
        <w:rPr>
          <w:lang w:val="fr-FR"/>
        </w:rPr>
        <w:t>aid</w:t>
      </w:r>
      <w:r w:rsidR="007836D9">
        <w:rPr>
          <w:lang w:val="fr-FR"/>
        </w:rPr>
        <w:t>er</w:t>
      </w:r>
      <w:r w:rsidR="00507BA5" w:rsidRPr="00F77964">
        <w:rPr>
          <w:lang w:val="fr-FR"/>
        </w:rPr>
        <w:t xml:space="preserve"> ceux qui ont des besoins prioritaires dans ce domaine à avoir accès aux ressources techniques et financières disponibles. L’équipe </w:t>
      </w:r>
      <w:r w:rsidR="001F5F53" w:rsidRPr="00F77964">
        <w:rPr>
          <w:lang w:val="fr-FR"/>
        </w:rPr>
        <w:t>spéciale</w:t>
      </w:r>
      <w:r w:rsidR="00507BA5" w:rsidRPr="00F77964">
        <w:rPr>
          <w:lang w:val="fr-FR"/>
        </w:rPr>
        <w:t xml:space="preserve"> et </w:t>
      </w:r>
      <w:r w:rsidR="001F5F53" w:rsidRPr="00F77964">
        <w:rPr>
          <w:lang w:val="fr-FR"/>
        </w:rPr>
        <w:t>les services d’appui</w:t>
      </w:r>
      <w:r w:rsidR="00507BA5" w:rsidRPr="00F77964">
        <w:rPr>
          <w:lang w:val="fr-FR"/>
        </w:rPr>
        <w:t xml:space="preserve"> technique </w:t>
      </w:r>
      <w:r w:rsidR="001F5F53" w:rsidRPr="00F77964">
        <w:rPr>
          <w:lang w:val="fr-FR"/>
        </w:rPr>
        <w:t>qui lui sont associés sont chargé</w:t>
      </w:r>
      <w:r w:rsidR="00507BA5" w:rsidRPr="00F77964">
        <w:rPr>
          <w:lang w:val="fr-FR"/>
        </w:rPr>
        <w:t>s de la mise en œuvre du produit </w:t>
      </w:r>
      <w:r w:rsidR="00D66005" w:rsidRPr="00F77964">
        <w:rPr>
          <w:lang w:val="fr-FR"/>
        </w:rPr>
        <w:t>1</w:t>
      </w:r>
      <w:r w:rsidR="001F5F53" w:rsidRPr="00F77964">
        <w:rPr>
          <w:lang w:val="fr-FR"/>
        </w:rPr>
        <w:t> </w:t>
      </w:r>
      <w:r w:rsidR="00D66005" w:rsidRPr="00F77964">
        <w:rPr>
          <w:lang w:val="fr-FR"/>
        </w:rPr>
        <w:t xml:space="preserve">b). </w:t>
      </w:r>
    </w:p>
    <w:p w:rsidR="00D66005" w:rsidRPr="00F77964" w:rsidRDefault="00D66005" w:rsidP="00D66005">
      <w:pPr>
        <w:pStyle w:val="CH3"/>
        <w:rPr>
          <w:rFonts w:eastAsia="SimSun"/>
          <w:lang w:val="fr-FR" w:eastAsia="zh-CN"/>
        </w:rPr>
      </w:pPr>
      <w:r w:rsidRPr="00F77964">
        <w:rPr>
          <w:rFonts w:eastAsia="SimSun"/>
          <w:lang w:val="fr-FR" w:eastAsia="zh-CN"/>
        </w:rPr>
        <w:lastRenderedPageBreak/>
        <w:tab/>
      </w:r>
      <w:r w:rsidRPr="00F77964">
        <w:rPr>
          <w:rFonts w:eastAsia="SimSun"/>
          <w:lang w:val="fr-FR" w:eastAsia="zh-CN"/>
        </w:rPr>
        <w:tab/>
        <w:t xml:space="preserve">Actions, </w:t>
      </w:r>
      <w:r w:rsidR="00507BA5" w:rsidRPr="00F77964">
        <w:rPr>
          <w:rFonts w:eastAsia="SimSun"/>
          <w:lang w:val="fr-FR" w:eastAsia="zh-CN"/>
        </w:rPr>
        <w:t xml:space="preserve">étapes </w:t>
      </w:r>
      <w:r w:rsidR="0048412B" w:rsidRPr="00F77964">
        <w:rPr>
          <w:rFonts w:eastAsia="SimSun"/>
          <w:lang w:val="fr-FR" w:eastAsia="zh-CN"/>
        </w:rPr>
        <w:t>intermédiaires et dispositions</w:t>
      </w:r>
      <w:r w:rsidR="00507BA5" w:rsidRPr="00F77964">
        <w:rPr>
          <w:rFonts w:eastAsia="SimSun"/>
          <w:lang w:val="fr-FR" w:eastAsia="zh-CN"/>
        </w:rPr>
        <w:t xml:space="preserve"> institutionnel</w:t>
      </w:r>
      <w:r w:rsidR="0048412B" w:rsidRPr="00F77964">
        <w:rPr>
          <w:rFonts w:eastAsia="SimSun"/>
          <w:lang w:val="fr-FR" w:eastAsia="zh-CN"/>
        </w:rPr>
        <w:t>le</w:t>
      </w:r>
      <w:r w:rsidR="00507BA5" w:rsidRPr="00F77964">
        <w:rPr>
          <w:rFonts w:eastAsia="SimSun"/>
          <w:lang w:val="fr-FR" w:eastAsia="zh-CN"/>
        </w:rPr>
        <w:t>s</w:t>
      </w:r>
    </w:p>
    <w:p w:rsidR="00D66005" w:rsidRPr="00F77964" w:rsidRDefault="00507BA5" w:rsidP="00D66005">
      <w:pPr>
        <w:pStyle w:val="Normalnumber"/>
        <w:numPr>
          <w:ilvl w:val="0"/>
          <w:numId w:val="6"/>
        </w:numPr>
        <w:tabs>
          <w:tab w:val="left" w:pos="624"/>
        </w:tabs>
        <w:ind w:left="1247" w:firstLine="0"/>
        <w:rPr>
          <w:lang w:val="fr-FR"/>
        </w:rPr>
      </w:pPr>
      <w:r w:rsidRPr="00F77964">
        <w:rPr>
          <w:lang w:val="fr-FR"/>
        </w:rPr>
        <w:t>Les actions à mener sont indiquées ci-après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1777"/>
        <w:gridCol w:w="5424"/>
      </w:tblGrid>
      <w:tr w:rsidR="0039688D" w:rsidRPr="0061490E" w:rsidTr="00592ADB">
        <w:trPr>
          <w:trHeight w:val="199"/>
          <w:tblHeader/>
        </w:trPr>
        <w:tc>
          <w:tcPr>
            <w:tcW w:w="2378" w:type="dxa"/>
            <w:gridSpan w:val="2"/>
            <w:tcBorders>
              <w:top w:val="single" w:sz="4" w:space="0" w:color="auto"/>
              <w:left w:val="single" w:sz="4" w:space="0" w:color="auto"/>
              <w:bottom w:val="single" w:sz="4" w:space="0" w:color="auto"/>
              <w:right w:val="single" w:sz="4" w:space="0" w:color="auto"/>
            </w:tcBorders>
            <w:hideMark/>
          </w:tcPr>
          <w:p w:rsidR="00D66005" w:rsidRPr="00F77964" w:rsidRDefault="00507BA5" w:rsidP="00507BA5">
            <w:pPr>
              <w:pStyle w:val="Normal-pool"/>
              <w:spacing w:before="40" w:after="40"/>
              <w:rPr>
                <w:rFonts w:eastAsia="SimSun"/>
                <w:i/>
                <w:sz w:val="18"/>
                <w:szCs w:val="18"/>
                <w:lang w:eastAsia="zh-CN"/>
              </w:rPr>
            </w:pPr>
            <w:r w:rsidRPr="00F77964">
              <w:rPr>
                <w:rFonts w:eastAsia="SimSun"/>
                <w:i/>
                <w:sz w:val="18"/>
                <w:szCs w:val="18"/>
                <w:lang w:eastAsia="zh-CN"/>
              </w:rPr>
              <w:t>Calendrier</w:t>
            </w:r>
          </w:p>
        </w:tc>
        <w:tc>
          <w:tcPr>
            <w:tcW w:w="5424"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D66005" w:rsidP="0048412B">
            <w:pPr>
              <w:pStyle w:val="Normal-pool"/>
              <w:spacing w:before="40" w:after="40"/>
              <w:rPr>
                <w:rFonts w:eastAsia="SimSun"/>
                <w:i/>
                <w:sz w:val="18"/>
                <w:szCs w:val="18"/>
                <w:lang w:eastAsia="zh-CN"/>
              </w:rPr>
            </w:pPr>
            <w:r w:rsidRPr="00F77964">
              <w:rPr>
                <w:rFonts w:eastAsia="SimSun"/>
                <w:i/>
                <w:sz w:val="18"/>
                <w:szCs w:val="18"/>
                <w:lang w:eastAsia="zh-CN"/>
              </w:rPr>
              <w:t>Actions/</w:t>
            </w:r>
            <w:r w:rsidR="00507BA5" w:rsidRPr="00F77964">
              <w:rPr>
                <w:rFonts w:eastAsia="SimSun"/>
                <w:i/>
                <w:sz w:val="18"/>
                <w:szCs w:val="18"/>
                <w:lang w:eastAsia="zh-CN"/>
              </w:rPr>
              <w:t>dispositi</w:t>
            </w:r>
            <w:r w:rsidR="0048412B" w:rsidRPr="00F77964">
              <w:rPr>
                <w:rFonts w:eastAsia="SimSun"/>
                <w:i/>
                <w:sz w:val="18"/>
                <w:szCs w:val="18"/>
                <w:lang w:eastAsia="zh-CN"/>
              </w:rPr>
              <w:t>ons</w:t>
            </w:r>
            <w:r w:rsidR="00507BA5" w:rsidRPr="00F77964">
              <w:rPr>
                <w:rFonts w:eastAsia="SimSun"/>
                <w:i/>
                <w:sz w:val="18"/>
                <w:szCs w:val="18"/>
                <w:lang w:eastAsia="zh-CN"/>
              </w:rPr>
              <w:t xml:space="preserve"> institutionnel</w:t>
            </w:r>
            <w:r w:rsidR="0048412B" w:rsidRPr="00F77964">
              <w:rPr>
                <w:rFonts w:eastAsia="SimSun"/>
                <w:i/>
                <w:sz w:val="18"/>
                <w:szCs w:val="18"/>
                <w:lang w:eastAsia="zh-CN"/>
              </w:rPr>
              <w:t>le</w:t>
            </w:r>
            <w:r w:rsidR="00507BA5" w:rsidRPr="00F77964">
              <w:rPr>
                <w:rFonts w:eastAsia="SimSun"/>
                <w:i/>
                <w:sz w:val="18"/>
                <w:szCs w:val="18"/>
                <w:lang w:eastAsia="zh-CN"/>
              </w:rPr>
              <w:t>s</w:t>
            </w:r>
          </w:p>
        </w:tc>
      </w:tr>
      <w:tr w:rsidR="00A54DD1" w:rsidRPr="0061490E" w:rsidTr="00592ADB">
        <w:trPr>
          <w:trHeight w:val="591"/>
        </w:trPr>
        <w:tc>
          <w:tcPr>
            <w:tcW w:w="601"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pPr>
              <w:pStyle w:val="Normal-pool"/>
              <w:spacing w:before="40" w:after="40"/>
              <w:rPr>
                <w:rFonts w:eastAsia="SimSun"/>
                <w:sz w:val="18"/>
                <w:szCs w:val="18"/>
                <w:lang w:eastAsia="zh-CN"/>
              </w:rPr>
            </w:pPr>
            <w:r w:rsidRPr="00F77964">
              <w:rPr>
                <w:rFonts w:eastAsia="SimSun"/>
                <w:sz w:val="18"/>
                <w:szCs w:val="18"/>
                <w:lang w:eastAsia="zh-CN"/>
              </w:rPr>
              <w:t>2013</w:t>
            </w:r>
          </w:p>
        </w:tc>
        <w:tc>
          <w:tcPr>
            <w:tcW w:w="1777"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507BA5" w:rsidP="00507BA5">
            <w:pPr>
              <w:pStyle w:val="Normal-pool"/>
              <w:spacing w:before="40" w:after="40"/>
              <w:rPr>
                <w:rFonts w:eastAsia="SimSun"/>
                <w:sz w:val="18"/>
                <w:szCs w:val="18"/>
                <w:lang w:eastAsia="zh-CN"/>
              </w:rPr>
            </w:pPr>
            <w:r w:rsidRPr="00F77964">
              <w:rPr>
                <w:rFonts w:eastAsia="SimSun"/>
                <w:sz w:val="18"/>
                <w:szCs w:val="18"/>
                <w:lang w:eastAsia="zh-CN"/>
              </w:rPr>
              <w:t>Quatrième trimestre</w:t>
            </w:r>
          </w:p>
        </w:tc>
        <w:tc>
          <w:tcPr>
            <w:tcW w:w="5424"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507BA5" w:rsidP="002D4344">
            <w:pPr>
              <w:pStyle w:val="Normal-pool"/>
              <w:spacing w:before="40" w:after="40"/>
              <w:rPr>
                <w:rFonts w:eastAsia="SimSun"/>
                <w:sz w:val="18"/>
                <w:szCs w:val="18"/>
                <w:lang w:eastAsia="zh-CN"/>
              </w:rPr>
            </w:pPr>
            <w:r w:rsidRPr="00F77964">
              <w:rPr>
                <w:rFonts w:eastAsia="SimSun"/>
                <w:sz w:val="18"/>
                <w:szCs w:val="18"/>
                <w:lang w:eastAsia="zh-CN"/>
              </w:rPr>
              <w:t xml:space="preserve">La Plénière, à sa deuxième session, </w:t>
            </w:r>
            <w:r w:rsidR="002D4344">
              <w:rPr>
                <w:rFonts w:eastAsia="SimSun"/>
                <w:sz w:val="18"/>
                <w:szCs w:val="18"/>
                <w:lang w:eastAsia="zh-CN"/>
              </w:rPr>
              <w:t xml:space="preserve">examine la possibilité de </w:t>
            </w:r>
            <w:r w:rsidRPr="00F77964">
              <w:rPr>
                <w:rFonts w:eastAsia="SimSun"/>
                <w:sz w:val="18"/>
                <w:szCs w:val="18"/>
                <w:lang w:eastAsia="zh-CN"/>
              </w:rPr>
              <w:t>demander au Bureau, par l</w:t>
            </w:r>
            <w:r w:rsidR="001F5F53" w:rsidRPr="00F77964">
              <w:rPr>
                <w:rFonts w:eastAsia="SimSun"/>
                <w:sz w:val="18"/>
                <w:szCs w:val="18"/>
                <w:lang w:eastAsia="zh-CN"/>
              </w:rPr>
              <w:t xml:space="preserve">’intermédiaire </w:t>
            </w:r>
            <w:r w:rsidRPr="00F77964">
              <w:rPr>
                <w:rFonts w:eastAsia="SimSun"/>
                <w:sz w:val="18"/>
                <w:szCs w:val="18"/>
                <w:lang w:eastAsia="zh-CN"/>
              </w:rPr>
              <w:t xml:space="preserve">du </w:t>
            </w:r>
            <w:r w:rsidR="001F5F53" w:rsidRPr="00F77964">
              <w:rPr>
                <w:rFonts w:eastAsia="SimSun"/>
                <w:sz w:val="18"/>
                <w:szCs w:val="18"/>
                <w:lang w:eastAsia="zh-CN"/>
              </w:rPr>
              <w:t>s</w:t>
            </w:r>
            <w:r w:rsidRPr="00F77964">
              <w:rPr>
                <w:rFonts w:eastAsia="SimSun"/>
                <w:sz w:val="18"/>
                <w:szCs w:val="18"/>
                <w:lang w:eastAsia="zh-CN"/>
              </w:rPr>
              <w:t xml:space="preserve">ecrétariat, d’organiser régulièrement </w:t>
            </w:r>
            <w:r w:rsidR="007F6C26" w:rsidRPr="00F77964">
              <w:rPr>
                <w:rFonts w:eastAsia="SimSun"/>
                <w:sz w:val="18"/>
                <w:szCs w:val="18"/>
                <w:lang w:eastAsia="zh-CN"/>
              </w:rPr>
              <w:t>un forum</w:t>
            </w:r>
            <w:r w:rsidRPr="00F77964">
              <w:rPr>
                <w:rFonts w:eastAsia="SimSun"/>
                <w:sz w:val="18"/>
                <w:szCs w:val="18"/>
                <w:lang w:eastAsia="zh-CN"/>
              </w:rPr>
              <w:t xml:space="preserve"> avec les sources </w:t>
            </w:r>
            <w:r w:rsidR="00552C0D">
              <w:rPr>
                <w:rFonts w:eastAsia="SimSun"/>
                <w:sz w:val="18"/>
                <w:szCs w:val="18"/>
                <w:lang w:eastAsia="zh-CN"/>
              </w:rPr>
              <w:t>traditionnelles</w:t>
            </w:r>
            <w:r w:rsidRPr="00F77964">
              <w:rPr>
                <w:rFonts w:eastAsia="SimSun"/>
                <w:sz w:val="18"/>
                <w:szCs w:val="18"/>
                <w:lang w:eastAsia="zh-CN"/>
              </w:rPr>
              <w:t xml:space="preserve"> et potentielles de financement, su</w:t>
            </w:r>
            <w:r w:rsidR="001F5F53" w:rsidRPr="00F77964">
              <w:rPr>
                <w:rFonts w:eastAsia="SimSun"/>
                <w:sz w:val="18"/>
                <w:szCs w:val="18"/>
                <w:lang w:eastAsia="zh-CN"/>
              </w:rPr>
              <w:t xml:space="preserve">ite à </w:t>
            </w:r>
            <w:r w:rsidRPr="00F77964">
              <w:rPr>
                <w:rFonts w:eastAsia="SimSun"/>
                <w:sz w:val="18"/>
                <w:szCs w:val="18"/>
                <w:lang w:eastAsia="zh-CN"/>
              </w:rPr>
              <w:t>un appel à manifestations d’intérêt</w:t>
            </w:r>
          </w:p>
        </w:tc>
      </w:tr>
      <w:tr w:rsidR="00A54DD1" w:rsidRPr="0061490E" w:rsidTr="00592ADB">
        <w:trPr>
          <w:trHeight w:val="252"/>
        </w:trPr>
        <w:tc>
          <w:tcPr>
            <w:tcW w:w="601" w:type="dxa"/>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sz w:val="18"/>
                <w:szCs w:val="18"/>
                <w:lang w:eastAsia="zh-CN"/>
              </w:rPr>
            </w:pP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sz w:val="18"/>
                <w:szCs w:val="18"/>
                <w:lang w:eastAsia="zh-CN"/>
              </w:rPr>
            </w:pPr>
          </w:p>
        </w:tc>
        <w:tc>
          <w:tcPr>
            <w:tcW w:w="5424"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0445A6" w:rsidP="00E31E87">
            <w:pPr>
              <w:pStyle w:val="Normal-pool"/>
              <w:spacing w:before="40" w:after="40"/>
              <w:rPr>
                <w:rFonts w:eastAsia="SimSun"/>
                <w:sz w:val="18"/>
                <w:szCs w:val="18"/>
                <w:lang w:eastAsia="zh-CN"/>
              </w:rPr>
            </w:pPr>
            <w:r w:rsidRPr="00F77964">
              <w:rPr>
                <w:rFonts w:eastAsia="SimSun"/>
                <w:sz w:val="18"/>
                <w:szCs w:val="18"/>
                <w:lang w:eastAsia="zh-CN"/>
              </w:rPr>
              <w:t xml:space="preserve">La Plénière, à sa deuxième session, </w:t>
            </w:r>
            <w:r w:rsidR="00E31E87">
              <w:rPr>
                <w:rFonts w:eastAsia="SimSun"/>
                <w:sz w:val="18"/>
                <w:szCs w:val="18"/>
                <w:lang w:eastAsia="zh-CN"/>
              </w:rPr>
              <w:t>étudie</w:t>
            </w:r>
            <w:r w:rsidR="002D4344">
              <w:rPr>
                <w:rFonts w:eastAsia="SimSun"/>
                <w:sz w:val="18"/>
                <w:szCs w:val="18"/>
                <w:lang w:eastAsia="zh-CN"/>
              </w:rPr>
              <w:t xml:space="preserve"> la </w:t>
            </w:r>
            <w:r w:rsidR="007F6C26" w:rsidRPr="00F77964">
              <w:rPr>
                <w:rFonts w:eastAsia="SimSun"/>
                <w:sz w:val="18"/>
                <w:szCs w:val="18"/>
                <w:lang w:eastAsia="zh-CN"/>
              </w:rPr>
              <w:t>création d’</w:t>
            </w:r>
            <w:r w:rsidRPr="00F77964">
              <w:rPr>
                <w:rFonts w:eastAsia="SimSun"/>
                <w:sz w:val="18"/>
                <w:szCs w:val="18"/>
                <w:lang w:eastAsia="zh-CN"/>
              </w:rPr>
              <w:t xml:space="preserve">une équipe </w:t>
            </w:r>
            <w:r w:rsidR="001F5F53" w:rsidRPr="00F77964">
              <w:rPr>
                <w:rFonts w:eastAsia="SimSun"/>
                <w:sz w:val="18"/>
                <w:szCs w:val="18"/>
                <w:lang w:eastAsia="zh-CN"/>
              </w:rPr>
              <w:t xml:space="preserve">spéciale </w:t>
            </w:r>
            <w:r w:rsidR="002D4344">
              <w:rPr>
                <w:rFonts w:eastAsia="SimSun"/>
                <w:sz w:val="18"/>
                <w:szCs w:val="18"/>
                <w:lang w:eastAsia="zh-CN"/>
              </w:rPr>
              <w:t xml:space="preserve">dotée d’un </w:t>
            </w:r>
            <w:r w:rsidR="004621EA">
              <w:rPr>
                <w:rFonts w:eastAsia="SimSun"/>
                <w:sz w:val="18"/>
                <w:szCs w:val="18"/>
                <w:lang w:eastAsia="zh-CN"/>
              </w:rPr>
              <w:t>mandat précis</w:t>
            </w:r>
            <w:r w:rsidR="001F5F53" w:rsidRPr="00F77964">
              <w:rPr>
                <w:rFonts w:eastAsia="SimSun"/>
                <w:sz w:val="18"/>
                <w:szCs w:val="18"/>
                <w:lang w:eastAsia="zh-CN"/>
              </w:rPr>
              <w:t xml:space="preserve"> limité </w:t>
            </w:r>
            <w:r w:rsidRPr="00F77964">
              <w:rPr>
                <w:rFonts w:eastAsia="SimSun"/>
                <w:sz w:val="18"/>
                <w:szCs w:val="18"/>
                <w:lang w:eastAsia="zh-CN"/>
              </w:rPr>
              <w:t xml:space="preserve">dans le temps </w:t>
            </w:r>
            <w:r w:rsidR="002D4344">
              <w:rPr>
                <w:rFonts w:eastAsia="SimSun"/>
                <w:sz w:val="18"/>
                <w:szCs w:val="18"/>
                <w:lang w:eastAsia="zh-CN"/>
              </w:rPr>
              <w:t xml:space="preserve">et </w:t>
            </w:r>
            <w:r w:rsidR="002D4344" w:rsidRPr="00F77964">
              <w:rPr>
                <w:rFonts w:eastAsia="SimSun"/>
                <w:sz w:val="18"/>
                <w:szCs w:val="18"/>
                <w:lang w:eastAsia="zh-CN"/>
              </w:rPr>
              <w:t>dirigée par le Bureau et le Groupe d’experts multidisciplinaire</w:t>
            </w:r>
            <w:r w:rsidR="002D4344">
              <w:rPr>
                <w:rFonts w:eastAsia="SimSun"/>
                <w:sz w:val="18"/>
                <w:szCs w:val="18"/>
                <w:lang w:eastAsia="zh-CN"/>
              </w:rPr>
              <w:t xml:space="preserve"> po</w:t>
            </w:r>
            <w:r w:rsidRPr="00F77964">
              <w:rPr>
                <w:rFonts w:eastAsia="SimSun"/>
                <w:sz w:val="18"/>
                <w:szCs w:val="18"/>
                <w:lang w:eastAsia="zh-CN"/>
              </w:rPr>
              <w:t>ur le renforcement des capacités,</w:t>
            </w:r>
            <w:r w:rsidR="001F5F53" w:rsidRPr="00F77964">
              <w:rPr>
                <w:rFonts w:eastAsia="SimSun"/>
                <w:sz w:val="18"/>
                <w:szCs w:val="18"/>
                <w:lang w:eastAsia="zh-CN"/>
              </w:rPr>
              <w:t xml:space="preserve"> </w:t>
            </w:r>
            <w:r w:rsidRPr="00F77964">
              <w:rPr>
                <w:rFonts w:eastAsia="SimSun"/>
                <w:sz w:val="18"/>
                <w:szCs w:val="18"/>
                <w:lang w:eastAsia="zh-CN"/>
              </w:rPr>
              <w:t xml:space="preserve">notamment </w:t>
            </w:r>
            <w:r w:rsidR="007F6C26" w:rsidRPr="00F77964">
              <w:rPr>
                <w:rFonts w:eastAsia="SimSun"/>
                <w:sz w:val="18"/>
                <w:szCs w:val="18"/>
                <w:lang w:eastAsia="zh-CN"/>
              </w:rPr>
              <w:t xml:space="preserve">en définissant sa </w:t>
            </w:r>
            <w:r w:rsidR="001F5F53" w:rsidRPr="00F77964">
              <w:rPr>
                <w:rFonts w:eastAsia="SimSun"/>
                <w:sz w:val="18"/>
                <w:szCs w:val="18"/>
                <w:lang w:eastAsia="zh-CN"/>
              </w:rPr>
              <w:t xml:space="preserve">mission </w:t>
            </w:r>
            <w:r w:rsidR="007F6C26" w:rsidRPr="00F77964">
              <w:rPr>
                <w:rFonts w:eastAsia="SimSun"/>
                <w:sz w:val="18"/>
                <w:szCs w:val="18"/>
                <w:lang w:eastAsia="zh-CN"/>
              </w:rPr>
              <w:t xml:space="preserve">et en </w:t>
            </w:r>
            <w:r w:rsidRPr="00F77964">
              <w:rPr>
                <w:rFonts w:eastAsia="SimSun"/>
                <w:sz w:val="18"/>
                <w:szCs w:val="18"/>
                <w:lang w:eastAsia="zh-CN"/>
              </w:rPr>
              <w:t>demand</w:t>
            </w:r>
            <w:r w:rsidR="007F6C26" w:rsidRPr="00F77964">
              <w:rPr>
                <w:rFonts w:eastAsia="SimSun"/>
                <w:sz w:val="18"/>
                <w:szCs w:val="18"/>
                <w:lang w:eastAsia="zh-CN"/>
              </w:rPr>
              <w:t>ant</w:t>
            </w:r>
            <w:r w:rsidRPr="00F77964">
              <w:rPr>
                <w:rFonts w:eastAsia="SimSun"/>
                <w:sz w:val="18"/>
                <w:szCs w:val="18"/>
                <w:lang w:eastAsia="zh-CN"/>
              </w:rPr>
              <w:t xml:space="preserve"> au Bureau et au Groupe, par l</w:t>
            </w:r>
            <w:r w:rsidR="001F5F53" w:rsidRPr="00F77964">
              <w:rPr>
                <w:rFonts w:eastAsia="SimSun"/>
                <w:sz w:val="18"/>
                <w:szCs w:val="18"/>
                <w:lang w:eastAsia="zh-CN"/>
              </w:rPr>
              <w:t xml:space="preserve">’intermédiaire </w:t>
            </w:r>
            <w:r w:rsidRPr="00F77964">
              <w:rPr>
                <w:rFonts w:eastAsia="SimSun"/>
                <w:sz w:val="18"/>
                <w:szCs w:val="18"/>
                <w:lang w:eastAsia="zh-CN"/>
              </w:rPr>
              <w:t xml:space="preserve">du </w:t>
            </w:r>
            <w:r w:rsidR="001F5F53" w:rsidRPr="00F77964">
              <w:rPr>
                <w:rFonts w:eastAsia="SimSun"/>
                <w:sz w:val="18"/>
                <w:szCs w:val="18"/>
                <w:lang w:eastAsia="zh-CN"/>
              </w:rPr>
              <w:t>s</w:t>
            </w:r>
            <w:r w:rsidRPr="00F77964">
              <w:rPr>
                <w:rFonts w:eastAsia="SimSun"/>
                <w:sz w:val="18"/>
                <w:szCs w:val="18"/>
                <w:lang w:eastAsia="zh-CN"/>
              </w:rPr>
              <w:t xml:space="preserve">ecrétariat, de </w:t>
            </w:r>
            <w:r w:rsidR="007F6C26" w:rsidRPr="00F77964">
              <w:rPr>
                <w:rFonts w:eastAsia="SimSun"/>
                <w:sz w:val="18"/>
                <w:szCs w:val="18"/>
                <w:lang w:eastAsia="zh-CN"/>
              </w:rPr>
              <w:t xml:space="preserve">la </w:t>
            </w:r>
            <w:r w:rsidRPr="00F77964">
              <w:rPr>
                <w:rFonts w:eastAsia="SimSun"/>
                <w:sz w:val="18"/>
                <w:szCs w:val="18"/>
                <w:lang w:eastAsia="zh-CN"/>
              </w:rPr>
              <w:t xml:space="preserve">constituer </w:t>
            </w:r>
            <w:r w:rsidR="001F5F53" w:rsidRPr="00F77964">
              <w:rPr>
                <w:rFonts w:eastAsia="SimSun"/>
                <w:sz w:val="18"/>
                <w:szCs w:val="18"/>
                <w:lang w:eastAsia="zh-CN"/>
              </w:rPr>
              <w:t>suite à u</w:t>
            </w:r>
            <w:r w:rsidRPr="00F77964">
              <w:rPr>
                <w:rFonts w:eastAsia="SimSun"/>
                <w:sz w:val="18"/>
                <w:szCs w:val="18"/>
                <w:lang w:eastAsia="zh-CN"/>
              </w:rPr>
              <w:t>n appel à manifestations d’intérêt</w:t>
            </w:r>
          </w:p>
        </w:tc>
      </w:tr>
      <w:tr w:rsidR="00A54DD1" w:rsidRPr="0061490E" w:rsidTr="00592ADB">
        <w:trPr>
          <w:trHeight w:val="672"/>
        </w:trPr>
        <w:tc>
          <w:tcPr>
            <w:tcW w:w="601" w:type="dxa"/>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sz w:val="18"/>
                <w:szCs w:val="18"/>
                <w:lang w:eastAsia="zh-CN"/>
              </w:rPr>
            </w:pP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sz w:val="18"/>
                <w:szCs w:val="18"/>
                <w:lang w:eastAsia="zh-CN"/>
              </w:rPr>
            </w:pPr>
          </w:p>
        </w:tc>
        <w:tc>
          <w:tcPr>
            <w:tcW w:w="5424"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0445A6" w:rsidP="00856166">
            <w:pPr>
              <w:pStyle w:val="Normal-pool"/>
              <w:spacing w:before="40" w:after="40"/>
              <w:rPr>
                <w:rFonts w:eastAsia="SimSun"/>
                <w:sz w:val="18"/>
                <w:szCs w:val="18"/>
                <w:lang w:eastAsia="zh-CN"/>
              </w:rPr>
            </w:pPr>
            <w:r w:rsidRPr="00F77964">
              <w:rPr>
                <w:rFonts w:eastAsia="SimSun"/>
                <w:sz w:val="18"/>
                <w:szCs w:val="18"/>
                <w:lang w:eastAsia="zh-CN"/>
              </w:rPr>
              <w:t xml:space="preserve">La Plénière, à sa deuxième session, </w:t>
            </w:r>
            <w:r w:rsidR="00F33376" w:rsidRPr="00F77964">
              <w:rPr>
                <w:rFonts w:eastAsia="SimSun"/>
                <w:sz w:val="18"/>
                <w:szCs w:val="18"/>
                <w:lang w:eastAsia="zh-CN"/>
              </w:rPr>
              <w:t>examine l</w:t>
            </w:r>
            <w:r w:rsidRPr="00F77964">
              <w:rPr>
                <w:rFonts w:eastAsia="SimSun"/>
                <w:sz w:val="18"/>
                <w:szCs w:val="18"/>
                <w:lang w:eastAsia="zh-CN"/>
              </w:rPr>
              <w:t>es offres potentielles d’appui technique</w:t>
            </w:r>
            <w:r w:rsidR="007F6C26" w:rsidRPr="00F77964">
              <w:rPr>
                <w:rFonts w:eastAsia="SimSun"/>
                <w:sz w:val="18"/>
                <w:szCs w:val="18"/>
                <w:lang w:eastAsia="zh-CN"/>
              </w:rPr>
              <w:t xml:space="preserve"> </w:t>
            </w:r>
            <w:r w:rsidRPr="00F77964">
              <w:rPr>
                <w:rFonts w:eastAsia="SimSun"/>
                <w:sz w:val="18"/>
                <w:szCs w:val="18"/>
                <w:lang w:eastAsia="zh-CN"/>
              </w:rPr>
              <w:t xml:space="preserve">en nature et demande au Bureau et au </w:t>
            </w:r>
            <w:r w:rsidR="00F33376" w:rsidRPr="00F77964">
              <w:rPr>
                <w:rFonts w:eastAsia="SimSun"/>
                <w:sz w:val="18"/>
                <w:szCs w:val="18"/>
                <w:lang w:eastAsia="zh-CN"/>
              </w:rPr>
              <w:t>s</w:t>
            </w:r>
            <w:r w:rsidRPr="00F77964">
              <w:rPr>
                <w:rFonts w:eastAsia="SimSun"/>
                <w:sz w:val="18"/>
                <w:szCs w:val="18"/>
                <w:lang w:eastAsia="zh-CN"/>
              </w:rPr>
              <w:t xml:space="preserve">ecrétariat d’établir </w:t>
            </w:r>
            <w:r w:rsidR="00F33376" w:rsidRPr="00F77964">
              <w:rPr>
                <w:rFonts w:eastAsia="SimSun"/>
                <w:sz w:val="18"/>
                <w:szCs w:val="18"/>
                <w:lang w:eastAsia="zh-CN"/>
              </w:rPr>
              <w:t>l</w:t>
            </w:r>
            <w:r w:rsidRPr="00F77964">
              <w:rPr>
                <w:rFonts w:eastAsia="SimSun"/>
                <w:sz w:val="18"/>
                <w:szCs w:val="18"/>
                <w:lang w:eastAsia="zh-CN"/>
              </w:rPr>
              <w:t>es dispositi</w:t>
            </w:r>
            <w:r w:rsidR="00F33376" w:rsidRPr="00F77964">
              <w:rPr>
                <w:rFonts w:eastAsia="SimSun"/>
                <w:sz w:val="18"/>
                <w:szCs w:val="18"/>
                <w:lang w:eastAsia="zh-CN"/>
              </w:rPr>
              <w:t>ons</w:t>
            </w:r>
            <w:r w:rsidRPr="00F77964">
              <w:rPr>
                <w:rFonts w:eastAsia="SimSun"/>
                <w:sz w:val="18"/>
                <w:szCs w:val="18"/>
                <w:lang w:eastAsia="zh-CN"/>
              </w:rPr>
              <w:t xml:space="preserve"> institutionnel</w:t>
            </w:r>
            <w:r w:rsidR="00F33376" w:rsidRPr="00F77964">
              <w:rPr>
                <w:rFonts w:eastAsia="SimSun"/>
                <w:sz w:val="18"/>
                <w:szCs w:val="18"/>
                <w:lang w:eastAsia="zh-CN"/>
              </w:rPr>
              <w:t>le</w:t>
            </w:r>
            <w:r w:rsidRPr="00F77964">
              <w:rPr>
                <w:rFonts w:eastAsia="SimSun"/>
                <w:sz w:val="18"/>
                <w:szCs w:val="18"/>
                <w:lang w:eastAsia="zh-CN"/>
              </w:rPr>
              <w:t xml:space="preserve">s nécessaires pour </w:t>
            </w:r>
            <w:r w:rsidR="00F33376" w:rsidRPr="00F77964">
              <w:rPr>
                <w:rFonts w:eastAsia="SimSun"/>
                <w:sz w:val="18"/>
                <w:szCs w:val="18"/>
                <w:lang w:eastAsia="zh-CN"/>
              </w:rPr>
              <w:t xml:space="preserve">donner effet à </w:t>
            </w:r>
            <w:r w:rsidR="00026403" w:rsidRPr="00F77964">
              <w:rPr>
                <w:rFonts w:eastAsia="SimSun"/>
                <w:sz w:val="18"/>
                <w:szCs w:val="18"/>
                <w:lang w:eastAsia="zh-CN"/>
              </w:rPr>
              <w:t xml:space="preserve">cet </w:t>
            </w:r>
            <w:r w:rsidR="00F33376" w:rsidRPr="00F77964">
              <w:rPr>
                <w:rFonts w:eastAsia="SimSun"/>
                <w:sz w:val="18"/>
                <w:szCs w:val="18"/>
                <w:lang w:eastAsia="zh-CN"/>
              </w:rPr>
              <w:t>appui</w:t>
            </w:r>
            <w:r w:rsidRPr="00F77964">
              <w:rPr>
                <w:rFonts w:eastAsia="SimSun"/>
                <w:sz w:val="18"/>
                <w:szCs w:val="18"/>
                <w:lang w:eastAsia="zh-CN"/>
              </w:rPr>
              <w:t xml:space="preserve"> technique</w:t>
            </w:r>
          </w:p>
        </w:tc>
      </w:tr>
      <w:tr w:rsidR="00A54DD1" w:rsidRPr="0061490E" w:rsidTr="00592ADB">
        <w:trPr>
          <w:trHeight w:val="387"/>
        </w:trPr>
        <w:tc>
          <w:tcPr>
            <w:tcW w:w="601"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pPr>
              <w:pStyle w:val="Normal-pool"/>
              <w:spacing w:before="40" w:after="40"/>
              <w:rPr>
                <w:rFonts w:eastAsia="SimSun"/>
                <w:sz w:val="18"/>
                <w:szCs w:val="18"/>
                <w:lang w:eastAsia="zh-CN"/>
              </w:rPr>
            </w:pPr>
            <w:r w:rsidRPr="00F77964">
              <w:rPr>
                <w:rFonts w:eastAsia="SimSun"/>
                <w:sz w:val="18"/>
                <w:szCs w:val="18"/>
                <w:lang w:eastAsia="zh-CN"/>
              </w:rPr>
              <w:t>2014</w:t>
            </w:r>
          </w:p>
        </w:tc>
        <w:tc>
          <w:tcPr>
            <w:tcW w:w="1777" w:type="dxa"/>
            <w:tcBorders>
              <w:top w:val="single" w:sz="4" w:space="0" w:color="auto"/>
              <w:left w:val="single" w:sz="4" w:space="0" w:color="auto"/>
              <w:bottom w:val="single" w:sz="4" w:space="0" w:color="auto"/>
              <w:right w:val="single" w:sz="4" w:space="0" w:color="auto"/>
            </w:tcBorders>
            <w:hideMark/>
          </w:tcPr>
          <w:p w:rsidR="00D66005" w:rsidRPr="00F77964" w:rsidRDefault="000445A6" w:rsidP="000445A6">
            <w:pPr>
              <w:pStyle w:val="Normal-pool"/>
              <w:spacing w:before="40" w:after="40"/>
              <w:rPr>
                <w:rFonts w:eastAsia="SimSun"/>
                <w:sz w:val="18"/>
                <w:szCs w:val="18"/>
                <w:lang w:eastAsia="zh-CN"/>
              </w:rPr>
            </w:pPr>
            <w:r w:rsidRPr="00F77964">
              <w:rPr>
                <w:rFonts w:eastAsia="SimSun"/>
                <w:sz w:val="18"/>
                <w:szCs w:val="18"/>
                <w:lang w:eastAsia="zh-CN"/>
              </w:rPr>
              <w:t>Premier trimestre</w:t>
            </w:r>
          </w:p>
        </w:tc>
        <w:tc>
          <w:tcPr>
            <w:tcW w:w="5424"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0445A6" w:rsidP="00856166">
            <w:pPr>
              <w:pStyle w:val="Normal-pool"/>
              <w:spacing w:before="40" w:after="40"/>
              <w:rPr>
                <w:rFonts w:eastAsia="SimSun"/>
                <w:sz w:val="18"/>
                <w:szCs w:val="18"/>
                <w:lang w:eastAsia="zh-CN"/>
              </w:rPr>
            </w:pPr>
            <w:r w:rsidRPr="00F77964">
              <w:rPr>
                <w:rFonts w:eastAsia="SimSun"/>
                <w:sz w:val="18"/>
                <w:szCs w:val="18"/>
                <w:lang w:eastAsia="zh-CN"/>
              </w:rPr>
              <w:t xml:space="preserve">Le Bureau et le </w:t>
            </w:r>
            <w:r w:rsidR="00F33376" w:rsidRPr="00F77964">
              <w:rPr>
                <w:rFonts w:eastAsia="SimSun"/>
                <w:sz w:val="18"/>
                <w:szCs w:val="18"/>
                <w:lang w:eastAsia="zh-CN"/>
              </w:rPr>
              <w:t>s</w:t>
            </w:r>
            <w:r w:rsidRPr="00F77964">
              <w:rPr>
                <w:rFonts w:eastAsia="SimSun"/>
                <w:sz w:val="18"/>
                <w:szCs w:val="18"/>
                <w:lang w:eastAsia="zh-CN"/>
              </w:rPr>
              <w:t>ecrétariat établissent des partenariats stratégiques et des dispositi</w:t>
            </w:r>
            <w:r w:rsidR="00F33376" w:rsidRPr="00F77964">
              <w:rPr>
                <w:rFonts w:eastAsia="SimSun"/>
                <w:sz w:val="18"/>
                <w:szCs w:val="18"/>
                <w:lang w:eastAsia="zh-CN"/>
              </w:rPr>
              <w:t>ons</w:t>
            </w:r>
            <w:r w:rsidRPr="00F77964">
              <w:rPr>
                <w:rFonts w:eastAsia="SimSun"/>
                <w:sz w:val="18"/>
                <w:szCs w:val="18"/>
                <w:lang w:eastAsia="zh-CN"/>
              </w:rPr>
              <w:t xml:space="preserve"> institutionnel</w:t>
            </w:r>
            <w:r w:rsidR="007F6C26" w:rsidRPr="00F77964">
              <w:rPr>
                <w:rFonts w:eastAsia="SimSun"/>
                <w:sz w:val="18"/>
                <w:szCs w:val="18"/>
                <w:lang w:eastAsia="zh-CN"/>
              </w:rPr>
              <w:t>le</w:t>
            </w:r>
            <w:r w:rsidRPr="00F77964">
              <w:rPr>
                <w:rFonts w:eastAsia="SimSun"/>
                <w:sz w:val="18"/>
                <w:szCs w:val="18"/>
                <w:lang w:eastAsia="zh-CN"/>
              </w:rPr>
              <w:t xml:space="preserve">s pour </w:t>
            </w:r>
            <w:r w:rsidR="00F33376" w:rsidRPr="00F77964">
              <w:rPr>
                <w:rFonts w:eastAsia="SimSun"/>
                <w:sz w:val="18"/>
                <w:szCs w:val="18"/>
                <w:lang w:eastAsia="zh-CN"/>
              </w:rPr>
              <w:t xml:space="preserve">donner effet à </w:t>
            </w:r>
            <w:r w:rsidR="00921E05" w:rsidRPr="00F77964">
              <w:rPr>
                <w:rFonts w:eastAsia="SimSun"/>
                <w:sz w:val="18"/>
                <w:szCs w:val="18"/>
                <w:lang w:eastAsia="zh-CN"/>
              </w:rPr>
              <w:t>l’appui technique selon que de besoin</w:t>
            </w:r>
          </w:p>
        </w:tc>
      </w:tr>
      <w:tr w:rsidR="00A54DD1" w:rsidRPr="0061490E" w:rsidTr="00592ADB">
        <w:trPr>
          <w:trHeight w:val="387"/>
        </w:trPr>
        <w:tc>
          <w:tcPr>
            <w:tcW w:w="601" w:type="dxa"/>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sz w:val="18"/>
                <w:szCs w:val="18"/>
                <w:lang w:eastAsia="zh-CN"/>
              </w:rPr>
            </w:pPr>
          </w:p>
        </w:tc>
        <w:tc>
          <w:tcPr>
            <w:tcW w:w="1777" w:type="dxa"/>
            <w:tcBorders>
              <w:top w:val="single" w:sz="4" w:space="0" w:color="auto"/>
              <w:left w:val="single" w:sz="4" w:space="0" w:color="auto"/>
              <w:bottom w:val="single" w:sz="4" w:space="0" w:color="auto"/>
              <w:right w:val="single" w:sz="4" w:space="0" w:color="auto"/>
            </w:tcBorders>
            <w:hideMark/>
          </w:tcPr>
          <w:p w:rsidR="00D66005" w:rsidRPr="00F77964" w:rsidRDefault="00921E05" w:rsidP="00921E05">
            <w:pPr>
              <w:pStyle w:val="Normal-pool"/>
              <w:spacing w:before="40" w:after="40"/>
              <w:rPr>
                <w:rFonts w:eastAsia="SimSun"/>
                <w:sz w:val="18"/>
                <w:szCs w:val="18"/>
                <w:lang w:eastAsia="zh-CN"/>
              </w:rPr>
            </w:pPr>
            <w:r w:rsidRPr="00F77964">
              <w:rPr>
                <w:rFonts w:eastAsia="SimSun"/>
                <w:sz w:val="18"/>
                <w:szCs w:val="18"/>
                <w:lang w:eastAsia="zh-CN"/>
              </w:rPr>
              <w:t>Deuxième trimestre</w:t>
            </w:r>
          </w:p>
        </w:tc>
        <w:tc>
          <w:tcPr>
            <w:tcW w:w="5424"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921E05" w:rsidP="000B1E31">
            <w:pPr>
              <w:pStyle w:val="Normal-pool"/>
              <w:spacing w:before="40" w:after="40"/>
              <w:rPr>
                <w:rFonts w:eastAsia="SimSun"/>
                <w:sz w:val="18"/>
                <w:szCs w:val="18"/>
                <w:lang w:eastAsia="zh-CN"/>
              </w:rPr>
            </w:pPr>
            <w:r w:rsidRPr="00F77964">
              <w:rPr>
                <w:rFonts w:eastAsia="SimSun"/>
                <w:sz w:val="18"/>
                <w:szCs w:val="18"/>
                <w:lang w:eastAsia="zh-CN"/>
              </w:rPr>
              <w:t xml:space="preserve">L’équipe </w:t>
            </w:r>
            <w:r w:rsidR="00F33376" w:rsidRPr="00F77964">
              <w:rPr>
                <w:rFonts w:eastAsia="SimSun"/>
                <w:sz w:val="18"/>
                <w:szCs w:val="18"/>
                <w:lang w:eastAsia="zh-CN"/>
              </w:rPr>
              <w:t>spéciale</w:t>
            </w:r>
            <w:r w:rsidRPr="00F77964">
              <w:rPr>
                <w:rFonts w:eastAsia="SimSun"/>
                <w:sz w:val="18"/>
                <w:szCs w:val="18"/>
                <w:lang w:eastAsia="zh-CN"/>
              </w:rPr>
              <w:t xml:space="preserve"> met au point les modalités pour </w:t>
            </w:r>
            <w:r w:rsidR="000B1E31">
              <w:rPr>
                <w:rFonts w:eastAsia="SimSun"/>
                <w:sz w:val="18"/>
                <w:szCs w:val="18"/>
                <w:lang w:eastAsia="zh-CN"/>
              </w:rPr>
              <w:t>identifi</w:t>
            </w:r>
            <w:r w:rsidR="005D1408">
              <w:rPr>
                <w:rFonts w:eastAsia="SimSun"/>
                <w:sz w:val="18"/>
                <w:szCs w:val="18"/>
                <w:lang w:eastAsia="zh-CN"/>
              </w:rPr>
              <w:t>er</w:t>
            </w:r>
            <w:r w:rsidRPr="00F77964">
              <w:rPr>
                <w:rFonts w:eastAsia="SimSun"/>
                <w:sz w:val="18"/>
                <w:szCs w:val="18"/>
                <w:lang w:eastAsia="zh-CN"/>
              </w:rPr>
              <w:t>, suiv</w:t>
            </w:r>
            <w:r w:rsidR="005D1408">
              <w:rPr>
                <w:rFonts w:eastAsia="SimSun"/>
                <w:sz w:val="18"/>
                <w:szCs w:val="18"/>
                <w:lang w:eastAsia="zh-CN"/>
              </w:rPr>
              <w:t xml:space="preserve">re et </w:t>
            </w:r>
            <w:r w:rsidRPr="00F77964">
              <w:rPr>
                <w:rFonts w:eastAsia="SimSun"/>
                <w:sz w:val="18"/>
                <w:szCs w:val="18"/>
                <w:lang w:eastAsia="zh-CN"/>
              </w:rPr>
              <w:t>évalu</w:t>
            </w:r>
            <w:r w:rsidR="005D1408">
              <w:rPr>
                <w:rFonts w:eastAsia="SimSun"/>
                <w:sz w:val="18"/>
                <w:szCs w:val="18"/>
                <w:lang w:eastAsia="zh-CN"/>
              </w:rPr>
              <w:t xml:space="preserve">er </w:t>
            </w:r>
            <w:r w:rsidR="005D1408" w:rsidRPr="00F77964">
              <w:rPr>
                <w:rFonts w:eastAsia="SimSun"/>
                <w:sz w:val="18"/>
                <w:szCs w:val="18"/>
                <w:lang w:eastAsia="zh-CN"/>
              </w:rPr>
              <w:t>de manière cohérente et comparative</w:t>
            </w:r>
            <w:r w:rsidR="005D1408">
              <w:rPr>
                <w:rFonts w:eastAsia="SimSun"/>
                <w:sz w:val="18"/>
                <w:szCs w:val="18"/>
                <w:lang w:eastAsia="zh-CN"/>
              </w:rPr>
              <w:t xml:space="preserve"> l</w:t>
            </w:r>
            <w:r w:rsidRPr="00F77964">
              <w:rPr>
                <w:rFonts w:eastAsia="SimSun"/>
                <w:sz w:val="18"/>
                <w:szCs w:val="18"/>
                <w:lang w:eastAsia="zh-CN"/>
              </w:rPr>
              <w:t xml:space="preserve">es besoins </w:t>
            </w:r>
            <w:r w:rsidR="00F33376" w:rsidRPr="00F77964">
              <w:rPr>
                <w:rFonts w:eastAsia="SimSun"/>
                <w:sz w:val="18"/>
                <w:szCs w:val="18"/>
                <w:lang w:eastAsia="zh-CN"/>
              </w:rPr>
              <w:t>de</w:t>
            </w:r>
            <w:r w:rsidRPr="00F77964">
              <w:rPr>
                <w:rFonts w:eastAsia="SimSun"/>
                <w:sz w:val="18"/>
                <w:szCs w:val="18"/>
                <w:lang w:eastAsia="zh-CN"/>
              </w:rPr>
              <w:t xml:space="preserve"> renforcement des capacités </w:t>
            </w:r>
            <w:r w:rsidR="005D1408">
              <w:rPr>
                <w:rFonts w:eastAsia="SimSun"/>
                <w:sz w:val="18"/>
                <w:szCs w:val="18"/>
                <w:lang w:eastAsia="zh-CN"/>
              </w:rPr>
              <w:t>par rapport au</w:t>
            </w:r>
            <w:r w:rsidRPr="00F77964">
              <w:rPr>
                <w:rFonts w:eastAsia="SimSun"/>
                <w:sz w:val="18"/>
                <w:szCs w:val="18"/>
                <w:lang w:eastAsia="zh-CN"/>
              </w:rPr>
              <w:t xml:space="preserve"> mandat de la </w:t>
            </w:r>
            <w:r w:rsidR="00F33376" w:rsidRPr="00F77964">
              <w:rPr>
                <w:rFonts w:eastAsia="SimSun"/>
                <w:sz w:val="18"/>
                <w:szCs w:val="18"/>
                <w:lang w:eastAsia="zh-CN"/>
              </w:rPr>
              <w:t>P</w:t>
            </w:r>
            <w:r w:rsidRPr="00F77964">
              <w:rPr>
                <w:rFonts w:eastAsia="SimSun"/>
                <w:sz w:val="18"/>
                <w:szCs w:val="18"/>
                <w:lang w:eastAsia="zh-CN"/>
              </w:rPr>
              <w:t xml:space="preserve">lateforme </w:t>
            </w:r>
            <w:r w:rsidR="005D1408">
              <w:rPr>
                <w:rFonts w:eastAsia="SimSun"/>
                <w:sz w:val="18"/>
                <w:szCs w:val="18"/>
                <w:lang w:eastAsia="zh-CN"/>
              </w:rPr>
              <w:t>et l</w:t>
            </w:r>
            <w:r w:rsidR="00EB1A15" w:rsidRPr="00F77964">
              <w:rPr>
                <w:rFonts w:eastAsia="SimSun"/>
                <w:sz w:val="18"/>
                <w:szCs w:val="18"/>
                <w:lang w:eastAsia="zh-CN"/>
              </w:rPr>
              <w:t>es</w:t>
            </w:r>
            <w:r w:rsidRPr="00F77964">
              <w:rPr>
                <w:rFonts w:eastAsia="SimSun"/>
                <w:sz w:val="18"/>
                <w:szCs w:val="18"/>
                <w:lang w:eastAsia="zh-CN"/>
              </w:rPr>
              <w:t xml:space="preserve"> progrès </w:t>
            </w:r>
            <w:r w:rsidR="00EB1A15" w:rsidRPr="00F77964">
              <w:rPr>
                <w:rFonts w:eastAsia="SimSun"/>
                <w:sz w:val="18"/>
                <w:szCs w:val="18"/>
                <w:lang w:eastAsia="zh-CN"/>
              </w:rPr>
              <w:t>accomplis à cet égard</w:t>
            </w:r>
          </w:p>
        </w:tc>
      </w:tr>
      <w:tr w:rsidR="00A54DD1" w:rsidRPr="0061490E" w:rsidTr="00592ADB">
        <w:trPr>
          <w:trHeight w:val="387"/>
        </w:trPr>
        <w:tc>
          <w:tcPr>
            <w:tcW w:w="601" w:type="dxa"/>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sz w:val="18"/>
                <w:szCs w:val="18"/>
                <w:lang w:eastAsia="zh-CN"/>
              </w:rPr>
            </w:pPr>
          </w:p>
        </w:tc>
        <w:tc>
          <w:tcPr>
            <w:tcW w:w="1777" w:type="dxa"/>
            <w:tcBorders>
              <w:top w:val="single" w:sz="4" w:space="0" w:color="auto"/>
              <w:left w:val="single" w:sz="4" w:space="0" w:color="auto"/>
              <w:bottom w:val="single" w:sz="4" w:space="0" w:color="auto"/>
              <w:right w:val="single" w:sz="4" w:space="0" w:color="auto"/>
            </w:tcBorders>
            <w:hideMark/>
          </w:tcPr>
          <w:p w:rsidR="00D66005" w:rsidRPr="00F77964" w:rsidRDefault="00D66005" w:rsidP="00921E05">
            <w:pPr>
              <w:pStyle w:val="Normal-pool"/>
              <w:spacing w:before="40" w:after="40"/>
              <w:rPr>
                <w:rFonts w:eastAsia="SimSun"/>
                <w:sz w:val="18"/>
                <w:szCs w:val="18"/>
                <w:lang w:eastAsia="zh-CN"/>
              </w:rPr>
            </w:pPr>
            <w:r w:rsidRPr="00F77964">
              <w:rPr>
                <w:rFonts w:eastAsia="SimSun"/>
                <w:sz w:val="18"/>
                <w:szCs w:val="18"/>
                <w:lang w:eastAsia="zh-CN"/>
              </w:rPr>
              <w:t>T</w:t>
            </w:r>
            <w:r w:rsidR="00921E05" w:rsidRPr="00F77964">
              <w:rPr>
                <w:rFonts w:eastAsia="SimSun"/>
                <w:sz w:val="18"/>
                <w:szCs w:val="18"/>
                <w:lang w:eastAsia="zh-CN"/>
              </w:rPr>
              <w:t>roisième trimestre</w:t>
            </w:r>
          </w:p>
        </w:tc>
        <w:tc>
          <w:tcPr>
            <w:tcW w:w="5424"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4D1677" w:rsidP="006F08BF">
            <w:pPr>
              <w:pStyle w:val="Normal-pool"/>
              <w:spacing w:before="40" w:after="40"/>
              <w:rPr>
                <w:rFonts w:eastAsia="SimSun"/>
                <w:sz w:val="18"/>
                <w:szCs w:val="18"/>
                <w:lang w:eastAsia="zh-CN"/>
              </w:rPr>
            </w:pPr>
            <w:r w:rsidRPr="00F77964">
              <w:rPr>
                <w:rFonts w:eastAsia="SimSun"/>
                <w:sz w:val="18"/>
                <w:szCs w:val="18"/>
                <w:lang w:eastAsia="zh-CN"/>
              </w:rPr>
              <w:t xml:space="preserve">L’équipe </w:t>
            </w:r>
            <w:r w:rsidR="00EB1A15" w:rsidRPr="00F77964">
              <w:rPr>
                <w:rFonts w:eastAsia="SimSun"/>
                <w:sz w:val="18"/>
                <w:szCs w:val="18"/>
                <w:lang w:eastAsia="zh-CN"/>
              </w:rPr>
              <w:t>spéciale</w:t>
            </w:r>
            <w:r w:rsidRPr="00F77964">
              <w:rPr>
                <w:rFonts w:eastAsia="SimSun"/>
                <w:sz w:val="18"/>
                <w:szCs w:val="18"/>
                <w:lang w:eastAsia="zh-CN"/>
              </w:rPr>
              <w:t xml:space="preserve"> </w:t>
            </w:r>
            <w:r w:rsidR="0034645C" w:rsidRPr="00F77964">
              <w:rPr>
                <w:rFonts w:eastAsia="SimSun"/>
                <w:sz w:val="18"/>
                <w:szCs w:val="18"/>
                <w:lang w:eastAsia="zh-CN"/>
              </w:rPr>
              <w:t>dresse</w:t>
            </w:r>
            <w:r w:rsidRPr="00F77964">
              <w:rPr>
                <w:rFonts w:eastAsia="SimSun"/>
                <w:sz w:val="18"/>
                <w:szCs w:val="18"/>
                <w:lang w:eastAsia="zh-CN"/>
              </w:rPr>
              <w:t xml:space="preserve"> une liste des besoins de renforcement des capacités prioritaires</w:t>
            </w:r>
            <w:r w:rsidR="000B1E31">
              <w:rPr>
                <w:rFonts w:eastAsia="SimSun"/>
                <w:sz w:val="18"/>
                <w:szCs w:val="18"/>
                <w:lang w:eastAsia="zh-CN"/>
              </w:rPr>
              <w:t xml:space="preserve"> </w:t>
            </w:r>
            <w:r w:rsidRPr="00F77964">
              <w:rPr>
                <w:rFonts w:eastAsia="SimSun"/>
                <w:sz w:val="18"/>
                <w:szCs w:val="18"/>
                <w:lang w:eastAsia="zh-CN"/>
              </w:rPr>
              <w:t>indi</w:t>
            </w:r>
            <w:r w:rsidR="000B1E31">
              <w:rPr>
                <w:rFonts w:eastAsia="SimSun"/>
                <w:sz w:val="18"/>
                <w:szCs w:val="18"/>
                <w:lang w:eastAsia="zh-CN"/>
              </w:rPr>
              <w:t>quant l</w:t>
            </w:r>
            <w:r w:rsidRPr="00F77964">
              <w:rPr>
                <w:rFonts w:eastAsia="SimSun"/>
                <w:sz w:val="18"/>
                <w:szCs w:val="18"/>
                <w:lang w:eastAsia="zh-CN"/>
              </w:rPr>
              <w:t>es déficits de financement correspondant</w:t>
            </w:r>
            <w:r w:rsidR="007F6C26" w:rsidRPr="00F77964">
              <w:rPr>
                <w:rFonts w:eastAsia="SimSun"/>
                <w:sz w:val="18"/>
                <w:szCs w:val="18"/>
                <w:lang w:eastAsia="zh-CN"/>
              </w:rPr>
              <w:t>s</w:t>
            </w:r>
            <w:r w:rsidRPr="00F77964">
              <w:rPr>
                <w:rFonts w:eastAsia="SimSun"/>
                <w:sz w:val="18"/>
                <w:szCs w:val="18"/>
                <w:lang w:eastAsia="zh-CN"/>
              </w:rPr>
              <w:t xml:space="preserve"> et </w:t>
            </w:r>
            <w:r w:rsidR="000B1E31">
              <w:rPr>
                <w:rFonts w:eastAsia="SimSun"/>
                <w:sz w:val="18"/>
                <w:szCs w:val="18"/>
                <w:lang w:eastAsia="zh-CN"/>
              </w:rPr>
              <w:t>l</w:t>
            </w:r>
            <w:r w:rsidRPr="00F77964">
              <w:rPr>
                <w:rFonts w:eastAsia="SimSun"/>
                <w:sz w:val="18"/>
                <w:szCs w:val="18"/>
                <w:lang w:eastAsia="zh-CN"/>
              </w:rPr>
              <w:t xml:space="preserve">es sources </w:t>
            </w:r>
            <w:r w:rsidR="007F6C26" w:rsidRPr="00F77964">
              <w:rPr>
                <w:rFonts w:eastAsia="SimSun"/>
                <w:sz w:val="18"/>
                <w:szCs w:val="18"/>
                <w:lang w:eastAsia="zh-CN"/>
              </w:rPr>
              <w:t xml:space="preserve">de financement </w:t>
            </w:r>
            <w:r w:rsidRPr="00F77964">
              <w:rPr>
                <w:rFonts w:eastAsia="SimSun"/>
                <w:sz w:val="18"/>
                <w:szCs w:val="18"/>
                <w:lang w:eastAsia="zh-CN"/>
              </w:rPr>
              <w:t>disponibles</w:t>
            </w:r>
            <w:r w:rsidR="00D66005" w:rsidRPr="00F77964">
              <w:rPr>
                <w:rFonts w:eastAsia="SimSun"/>
                <w:sz w:val="18"/>
                <w:szCs w:val="18"/>
                <w:vertAlign w:val="superscript"/>
                <w:lang w:eastAsia="zh-CN"/>
              </w:rPr>
              <w:t>a</w:t>
            </w:r>
            <w:r w:rsidR="006F08BF">
              <w:rPr>
                <w:rFonts w:eastAsia="SimSun"/>
                <w:sz w:val="18"/>
                <w:szCs w:val="18"/>
                <w:lang w:eastAsia="zh-CN"/>
              </w:rPr>
              <w:t>,</w:t>
            </w:r>
            <w:r w:rsidR="00D66005" w:rsidRPr="00F77964">
              <w:rPr>
                <w:rFonts w:eastAsia="SimSun"/>
                <w:sz w:val="18"/>
                <w:szCs w:val="18"/>
                <w:lang w:eastAsia="zh-CN"/>
              </w:rPr>
              <w:t xml:space="preserve"> </w:t>
            </w:r>
            <w:r w:rsidRPr="00F77964">
              <w:rPr>
                <w:rFonts w:eastAsia="SimSun"/>
                <w:sz w:val="18"/>
                <w:szCs w:val="18"/>
                <w:lang w:eastAsia="zh-CN"/>
              </w:rPr>
              <w:t xml:space="preserve">la présentation de cette liste pouvant être précédée d’une </w:t>
            </w:r>
            <w:r w:rsidR="0034645C" w:rsidRPr="00F77964">
              <w:rPr>
                <w:rFonts w:eastAsia="SimSun"/>
                <w:sz w:val="18"/>
                <w:szCs w:val="18"/>
                <w:lang w:eastAsia="zh-CN"/>
              </w:rPr>
              <w:t>vidéo</w:t>
            </w:r>
            <w:r w:rsidRPr="00F77964">
              <w:rPr>
                <w:rFonts w:eastAsia="SimSun"/>
                <w:sz w:val="18"/>
                <w:szCs w:val="18"/>
                <w:lang w:eastAsia="zh-CN"/>
              </w:rPr>
              <w:t xml:space="preserve">conférence </w:t>
            </w:r>
            <w:r w:rsidR="0034645C" w:rsidRPr="00F77964">
              <w:rPr>
                <w:rFonts w:eastAsia="SimSun"/>
                <w:sz w:val="18"/>
                <w:szCs w:val="18"/>
                <w:lang w:eastAsia="zh-CN"/>
              </w:rPr>
              <w:t xml:space="preserve">ou d’un </w:t>
            </w:r>
            <w:r w:rsidR="000B1E31">
              <w:rPr>
                <w:rFonts w:eastAsia="SimSun"/>
                <w:sz w:val="18"/>
                <w:szCs w:val="18"/>
                <w:lang w:eastAsia="zh-CN"/>
              </w:rPr>
              <w:t xml:space="preserve">passage en revue destiné à </w:t>
            </w:r>
            <w:r w:rsidRPr="00F77964">
              <w:rPr>
                <w:rFonts w:eastAsia="SimSun"/>
                <w:sz w:val="18"/>
                <w:szCs w:val="18"/>
                <w:lang w:eastAsia="zh-CN"/>
              </w:rPr>
              <w:t>susciter un</w:t>
            </w:r>
            <w:r w:rsidR="0034645C" w:rsidRPr="00F77964">
              <w:rPr>
                <w:rFonts w:eastAsia="SimSun"/>
                <w:sz w:val="18"/>
                <w:szCs w:val="18"/>
                <w:lang w:eastAsia="zh-CN"/>
              </w:rPr>
              <w:t>e implication</w:t>
            </w:r>
            <w:r w:rsidRPr="00F77964">
              <w:rPr>
                <w:rFonts w:eastAsia="SimSun"/>
                <w:sz w:val="18"/>
                <w:szCs w:val="18"/>
                <w:lang w:eastAsia="zh-CN"/>
              </w:rPr>
              <w:t xml:space="preserve"> plus large des parties prenantes</w:t>
            </w:r>
          </w:p>
        </w:tc>
      </w:tr>
      <w:tr w:rsidR="00A54DD1" w:rsidRPr="0061490E" w:rsidTr="00592ADB">
        <w:trPr>
          <w:trHeight w:val="387"/>
        </w:trPr>
        <w:tc>
          <w:tcPr>
            <w:tcW w:w="601" w:type="dxa"/>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sz w:val="18"/>
                <w:szCs w:val="18"/>
                <w:lang w:eastAsia="zh-CN"/>
              </w:rPr>
            </w:pPr>
          </w:p>
        </w:tc>
        <w:tc>
          <w:tcPr>
            <w:tcW w:w="1777" w:type="dxa"/>
            <w:tcBorders>
              <w:top w:val="single" w:sz="4" w:space="0" w:color="auto"/>
              <w:left w:val="single" w:sz="4" w:space="0" w:color="auto"/>
              <w:bottom w:val="single" w:sz="4" w:space="0" w:color="auto"/>
              <w:right w:val="single" w:sz="4" w:space="0" w:color="auto"/>
            </w:tcBorders>
            <w:hideMark/>
          </w:tcPr>
          <w:p w:rsidR="00D66005" w:rsidRPr="00F77964" w:rsidRDefault="00921E05" w:rsidP="00921E05">
            <w:pPr>
              <w:pStyle w:val="Normal-pool"/>
              <w:spacing w:before="40" w:after="40"/>
              <w:rPr>
                <w:rFonts w:eastAsia="SimSun"/>
                <w:sz w:val="18"/>
                <w:szCs w:val="18"/>
                <w:lang w:eastAsia="zh-CN"/>
              </w:rPr>
            </w:pPr>
            <w:r w:rsidRPr="00F77964">
              <w:rPr>
                <w:rFonts w:eastAsia="SimSun"/>
                <w:sz w:val="18"/>
                <w:szCs w:val="18"/>
                <w:lang w:eastAsia="zh-CN"/>
              </w:rPr>
              <w:t>Quatrième trimestre</w:t>
            </w:r>
          </w:p>
        </w:tc>
        <w:tc>
          <w:tcPr>
            <w:tcW w:w="5424"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4D1677" w:rsidP="007D32FD">
            <w:pPr>
              <w:pStyle w:val="Normal-pool"/>
              <w:spacing w:before="40" w:after="40"/>
              <w:rPr>
                <w:rFonts w:eastAsia="SimSun"/>
                <w:sz w:val="18"/>
                <w:szCs w:val="18"/>
                <w:lang w:eastAsia="zh-CN"/>
              </w:rPr>
            </w:pPr>
            <w:r w:rsidRPr="00F77964">
              <w:rPr>
                <w:rFonts w:eastAsia="SimSun"/>
                <w:sz w:val="18"/>
                <w:szCs w:val="18"/>
                <w:lang w:eastAsia="zh-CN"/>
              </w:rPr>
              <w:t>Le Bureau organise avec l’a</w:t>
            </w:r>
            <w:r w:rsidR="007D32FD">
              <w:rPr>
                <w:rFonts w:eastAsia="SimSun"/>
                <w:sz w:val="18"/>
                <w:szCs w:val="18"/>
                <w:lang w:eastAsia="zh-CN"/>
              </w:rPr>
              <w:t>ide</w:t>
            </w:r>
            <w:r w:rsidRPr="00F77964">
              <w:rPr>
                <w:rFonts w:eastAsia="SimSun"/>
                <w:sz w:val="18"/>
                <w:szCs w:val="18"/>
                <w:lang w:eastAsia="zh-CN"/>
              </w:rPr>
              <w:t xml:space="preserve"> de l’équipe </w:t>
            </w:r>
            <w:r w:rsidR="0034645C" w:rsidRPr="00F77964">
              <w:rPr>
                <w:rFonts w:eastAsia="SimSun"/>
                <w:sz w:val="18"/>
                <w:szCs w:val="18"/>
                <w:lang w:eastAsia="zh-CN"/>
              </w:rPr>
              <w:t xml:space="preserve">spéciale </w:t>
            </w:r>
            <w:r w:rsidR="009C3B40" w:rsidRPr="00F77964">
              <w:rPr>
                <w:rFonts w:eastAsia="SimSun"/>
                <w:sz w:val="18"/>
                <w:szCs w:val="18"/>
                <w:lang w:eastAsia="zh-CN"/>
              </w:rPr>
              <w:t xml:space="preserve">une réunion du forum </w:t>
            </w:r>
            <w:r w:rsidR="007D32FD">
              <w:rPr>
                <w:rFonts w:eastAsia="SimSun"/>
                <w:sz w:val="18"/>
                <w:szCs w:val="18"/>
                <w:lang w:eastAsia="zh-CN"/>
              </w:rPr>
              <w:t xml:space="preserve">visant à </w:t>
            </w:r>
            <w:r w:rsidRPr="00F77964">
              <w:rPr>
                <w:rFonts w:eastAsia="SimSun"/>
                <w:sz w:val="18"/>
                <w:szCs w:val="18"/>
                <w:lang w:eastAsia="zh-CN"/>
              </w:rPr>
              <w:t xml:space="preserve">hiérarchiser </w:t>
            </w:r>
            <w:r w:rsidR="007D32FD">
              <w:rPr>
                <w:rFonts w:eastAsia="SimSun"/>
                <w:sz w:val="18"/>
                <w:szCs w:val="18"/>
                <w:lang w:eastAsia="zh-CN"/>
              </w:rPr>
              <w:t>les</w:t>
            </w:r>
            <w:r w:rsidRPr="00F77964">
              <w:rPr>
                <w:rFonts w:eastAsia="SimSun"/>
                <w:sz w:val="18"/>
                <w:szCs w:val="18"/>
                <w:lang w:eastAsia="zh-CN"/>
              </w:rPr>
              <w:t xml:space="preserve"> besoins de renfo</w:t>
            </w:r>
            <w:r w:rsidR="009C3B40">
              <w:rPr>
                <w:rFonts w:eastAsia="SimSun"/>
                <w:sz w:val="18"/>
                <w:szCs w:val="18"/>
                <w:lang w:eastAsia="zh-CN"/>
              </w:rPr>
              <w:t>rcement des capacités identifié</w:t>
            </w:r>
            <w:r w:rsidRPr="00F77964">
              <w:rPr>
                <w:rFonts w:eastAsia="SimSun"/>
                <w:sz w:val="18"/>
                <w:szCs w:val="18"/>
                <w:lang w:eastAsia="zh-CN"/>
              </w:rPr>
              <w:t xml:space="preserve">s </w:t>
            </w:r>
            <w:r w:rsidR="007D32FD" w:rsidRPr="00F77964">
              <w:rPr>
                <w:rFonts w:eastAsia="SimSun"/>
                <w:sz w:val="18"/>
                <w:szCs w:val="18"/>
                <w:lang w:eastAsia="zh-CN"/>
              </w:rPr>
              <w:t xml:space="preserve">et </w:t>
            </w:r>
            <w:r w:rsidR="007D32FD">
              <w:rPr>
                <w:rFonts w:eastAsia="SimSun"/>
                <w:sz w:val="18"/>
                <w:szCs w:val="18"/>
                <w:lang w:eastAsia="zh-CN"/>
              </w:rPr>
              <w:t>stimuler</w:t>
            </w:r>
            <w:r w:rsidR="007D32FD" w:rsidRPr="00F77964">
              <w:rPr>
                <w:rFonts w:eastAsia="SimSun"/>
                <w:sz w:val="18"/>
                <w:szCs w:val="18"/>
                <w:lang w:eastAsia="zh-CN"/>
              </w:rPr>
              <w:t xml:space="preserve"> </w:t>
            </w:r>
            <w:r w:rsidR="007D32FD">
              <w:rPr>
                <w:rFonts w:eastAsia="SimSun"/>
                <w:sz w:val="18"/>
                <w:szCs w:val="18"/>
                <w:lang w:eastAsia="zh-CN"/>
              </w:rPr>
              <w:t>la fourniture d’</w:t>
            </w:r>
            <w:r w:rsidR="007D32FD" w:rsidRPr="00F77964">
              <w:rPr>
                <w:rFonts w:eastAsia="SimSun"/>
                <w:sz w:val="18"/>
                <w:szCs w:val="18"/>
                <w:lang w:eastAsia="zh-CN"/>
              </w:rPr>
              <w:t xml:space="preserve">appuis financiers et en nature pour </w:t>
            </w:r>
            <w:r w:rsidR="007D32FD">
              <w:rPr>
                <w:rFonts w:eastAsia="SimSun"/>
                <w:sz w:val="18"/>
                <w:szCs w:val="18"/>
                <w:lang w:eastAsia="zh-CN"/>
              </w:rPr>
              <w:t xml:space="preserve">y </w:t>
            </w:r>
            <w:r w:rsidR="007D32FD" w:rsidRPr="00F77964">
              <w:rPr>
                <w:rFonts w:eastAsia="SimSun"/>
                <w:sz w:val="18"/>
                <w:szCs w:val="18"/>
                <w:lang w:eastAsia="zh-CN"/>
              </w:rPr>
              <w:t xml:space="preserve">répondre </w:t>
            </w:r>
            <w:r w:rsidRPr="00F77964">
              <w:rPr>
                <w:rFonts w:eastAsia="SimSun"/>
                <w:sz w:val="18"/>
                <w:szCs w:val="18"/>
                <w:lang w:eastAsia="zh-CN"/>
              </w:rPr>
              <w:t>et</w:t>
            </w:r>
            <w:r w:rsidR="0034645C" w:rsidRPr="00F77964">
              <w:rPr>
                <w:rFonts w:eastAsia="SimSun"/>
                <w:sz w:val="18"/>
                <w:szCs w:val="18"/>
                <w:lang w:eastAsia="zh-CN"/>
              </w:rPr>
              <w:t xml:space="preserve"> </w:t>
            </w:r>
            <w:r w:rsidRPr="00F77964">
              <w:rPr>
                <w:rFonts w:eastAsia="SimSun"/>
                <w:sz w:val="18"/>
                <w:szCs w:val="18"/>
                <w:lang w:eastAsia="zh-CN"/>
              </w:rPr>
              <w:t xml:space="preserve">présente la liste hiérarchisée des </w:t>
            </w:r>
            <w:r w:rsidR="00D27B4B" w:rsidRPr="00F77964">
              <w:rPr>
                <w:rFonts w:eastAsia="SimSun"/>
                <w:sz w:val="18"/>
                <w:szCs w:val="18"/>
                <w:lang w:eastAsia="zh-CN"/>
              </w:rPr>
              <w:t xml:space="preserve">besoins </w:t>
            </w:r>
            <w:r w:rsidR="00A54DD1" w:rsidRPr="00F77964">
              <w:rPr>
                <w:rFonts w:eastAsia="SimSun"/>
                <w:sz w:val="18"/>
                <w:szCs w:val="18"/>
                <w:lang w:eastAsia="zh-CN"/>
              </w:rPr>
              <w:t xml:space="preserve">à la </w:t>
            </w:r>
            <w:r w:rsidR="00D27B4B" w:rsidRPr="00F77964">
              <w:rPr>
                <w:rFonts w:eastAsia="SimSun"/>
                <w:sz w:val="18"/>
                <w:szCs w:val="18"/>
                <w:lang w:eastAsia="zh-CN"/>
              </w:rPr>
              <w:t>P</w:t>
            </w:r>
            <w:r w:rsidR="00A54DD1" w:rsidRPr="00F77964">
              <w:rPr>
                <w:rFonts w:eastAsia="SimSun"/>
                <w:sz w:val="18"/>
                <w:szCs w:val="18"/>
                <w:lang w:eastAsia="zh-CN"/>
              </w:rPr>
              <w:t>lénière à sa troisième session</w:t>
            </w:r>
          </w:p>
        </w:tc>
      </w:tr>
      <w:tr w:rsidR="00A54DD1" w:rsidRPr="0061490E" w:rsidTr="00592ADB">
        <w:trPr>
          <w:trHeight w:val="387"/>
        </w:trPr>
        <w:tc>
          <w:tcPr>
            <w:tcW w:w="601"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pPr>
              <w:pStyle w:val="Normal-pool"/>
              <w:spacing w:before="40" w:after="40"/>
              <w:rPr>
                <w:rFonts w:eastAsia="SimSun"/>
                <w:sz w:val="18"/>
                <w:szCs w:val="18"/>
                <w:lang w:eastAsia="zh-CN"/>
              </w:rPr>
            </w:pPr>
            <w:r w:rsidRPr="00F77964">
              <w:rPr>
                <w:rFonts w:eastAsia="SimSun"/>
                <w:sz w:val="18"/>
                <w:szCs w:val="18"/>
                <w:lang w:eastAsia="zh-CN"/>
              </w:rPr>
              <w:t>2015</w:t>
            </w:r>
          </w:p>
        </w:tc>
        <w:tc>
          <w:tcPr>
            <w:tcW w:w="1777" w:type="dxa"/>
            <w:tcBorders>
              <w:top w:val="single" w:sz="4" w:space="0" w:color="auto"/>
              <w:left w:val="single" w:sz="4" w:space="0" w:color="auto"/>
              <w:bottom w:val="single" w:sz="4" w:space="0" w:color="auto"/>
              <w:right w:val="single" w:sz="4" w:space="0" w:color="auto"/>
            </w:tcBorders>
            <w:hideMark/>
          </w:tcPr>
          <w:p w:rsidR="00D66005" w:rsidRPr="00F77964" w:rsidRDefault="00A54DD1" w:rsidP="00A54DD1">
            <w:pPr>
              <w:pStyle w:val="Normal-pool"/>
              <w:spacing w:before="40" w:after="40"/>
              <w:rPr>
                <w:rFonts w:eastAsia="SimSun"/>
                <w:sz w:val="18"/>
                <w:szCs w:val="18"/>
                <w:lang w:eastAsia="zh-CN"/>
              </w:rPr>
            </w:pPr>
            <w:r w:rsidRPr="00F77964">
              <w:rPr>
                <w:rFonts w:eastAsia="SimSun"/>
                <w:sz w:val="18"/>
                <w:szCs w:val="18"/>
                <w:lang w:eastAsia="zh-CN"/>
              </w:rPr>
              <w:t>Premier trimestre</w:t>
            </w:r>
          </w:p>
        </w:tc>
        <w:tc>
          <w:tcPr>
            <w:tcW w:w="5424"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A54DD1" w:rsidP="007D32FD">
            <w:pPr>
              <w:pStyle w:val="Normal-pool"/>
              <w:spacing w:before="40" w:after="40"/>
              <w:rPr>
                <w:rFonts w:eastAsia="SimSun"/>
                <w:sz w:val="18"/>
                <w:szCs w:val="18"/>
                <w:lang w:eastAsia="zh-CN"/>
              </w:rPr>
            </w:pPr>
            <w:r w:rsidRPr="00F77964">
              <w:rPr>
                <w:rFonts w:eastAsia="SimSun"/>
                <w:sz w:val="18"/>
                <w:szCs w:val="18"/>
                <w:lang w:eastAsia="zh-CN"/>
              </w:rPr>
              <w:t>La Plénière, à sa troisième session, examine la liste hiérarchisée des besoins de renforcement des capacités, invite les don</w:t>
            </w:r>
            <w:r w:rsidR="00D27B4B" w:rsidRPr="00F77964">
              <w:rPr>
                <w:rFonts w:eastAsia="SimSun"/>
                <w:sz w:val="18"/>
                <w:szCs w:val="18"/>
                <w:lang w:eastAsia="zh-CN"/>
              </w:rPr>
              <w:t>at</w:t>
            </w:r>
            <w:r w:rsidRPr="00F77964">
              <w:rPr>
                <w:rFonts w:eastAsia="SimSun"/>
                <w:sz w:val="18"/>
                <w:szCs w:val="18"/>
                <w:lang w:eastAsia="zh-CN"/>
              </w:rPr>
              <w:t xml:space="preserve">eurs potentiels à fournir </w:t>
            </w:r>
            <w:r w:rsidR="00D27B4B" w:rsidRPr="00F77964">
              <w:rPr>
                <w:rFonts w:eastAsia="SimSun"/>
                <w:sz w:val="18"/>
                <w:szCs w:val="18"/>
                <w:lang w:eastAsia="zh-CN"/>
              </w:rPr>
              <w:t>des</w:t>
            </w:r>
            <w:r w:rsidRPr="00F77964">
              <w:rPr>
                <w:rFonts w:eastAsia="SimSun"/>
                <w:sz w:val="18"/>
                <w:szCs w:val="18"/>
                <w:lang w:eastAsia="zh-CN"/>
              </w:rPr>
              <w:t xml:space="preserve"> appui</w:t>
            </w:r>
            <w:r w:rsidR="00D27B4B" w:rsidRPr="00F77964">
              <w:rPr>
                <w:rFonts w:eastAsia="SimSun"/>
                <w:sz w:val="18"/>
                <w:szCs w:val="18"/>
                <w:lang w:eastAsia="zh-CN"/>
              </w:rPr>
              <w:t>s</w:t>
            </w:r>
            <w:r w:rsidRPr="00F77964">
              <w:rPr>
                <w:rFonts w:eastAsia="SimSun"/>
                <w:sz w:val="18"/>
                <w:szCs w:val="18"/>
                <w:lang w:eastAsia="zh-CN"/>
              </w:rPr>
              <w:t xml:space="preserve"> en nature et/ou financier</w:t>
            </w:r>
            <w:r w:rsidR="00D27B4B" w:rsidRPr="00F77964">
              <w:rPr>
                <w:rFonts w:eastAsia="SimSun"/>
                <w:sz w:val="18"/>
                <w:szCs w:val="18"/>
                <w:lang w:eastAsia="zh-CN"/>
              </w:rPr>
              <w:t>s</w:t>
            </w:r>
            <w:r w:rsidRPr="00F77964">
              <w:rPr>
                <w:rFonts w:eastAsia="SimSun"/>
                <w:sz w:val="18"/>
                <w:szCs w:val="18"/>
                <w:lang w:eastAsia="zh-CN"/>
              </w:rPr>
              <w:t xml:space="preserve"> pour répondre à ses besoins, et </w:t>
            </w:r>
            <w:r w:rsidR="007D32FD">
              <w:rPr>
                <w:rFonts w:eastAsia="SimSun"/>
                <w:sz w:val="18"/>
                <w:szCs w:val="18"/>
                <w:lang w:eastAsia="zh-CN"/>
              </w:rPr>
              <w:t xml:space="preserve">examine la possibilité de </w:t>
            </w:r>
            <w:r w:rsidRPr="00F77964">
              <w:rPr>
                <w:rFonts w:eastAsia="SimSun"/>
                <w:sz w:val="18"/>
                <w:szCs w:val="18"/>
                <w:lang w:eastAsia="zh-CN"/>
              </w:rPr>
              <w:t xml:space="preserve">demander à l’équipe </w:t>
            </w:r>
            <w:r w:rsidR="00D27B4B" w:rsidRPr="00F77964">
              <w:rPr>
                <w:rFonts w:eastAsia="SimSun"/>
                <w:sz w:val="18"/>
                <w:szCs w:val="18"/>
                <w:lang w:eastAsia="zh-CN"/>
              </w:rPr>
              <w:t>spéciale</w:t>
            </w:r>
            <w:r w:rsidRPr="00F77964">
              <w:rPr>
                <w:rFonts w:eastAsia="SimSun"/>
                <w:sz w:val="18"/>
                <w:szCs w:val="18"/>
                <w:lang w:eastAsia="zh-CN"/>
              </w:rPr>
              <w:t xml:space="preserve"> de répondre aux besoins convenus </w:t>
            </w:r>
            <w:r w:rsidR="00D66005" w:rsidRPr="00F77964">
              <w:rPr>
                <w:rFonts w:eastAsia="SimSun"/>
                <w:sz w:val="18"/>
                <w:szCs w:val="18"/>
                <w:lang w:eastAsia="zh-CN"/>
              </w:rPr>
              <w:t>(</w:t>
            </w:r>
            <w:r w:rsidRPr="00F77964">
              <w:rPr>
                <w:rFonts w:eastAsia="SimSun"/>
                <w:sz w:val="18"/>
                <w:szCs w:val="18"/>
                <w:lang w:eastAsia="zh-CN"/>
              </w:rPr>
              <w:t>voir produit </w:t>
            </w:r>
            <w:r w:rsidR="00D66005" w:rsidRPr="00F77964">
              <w:rPr>
                <w:rFonts w:eastAsia="SimSun"/>
                <w:sz w:val="18"/>
                <w:szCs w:val="18"/>
                <w:lang w:eastAsia="zh-CN"/>
              </w:rPr>
              <w:t>1</w:t>
            </w:r>
            <w:r w:rsidR="00D27B4B" w:rsidRPr="00F77964">
              <w:rPr>
                <w:rFonts w:eastAsia="SimSun"/>
                <w:sz w:val="18"/>
                <w:szCs w:val="18"/>
                <w:lang w:eastAsia="zh-CN"/>
              </w:rPr>
              <w:t> </w:t>
            </w:r>
            <w:r w:rsidR="00D66005" w:rsidRPr="00F77964">
              <w:rPr>
                <w:rFonts w:eastAsia="SimSun"/>
                <w:sz w:val="18"/>
                <w:szCs w:val="18"/>
                <w:lang w:eastAsia="zh-CN"/>
              </w:rPr>
              <w:t>b))</w:t>
            </w:r>
          </w:p>
        </w:tc>
      </w:tr>
      <w:tr w:rsidR="00A54DD1" w:rsidRPr="0061490E" w:rsidTr="00592ADB">
        <w:trPr>
          <w:trHeight w:val="527"/>
        </w:trPr>
        <w:tc>
          <w:tcPr>
            <w:tcW w:w="601" w:type="dxa"/>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sz w:val="18"/>
                <w:szCs w:val="18"/>
                <w:lang w:eastAsia="zh-CN"/>
              </w:rPr>
            </w:pPr>
          </w:p>
        </w:tc>
        <w:tc>
          <w:tcPr>
            <w:tcW w:w="1777" w:type="dxa"/>
            <w:tcBorders>
              <w:top w:val="single" w:sz="4" w:space="0" w:color="auto"/>
              <w:left w:val="single" w:sz="4" w:space="0" w:color="auto"/>
              <w:bottom w:val="single" w:sz="4" w:space="0" w:color="auto"/>
              <w:right w:val="single" w:sz="4" w:space="0" w:color="auto"/>
            </w:tcBorders>
            <w:hideMark/>
          </w:tcPr>
          <w:p w:rsidR="00D66005" w:rsidRPr="00F77964" w:rsidRDefault="00A54DD1" w:rsidP="00A54DD1">
            <w:pPr>
              <w:pStyle w:val="Normal-pool"/>
              <w:spacing w:before="40" w:after="40"/>
              <w:rPr>
                <w:rFonts w:eastAsia="SimSun"/>
                <w:sz w:val="18"/>
                <w:szCs w:val="18"/>
                <w:lang w:eastAsia="zh-CN"/>
              </w:rPr>
            </w:pPr>
            <w:r w:rsidRPr="00F77964">
              <w:rPr>
                <w:rFonts w:eastAsia="SimSun"/>
                <w:sz w:val="18"/>
                <w:szCs w:val="18"/>
                <w:lang w:eastAsia="zh-CN"/>
              </w:rPr>
              <w:t>Deuxième</w:t>
            </w:r>
            <w:r w:rsidR="00D66005" w:rsidRPr="00F77964">
              <w:rPr>
                <w:rFonts w:eastAsia="SimSun"/>
                <w:sz w:val="18"/>
                <w:szCs w:val="18"/>
                <w:lang w:eastAsia="zh-CN"/>
              </w:rPr>
              <w:t>/</w:t>
            </w:r>
            <w:r w:rsidRPr="00F77964">
              <w:rPr>
                <w:rFonts w:eastAsia="SimSun"/>
                <w:sz w:val="18"/>
                <w:szCs w:val="18"/>
                <w:lang w:eastAsia="zh-CN"/>
              </w:rPr>
              <w:t>troisième</w:t>
            </w:r>
            <w:r w:rsidR="00D66005" w:rsidRPr="00F77964">
              <w:rPr>
                <w:rFonts w:eastAsia="SimSun"/>
                <w:sz w:val="18"/>
                <w:szCs w:val="18"/>
                <w:lang w:eastAsia="zh-CN"/>
              </w:rPr>
              <w:t xml:space="preserve">/ </w:t>
            </w:r>
            <w:r w:rsidRPr="00F77964">
              <w:rPr>
                <w:rFonts w:eastAsia="SimSun"/>
                <w:sz w:val="18"/>
                <w:szCs w:val="18"/>
                <w:lang w:eastAsia="zh-CN"/>
              </w:rPr>
              <w:t>quatrième trimestres</w:t>
            </w:r>
          </w:p>
        </w:tc>
        <w:tc>
          <w:tcPr>
            <w:tcW w:w="5424"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A54DD1" w:rsidP="001D0AF0">
            <w:pPr>
              <w:pStyle w:val="Normal-pool"/>
              <w:spacing w:before="40" w:after="40"/>
              <w:rPr>
                <w:rFonts w:eastAsia="SimSun"/>
                <w:sz w:val="18"/>
                <w:szCs w:val="18"/>
                <w:lang w:eastAsia="zh-CN"/>
              </w:rPr>
            </w:pPr>
            <w:r w:rsidRPr="00F77964">
              <w:rPr>
                <w:rFonts w:eastAsia="SimSun"/>
                <w:sz w:val="18"/>
                <w:szCs w:val="18"/>
                <w:lang w:eastAsia="zh-CN"/>
              </w:rPr>
              <w:t xml:space="preserve">Le </w:t>
            </w:r>
            <w:r w:rsidR="00D27B4B" w:rsidRPr="00F77964">
              <w:rPr>
                <w:rFonts w:eastAsia="SimSun"/>
                <w:sz w:val="18"/>
                <w:szCs w:val="18"/>
                <w:lang w:eastAsia="zh-CN"/>
              </w:rPr>
              <w:t>s</w:t>
            </w:r>
            <w:r w:rsidRPr="00F77964">
              <w:rPr>
                <w:rFonts w:eastAsia="SimSun"/>
                <w:sz w:val="18"/>
                <w:szCs w:val="18"/>
                <w:lang w:eastAsia="zh-CN"/>
              </w:rPr>
              <w:t xml:space="preserve">ecrétariat, sous la supervision du Bureau et </w:t>
            </w:r>
            <w:r w:rsidR="007D32FD">
              <w:rPr>
                <w:rFonts w:eastAsia="SimSun"/>
                <w:sz w:val="18"/>
                <w:szCs w:val="18"/>
                <w:lang w:eastAsia="zh-CN"/>
              </w:rPr>
              <w:t>conseil</w:t>
            </w:r>
            <w:r w:rsidR="001D0AF0">
              <w:rPr>
                <w:rFonts w:eastAsia="SimSun"/>
                <w:sz w:val="18"/>
                <w:szCs w:val="18"/>
                <w:lang w:eastAsia="zh-CN"/>
              </w:rPr>
              <w:t>lé par</w:t>
            </w:r>
            <w:r w:rsidR="00D27B4B" w:rsidRPr="00F77964">
              <w:rPr>
                <w:rFonts w:eastAsia="SimSun"/>
                <w:sz w:val="18"/>
                <w:szCs w:val="18"/>
                <w:lang w:eastAsia="zh-CN"/>
              </w:rPr>
              <w:t xml:space="preserve"> </w:t>
            </w:r>
            <w:r w:rsidRPr="00F77964">
              <w:rPr>
                <w:rFonts w:eastAsia="SimSun"/>
                <w:sz w:val="18"/>
                <w:szCs w:val="18"/>
                <w:lang w:eastAsia="zh-CN"/>
              </w:rPr>
              <w:t xml:space="preserve">l’équipe </w:t>
            </w:r>
            <w:r w:rsidR="00D27B4B" w:rsidRPr="00F77964">
              <w:rPr>
                <w:rFonts w:eastAsia="SimSun"/>
                <w:sz w:val="18"/>
                <w:szCs w:val="18"/>
                <w:lang w:eastAsia="zh-CN"/>
              </w:rPr>
              <w:t>spéciale</w:t>
            </w:r>
            <w:r w:rsidRPr="00F77964">
              <w:rPr>
                <w:rFonts w:eastAsia="SimSun"/>
                <w:sz w:val="18"/>
                <w:szCs w:val="18"/>
                <w:lang w:eastAsia="zh-CN"/>
              </w:rPr>
              <w:t>, établi</w:t>
            </w:r>
            <w:r w:rsidR="00D27B4B" w:rsidRPr="00F77964">
              <w:rPr>
                <w:rFonts w:eastAsia="SimSun"/>
                <w:sz w:val="18"/>
                <w:szCs w:val="18"/>
                <w:lang w:eastAsia="zh-CN"/>
              </w:rPr>
              <w:t>t</w:t>
            </w:r>
            <w:r w:rsidRPr="00F77964">
              <w:rPr>
                <w:rFonts w:eastAsia="SimSun"/>
                <w:sz w:val="18"/>
                <w:szCs w:val="18"/>
                <w:lang w:eastAsia="zh-CN"/>
              </w:rPr>
              <w:t xml:space="preserve"> et gère le mécanisme </w:t>
            </w:r>
            <w:r w:rsidR="00D27B4B" w:rsidRPr="00F77964">
              <w:rPr>
                <w:rFonts w:eastAsia="SimSun"/>
                <w:sz w:val="18"/>
                <w:szCs w:val="18"/>
                <w:lang w:eastAsia="zh-CN"/>
              </w:rPr>
              <w:t xml:space="preserve">de </w:t>
            </w:r>
            <w:r w:rsidRPr="00F77964">
              <w:rPr>
                <w:rFonts w:eastAsia="SimSun"/>
                <w:sz w:val="18"/>
                <w:szCs w:val="18"/>
                <w:lang w:eastAsia="zh-CN"/>
              </w:rPr>
              <w:t>mis</w:t>
            </w:r>
            <w:r w:rsidR="0082652D" w:rsidRPr="00F77964">
              <w:rPr>
                <w:rFonts w:eastAsia="SimSun"/>
                <w:sz w:val="18"/>
                <w:szCs w:val="18"/>
                <w:lang w:eastAsia="zh-CN"/>
              </w:rPr>
              <w:t xml:space="preserve">e </w:t>
            </w:r>
            <w:r w:rsidRPr="00F77964">
              <w:rPr>
                <w:rFonts w:eastAsia="SimSun"/>
                <w:sz w:val="18"/>
                <w:szCs w:val="18"/>
                <w:lang w:eastAsia="zh-CN"/>
              </w:rPr>
              <w:t>en correspondance</w:t>
            </w:r>
          </w:p>
        </w:tc>
      </w:tr>
      <w:tr w:rsidR="00A54DD1" w:rsidRPr="0061490E" w:rsidTr="00592ADB">
        <w:trPr>
          <w:trHeight w:val="784"/>
        </w:trPr>
        <w:tc>
          <w:tcPr>
            <w:tcW w:w="601"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pPr>
              <w:pStyle w:val="Normal-pool"/>
              <w:spacing w:before="40" w:after="40"/>
              <w:rPr>
                <w:rFonts w:eastAsia="SimSun"/>
                <w:sz w:val="18"/>
                <w:szCs w:val="18"/>
                <w:lang w:eastAsia="zh-CN"/>
              </w:rPr>
            </w:pPr>
            <w:r w:rsidRPr="00F77964">
              <w:rPr>
                <w:rFonts w:eastAsia="SimSun"/>
                <w:sz w:val="18"/>
                <w:szCs w:val="18"/>
                <w:lang w:eastAsia="zh-CN"/>
              </w:rPr>
              <w:t>2016</w:t>
            </w:r>
          </w:p>
        </w:tc>
        <w:tc>
          <w:tcPr>
            <w:tcW w:w="1777" w:type="dxa"/>
            <w:tcBorders>
              <w:top w:val="single" w:sz="4" w:space="0" w:color="auto"/>
              <w:left w:val="single" w:sz="4" w:space="0" w:color="auto"/>
              <w:bottom w:val="single" w:sz="4" w:space="0" w:color="auto"/>
              <w:right w:val="single" w:sz="4" w:space="0" w:color="auto"/>
            </w:tcBorders>
            <w:hideMark/>
          </w:tcPr>
          <w:p w:rsidR="00D66005" w:rsidRPr="00F77964" w:rsidRDefault="00A54DD1" w:rsidP="00A54DD1">
            <w:pPr>
              <w:pStyle w:val="Normal-pool"/>
              <w:spacing w:before="40" w:after="40"/>
              <w:rPr>
                <w:rFonts w:eastAsia="SimSun"/>
                <w:sz w:val="18"/>
                <w:szCs w:val="18"/>
                <w:lang w:eastAsia="zh-CN"/>
              </w:rPr>
            </w:pPr>
            <w:r w:rsidRPr="00F77964">
              <w:rPr>
                <w:rFonts w:eastAsia="SimSun"/>
                <w:sz w:val="18"/>
                <w:szCs w:val="18"/>
                <w:lang w:eastAsia="zh-CN"/>
              </w:rPr>
              <w:t>Premier/deuxième/</w:t>
            </w:r>
            <w:r w:rsidR="00592ADB">
              <w:rPr>
                <w:rFonts w:eastAsia="SimSun"/>
                <w:sz w:val="18"/>
                <w:szCs w:val="18"/>
                <w:lang w:eastAsia="zh-CN"/>
              </w:rPr>
              <w:br/>
            </w:r>
            <w:r w:rsidRPr="00F77964">
              <w:rPr>
                <w:rFonts w:eastAsia="SimSun"/>
                <w:sz w:val="18"/>
                <w:szCs w:val="18"/>
                <w:lang w:eastAsia="zh-CN"/>
              </w:rPr>
              <w:t>troisième trimestres</w:t>
            </w:r>
          </w:p>
        </w:tc>
        <w:tc>
          <w:tcPr>
            <w:tcW w:w="5424"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A54DD1" w:rsidP="001D0AF0">
            <w:pPr>
              <w:pStyle w:val="Normal-pool"/>
              <w:spacing w:before="40" w:after="40"/>
              <w:rPr>
                <w:rFonts w:eastAsia="SimSun"/>
                <w:sz w:val="18"/>
                <w:szCs w:val="18"/>
                <w:lang w:eastAsia="zh-CN"/>
              </w:rPr>
            </w:pPr>
            <w:r w:rsidRPr="00F77964">
              <w:rPr>
                <w:rFonts w:eastAsia="SimSun"/>
                <w:sz w:val="18"/>
                <w:szCs w:val="18"/>
                <w:lang w:eastAsia="zh-CN"/>
              </w:rPr>
              <w:t xml:space="preserve">L’équipe </w:t>
            </w:r>
            <w:r w:rsidR="00D27B4B" w:rsidRPr="00F77964">
              <w:rPr>
                <w:rFonts w:eastAsia="SimSun"/>
                <w:sz w:val="18"/>
                <w:szCs w:val="18"/>
                <w:lang w:eastAsia="zh-CN"/>
              </w:rPr>
              <w:t>spéciale</w:t>
            </w:r>
            <w:r w:rsidRPr="00F77964">
              <w:rPr>
                <w:rFonts w:eastAsia="SimSun"/>
                <w:sz w:val="18"/>
                <w:szCs w:val="18"/>
                <w:lang w:eastAsia="zh-CN"/>
              </w:rPr>
              <w:t xml:space="preserve"> évalue les progrès réalisés dans la </w:t>
            </w:r>
            <w:r w:rsidR="001D0AF0">
              <w:rPr>
                <w:rFonts w:eastAsia="SimSun"/>
                <w:sz w:val="18"/>
                <w:szCs w:val="18"/>
                <w:lang w:eastAsia="zh-CN"/>
              </w:rPr>
              <w:t xml:space="preserve">satisfaction des </w:t>
            </w:r>
            <w:r w:rsidRPr="00F77964">
              <w:rPr>
                <w:rFonts w:eastAsia="SimSun"/>
                <w:sz w:val="18"/>
                <w:szCs w:val="18"/>
                <w:lang w:eastAsia="zh-CN"/>
              </w:rPr>
              <w:t xml:space="preserve">besoins hiérarchisés et, sur la base de </w:t>
            </w:r>
            <w:r w:rsidR="00D27B4B" w:rsidRPr="00F77964">
              <w:rPr>
                <w:rFonts w:eastAsia="SimSun"/>
                <w:sz w:val="18"/>
                <w:szCs w:val="18"/>
                <w:lang w:eastAsia="zh-CN"/>
              </w:rPr>
              <w:t xml:space="preserve">cette </w:t>
            </w:r>
            <w:r w:rsidRPr="00F77964">
              <w:rPr>
                <w:rFonts w:eastAsia="SimSun"/>
                <w:sz w:val="18"/>
                <w:szCs w:val="18"/>
                <w:lang w:eastAsia="zh-CN"/>
              </w:rPr>
              <w:t>évaluation, propose une liste actualisée, conformément aux</w:t>
            </w:r>
            <w:r w:rsidR="0082652D" w:rsidRPr="00F77964">
              <w:rPr>
                <w:rFonts w:eastAsia="SimSun"/>
                <w:sz w:val="18"/>
                <w:szCs w:val="18"/>
                <w:lang w:eastAsia="zh-CN"/>
              </w:rPr>
              <w:t xml:space="preserve"> actions engagées</w:t>
            </w:r>
            <w:r w:rsidRPr="00F77964">
              <w:rPr>
                <w:rFonts w:eastAsia="SimSun"/>
                <w:sz w:val="18"/>
                <w:szCs w:val="18"/>
                <w:lang w:eastAsia="zh-CN"/>
              </w:rPr>
              <w:t xml:space="preserve"> au troisième trimestre de 2014</w:t>
            </w:r>
          </w:p>
        </w:tc>
      </w:tr>
      <w:tr w:rsidR="00A54DD1" w:rsidRPr="0061490E" w:rsidTr="00592ADB">
        <w:trPr>
          <w:trHeight w:val="736"/>
        </w:trPr>
        <w:tc>
          <w:tcPr>
            <w:tcW w:w="601" w:type="dxa"/>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sz w:val="18"/>
                <w:szCs w:val="18"/>
                <w:lang w:eastAsia="zh-CN"/>
              </w:rPr>
            </w:pPr>
          </w:p>
        </w:tc>
        <w:tc>
          <w:tcPr>
            <w:tcW w:w="1777" w:type="dxa"/>
            <w:tcBorders>
              <w:top w:val="single" w:sz="4" w:space="0" w:color="auto"/>
              <w:left w:val="single" w:sz="4" w:space="0" w:color="auto"/>
              <w:bottom w:val="single" w:sz="4" w:space="0" w:color="auto"/>
              <w:right w:val="single" w:sz="4" w:space="0" w:color="auto"/>
            </w:tcBorders>
            <w:hideMark/>
          </w:tcPr>
          <w:p w:rsidR="00D66005" w:rsidRPr="00F77964" w:rsidRDefault="00A54DD1" w:rsidP="00A54DD1">
            <w:pPr>
              <w:pStyle w:val="Normal-pool"/>
              <w:spacing w:before="40" w:after="40"/>
              <w:rPr>
                <w:rFonts w:eastAsia="SimSun"/>
                <w:sz w:val="18"/>
                <w:szCs w:val="18"/>
                <w:lang w:eastAsia="zh-CN"/>
              </w:rPr>
            </w:pPr>
            <w:r w:rsidRPr="00F77964">
              <w:rPr>
                <w:rFonts w:eastAsia="SimSun"/>
                <w:sz w:val="18"/>
                <w:szCs w:val="18"/>
                <w:lang w:eastAsia="zh-CN"/>
              </w:rPr>
              <w:t>Quatrième trimestre</w:t>
            </w:r>
          </w:p>
        </w:tc>
        <w:tc>
          <w:tcPr>
            <w:tcW w:w="5424"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A54DD1" w:rsidP="001D0AF0">
            <w:pPr>
              <w:pStyle w:val="Normal-pool"/>
              <w:spacing w:before="40" w:after="40"/>
              <w:rPr>
                <w:rFonts w:eastAsia="SimSun"/>
                <w:sz w:val="18"/>
                <w:szCs w:val="18"/>
                <w:lang w:eastAsia="zh-CN"/>
              </w:rPr>
            </w:pPr>
            <w:r w:rsidRPr="00F77964">
              <w:rPr>
                <w:rFonts w:eastAsia="SimSun"/>
                <w:sz w:val="18"/>
                <w:szCs w:val="18"/>
                <w:lang w:eastAsia="zh-CN"/>
              </w:rPr>
              <w:t>Le Bureau</w:t>
            </w:r>
            <w:r w:rsidR="001D0AF0">
              <w:rPr>
                <w:rFonts w:eastAsia="SimSun"/>
                <w:sz w:val="18"/>
                <w:szCs w:val="18"/>
                <w:lang w:eastAsia="zh-CN"/>
              </w:rPr>
              <w:t xml:space="preserve"> </w:t>
            </w:r>
            <w:r w:rsidR="001D0AF0" w:rsidRPr="00F77964">
              <w:rPr>
                <w:rFonts w:eastAsia="SimSun"/>
                <w:sz w:val="18"/>
                <w:szCs w:val="18"/>
                <w:lang w:eastAsia="zh-CN"/>
              </w:rPr>
              <w:t>organise avec l’a</w:t>
            </w:r>
            <w:r w:rsidR="001D0AF0">
              <w:rPr>
                <w:rFonts w:eastAsia="SimSun"/>
                <w:sz w:val="18"/>
                <w:szCs w:val="18"/>
                <w:lang w:eastAsia="zh-CN"/>
              </w:rPr>
              <w:t>ide</w:t>
            </w:r>
            <w:r w:rsidR="001D0AF0" w:rsidRPr="00F77964">
              <w:rPr>
                <w:rFonts w:eastAsia="SimSun"/>
                <w:sz w:val="18"/>
                <w:szCs w:val="18"/>
                <w:lang w:eastAsia="zh-CN"/>
              </w:rPr>
              <w:t xml:space="preserve"> de l’équipe spéciale une réunion du forum </w:t>
            </w:r>
            <w:r w:rsidR="001D0AF0">
              <w:rPr>
                <w:rFonts w:eastAsia="SimSun"/>
                <w:sz w:val="18"/>
                <w:szCs w:val="18"/>
                <w:lang w:eastAsia="zh-CN"/>
              </w:rPr>
              <w:t xml:space="preserve">visant à </w:t>
            </w:r>
            <w:r w:rsidR="001D0AF0" w:rsidRPr="00F77964">
              <w:rPr>
                <w:rFonts w:eastAsia="SimSun"/>
                <w:sz w:val="18"/>
                <w:szCs w:val="18"/>
                <w:lang w:eastAsia="zh-CN"/>
              </w:rPr>
              <w:t xml:space="preserve">hiérarchiser </w:t>
            </w:r>
            <w:r w:rsidR="001D0AF0">
              <w:rPr>
                <w:rFonts w:eastAsia="SimSun"/>
                <w:sz w:val="18"/>
                <w:szCs w:val="18"/>
                <w:lang w:eastAsia="zh-CN"/>
              </w:rPr>
              <w:t>les</w:t>
            </w:r>
            <w:r w:rsidR="001D0AF0" w:rsidRPr="00F77964">
              <w:rPr>
                <w:rFonts w:eastAsia="SimSun"/>
                <w:sz w:val="18"/>
                <w:szCs w:val="18"/>
                <w:lang w:eastAsia="zh-CN"/>
              </w:rPr>
              <w:t xml:space="preserve"> besoins de renfo</w:t>
            </w:r>
            <w:r w:rsidR="001D0AF0">
              <w:rPr>
                <w:rFonts w:eastAsia="SimSun"/>
                <w:sz w:val="18"/>
                <w:szCs w:val="18"/>
                <w:lang w:eastAsia="zh-CN"/>
              </w:rPr>
              <w:t>rcement des capacités identifié</w:t>
            </w:r>
            <w:r w:rsidR="001D0AF0" w:rsidRPr="00F77964">
              <w:rPr>
                <w:rFonts w:eastAsia="SimSun"/>
                <w:sz w:val="18"/>
                <w:szCs w:val="18"/>
                <w:lang w:eastAsia="zh-CN"/>
              </w:rPr>
              <w:t xml:space="preserve">s et </w:t>
            </w:r>
            <w:r w:rsidR="001D0AF0">
              <w:rPr>
                <w:rFonts w:eastAsia="SimSun"/>
                <w:sz w:val="18"/>
                <w:szCs w:val="18"/>
                <w:lang w:eastAsia="zh-CN"/>
              </w:rPr>
              <w:t>stimuler</w:t>
            </w:r>
            <w:r w:rsidR="001D0AF0" w:rsidRPr="00F77964">
              <w:rPr>
                <w:rFonts w:eastAsia="SimSun"/>
                <w:sz w:val="18"/>
                <w:szCs w:val="18"/>
                <w:lang w:eastAsia="zh-CN"/>
              </w:rPr>
              <w:t xml:space="preserve"> </w:t>
            </w:r>
            <w:r w:rsidR="001D0AF0">
              <w:rPr>
                <w:rFonts w:eastAsia="SimSun"/>
                <w:sz w:val="18"/>
                <w:szCs w:val="18"/>
                <w:lang w:eastAsia="zh-CN"/>
              </w:rPr>
              <w:t>la fourniture d’</w:t>
            </w:r>
            <w:r w:rsidR="001D0AF0" w:rsidRPr="00F77964">
              <w:rPr>
                <w:rFonts w:eastAsia="SimSun"/>
                <w:sz w:val="18"/>
                <w:szCs w:val="18"/>
                <w:lang w:eastAsia="zh-CN"/>
              </w:rPr>
              <w:t xml:space="preserve">appuis financiers et en nature pour </w:t>
            </w:r>
            <w:r w:rsidR="001D0AF0">
              <w:rPr>
                <w:rFonts w:eastAsia="SimSun"/>
                <w:sz w:val="18"/>
                <w:szCs w:val="18"/>
                <w:lang w:eastAsia="zh-CN"/>
              </w:rPr>
              <w:t xml:space="preserve">y </w:t>
            </w:r>
            <w:r w:rsidR="001D0AF0" w:rsidRPr="00F77964">
              <w:rPr>
                <w:rFonts w:eastAsia="SimSun"/>
                <w:sz w:val="18"/>
                <w:szCs w:val="18"/>
                <w:lang w:eastAsia="zh-CN"/>
              </w:rPr>
              <w:t xml:space="preserve">répondre et présente la liste hiérarchisée des besoins à la Plénière à sa </w:t>
            </w:r>
            <w:r w:rsidRPr="00F77964">
              <w:rPr>
                <w:rFonts w:eastAsia="SimSun"/>
                <w:sz w:val="18"/>
                <w:szCs w:val="18"/>
                <w:lang w:eastAsia="zh-CN"/>
              </w:rPr>
              <w:t>cinquième session</w:t>
            </w:r>
          </w:p>
        </w:tc>
      </w:tr>
      <w:tr w:rsidR="00A54DD1" w:rsidRPr="0061490E" w:rsidTr="00592ADB">
        <w:trPr>
          <w:trHeight w:val="387"/>
        </w:trPr>
        <w:tc>
          <w:tcPr>
            <w:tcW w:w="601"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pPr>
              <w:pStyle w:val="Normal-pool"/>
              <w:spacing w:before="40" w:after="40"/>
              <w:rPr>
                <w:rFonts w:eastAsia="SimSun"/>
                <w:sz w:val="18"/>
                <w:szCs w:val="18"/>
                <w:lang w:eastAsia="zh-CN"/>
              </w:rPr>
            </w:pPr>
            <w:r w:rsidRPr="00F77964">
              <w:rPr>
                <w:rFonts w:eastAsia="SimSun"/>
                <w:sz w:val="18"/>
                <w:szCs w:val="18"/>
                <w:lang w:eastAsia="zh-CN"/>
              </w:rPr>
              <w:t>2017</w:t>
            </w:r>
          </w:p>
        </w:tc>
        <w:tc>
          <w:tcPr>
            <w:tcW w:w="1777" w:type="dxa"/>
            <w:tcBorders>
              <w:top w:val="single" w:sz="4" w:space="0" w:color="auto"/>
              <w:left w:val="single" w:sz="4" w:space="0" w:color="auto"/>
              <w:bottom w:val="single" w:sz="4" w:space="0" w:color="auto"/>
              <w:right w:val="single" w:sz="4" w:space="0" w:color="auto"/>
            </w:tcBorders>
            <w:hideMark/>
          </w:tcPr>
          <w:p w:rsidR="00D66005" w:rsidRPr="00F77964" w:rsidRDefault="00A54DD1" w:rsidP="00A54DD1">
            <w:pPr>
              <w:pStyle w:val="Normal-pool"/>
              <w:spacing w:before="40" w:after="40"/>
              <w:rPr>
                <w:rFonts w:eastAsia="SimSun"/>
                <w:sz w:val="18"/>
                <w:szCs w:val="18"/>
                <w:lang w:eastAsia="zh-CN"/>
              </w:rPr>
            </w:pPr>
            <w:r w:rsidRPr="00F77964">
              <w:rPr>
                <w:rFonts w:eastAsia="SimSun"/>
                <w:sz w:val="18"/>
                <w:szCs w:val="18"/>
                <w:lang w:eastAsia="zh-CN"/>
              </w:rPr>
              <w:t>Premier trimestre</w:t>
            </w:r>
          </w:p>
        </w:tc>
        <w:tc>
          <w:tcPr>
            <w:tcW w:w="5424"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ED0516" w:rsidP="0082652D">
            <w:pPr>
              <w:pStyle w:val="Normal-pool"/>
              <w:spacing w:before="40" w:after="40"/>
              <w:rPr>
                <w:rFonts w:eastAsia="SimSun"/>
                <w:sz w:val="18"/>
                <w:szCs w:val="18"/>
                <w:lang w:eastAsia="zh-CN"/>
              </w:rPr>
            </w:pPr>
            <w:r w:rsidRPr="00F77964">
              <w:rPr>
                <w:rFonts w:eastAsia="SimSun"/>
                <w:sz w:val="18"/>
                <w:szCs w:val="18"/>
                <w:lang w:eastAsia="zh-CN"/>
              </w:rPr>
              <w:t>La Plénière, à sa cinquième session, examine la liste hiérarchisée des besoins en matière de capacit</w:t>
            </w:r>
            <w:r w:rsidR="0082652D" w:rsidRPr="00F77964">
              <w:rPr>
                <w:rFonts w:eastAsia="SimSun"/>
                <w:sz w:val="18"/>
                <w:szCs w:val="18"/>
                <w:lang w:eastAsia="zh-CN"/>
              </w:rPr>
              <w:t>és</w:t>
            </w:r>
            <w:r w:rsidRPr="00F77964">
              <w:rPr>
                <w:rFonts w:eastAsia="SimSun"/>
                <w:sz w:val="18"/>
                <w:szCs w:val="18"/>
                <w:lang w:eastAsia="zh-CN"/>
              </w:rPr>
              <w:t xml:space="preserve">, invite les donateurs potentiels à fournir </w:t>
            </w:r>
            <w:r w:rsidR="00D27B4B" w:rsidRPr="00F77964">
              <w:rPr>
                <w:rFonts w:eastAsia="SimSun"/>
                <w:sz w:val="18"/>
                <w:szCs w:val="18"/>
                <w:lang w:eastAsia="zh-CN"/>
              </w:rPr>
              <w:t>des</w:t>
            </w:r>
            <w:r w:rsidRPr="00F77964">
              <w:rPr>
                <w:rFonts w:eastAsia="SimSun"/>
                <w:sz w:val="18"/>
                <w:szCs w:val="18"/>
                <w:lang w:eastAsia="zh-CN"/>
              </w:rPr>
              <w:t xml:space="preserve"> appui</w:t>
            </w:r>
            <w:r w:rsidR="00D27B4B" w:rsidRPr="00F77964">
              <w:rPr>
                <w:rFonts w:eastAsia="SimSun"/>
                <w:sz w:val="18"/>
                <w:szCs w:val="18"/>
                <w:lang w:eastAsia="zh-CN"/>
              </w:rPr>
              <w:t>s</w:t>
            </w:r>
            <w:r w:rsidRPr="00F77964">
              <w:rPr>
                <w:rFonts w:eastAsia="SimSun"/>
                <w:sz w:val="18"/>
                <w:szCs w:val="18"/>
                <w:lang w:eastAsia="zh-CN"/>
              </w:rPr>
              <w:t xml:space="preserve"> en nature et/ou financier</w:t>
            </w:r>
            <w:r w:rsidR="00D27B4B" w:rsidRPr="00F77964">
              <w:rPr>
                <w:rFonts w:eastAsia="SimSun"/>
                <w:sz w:val="18"/>
                <w:szCs w:val="18"/>
                <w:lang w:eastAsia="zh-CN"/>
              </w:rPr>
              <w:t>s</w:t>
            </w:r>
            <w:r w:rsidRPr="00F77964">
              <w:rPr>
                <w:rFonts w:eastAsia="SimSun"/>
                <w:sz w:val="18"/>
                <w:szCs w:val="18"/>
                <w:lang w:eastAsia="zh-CN"/>
              </w:rPr>
              <w:t xml:space="preserve"> pour répondre à </w:t>
            </w:r>
            <w:r w:rsidR="00612DA5" w:rsidRPr="00F77964">
              <w:rPr>
                <w:rFonts w:eastAsia="SimSun"/>
                <w:sz w:val="18"/>
                <w:szCs w:val="18"/>
                <w:lang w:eastAsia="zh-CN"/>
              </w:rPr>
              <w:t>c</w:t>
            </w:r>
            <w:r w:rsidRPr="00F77964">
              <w:rPr>
                <w:rFonts w:eastAsia="SimSun"/>
                <w:sz w:val="18"/>
                <w:szCs w:val="18"/>
                <w:lang w:eastAsia="zh-CN"/>
              </w:rPr>
              <w:t xml:space="preserve">es besoins et </w:t>
            </w:r>
            <w:r w:rsidR="006255BB">
              <w:rPr>
                <w:rFonts w:eastAsia="SimSun"/>
                <w:sz w:val="18"/>
                <w:szCs w:val="18"/>
                <w:lang w:eastAsia="zh-CN"/>
              </w:rPr>
              <w:t>étudie la possibilité d’</w:t>
            </w:r>
            <w:r w:rsidRPr="00F77964">
              <w:rPr>
                <w:rFonts w:eastAsia="SimSun"/>
                <w:sz w:val="18"/>
                <w:szCs w:val="18"/>
                <w:lang w:eastAsia="zh-CN"/>
              </w:rPr>
              <w:t xml:space="preserve">demander à l’équipe </w:t>
            </w:r>
            <w:r w:rsidR="00D27B4B" w:rsidRPr="00F77964">
              <w:rPr>
                <w:rFonts w:eastAsia="SimSun"/>
                <w:sz w:val="18"/>
                <w:szCs w:val="18"/>
                <w:lang w:eastAsia="zh-CN"/>
              </w:rPr>
              <w:t xml:space="preserve">spéciale </w:t>
            </w:r>
            <w:r w:rsidRPr="00F77964">
              <w:rPr>
                <w:rFonts w:eastAsia="SimSun"/>
                <w:sz w:val="18"/>
                <w:szCs w:val="18"/>
                <w:lang w:eastAsia="zh-CN"/>
              </w:rPr>
              <w:t>de répondre aux besoins convenus</w:t>
            </w:r>
            <w:r w:rsidR="00D66005" w:rsidRPr="00F77964">
              <w:rPr>
                <w:rFonts w:eastAsia="SimSun"/>
                <w:sz w:val="18"/>
                <w:szCs w:val="18"/>
                <w:lang w:eastAsia="zh-CN"/>
              </w:rPr>
              <w:t xml:space="preserve"> (</w:t>
            </w:r>
            <w:r w:rsidRPr="00F77964">
              <w:rPr>
                <w:rFonts w:eastAsia="SimSun"/>
                <w:sz w:val="18"/>
                <w:szCs w:val="18"/>
                <w:lang w:eastAsia="zh-CN"/>
              </w:rPr>
              <w:t>voir produit </w:t>
            </w:r>
            <w:r w:rsidR="00D66005" w:rsidRPr="00F77964">
              <w:rPr>
                <w:rFonts w:eastAsia="SimSun"/>
                <w:sz w:val="18"/>
                <w:szCs w:val="18"/>
                <w:lang w:eastAsia="zh-CN"/>
              </w:rPr>
              <w:t>1</w:t>
            </w:r>
            <w:r w:rsidR="00D27B4B" w:rsidRPr="00F77964">
              <w:rPr>
                <w:rFonts w:eastAsia="SimSun"/>
                <w:sz w:val="18"/>
                <w:szCs w:val="18"/>
                <w:lang w:eastAsia="zh-CN"/>
              </w:rPr>
              <w:t> </w:t>
            </w:r>
            <w:r w:rsidR="00D66005" w:rsidRPr="00F77964">
              <w:rPr>
                <w:rFonts w:eastAsia="SimSun"/>
                <w:sz w:val="18"/>
                <w:szCs w:val="18"/>
                <w:lang w:eastAsia="zh-CN"/>
              </w:rPr>
              <w:t>b))</w:t>
            </w:r>
          </w:p>
        </w:tc>
      </w:tr>
      <w:tr w:rsidR="00A54DD1" w:rsidRPr="0061490E" w:rsidTr="00592ADB">
        <w:trPr>
          <w:trHeight w:val="274"/>
        </w:trPr>
        <w:tc>
          <w:tcPr>
            <w:tcW w:w="601" w:type="dxa"/>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sz w:val="18"/>
                <w:szCs w:val="18"/>
                <w:lang w:eastAsia="zh-CN"/>
              </w:rPr>
            </w:pPr>
          </w:p>
        </w:tc>
        <w:tc>
          <w:tcPr>
            <w:tcW w:w="1777" w:type="dxa"/>
            <w:tcBorders>
              <w:top w:val="single" w:sz="4" w:space="0" w:color="auto"/>
              <w:left w:val="single" w:sz="4" w:space="0" w:color="auto"/>
              <w:bottom w:val="single" w:sz="4" w:space="0" w:color="auto"/>
              <w:right w:val="single" w:sz="4" w:space="0" w:color="auto"/>
            </w:tcBorders>
            <w:hideMark/>
          </w:tcPr>
          <w:p w:rsidR="00D66005" w:rsidRPr="00F77964" w:rsidRDefault="00ED0516" w:rsidP="00ED0516">
            <w:pPr>
              <w:pStyle w:val="Normal-pool"/>
              <w:spacing w:before="40" w:after="40"/>
              <w:rPr>
                <w:rFonts w:eastAsia="SimSun"/>
                <w:sz w:val="18"/>
                <w:szCs w:val="18"/>
                <w:lang w:eastAsia="zh-CN"/>
              </w:rPr>
            </w:pPr>
            <w:r w:rsidRPr="00F77964">
              <w:rPr>
                <w:rFonts w:eastAsia="SimSun"/>
                <w:sz w:val="18"/>
                <w:szCs w:val="18"/>
                <w:lang w:eastAsia="zh-CN"/>
              </w:rPr>
              <w:t>Deuxième</w:t>
            </w:r>
            <w:r w:rsidR="00D66005" w:rsidRPr="00F77964">
              <w:rPr>
                <w:rFonts w:eastAsia="SimSun"/>
                <w:sz w:val="18"/>
                <w:szCs w:val="18"/>
                <w:lang w:eastAsia="zh-CN"/>
              </w:rPr>
              <w:t>/</w:t>
            </w:r>
            <w:r w:rsidRPr="00F77964">
              <w:rPr>
                <w:rFonts w:eastAsia="SimSun"/>
                <w:sz w:val="18"/>
                <w:szCs w:val="18"/>
                <w:lang w:eastAsia="zh-CN"/>
              </w:rPr>
              <w:t>troisième</w:t>
            </w:r>
            <w:r w:rsidR="00D66005" w:rsidRPr="00F77964">
              <w:rPr>
                <w:rFonts w:eastAsia="SimSun"/>
                <w:sz w:val="18"/>
                <w:szCs w:val="18"/>
                <w:lang w:eastAsia="zh-CN"/>
              </w:rPr>
              <w:t>/</w:t>
            </w:r>
            <w:r w:rsidRPr="00F77964">
              <w:rPr>
                <w:rFonts w:eastAsia="SimSun"/>
                <w:sz w:val="18"/>
                <w:szCs w:val="18"/>
                <w:lang w:eastAsia="zh-CN"/>
              </w:rPr>
              <w:t>quatrième trimestres</w:t>
            </w:r>
          </w:p>
        </w:tc>
        <w:tc>
          <w:tcPr>
            <w:tcW w:w="5424"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ED0516" w:rsidP="00856166">
            <w:pPr>
              <w:pStyle w:val="Normal-pool"/>
              <w:spacing w:before="40" w:after="40"/>
              <w:rPr>
                <w:rFonts w:eastAsia="SimSun"/>
                <w:sz w:val="18"/>
                <w:szCs w:val="18"/>
                <w:lang w:eastAsia="zh-CN"/>
              </w:rPr>
            </w:pPr>
            <w:r w:rsidRPr="00F77964">
              <w:rPr>
                <w:rFonts w:eastAsia="SimSun"/>
                <w:sz w:val="18"/>
                <w:szCs w:val="18"/>
                <w:lang w:eastAsia="zh-CN"/>
              </w:rPr>
              <w:t xml:space="preserve">Le </w:t>
            </w:r>
            <w:r w:rsidR="0082652D" w:rsidRPr="00F77964">
              <w:rPr>
                <w:rFonts w:eastAsia="SimSun"/>
                <w:sz w:val="18"/>
                <w:szCs w:val="18"/>
                <w:lang w:eastAsia="zh-CN"/>
              </w:rPr>
              <w:t>s</w:t>
            </w:r>
            <w:r w:rsidRPr="00F77964">
              <w:rPr>
                <w:rFonts w:eastAsia="SimSun"/>
                <w:sz w:val="18"/>
                <w:szCs w:val="18"/>
                <w:lang w:eastAsia="zh-CN"/>
              </w:rPr>
              <w:t xml:space="preserve">ecrétariat, sous la supervision du Bureau et </w:t>
            </w:r>
            <w:r w:rsidR="00D27B4B" w:rsidRPr="00F77964">
              <w:rPr>
                <w:rFonts w:eastAsia="SimSun"/>
                <w:sz w:val="18"/>
                <w:szCs w:val="18"/>
                <w:lang w:eastAsia="zh-CN"/>
              </w:rPr>
              <w:t>selon l’avis</w:t>
            </w:r>
            <w:r w:rsidRPr="00F77964">
              <w:rPr>
                <w:rFonts w:eastAsia="SimSun"/>
                <w:sz w:val="18"/>
                <w:szCs w:val="18"/>
                <w:lang w:eastAsia="zh-CN"/>
              </w:rPr>
              <w:t xml:space="preserve"> de l’équipe </w:t>
            </w:r>
            <w:r w:rsidR="00D27B4B" w:rsidRPr="00F77964">
              <w:rPr>
                <w:rFonts w:eastAsia="SimSun"/>
                <w:sz w:val="18"/>
                <w:szCs w:val="18"/>
                <w:lang w:eastAsia="zh-CN"/>
              </w:rPr>
              <w:t>spéciale</w:t>
            </w:r>
            <w:r w:rsidRPr="00F77964">
              <w:rPr>
                <w:rFonts w:eastAsia="SimSun"/>
                <w:sz w:val="18"/>
                <w:szCs w:val="18"/>
                <w:lang w:eastAsia="zh-CN"/>
              </w:rPr>
              <w:t>, actualise le mécanisme de mise en correspondance</w:t>
            </w:r>
          </w:p>
        </w:tc>
      </w:tr>
      <w:tr w:rsidR="00A54DD1" w:rsidRPr="0061490E" w:rsidTr="00592ADB">
        <w:trPr>
          <w:trHeight w:val="846"/>
        </w:trPr>
        <w:tc>
          <w:tcPr>
            <w:tcW w:w="601"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pPr>
              <w:pStyle w:val="Normal-pool"/>
              <w:spacing w:before="40" w:after="40"/>
              <w:rPr>
                <w:rFonts w:eastAsia="SimSun"/>
                <w:sz w:val="18"/>
                <w:szCs w:val="18"/>
                <w:lang w:eastAsia="zh-CN"/>
              </w:rPr>
            </w:pPr>
            <w:r w:rsidRPr="00F77964">
              <w:rPr>
                <w:rFonts w:eastAsia="SimSun"/>
                <w:sz w:val="18"/>
                <w:szCs w:val="18"/>
                <w:lang w:eastAsia="zh-CN"/>
              </w:rPr>
              <w:lastRenderedPageBreak/>
              <w:t>2018</w:t>
            </w:r>
          </w:p>
        </w:tc>
        <w:tc>
          <w:tcPr>
            <w:tcW w:w="1777" w:type="dxa"/>
            <w:tcBorders>
              <w:top w:val="single" w:sz="4" w:space="0" w:color="auto"/>
              <w:left w:val="single" w:sz="4" w:space="0" w:color="auto"/>
              <w:bottom w:val="single" w:sz="4" w:space="0" w:color="auto"/>
              <w:right w:val="single" w:sz="4" w:space="0" w:color="auto"/>
            </w:tcBorders>
            <w:hideMark/>
          </w:tcPr>
          <w:p w:rsidR="00D66005" w:rsidRPr="00F77964" w:rsidRDefault="0039688D" w:rsidP="0039688D">
            <w:pPr>
              <w:pStyle w:val="Normal-pool"/>
              <w:spacing w:before="40" w:after="40"/>
              <w:rPr>
                <w:rFonts w:eastAsia="SimSun"/>
                <w:sz w:val="18"/>
                <w:szCs w:val="18"/>
                <w:lang w:eastAsia="zh-CN"/>
              </w:rPr>
            </w:pPr>
            <w:r w:rsidRPr="00F77964">
              <w:rPr>
                <w:rFonts w:eastAsia="SimSun"/>
                <w:sz w:val="18"/>
                <w:szCs w:val="18"/>
                <w:lang w:eastAsia="zh-CN"/>
              </w:rPr>
              <w:t>Premier/deuxième/</w:t>
            </w:r>
            <w:r w:rsidR="00592ADB">
              <w:rPr>
                <w:rFonts w:eastAsia="SimSun"/>
                <w:sz w:val="18"/>
                <w:szCs w:val="18"/>
                <w:lang w:eastAsia="zh-CN"/>
              </w:rPr>
              <w:br/>
            </w:r>
            <w:r w:rsidRPr="00F77964">
              <w:rPr>
                <w:rFonts w:eastAsia="SimSun"/>
                <w:sz w:val="18"/>
                <w:szCs w:val="18"/>
                <w:lang w:eastAsia="zh-CN"/>
              </w:rPr>
              <w:t>trimestre trimestres</w:t>
            </w:r>
          </w:p>
        </w:tc>
        <w:tc>
          <w:tcPr>
            <w:tcW w:w="5424"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39688D" w:rsidP="00856166">
            <w:pPr>
              <w:pStyle w:val="Normal-pool"/>
              <w:spacing w:before="40" w:after="40"/>
              <w:rPr>
                <w:rFonts w:eastAsia="SimSun"/>
                <w:sz w:val="18"/>
                <w:szCs w:val="18"/>
                <w:lang w:eastAsia="zh-CN"/>
              </w:rPr>
            </w:pPr>
            <w:r w:rsidRPr="00F77964">
              <w:rPr>
                <w:rFonts w:eastAsia="SimSun"/>
                <w:sz w:val="18"/>
                <w:szCs w:val="18"/>
                <w:lang w:eastAsia="zh-CN"/>
              </w:rPr>
              <w:t xml:space="preserve">L’équipe </w:t>
            </w:r>
            <w:r w:rsidR="00D27B4B" w:rsidRPr="00F77964">
              <w:rPr>
                <w:rFonts w:eastAsia="SimSun"/>
                <w:sz w:val="18"/>
                <w:szCs w:val="18"/>
                <w:lang w:eastAsia="zh-CN"/>
              </w:rPr>
              <w:t>spéciale</w:t>
            </w:r>
            <w:r w:rsidRPr="00F77964">
              <w:rPr>
                <w:rFonts w:eastAsia="SimSun"/>
                <w:sz w:val="18"/>
                <w:szCs w:val="18"/>
                <w:lang w:eastAsia="zh-CN"/>
              </w:rPr>
              <w:t xml:space="preserve"> évalue les progrès réalisés dans l’établissement des besoins hiérarchisés et, sur la base de cette évaluation, propose une liste actualisée conformément aux </w:t>
            </w:r>
            <w:r w:rsidR="0082652D" w:rsidRPr="00F77964">
              <w:rPr>
                <w:rFonts w:eastAsia="SimSun"/>
                <w:sz w:val="18"/>
                <w:szCs w:val="18"/>
                <w:lang w:eastAsia="zh-CN"/>
              </w:rPr>
              <w:t>actions engagées</w:t>
            </w:r>
            <w:r w:rsidRPr="00F77964">
              <w:rPr>
                <w:rFonts w:eastAsia="SimSun"/>
                <w:sz w:val="18"/>
                <w:szCs w:val="18"/>
                <w:lang w:eastAsia="zh-CN"/>
              </w:rPr>
              <w:t xml:space="preserve"> au troisième trimestre</w:t>
            </w:r>
            <w:r w:rsidR="00D27B4B" w:rsidRPr="00F77964">
              <w:rPr>
                <w:rFonts w:eastAsia="SimSun"/>
                <w:sz w:val="18"/>
                <w:szCs w:val="18"/>
                <w:lang w:eastAsia="zh-CN"/>
              </w:rPr>
              <w:t xml:space="preserve"> de</w:t>
            </w:r>
            <w:r w:rsidRPr="00F77964">
              <w:rPr>
                <w:rFonts w:eastAsia="SimSun"/>
                <w:sz w:val="18"/>
                <w:szCs w:val="18"/>
                <w:lang w:eastAsia="zh-CN"/>
              </w:rPr>
              <w:t> 2014</w:t>
            </w:r>
          </w:p>
        </w:tc>
      </w:tr>
      <w:tr w:rsidR="00A54DD1" w:rsidRPr="0061490E" w:rsidTr="00592ADB">
        <w:trPr>
          <w:trHeight w:val="387"/>
        </w:trPr>
        <w:tc>
          <w:tcPr>
            <w:tcW w:w="601" w:type="dxa"/>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sz w:val="18"/>
                <w:szCs w:val="18"/>
                <w:lang w:eastAsia="zh-CN"/>
              </w:rPr>
            </w:pPr>
          </w:p>
        </w:tc>
        <w:tc>
          <w:tcPr>
            <w:tcW w:w="1777" w:type="dxa"/>
            <w:tcBorders>
              <w:top w:val="single" w:sz="4" w:space="0" w:color="auto"/>
              <w:left w:val="single" w:sz="4" w:space="0" w:color="auto"/>
              <w:bottom w:val="single" w:sz="4" w:space="0" w:color="auto"/>
              <w:right w:val="single" w:sz="4" w:space="0" w:color="auto"/>
            </w:tcBorders>
            <w:hideMark/>
          </w:tcPr>
          <w:p w:rsidR="00D66005" w:rsidRPr="00F77964" w:rsidRDefault="0039688D" w:rsidP="0039688D">
            <w:pPr>
              <w:pStyle w:val="Normal-pool"/>
              <w:spacing w:before="40" w:after="40"/>
              <w:rPr>
                <w:rFonts w:eastAsia="SimSun"/>
                <w:sz w:val="18"/>
                <w:szCs w:val="18"/>
                <w:lang w:eastAsia="zh-CN"/>
              </w:rPr>
            </w:pPr>
            <w:r w:rsidRPr="00F77964">
              <w:rPr>
                <w:rFonts w:eastAsia="SimSun"/>
                <w:sz w:val="18"/>
                <w:szCs w:val="18"/>
                <w:lang w:eastAsia="zh-CN"/>
              </w:rPr>
              <w:t>Quatrième trimestre</w:t>
            </w:r>
          </w:p>
        </w:tc>
        <w:tc>
          <w:tcPr>
            <w:tcW w:w="5424"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D972E8" w:rsidP="00856166">
            <w:pPr>
              <w:pStyle w:val="Normal-pool"/>
              <w:spacing w:before="40" w:after="40"/>
              <w:rPr>
                <w:rFonts w:eastAsia="SimSun"/>
                <w:sz w:val="18"/>
                <w:szCs w:val="18"/>
                <w:lang w:eastAsia="zh-CN"/>
              </w:rPr>
            </w:pPr>
            <w:r>
              <w:rPr>
                <w:rFonts w:eastAsia="SimSun"/>
                <w:sz w:val="18"/>
                <w:szCs w:val="18"/>
                <w:lang w:eastAsia="zh-CN"/>
              </w:rPr>
              <w:t xml:space="preserve">Le Bureau </w:t>
            </w:r>
            <w:r w:rsidRPr="00F77964">
              <w:rPr>
                <w:rFonts w:eastAsia="SimSun"/>
                <w:sz w:val="18"/>
                <w:szCs w:val="18"/>
                <w:lang w:eastAsia="zh-CN"/>
              </w:rPr>
              <w:t>organise avec l’a</w:t>
            </w:r>
            <w:r>
              <w:rPr>
                <w:rFonts w:eastAsia="SimSun"/>
                <w:sz w:val="18"/>
                <w:szCs w:val="18"/>
                <w:lang w:eastAsia="zh-CN"/>
              </w:rPr>
              <w:t>ide</w:t>
            </w:r>
            <w:r w:rsidRPr="00F77964">
              <w:rPr>
                <w:rFonts w:eastAsia="SimSun"/>
                <w:sz w:val="18"/>
                <w:szCs w:val="18"/>
                <w:lang w:eastAsia="zh-CN"/>
              </w:rPr>
              <w:t xml:space="preserve"> de l’équipe spéciale une réunion du forum </w:t>
            </w:r>
            <w:r>
              <w:rPr>
                <w:rFonts w:eastAsia="SimSun"/>
                <w:sz w:val="18"/>
                <w:szCs w:val="18"/>
                <w:lang w:eastAsia="zh-CN"/>
              </w:rPr>
              <w:t xml:space="preserve">visant à </w:t>
            </w:r>
            <w:r w:rsidRPr="00F77964">
              <w:rPr>
                <w:rFonts w:eastAsia="SimSun"/>
                <w:sz w:val="18"/>
                <w:szCs w:val="18"/>
                <w:lang w:eastAsia="zh-CN"/>
              </w:rPr>
              <w:t xml:space="preserve">hiérarchiser </w:t>
            </w:r>
            <w:r>
              <w:rPr>
                <w:rFonts w:eastAsia="SimSun"/>
                <w:sz w:val="18"/>
                <w:szCs w:val="18"/>
                <w:lang w:eastAsia="zh-CN"/>
              </w:rPr>
              <w:t>les</w:t>
            </w:r>
            <w:r w:rsidRPr="00F77964">
              <w:rPr>
                <w:rFonts w:eastAsia="SimSun"/>
                <w:sz w:val="18"/>
                <w:szCs w:val="18"/>
                <w:lang w:eastAsia="zh-CN"/>
              </w:rPr>
              <w:t xml:space="preserve"> besoins de renfo</w:t>
            </w:r>
            <w:r>
              <w:rPr>
                <w:rFonts w:eastAsia="SimSun"/>
                <w:sz w:val="18"/>
                <w:szCs w:val="18"/>
                <w:lang w:eastAsia="zh-CN"/>
              </w:rPr>
              <w:t>rcement des capacités identifié</w:t>
            </w:r>
            <w:r w:rsidRPr="00F77964">
              <w:rPr>
                <w:rFonts w:eastAsia="SimSun"/>
                <w:sz w:val="18"/>
                <w:szCs w:val="18"/>
                <w:lang w:eastAsia="zh-CN"/>
              </w:rPr>
              <w:t xml:space="preserve">s et </w:t>
            </w:r>
            <w:r>
              <w:rPr>
                <w:rFonts w:eastAsia="SimSun"/>
                <w:sz w:val="18"/>
                <w:szCs w:val="18"/>
                <w:lang w:eastAsia="zh-CN"/>
              </w:rPr>
              <w:t>stimuler</w:t>
            </w:r>
            <w:r w:rsidRPr="00F77964">
              <w:rPr>
                <w:rFonts w:eastAsia="SimSun"/>
                <w:sz w:val="18"/>
                <w:szCs w:val="18"/>
                <w:lang w:eastAsia="zh-CN"/>
              </w:rPr>
              <w:t xml:space="preserve"> </w:t>
            </w:r>
            <w:r>
              <w:rPr>
                <w:rFonts w:eastAsia="SimSun"/>
                <w:sz w:val="18"/>
                <w:szCs w:val="18"/>
                <w:lang w:eastAsia="zh-CN"/>
              </w:rPr>
              <w:t>la fourniture d’</w:t>
            </w:r>
            <w:r w:rsidRPr="00F77964">
              <w:rPr>
                <w:rFonts w:eastAsia="SimSun"/>
                <w:sz w:val="18"/>
                <w:szCs w:val="18"/>
                <w:lang w:eastAsia="zh-CN"/>
              </w:rPr>
              <w:t xml:space="preserve">appuis financiers et en nature pour </w:t>
            </w:r>
            <w:r>
              <w:rPr>
                <w:rFonts w:eastAsia="SimSun"/>
                <w:sz w:val="18"/>
                <w:szCs w:val="18"/>
                <w:lang w:eastAsia="zh-CN"/>
              </w:rPr>
              <w:t xml:space="preserve">y </w:t>
            </w:r>
            <w:r w:rsidRPr="00F77964">
              <w:rPr>
                <w:rFonts w:eastAsia="SimSun"/>
                <w:sz w:val="18"/>
                <w:szCs w:val="18"/>
                <w:lang w:eastAsia="zh-CN"/>
              </w:rPr>
              <w:t>répondre et présente la liste hiérarchisée des besoins</w:t>
            </w:r>
            <w:r w:rsidR="0039688D" w:rsidRPr="00F77964">
              <w:rPr>
                <w:rFonts w:eastAsia="SimSun"/>
                <w:sz w:val="18"/>
                <w:szCs w:val="18"/>
                <w:lang w:eastAsia="zh-CN"/>
              </w:rPr>
              <w:t xml:space="preserve"> à la </w:t>
            </w:r>
            <w:r w:rsidR="00D27B4B" w:rsidRPr="00F77964">
              <w:rPr>
                <w:rFonts w:eastAsia="SimSun"/>
                <w:sz w:val="18"/>
                <w:szCs w:val="18"/>
                <w:lang w:eastAsia="zh-CN"/>
              </w:rPr>
              <w:t>P</w:t>
            </w:r>
            <w:r w:rsidR="0039688D" w:rsidRPr="00F77964">
              <w:rPr>
                <w:rFonts w:eastAsia="SimSun"/>
                <w:sz w:val="18"/>
                <w:szCs w:val="18"/>
                <w:lang w:eastAsia="zh-CN"/>
              </w:rPr>
              <w:t>lénière à sa</w:t>
            </w:r>
            <w:r w:rsidR="00D27B4B" w:rsidRPr="00F77964">
              <w:rPr>
                <w:rFonts w:eastAsia="SimSun"/>
                <w:sz w:val="18"/>
                <w:szCs w:val="18"/>
                <w:lang w:eastAsia="zh-CN"/>
              </w:rPr>
              <w:t xml:space="preserve"> septième </w:t>
            </w:r>
            <w:r w:rsidR="0039688D" w:rsidRPr="00F77964">
              <w:rPr>
                <w:rFonts w:eastAsia="SimSun"/>
                <w:sz w:val="18"/>
                <w:szCs w:val="18"/>
                <w:lang w:eastAsia="zh-CN"/>
              </w:rPr>
              <w:t>session, dans le cadre du prochain programme de travail</w:t>
            </w:r>
          </w:p>
        </w:tc>
      </w:tr>
    </w:tbl>
    <w:p w:rsidR="00D66005" w:rsidRPr="00F77964" w:rsidRDefault="00D66005" w:rsidP="00D66005">
      <w:pPr>
        <w:pStyle w:val="Normal-pool"/>
        <w:ind w:left="1247"/>
        <w:rPr>
          <w:rFonts w:eastAsia="SimSun"/>
          <w:sz w:val="16"/>
          <w:szCs w:val="16"/>
          <w:lang w:eastAsia="zh-CN"/>
        </w:rPr>
      </w:pPr>
      <w:r w:rsidRPr="00F77964">
        <w:rPr>
          <w:szCs w:val="18"/>
          <w:vertAlign w:val="superscript"/>
        </w:rPr>
        <w:t>a</w:t>
      </w:r>
      <w:r w:rsidRPr="00F77964">
        <w:rPr>
          <w:szCs w:val="18"/>
        </w:rPr>
        <w:t xml:space="preserve"> </w:t>
      </w:r>
      <w:r w:rsidR="00812CA3">
        <w:rPr>
          <w:sz w:val="16"/>
          <w:szCs w:val="16"/>
        </w:rPr>
        <w:t xml:space="preserve">De </w:t>
      </w:r>
      <w:r w:rsidR="0082652D" w:rsidRPr="00F77964">
        <w:rPr>
          <w:sz w:val="16"/>
          <w:szCs w:val="16"/>
        </w:rPr>
        <w:t>n</w:t>
      </w:r>
      <w:r w:rsidR="0039688D" w:rsidRPr="00F77964">
        <w:rPr>
          <w:sz w:val="16"/>
          <w:szCs w:val="16"/>
        </w:rPr>
        <w:t>ombre</w:t>
      </w:r>
      <w:r w:rsidR="00812CA3">
        <w:rPr>
          <w:sz w:val="16"/>
          <w:szCs w:val="16"/>
        </w:rPr>
        <w:t>ux</w:t>
      </w:r>
      <w:r w:rsidR="0039688D" w:rsidRPr="00F77964">
        <w:rPr>
          <w:sz w:val="16"/>
          <w:szCs w:val="16"/>
        </w:rPr>
        <w:t xml:space="preserve"> besoins et possibilités en matière de renforcement des capacités ont été </w:t>
      </w:r>
      <w:r w:rsidR="005C07D6" w:rsidRPr="00F77964">
        <w:rPr>
          <w:sz w:val="16"/>
          <w:szCs w:val="16"/>
        </w:rPr>
        <w:t>mis en évidence</w:t>
      </w:r>
      <w:r w:rsidR="0039688D" w:rsidRPr="00F77964">
        <w:rPr>
          <w:sz w:val="16"/>
          <w:szCs w:val="16"/>
        </w:rPr>
        <w:t xml:space="preserve"> dans des présentations formelles par les gouvernements et les autres parties prenantes au cours de la période intersessions qui a conduit à la première session de la Plénière </w:t>
      </w:r>
      <w:r w:rsidRPr="00F77964">
        <w:rPr>
          <w:sz w:val="16"/>
          <w:szCs w:val="16"/>
        </w:rPr>
        <w:t>(</w:t>
      </w:r>
      <w:r w:rsidR="00127590" w:rsidRPr="00F77964">
        <w:rPr>
          <w:sz w:val="16"/>
          <w:szCs w:val="16"/>
        </w:rPr>
        <w:t>voir</w:t>
      </w:r>
      <w:r w:rsidRPr="00F77964">
        <w:rPr>
          <w:sz w:val="16"/>
          <w:szCs w:val="16"/>
        </w:rPr>
        <w:t xml:space="preserve"> IPBES/1/INF/</w:t>
      </w:r>
      <w:r w:rsidR="00812CA3">
        <w:rPr>
          <w:sz w:val="16"/>
          <w:szCs w:val="16"/>
        </w:rPr>
        <w:t>10</w:t>
      </w:r>
      <w:r w:rsidRPr="00F77964">
        <w:rPr>
          <w:sz w:val="16"/>
          <w:szCs w:val="16"/>
        </w:rPr>
        <w:t>).</w:t>
      </w:r>
    </w:p>
    <w:p w:rsidR="00D66005" w:rsidRPr="00F77964" w:rsidRDefault="00D66005" w:rsidP="00D66005">
      <w:pPr>
        <w:pStyle w:val="CH3"/>
        <w:keepNext w:val="0"/>
        <w:keepLines w:val="0"/>
        <w:spacing w:before="240"/>
        <w:rPr>
          <w:rFonts w:eastAsia="SimSun"/>
          <w:lang w:val="fr-FR" w:eastAsia="zh-CN"/>
        </w:rPr>
      </w:pPr>
      <w:r w:rsidRPr="00F77964">
        <w:rPr>
          <w:rFonts w:eastAsia="SimSun"/>
          <w:lang w:val="fr-FR" w:eastAsia="zh-CN"/>
        </w:rPr>
        <w:tab/>
      </w:r>
      <w:r w:rsidRPr="00F77964">
        <w:rPr>
          <w:rFonts w:eastAsia="SimSun"/>
          <w:lang w:val="fr-FR" w:eastAsia="zh-CN"/>
        </w:rPr>
        <w:tab/>
      </w:r>
      <w:r w:rsidR="00127590" w:rsidRPr="00F77964">
        <w:rPr>
          <w:rFonts w:eastAsia="SimSun"/>
          <w:lang w:val="fr-FR" w:eastAsia="zh-CN"/>
        </w:rPr>
        <w:t>Prévisions d</w:t>
      </w:r>
      <w:r w:rsidR="00F4565D" w:rsidRPr="00F77964">
        <w:rPr>
          <w:rFonts w:eastAsia="SimSun"/>
          <w:lang w:val="fr-FR" w:eastAsia="zh-CN"/>
        </w:rPr>
        <w:t>e</w:t>
      </w:r>
      <w:r w:rsidR="00127590" w:rsidRPr="00F77964">
        <w:rPr>
          <w:rFonts w:eastAsia="SimSun"/>
          <w:lang w:val="fr-FR" w:eastAsia="zh-CN"/>
        </w:rPr>
        <w:t xml:space="preserve"> coût</w:t>
      </w:r>
      <w:r w:rsidR="00F4565D" w:rsidRPr="00F77964">
        <w:rPr>
          <w:rFonts w:eastAsia="SimSun"/>
          <w:lang w:val="fr-FR" w:eastAsia="zh-CN"/>
        </w:rPr>
        <w:t>s</w:t>
      </w:r>
    </w:p>
    <w:p w:rsidR="00D66005" w:rsidRPr="00F77964" w:rsidRDefault="00127590" w:rsidP="00D66005">
      <w:pPr>
        <w:pStyle w:val="Normalnumber"/>
        <w:numPr>
          <w:ilvl w:val="0"/>
          <w:numId w:val="6"/>
        </w:numPr>
        <w:tabs>
          <w:tab w:val="left" w:pos="624"/>
        </w:tabs>
        <w:ind w:left="1247" w:firstLine="0"/>
        <w:rPr>
          <w:rFonts w:eastAsia="Calibri"/>
          <w:lang w:val="fr-FR"/>
        </w:rPr>
      </w:pPr>
      <w:r w:rsidRPr="00F77964">
        <w:rPr>
          <w:lang w:val="fr-FR"/>
        </w:rPr>
        <w:t>Les prévisions de coût</w:t>
      </w:r>
      <w:r w:rsidR="00F4565D" w:rsidRPr="00F77964">
        <w:rPr>
          <w:lang w:val="fr-FR"/>
        </w:rPr>
        <w:t>s</w:t>
      </w:r>
      <w:r w:rsidRPr="00F77964">
        <w:rPr>
          <w:lang w:val="fr-FR"/>
        </w:rPr>
        <w:t xml:space="preserve"> sont les suivantes :</w:t>
      </w:r>
    </w:p>
    <w:p w:rsidR="00D66005" w:rsidRPr="00F77964" w:rsidRDefault="00D66005" w:rsidP="00D66005">
      <w:pPr>
        <w:pStyle w:val="Normalnumber"/>
        <w:tabs>
          <w:tab w:val="left" w:pos="624"/>
        </w:tabs>
        <w:rPr>
          <w:rFonts w:eastAsia="Calibri"/>
          <w:sz w:val="18"/>
          <w:szCs w:val="18"/>
          <w:lang w:val="fr-FR"/>
        </w:rPr>
      </w:pPr>
      <w:r w:rsidRPr="00F77964">
        <w:rPr>
          <w:rFonts w:eastAsia="Calibri"/>
          <w:lang w:val="fr-FR"/>
        </w:rPr>
        <w:tab/>
      </w:r>
      <w:r w:rsidRPr="00F77964">
        <w:rPr>
          <w:rFonts w:eastAsia="Calibri"/>
          <w:lang w:val="fr-FR"/>
        </w:rPr>
        <w:tab/>
      </w:r>
      <w:r w:rsidRPr="00F77964">
        <w:rPr>
          <w:rFonts w:eastAsia="Calibri"/>
          <w:sz w:val="18"/>
          <w:szCs w:val="18"/>
          <w:lang w:val="fr-FR"/>
        </w:rPr>
        <w:t>(</w:t>
      </w:r>
      <w:r w:rsidR="0082652D" w:rsidRPr="00F77964">
        <w:rPr>
          <w:rFonts w:eastAsia="Calibri"/>
          <w:sz w:val="18"/>
          <w:szCs w:val="18"/>
          <w:lang w:val="fr-FR"/>
        </w:rPr>
        <w:t>d</w:t>
      </w:r>
      <w:r w:rsidR="00127590" w:rsidRPr="00F77964">
        <w:rPr>
          <w:rFonts w:eastAsia="Calibri"/>
          <w:sz w:val="18"/>
          <w:szCs w:val="18"/>
          <w:lang w:val="fr-FR"/>
        </w:rPr>
        <w:t xml:space="preserve">ollars des </w:t>
      </w:r>
      <w:r w:rsidR="00B10062" w:rsidRPr="00F77964">
        <w:rPr>
          <w:rFonts w:eastAsia="Calibri"/>
          <w:sz w:val="18"/>
          <w:szCs w:val="18"/>
          <w:lang w:val="fr-FR"/>
        </w:rPr>
        <w:t>États-Unis</w:t>
      </w:r>
      <w:r w:rsidRPr="00F77964">
        <w:rPr>
          <w:rFonts w:eastAsia="Calibri"/>
          <w:sz w:val="18"/>
          <w:szCs w:val="18"/>
          <w:lang w:val="fr-FR"/>
        </w:rPr>
        <w:t>)</w:t>
      </w:r>
    </w:p>
    <w:tbl>
      <w:tblPr>
        <w:tblW w:w="7795"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929"/>
        <w:gridCol w:w="3147"/>
        <w:gridCol w:w="1047"/>
      </w:tblGrid>
      <w:tr w:rsidR="00D66005" w:rsidRPr="0061490E" w:rsidTr="00DD586B">
        <w:trPr>
          <w:tblHeader/>
        </w:trPr>
        <w:tc>
          <w:tcPr>
            <w:tcW w:w="672" w:type="dxa"/>
            <w:tcBorders>
              <w:top w:val="single" w:sz="4" w:space="0" w:color="auto"/>
              <w:left w:val="single" w:sz="4" w:space="0" w:color="auto"/>
              <w:bottom w:val="single" w:sz="4" w:space="0" w:color="auto"/>
              <w:right w:val="single" w:sz="4" w:space="0" w:color="auto"/>
            </w:tcBorders>
            <w:hideMark/>
          </w:tcPr>
          <w:p w:rsidR="00D66005" w:rsidRPr="00F77964" w:rsidRDefault="00127590" w:rsidP="00127590">
            <w:pPr>
              <w:pStyle w:val="Normal-pool"/>
              <w:spacing w:before="40" w:after="40"/>
              <w:rPr>
                <w:rFonts w:eastAsia="SimSun"/>
                <w:i/>
                <w:sz w:val="18"/>
                <w:szCs w:val="18"/>
                <w:lang w:eastAsia="zh-CN"/>
              </w:rPr>
            </w:pPr>
            <w:r w:rsidRPr="00F77964">
              <w:rPr>
                <w:rFonts w:eastAsia="SimSun"/>
                <w:i/>
                <w:sz w:val="18"/>
                <w:szCs w:val="18"/>
                <w:lang w:eastAsia="zh-CN"/>
              </w:rPr>
              <w:t>Année</w:t>
            </w:r>
          </w:p>
        </w:tc>
        <w:tc>
          <w:tcPr>
            <w:tcW w:w="2929" w:type="dxa"/>
            <w:tcBorders>
              <w:top w:val="single" w:sz="4" w:space="0" w:color="auto"/>
              <w:left w:val="single" w:sz="4" w:space="0" w:color="auto"/>
              <w:bottom w:val="single" w:sz="4" w:space="0" w:color="auto"/>
              <w:right w:val="single" w:sz="4" w:space="0" w:color="auto"/>
            </w:tcBorders>
            <w:hideMark/>
          </w:tcPr>
          <w:p w:rsidR="00D66005" w:rsidRPr="00F77964" w:rsidRDefault="005C07D6" w:rsidP="005C07D6">
            <w:pPr>
              <w:pStyle w:val="Normal-pool"/>
              <w:spacing w:before="40" w:after="40"/>
              <w:rPr>
                <w:rFonts w:eastAsia="SimSun"/>
                <w:i/>
                <w:sz w:val="18"/>
                <w:szCs w:val="18"/>
                <w:lang w:eastAsia="zh-CN"/>
              </w:rPr>
            </w:pPr>
            <w:r w:rsidRPr="00F77964">
              <w:rPr>
                <w:rFonts w:eastAsia="SimSun"/>
                <w:i/>
                <w:sz w:val="18"/>
                <w:szCs w:val="18"/>
                <w:lang w:eastAsia="zh-CN"/>
              </w:rPr>
              <w:t>Postes</w:t>
            </w:r>
            <w:r w:rsidR="00D972E8">
              <w:rPr>
                <w:rFonts w:eastAsia="SimSun"/>
                <w:i/>
                <w:sz w:val="18"/>
                <w:szCs w:val="18"/>
                <w:lang w:eastAsia="zh-CN"/>
              </w:rPr>
              <w:t xml:space="preserve"> de dépense</w:t>
            </w:r>
          </w:p>
        </w:tc>
        <w:tc>
          <w:tcPr>
            <w:tcW w:w="3147" w:type="dxa"/>
            <w:tcBorders>
              <w:top w:val="single" w:sz="4" w:space="0" w:color="auto"/>
              <w:left w:val="single" w:sz="4" w:space="0" w:color="auto"/>
              <w:bottom w:val="single" w:sz="4" w:space="0" w:color="auto"/>
              <w:right w:val="single" w:sz="4" w:space="0" w:color="auto"/>
            </w:tcBorders>
            <w:hideMark/>
          </w:tcPr>
          <w:p w:rsidR="00D66005" w:rsidRPr="00F77964" w:rsidRDefault="00127590" w:rsidP="00127590">
            <w:pPr>
              <w:pStyle w:val="Normal-pool"/>
              <w:spacing w:before="40" w:after="40"/>
              <w:rPr>
                <w:rFonts w:eastAsia="SimSun"/>
                <w:i/>
                <w:sz w:val="18"/>
                <w:szCs w:val="18"/>
                <w:lang w:eastAsia="zh-CN"/>
              </w:rPr>
            </w:pPr>
            <w:r w:rsidRPr="00F77964">
              <w:rPr>
                <w:rFonts w:eastAsia="SimSun"/>
                <w:i/>
                <w:sz w:val="18"/>
                <w:szCs w:val="18"/>
                <w:lang w:eastAsia="zh-CN"/>
              </w:rPr>
              <w:t>Hypothèses</w:t>
            </w:r>
          </w:p>
        </w:tc>
        <w:tc>
          <w:tcPr>
            <w:tcW w:w="1047" w:type="dxa"/>
            <w:tcBorders>
              <w:top w:val="single" w:sz="4" w:space="0" w:color="auto"/>
              <w:left w:val="single" w:sz="4" w:space="0" w:color="auto"/>
              <w:bottom w:val="single" w:sz="4" w:space="0" w:color="auto"/>
              <w:right w:val="single" w:sz="4" w:space="0" w:color="auto"/>
            </w:tcBorders>
            <w:hideMark/>
          </w:tcPr>
          <w:p w:rsidR="00D66005" w:rsidRPr="00F77964" w:rsidRDefault="00127590" w:rsidP="00127590">
            <w:pPr>
              <w:pStyle w:val="Normal-pool"/>
              <w:spacing w:before="40" w:after="40"/>
              <w:jc w:val="right"/>
              <w:rPr>
                <w:rFonts w:eastAsia="SimSun"/>
                <w:i/>
                <w:sz w:val="18"/>
                <w:szCs w:val="18"/>
                <w:lang w:eastAsia="zh-CN"/>
              </w:rPr>
            </w:pPr>
            <w:r w:rsidRPr="00F77964">
              <w:rPr>
                <w:rFonts w:eastAsia="SimSun"/>
                <w:i/>
                <w:sz w:val="18"/>
                <w:szCs w:val="18"/>
                <w:lang w:eastAsia="zh-CN"/>
              </w:rPr>
              <w:t>Coût</w:t>
            </w:r>
          </w:p>
        </w:tc>
      </w:tr>
      <w:tr w:rsidR="00D66005" w:rsidRPr="0061490E" w:rsidTr="00DD586B">
        <w:tc>
          <w:tcPr>
            <w:tcW w:w="672"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DD586B">
            <w:pPr>
              <w:pStyle w:val="Normal-pool"/>
              <w:spacing w:before="40" w:after="40"/>
              <w:rPr>
                <w:rFonts w:eastAsia="SimSun"/>
                <w:sz w:val="18"/>
                <w:szCs w:val="18"/>
                <w:lang w:eastAsia="zh-CN"/>
              </w:rPr>
            </w:pPr>
            <w:r w:rsidRPr="00F77964">
              <w:rPr>
                <w:rFonts w:eastAsia="SimSun"/>
                <w:sz w:val="18"/>
                <w:szCs w:val="18"/>
                <w:lang w:eastAsia="zh-CN"/>
              </w:rPr>
              <w:t>2014</w:t>
            </w:r>
          </w:p>
        </w:tc>
        <w:tc>
          <w:tcPr>
            <w:tcW w:w="2929" w:type="dxa"/>
            <w:vMerge w:val="restart"/>
            <w:tcBorders>
              <w:top w:val="single" w:sz="4" w:space="0" w:color="auto"/>
              <w:left w:val="single" w:sz="4" w:space="0" w:color="auto"/>
              <w:bottom w:val="single" w:sz="4" w:space="0" w:color="auto"/>
              <w:right w:val="single" w:sz="4" w:space="0" w:color="auto"/>
            </w:tcBorders>
          </w:tcPr>
          <w:p w:rsidR="00D66005" w:rsidRPr="00F77964" w:rsidRDefault="00C968B1" w:rsidP="00DD586B">
            <w:pPr>
              <w:pStyle w:val="Normal-pool"/>
              <w:spacing w:before="40" w:after="40"/>
              <w:rPr>
                <w:rFonts w:eastAsia="SimSun"/>
                <w:sz w:val="18"/>
                <w:szCs w:val="18"/>
                <w:lang w:eastAsia="zh-CN"/>
              </w:rPr>
            </w:pPr>
            <w:r w:rsidRPr="00F77964">
              <w:rPr>
                <w:rFonts w:eastAsia="SimSun"/>
                <w:sz w:val="18"/>
                <w:szCs w:val="18"/>
                <w:lang w:eastAsia="zh-CN"/>
              </w:rPr>
              <w:t xml:space="preserve">Réunion de l’équipe spéciale </w:t>
            </w:r>
            <w:r w:rsidR="00D66005" w:rsidRPr="00F77964">
              <w:rPr>
                <w:rFonts w:eastAsia="SimSun"/>
                <w:sz w:val="18"/>
                <w:szCs w:val="18"/>
                <w:lang w:eastAsia="zh-CN"/>
              </w:rPr>
              <w:t>(5 </w:t>
            </w:r>
            <w:r w:rsidRPr="00F77964">
              <w:rPr>
                <w:rFonts w:eastAsia="SimSun"/>
                <w:sz w:val="18"/>
                <w:szCs w:val="18"/>
                <w:lang w:eastAsia="zh-CN"/>
              </w:rPr>
              <w:t>membres du Groupe d’experts multidisciplinaire et du Bureau</w:t>
            </w:r>
            <w:r w:rsidR="00D972E8">
              <w:rPr>
                <w:rFonts w:eastAsia="SimSun"/>
                <w:sz w:val="18"/>
                <w:szCs w:val="18"/>
                <w:lang w:eastAsia="zh-CN"/>
              </w:rPr>
              <w:t xml:space="preserve"> + </w:t>
            </w:r>
            <w:r w:rsidRPr="00F77964">
              <w:rPr>
                <w:rFonts w:eastAsia="SimSun"/>
                <w:sz w:val="18"/>
                <w:szCs w:val="18"/>
                <w:lang w:eastAsia="zh-CN"/>
              </w:rPr>
              <w:t>20 experts/partenaires stratégiques</w:t>
            </w:r>
            <w:r w:rsidR="00D66005" w:rsidRPr="00F77964">
              <w:rPr>
                <w:rFonts w:eastAsia="SimSun"/>
                <w:sz w:val="18"/>
                <w:szCs w:val="18"/>
                <w:lang w:eastAsia="zh-CN"/>
              </w:rPr>
              <w:t>)</w:t>
            </w:r>
          </w:p>
        </w:tc>
        <w:tc>
          <w:tcPr>
            <w:tcW w:w="3147" w:type="dxa"/>
            <w:tcBorders>
              <w:top w:val="single" w:sz="4" w:space="0" w:color="auto"/>
              <w:left w:val="single" w:sz="4" w:space="0" w:color="auto"/>
              <w:bottom w:val="single" w:sz="4" w:space="0" w:color="auto"/>
              <w:right w:val="single" w:sz="4" w:space="0" w:color="auto"/>
            </w:tcBorders>
            <w:hideMark/>
          </w:tcPr>
          <w:p w:rsidR="00D66005" w:rsidRPr="00F77964" w:rsidRDefault="00C968B1" w:rsidP="006A3225">
            <w:pPr>
              <w:pStyle w:val="Normal-pool"/>
              <w:spacing w:before="40" w:after="40"/>
              <w:rPr>
                <w:rFonts w:eastAsia="SimSun"/>
                <w:sz w:val="18"/>
                <w:szCs w:val="18"/>
                <w:lang w:eastAsia="zh-CN"/>
              </w:rPr>
            </w:pPr>
            <w:r w:rsidRPr="00F77964">
              <w:rPr>
                <w:rFonts w:eastAsia="SimSun"/>
                <w:sz w:val="18"/>
                <w:szCs w:val="18"/>
                <w:lang w:eastAsia="zh-CN"/>
              </w:rPr>
              <w:t>Coûts de la réunion</w:t>
            </w:r>
            <w:r w:rsidR="00D66005" w:rsidRPr="00F77964">
              <w:rPr>
                <w:rFonts w:eastAsia="SimSun"/>
                <w:sz w:val="18"/>
                <w:szCs w:val="18"/>
                <w:lang w:eastAsia="zh-CN"/>
              </w:rPr>
              <w:t xml:space="preserve"> (1</w:t>
            </w:r>
            <w:r w:rsidRPr="00F77964">
              <w:rPr>
                <w:rFonts w:eastAsia="SimSun"/>
                <w:sz w:val="18"/>
                <w:szCs w:val="18"/>
                <w:lang w:eastAsia="zh-CN"/>
              </w:rPr>
              <w:t> semaine, 25 participants</w:t>
            </w:r>
            <w:r w:rsidR="00D66005" w:rsidRPr="00F77964">
              <w:rPr>
                <w:rFonts w:eastAsia="SimSun"/>
                <w:sz w:val="18"/>
                <w:szCs w:val="18"/>
                <w:lang w:eastAsia="zh-CN"/>
              </w:rPr>
              <w:t>) (25</w:t>
            </w:r>
            <w:r w:rsidRPr="00F77964">
              <w:rPr>
                <w:rFonts w:eastAsia="SimSun"/>
                <w:sz w:val="18"/>
                <w:szCs w:val="18"/>
                <w:lang w:eastAsia="zh-CN"/>
              </w:rPr>
              <w:t> </w:t>
            </w:r>
            <w:r w:rsidR="006A3225" w:rsidRPr="00F77964">
              <w:rPr>
                <w:rFonts w:eastAsia="SimSun"/>
                <w:sz w:val="18"/>
                <w:szCs w:val="18"/>
                <w:lang w:eastAsia="zh-CN"/>
              </w:rPr>
              <w:t>%</w:t>
            </w:r>
            <w:r w:rsidR="00D972E8">
              <w:rPr>
                <w:rFonts w:eastAsia="SimSun"/>
                <w:sz w:val="18"/>
                <w:szCs w:val="18"/>
                <w:lang w:eastAsia="zh-CN"/>
              </w:rPr>
              <w:t xml:space="preserve"> </w:t>
            </w:r>
            <w:r w:rsidRPr="00F77964">
              <w:rPr>
                <w:rFonts w:eastAsia="SimSun"/>
                <w:sz w:val="18"/>
                <w:szCs w:val="18"/>
                <w:lang w:eastAsia="zh-CN"/>
              </w:rPr>
              <w:t>en nature</w:t>
            </w:r>
            <w:r w:rsidR="00D66005" w:rsidRPr="00F77964">
              <w:rPr>
                <w:rFonts w:eastAsia="SimSun"/>
                <w:sz w:val="18"/>
                <w:szCs w:val="18"/>
                <w:lang w:eastAsia="zh-CN"/>
              </w:rPr>
              <w:t>)</w:t>
            </w:r>
          </w:p>
        </w:tc>
        <w:tc>
          <w:tcPr>
            <w:tcW w:w="1047" w:type="dxa"/>
            <w:tcBorders>
              <w:top w:val="single" w:sz="4" w:space="0" w:color="auto"/>
              <w:left w:val="single" w:sz="4" w:space="0" w:color="auto"/>
              <w:bottom w:val="single" w:sz="4" w:space="0" w:color="auto"/>
              <w:right w:val="single" w:sz="4" w:space="0" w:color="auto"/>
            </w:tcBorders>
            <w:hideMark/>
          </w:tcPr>
          <w:p w:rsidR="00D66005" w:rsidRPr="00F77964" w:rsidRDefault="00D66005" w:rsidP="005C07D6">
            <w:pPr>
              <w:pStyle w:val="Normal-pool"/>
              <w:spacing w:before="40" w:after="40"/>
              <w:jc w:val="right"/>
              <w:rPr>
                <w:rFonts w:eastAsia="SimSun"/>
                <w:sz w:val="18"/>
                <w:szCs w:val="18"/>
                <w:lang w:eastAsia="zh-CN"/>
              </w:rPr>
            </w:pPr>
            <w:r w:rsidRPr="00F77964">
              <w:rPr>
                <w:rFonts w:eastAsia="SimSun"/>
                <w:sz w:val="18"/>
                <w:szCs w:val="18"/>
                <w:lang w:eastAsia="zh-CN"/>
              </w:rPr>
              <w:t>7</w:t>
            </w:r>
            <w:r w:rsidR="005C07D6" w:rsidRPr="00F77964">
              <w:rPr>
                <w:rFonts w:eastAsia="SimSun"/>
                <w:sz w:val="18"/>
                <w:szCs w:val="18"/>
                <w:lang w:eastAsia="zh-CN"/>
              </w:rPr>
              <w:t> </w:t>
            </w:r>
            <w:r w:rsidRPr="00F77964">
              <w:rPr>
                <w:rFonts w:eastAsia="SimSun"/>
                <w:sz w:val="18"/>
                <w:szCs w:val="18"/>
                <w:lang w:eastAsia="zh-CN"/>
              </w:rPr>
              <w:t>500</w:t>
            </w:r>
          </w:p>
        </w:tc>
      </w:tr>
      <w:tr w:rsidR="00D66005" w:rsidRPr="0061490E" w:rsidTr="00DD586B">
        <w:trPr>
          <w:trHeight w:val="339"/>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DD586B">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DD586B">
            <w:pPr>
              <w:rPr>
                <w:rFonts w:eastAsia="SimSun"/>
                <w:sz w:val="18"/>
                <w:szCs w:val="18"/>
                <w:lang w:eastAsia="zh-CN"/>
              </w:rPr>
            </w:pPr>
          </w:p>
        </w:tc>
        <w:tc>
          <w:tcPr>
            <w:tcW w:w="3147" w:type="dxa"/>
            <w:tcBorders>
              <w:top w:val="single" w:sz="4" w:space="0" w:color="auto"/>
              <w:left w:val="single" w:sz="4" w:space="0" w:color="auto"/>
              <w:bottom w:val="single" w:sz="4" w:space="0" w:color="auto"/>
              <w:right w:val="single" w:sz="4" w:space="0" w:color="auto"/>
            </w:tcBorders>
            <w:hideMark/>
          </w:tcPr>
          <w:p w:rsidR="00D66005" w:rsidRPr="00F77964" w:rsidRDefault="00D972E8" w:rsidP="005C07D6">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00D66005" w:rsidRPr="00F77964">
              <w:rPr>
                <w:rFonts w:eastAsia="SimSun"/>
                <w:sz w:val="18"/>
                <w:szCs w:val="18"/>
                <w:lang w:eastAsia="zh-CN"/>
              </w:rPr>
              <w:t xml:space="preserve"> (5 x 3</w:t>
            </w:r>
            <w:r w:rsidR="00C968B1" w:rsidRPr="00F77964">
              <w:rPr>
                <w:rFonts w:eastAsia="SimSun"/>
                <w:sz w:val="18"/>
                <w:szCs w:val="18"/>
                <w:lang w:eastAsia="zh-CN"/>
              </w:rPr>
              <w:t> </w:t>
            </w:r>
            <w:r w:rsidR="00D66005" w:rsidRPr="00F77964">
              <w:rPr>
                <w:rFonts w:eastAsia="SimSun"/>
                <w:sz w:val="18"/>
                <w:szCs w:val="18"/>
                <w:lang w:eastAsia="zh-CN"/>
              </w:rPr>
              <w:t>000</w:t>
            </w:r>
            <w:r w:rsidR="005C07D6" w:rsidRPr="00F77964">
              <w:rPr>
                <w:rFonts w:eastAsia="SimSun"/>
                <w:sz w:val="18"/>
                <w:szCs w:val="18"/>
                <w:lang w:eastAsia="zh-CN"/>
              </w:rPr>
              <w:t> </w:t>
            </w:r>
            <w:r w:rsidR="00F77964" w:rsidRPr="00F77964">
              <w:rPr>
                <w:rFonts w:eastAsia="SimSun"/>
                <w:sz w:val="18"/>
                <w:szCs w:val="18"/>
                <w:lang w:eastAsia="zh-CN"/>
              </w:rPr>
              <w:t>dollars</w:t>
            </w:r>
            <w:r w:rsidR="00D66005" w:rsidRPr="00F77964">
              <w:rPr>
                <w:rFonts w:eastAsia="SimSun"/>
                <w:sz w:val="18"/>
                <w:szCs w:val="18"/>
                <w:lang w:eastAsia="zh-CN"/>
              </w:rPr>
              <w:t>)</w:t>
            </w:r>
          </w:p>
        </w:tc>
        <w:tc>
          <w:tcPr>
            <w:tcW w:w="1047" w:type="dxa"/>
            <w:tcBorders>
              <w:top w:val="single" w:sz="4" w:space="0" w:color="auto"/>
              <w:left w:val="single" w:sz="4" w:space="0" w:color="auto"/>
              <w:bottom w:val="single" w:sz="4" w:space="0" w:color="auto"/>
              <w:right w:val="single" w:sz="4" w:space="0" w:color="auto"/>
            </w:tcBorders>
            <w:hideMark/>
          </w:tcPr>
          <w:p w:rsidR="00D66005" w:rsidRPr="00F77964" w:rsidRDefault="00D66005" w:rsidP="005C07D6">
            <w:pPr>
              <w:pStyle w:val="Normal-pool"/>
              <w:spacing w:before="40" w:after="40"/>
              <w:jc w:val="right"/>
              <w:rPr>
                <w:rFonts w:eastAsia="SimSun"/>
                <w:sz w:val="18"/>
                <w:szCs w:val="18"/>
                <w:lang w:eastAsia="zh-CN"/>
              </w:rPr>
            </w:pPr>
            <w:r w:rsidRPr="00F77964">
              <w:rPr>
                <w:rFonts w:eastAsia="SimSun"/>
                <w:sz w:val="18"/>
                <w:szCs w:val="18"/>
                <w:lang w:eastAsia="zh-CN"/>
              </w:rPr>
              <w:t>15</w:t>
            </w:r>
            <w:r w:rsidR="005C07D6" w:rsidRPr="00F77964">
              <w:rPr>
                <w:rFonts w:eastAsia="SimSun"/>
                <w:sz w:val="18"/>
                <w:szCs w:val="18"/>
                <w:lang w:eastAsia="zh-CN"/>
              </w:rPr>
              <w:t> </w:t>
            </w:r>
            <w:r w:rsidRPr="00F77964">
              <w:rPr>
                <w:rFonts w:eastAsia="SimSun"/>
                <w:sz w:val="18"/>
                <w:szCs w:val="18"/>
                <w:lang w:eastAsia="zh-CN"/>
              </w:rPr>
              <w:t>000</w:t>
            </w:r>
          </w:p>
        </w:tc>
      </w:tr>
      <w:tr w:rsidR="00D66005" w:rsidRPr="0061490E" w:rsidTr="00DD586B">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DD586B">
            <w:pPr>
              <w:rPr>
                <w:rFonts w:eastAsia="SimSun"/>
                <w:sz w:val="18"/>
                <w:szCs w:val="18"/>
                <w:lang w:eastAsia="zh-CN"/>
              </w:rPr>
            </w:pPr>
          </w:p>
        </w:tc>
        <w:tc>
          <w:tcPr>
            <w:tcW w:w="2929"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C968B1" w:rsidP="00DD586B">
            <w:pPr>
              <w:pStyle w:val="Normal-pool"/>
              <w:spacing w:before="40" w:after="40"/>
              <w:rPr>
                <w:rFonts w:eastAsia="SimSun"/>
                <w:sz w:val="18"/>
                <w:szCs w:val="18"/>
                <w:lang w:eastAsia="zh-CN"/>
              </w:rPr>
            </w:pPr>
            <w:r w:rsidRPr="00F77964">
              <w:rPr>
                <w:rFonts w:eastAsia="SimSun"/>
                <w:sz w:val="18"/>
                <w:szCs w:val="18"/>
                <w:lang w:eastAsia="zh-CN"/>
              </w:rPr>
              <w:t xml:space="preserve">Réunion du </w:t>
            </w:r>
            <w:r w:rsidR="005C07D6" w:rsidRPr="00F77964">
              <w:rPr>
                <w:rFonts w:eastAsia="SimSun"/>
                <w:sz w:val="18"/>
                <w:szCs w:val="18"/>
                <w:lang w:eastAsia="zh-CN"/>
              </w:rPr>
              <w:t>f</w:t>
            </w:r>
            <w:r w:rsidRPr="00F77964">
              <w:rPr>
                <w:rFonts w:eastAsia="SimSun"/>
                <w:sz w:val="18"/>
                <w:szCs w:val="18"/>
                <w:lang w:eastAsia="zh-CN"/>
              </w:rPr>
              <w:t>orum</w:t>
            </w:r>
            <w:r w:rsidR="00D66005" w:rsidRPr="00F77964">
              <w:rPr>
                <w:rFonts w:eastAsia="SimSun"/>
                <w:sz w:val="18"/>
                <w:szCs w:val="18"/>
                <w:lang w:eastAsia="zh-CN"/>
              </w:rPr>
              <w:t xml:space="preserve"> (50</w:t>
            </w:r>
            <w:r w:rsidRPr="00F77964">
              <w:rPr>
                <w:rFonts w:eastAsia="SimSun"/>
                <w:sz w:val="18"/>
                <w:szCs w:val="18"/>
                <w:lang w:eastAsia="zh-CN"/>
              </w:rPr>
              <w:t> </w:t>
            </w:r>
            <w:r w:rsidR="00D66005" w:rsidRPr="00F77964">
              <w:rPr>
                <w:rFonts w:eastAsia="SimSun"/>
                <w:sz w:val="18"/>
                <w:szCs w:val="18"/>
                <w:lang w:eastAsia="zh-CN"/>
              </w:rPr>
              <w:t xml:space="preserve">participants, </w:t>
            </w:r>
            <w:r w:rsidRPr="00F77964">
              <w:rPr>
                <w:rFonts w:eastAsia="SimSun"/>
                <w:sz w:val="18"/>
                <w:szCs w:val="18"/>
                <w:lang w:eastAsia="zh-CN"/>
              </w:rPr>
              <w:t>25 </w:t>
            </w:r>
            <w:r w:rsidR="005C07D6" w:rsidRPr="00F77964">
              <w:rPr>
                <w:rFonts w:eastAsia="SimSun"/>
                <w:sz w:val="18"/>
                <w:szCs w:val="18"/>
                <w:lang w:eastAsia="zh-CN"/>
              </w:rPr>
              <w:t>financés</w:t>
            </w:r>
            <w:r w:rsidR="00D66005" w:rsidRPr="00F77964">
              <w:rPr>
                <w:rFonts w:eastAsia="SimSun"/>
                <w:sz w:val="18"/>
                <w:szCs w:val="18"/>
                <w:lang w:eastAsia="zh-CN"/>
              </w:rPr>
              <w:t>)</w:t>
            </w:r>
          </w:p>
        </w:tc>
        <w:tc>
          <w:tcPr>
            <w:tcW w:w="3147" w:type="dxa"/>
            <w:tcBorders>
              <w:top w:val="single" w:sz="4" w:space="0" w:color="auto"/>
              <w:left w:val="single" w:sz="4" w:space="0" w:color="auto"/>
              <w:bottom w:val="single" w:sz="4" w:space="0" w:color="auto"/>
              <w:right w:val="single" w:sz="4" w:space="0" w:color="auto"/>
            </w:tcBorders>
            <w:hideMark/>
          </w:tcPr>
          <w:p w:rsidR="00D66005" w:rsidRPr="00F77964" w:rsidRDefault="00C968B1" w:rsidP="006A3225">
            <w:pPr>
              <w:pStyle w:val="Normal-pool"/>
              <w:spacing w:before="40" w:after="40"/>
              <w:rPr>
                <w:rFonts w:eastAsia="SimSun"/>
                <w:sz w:val="18"/>
                <w:szCs w:val="18"/>
                <w:lang w:eastAsia="zh-CN"/>
              </w:rPr>
            </w:pPr>
            <w:r w:rsidRPr="00F77964">
              <w:rPr>
                <w:rFonts w:eastAsia="SimSun"/>
                <w:sz w:val="18"/>
                <w:szCs w:val="18"/>
                <w:lang w:eastAsia="zh-CN"/>
              </w:rPr>
              <w:t>Coûts de la réunion</w:t>
            </w:r>
            <w:r w:rsidR="00D66005" w:rsidRPr="00F77964">
              <w:rPr>
                <w:rFonts w:eastAsia="SimSun"/>
                <w:sz w:val="18"/>
                <w:szCs w:val="18"/>
                <w:lang w:eastAsia="zh-CN"/>
              </w:rPr>
              <w:t xml:space="preserve"> (1</w:t>
            </w:r>
            <w:r w:rsidRPr="00F77964">
              <w:rPr>
                <w:rFonts w:eastAsia="SimSun"/>
                <w:sz w:val="18"/>
                <w:szCs w:val="18"/>
                <w:lang w:eastAsia="zh-CN"/>
              </w:rPr>
              <w:t> semaine, 50 participants</w:t>
            </w:r>
            <w:r w:rsidR="00D66005" w:rsidRPr="00F77964">
              <w:rPr>
                <w:rFonts w:eastAsia="SimSun"/>
                <w:sz w:val="18"/>
                <w:szCs w:val="18"/>
                <w:lang w:eastAsia="zh-CN"/>
              </w:rPr>
              <w:t>) (25</w:t>
            </w:r>
            <w:r w:rsidRPr="00F77964">
              <w:rPr>
                <w:rFonts w:eastAsia="SimSun"/>
                <w:sz w:val="18"/>
                <w:szCs w:val="18"/>
                <w:lang w:eastAsia="zh-CN"/>
              </w:rPr>
              <w:t> </w:t>
            </w:r>
            <w:r w:rsidR="006A3225" w:rsidRPr="00F77964">
              <w:rPr>
                <w:rFonts w:eastAsia="SimSun"/>
                <w:sz w:val="18"/>
                <w:szCs w:val="18"/>
                <w:lang w:eastAsia="zh-CN"/>
              </w:rPr>
              <w:t>%</w:t>
            </w:r>
            <w:r w:rsidR="00D972E8">
              <w:rPr>
                <w:rFonts w:eastAsia="SimSun"/>
                <w:sz w:val="18"/>
                <w:szCs w:val="18"/>
                <w:lang w:eastAsia="zh-CN"/>
              </w:rPr>
              <w:t xml:space="preserve"> </w:t>
            </w:r>
            <w:r w:rsidRPr="00F77964">
              <w:rPr>
                <w:rFonts w:eastAsia="SimSun"/>
                <w:sz w:val="18"/>
                <w:szCs w:val="18"/>
                <w:lang w:eastAsia="zh-CN"/>
              </w:rPr>
              <w:t>en nature</w:t>
            </w:r>
            <w:r w:rsidR="00D66005" w:rsidRPr="00F77964">
              <w:rPr>
                <w:rFonts w:eastAsia="SimSun"/>
                <w:sz w:val="18"/>
                <w:szCs w:val="18"/>
                <w:lang w:eastAsia="zh-CN"/>
              </w:rPr>
              <w:t>)</w:t>
            </w:r>
          </w:p>
        </w:tc>
        <w:tc>
          <w:tcPr>
            <w:tcW w:w="1047" w:type="dxa"/>
            <w:tcBorders>
              <w:top w:val="single" w:sz="4" w:space="0" w:color="auto"/>
              <w:left w:val="single" w:sz="4" w:space="0" w:color="auto"/>
              <w:bottom w:val="single" w:sz="4" w:space="0" w:color="auto"/>
              <w:right w:val="single" w:sz="4" w:space="0" w:color="auto"/>
            </w:tcBorders>
            <w:hideMark/>
          </w:tcPr>
          <w:p w:rsidR="00D66005" w:rsidRPr="00F77964" w:rsidRDefault="00D66005" w:rsidP="005C07D6">
            <w:pPr>
              <w:pStyle w:val="Normal-pool"/>
              <w:spacing w:before="40" w:after="40"/>
              <w:jc w:val="right"/>
              <w:rPr>
                <w:rFonts w:eastAsia="SimSun"/>
                <w:sz w:val="18"/>
                <w:szCs w:val="18"/>
                <w:lang w:eastAsia="zh-CN"/>
              </w:rPr>
            </w:pPr>
            <w:r w:rsidRPr="00F77964">
              <w:rPr>
                <w:rFonts w:eastAsia="SimSun"/>
                <w:sz w:val="18"/>
                <w:szCs w:val="18"/>
                <w:lang w:eastAsia="zh-CN"/>
              </w:rPr>
              <w:t>11</w:t>
            </w:r>
            <w:r w:rsidR="005C07D6" w:rsidRPr="00F77964">
              <w:rPr>
                <w:rFonts w:eastAsia="SimSun"/>
                <w:sz w:val="18"/>
                <w:szCs w:val="18"/>
                <w:lang w:eastAsia="zh-CN"/>
              </w:rPr>
              <w:t> </w:t>
            </w:r>
            <w:r w:rsidRPr="00F77964">
              <w:rPr>
                <w:rFonts w:eastAsia="SimSun"/>
                <w:sz w:val="18"/>
                <w:szCs w:val="18"/>
                <w:lang w:eastAsia="zh-CN"/>
              </w:rPr>
              <w:t>250</w:t>
            </w:r>
          </w:p>
        </w:tc>
      </w:tr>
      <w:tr w:rsidR="00D66005" w:rsidRPr="0061490E" w:rsidTr="00DD586B">
        <w:trPr>
          <w:trHeight w:val="109"/>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DD586B">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DD586B">
            <w:pPr>
              <w:rPr>
                <w:rFonts w:eastAsia="SimSun"/>
                <w:sz w:val="18"/>
                <w:szCs w:val="18"/>
                <w:lang w:eastAsia="zh-CN"/>
              </w:rPr>
            </w:pPr>
          </w:p>
        </w:tc>
        <w:tc>
          <w:tcPr>
            <w:tcW w:w="3147" w:type="dxa"/>
            <w:tcBorders>
              <w:top w:val="single" w:sz="4" w:space="0" w:color="auto"/>
              <w:left w:val="single" w:sz="4" w:space="0" w:color="auto"/>
              <w:bottom w:val="single" w:sz="4" w:space="0" w:color="auto"/>
              <w:right w:val="single" w:sz="4" w:space="0" w:color="auto"/>
            </w:tcBorders>
            <w:hideMark/>
          </w:tcPr>
          <w:p w:rsidR="00D66005" w:rsidRPr="00F77964" w:rsidRDefault="00D972E8" w:rsidP="005C07D6">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00D66005" w:rsidRPr="00F77964">
              <w:rPr>
                <w:rFonts w:eastAsia="SimSun"/>
                <w:sz w:val="18"/>
                <w:szCs w:val="18"/>
                <w:lang w:eastAsia="zh-CN"/>
              </w:rPr>
              <w:t xml:space="preserve"> (25 x 3</w:t>
            </w:r>
            <w:r w:rsidR="00C968B1" w:rsidRPr="00F77964">
              <w:rPr>
                <w:rFonts w:eastAsia="SimSun"/>
                <w:sz w:val="18"/>
                <w:szCs w:val="18"/>
                <w:lang w:eastAsia="zh-CN"/>
              </w:rPr>
              <w:t> </w:t>
            </w:r>
            <w:r w:rsidR="00D66005" w:rsidRPr="00F77964">
              <w:rPr>
                <w:rFonts w:eastAsia="SimSun"/>
                <w:sz w:val="18"/>
                <w:szCs w:val="18"/>
                <w:lang w:eastAsia="zh-CN"/>
              </w:rPr>
              <w:t>000</w:t>
            </w:r>
            <w:r w:rsidR="005C07D6" w:rsidRPr="00F77964">
              <w:rPr>
                <w:rFonts w:eastAsia="SimSun"/>
                <w:sz w:val="18"/>
                <w:szCs w:val="18"/>
                <w:lang w:eastAsia="zh-CN"/>
              </w:rPr>
              <w:t> dollars</w:t>
            </w:r>
            <w:r w:rsidR="00D66005" w:rsidRPr="00F77964">
              <w:rPr>
                <w:rFonts w:eastAsia="SimSun"/>
                <w:sz w:val="18"/>
                <w:szCs w:val="18"/>
                <w:lang w:eastAsia="zh-CN"/>
              </w:rPr>
              <w:t>)</w:t>
            </w:r>
          </w:p>
        </w:tc>
        <w:tc>
          <w:tcPr>
            <w:tcW w:w="1047" w:type="dxa"/>
            <w:tcBorders>
              <w:top w:val="single" w:sz="4" w:space="0" w:color="auto"/>
              <w:left w:val="single" w:sz="4" w:space="0" w:color="auto"/>
              <w:bottom w:val="single" w:sz="4" w:space="0" w:color="auto"/>
              <w:right w:val="single" w:sz="4" w:space="0" w:color="auto"/>
            </w:tcBorders>
            <w:hideMark/>
          </w:tcPr>
          <w:p w:rsidR="00D66005" w:rsidRPr="00F77964" w:rsidRDefault="00D66005" w:rsidP="005C07D6">
            <w:pPr>
              <w:pStyle w:val="Normal-pool"/>
              <w:spacing w:before="40" w:after="40"/>
              <w:jc w:val="right"/>
              <w:rPr>
                <w:rFonts w:eastAsia="SimSun"/>
                <w:sz w:val="18"/>
                <w:szCs w:val="18"/>
                <w:lang w:eastAsia="zh-CN"/>
              </w:rPr>
            </w:pPr>
            <w:r w:rsidRPr="00F77964">
              <w:rPr>
                <w:rFonts w:eastAsia="SimSun"/>
                <w:sz w:val="18"/>
                <w:szCs w:val="18"/>
                <w:lang w:eastAsia="zh-CN"/>
              </w:rPr>
              <w:t>75</w:t>
            </w:r>
            <w:r w:rsidR="005C07D6" w:rsidRPr="00F77964">
              <w:rPr>
                <w:rFonts w:eastAsia="SimSun"/>
                <w:sz w:val="18"/>
                <w:szCs w:val="18"/>
                <w:lang w:eastAsia="zh-CN"/>
              </w:rPr>
              <w:t> </w:t>
            </w:r>
            <w:r w:rsidRPr="00F77964">
              <w:rPr>
                <w:rFonts w:eastAsia="SimSun"/>
                <w:sz w:val="18"/>
                <w:szCs w:val="18"/>
                <w:lang w:eastAsia="zh-CN"/>
              </w:rPr>
              <w:t>000</w:t>
            </w:r>
          </w:p>
        </w:tc>
      </w:tr>
      <w:tr w:rsidR="00D66005" w:rsidRPr="0061490E" w:rsidTr="00DD586B">
        <w:trPr>
          <w:trHeight w:val="419"/>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DD586B">
            <w:pPr>
              <w:rPr>
                <w:rFonts w:eastAsia="SimSun"/>
                <w:sz w:val="18"/>
                <w:szCs w:val="18"/>
                <w:lang w:eastAsia="zh-CN"/>
              </w:rPr>
            </w:pPr>
          </w:p>
        </w:tc>
        <w:tc>
          <w:tcPr>
            <w:tcW w:w="2929" w:type="dxa"/>
            <w:tcBorders>
              <w:top w:val="single" w:sz="4" w:space="0" w:color="auto"/>
              <w:left w:val="single" w:sz="4" w:space="0" w:color="auto"/>
              <w:bottom w:val="single" w:sz="4" w:space="0" w:color="auto"/>
              <w:right w:val="single" w:sz="4" w:space="0" w:color="auto"/>
            </w:tcBorders>
          </w:tcPr>
          <w:p w:rsidR="00D66005" w:rsidRPr="00F77964" w:rsidRDefault="00C968B1" w:rsidP="00DD586B">
            <w:pPr>
              <w:pStyle w:val="Normal-pool"/>
              <w:spacing w:before="40" w:after="40"/>
              <w:rPr>
                <w:rFonts w:eastAsia="SimSun"/>
                <w:sz w:val="18"/>
                <w:szCs w:val="18"/>
                <w:lang w:eastAsia="zh-CN"/>
              </w:rPr>
            </w:pPr>
            <w:r w:rsidRPr="00F77964">
              <w:rPr>
                <w:rFonts w:eastAsia="SimSun"/>
                <w:sz w:val="18"/>
                <w:szCs w:val="18"/>
                <w:lang w:eastAsia="zh-CN"/>
              </w:rPr>
              <w:t>Appui technique</w:t>
            </w:r>
          </w:p>
        </w:tc>
        <w:tc>
          <w:tcPr>
            <w:tcW w:w="3147" w:type="dxa"/>
            <w:tcBorders>
              <w:top w:val="single" w:sz="4" w:space="0" w:color="auto"/>
              <w:left w:val="single" w:sz="4" w:space="0" w:color="auto"/>
              <w:bottom w:val="single" w:sz="4" w:space="0" w:color="auto"/>
              <w:right w:val="single" w:sz="4" w:space="0" w:color="auto"/>
            </w:tcBorders>
            <w:hideMark/>
          </w:tcPr>
          <w:p w:rsidR="00D66005" w:rsidRPr="00F77964" w:rsidRDefault="00C968B1" w:rsidP="005C07D6">
            <w:pPr>
              <w:pStyle w:val="Normal-pool"/>
              <w:spacing w:before="40" w:after="40"/>
              <w:rPr>
                <w:rFonts w:eastAsia="SimSun"/>
                <w:sz w:val="18"/>
                <w:szCs w:val="18"/>
                <w:lang w:eastAsia="zh-CN"/>
              </w:rPr>
            </w:pPr>
            <w:r w:rsidRPr="00F77964">
              <w:rPr>
                <w:rFonts w:eastAsia="SimSun"/>
                <w:sz w:val="18"/>
                <w:szCs w:val="18"/>
                <w:lang w:eastAsia="zh-CN"/>
              </w:rPr>
              <w:t xml:space="preserve">2 postes </w:t>
            </w:r>
            <w:r w:rsidR="00B10062" w:rsidRPr="00F77964">
              <w:rPr>
                <w:rFonts w:eastAsia="SimSun"/>
                <w:sz w:val="18"/>
                <w:szCs w:val="18"/>
                <w:lang w:eastAsia="zh-CN"/>
              </w:rPr>
              <w:t xml:space="preserve">d’administrateur </w:t>
            </w:r>
            <w:r w:rsidR="005C07D6" w:rsidRPr="00F77964">
              <w:rPr>
                <w:rFonts w:eastAsia="SimSun"/>
                <w:sz w:val="18"/>
                <w:szCs w:val="18"/>
                <w:lang w:eastAsia="zh-CN"/>
              </w:rPr>
              <w:t xml:space="preserve">équivalent </w:t>
            </w:r>
            <w:r w:rsidR="00B10062" w:rsidRPr="00F77964">
              <w:rPr>
                <w:rFonts w:eastAsia="SimSun"/>
                <w:sz w:val="18"/>
                <w:szCs w:val="18"/>
                <w:lang w:eastAsia="zh-CN"/>
              </w:rPr>
              <w:t>plein temps (50</w:t>
            </w:r>
            <w:r w:rsidR="005C07D6" w:rsidRPr="00F77964">
              <w:rPr>
                <w:rFonts w:eastAsia="SimSun"/>
                <w:sz w:val="18"/>
                <w:szCs w:val="18"/>
                <w:lang w:eastAsia="zh-CN"/>
              </w:rPr>
              <w:t> % en</w:t>
            </w:r>
            <w:r w:rsidRPr="00F77964">
              <w:rPr>
                <w:rFonts w:eastAsia="SimSun"/>
                <w:sz w:val="18"/>
                <w:szCs w:val="18"/>
                <w:lang w:eastAsia="zh-CN"/>
              </w:rPr>
              <w:t xml:space="preserve"> nature)</w:t>
            </w:r>
          </w:p>
        </w:tc>
        <w:tc>
          <w:tcPr>
            <w:tcW w:w="1047" w:type="dxa"/>
            <w:tcBorders>
              <w:top w:val="single" w:sz="4" w:space="0" w:color="auto"/>
              <w:left w:val="single" w:sz="4" w:space="0" w:color="auto"/>
              <w:bottom w:val="single" w:sz="4" w:space="0" w:color="auto"/>
              <w:right w:val="single" w:sz="4" w:space="0" w:color="auto"/>
            </w:tcBorders>
            <w:hideMark/>
          </w:tcPr>
          <w:p w:rsidR="00D66005" w:rsidRPr="00F77964" w:rsidRDefault="00D66005" w:rsidP="005C07D6">
            <w:pPr>
              <w:pStyle w:val="Normal-pool"/>
              <w:spacing w:before="40" w:after="40"/>
              <w:jc w:val="right"/>
              <w:rPr>
                <w:rFonts w:eastAsia="SimSun"/>
                <w:sz w:val="18"/>
                <w:szCs w:val="18"/>
                <w:lang w:eastAsia="zh-CN"/>
              </w:rPr>
            </w:pPr>
            <w:r w:rsidRPr="00F77964">
              <w:rPr>
                <w:rFonts w:eastAsia="SimSun"/>
                <w:sz w:val="18"/>
                <w:szCs w:val="18"/>
                <w:lang w:eastAsia="zh-CN"/>
              </w:rPr>
              <w:t>150</w:t>
            </w:r>
            <w:r w:rsidR="005C07D6" w:rsidRPr="00F77964">
              <w:rPr>
                <w:rFonts w:eastAsia="SimSun"/>
                <w:sz w:val="18"/>
                <w:szCs w:val="18"/>
                <w:lang w:eastAsia="zh-CN"/>
              </w:rPr>
              <w:t> </w:t>
            </w:r>
            <w:r w:rsidRPr="00F77964">
              <w:rPr>
                <w:rFonts w:eastAsia="SimSun"/>
                <w:sz w:val="18"/>
                <w:szCs w:val="18"/>
                <w:lang w:eastAsia="zh-CN"/>
              </w:rPr>
              <w:t>000</w:t>
            </w:r>
          </w:p>
        </w:tc>
      </w:tr>
      <w:tr w:rsidR="00D66005" w:rsidRPr="0061490E" w:rsidTr="00DD586B">
        <w:tc>
          <w:tcPr>
            <w:tcW w:w="672"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DD586B">
            <w:pPr>
              <w:pStyle w:val="Normal-pool"/>
              <w:keepNext/>
              <w:keepLines/>
              <w:spacing w:before="40" w:after="40"/>
              <w:rPr>
                <w:rFonts w:eastAsia="SimSun"/>
                <w:sz w:val="18"/>
                <w:szCs w:val="18"/>
                <w:lang w:eastAsia="zh-CN"/>
              </w:rPr>
            </w:pPr>
            <w:r w:rsidRPr="00F77964">
              <w:rPr>
                <w:rFonts w:eastAsia="SimSun"/>
                <w:sz w:val="18"/>
                <w:szCs w:val="18"/>
                <w:lang w:eastAsia="zh-CN"/>
              </w:rPr>
              <w:t>2015</w:t>
            </w:r>
          </w:p>
        </w:tc>
        <w:tc>
          <w:tcPr>
            <w:tcW w:w="2929"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C968B1" w:rsidP="00DD586B">
            <w:pPr>
              <w:pStyle w:val="Normal-pool"/>
              <w:keepNext/>
              <w:keepLines/>
              <w:spacing w:before="40" w:after="40"/>
              <w:rPr>
                <w:rFonts w:eastAsia="SimSun"/>
                <w:sz w:val="18"/>
                <w:szCs w:val="18"/>
                <w:lang w:eastAsia="zh-CN"/>
              </w:rPr>
            </w:pPr>
            <w:r w:rsidRPr="00F77964">
              <w:rPr>
                <w:rFonts w:eastAsia="SimSun"/>
                <w:sz w:val="18"/>
                <w:szCs w:val="18"/>
                <w:lang w:eastAsia="zh-CN"/>
              </w:rPr>
              <w:t xml:space="preserve">Réunion de l’équipe </w:t>
            </w:r>
            <w:r w:rsidR="005C07D6" w:rsidRPr="00F77964">
              <w:rPr>
                <w:rFonts w:eastAsia="SimSun"/>
                <w:sz w:val="18"/>
                <w:szCs w:val="18"/>
                <w:lang w:eastAsia="zh-CN"/>
              </w:rPr>
              <w:t>spéciale</w:t>
            </w:r>
            <w:r w:rsidR="00D66005" w:rsidRPr="00F77964">
              <w:rPr>
                <w:rFonts w:eastAsia="SimSun"/>
                <w:sz w:val="18"/>
                <w:szCs w:val="18"/>
                <w:lang w:eastAsia="zh-CN"/>
              </w:rPr>
              <w:t xml:space="preserve"> (5</w:t>
            </w:r>
            <w:r w:rsidRPr="00F77964">
              <w:rPr>
                <w:rFonts w:eastAsia="SimSun"/>
                <w:sz w:val="18"/>
                <w:szCs w:val="18"/>
                <w:lang w:eastAsia="zh-CN"/>
              </w:rPr>
              <w:t> membres du Groupe d’experts multidisciplinaire et du Bureau</w:t>
            </w:r>
            <w:r w:rsidR="00D972E8">
              <w:rPr>
                <w:rFonts w:eastAsia="SimSun"/>
                <w:sz w:val="18"/>
                <w:szCs w:val="18"/>
                <w:lang w:eastAsia="zh-CN"/>
              </w:rPr>
              <w:t xml:space="preserve"> + </w:t>
            </w:r>
            <w:r w:rsidRPr="00F77964">
              <w:rPr>
                <w:rFonts w:eastAsia="SimSun"/>
                <w:sz w:val="18"/>
                <w:szCs w:val="18"/>
                <w:lang w:eastAsia="zh-CN"/>
              </w:rPr>
              <w:t>20 experts/partenaires stratégiques</w:t>
            </w:r>
          </w:p>
        </w:tc>
        <w:tc>
          <w:tcPr>
            <w:tcW w:w="3147" w:type="dxa"/>
            <w:tcBorders>
              <w:top w:val="single" w:sz="4" w:space="0" w:color="auto"/>
              <w:left w:val="single" w:sz="4" w:space="0" w:color="auto"/>
              <w:bottom w:val="single" w:sz="4" w:space="0" w:color="auto"/>
              <w:right w:val="single" w:sz="4" w:space="0" w:color="auto"/>
            </w:tcBorders>
            <w:hideMark/>
          </w:tcPr>
          <w:p w:rsidR="00D66005" w:rsidRPr="00F77964" w:rsidRDefault="00C968B1" w:rsidP="00DD586B">
            <w:pPr>
              <w:pStyle w:val="MediumGrid1-Accent21"/>
              <w:keepNext/>
              <w:keepLines/>
              <w:tabs>
                <w:tab w:val="left" w:pos="426"/>
              </w:tabs>
              <w:autoSpaceDE w:val="0"/>
              <w:autoSpaceDN w:val="0"/>
              <w:adjustRightInd w:val="0"/>
              <w:spacing w:before="60" w:after="60"/>
              <w:ind w:left="0"/>
              <w:rPr>
                <w:rFonts w:ascii="Times New Roman" w:eastAsia="SimSun" w:hAnsi="Times New Roman"/>
                <w:sz w:val="18"/>
                <w:szCs w:val="18"/>
                <w:lang w:val="fr-FR" w:eastAsia="zh-CN"/>
              </w:rPr>
            </w:pPr>
            <w:r w:rsidRPr="00F77964">
              <w:rPr>
                <w:rFonts w:ascii="Times New Roman" w:eastAsia="SimSun" w:hAnsi="Times New Roman"/>
                <w:sz w:val="18"/>
                <w:szCs w:val="18"/>
                <w:lang w:val="fr-FR" w:eastAsia="zh-CN"/>
              </w:rPr>
              <w:t>Coûts de la réunion</w:t>
            </w:r>
            <w:r w:rsidR="00D66005" w:rsidRPr="00F77964">
              <w:rPr>
                <w:rFonts w:ascii="Times New Roman" w:eastAsia="SimSun" w:hAnsi="Times New Roman"/>
                <w:sz w:val="18"/>
                <w:szCs w:val="18"/>
                <w:lang w:val="fr-FR" w:eastAsia="zh-CN"/>
              </w:rPr>
              <w:t xml:space="preserve"> (</w:t>
            </w:r>
            <w:r w:rsidRPr="00F77964">
              <w:rPr>
                <w:rFonts w:ascii="Times New Roman" w:eastAsia="SimSun" w:hAnsi="Times New Roman"/>
                <w:sz w:val="18"/>
                <w:szCs w:val="18"/>
                <w:lang w:val="fr-FR" w:eastAsia="zh-CN"/>
              </w:rPr>
              <w:t>1 semaine, 25 participants)</w:t>
            </w:r>
            <w:r w:rsidR="00D972E8">
              <w:rPr>
                <w:rFonts w:ascii="Times New Roman" w:eastAsia="SimSun" w:hAnsi="Times New Roman"/>
                <w:sz w:val="18"/>
                <w:szCs w:val="18"/>
                <w:lang w:val="fr-FR" w:eastAsia="zh-CN"/>
              </w:rPr>
              <w:t xml:space="preserve"> </w:t>
            </w:r>
            <w:r w:rsidR="00D66005" w:rsidRPr="00F77964">
              <w:rPr>
                <w:rFonts w:ascii="Times New Roman" w:eastAsia="SimSun" w:hAnsi="Times New Roman"/>
                <w:sz w:val="18"/>
                <w:szCs w:val="18"/>
                <w:lang w:val="fr-FR" w:eastAsia="zh-CN"/>
              </w:rPr>
              <w:t>(25</w:t>
            </w:r>
            <w:r w:rsidRPr="00F77964">
              <w:rPr>
                <w:rFonts w:ascii="Times New Roman" w:eastAsia="SimSun" w:hAnsi="Times New Roman"/>
                <w:sz w:val="18"/>
                <w:szCs w:val="18"/>
                <w:lang w:val="fr-FR" w:eastAsia="zh-CN"/>
              </w:rPr>
              <w:t> </w:t>
            </w:r>
            <w:r w:rsidR="006A3225" w:rsidRPr="00F77964">
              <w:rPr>
                <w:rFonts w:ascii="Times New Roman" w:eastAsia="SimSun" w:hAnsi="Times New Roman"/>
                <w:sz w:val="18"/>
                <w:szCs w:val="18"/>
                <w:lang w:val="fr-FR" w:eastAsia="zh-CN"/>
              </w:rPr>
              <w:t xml:space="preserve">% </w:t>
            </w:r>
            <w:r w:rsidRPr="00F77964">
              <w:rPr>
                <w:rFonts w:ascii="Times New Roman" w:eastAsia="SimSun" w:hAnsi="Times New Roman"/>
                <w:sz w:val="18"/>
                <w:szCs w:val="18"/>
                <w:lang w:val="fr-FR" w:eastAsia="zh-CN"/>
              </w:rPr>
              <w:t>en nature</w:t>
            </w:r>
            <w:r w:rsidR="00D66005" w:rsidRPr="00F77964">
              <w:rPr>
                <w:rFonts w:ascii="Times New Roman" w:eastAsia="SimSun" w:hAnsi="Times New Roman"/>
                <w:sz w:val="18"/>
                <w:szCs w:val="18"/>
                <w:lang w:val="fr-FR" w:eastAsia="zh-CN"/>
              </w:rPr>
              <w:t>)</w:t>
            </w:r>
          </w:p>
        </w:tc>
        <w:tc>
          <w:tcPr>
            <w:tcW w:w="1047" w:type="dxa"/>
            <w:tcBorders>
              <w:top w:val="single" w:sz="4" w:space="0" w:color="auto"/>
              <w:left w:val="single" w:sz="4" w:space="0" w:color="auto"/>
              <w:bottom w:val="single" w:sz="4" w:space="0" w:color="auto"/>
              <w:right w:val="single" w:sz="4" w:space="0" w:color="auto"/>
            </w:tcBorders>
            <w:hideMark/>
          </w:tcPr>
          <w:p w:rsidR="00D66005" w:rsidRPr="00F77964" w:rsidRDefault="00D66005" w:rsidP="005C07D6">
            <w:pPr>
              <w:pStyle w:val="Normal-pool"/>
              <w:keepNext/>
              <w:keepLines/>
              <w:spacing w:before="40" w:after="40"/>
              <w:jc w:val="right"/>
              <w:rPr>
                <w:rFonts w:eastAsia="SimSun"/>
                <w:sz w:val="18"/>
                <w:szCs w:val="18"/>
                <w:lang w:eastAsia="zh-CN"/>
              </w:rPr>
            </w:pPr>
            <w:r w:rsidRPr="00F77964">
              <w:rPr>
                <w:rFonts w:eastAsia="SimSun"/>
                <w:sz w:val="18"/>
                <w:szCs w:val="18"/>
                <w:lang w:eastAsia="zh-CN"/>
              </w:rPr>
              <w:t>7</w:t>
            </w:r>
            <w:r w:rsidR="005C07D6" w:rsidRPr="00F77964">
              <w:rPr>
                <w:rFonts w:eastAsia="SimSun"/>
                <w:sz w:val="18"/>
                <w:szCs w:val="18"/>
                <w:lang w:eastAsia="zh-CN"/>
              </w:rPr>
              <w:t> </w:t>
            </w:r>
            <w:r w:rsidRPr="00F77964">
              <w:rPr>
                <w:rFonts w:eastAsia="SimSun"/>
                <w:sz w:val="18"/>
                <w:szCs w:val="18"/>
                <w:lang w:eastAsia="zh-CN"/>
              </w:rPr>
              <w:t>500</w:t>
            </w:r>
          </w:p>
        </w:tc>
      </w:tr>
      <w:tr w:rsidR="00D66005" w:rsidRPr="0061490E" w:rsidTr="00DD586B">
        <w:trPr>
          <w:trHeight w:val="331"/>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DD586B">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DD586B">
            <w:pPr>
              <w:rPr>
                <w:rFonts w:eastAsia="SimSun"/>
                <w:sz w:val="18"/>
                <w:szCs w:val="18"/>
                <w:lang w:eastAsia="zh-CN"/>
              </w:rPr>
            </w:pPr>
          </w:p>
        </w:tc>
        <w:tc>
          <w:tcPr>
            <w:tcW w:w="3147" w:type="dxa"/>
            <w:tcBorders>
              <w:top w:val="single" w:sz="4" w:space="0" w:color="auto"/>
              <w:left w:val="single" w:sz="4" w:space="0" w:color="auto"/>
              <w:bottom w:val="single" w:sz="4" w:space="0" w:color="auto"/>
              <w:right w:val="single" w:sz="4" w:space="0" w:color="auto"/>
            </w:tcBorders>
            <w:hideMark/>
          </w:tcPr>
          <w:p w:rsidR="00D66005" w:rsidRPr="00F77964" w:rsidRDefault="00D972E8" w:rsidP="005C07D6">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00D66005" w:rsidRPr="00F77964">
              <w:rPr>
                <w:rFonts w:eastAsia="SimSun"/>
                <w:sz w:val="18"/>
                <w:szCs w:val="18"/>
                <w:lang w:eastAsia="zh-CN"/>
              </w:rPr>
              <w:t xml:space="preserve"> (5 x 3</w:t>
            </w:r>
            <w:r w:rsidR="006A3225" w:rsidRPr="00F77964">
              <w:rPr>
                <w:rFonts w:eastAsia="SimSun"/>
                <w:sz w:val="18"/>
                <w:szCs w:val="18"/>
                <w:lang w:eastAsia="zh-CN"/>
              </w:rPr>
              <w:t> </w:t>
            </w:r>
            <w:r w:rsidR="00D66005" w:rsidRPr="00F77964">
              <w:rPr>
                <w:rFonts w:eastAsia="SimSun"/>
                <w:sz w:val="18"/>
                <w:szCs w:val="18"/>
                <w:lang w:eastAsia="zh-CN"/>
              </w:rPr>
              <w:t>000</w:t>
            </w:r>
            <w:r w:rsidR="005C07D6" w:rsidRPr="00F77964">
              <w:rPr>
                <w:rFonts w:eastAsia="SimSun"/>
                <w:sz w:val="18"/>
                <w:szCs w:val="18"/>
                <w:lang w:eastAsia="zh-CN"/>
              </w:rPr>
              <w:t> dollars</w:t>
            </w:r>
            <w:r w:rsidR="00D66005" w:rsidRPr="00F77964">
              <w:rPr>
                <w:rFonts w:eastAsia="SimSun"/>
                <w:sz w:val="18"/>
                <w:szCs w:val="18"/>
                <w:lang w:eastAsia="zh-CN"/>
              </w:rPr>
              <w:t>)</w:t>
            </w:r>
          </w:p>
        </w:tc>
        <w:tc>
          <w:tcPr>
            <w:tcW w:w="1047" w:type="dxa"/>
            <w:tcBorders>
              <w:top w:val="single" w:sz="4" w:space="0" w:color="auto"/>
              <w:left w:val="single" w:sz="4" w:space="0" w:color="auto"/>
              <w:bottom w:val="single" w:sz="4" w:space="0" w:color="auto"/>
              <w:right w:val="single" w:sz="4" w:space="0" w:color="auto"/>
            </w:tcBorders>
            <w:hideMark/>
          </w:tcPr>
          <w:p w:rsidR="00D66005" w:rsidRPr="00F77964" w:rsidRDefault="00D66005" w:rsidP="005C07D6">
            <w:pPr>
              <w:pStyle w:val="Normal-pool"/>
              <w:spacing w:before="40" w:after="40"/>
              <w:jc w:val="right"/>
              <w:rPr>
                <w:rFonts w:eastAsia="SimSun"/>
                <w:sz w:val="18"/>
                <w:szCs w:val="18"/>
                <w:lang w:eastAsia="zh-CN"/>
              </w:rPr>
            </w:pPr>
            <w:r w:rsidRPr="00F77964">
              <w:rPr>
                <w:rFonts w:eastAsia="SimSun"/>
                <w:sz w:val="18"/>
                <w:szCs w:val="18"/>
                <w:lang w:eastAsia="zh-CN"/>
              </w:rPr>
              <w:t>15</w:t>
            </w:r>
            <w:r w:rsidR="005C07D6" w:rsidRPr="00F77964">
              <w:rPr>
                <w:rFonts w:eastAsia="SimSun"/>
                <w:sz w:val="18"/>
                <w:szCs w:val="18"/>
                <w:lang w:eastAsia="zh-CN"/>
              </w:rPr>
              <w:t> </w:t>
            </w:r>
            <w:r w:rsidRPr="00F77964">
              <w:rPr>
                <w:rFonts w:eastAsia="SimSun"/>
                <w:sz w:val="18"/>
                <w:szCs w:val="18"/>
                <w:lang w:eastAsia="zh-CN"/>
              </w:rPr>
              <w:t>000</w:t>
            </w:r>
          </w:p>
        </w:tc>
      </w:tr>
      <w:tr w:rsidR="00D66005" w:rsidRPr="0061490E" w:rsidTr="00DD586B">
        <w:trPr>
          <w:trHeight w:val="419"/>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DD586B">
            <w:pPr>
              <w:rPr>
                <w:rFonts w:eastAsia="SimSun"/>
                <w:sz w:val="18"/>
                <w:szCs w:val="18"/>
                <w:lang w:eastAsia="zh-CN"/>
              </w:rPr>
            </w:pPr>
          </w:p>
        </w:tc>
        <w:tc>
          <w:tcPr>
            <w:tcW w:w="2929" w:type="dxa"/>
            <w:tcBorders>
              <w:top w:val="single" w:sz="4" w:space="0" w:color="auto"/>
              <w:left w:val="single" w:sz="4" w:space="0" w:color="auto"/>
              <w:bottom w:val="single" w:sz="4" w:space="0" w:color="auto"/>
              <w:right w:val="single" w:sz="4" w:space="0" w:color="auto"/>
            </w:tcBorders>
          </w:tcPr>
          <w:p w:rsidR="00D66005" w:rsidRPr="00F77964" w:rsidRDefault="006A3225" w:rsidP="00DD586B">
            <w:pPr>
              <w:pStyle w:val="Normal-pool"/>
              <w:spacing w:before="40" w:after="40"/>
              <w:rPr>
                <w:rFonts w:eastAsia="SimSun"/>
                <w:sz w:val="18"/>
                <w:szCs w:val="18"/>
                <w:lang w:eastAsia="zh-CN"/>
              </w:rPr>
            </w:pPr>
            <w:r w:rsidRPr="00F77964">
              <w:rPr>
                <w:rFonts w:eastAsia="SimSun"/>
                <w:sz w:val="18"/>
                <w:szCs w:val="18"/>
                <w:lang w:eastAsia="zh-CN"/>
              </w:rPr>
              <w:t>Appui technique</w:t>
            </w:r>
          </w:p>
        </w:tc>
        <w:tc>
          <w:tcPr>
            <w:tcW w:w="3147" w:type="dxa"/>
            <w:tcBorders>
              <w:top w:val="single" w:sz="4" w:space="0" w:color="auto"/>
              <w:left w:val="single" w:sz="4" w:space="0" w:color="auto"/>
              <w:bottom w:val="single" w:sz="4" w:space="0" w:color="auto"/>
              <w:right w:val="single" w:sz="4" w:space="0" w:color="auto"/>
            </w:tcBorders>
            <w:hideMark/>
          </w:tcPr>
          <w:p w:rsidR="00D66005" w:rsidRPr="00F77964" w:rsidRDefault="006A3225" w:rsidP="005C07D6">
            <w:pPr>
              <w:pStyle w:val="Normal-pool"/>
              <w:spacing w:before="40" w:after="40"/>
              <w:rPr>
                <w:rFonts w:eastAsia="SimSun"/>
                <w:sz w:val="18"/>
                <w:szCs w:val="18"/>
                <w:lang w:eastAsia="zh-CN"/>
              </w:rPr>
            </w:pPr>
            <w:r w:rsidRPr="00F77964">
              <w:rPr>
                <w:rFonts w:eastAsia="SimSun"/>
                <w:sz w:val="18"/>
                <w:szCs w:val="18"/>
                <w:lang w:eastAsia="zh-CN"/>
              </w:rPr>
              <w:t>2 postes d’administrateur équivalent plein temps (50 % en nature</w:t>
            </w:r>
            <w:r w:rsidR="00D66005" w:rsidRPr="00F77964">
              <w:rPr>
                <w:rFonts w:eastAsia="SimSun"/>
                <w:sz w:val="18"/>
                <w:szCs w:val="18"/>
                <w:lang w:eastAsia="zh-CN"/>
              </w:rPr>
              <w:t>)</w:t>
            </w:r>
          </w:p>
        </w:tc>
        <w:tc>
          <w:tcPr>
            <w:tcW w:w="1047" w:type="dxa"/>
            <w:tcBorders>
              <w:top w:val="single" w:sz="4" w:space="0" w:color="auto"/>
              <w:left w:val="single" w:sz="4" w:space="0" w:color="auto"/>
              <w:bottom w:val="single" w:sz="4" w:space="0" w:color="auto"/>
              <w:right w:val="single" w:sz="4" w:space="0" w:color="auto"/>
            </w:tcBorders>
            <w:hideMark/>
          </w:tcPr>
          <w:p w:rsidR="00D66005" w:rsidRPr="00F77964" w:rsidRDefault="00D66005" w:rsidP="005C07D6">
            <w:pPr>
              <w:pStyle w:val="Normal-pool"/>
              <w:spacing w:before="40" w:after="40"/>
              <w:jc w:val="right"/>
              <w:rPr>
                <w:rFonts w:eastAsia="SimSun"/>
                <w:sz w:val="18"/>
                <w:szCs w:val="18"/>
                <w:lang w:eastAsia="zh-CN"/>
              </w:rPr>
            </w:pPr>
            <w:r w:rsidRPr="00F77964">
              <w:rPr>
                <w:rFonts w:eastAsia="SimSun"/>
                <w:sz w:val="18"/>
                <w:szCs w:val="18"/>
                <w:lang w:eastAsia="zh-CN"/>
              </w:rPr>
              <w:t>150</w:t>
            </w:r>
            <w:r w:rsidR="005C07D6" w:rsidRPr="00F77964">
              <w:rPr>
                <w:rFonts w:eastAsia="SimSun"/>
                <w:sz w:val="18"/>
                <w:szCs w:val="18"/>
                <w:lang w:eastAsia="zh-CN"/>
              </w:rPr>
              <w:t> </w:t>
            </w:r>
            <w:r w:rsidRPr="00F77964">
              <w:rPr>
                <w:rFonts w:eastAsia="SimSun"/>
                <w:sz w:val="18"/>
                <w:szCs w:val="18"/>
                <w:lang w:eastAsia="zh-CN"/>
              </w:rPr>
              <w:t>000</w:t>
            </w:r>
          </w:p>
        </w:tc>
      </w:tr>
      <w:tr w:rsidR="00D66005" w:rsidRPr="0061490E" w:rsidTr="00DD586B">
        <w:tc>
          <w:tcPr>
            <w:tcW w:w="672"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DD586B">
            <w:pPr>
              <w:pStyle w:val="Normal-pool"/>
              <w:spacing w:before="40" w:after="40"/>
              <w:rPr>
                <w:rFonts w:eastAsia="SimSun"/>
                <w:sz w:val="18"/>
                <w:szCs w:val="18"/>
                <w:lang w:eastAsia="zh-CN"/>
              </w:rPr>
            </w:pPr>
            <w:r w:rsidRPr="00F77964">
              <w:rPr>
                <w:rFonts w:eastAsia="SimSun"/>
                <w:sz w:val="18"/>
                <w:szCs w:val="18"/>
                <w:lang w:eastAsia="zh-CN"/>
              </w:rPr>
              <w:t>2016</w:t>
            </w:r>
          </w:p>
        </w:tc>
        <w:tc>
          <w:tcPr>
            <w:tcW w:w="2929"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6A3225" w:rsidP="00DD586B">
            <w:pPr>
              <w:pStyle w:val="Normal-pool"/>
              <w:spacing w:before="40" w:after="40"/>
              <w:rPr>
                <w:rFonts w:eastAsia="SimSun"/>
                <w:sz w:val="18"/>
                <w:szCs w:val="18"/>
                <w:lang w:eastAsia="zh-CN"/>
              </w:rPr>
            </w:pPr>
            <w:r w:rsidRPr="00F77964">
              <w:rPr>
                <w:rFonts w:eastAsia="SimSun"/>
                <w:sz w:val="18"/>
                <w:szCs w:val="18"/>
                <w:lang w:eastAsia="zh-CN"/>
              </w:rPr>
              <w:t>Réunion de l’équipe spéciale</w:t>
            </w:r>
            <w:r w:rsidR="00D66005" w:rsidRPr="00F77964">
              <w:rPr>
                <w:rFonts w:eastAsia="SimSun"/>
                <w:sz w:val="18"/>
                <w:szCs w:val="18"/>
                <w:lang w:eastAsia="zh-CN"/>
              </w:rPr>
              <w:t xml:space="preserve"> (5</w:t>
            </w:r>
            <w:r w:rsidRPr="00F77964">
              <w:rPr>
                <w:rFonts w:eastAsia="SimSun"/>
                <w:sz w:val="18"/>
                <w:szCs w:val="18"/>
                <w:lang w:eastAsia="zh-CN"/>
              </w:rPr>
              <w:t xml:space="preserve"> membres du Groupe d’experts </w:t>
            </w:r>
            <w:r w:rsidR="00DD586B">
              <w:rPr>
                <w:rFonts w:eastAsia="SimSun"/>
                <w:sz w:val="18"/>
                <w:szCs w:val="18"/>
                <w:lang w:eastAsia="zh-CN"/>
              </w:rPr>
              <w:t>multidisciplinaire et du Bureau</w:t>
            </w:r>
            <w:r w:rsidR="00D972E8">
              <w:rPr>
                <w:rFonts w:eastAsia="SimSun"/>
                <w:sz w:val="18"/>
                <w:szCs w:val="18"/>
                <w:lang w:eastAsia="zh-CN"/>
              </w:rPr>
              <w:t xml:space="preserve"> + </w:t>
            </w:r>
            <w:r w:rsidRPr="00F77964">
              <w:rPr>
                <w:rFonts w:eastAsia="SimSun"/>
                <w:sz w:val="18"/>
                <w:szCs w:val="18"/>
                <w:lang w:eastAsia="zh-CN"/>
              </w:rPr>
              <w:t>20 experts/partenaires stratégiques</w:t>
            </w:r>
            <w:r w:rsidR="00D66005" w:rsidRPr="00F77964">
              <w:rPr>
                <w:rFonts w:eastAsia="SimSun"/>
                <w:sz w:val="18"/>
                <w:szCs w:val="18"/>
                <w:lang w:eastAsia="zh-CN"/>
              </w:rPr>
              <w:t>)</w:t>
            </w:r>
          </w:p>
        </w:tc>
        <w:tc>
          <w:tcPr>
            <w:tcW w:w="3147" w:type="dxa"/>
            <w:tcBorders>
              <w:top w:val="single" w:sz="4" w:space="0" w:color="auto"/>
              <w:left w:val="single" w:sz="4" w:space="0" w:color="auto"/>
              <w:bottom w:val="single" w:sz="4" w:space="0" w:color="auto"/>
              <w:right w:val="single" w:sz="4" w:space="0" w:color="auto"/>
            </w:tcBorders>
            <w:hideMark/>
          </w:tcPr>
          <w:p w:rsidR="00D66005" w:rsidRPr="00F77964" w:rsidRDefault="006A3225" w:rsidP="006A3225">
            <w:pPr>
              <w:pStyle w:val="Normal-pool"/>
              <w:spacing w:before="40" w:after="40"/>
              <w:rPr>
                <w:rFonts w:eastAsia="SimSun"/>
                <w:sz w:val="18"/>
                <w:szCs w:val="18"/>
                <w:lang w:eastAsia="zh-CN"/>
              </w:rPr>
            </w:pPr>
            <w:r w:rsidRPr="00F77964">
              <w:rPr>
                <w:rFonts w:eastAsia="SimSun"/>
                <w:sz w:val="18"/>
                <w:szCs w:val="18"/>
                <w:lang w:eastAsia="zh-CN"/>
              </w:rPr>
              <w:t>Coûts de la réunion</w:t>
            </w:r>
            <w:r w:rsidR="00D66005" w:rsidRPr="00F77964">
              <w:rPr>
                <w:rFonts w:eastAsia="SimSun"/>
                <w:sz w:val="18"/>
                <w:szCs w:val="18"/>
                <w:lang w:eastAsia="zh-CN"/>
              </w:rPr>
              <w:t xml:space="preserve"> (1</w:t>
            </w:r>
            <w:r w:rsidRPr="00F77964">
              <w:rPr>
                <w:rFonts w:eastAsia="SimSun"/>
                <w:sz w:val="18"/>
                <w:szCs w:val="18"/>
                <w:lang w:eastAsia="zh-CN"/>
              </w:rPr>
              <w:t> semaine, 25 participants</w:t>
            </w:r>
            <w:r w:rsidR="00D66005" w:rsidRPr="00F77964">
              <w:rPr>
                <w:rFonts w:eastAsia="SimSun"/>
                <w:sz w:val="18"/>
                <w:szCs w:val="18"/>
                <w:lang w:eastAsia="zh-CN"/>
              </w:rPr>
              <w:t>) (25</w:t>
            </w:r>
            <w:r w:rsidRPr="00F77964">
              <w:rPr>
                <w:rFonts w:eastAsia="SimSun"/>
                <w:sz w:val="18"/>
                <w:szCs w:val="18"/>
                <w:lang w:eastAsia="zh-CN"/>
              </w:rPr>
              <w:t> %</w:t>
            </w:r>
            <w:r w:rsidR="00DD586B">
              <w:rPr>
                <w:rFonts w:eastAsia="SimSun"/>
                <w:sz w:val="18"/>
                <w:szCs w:val="18"/>
                <w:lang w:eastAsia="zh-CN"/>
              </w:rPr>
              <w:t xml:space="preserve"> en nature</w:t>
            </w:r>
            <w:r w:rsidR="00D66005" w:rsidRPr="00F77964">
              <w:rPr>
                <w:rFonts w:eastAsia="SimSun"/>
                <w:sz w:val="18"/>
                <w:szCs w:val="18"/>
                <w:lang w:eastAsia="zh-CN"/>
              </w:rPr>
              <w:t>)</w:t>
            </w:r>
          </w:p>
        </w:tc>
        <w:tc>
          <w:tcPr>
            <w:tcW w:w="1047" w:type="dxa"/>
            <w:tcBorders>
              <w:top w:val="single" w:sz="4" w:space="0" w:color="auto"/>
              <w:left w:val="single" w:sz="4" w:space="0" w:color="auto"/>
              <w:bottom w:val="single" w:sz="4" w:space="0" w:color="auto"/>
              <w:right w:val="single" w:sz="4" w:space="0" w:color="auto"/>
            </w:tcBorders>
            <w:hideMark/>
          </w:tcPr>
          <w:p w:rsidR="00D66005" w:rsidRPr="00F77964" w:rsidRDefault="00D66005" w:rsidP="005C07D6">
            <w:pPr>
              <w:pStyle w:val="Normal-pool"/>
              <w:spacing w:before="40" w:after="40"/>
              <w:jc w:val="right"/>
              <w:rPr>
                <w:rFonts w:eastAsia="SimSun"/>
                <w:sz w:val="18"/>
                <w:szCs w:val="18"/>
                <w:lang w:eastAsia="zh-CN"/>
              </w:rPr>
            </w:pPr>
            <w:r w:rsidRPr="00F77964">
              <w:rPr>
                <w:rFonts w:eastAsia="SimSun"/>
                <w:sz w:val="18"/>
                <w:szCs w:val="18"/>
                <w:lang w:eastAsia="zh-CN"/>
              </w:rPr>
              <w:t>7</w:t>
            </w:r>
            <w:r w:rsidR="005C07D6" w:rsidRPr="00F77964">
              <w:rPr>
                <w:rFonts w:eastAsia="SimSun"/>
                <w:sz w:val="18"/>
                <w:szCs w:val="18"/>
                <w:lang w:eastAsia="zh-CN"/>
              </w:rPr>
              <w:t> </w:t>
            </w:r>
            <w:r w:rsidRPr="00F77964">
              <w:rPr>
                <w:rFonts w:eastAsia="SimSun"/>
                <w:sz w:val="18"/>
                <w:szCs w:val="18"/>
                <w:lang w:eastAsia="zh-CN"/>
              </w:rPr>
              <w:t>500</w:t>
            </w:r>
          </w:p>
        </w:tc>
      </w:tr>
      <w:tr w:rsidR="00D66005" w:rsidRPr="0061490E" w:rsidTr="00DD586B">
        <w:trPr>
          <w:trHeight w:val="339"/>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DD586B">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DD586B">
            <w:pPr>
              <w:rPr>
                <w:rFonts w:eastAsia="SimSun"/>
                <w:sz w:val="18"/>
                <w:szCs w:val="18"/>
                <w:lang w:eastAsia="zh-CN"/>
              </w:rPr>
            </w:pPr>
          </w:p>
        </w:tc>
        <w:tc>
          <w:tcPr>
            <w:tcW w:w="3147" w:type="dxa"/>
            <w:tcBorders>
              <w:top w:val="single" w:sz="4" w:space="0" w:color="auto"/>
              <w:left w:val="single" w:sz="4" w:space="0" w:color="auto"/>
              <w:bottom w:val="single" w:sz="4" w:space="0" w:color="auto"/>
              <w:right w:val="single" w:sz="4" w:space="0" w:color="auto"/>
            </w:tcBorders>
            <w:hideMark/>
          </w:tcPr>
          <w:p w:rsidR="00D66005" w:rsidRPr="00F77964" w:rsidRDefault="00D972E8" w:rsidP="00612DA5">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00D66005" w:rsidRPr="00F77964">
              <w:rPr>
                <w:rFonts w:eastAsia="SimSun"/>
                <w:sz w:val="18"/>
                <w:szCs w:val="18"/>
                <w:lang w:eastAsia="zh-CN"/>
              </w:rPr>
              <w:t xml:space="preserve"> (5 x 3</w:t>
            </w:r>
            <w:r w:rsidR="006A3225" w:rsidRPr="00F77964">
              <w:rPr>
                <w:rFonts w:eastAsia="SimSun"/>
                <w:sz w:val="18"/>
                <w:szCs w:val="18"/>
                <w:lang w:eastAsia="zh-CN"/>
              </w:rPr>
              <w:t> </w:t>
            </w:r>
            <w:r w:rsidR="00D66005" w:rsidRPr="00F77964">
              <w:rPr>
                <w:rFonts w:eastAsia="SimSun"/>
                <w:sz w:val="18"/>
                <w:szCs w:val="18"/>
                <w:lang w:eastAsia="zh-CN"/>
              </w:rPr>
              <w:t>000</w:t>
            </w:r>
            <w:r w:rsidR="005C07D6" w:rsidRPr="00F77964">
              <w:rPr>
                <w:rFonts w:eastAsia="SimSun"/>
                <w:sz w:val="18"/>
                <w:szCs w:val="18"/>
                <w:lang w:eastAsia="zh-CN"/>
              </w:rPr>
              <w:t> dollars)</w:t>
            </w:r>
          </w:p>
        </w:tc>
        <w:tc>
          <w:tcPr>
            <w:tcW w:w="1047" w:type="dxa"/>
            <w:tcBorders>
              <w:top w:val="single" w:sz="4" w:space="0" w:color="auto"/>
              <w:left w:val="single" w:sz="4" w:space="0" w:color="auto"/>
              <w:bottom w:val="single" w:sz="4" w:space="0" w:color="auto"/>
              <w:right w:val="single" w:sz="4" w:space="0" w:color="auto"/>
            </w:tcBorders>
            <w:hideMark/>
          </w:tcPr>
          <w:p w:rsidR="00D66005" w:rsidRPr="00F77964" w:rsidRDefault="00D66005" w:rsidP="005C07D6">
            <w:pPr>
              <w:pStyle w:val="Normal-pool"/>
              <w:spacing w:before="40" w:after="40"/>
              <w:jc w:val="right"/>
              <w:rPr>
                <w:rFonts w:eastAsia="SimSun"/>
                <w:sz w:val="18"/>
                <w:szCs w:val="18"/>
                <w:lang w:eastAsia="zh-CN"/>
              </w:rPr>
            </w:pPr>
            <w:r w:rsidRPr="00F77964">
              <w:rPr>
                <w:rFonts w:eastAsia="SimSun"/>
                <w:sz w:val="18"/>
                <w:szCs w:val="18"/>
                <w:lang w:eastAsia="zh-CN"/>
              </w:rPr>
              <w:t>15</w:t>
            </w:r>
            <w:r w:rsidR="005C07D6" w:rsidRPr="00F77964">
              <w:rPr>
                <w:rFonts w:eastAsia="SimSun"/>
                <w:sz w:val="18"/>
                <w:szCs w:val="18"/>
                <w:lang w:eastAsia="zh-CN"/>
              </w:rPr>
              <w:t> </w:t>
            </w:r>
            <w:r w:rsidRPr="00F77964">
              <w:rPr>
                <w:rFonts w:eastAsia="SimSun"/>
                <w:sz w:val="18"/>
                <w:szCs w:val="18"/>
                <w:lang w:eastAsia="zh-CN"/>
              </w:rPr>
              <w:t>000</w:t>
            </w:r>
          </w:p>
        </w:tc>
      </w:tr>
      <w:tr w:rsidR="00D66005" w:rsidRPr="0061490E" w:rsidTr="00DD586B">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DD586B">
            <w:pPr>
              <w:rPr>
                <w:rFonts w:eastAsia="SimSun"/>
                <w:sz w:val="18"/>
                <w:szCs w:val="18"/>
                <w:lang w:eastAsia="zh-CN"/>
              </w:rPr>
            </w:pPr>
          </w:p>
        </w:tc>
        <w:tc>
          <w:tcPr>
            <w:tcW w:w="2929"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6A3225" w:rsidP="00DD586B">
            <w:pPr>
              <w:pStyle w:val="Normal-pool"/>
              <w:spacing w:before="40" w:after="40"/>
              <w:rPr>
                <w:rFonts w:eastAsia="SimSun"/>
                <w:sz w:val="18"/>
                <w:szCs w:val="18"/>
                <w:lang w:eastAsia="zh-CN"/>
              </w:rPr>
            </w:pPr>
            <w:r w:rsidRPr="00F77964">
              <w:rPr>
                <w:rFonts w:eastAsia="SimSun"/>
                <w:sz w:val="18"/>
                <w:szCs w:val="18"/>
                <w:lang w:eastAsia="zh-CN"/>
              </w:rPr>
              <w:t>Réunion du forum</w:t>
            </w:r>
            <w:r w:rsidR="00D972E8">
              <w:rPr>
                <w:rFonts w:eastAsia="SimSun"/>
                <w:sz w:val="18"/>
                <w:szCs w:val="18"/>
                <w:lang w:eastAsia="zh-CN"/>
              </w:rPr>
              <w:t xml:space="preserve"> </w:t>
            </w:r>
            <w:r w:rsidR="00D66005" w:rsidRPr="00F77964">
              <w:rPr>
                <w:rFonts w:eastAsia="SimSun"/>
                <w:sz w:val="18"/>
                <w:szCs w:val="18"/>
                <w:lang w:eastAsia="zh-CN"/>
              </w:rPr>
              <w:t>(50</w:t>
            </w:r>
            <w:r w:rsidRPr="00F77964">
              <w:rPr>
                <w:rFonts w:eastAsia="SimSun"/>
                <w:sz w:val="18"/>
                <w:szCs w:val="18"/>
                <w:lang w:eastAsia="zh-CN"/>
              </w:rPr>
              <w:t> </w:t>
            </w:r>
            <w:r w:rsidR="00D66005" w:rsidRPr="00F77964">
              <w:rPr>
                <w:rFonts w:eastAsia="SimSun"/>
                <w:sz w:val="18"/>
                <w:szCs w:val="18"/>
                <w:lang w:eastAsia="zh-CN"/>
              </w:rPr>
              <w:t>participants,</w:t>
            </w:r>
            <w:r w:rsidR="00D972E8">
              <w:rPr>
                <w:rFonts w:eastAsia="SimSun"/>
                <w:sz w:val="18"/>
                <w:szCs w:val="18"/>
                <w:lang w:eastAsia="zh-CN"/>
              </w:rPr>
              <w:t xml:space="preserve"> </w:t>
            </w:r>
            <w:r w:rsidR="00D66005" w:rsidRPr="00F77964">
              <w:rPr>
                <w:rFonts w:eastAsia="SimSun"/>
                <w:sz w:val="18"/>
                <w:szCs w:val="18"/>
                <w:lang w:eastAsia="zh-CN"/>
              </w:rPr>
              <w:t>25</w:t>
            </w:r>
            <w:r w:rsidRPr="00F77964">
              <w:rPr>
                <w:rFonts w:eastAsia="SimSun"/>
                <w:sz w:val="18"/>
                <w:szCs w:val="18"/>
                <w:lang w:eastAsia="zh-CN"/>
              </w:rPr>
              <w:t> financés</w:t>
            </w:r>
            <w:r w:rsidR="00D66005" w:rsidRPr="00F77964">
              <w:rPr>
                <w:rFonts w:eastAsia="SimSun"/>
                <w:sz w:val="18"/>
                <w:szCs w:val="18"/>
                <w:lang w:eastAsia="zh-CN"/>
              </w:rPr>
              <w:t>)</w:t>
            </w:r>
          </w:p>
        </w:tc>
        <w:tc>
          <w:tcPr>
            <w:tcW w:w="3147" w:type="dxa"/>
            <w:tcBorders>
              <w:top w:val="single" w:sz="4" w:space="0" w:color="auto"/>
              <w:left w:val="single" w:sz="4" w:space="0" w:color="auto"/>
              <w:bottom w:val="single" w:sz="4" w:space="0" w:color="auto"/>
              <w:right w:val="single" w:sz="4" w:space="0" w:color="auto"/>
            </w:tcBorders>
            <w:hideMark/>
          </w:tcPr>
          <w:p w:rsidR="00D66005" w:rsidRPr="00F77964" w:rsidRDefault="006A3225" w:rsidP="006A3225">
            <w:pPr>
              <w:pStyle w:val="Normal-pool"/>
              <w:spacing w:before="40" w:after="40"/>
              <w:rPr>
                <w:rFonts w:eastAsia="SimSun"/>
                <w:sz w:val="18"/>
                <w:szCs w:val="18"/>
                <w:lang w:eastAsia="zh-CN"/>
              </w:rPr>
            </w:pPr>
            <w:r w:rsidRPr="00F77964">
              <w:rPr>
                <w:rFonts w:eastAsia="SimSun"/>
                <w:sz w:val="18"/>
                <w:szCs w:val="18"/>
                <w:lang w:eastAsia="zh-CN"/>
              </w:rPr>
              <w:t>Coûts de la réunion</w:t>
            </w:r>
            <w:r w:rsidR="00D66005" w:rsidRPr="00F77964">
              <w:rPr>
                <w:rFonts w:eastAsia="SimSun"/>
                <w:sz w:val="18"/>
                <w:szCs w:val="18"/>
                <w:lang w:eastAsia="zh-CN"/>
              </w:rPr>
              <w:t xml:space="preserve"> (1</w:t>
            </w:r>
            <w:r w:rsidRPr="00F77964">
              <w:rPr>
                <w:rFonts w:eastAsia="SimSun"/>
                <w:sz w:val="18"/>
                <w:szCs w:val="18"/>
                <w:lang w:eastAsia="zh-CN"/>
              </w:rPr>
              <w:t> semaine,</w:t>
            </w:r>
            <w:r w:rsidR="00D972E8">
              <w:rPr>
                <w:rFonts w:eastAsia="SimSun"/>
                <w:sz w:val="18"/>
                <w:szCs w:val="18"/>
                <w:lang w:eastAsia="zh-CN"/>
              </w:rPr>
              <w:t xml:space="preserve"> </w:t>
            </w:r>
            <w:r w:rsidR="00D66005" w:rsidRPr="00F77964">
              <w:rPr>
                <w:rFonts w:eastAsia="SimSun"/>
                <w:sz w:val="18"/>
                <w:szCs w:val="18"/>
                <w:lang w:eastAsia="zh-CN"/>
              </w:rPr>
              <w:t>50</w:t>
            </w:r>
            <w:r w:rsidRPr="00F77964">
              <w:rPr>
                <w:rFonts w:eastAsia="SimSun"/>
                <w:sz w:val="18"/>
                <w:szCs w:val="18"/>
                <w:lang w:eastAsia="zh-CN"/>
              </w:rPr>
              <w:t> </w:t>
            </w:r>
            <w:r w:rsidR="00D66005" w:rsidRPr="00F77964">
              <w:rPr>
                <w:rFonts w:eastAsia="SimSun"/>
                <w:sz w:val="18"/>
                <w:szCs w:val="18"/>
                <w:lang w:eastAsia="zh-CN"/>
              </w:rPr>
              <w:t>participants) (25</w:t>
            </w:r>
            <w:r w:rsidRPr="00F77964">
              <w:rPr>
                <w:rFonts w:eastAsia="SimSun"/>
                <w:sz w:val="18"/>
                <w:szCs w:val="18"/>
                <w:lang w:eastAsia="zh-CN"/>
              </w:rPr>
              <w:t> % en nature</w:t>
            </w:r>
            <w:r w:rsidR="00D66005" w:rsidRPr="00F77964">
              <w:rPr>
                <w:rFonts w:eastAsia="SimSun"/>
                <w:sz w:val="18"/>
                <w:szCs w:val="18"/>
                <w:lang w:eastAsia="zh-CN"/>
              </w:rPr>
              <w:t>)</w:t>
            </w:r>
          </w:p>
        </w:tc>
        <w:tc>
          <w:tcPr>
            <w:tcW w:w="1047" w:type="dxa"/>
            <w:tcBorders>
              <w:top w:val="single" w:sz="4" w:space="0" w:color="auto"/>
              <w:left w:val="single" w:sz="4" w:space="0" w:color="auto"/>
              <w:bottom w:val="single" w:sz="4" w:space="0" w:color="auto"/>
              <w:right w:val="single" w:sz="4" w:space="0" w:color="auto"/>
            </w:tcBorders>
            <w:hideMark/>
          </w:tcPr>
          <w:p w:rsidR="00D66005" w:rsidRPr="00F77964" w:rsidRDefault="00D66005" w:rsidP="005C07D6">
            <w:pPr>
              <w:pStyle w:val="Normal-pool"/>
              <w:spacing w:before="40" w:after="40"/>
              <w:jc w:val="right"/>
              <w:rPr>
                <w:rFonts w:eastAsia="SimSun"/>
                <w:sz w:val="18"/>
                <w:szCs w:val="18"/>
                <w:lang w:eastAsia="zh-CN"/>
              </w:rPr>
            </w:pPr>
            <w:r w:rsidRPr="00F77964">
              <w:rPr>
                <w:rFonts w:eastAsia="SimSun"/>
                <w:sz w:val="18"/>
                <w:szCs w:val="18"/>
                <w:lang w:eastAsia="zh-CN"/>
              </w:rPr>
              <w:t>11</w:t>
            </w:r>
            <w:r w:rsidR="005C07D6" w:rsidRPr="00F77964">
              <w:rPr>
                <w:rFonts w:eastAsia="SimSun"/>
                <w:sz w:val="18"/>
                <w:szCs w:val="18"/>
                <w:lang w:eastAsia="zh-CN"/>
              </w:rPr>
              <w:t> </w:t>
            </w:r>
            <w:r w:rsidRPr="00F77964">
              <w:rPr>
                <w:rFonts w:eastAsia="SimSun"/>
                <w:sz w:val="18"/>
                <w:szCs w:val="18"/>
                <w:lang w:eastAsia="zh-CN"/>
              </w:rPr>
              <w:t>250</w:t>
            </w:r>
          </w:p>
        </w:tc>
      </w:tr>
      <w:tr w:rsidR="00D66005" w:rsidRPr="0061490E" w:rsidTr="00DD586B">
        <w:trPr>
          <w:trHeight w:val="109"/>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DD586B">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DD586B">
            <w:pPr>
              <w:rPr>
                <w:rFonts w:eastAsia="SimSun"/>
                <w:sz w:val="18"/>
                <w:szCs w:val="18"/>
                <w:lang w:eastAsia="zh-CN"/>
              </w:rPr>
            </w:pPr>
          </w:p>
        </w:tc>
        <w:tc>
          <w:tcPr>
            <w:tcW w:w="3147" w:type="dxa"/>
            <w:tcBorders>
              <w:top w:val="single" w:sz="4" w:space="0" w:color="auto"/>
              <w:left w:val="single" w:sz="4" w:space="0" w:color="auto"/>
              <w:bottom w:val="single" w:sz="4" w:space="0" w:color="auto"/>
              <w:right w:val="single" w:sz="4" w:space="0" w:color="auto"/>
            </w:tcBorders>
            <w:hideMark/>
          </w:tcPr>
          <w:p w:rsidR="00D66005" w:rsidRPr="00F77964" w:rsidRDefault="00D972E8" w:rsidP="005C07D6">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006A3225" w:rsidRPr="00F77964">
              <w:rPr>
                <w:rFonts w:eastAsia="SimSun"/>
                <w:sz w:val="18"/>
                <w:szCs w:val="18"/>
                <w:lang w:eastAsia="zh-CN"/>
              </w:rPr>
              <w:t xml:space="preserve"> </w:t>
            </w:r>
            <w:r w:rsidR="00D66005" w:rsidRPr="00F77964">
              <w:rPr>
                <w:rFonts w:eastAsia="SimSun"/>
                <w:sz w:val="18"/>
                <w:szCs w:val="18"/>
                <w:lang w:eastAsia="zh-CN"/>
              </w:rPr>
              <w:t>(25 x 3</w:t>
            </w:r>
            <w:r w:rsidR="006A3225" w:rsidRPr="00F77964">
              <w:rPr>
                <w:rFonts w:eastAsia="SimSun"/>
                <w:sz w:val="18"/>
                <w:szCs w:val="18"/>
                <w:lang w:eastAsia="zh-CN"/>
              </w:rPr>
              <w:t> </w:t>
            </w:r>
            <w:r w:rsidR="00D66005" w:rsidRPr="00F77964">
              <w:rPr>
                <w:rFonts w:eastAsia="SimSun"/>
                <w:sz w:val="18"/>
                <w:szCs w:val="18"/>
                <w:lang w:eastAsia="zh-CN"/>
              </w:rPr>
              <w:t>000</w:t>
            </w:r>
            <w:r w:rsidR="005C07D6" w:rsidRPr="00F77964">
              <w:rPr>
                <w:rFonts w:eastAsia="SimSun"/>
                <w:sz w:val="18"/>
                <w:szCs w:val="18"/>
                <w:lang w:eastAsia="zh-CN"/>
              </w:rPr>
              <w:t> dollars)</w:t>
            </w:r>
          </w:p>
        </w:tc>
        <w:tc>
          <w:tcPr>
            <w:tcW w:w="1047" w:type="dxa"/>
            <w:tcBorders>
              <w:top w:val="single" w:sz="4" w:space="0" w:color="auto"/>
              <w:left w:val="single" w:sz="4" w:space="0" w:color="auto"/>
              <w:bottom w:val="single" w:sz="4" w:space="0" w:color="auto"/>
              <w:right w:val="single" w:sz="4" w:space="0" w:color="auto"/>
            </w:tcBorders>
            <w:hideMark/>
          </w:tcPr>
          <w:p w:rsidR="00D66005" w:rsidRPr="00F77964" w:rsidRDefault="00D66005" w:rsidP="005C07D6">
            <w:pPr>
              <w:pStyle w:val="Normal-pool"/>
              <w:spacing w:before="40" w:after="40"/>
              <w:jc w:val="right"/>
              <w:rPr>
                <w:rFonts w:eastAsia="SimSun"/>
                <w:sz w:val="18"/>
                <w:szCs w:val="18"/>
                <w:lang w:eastAsia="zh-CN"/>
              </w:rPr>
            </w:pPr>
            <w:r w:rsidRPr="00F77964">
              <w:rPr>
                <w:rFonts w:eastAsia="SimSun"/>
                <w:sz w:val="18"/>
                <w:szCs w:val="18"/>
                <w:lang w:eastAsia="zh-CN"/>
              </w:rPr>
              <w:t>75</w:t>
            </w:r>
            <w:r w:rsidR="005C07D6" w:rsidRPr="00F77964">
              <w:rPr>
                <w:rFonts w:eastAsia="SimSun"/>
                <w:sz w:val="18"/>
                <w:szCs w:val="18"/>
                <w:lang w:eastAsia="zh-CN"/>
              </w:rPr>
              <w:t> </w:t>
            </w:r>
            <w:r w:rsidRPr="00F77964">
              <w:rPr>
                <w:rFonts w:eastAsia="SimSun"/>
                <w:sz w:val="18"/>
                <w:szCs w:val="18"/>
                <w:lang w:eastAsia="zh-CN"/>
              </w:rPr>
              <w:t>000</w:t>
            </w:r>
          </w:p>
        </w:tc>
      </w:tr>
      <w:tr w:rsidR="00D66005" w:rsidRPr="0061490E" w:rsidTr="00DD586B">
        <w:trPr>
          <w:trHeight w:val="419"/>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DD586B">
            <w:pPr>
              <w:rPr>
                <w:rFonts w:eastAsia="SimSun"/>
                <w:sz w:val="18"/>
                <w:szCs w:val="18"/>
                <w:lang w:eastAsia="zh-CN"/>
              </w:rPr>
            </w:pPr>
          </w:p>
        </w:tc>
        <w:tc>
          <w:tcPr>
            <w:tcW w:w="2929" w:type="dxa"/>
            <w:tcBorders>
              <w:top w:val="single" w:sz="4" w:space="0" w:color="auto"/>
              <w:left w:val="single" w:sz="4" w:space="0" w:color="auto"/>
              <w:bottom w:val="single" w:sz="4" w:space="0" w:color="auto"/>
              <w:right w:val="single" w:sz="4" w:space="0" w:color="auto"/>
            </w:tcBorders>
          </w:tcPr>
          <w:p w:rsidR="00D66005" w:rsidRPr="00F77964" w:rsidRDefault="006A3225" w:rsidP="00DD586B">
            <w:pPr>
              <w:pStyle w:val="Normal-pool"/>
              <w:spacing w:before="40" w:after="40"/>
              <w:rPr>
                <w:rFonts w:eastAsia="SimSun"/>
                <w:sz w:val="18"/>
                <w:szCs w:val="18"/>
                <w:lang w:eastAsia="zh-CN"/>
              </w:rPr>
            </w:pPr>
            <w:r w:rsidRPr="00F77964">
              <w:rPr>
                <w:rFonts w:eastAsia="SimSun"/>
                <w:sz w:val="18"/>
                <w:szCs w:val="18"/>
                <w:lang w:eastAsia="zh-CN"/>
              </w:rPr>
              <w:t>Appui technique</w:t>
            </w:r>
          </w:p>
        </w:tc>
        <w:tc>
          <w:tcPr>
            <w:tcW w:w="3147" w:type="dxa"/>
            <w:tcBorders>
              <w:top w:val="single" w:sz="4" w:space="0" w:color="auto"/>
              <w:left w:val="single" w:sz="4" w:space="0" w:color="auto"/>
              <w:bottom w:val="single" w:sz="4" w:space="0" w:color="auto"/>
              <w:right w:val="single" w:sz="4" w:space="0" w:color="auto"/>
            </w:tcBorders>
            <w:hideMark/>
          </w:tcPr>
          <w:p w:rsidR="00D66005" w:rsidRPr="00F77964" w:rsidRDefault="00D66005" w:rsidP="005F48A5">
            <w:pPr>
              <w:pStyle w:val="Normal-pool"/>
              <w:spacing w:before="40" w:after="40"/>
              <w:rPr>
                <w:rFonts w:eastAsia="SimSun"/>
                <w:sz w:val="18"/>
                <w:szCs w:val="18"/>
                <w:lang w:eastAsia="zh-CN"/>
              </w:rPr>
            </w:pPr>
            <w:r w:rsidRPr="00F77964">
              <w:rPr>
                <w:rFonts w:eastAsia="SimSun"/>
                <w:sz w:val="18"/>
                <w:szCs w:val="18"/>
                <w:lang w:eastAsia="zh-CN"/>
              </w:rPr>
              <w:t>2</w:t>
            </w:r>
            <w:r w:rsidR="006A3225" w:rsidRPr="00F77964">
              <w:rPr>
                <w:rFonts w:eastAsia="SimSun"/>
                <w:sz w:val="18"/>
                <w:szCs w:val="18"/>
                <w:lang w:eastAsia="zh-CN"/>
              </w:rPr>
              <w:t> postes d’administrateur équivalent plein temps</w:t>
            </w:r>
            <w:r w:rsidRPr="00F77964">
              <w:rPr>
                <w:rFonts w:eastAsia="SimSun"/>
                <w:sz w:val="18"/>
                <w:szCs w:val="18"/>
                <w:lang w:eastAsia="zh-CN"/>
              </w:rPr>
              <w:t xml:space="preserve"> (50</w:t>
            </w:r>
            <w:r w:rsidR="006A3225" w:rsidRPr="00F77964">
              <w:rPr>
                <w:rFonts w:eastAsia="SimSun"/>
                <w:sz w:val="18"/>
                <w:szCs w:val="18"/>
                <w:lang w:eastAsia="zh-CN"/>
              </w:rPr>
              <w:t> % en nature</w:t>
            </w:r>
            <w:r w:rsidRPr="00F77964">
              <w:rPr>
                <w:rFonts w:eastAsia="SimSun"/>
                <w:sz w:val="18"/>
                <w:szCs w:val="18"/>
                <w:lang w:eastAsia="zh-CN"/>
              </w:rPr>
              <w:t>)</w:t>
            </w:r>
          </w:p>
        </w:tc>
        <w:tc>
          <w:tcPr>
            <w:tcW w:w="1047" w:type="dxa"/>
            <w:tcBorders>
              <w:top w:val="single" w:sz="4" w:space="0" w:color="auto"/>
              <w:left w:val="single" w:sz="4" w:space="0" w:color="auto"/>
              <w:bottom w:val="single" w:sz="4" w:space="0" w:color="auto"/>
              <w:right w:val="single" w:sz="4" w:space="0" w:color="auto"/>
            </w:tcBorders>
            <w:hideMark/>
          </w:tcPr>
          <w:p w:rsidR="00D66005" w:rsidRPr="00F77964" w:rsidRDefault="00D66005" w:rsidP="005C07D6">
            <w:pPr>
              <w:pStyle w:val="Normal-pool"/>
              <w:spacing w:before="40" w:after="40"/>
              <w:jc w:val="right"/>
              <w:rPr>
                <w:rFonts w:eastAsia="SimSun"/>
                <w:sz w:val="18"/>
                <w:szCs w:val="18"/>
                <w:lang w:eastAsia="zh-CN"/>
              </w:rPr>
            </w:pPr>
            <w:r w:rsidRPr="00F77964">
              <w:rPr>
                <w:rFonts w:eastAsia="SimSun"/>
                <w:sz w:val="18"/>
                <w:szCs w:val="18"/>
                <w:lang w:eastAsia="zh-CN"/>
              </w:rPr>
              <w:t>150</w:t>
            </w:r>
            <w:r w:rsidR="005C07D6" w:rsidRPr="00F77964">
              <w:rPr>
                <w:rFonts w:eastAsia="SimSun"/>
                <w:sz w:val="18"/>
                <w:szCs w:val="18"/>
                <w:lang w:eastAsia="zh-CN"/>
              </w:rPr>
              <w:t> </w:t>
            </w:r>
            <w:r w:rsidRPr="00F77964">
              <w:rPr>
                <w:rFonts w:eastAsia="SimSun"/>
                <w:sz w:val="18"/>
                <w:szCs w:val="18"/>
                <w:lang w:eastAsia="zh-CN"/>
              </w:rPr>
              <w:t>000</w:t>
            </w:r>
          </w:p>
        </w:tc>
      </w:tr>
      <w:tr w:rsidR="00D66005" w:rsidRPr="0061490E" w:rsidTr="008C298F">
        <w:tc>
          <w:tcPr>
            <w:tcW w:w="672"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8C298F">
            <w:pPr>
              <w:pStyle w:val="Normal-pool"/>
              <w:spacing w:before="40" w:after="40"/>
              <w:rPr>
                <w:rFonts w:eastAsia="SimSun"/>
                <w:sz w:val="18"/>
                <w:szCs w:val="18"/>
                <w:lang w:eastAsia="zh-CN"/>
              </w:rPr>
            </w:pPr>
            <w:r w:rsidRPr="00F77964">
              <w:rPr>
                <w:rFonts w:eastAsia="SimSun"/>
                <w:sz w:val="18"/>
                <w:szCs w:val="18"/>
                <w:lang w:eastAsia="zh-CN"/>
              </w:rPr>
              <w:t>2017</w:t>
            </w:r>
          </w:p>
        </w:tc>
        <w:tc>
          <w:tcPr>
            <w:tcW w:w="2929"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71230C" w:rsidP="008C298F">
            <w:pPr>
              <w:pStyle w:val="Normal-pool"/>
              <w:spacing w:before="40" w:after="40"/>
              <w:rPr>
                <w:rFonts w:eastAsia="SimSun"/>
                <w:sz w:val="18"/>
                <w:szCs w:val="18"/>
                <w:lang w:eastAsia="zh-CN"/>
              </w:rPr>
            </w:pPr>
            <w:r w:rsidRPr="00F77964">
              <w:rPr>
                <w:rFonts w:eastAsia="SimSun"/>
                <w:sz w:val="18"/>
                <w:szCs w:val="18"/>
                <w:lang w:eastAsia="zh-CN"/>
              </w:rPr>
              <w:t>Réunion de l’équipe spéciale</w:t>
            </w:r>
            <w:r w:rsidR="00D66005" w:rsidRPr="00F77964">
              <w:rPr>
                <w:rFonts w:eastAsia="SimSun"/>
                <w:sz w:val="18"/>
                <w:szCs w:val="18"/>
                <w:lang w:eastAsia="zh-CN"/>
              </w:rPr>
              <w:t xml:space="preserve"> (5</w:t>
            </w:r>
            <w:r w:rsidRPr="00F77964">
              <w:rPr>
                <w:rFonts w:eastAsia="SimSun"/>
                <w:sz w:val="18"/>
                <w:szCs w:val="18"/>
                <w:lang w:eastAsia="zh-CN"/>
              </w:rPr>
              <w:t> membres du Groupe d’experts multidisciplinaire et du Bureau</w:t>
            </w:r>
            <w:r w:rsidR="00340616">
              <w:rPr>
                <w:rFonts w:eastAsia="SimSun"/>
                <w:sz w:val="18"/>
                <w:szCs w:val="18"/>
                <w:lang w:eastAsia="zh-CN"/>
              </w:rPr>
              <w:t xml:space="preserve"> + </w:t>
            </w:r>
            <w:r w:rsidR="00D66005" w:rsidRPr="00F77964">
              <w:rPr>
                <w:rFonts w:eastAsia="SimSun"/>
                <w:sz w:val="18"/>
                <w:szCs w:val="18"/>
                <w:lang w:eastAsia="zh-CN"/>
              </w:rPr>
              <w:t>20</w:t>
            </w:r>
            <w:r w:rsidRPr="00F77964">
              <w:rPr>
                <w:rFonts w:eastAsia="SimSun"/>
                <w:sz w:val="18"/>
                <w:szCs w:val="18"/>
                <w:lang w:eastAsia="zh-CN"/>
              </w:rPr>
              <w:t> </w:t>
            </w:r>
            <w:r w:rsidR="00D66005" w:rsidRPr="00F77964">
              <w:rPr>
                <w:rFonts w:eastAsia="SimSun"/>
                <w:sz w:val="18"/>
                <w:szCs w:val="18"/>
                <w:lang w:eastAsia="zh-CN"/>
              </w:rPr>
              <w:t>experts/</w:t>
            </w:r>
            <w:r w:rsidRPr="00F77964">
              <w:rPr>
                <w:rFonts w:eastAsia="SimSun"/>
                <w:sz w:val="18"/>
                <w:szCs w:val="18"/>
                <w:lang w:eastAsia="zh-CN"/>
              </w:rPr>
              <w:t>partenaires stratégiques</w:t>
            </w:r>
            <w:r w:rsidR="00D66005" w:rsidRPr="00F77964">
              <w:rPr>
                <w:rFonts w:eastAsia="SimSun"/>
                <w:sz w:val="18"/>
                <w:szCs w:val="18"/>
                <w:lang w:eastAsia="zh-CN"/>
              </w:rPr>
              <w:t>)</w:t>
            </w:r>
          </w:p>
        </w:tc>
        <w:tc>
          <w:tcPr>
            <w:tcW w:w="3147" w:type="dxa"/>
            <w:tcBorders>
              <w:top w:val="single" w:sz="4" w:space="0" w:color="auto"/>
              <w:left w:val="single" w:sz="4" w:space="0" w:color="auto"/>
              <w:bottom w:val="single" w:sz="4" w:space="0" w:color="auto"/>
              <w:right w:val="single" w:sz="4" w:space="0" w:color="auto"/>
            </w:tcBorders>
            <w:hideMark/>
          </w:tcPr>
          <w:p w:rsidR="00D66005" w:rsidRPr="00F77964" w:rsidRDefault="0071230C" w:rsidP="0071230C">
            <w:pPr>
              <w:pStyle w:val="Normal-pool"/>
              <w:spacing w:before="40" w:after="40"/>
              <w:rPr>
                <w:rFonts w:eastAsia="SimSun"/>
                <w:sz w:val="18"/>
                <w:szCs w:val="18"/>
                <w:lang w:eastAsia="zh-CN"/>
              </w:rPr>
            </w:pPr>
            <w:r w:rsidRPr="00F77964">
              <w:rPr>
                <w:rFonts w:eastAsia="SimSun"/>
                <w:sz w:val="18"/>
                <w:szCs w:val="18"/>
                <w:lang w:eastAsia="zh-CN"/>
              </w:rPr>
              <w:t xml:space="preserve">Coûts de la </w:t>
            </w:r>
            <w:r w:rsidR="00B10062" w:rsidRPr="00F77964">
              <w:rPr>
                <w:rFonts w:eastAsia="SimSun"/>
                <w:sz w:val="18"/>
                <w:szCs w:val="18"/>
                <w:lang w:eastAsia="zh-CN"/>
              </w:rPr>
              <w:t>réunion</w:t>
            </w:r>
            <w:r w:rsidRPr="00F77964">
              <w:rPr>
                <w:rFonts w:eastAsia="SimSun"/>
                <w:sz w:val="18"/>
                <w:szCs w:val="18"/>
                <w:lang w:eastAsia="zh-CN"/>
              </w:rPr>
              <w:t xml:space="preserve"> (1 semaine, </w:t>
            </w:r>
            <w:r w:rsidR="00D66005" w:rsidRPr="00F77964">
              <w:rPr>
                <w:rFonts w:eastAsia="SimSun"/>
                <w:sz w:val="18"/>
                <w:szCs w:val="18"/>
                <w:lang w:eastAsia="zh-CN"/>
              </w:rPr>
              <w:t>25</w:t>
            </w:r>
            <w:r w:rsidRPr="00F77964">
              <w:rPr>
                <w:rFonts w:eastAsia="SimSun"/>
                <w:sz w:val="18"/>
                <w:szCs w:val="18"/>
                <w:lang w:eastAsia="zh-CN"/>
              </w:rPr>
              <w:t> </w:t>
            </w:r>
            <w:r w:rsidR="00D66005" w:rsidRPr="00F77964">
              <w:rPr>
                <w:rFonts w:eastAsia="SimSun"/>
                <w:sz w:val="18"/>
                <w:szCs w:val="18"/>
                <w:lang w:eastAsia="zh-CN"/>
              </w:rPr>
              <w:t>participants) (25</w:t>
            </w:r>
            <w:r w:rsidRPr="00F77964">
              <w:rPr>
                <w:rFonts w:eastAsia="SimSun"/>
                <w:sz w:val="18"/>
                <w:szCs w:val="18"/>
                <w:lang w:eastAsia="zh-CN"/>
              </w:rPr>
              <w:t> % en nature</w:t>
            </w:r>
            <w:r w:rsidR="00D66005" w:rsidRPr="00F77964">
              <w:rPr>
                <w:rFonts w:eastAsia="SimSun"/>
                <w:sz w:val="18"/>
                <w:szCs w:val="18"/>
                <w:lang w:eastAsia="zh-CN"/>
              </w:rPr>
              <w:t>)</w:t>
            </w:r>
          </w:p>
        </w:tc>
        <w:tc>
          <w:tcPr>
            <w:tcW w:w="1047" w:type="dxa"/>
            <w:tcBorders>
              <w:top w:val="single" w:sz="4" w:space="0" w:color="auto"/>
              <w:left w:val="single" w:sz="4" w:space="0" w:color="auto"/>
              <w:bottom w:val="single" w:sz="4" w:space="0" w:color="auto"/>
              <w:right w:val="single" w:sz="4" w:space="0" w:color="auto"/>
            </w:tcBorders>
            <w:hideMark/>
          </w:tcPr>
          <w:p w:rsidR="00D66005" w:rsidRPr="00F77964" w:rsidRDefault="00D66005" w:rsidP="005C07D6">
            <w:pPr>
              <w:pStyle w:val="Normal-pool"/>
              <w:spacing w:before="40" w:after="40"/>
              <w:jc w:val="right"/>
              <w:rPr>
                <w:rFonts w:eastAsia="SimSun"/>
                <w:sz w:val="18"/>
                <w:szCs w:val="18"/>
                <w:lang w:eastAsia="zh-CN"/>
              </w:rPr>
            </w:pPr>
            <w:r w:rsidRPr="00F77964">
              <w:rPr>
                <w:rFonts w:eastAsia="SimSun"/>
                <w:sz w:val="18"/>
                <w:szCs w:val="18"/>
                <w:lang w:eastAsia="zh-CN"/>
              </w:rPr>
              <w:t>7</w:t>
            </w:r>
            <w:r w:rsidR="005C07D6" w:rsidRPr="00F77964">
              <w:rPr>
                <w:rFonts w:eastAsia="SimSun"/>
                <w:sz w:val="18"/>
                <w:szCs w:val="18"/>
                <w:lang w:eastAsia="zh-CN"/>
              </w:rPr>
              <w:t> </w:t>
            </w:r>
            <w:r w:rsidRPr="00F77964">
              <w:rPr>
                <w:rFonts w:eastAsia="SimSun"/>
                <w:sz w:val="18"/>
                <w:szCs w:val="18"/>
                <w:lang w:eastAsia="zh-CN"/>
              </w:rPr>
              <w:t>500</w:t>
            </w:r>
          </w:p>
        </w:tc>
      </w:tr>
      <w:tr w:rsidR="00D66005" w:rsidRPr="0061490E" w:rsidTr="008C298F">
        <w:trPr>
          <w:trHeight w:val="331"/>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8C298F">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8C298F">
            <w:pPr>
              <w:rPr>
                <w:rFonts w:eastAsia="SimSun"/>
                <w:sz w:val="18"/>
                <w:szCs w:val="18"/>
                <w:lang w:eastAsia="zh-CN"/>
              </w:rPr>
            </w:pPr>
          </w:p>
        </w:tc>
        <w:tc>
          <w:tcPr>
            <w:tcW w:w="3147" w:type="dxa"/>
            <w:tcBorders>
              <w:top w:val="single" w:sz="4" w:space="0" w:color="auto"/>
              <w:left w:val="single" w:sz="4" w:space="0" w:color="auto"/>
              <w:bottom w:val="single" w:sz="4" w:space="0" w:color="auto"/>
              <w:right w:val="single" w:sz="4" w:space="0" w:color="auto"/>
            </w:tcBorders>
            <w:hideMark/>
          </w:tcPr>
          <w:p w:rsidR="00D66005" w:rsidRPr="00F77964" w:rsidRDefault="00D972E8" w:rsidP="005F48A5">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00D66005" w:rsidRPr="00F77964">
              <w:rPr>
                <w:rFonts w:eastAsia="SimSun"/>
                <w:sz w:val="18"/>
                <w:szCs w:val="18"/>
                <w:lang w:eastAsia="zh-CN"/>
              </w:rPr>
              <w:t xml:space="preserve"> (5 x 3</w:t>
            </w:r>
            <w:r w:rsidR="0071230C" w:rsidRPr="00F77964">
              <w:rPr>
                <w:rFonts w:eastAsia="SimSun"/>
                <w:sz w:val="18"/>
                <w:szCs w:val="18"/>
                <w:lang w:eastAsia="zh-CN"/>
              </w:rPr>
              <w:t> </w:t>
            </w:r>
            <w:r w:rsidR="00D66005" w:rsidRPr="00F77964">
              <w:rPr>
                <w:rFonts w:eastAsia="SimSun"/>
                <w:sz w:val="18"/>
                <w:szCs w:val="18"/>
                <w:lang w:eastAsia="zh-CN"/>
              </w:rPr>
              <w:t>000</w:t>
            </w:r>
            <w:r w:rsidR="005C07D6" w:rsidRPr="00F77964">
              <w:rPr>
                <w:rFonts w:eastAsia="SimSun"/>
                <w:sz w:val="18"/>
                <w:szCs w:val="18"/>
                <w:lang w:eastAsia="zh-CN"/>
              </w:rPr>
              <w:t> dollars)</w:t>
            </w:r>
          </w:p>
        </w:tc>
        <w:tc>
          <w:tcPr>
            <w:tcW w:w="1047" w:type="dxa"/>
            <w:tcBorders>
              <w:top w:val="single" w:sz="4" w:space="0" w:color="auto"/>
              <w:left w:val="single" w:sz="4" w:space="0" w:color="auto"/>
              <w:bottom w:val="single" w:sz="4" w:space="0" w:color="auto"/>
              <w:right w:val="single" w:sz="4" w:space="0" w:color="auto"/>
            </w:tcBorders>
            <w:hideMark/>
          </w:tcPr>
          <w:p w:rsidR="00D66005" w:rsidRPr="00F77964" w:rsidRDefault="00D66005" w:rsidP="005C07D6">
            <w:pPr>
              <w:pStyle w:val="Normal-pool"/>
              <w:spacing w:before="40" w:after="40"/>
              <w:jc w:val="right"/>
              <w:rPr>
                <w:rFonts w:eastAsia="SimSun"/>
                <w:sz w:val="18"/>
                <w:szCs w:val="18"/>
                <w:lang w:eastAsia="zh-CN"/>
              </w:rPr>
            </w:pPr>
            <w:r w:rsidRPr="00F77964">
              <w:rPr>
                <w:rFonts w:eastAsia="SimSun"/>
                <w:sz w:val="18"/>
                <w:szCs w:val="18"/>
                <w:lang w:eastAsia="zh-CN"/>
              </w:rPr>
              <w:t>15</w:t>
            </w:r>
            <w:r w:rsidR="005C07D6" w:rsidRPr="00F77964">
              <w:rPr>
                <w:rFonts w:eastAsia="SimSun"/>
                <w:sz w:val="18"/>
                <w:szCs w:val="18"/>
                <w:lang w:eastAsia="zh-CN"/>
              </w:rPr>
              <w:t> </w:t>
            </w:r>
            <w:r w:rsidRPr="00F77964">
              <w:rPr>
                <w:rFonts w:eastAsia="SimSun"/>
                <w:sz w:val="18"/>
                <w:szCs w:val="18"/>
                <w:lang w:eastAsia="zh-CN"/>
              </w:rPr>
              <w:t>000</w:t>
            </w:r>
          </w:p>
        </w:tc>
      </w:tr>
      <w:tr w:rsidR="00D66005" w:rsidRPr="0061490E" w:rsidTr="008C298F">
        <w:trPr>
          <w:trHeight w:val="419"/>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8C298F">
            <w:pPr>
              <w:rPr>
                <w:rFonts w:eastAsia="SimSun"/>
                <w:sz w:val="18"/>
                <w:szCs w:val="18"/>
                <w:lang w:eastAsia="zh-CN"/>
              </w:rPr>
            </w:pPr>
          </w:p>
        </w:tc>
        <w:tc>
          <w:tcPr>
            <w:tcW w:w="2929" w:type="dxa"/>
            <w:tcBorders>
              <w:top w:val="single" w:sz="4" w:space="0" w:color="auto"/>
              <w:left w:val="single" w:sz="4" w:space="0" w:color="auto"/>
              <w:bottom w:val="single" w:sz="4" w:space="0" w:color="auto"/>
              <w:right w:val="single" w:sz="4" w:space="0" w:color="auto"/>
            </w:tcBorders>
          </w:tcPr>
          <w:p w:rsidR="00D66005" w:rsidRPr="00F77964" w:rsidRDefault="00B32843" w:rsidP="008C298F">
            <w:pPr>
              <w:pStyle w:val="Normal-pool"/>
              <w:spacing w:before="40" w:after="40"/>
              <w:rPr>
                <w:rFonts w:eastAsia="SimSun"/>
                <w:sz w:val="18"/>
                <w:szCs w:val="18"/>
                <w:lang w:eastAsia="zh-CN"/>
              </w:rPr>
            </w:pPr>
            <w:r w:rsidRPr="00F77964">
              <w:rPr>
                <w:rFonts w:eastAsia="SimSun"/>
                <w:sz w:val="18"/>
                <w:szCs w:val="18"/>
                <w:lang w:eastAsia="zh-CN"/>
              </w:rPr>
              <w:t>Appui technique</w:t>
            </w:r>
          </w:p>
        </w:tc>
        <w:tc>
          <w:tcPr>
            <w:tcW w:w="3147" w:type="dxa"/>
            <w:tcBorders>
              <w:top w:val="single" w:sz="4" w:space="0" w:color="auto"/>
              <w:left w:val="single" w:sz="4" w:space="0" w:color="auto"/>
              <w:bottom w:val="single" w:sz="4" w:space="0" w:color="auto"/>
              <w:right w:val="single" w:sz="4" w:space="0" w:color="auto"/>
            </w:tcBorders>
            <w:hideMark/>
          </w:tcPr>
          <w:p w:rsidR="00D66005" w:rsidRPr="00F77964" w:rsidRDefault="00D66005" w:rsidP="005C07D6">
            <w:pPr>
              <w:pStyle w:val="Normal-pool"/>
              <w:spacing w:before="40" w:after="40"/>
              <w:rPr>
                <w:rFonts w:eastAsia="SimSun"/>
                <w:sz w:val="18"/>
                <w:szCs w:val="18"/>
                <w:lang w:eastAsia="zh-CN"/>
              </w:rPr>
            </w:pPr>
            <w:r w:rsidRPr="00F77964">
              <w:rPr>
                <w:rFonts w:eastAsia="SimSun"/>
                <w:sz w:val="18"/>
                <w:szCs w:val="18"/>
                <w:lang w:eastAsia="zh-CN"/>
              </w:rPr>
              <w:t>2</w:t>
            </w:r>
            <w:r w:rsidR="00B32843" w:rsidRPr="00F77964">
              <w:rPr>
                <w:rFonts w:eastAsia="SimSun"/>
                <w:sz w:val="18"/>
                <w:szCs w:val="18"/>
                <w:lang w:eastAsia="zh-CN"/>
              </w:rPr>
              <w:t> postes d’administrateur équivalent plein temps (50 % en nature</w:t>
            </w:r>
            <w:r w:rsidRPr="00F77964">
              <w:rPr>
                <w:rFonts w:eastAsia="SimSun"/>
                <w:sz w:val="18"/>
                <w:szCs w:val="18"/>
                <w:lang w:eastAsia="zh-CN"/>
              </w:rPr>
              <w:t>)</w:t>
            </w:r>
          </w:p>
        </w:tc>
        <w:tc>
          <w:tcPr>
            <w:tcW w:w="1047" w:type="dxa"/>
            <w:tcBorders>
              <w:top w:val="single" w:sz="4" w:space="0" w:color="auto"/>
              <w:left w:val="single" w:sz="4" w:space="0" w:color="auto"/>
              <w:bottom w:val="single" w:sz="4" w:space="0" w:color="auto"/>
              <w:right w:val="single" w:sz="4" w:space="0" w:color="auto"/>
            </w:tcBorders>
            <w:hideMark/>
          </w:tcPr>
          <w:p w:rsidR="00D66005" w:rsidRPr="00F77964" w:rsidRDefault="00D66005" w:rsidP="005C07D6">
            <w:pPr>
              <w:pStyle w:val="Normal-pool"/>
              <w:spacing w:before="40" w:after="40"/>
              <w:jc w:val="right"/>
              <w:rPr>
                <w:rFonts w:eastAsia="SimSun"/>
                <w:sz w:val="18"/>
                <w:szCs w:val="18"/>
                <w:lang w:eastAsia="zh-CN"/>
              </w:rPr>
            </w:pPr>
            <w:r w:rsidRPr="00F77964">
              <w:rPr>
                <w:rFonts w:eastAsia="SimSun"/>
                <w:sz w:val="18"/>
                <w:szCs w:val="18"/>
                <w:lang w:eastAsia="zh-CN"/>
              </w:rPr>
              <w:t>150</w:t>
            </w:r>
            <w:r w:rsidR="005C07D6" w:rsidRPr="00F77964">
              <w:rPr>
                <w:rFonts w:eastAsia="SimSun"/>
                <w:sz w:val="18"/>
                <w:szCs w:val="18"/>
                <w:lang w:eastAsia="zh-CN"/>
              </w:rPr>
              <w:t> </w:t>
            </w:r>
            <w:r w:rsidRPr="00F77964">
              <w:rPr>
                <w:rFonts w:eastAsia="SimSun"/>
                <w:sz w:val="18"/>
                <w:szCs w:val="18"/>
                <w:lang w:eastAsia="zh-CN"/>
              </w:rPr>
              <w:t>000</w:t>
            </w:r>
          </w:p>
        </w:tc>
      </w:tr>
      <w:tr w:rsidR="00D66005" w:rsidRPr="0061490E" w:rsidTr="008C298F">
        <w:tc>
          <w:tcPr>
            <w:tcW w:w="672"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8C298F">
            <w:pPr>
              <w:pStyle w:val="Normal-pool"/>
              <w:spacing w:before="40" w:after="40"/>
              <w:rPr>
                <w:rFonts w:eastAsia="SimSun"/>
                <w:sz w:val="18"/>
                <w:szCs w:val="18"/>
                <w:lang w:eastAsia="zh-CN"/>
              </w:rPr>
            </w:pPr>
            <w:r w:rsidRPr="00F77964">
              <w:rPr>
                <w:rFonts w:eastAsia="SimSun"/>
                <w:sz w:val="18"/>
                <w:szCs w:val="18"/>
                <w:lang w:eastAsia="zh-CN"/>
              </w:rPr>
              <w:lastRenderedPageBreak/>
              <w:t>2018</w:t>
            </w:r>
          </w:p>
        </w:tc>
        <w:tc>
          <w:tcPr>
            <w:tcW w:w="2929"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B32843" w:rsidP="008C298F">
            <w:pPr>
              <w:pStyle w:val="Normal-pool"/>
              <w:spacing w:before="40" w:after="40"/>
              <w:rPr>
                <w:rFonts w:eastAsia="SimSun"/>
                <w:sz w:val="18"/>
                <w:szCs w:val="18"/>
                <w:lang w:eastAsia="zh-CN"/>
              </w:rPr>
            </w:pPr>
            <w:r w:rsidRPr="00F77964">
              <w:rPr>
                <w:rFonts w:eastAsia="SimSun"/>
                <w:sz w:val="18"/>
                <w:szCs w:val="18"/>
                <w:lang w:eastAsia="zh-CN"/>
              </w:rPr>
              <w:t>Réunion de l’équipe spéciale</w:t>
            </w:r>
            <w:r w:rsidR="00D66005" w:rsidRPr="00F77964">
              <w:rPr>
                <w:rFonts w:eastAsia="SimSun"/>
                <w:sz w:val="18"/>
                <w:szCs w:val="18"/>
                <w:lang w:eastAsia="zh-CN"/>
              </w:rPr>
              <w:t xml:space="preserve"> (5</w:t>
            </w:r>
            <w:r w:rsidRPr="00F77964">
              <w:rPr>
                <w:rFonts w:eastAsia="SimSun"/>
                <w:sz w:val="18"/>
                <w:szCs w:val="18"/>
                <w:lang w:eastAsia="zh-CN"/>
              </w:rPr>
              <w:t> membres du Groupe d’experts multidisciplinaire et du Bureau</w:t>
            </w:r>
            <w:r w:rsidR="00340616">
              <w:rPr>
                <w:rFonts w:eastAsia="SimSun"/>
                <w:sz w:val="18"/>
                <w:szCs w:val="18"/>
                <w:lang w:eastAsia="zh-CN"/>
              </w:rPr>
              <w:t xml:space="preserve"> +</w:t>
            </w:r>
            <w:r w:rsidR="00D66005" w:rsidRPr="00F77964">
              <w:rPr>
                <w:rFonts w:eastAsia="SimSun"/>
                <w:sz w:val="18"/>
                <w:szCs w:val="18"/>
                <w:lang w:eastAsia="zh-CN"/>
              </w:rPr>
              <w:t xml:space="preserve"> 20</w:t>
            </w:r>
            <w:r w:rsidRPr="00F77964">
              <w:rPr>
                <w:rFonts w:eastAsia="SimSun"/>
                <w:sz w:val="18"/>
                <w:szCs w:val="18"/>
                <w:lang w:eastAsia="zh-CN"/>
              </w:rPr>
              <w:t> </w:t>
            </w:r>
            <w:r w:rsidR="00D66005" w:rsidRPr="00F77964">
              <w:rPr>
                <w:rFonts w:eastAsia="SimSun"/>
                <w:sz w:val="18"/>
                <w:szCs w:val="18"/>
                <w:lang w:eastAsia="zh-CN"/>
              </w:rPr>
              <w:t>experts/</w:t>
            </w:r>
            <w:r w:rsidRPr="00F77964">
              <w:rPr>
                <w:rFonts w:eastAsia="SimSun"/>
                <w:sz w:val="18"/>
                <w:szCs w:val="18"/>
                <w:lang w:eastAsia="zh-CN"/>
              </w:rPr>
              <w:t>partenaires stratégiques</w:t>
            </w:r>
            <w:r w:rsidR="00D66005" w:rsidRPr="00F77964">
              <w:rPr>
                <w:rFonts w:eastAsia="SimSun"/>
                <w:sz w:val="18"/>
                <w:szCs w:val="18"/>
                <w:lang w:eastAsia="zh-CN"/>
              </w:rPr>
              <w:t>)</w:t>
            </w:r>
          </w:p>
        </w:tc>
        <w:tc>
          <w:tcPr>
            <w:tcW w:w="3147" w:type="dxa"/>
            <w:tcBorders>
              <w:top w:val="single" w:sz="4" w:space="0" w:color="auto"/>
              <w:left w:val="single" w:sz="4" w:space="0" w:color="auto"/>
              <w:bottom w:val="single" w:sz="4" w:space="0" w:color="auto"/>
              <w:right w:val="single" w:sz="4" w:space="0" w:color="auto"/>
            </w:tcBorders>
            <w:hideMark/>
          </w:tcPr>
          <w:p w:rsidR="00D66005" w:rsidRPr="00F77964" w:rsidRDefault="00B32843" w:rsidP="00B32843">
            <w:pPr>
              <w:pStyle w:val="Normal-pool"/>
              <w:spacing w:before="40" w:after="40"/>
              <w:rPr>
                <w:rFonts w:eastAsia="SimSun"/>
                <w:sz w:val="18"/>
                <w:szCs w:val="18"/>
                <w:lang w:eastAsia="zh-CN"/>
              </w:rPr>
            </w:pPr>
            <w:r w:rsidRPr="00F77964">
              <w:rPr>
                <w:rFonts w:eastAsia="SimSun"/>
                <w:sz w:val="18"/>
                <w:szCs w:val="18"/>
                <w:lang w:eastAsia="zh-CN"/>
              </w:rPr>
              <w:t>Coûts de la réunion</w:t>
            </w:r>
            <w:r w:rsidR="00D66005" w:rsidRPr="00F77964">
              <w:rPr>
                <w:rFonts w:eastAsia="SimSun"/>
                <w:sz w:val="18"/>
                <w:szCs w:val="18"/>
                <w:lang w:eastAsia="zh-CN"/>
              </w:rPr>
              <w:t xml:space="preserve"> (1</w:t>
            </w:r>
            <w:r w:rsidRPr="00F77964">
              <w:rPr>
                <w:rFonts w:eastAsia="SimSun"/>
                <w:sz w:val="18"/>
                <w:szCs w:val="18"/>
                <w:lang w:eastAsia="zh-CN"/>
              </w:rPr>
              <w:t> semaine, 25 participants</w:t>
            </w:r>
            <w:r w:rsidR="00D66005" w:rsidRPr="00F77964">
              <w:rPr>
                <w:rFonts w:eastAsia="SimSun"/>
                <w:sz w:val="18"/>
                <w:szCs w:val="18"/>
                <w:lang w:eastAsia="zh-CN"/>
              </w:rPr>
              <w:t>) (25</w:t>
            </w:r>
            <w:r w:rsidRPr="00F77964">
              <w:rPr>
                <w:rFonts w:eastAsia="SimSun"/>
                <w:sz w:val="18"/>
                <w:szCs w:val="18"/>
                <w:lang w:eastAsia="zh-CN"/>
              </w:rPr>
              <w:t> % en nature</w:t>
            </w:r>
            <w:r w:rsidR="00D66005" w:rsidRPr="00F77964">
              <w:rPr>
                <w:rFonts w:eastAsia="SimSun"/>
                <w:sz w:val="18"/>
                <w:szCs w:val="18"/>
                <w:lang w:eastAsia="zh-CN"/>
              </w:rPr>
              <w:t>)</w:t>
            </w:r>
          </w:p>
        </w:tc>
        <w:tc>
          <w:tcPr>
            <w:tcW w:w="1047" w:type="dxa"/>
            <w:tcBorders>
              <w:top w:val="single" w:sz="4" w:space="0" w:color="auto"/>
              <w:left w:val="single" w:sz="4" w:space="0" w:color="auto"/>
              <w:bottom w:val="single" w:sz="4" w:space="0" w:color="auto"/>
              <w:right w:val="single" w:sz="4" w:space="0" w:color="auto"/>
            </w:tcBorders>
            <w:hideMark/>
          </w:tcPr>
          <w:p w:rsidR="00D66005" w:rsidRPr="00F77964" w:rsidRDefault="00D66005" w:rsidP="005C07D6">
            <w:pPr>
              <w:pStyle w:val="Normal-pool"/>
              <w:spacing w:before="40" w:after="40"/>
              <w:jc w:val="right"/>
              <w:rPr>
                <w:rFonts w:eastAsia="SimSun"/>
                <w:sz w:val="18"/>
                <w:szCs w:val="18"/>
                <w:lang w:eastAsia="zh-CN"/>
              </w:rPr>
            </w:pPr>
            <w:r w:rsidRPr="00F77964">
              <w:rPr>
                <w:rFonts w:eastAsia="SimSun"/>
                <w:sz w:val="18"/>
                <w:szCs w:val="18"/>
                <w:lang w:eastAsia="zh-CN"/>
              </w:rPr>
              <w:t>7</w:t>
            </w:r>
            <w:r w:rsidR="005C07D6" w:rsidRPr="00F77964">
              <w:rPr>
                <w:rFonts w:eastAsia="SimSun"/>
                <w:sz w:val="18"/>
                <w:szCs w:val="18"/>
                <w:lang w:eastAsia="zh-CN"/>
              </w:rPr>
              <w:t> </w:t>
            </w:r>
            <w:r w:rsidRPr="00F77964">
              <w:rPr>
                <w:rFonts w:eastAsia="SimSun"/>
                <w:sz w:val="18"/>
                <w:szCs w:val="18"/>
                <w:lang w:eastAsia="zh-CN"/>
              </w:rPr>
              <w:t>500</w:t>
            </w:r>
          </w:p>
        </w:tc>
      </w:tr>
      <w:tr w:rsidR="00D66005" w:rsidRPr="0061490E" w:rsidTr="00DD586B">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sz w:val="18"/>
                <w:szCs w:val="18"/>
                <w:lang w:eastAsia="zh-CN"/>
              </w:rPr>
            </w:pPr>
          </w:p>
        </w:tc>
        <w:tc>
          <w:tcPr>
            <w:tcW w:w="3147" w:type="dxa"/>
            <w:tcBorders>
              <w:top w:val="single" w:sz="4" w:space="0" w:color="auto"/>
              <w:left w:val="single" w:sz="4" w:space="0" w:color="auto"/>
              <w:bottom w:val="single" w:sz="4" w:space="0" w:color="auto"/>
              <w:right w:val="single" w:sz="4" w:space="0" w:color="auto"/>
            </w:tcBorders>
            <w:hideMark/>
          </w:tcPr>
          <w:p w:rsidR="00D66005" w:rsidRPr="00F77964" w:rsidRDefault="00D972E8" w:rsidP="005C07D6">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00D66005" w:rsidRPr="00F77964">
              <w:rPr>
                <w:rFonts w:eastAsia="SimSun"/>
                <w:sz w:val="18"/>
                <w:szCs w:val="18"/>
                <w:lang w:eastAsia="zh-CN"/>
              </w:rPr>
              <w:t xml:space="preserve"> (5 x 3</w:t>
            </w:r>
            <w:r w:rsidR="00AF3D13">
              <w:rPr>
                <w:rFonts w:eastAsia="SimSun"/>
                <w:sz w:val="18"/>
                <w:szCs w:val="18"/>
                <w:lang w:eastAsia="zh-CN"/>
              </w:rPr>
              <w:t> </w:t>
            </w:r>
            <w:r w:rsidR="00D66005" w:rsidRPr="00F77964">
              <w:rPr>
                <w:rFonts w:eastAsia="SimSun"/>
                <w:sz w:val="18"/>
                <w:szCs w:val="18"/>
                <w:lang w:eastAsia="zh-CN"/>
              </w:rPr>
              <w:t>000</w:t>
            </w:r>
            <w:r w:rsidR="00AF3D13">
              <w:rPr>
                <w:rFonts w:eastAsia="SimSun"/>
                <w:sz w:val="18"/>
                <w:szCs w:val="18"/>
                <w:lang w:eastAsia="zh-CN"/>
              </w:rPr>
              <w:t> dollars</w:t>
            </w:r>
            <w:r w:rsidR="00D66005" w:rsidRPr="00F77964">
              <w:rPr>
                <w:rFonts w:eastAsia="SimSun"/>
                <w:sz w:val="18"/>
                <w:szCs w:val="18"/>
                <w:lang w:eastAsia="zh-CN"/>
              </w:rPr>
              <w:t>)</w:t>
            </w:r>
          </w:p>
        </w:tc>
        <w:tc>
          <w:tcPr>
            <w:tcW w:w="1047" w:type="dxa"/>
            <w:tcBorders>
              <w:top w:val="single" w:sz="4" w:space="0" w:color="auto"/>
              <w:left w:val="single" w:sz="4" w:space="0" w:color="auto"/>
              <w:bottom w:val="single" w:sz="4" w:space="0" w:color="auto"/>
              <w:right w:val="single" w:sz="4" w:space="0" w:color="auto"/>
            </w:tcBorders>
            <w:hideMark/>
          </w:tcPr>
          <w:p w:rsidR="00D66005" w:rsidRPr="00F77964" w:rsidRDefault="00D66005" w:rsidP="005C07D6">
            <w:pPr>
              <w:pStyle w:val="Normal-pool"/>
              <w:spacing w:before="40" w:after="40"/>
              <w:jc w:val="right"/>
              <w:rPr>
                <w:rFonts w:eastAsia="SimSun"/>
                <w:sz w:val="18"/>
                <w:szCs w:val="18"/>
                <w:lang w:eastAsia="zh-CN"/>
              </w:rPr>
            </w:pPr>
            <w:r w:rsidRPr="00F77964">
              <w:rPr>
                <w:rFonts w:eastAsia="SimSun"/>
                <w:sz w:val="18"/>
                <w:szCs w:val="18"/>
                <w:lang w:eastAsia="zh-CN"/>
              </w:rPr>
              <w:t>15</w:t>
            </w:r>
            <w:r w:rsidR="005C07D6" w:rsidRPr="00F77964">
              <w:rPr>
                <w:rFonts w:eastAsia="SimSun"/>
                <w:sz w:val="18"/>
                <w:szCs w:val="18"/>
                <w:lang w:eastAsia="zh-CN"/>
              </w:rPr>
              <w:t> </w:t>
            </w:r>
            <w:r w:rsidRPr="00F77964">
              <w:rPr>
                <w:rFonts w:eastAsia="SimSun"/>
                <w:sz w:val="18"/>
                <w:szCs w:val="18"/>
                <w:lang w:eastAsia="zh-CN"/>
              </w:rPr>
              <w:t>000</w:t>
            </w:r>
          </w:p>
        </w:tc>
      </w:tr>
      <w:tr w:rsidR="00D66005" w:rsidRPr="0061490E" w:rsidTr="008C298F">
        <w:tc>
          <w:tcPr>
            <w:tcW w:w="0" w:type="auto"/>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sz w:val="18"/>
                <w:szCs w:val="18"/>
                <w:lang w:eastAsia="zh-CN"/>
              </w:rPr>
            </w:pPr>
          </w:p>
        </w:tc>
        <w:tc>
          <w:tcPr>
            <w:tcW w:w="2929"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B32843" w:rsidP="008C298F">
            <w:pPr>
              <w:pStyle w:val="Normal-pool"/>
              <w:spacing w:before="40" w:after="40"/>
              <w:rPr>
                <w:rFonts w:eastAsia="SimSun"/>
                <w:sz w:val="18"/>
                <w:szCs w:val="18"/>
                <w:lang w:eastAsia="zh-CN"/>
              </w:rPr>
            </w:pPr>
            <w:r w:rsidRPr="00F77964">
              <w:rPr>
                <w:rFonts w:eastAsia="SimSun"/>
                <w:sz w:val="18"/>
                <w:szCs w:val="18"/>
                <w:lang w:eastAsia="zh-CN"/>
              </w:rPr>
              <w:t xml:space="preserve">Réunion du forum </w:t>
            </w:r>
            <w:r w:rsidR="00D66005" w:rsidRPr="00F77964">
              <w:rPr>
                <w:rFonts w:eastAsia="SimSun"/>
                <w:sz w:val="18"/>
                <w:szCs w:val="18"/>
                <w:lang w:eastAsia="zh-CN"/>
              </w:rPr>
              <w:t>(50</w:t>
            </w:r>
            <w:r w:rsidRPr="00F77964">
              <w:rPr>
                <w:rFonts w:eastAsia="SimSun"/>
                <w:sz w:val="18"/>
                <w:szCs w:val="18"/>
                <w:lang w:eastAsia="zh-CN"/>
              </w:rPr>
              <w:t> </w:t>
            </w:r>
            <w:r w:rsidR="00D66005" w:rsidRPr="00F77964">
              <w:rPr>
                <w:rFonts w:eastAsia="SimSun"/>
                <w:sz w:val="18"/>
                <w:szCs w:val="18"/>
                <w:lang w:eastAsia="zh-CN"/>
              </w:rPr>
              <w:t>participants, 25</w:t>
            </w:r>
            <w:r w:rsidRPr="00F77964">
              <w:rPr>
                <w:rFonts w:eastAsia="SimSun"/>
                <w:sz w:val="18"/>
                <w:szCs w:val="18"/>
                <w:lang w:eastAsia="zh-CN"/>
              </w:rPr>
              <w:t> financés</w:t>
            </w:r>
            <w:r w:rsidR="00D66005" w:rsidRPr="00F77964">
              <w:rPr>
                <w:rFonts w:eastAsia="SimSun"/>
                <w:sz w:val="18"/>
                <w:szCs w:val="18"/>
                <w:lang w:eastAsia="zh-CN"/>
              </w:rPr>
              <w:t>)</w:t>
            </w:r>
          </w:p>
        </w:tc>
        <w:tc>
          <w:tcPr>
            <w:tcW w:w="3147" w:type="dxa"/>
            <w:tcBorders>
              <w:top w:val="single" w:sz="4" w:space="0" w:color="auto"/>
              <w:left w:val="single" w:sz="4" w:space="0" w:color="auto"/>
              <w:bottom w:val="single" w:sz="4" w:space="0" w:color="auto"/>
              <w:right w:val="single" w:sz="4" w:space="0" w:color="auto"/>
            </w:tcBorders>
            <w:hideMark/>
          </w:tcPr>
          <w:p w:rsidR="00D66005" w:rsidRPr="00F77964" w:rsidRDefault="00B32843" w:rsidP="00B32843">
            <w:pPr>
              <w:pStyle w:val="Normal-pool"/>
              <w:spacing w:before="40" w:after="40"/>
              <w:rPr>
                <w:rFonts w:eastAsia="SimSun"/>
                <w:sz w:val="18"/>
                <w:szCs w:val="18"/>
                <w:lang w:eastAsia="zh-CN"/>
              </w:rPr>
            </w:pPr>
            <w:r w:rsidRPr="00F77964">
              <w:rPr>
                <w:rFonts w:eastAsia="SimSun"/>
                <w:sz w:val="18"/>
                <w:szCs w:val="18"/>
                <w:lang w:eastAsia="zh-CN"/>
              </w:rPr>
              <w:t>Coûts de la réunion</w:t>
            </w:r>
            <w:r w:rsidR="00D66005" w:rsidRPr="00F77964">
              <w:rPr>
                <w:rFonts w:eastAsia="SimSun"/>
                <w:sz w:val="18"/>
                <w:szCs w:val="18"/>
                <w:lang w:eastAsia="zh-CN"/>
              </w:rPr>
              <w:t xml:space="preserve"> (1</w:t>
            </w:r>
            <w:r w:rsidRPr="00F77964">
              <w:rPr>
                <w:rFonts w:eastAsia="SimSun"/>
                <w:sz w:val="18"/>
                <w:szCs w:val="18"/>
                <w:lang w:eastAsia="zh-CN"/>
              </w:rPr>
              <w:t> semaine</w:t>
            </w:r>
            <w:r w:rsidR="00D66005" w:rsidRPr="00F77964">
              <w:rPr>
                <w:rFonts w:eastAsia="SimSun"/>
                <w:sz w:val="18"/>
                <w:szCs w:val="18"/>
                <w:lang w:eastAsia="zh-CN"/>
              </w:rPr>
              <w:t>, 50</w:t>
            </w:r>
            <w:r w:rsidRPr="00F77964">
              <w:rPr>
                <w:rFonts w:eastAsia="SimSun"/>
                <w:sz w:val="18"/>
                <w:szCs w:val="18"/>
                <w:lang w:eastAsia="zh-CN"/>
              </w:rPr>
              <w:t> </w:t>
            </w:r>
            <w:r w:rsidR="00D66005" w:rsidRPr="00F77964">
              <w:rPr>
                <w:rFonts w:eastAsia="SimSun"/>
                <w:sz w:val="18"/>
                <w:szCs w:val="18"/>
                <w:lang w:eastAsia="zh-CN"/>
              </w:rPr>
              <w:t>participants) (25</w:t>
            </w:r>
            <w:r w:rsidRPr="00F77964">
              <w:rPr>
                <w:rFonts w:eastAsia="SimSun"/>
                <w:sz w:val="18"/>
                <w:szCs w:val="18"/>
                <w:lang w:eastAsia="zh-CN"/>
              </w:rPr>
              <w:t> % en nature</w:t>
            </w:r>
            <w:r w:rsidR="00D66005" w:rsidRPr="00F77964">
              <w:rPr>
                <w:rFonts w:eastAsia="SimSun"/>
                <w:sz w:val="18"/>
                <w:szCs w:val="18"/>
                <w:lang w:eastAsia="zh-CN"/>
              </w:rPr>
              <w:t>)</w:t>
            </w:r>
          </w:p>
        </w:tc>
        <w:tc>
          <w:tcPr>
            <w:tcW w:w="1047" w:type="dxa"/>
            <w:tcBorders>
              <w:top w:val="single" w:sz="4" w:space="0" w:color="auto"/>
              <w:left w:val="single" w:sz="4" w:space="0" w:color="auto"/>
              <w:bottom w:val="single" w:sz="4" w:space="0" w:color="auto"/>
              <w:right w:val="single" w:sz="4" w:space="0" w:color="auto"/>
            </w:tcBorders>
            <w:hideMark/>
          </w:tcPr>
          <w:p w:rsidR="00D66005" w:rsidRPr="00F77964" w:rsidRDefault="00D66005" w:rsidP="005C07D6">
            <w:pPr>
              <w:pStyle w:val="Normal-pool"/>
              <w:spacing w:before="40" w:after="40"/>
              <w:jc w:val="right"/>
              <w:rPr>
                <w:rFonts w:eastAsia="SimSun"/>
                <w:sz w:val="18"/>
                <w:szCs w:val="18"/>
                <w:lang w:eastAsia="zh-CN"/>
              </w:rPr>
            </w:pPr>
            <w:r w:rsidRPr="00F77964">
              <w:rPr>
                <w:rFonts w:eastAsia="SimSun"/>
                <w:sz w:val="18"/>
                <w:szCs w:val="18"/>
                <w:lang w:eastAsia="zh-CN"/>
              </w:rPr>
              <w:t>11</w:t>
            </w:r>
            <w:r w:rsidR="005C07D6" w:rsidRPr="00F77964">
              <w:rPr>
                <w:rFonts w:eastAsia="SimSun"/>
                <w:sz w:val="18"/>
                <w:szCs w:val="18"/>
                <w:lang w:eastAsia="zh-CN"/>
              </w:rPr>
              <w:t> </w:t>
            </w:r>
            <w:r w:rsidRPr="00F77964">
              <w:rPr>
                <w:rFonts w:eastAsia="SimSun"/>
                <w:sz w:val="18"/>
                <w:szCs w:val="18"/>
                <w:lang w:eastAsia="zh-CN"/>
              </w:rPr>
              <w:t>250</w:t>
            </w:r>
          </w:p>
        </w:tc>
      </w:tr>
      <w:tr w:rsidR="00D66005" w:rsidRPr="0061490E" w:rsidTr="008C298F">
        <w:trPr>
          <w:trHeight w:val="1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8C298F">
            <w:pPr>
              <w:rPr>
                <w:rFonts w:eastAsia="SimSun"/>
                <w:sz w:val="18"/>
                <w:szCs w:val="18"/>
                <w:lang w:eastAsia="zh-CN"/>
              </w:rPr>
            </w:pPr>
          </w:p>
        </w:tc>
        <w:tc>
          <w:tcPr>
            <w:tcW w:w="3147" w:type="dxa"/>
            <w:tcBorders>
              <w:top w:val="single" w:sz="4" w:space="0" w:color="auto"/>
              <w:left w:val="single" w:sz="4" w:space="0" w:color="auto"/>
              <w:bottom w:val="single" w:sz="4" w:space="0" w:color="auto"/>
              <w:right w:val="single" w:sz="4" w:space="0" w:color="auto"/>
            </w:tcBorders>
            <w:hideMark/>
          </w:tcPr>
          <w:p w:rsidR="00D66005" w:rsidRPr="00F77964" w:rsidRDefault="00B32843" w:rsidP="005F48A5">
            <w:pPr>
              <w:pStyle w:val="Normal-pool"/>
              <w:spacing w:before="40" w:after="40"/>
              <w:rPr>
                <w:rFonts w:eastAsia="SimSun"/>
                <w:sz w:val="18"/>
                <w:szCs w:val="18"/>
                <w:lang w:eastAsia="zh-CN"/>
              </w:rPr>
            </w:pPr>
            <w:r w:rsidRPr="00F77964">
              <w:rPr>
                <w:rFonts w:eastAsia="SimSun"/>
                <w:sz w:val="18"/>
                <w:szCs w:val="18"/>
                <w:lang w:eastAsia="zh-CN"/>
              </w:rPr>
              <w:t>Voyages et indemnité</w:t>
            </w:r>
            <w:r w:rsidR="005F48A5" w:rsidRPr="00F77964">
              <w:rPr>
                <w:rFonts w:eastAsia="SimSun"/>
                <w:sz w:val="18"/>
                <w:szCs w:val="18"/>
                <w:lang w:eastAsia="zh-CN"/>
              </w:rPr>
              <w:t xml:space="preserve"> journalière </w:t>
            </w:r>
            <w:r w:rsidRPr="00F77964">
              <w:rPr>
                <w:rFonts w:eastAsia="SimSun"/>
                <w:sz w:val="18"/>
                <w:szCs w:val="18"/>
                <w:lang w:eastAsia="zh-CN"/>
              </w:rPr>
              <w:t>de subsistance</w:t>
            </w:r>
            <w:r w:rsidR="00D66005" w:rsidRPr="00F77964">
              <w:rPr>
                <w:rFonts w:eastAsia="SimSun"/>
                <w:sz w:val="18"/>
                <w:szCs w:val="18"/>
                <w:lang w:eastAsia="zh-CN"/>
              </w:rPr>
              <w:t xml:space="preserve"> (25 x 3</w:t>
            </w:r>
            <w:r w:rsidR="00AF3D13">
              <w:rPr>
                <w:rFonts w:eastAsia="SimSun"/>
                <w:sz w:val="18"/>
                <w:szCs w:val="18"/>
                <w:lang w:eastAsia="zh-CN"/>
              </w:rPr>
              <w:t> </w:t>
            </w:r>
            <w:r w:rsidR="00D66005" w:rsidRPr="00F77964">
              <w:rPr>
                <w:rFonts w:eastAsia="SimSun"/>
                <w:sz w:val="18"/>
                <w:szCs w:val="18"/>
                <w:lang w:eastAsia="zh-CN"/>
              </w:rPr>
              <w:t>000</w:t>
            </w:r>
            <w:r w:rsidR="00AF3D13">
              <w:rPr>
                <w:rFonts w:eastAsia="SimSun"/>
                <w:sz w:val="18"/>
                <w:szCs w:val="18"/>
                <w:lang w:eastAsia="zh-CN"/>
              </w:rPr>
              <w:t> dollars</w:t>
            </w:r>
            <w:r w:rsidR="00D66005" w:rsidRPr="00F77964">
              <w:rPr>
                <w:rFonts w:eastAsia="SimSun"/>
                <w:sz w:val="18"/>
                <w:szCs w:val="18"/>
                <w:lang w:eastAsia="zh-CN"/>
              </w:rPr>
              <w:t>)</w:t>
            </w:r>
          </w:p>
        </w:tc>
        <w:tc>
          <w:tcPr>
            <w:tcW w:w="1047" w:type="dxa"/>
            <w:tcBorders>
              <w:top w:val="single" w:sz="4" w:space="0" w:color="auto"/>
              <w:left w:val="single" w:sz="4" w:space="0" w:color="auto"/>
              <w:bottom w:val="single" w:sz="4" w:space="0" w:color="auto"/>
              <w:right w:val="single" w:sz="4" w:space="0" w:color="auto"/>
            </w:tcBorders>
            <w:hideMark/>
          </w:tcPr>
          <w:p w:rsidR="00D66005" w:rsidRPr="00F77964" w:rsidRDefault="00D66005" w:rsidP="005C07D6">
            <w:pPr>
              <w:pStyle w:val="Normal-pool"/>
              <w:spacing w:before="40" w:after="40"/>
              <w:jc w:val="right"/>
              <w:rPr>
                <w:rFonts w:eastAsia="SimSun"/>
                <w:sz w:val="18"/>
                <w:szCs w:val="18"/>
                <w:lang w:eastAsia="zh-CN"/>
              </w:rPr>
            </w:pPr>
            <w:r w:rsidRPr="00F77964">
              <w:rPr>
                <w:rFonts w:eastAsia="SimSun"/>
                <w:sz w:val="18"/>
                <w:szCs w:val="18"/>
                <w:lang w:eastAsia="zh-CN"/>
              </w:rPr>
              <w:t>75</w:t>
            </w:r>
            <w:r w:rsidR="005C07D6" w:rsidRPr="00F77964">
              <w:rPr>
                <w:rFonts w:eastAsia="SimSun"/>
                <w:sz w:val="18"/>
                <w:szCs w:val="18"/>
                <w:lang w:eastAsia="zh-CN"/>
              </w:rPr>
              <w:t> </w:t>
            </w:r>
            <w:r w:rsidRPr="00F77964">
              <w:rPr>
                <w:rFonts w:eastAsia="SimSun"/>
                <w:sz w:val="18"/>
                <w:szCs w:val="18"/>
                <w:lang w:eastAsia="zh-CN"/>
              </w:rPr>
              <w:t>000</w:t>
            </w:r>
          </w:p>
        </w:tc>
      </w:tr>
      <w:tr w:rsidR="00D66005" w:rsidRPr="0061490E" w:rsidTr="008C298F">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sz w:val="18"/>
                <w:szCs w:val="18"/>
                <w:lang w:eastAsia="zh-CN"/>
              </w:rPr>
            </w:pPr>
          </w:p>
        </w:tc>
        <w:tc>
          <w:tcPr>
            <w:tcW w:w="2929" w:type="dxa"/>
            <w:tcBorders>
              <w:top w:val="single" w:sz="4" w:space="0" w:color="auto"/>
              <w:left w:val="single" w:sz="4" w:space="0" w:color="auto"/>
              <w:bottom w:val="single" w:sz="4" w:space="0" w:color="auto"/>
              <w:right w:val="single" w:sz="4" w:space="0" w:color="auto"/>
            </w:tcBorders>
          </w:tcPr>
          <w:p w:rsidR="00D66005" w:rsidRPr="00F77964" w:rsidRDefault="00B32843" w:rsidP="008C298F">
            <w:pPr>
              <w:pStyle w:val="Normal-pool"/>
              <w:spacing w:before="40" w:after="40"/>
              <w:rPr>
                <w:rFonts w:eastAsia="SimSun"/>
                <w:sz w:val="18"/>
                <w:szCs w:val="18"/>
                <w:lang w:eastAsia="zh-CN"/>
              </w:rPr>
            </w:pPr>
            <w:r w:rsidRPr="00F77964">
              <w:rPr>
                <w:rFonts w:eastAsia="SimSun"/>
                <w:sz w:val="18"/>
                <w:szCs w:val="18"/>
                <w:lang w:eastAsia="zh-CN"/>
              </w:rPr>
              <w:t>Appui technique</w:t>
            </w:r>
          </w:p>
        </w:tc>
        <w:tc>
          <w:tcPr>
            <w:tcW w:w="3147" w:type="dxa"/>
            <w:tcBorders>
              <w:top w:val="single" w:sz="4" w:space="0" w:color="auto"/>
              <w:left w:val="single" w:sz="4" w:space="0" w:color="auto"/>
              <w:bottom w:val="single" w:sz="4" w:space="0" w:color="auto"/>
              <w:right w:val="single" w:sz="4" w:space="0" w:color="auto"/>
            </w:tcBorders>
            <w:hideMark/>
          </w:tcPr>
          <w:p w:rsidR="00D66005" w:rsidRPr="00F77964" w:rsidRDefault="00D66005" w:rsidP="005C07D6">
            <w:pPr>
              <w:pStyle w:val="Normal-pool"/>
              <w:spacing w:before="40" w:after="40"/>
              <w:rPr>
                <w:rFonts w:eastAsia="SimSun"/>
                <w:sz w:val="18"/>
                <w:szCs w:val="18"/>
                <w:lang w:eastAsia="zh-CN"/>
              </w:rPr>
            </w:pPr>
            <w:r w:rsidRPr="00F77964">
              <w:rPr>
                <w:rFonts w:eastAsia="SimSun"/>
                <w:sz w:val="18"/>
                <w:szCs w:val="18"/>
                <w:lang w:eastAsia="zh-CN"/>
              </w:rPr>
              <w:t>2</w:t>
            </w:r>
            <w:r w:rsidR="00B32843" w:rsidRPr="00F77964">
              <w:rPr>
                <w:rFonts w:eastAsia="SimSun"/>
                <w:sz w:val="18"/>
                <w:szCs w:val="18"/>
                <w:lang w:eastAsia="zh-CN"/>
              </w:rPr>
              <w:t xml:space="preserve"> postes d’administrateur équivalent plein temps </w:t>
            </w:r>
            <w:r w:rsidRPr="00F77964">
              <w:rPr>
                <w:rFonts w:eastAsia="SimSun"/>
                <w:sz w:val="18"/>
                <w:szCs w:val="18"/>
                <w:lang w:eastAsia="zh-CN"/>
              </w:rPr>
              <w:t>(50</w:t>
            </w:r>
            <w:r w:rsidR="00B32843" w:rsidRPr="00F77964">
              <w:rPr>
                <w:rFonts w:eastAsia="SimSun"/>
                <w:sz w:val="18"/>
                <w:szCs w:val="18"/>
                <w:lang w:eastAsia="zh-CN"/>
              </w:rPr>
              <w:t> % en nature</w:t>
            </w:r>
            <w:r w:rsidRPr="00F77964">
              <w:rPr>
                <w:rFonts w:eastAsia="SimSun"/>
                <w:sz w:val="18"/>
                <w:szCs w:val="18"/>
                <w:lang w:eastAsia="zh-CN"/>
              </w:rPr>
              <w:t>)</w:t>
            </w:r>
          </w:p>
        </w:tc>
        <w:tc>
          <w:tcPr>
            <w:tcW w:w="1047" w:type="dxa"/>
            <w:tcBorders>
              <w:top w:val="single" w:sz="4" w:space="0" w:color="auto"/>
              <w:left w:val="single" w:sz="4" w:space="0" w:color="auto"/>
              <w:bottom w:val="single" w:sz="4" w:space="0" w:color="auto"/>
              <w:right w:val="single" w:sz="4" w:space="0" w:color="auto"/>
            </w:tcBorders>
            <w:hideMark/>
          </w:tcPr>
          <w:p w:rsidR="00D66005" w:rsidRPr="00F77964" w:rsidRDefault="00D66005" w:rsidP="005C07D6">
            <w:pPr>
              <w:pStyle w:val="Normal-pool"/>
              <w:spacing w:before="40" w:after="40"/>
              <w:jc w:val="right"/>
              <w:rPr>
                <w:rFonts w:eastAsia="SimSun"/>
                <w:sz w:val="18"/>
                <w:szCs w:val="18"/>
                <w:lang w:eastAsia="zh-CN"/>
              </w:rPr>
            </w:pPr>
            <w:r w:rsidRPr="00F77964">
              <w:rPr>
                <w:rFonts w:eastAsia="SimSun"/>
                <w:sz w:val="18"/>
                <w:szCs w:val="18"/>
                <w:lang w:eastAsia="zh-CN"/>
              </w:rPr>
              <w:t>150</w:t>
            </w:r>
            <w:r w:rsidR="005C07D6" w:rsidRPr="00F77964">
              <w:rPr>
                <w:rFonts w:eastAsia="SimSun"/>
                <w:sz w:val="18"/>
                <w:szCs w:val="18"/>
                <w:lang w:eastAsia="zh-CN"/>
              </w:rPr>
              <w:t> </w:t>
            </w:r>
            <w:r w:rsidRPr="00F77964">
              <w:rPr>
                <w:rFonts w:eastAsia="SimSun"/>
                <w:sz w:val="18"/>
                <w:szCs w:val="18"/>
                <w:lang w:eastAsia="zh-CN"/>
              </w:rPr>
              <w:t>000</w:t>
            </w:r>
          </w:p>
        </w:tc>
      </w:tr>
      <w:tr w:rsidR="00D66005" w:rsidRPr="0061490E" w:rsidTr="00DD586B">
        <w:tc>
          <w:tcPr>
            <w:tcW w:w="672" w:type="dxa"/>
            <w:tcBorders>
              <w:top w:val="single" w:sz="4" w:space="0" w:color="auto"/>
              <w:left w:val="single" w:sz="4" w:space="0" w:color="auto"/>
              <w:bottom w:val="single" w:sz="4" w:space="0" w:color="auto"/>
              <w:right w:val="single" w:sz="4" w:space="0" w:color="auto"/>
            </w:tcBorders>
            <w:hideMark/>
          </w:tcPr>
          <w:p w:rsidR="00D66005" w:rsidRPr="00F77964" w:rsidRDefault="00D66005">
            <w:pPr>
              <w:pStyle w:val="Normal-pool"/>
              <w:spacing w:before="40" w:after="40"/>
              <w:rPr>
                <w:rFonts w:eastAsia="SimSun"/>
                <w:b/>
                <w:sz w:val="18"/>
                <w:szCs w:val="18"/>
                <w:lang w:eastAsia="zh-CN"/>
              </w:rPr>
            </w:pPr>
            <w:r w:rsidRPr="00F77964">
              <w:rPr>
                <w:rFonts w:eastAsia="SimSun"/>
                <w:b/>
                <w:sz w:val="18"/>
                <w:szCs w:val="18"/>
                <w:lang w:eastAsia="zh-CN"/>
              </w:rPr>
              <w:t>Total</w:t>
            </w:r>
          </w:p>
        </w:tc>
        <w:tc>
          <w:tcPr>
            <w:tcW w:w="2929" w:type="dxa"/>
            <w:tcBorders>
              <w:top w:val="single" w:sz="4" w:space="0" w:color="auto"/>
              <w:left w:val="single" w:sz="4" w:space="0" w:color="auto"/>
              <w:bottom w:val="single" w:sz="4" w:space="0" w:color="auto"/>
              <w:right w:val="single" w:sz="4" w:space="0" w:color="auto"/>
            </w:tcBorders>
          </w:tcPr>
          <w:p w:rsidR="00D66005" w:rsidRPr="00F77964" w:rsidRDefault="00D66005">
            <w:pPr>
              <w:pStyle w:val="Normal-pool"/>
              <w:spacing w:before="40" w:after="40"/>
              <w:rPr>
                <w:rFonts w:eastAsia="SimSun"/>
                <w:sz w:val="18"/>
                <w:szCs w:val="18"/>
                <w:lang w:eastAsia="zh-CN"/>
              </w:rPr>
            </w:pPr>
          </w:p>
        </w:tc>
        <w:tc>
          <w:tcPr>
            <w:tcW w:w="3147" w:type="dxa"/>
            <w:tcBorders>
              <w:top w:val="single" w:sz="4" w:space="0" w:color="auto"/>
              <w:left w:val="single" w:sz="4" w:space="0" w:color="auto"/>
              <w:bottom w:val="single" w:sz="4" w:space="0" w:color="auto"/>
              <w:right w:val="single" w:sz="4" w:space="0" w:color="auto"/>
            </w:tcBorders>
          </w:tcPr>
          <w:p w:rsidR="00D66005" w:rsidRPr="00F77964" w:rsidRDefault="00D66005">
            <w:pPr>
              <w:pStyle w:val="Normal-pool"/>
              <w:spacing w:before="40" w:after="40"/>
              <w:rPr>
                <w:rFonts w:eastAsia="SimSun"/>
                <w:sz w:val="18"/>
                <w:szCs w:val="18"/>
                <w:lang w:eastAsia="zh-CN"/>
              </w:rPr>
            </w:pPr>
          </w:p>
        </w:tc>
        <w:tc>
          <w:tcPr>
            <w:tcW w:w="1047" w:type="dxa"/>
            <w:tcBorders>
              <w:top w:val="single" w:sz="4" w:space="0" w:color="auto"/>
              <w:left w:val="single" w:sz="4" w:space="0" w:color="auto"/>
              <w:bottom w:val="single" w:sz="4" w:space="0" w:color="auto"/>
              <w:right w:val="single" w:sz="4" w:space="0" w:color="auto"/>
            </w:tcBorders>
            <w:hideMark/>
          </w:tcPr>
          <w:p w:rsidR="00D66005" w:rsidRPr="00F77964" w:rsidRDefault="00D66005" w:rsidP="005C07D6">
            <w:pPr>
              <w:pStyle w:val="Normal-pool"/>
              <w:spacing w:before="40" w:after="40"/>
              <w:jc w:val="right"/>
              <w:rPr>
                <w:rFonts w:eastAsia="SimSun"/>
                <w:b/>
                <w:sz w:val="18"/>
                <w:szCs w:val="18"/>
                <w:lang w:eastAsia="zh-CN"/>
              </w:rPr>
            </w:pPr>
            <w:r w:rsidRPr="00F77964">
              <w:rPr>
                <w:rFonts w:eastAsia="SimSun"/>
                <w:b/>
                <w:sz w:val="18"/>
                <w:szCs w:val="18"/>
                <w:lang w:eastAsia="zh-CN"/>
              </w:rPr>
              <w:t>1</w:t>
            </w:r>
            <w:r w:rsidR="005C07D6" w:rsidRPr="00F77964">
              <w:rPr>
                <w:rFonts w:eastAsia="SimSun"/>
                <w:b/>
                <w:sz w:val="18"/>
                <w:szCs w:val="18"/>
                <w:lang w:eastAsia="zh-CN"/>
              </w:rPr>
              <w:t> </w:t>
            </w:r>
            <w:r w:rsidRPr="00F77964">
              <w:rPr>
                <w:rFonts w:eastAsia="SimSun"/>
                <w:b/>
                <w:sz w:val="18"/>
                <w:szCs w:val="18"/>
                <w:lang w:eastAsia="zh-CN"/>
              </w:rPr>
              <w:t>121</w:t>
            </w:r>
            <w:r w:rsidR="005C07D6" w:rsidRPr="00F77964">
              <w:rPr>
                <w:rFonts w:eastAsia="SimSun"/>
                <w:b/>
                <w:sz w:val="18"/>
                <w:szCs w:val="18"/>
                <w:lang w:eastAsia="zh-CN"/>
              </w:rPr>
              <w:t> </w:t>
            </w:r>
            <w:r w:rsidRPr="00F77964">
              <w:rPr>
                <w:rFonts w:eastAsia="SimSun"/>
                <w:b/>
                <w:sz w:val="18"/>
                <w:szCs w:val="18"/>
                <w:lang w:eastAsia="zh-CN"/>
              </w:rPr>
              <w:t>250</w:t>
            </w:r>
          </w:p>
        </w:tc>
      </w:tr>
    </w:tbl>
    <w:p w:rsidR="00D66005" w:rsidRPr="00F77964" w:rsidRDefault="00D66005" w:rsidP="00D66005">
      <w:pPr>
        <w:pStyle w:val="CH3"/>
        <w:keepNext w:val="0"/>
        <w:keepLines w:val="0"/>
        <w:spacing w:before="120" w:after="0"/>
        <w:rPr>
          <w:rFonts w:eastAsia="SimSun"/>
          <w:lang w:val="fr-FR" w:eastAsia="zh-CN"/>
        </w:rPr>
      </w:pPr>
      <w:r w:rsidRPr="00F77964">
        <w:rPr>
          <w:rFonts w:eastAsia="SimSun"/>
          <w:lang w:val="fr-FR" w:eastAsia="zh-CN"/>
        </w:rPr>
        <w:tab/>
      </w:r>
      <w:r w:rsidRPr="00F77964">
        <w:rPr>
          <w:rFonts w:eastAsia="SimSun"/>
          <w:lang w:val="fr-FR" w:eastAsia="zh-CN"/>
        </w:rPr>
        <w:tab/>
      </w:r>
      <w:r w:rsidR="00B32843" w:rsidRPr="00F77964">
        <w:rPr>
          <w:rFonts w:eastAsia="SimSun"/>
          <w:lang w:val="fr-FR" w:eastAsia="zh-CN"/>
        </w:rPr>
        <w:t>Produit </w:t>
      </w:r>
      <w:r w:rsidRPr="00F77964">
        <w:rPr>
          <w:rFonts w:eastAsia="SimSun"/>
          <w:lang w:val="fr-FR" w:eastAsia="zh-CN"/>
        </w:rPr>
        <w:t>1 b)</w:t>
      </w:r>
    </w:p>
    <w:p w:rsidR="00D66005" w:rsidRPr="00F77964" w:rsidRDefault="00D66005" w:rsidP="00D66005">
      <w:pPr>
        <w:pStyle w:val="CH3"/>
        <w:keepNext w:val="0"/>
        <w:keepLines w:val="0"/>
        <w:rPr>
          <w:rFonts w:eastAsia="SimSun"/>
          <w:lang w:val="fr-FR" w:eastAsia="zh-CN"/>
        </w:rPr>
      </w:pPr>
      <w:r w:rsidRPr="00F77964">
        <w:rPr>
          <w:rFonts w:eastAsia="SimSun"/>
          <w:lang w:val="fr-FR" w:eastAsia="zh-CN"/>
        </w:rPr>
        <w:tab/>
      </w:r>
      <w:r w:rsidRPr="00F77964">
        <w:rPr>
          <w:rFonts w:eastAsia="SimSun"/>
          <w:lang w:val="fr-FR" w:eastAsia="zh-CN"/>
        </w:rPr>
        <w:tab/>
      </w:r>
      <w:r w:rsidR="00B01F37" w:rsidRPr="00B01F37">
        <w:rPr>
          <w:rFonts w:eastAsia="SimSun"/>
          <w:lang w:val="fr-FR" w:eastAsia="zh-CN"/>
        </w:rPr>
        <w:t>Développer les capacités nécessaires pour mener à bien le programme de travail de la Plateforme</w:t>
      </w:r>
      <w:r w:rsidR="00E40EFD">
        <w:rPr>
          <w:rFonts w:eastAsia="SimSun"/>
          <w:lang w:val="fr-FR" w:eastAsia="zh-CN"/>
        </w:rPr>
        <w:t>, un appui étant fourni par le</w:t>
      </w:r>
      <w:r w:rsidR="00B01F37" w:rsidRPr="00B01F37">
        <w:rPr>
          <w:rFonts w:eastAsia="SimSun"/>
          <w:lang w:val="fr-FR" w:eastAsia="zh-CN"/>
        </w:rPr>
        <w:t xml:space="preserve"> réseau sur le développement des capacités (</w:t>
      </w:r>
      <w:r w:rsidR="00B01F37" w:rsidRPr="00B01F37">
        <w:rPr>
          <w:rFonts w:eastAsia="SimSun"/>
          <w:i/>
          <w:lang w:val="fr-FR" w:eastAsia="zh-CN"/>
        </w:rPr>
        <w:t>activité continue</w:t>
      </w:r>
      <w:r w:rsidR="00B01F37" w:rsidRPr="00B01F37">
        <w:rPr>
          <w:rFonts w:eastAsia="SimSun"/>
          <w:lang w:val="fr-FR" w:eastAsia="zh-CN"/>
        </w:rPr>
        <w:t>)</w:t>
      </w:r>
    </w:p>
    <w:p w:rsidR="00D66005" w:rsidRPr="00F77964" w:rsidRDefault="00D66005" w:rsidP="00D66005">
      <w:pPr>
        <w:pStyle w:val="CH3"/>
        <w:rPr>
          <w:rFonts w:eastAsia="Calibri"/>
          <w:lang w:val="fr-FR"/>
        </w:rPr>
      </w:pPr>
      <w:r w:rsidRPr="00F77964">
        <w:rPr>
          <w:rFonts w:eastAsia="Calibri"/>
          <w:lang w:val="fr-FR"/>
        </w:rPr>
        <w:tab/>
      </w:r>
      <w:r w:rsidRPr="00F77964">
        <w:rPr>
          <w:rFonts w:eastAsia="Calibri"/>
          <w:lang w:val="fr-FR"/>
        </w:rPr>
        <w:tab/>
      </w:r>
      <w:r w:rsidR="00B32843" w:rsidRPr="00F77964">
        <w:rPr>
          <w:rFonts w:eastAsia="Calibri"/>
          <w:lang w:val="fr-FR"/>
        </w:rPr>
        <w:t>Hypothèses</w:t>
      </w:r>
    </w:p>
    <w:p w:rsidR="00D66005" w:rsidRPr="00F77964" w:rsidRDefault="009057CC" w:rsidP="00D66005">
      <w:pPr>
        <w:pStyle w:val="Normalnumber"/>
        <w:numPr>
          <w:ilvl w:val="0"/>
          <w:numId w:val="6"/>
        </w:numPr>
        <w:tabs>
          <w:tab w:val="left" w:pos="624"/>
        </w:tabs>
        <w:ind w:left="1247" w:firstLine="0"/>
        <w:rPr>
          <w:lang w:val="fr-FR"/>
        </w:rPr>
      </w:pPr>
      <w:r w:rsidRPr="00F77964">
        <w:rPr>
          <w:lang w:val="fr-FR"/>
        </w:rPr>
        <w:t>Les dispositi</w:t>
      </w:r>
      <w:r w:rsidR="005C07D6" w:rsidRPr="00F77964">
        <w:rPr>
          <w:lang w:val="fr-FR"/>
        </w:rPr>
        <w:t>ons</w:t>
      </w:r>
      <w:r w:rsidRPr="00F77964">
        <w:rPr>
          <w:lang w:val="fr-FR"/>
        </w:rPr>
        <w:t xml:space="preserve"> institutionnel</w:t>
      </w:r>
      <w:r w:rsidR="005C07D6" w:rsidRPr="00F77964">
        <w:rPr>
          <w:lang w:val="fr-FR"/>
        </w:rPr>
        <w:t>le</w:t>
      </w:r>
      <w:r w:rsidRPr="00F77964">
        <w:rPr>
          <w:lang w:val="fr-FR"/>
        </w:rPr>
        <w:t xml:space="preserve">s </w:t>
      </w:r>
      <w:r w:rsidR="0082652D" w:rsidRPr="00F77964">
        <w:rPr>
          <w:lang w:val="fr-FR"/>
        </w:rPr>
        <w:t>prises</w:t>
      </w:r>
      <w:r w:rsidRPr="00F77964">
        <w:rPr>
          <w:lang w:val="fr-FR"/>
        </w:rPr>
        <w:t xml:space="preserve"> au titre du produit </w:t>
      </w:r>
      <w:r w:rsidR="00D66005" w:rsidRPr="00F77964">
        <w:rPr>
          <w:lang w:val="fr-FR"/>
        </w:rPr>
        <w:t>1</w:t>
      </w:r>
      <w:r w:rsidR="005C07D6" w:rsidRPr="00F77964">
        <w:rPr>
          <w:lang w:val="fr-FR"/>
        </w:rPr>
        <w:t> </w:t>
      </w:r>
      <w:r w:rsidR="00D66005" w:rsidRPr="00F77964">
        <w:rPr>
          <w:lang w:val="fr-FR"/>
        </w:rPr>
        <w:t>a)</w:t>
      </w:r>
      <w:r w:rsidR="005C07D6" w:rsidRPr="00F77964">
        <w:rPr>
          <w:lang w:val="fr-FR"/>
        </w:rPr>
        <w:t>,</w:t>
      </w:r>
      <w:r w:rsidRPr="00F77964">
        <w:rPr>
          <w:lang w:val="fr-FR"/>
        </w:rPr>
        <w:t xml:space="preserve"> à savoir l’équipe spéciale sur le renforcement des capacités et l’appui technique </w:t>
      </w:r>
      <w:r w:rsidR="00612DA5" w:rsidRPr="00F77964">
        <w:rPr>
          <w:lang w:val="fr-FR"/>
        </w:rPr>
        <w:t>qui lui est fourni</w:t>
      </w:r>
      <w:r w:rsidR="0082652D" w:rsidRPr="00F77964">
        <w:rPr>
          <w:lang w:val="fr-FR"/>
        </w:rPr>
        <w:t>,</w:t>
      </w:r>
      <w:r w:rsidR="005C07D6" w:rsidRPr="00F77964">
        <w:rPr>
          <w:lang w:val="fr-FR"/>
        </w:rPr>
        <w:t xml:space="preserve"> contribue</w:t>
      </w:r>
      <w:r w:rsidR="00612DA5" w:rsidRPr="00F77964">
        <w:rPr>
          <w:lang w:val="fr-FR"/>
        </w:rPr>
        <w:t xml:space="preserve">ront à la réalisation </w:t>
      </w:r>
      <w:r w:rsidRPr="00F77964">
        <w:rPr>
          <w:lang w:val="fr-FR"/>
        </w:rPr>
        <w:t>du produit </w:t>
      </w:r>
      <w:r w:rsidR="00D66005" w:rsidRPr="00F77964">
        <w:rPr>
          <w:lang w:val="fr-FR"/>
        </w:rPr>
        <w:t xml:space="preserve">1 b). </w:t>
      </w:r>
      <w:r w:rsidRPr="00F77964">
        <w:rPr>
          <w:lang w:val="fr-FR"/>
        </w:rPr>
        <w:t xml:space="preserve">L’équipe spéciale, travaillant sous la direction du Bureau et du Groupe d’experts multidisciplinaire, </w:t>
      </w:r>
      <w:r w:rsidR="00E40EFD">
        <w:rPr>
          <w:lang w:val="fr-FR"/>
        </w:rPr>
        <w:t xml:space="preserve">participera à des </w:t>
      </w:r>
      <w:r w:rsidRPr="00F77964">
        <w:rPr>
          <w:lang w:val="fr-FR"/>
        </w:rPr>
        <w:t>activités de renforcement des capacités</w:t>
      </w:r>
      <w:r w:rsidR="006A6E7B">
        <w:rPr>
          <w:lang w:val="fr-FR"/>
        </w:rPr>
        <w:t>,</w:t>
      </w:r>
      <w:r w:rsidR="00E40EFD">
        <w:rPr>
          <w:lang w:val="fr-FR"/>
        </w:rPr>
        <w:t xml:space="preserve"> selon les</w:t>
      </w:r>
      <w:r w:rsidRPr="00F77964">
        <w:rPr>
          <w:lang w:val="fr-FR"/>
        </w:rPr>
        <w:t xml:space="preserve"> besoins convenus par la </w:t>
      </w:r>
      <w:r w:rsidR="005C07D6" w:rsidRPr="00F77964">
        <w:rPr>
          <w:lang w:val="fr-FR"/>
        </w:rPr>
        <w:t>P</w:t>
      </w:r>
      <w:r w:rsidRPr="00F77964">
        <w:rPr>
          <w:lang w:val="fr-FR"/>
        </w:rPr>
        <w:t xml:space="preserve">lénière. En 2014, les activités </w:t>
      </w:r>
      <w:r w:rsidR="00837E92" w:rsidRPr="00F77964">
        <w:rPr>
          <w:lang w:val="fr-FR"/>
        </w:rPr>
        <w:t>viseront essentiellement à mettre</w:t>
      </w:r>
      <w:r w:rsidRPr="00F77964">
        <w:rPr>
          <w:lang w:val="fr-FR"/>
        </w:rPr>
        <w:t xml:space="preserve"> en place la capacité institutionnelle nécessaire pour </w:t>
      </w:r>
      <w:r w:rsidR="00E67E0C">
        <w:rPr>
          <w:lang w:val="fr-FR"/>
        </w:rPr>
        <w:t>livr</w:t>
      </w:r>
      <w:r w:rsidR="00837E92" w:rsidRPr="00F77964">
        <w:rPr>
          <w:lang w:val="fr-FR"/>
        </w:rPr>
        <w:t xml:space="preserve">er </w:t>
      </w:r>
      <w:r w:rsidRPr="00F77964">
        <w:rPr>
          <w:lang w:val="fr-FR"/>
        </w:rPr>
        <w:t xml:space="preserve">les premiers produits du programme de travail, en particulier les évaluations régionales et sous-régionales. </w:t>
      </w:r>
      <w:r w:rsidR="002F6300" w:rsidRPr="00F77964">
        <w:rPr>
          <w:lang w:val="fr-FR"/>
        </w:rPr>
        <w:t>Des réunions de renforcement des capacités auront lieu conjointement avec le processus d’évaluation</w:t>
      </w:r>
      <w:r w:rsidR="00780597" w:rsidRPr="00F77964">
        <w:rPr>
          <w:lang w:val="fr-FR"/>
        </w:rPr>
        <w:t>s</w:t>
      </w:r>
      <w:r w:rsidR="002F6300" w:rsidRPr="00F77964">
        <w:rPr>
          <w:lang w:val="fr-FR"/>
        </w:rPr>
        <w:t xml:space="preserve"> sous-</w:t>
      </w:r>
      <w:r w:rsidR="00F77964" w:rsidRPr="00F77964">
        <w:rPr>
          <w:lang w:val="fr-FR"/>
        </w:rPr>
        <w:t>régionales</w:t>
      </w:r>
      <w:r w:rsidR="002F6300" w:rsidRPr="00F77964">
        <w:rPr>
          <w:lang w:val="fr-FR"/>
        </w:rPr>
        <w:t xml:space="preserve"> afin de faciliter l’évolution ultérieure de réseaux, plateformes et centres d’excellence scien</w:t>
      </w:r>
      <w:r w:rsidR="002407CB" w:rsidRPr="00F77964">
        <w:rPr>
          <w:lang w:val="fr-FR"/>
        </w:rPr>
        <w:t xml:space="preserve">tifiques et politiques </w:t>
      </w:r>
      <w:r w:rsidR="002F6300" w:rsidRPr="00F77964">
        <w:rPr>
          <w:lang w:val="fr-FR"/>
        </w:rPr>
        <w:t xml:space="preserve">au niveau sous-régional. </w:t>
      </w:r>
      <w:r w:rsidR="002407CB" w:rsidRPr="00F77964">
        <w:rPr>
          <w:lang w:val="fr-FR"/>
        </w:rPr>
        <w:t>D</w:t>
      </w:r>
      <w:r w:rsidR="002F6300" w:rsidRPr="00F77964">
        <w:rPr>
          <w:lang w:val="fr-FR"/>
        </w:rPr>
        <w:t xml:space="preserve">es </w:t>
      </w:r>
      <w:r w:rsidR="006A6E7B">
        <w:rPr>
          <w:lang w:val="fr-FR"/>
        </w:rPr>
        <w:t xml:space="preserve">propositions de </w:t>
      </w:r>
      <w:r w:rsidR="00C362BD">
        <w:rPr>
          <w:lang w:val="fr-FR"/>
        </w:rPr>
        <w:t>programmes de bourses de recherche</w:t>
      </w:r>
      <w:r w:rsidR="002F6300" w:rsidRPr="00F77964">
        <w:rPr>
          <w:lang w:val="fr-FR"/>
        </w:rPr>
        <w:t xml:space="preserve"> et d’échange, y compris </w:t>
      </w:r>
      <w:r w:rsidR="006A6E7B">
        <w:rPr>
          <w:lang w:val="fr-FR"/>
        </w:rPr>
        <w:t xml:space="preserve">pour les </w:t>
      </w:r>
      <w:r w:rsidR="002407CB" w:rsidRPr="00F77964">
        <w:rPr>
          <w:lang w:val="fr-FR"/>
        </w:rPr>
        <w:t xml:space="preserve">spécialistes et </w:t>
      </w:r>
      <w:r w:rsidR="006A6E7B">
        <w:rPr>
          <w:lang w:val="fr-FR"/>
        </w:rPr>
        <w:t xml:space="preserve">les </w:t>
      </w:r>
      <w:r w:rsidR="002F6300" w:rsidRPr="00F77964">
        <w:rPr>
          <w:lang w:val="fr-FR"/>
        </w:rPr>
        <w:t>détenteurs de connaissances autochtones et loca</w:t>
      </w:r>
      <w:r w:rsidR="0082652D" w:rsidRPr="00F77964">
        <w:rPr>
          <w:lang w:val="fr-FR"/>
        </w:rPr>
        <w:t>les</w:t>
      </w:r>
      <w:r w:rsidR="002F6300" w:rsidRPr="00F77964">
        <w:rPr>
          <w:lang w:val="fr-FR"/>
        </w:rPr>
        <w:t xml:space="preserve">, </w:t>
      </w:r>
      <w:r w:rsidR="002407CB" w:rsidRPr="00F77964">
        <w:rPr>
          <w:lang w:val="fr-FR"/>
        </w:rPr>
        <w:t>et</w:t>
      </w:r>
      <w:r w:rsidR="002F6300" w:rsidRPr="00F77964">
        <w:rPr>
          <w:lang w:val="fr-FR"/>
        </w:rPr>
        <w:t xml:space="preserve"> de modules de formation seront mis</w:t>
      </w:r>
      <w:r w:rsidR="00BC2592">
        <w:rPr>
          <w:lang w:val="fr-FR"/>
        </w:rPr>
        <w:t>es</w:t>
      </w:r>
      <w:r w:rsidR="002F6300" w:rsidRPr="00F77964">
        <w:rPr>
          <w:lang w:val="fr-FR"/>
        </w:rPr>
        <w:t xml:space="preserve"> au point sur la base de l’expérience ac</w:t>
      </w:r>
      <w:r w:rsidR="00A65C54">
        <w:rPr>
          <w:lang w:val="fr-FR"/>
        </w:rPr>
        <w:t>quise grâce, entre autres,</w:t>
      </w:r>
      <w:r w:rsidR="00D972E8">
        <w:rPr>
          <w:lang w:val="fr-FR"/>
        </w:rPr>
        <w:t xml:space="preserve"> </w:t>
      </w:r>
      <w:r w:rsidR="00A65C54">
        <w:rPr>
          <w:lang w:val="fr-FR"/>
        </w:rPr>
        <w:t>au</w:t>
      </w:r>
      <w:r w:rsidR="002F6300" w:rsidRPr="00F77964">
        <w:rPr>
          <w:lang w:val="fr-FR"/>
        </w:rPr>
        <w:t xml:space="preserve"> Groupe d’experts intergouvernemental sur l’évolution du climat et </w:t>
      </w:r>
      <w:r w:rsidR="00A65C54">
        <w:rPr>
          <w:lang w:val="fr-FR"/>
        </w:rPr>
        <w:t xml:space="preserve">à </w:t>
      </w:r>
      <w:r w:rsidR="002F6300" w:rsidRPr="00F77964">
        <w:rPr>
          <w:lang w:val="fr-FR"/>
        </w:rPr>
        <w:t>l’</w:t>
      </w:r>
      <w:r w:rsidR="003A6512" w:rsidRPr="00F77964">
        <w:rPr>
          <w:lang w:val="fr-FR"/>
        </w:rPr>
        <w:t>E</w:t>
      </w:r>
      <w:r w:rsidR="002F6300" w:rsidRPr="00F77964">
        <w:rPr>
          <w:lang w:val="fr-FR"/>
        </w:rPr>
        <w:t xml:space="preserve">valuation des écosystèmes pour le Millénaire. </w:t>
      </w:r>
      <w:r w:rsidR="006A6E7B">
        <w:rPr>
          <w:lang w:val="fr-FR"/>
        </w:rPr>
        <w:t>C</w:t>
      </w:r>
      <w:r w:rsidR="003A6512" w:rsidRPr="00F77964">
        <w:rPr>
          <w:lang w:val="fr-FR"/>
        </w:rPr>
        <w:t xml:space="preserve">es </w:t>
      </w:r>
      <w:r w:rsidR="002F6300" w:rsidRPr="00F77964">
        <w:rPr>
          <w:lang w:val="fr-FR"/>
        </w:rPr>
        <w:t>pro</w:t>
      </w:r>
      <w:r w:rsidR="006A6E7B">
        <w:rPr>
          <w:lang w:val="fr-FR"/>
        </w:rPr>
        <w:t xml:space="preserve">positions pourraient </w:t>
      </w:r>
      <w:r w:rsidR="00BC2592">
        <w:rPr>
          <w:lang w:val="fr-FR"/>
        </w:rPr>
        <w:t>donner aux</w:t>
      </w:r>
      <w:r w:rsidR="002F6300" w:rsidRPr="00F77964">
        <w:rPr>
          <w:lang w:val="fr-FR"/>
        </w:rPr>
        <w:t xml:space="preserve"> boursiers </w:t>
      </w:r>
      <w:r w:rsidR="00BC2592">
        <w:rPr>
          <w:lang w:val="fr-FR"/>
        </w:rPr>
        <w:t>la possibilité de s’impliquer</w:t>
      </w:r>
      <w:r w:rsidR="002F6300" w:rsidRPr="00F77964">
        <w:rPr>
          <w:lang w:val="fr-FR"/>
        </w:rPr>
        <w:t xml:space="preserve"> dans la mise en œuvre du programme de travail de la </w:t>
      </w:r>
      <w:r w:rsidR="003A6512" w:rsidRPr="00F77964">
        <w:rPr>
          <w:lang w:val="fr-FR"/>
        </w:rPr>
        <w:t>P</w:t>
      </w:r>
      <w:r w:rsidR="002F6300" w:rsidRPr="00F77964">
        <w:rPr>
          <w:lang w:val="fr-FR"/>
        </w:rPr>
        <w:t xml:space="preserve">lateforme, </w:t>
      </w:r>
      <w:r w:rsidR="00BC2592">
        <w:rPr>
          <w:lang w:val="fr-FR"/>
        </w:rPr>
        <w:t xml:space="preserve">par exemple </w:t>
      </w:r>
      <w:r w:rsidR="002F6300" w:rsidRPr="00F77964">
        <w:rPr>
          <w:lang w:val="fr-FR"/>
        </w:rPr>
        <w:t xml:space="preserve">dans la fourniture d’appui technique pour les évaluations, sous la supervision du </w:t>
      </w:r>
      <w:r w:rsidR="003A6512" w:rsidRPr="00F77964">
        <w:rPr>
          <w:lang w:val="fr-FR"/>
        </w:rPr>
        <w:t>s</w:t>
      </w:r>
      <w:r w:rsidR="002F6300" w:rsidRPr="00F77964">
        <w:rPr>
          <w:lang w:val="fr-FR"/>
        </w:rPr>
        <w:t xml:space="preserve">ecrétariat. </w:t>
      </w:r>
      <w:r w:rsidR="00B10062" w:rsidRPr="00F77964">
        <w:rPr>
          <w:lang w:val="fr-FR"/>
        </w:rPr>
        <w:t>À</w:t>
      </w:r>
      <w:r w:rsidR="002F6300" w:rsidRPr="00F77964">
        <w:rPr>
          <w:lang w:val="fr-FR"/>
        </w:rPr>
        <w:t xml:space="preserve"> compter de 2015, les besoins hiérarchisés de renforcement des capacités </w:t>
      </w:r>
      <w:r w:rsidR="00091ABF" w:rsidRPr="00F77964">
        <w:rPr>
          <w:lang w:val="fr-FR"/>
        </w:rPr>
        <w:t>pertinents pour l</w:t>
      </w:r>
      <w:r w:rsidR="002F6300" w:rsidRPr="00F77964">
        <w:rPr>
          <w:lang w:val="fr-FR"/>
        </w:rPr>
        <w:t xml:space="preserve">e programme de travail seront </w:t>
      </w:r>
      <w:r w:rsidR="00091ABF" w:rsidRPr="00F77964">
        <w:rPr>
          <w:lang w:val="fr-FR"/>
        </w:rPr>
        <w:t xml:space="preserve">arrêtés </w:t>
      </w:r>
      <w:r w:rsidR="002F6300" w:rsidRPr="00F77964">
        <w:rPr>
          <w:lang w:val="fr-FR"/>
        </w:rPr>
        <w:t xml:space="preserve">par la Plénière et orienteront le travail de l’équipe spéciale. </w:t>
      </w:r>
      <w:r w:rsidR="00091ABF" w:rsidRPr="00F77964">
        <w:rPr>
          <w:lang w:val="fr-FR"/>
        </w:rPr>
        <w:t>Là où c’est</w:t>
      </w:r>
      <w:r w:rsidR="002F6300" w:rsidRPr="00F77964">
        <w:rPr>
          <w:lang w:val="fr-FR"/>
        </w:rPr>
        <w:t xml:space="preserve"> possible,</w:t>
      </w:r>
      <w:r w:rsidR="00091ABF" w:rsidRPr="00F77964">
        <w:rPr>
          <w:lang w:val="fr-FR"/>
        </w:rPr>
        <w:t xml:space="preserve"> les travaux </w:t>
      </w:r>
      <w:r w:rsidR="002F6300" w:rsidRPr="00F77964">
        <w:rPr>
          <w:lang w:val="fr-FR"/>
        </w:rPr>
        <w:t>financés par le Fonds d’affectation spécial</w:t>
      </w:r>
      <w:r w:rsidR="00091ABF" w:rsidRPr="00F77964">
        <w:rPr>
          <w:lang w:val="fr-FR"/>
        </w:rPr>
        <w:t>e</w:t>
      </w:r>
      <w:r w:rsidR="002F6300" w:rsidRPr="00F77964">
        <w:rPr>
          <w:lang w:val="fr-FR"/>
        </w:rPr>
        <w:t xml:space="preserve"> de la </w:t>
      </w:r>
      <w:r w:rsidR="00091ABF" w:rsidRPr="00F77964">
        <w:rPr>
          <w:lang w:val="fr-FR"/>
        </w:rPr>
        <w:t>P</w:t>
      </w:r>
      <w:r w:rsidR="002F6300" w:rsidRPr="00F77964">
        <w:rPr>
          <w:lang w:val="fr-FR"/>
        </w:rPr>
        <w:t xml:space="preserve">lateforme seront complétés par des contributions </w:t>
      </w:r>
      <w:r w:rsidR="00091ABF" w:rsidRPr="00F77964">
        <w:rPr>
          <w:lang w:val="fr-FR"/>
        </w:rPr>
        <w:t xml:space="preserve">en </w:t>
      </w:r>
      <w:r w:rsidR="002F6300" w:rsidRPr="00F77964">
        <w:rPr>
          <w:lang w:val="fr-FR"/>
        </w:rPr>
        <w:t xml:space="preserve">nature et financières </w:t>
      </w:r>
      <w:r w:rsidR="00091ABF" w:rsidRPr="00F77964">
        <w:rPr>
          <w:lang w:val="fr-FR"/>
        </w:rPr>
        <w:t>mobilisées</w:t>
      </w:r>
      <w:r w:rsidR="002F6300" w:rsidRPr="00F77964">
        <w:rPr>
          <w:lang w:val="fr-FR"/>
        </w:rPr>
        <w:t xml:space="preserve"> par le biais du produit </w:t>
      </w:r>
      <w:r w:rsidR="00D66005" w:rsidRPr="00F77964">
        <w:rPr>
          <w:lang w:val="fr-FR"/>
        </w:rPr>
        <w:t>1</w:t>
      </w:r>
      <w:r w:rsidR="00091ABF" w:rsidRPr="00F77964">
        <w:rPr>
          <w:lang w:val="fr-FR"/>
        </w:rPr>
        <w:t> </w:t>
      </w:r>
      <w:r w:rsidR="00D66005" w:rsidRPr="00F77964">
        <w:rPr>
          <w:lang w:val="fr-FR"/>
        </w:rPr>
        <w:t xml:space="preserve">a). </w:t>
      </w:r>
      <w:r w:rsidR="002F6300" w:rsidRPr="00F77964">
        <w:rPr>
          <w:lang w:val="fr-FR"/>
        </w:rPr>
        <w:t xml:space="preserve">Dans </w:t>
      </w:r>
      <w:r w:rsidR="00091ABF" w:rsidRPr="00F77964">
        <w:rPr>
          <w:lang w:val="fr-FR"/>
        </w:rPr>
        <w:t>c</w:t>
      </w:r>
      <w:r w:rsidR="002F6300" w:rsidRPr="00F77964">
        <w:rPr>
          <w:lang w:val="fr-FR"/>
        </w:rPr>
        <w:t xml:space="preserve">es </w:t>
      </w:r>
      <w:r w:rsidR="00091ABF" w:rsidRPr="00F77964">
        <w:rPr>
          <w:lang w:val="fr-FR"/>
        </w:rPr>
        <w:t xml:space="preserve">contributions </w:t>
      </w:r>
      <w:r w:rsidR="008A0EEA" w:rsidRPr="00F77964">
        <w:rPr>
          <w:lang w:val="fr-FR"/>
        </w:rPr>
        <w:t>pourraient figurer des activités d’</w:t>
      </w:r>
      <w:r w:rsidR="002F6300" w:rsidRPr="00F77964">
        <w:rPr>
          <w:lang w:val="fr-FR"/>
        </w:rPr>
        <w:t xml:space="preserve">assistance technique (par exemple </w:t>
      </w:r>
      <w:r w:rsidR="008A0EEA" w:rsidRPr="00F77964">
        <w:rPr>
          <w:lang w:val="fr-FR"/>
        </w:rPr>
        <w:t>pour</w:t>
      </w:r>
      <w:r w:rsidR="002F6300" w:rsidRPr="00F77964">
        <w:rPr>
          <w:lang w:val="fr-FR"/>
        </w:rPr>
        <w:t xml:space="preserve"> la gestion des connaissances et des données) o</w:t>
      </w:r>
      <w:r w:rsidR="008A0EEA" w:rsidRPr="00F77964">
        <w:rPr>
          <w:lang w:val="fr-FR"/>
        </w:rPr>
        <w:t>u</w:t>
      </w:r>
      <w:r w:rsidR="002F6300" w:rsidRPr="00F77964">
        <w:rPr>
          <w:lang w:val="fr-FR"/>
        </w:rPr>
        <w:t xml:space="preserve"> des ateliers de formation </w:t>
      </w:r>
      <w:r w:rsidR="002D1491">
        <w:rPr>
          <w:lang w:val="fr-FR"/>
        </w:rPr>
        <w:t>visant à faciliter l’assimilation</w:t>
      </w:r>
      <w:r w:rsidR="00DA0E2E" w:rsidRPr="00F77964">
        <w:rPr>
          <w:lang w:val="fr-FR"/>
        </w:rPr>
        <w:t xml:space="preserve"> et </w:t>
      </w:r>
      <w:r w:rsidR="002D1491">
        <w:rPr>
          <w:lang w:val="fr-FR"/>
        </w:rPr>
        <w:t>l’</w:t>
      </w:r>
      <w:r w:rsidR="00DA0E2E" w:rsidRPr="00F77964">
        <w:rPr>
          <w:lang w:val="fr-FR"/>
        </w:rPr>
        <w:t>utilis</w:t>
      </w:r>
      <w:r w:rsidR="002D1491">
        <w:rPr>
          <w:lang w:val="fr-FR"/>
        </w:rPr>
        <w:t>ation d</w:t>
      </w:r>
      <w:r w:rsidR="00DA0E2E" w:rsidRPr="00F77964">
        <w:rPr>
          <w:lang w:val="fr-FR"/>
        </w:rPr>
        <w:t xml:space="preserve">es divers </w:t>
      </w:r>
      <w:r w:rsidR="002F6300" w:rsidRPr="00F77964">
        <w:rPr>
          <w:lang w:val="fr-FR"/>
        </w:rPr>
        <w:t xml:space="preserve">produits </w:t>
      </w:r>
      <w:r w:rsidR="002D1491">
        <w:rPr>
          <w:lang w:val="fr-FR"/>
        </w:rPr>
        <w:t xml:space="preserve">techniques </w:t>
      </w:r>
      <w:r w:rsidR="00DA0E2E" w:rsidRPr="00F77964">
        <w:rPr>
          <w:lang w:val="fr-FR"/>
        </w:rPr>
        <w:t>de la P</w:t>
      </w:r>
      <w:r w:rsidR="002F6300" w:rsidRPr="00F77964">
        <w:rPr>
          <w:lang w:val="fr-FR"/>
        </w:rPr>
        <w:t>lateforme (par exemple</w:t>
      </w:r>
      <w:r w:rsidR="00DA0E2E" w:rsidRPr="00F77964">
        <w:rPr>
          <w:lang w:val="fr-FR"/>
        </w:rPr>
        <w:t>, les outils et méthod</w:t>
      </w:r>
      <w:r w:rsidR="00F77964">
        <w:rPr>
          <w:lang w:val="fr-FR"/>
        </w:rPr>
        <w:t>es</w:t>
      </w:r>
      <w:r w:rsidR="00DA0E2E" w:rsidRPr="00F77964">
        <w:rPr>
          <w:lang w:val="fr-FR"/>
        </w:rPr>
        <w:t xml:space="preserve"> d’a</w:t>
      </w:r>
      <w:r w:rsidR="002D1491">
        <w:rPr>
          <w:lang w:val="fr-FR"/>
        </w:rPr>
        <w:t>ppui politique</w:t>
      </w:r>
      <w:r w:rsidR="002F6300" w:rsidRPr="00F77964">
        <w:rPr>
          <w:lang w:val="fr-FR"/>
        </w:rPr>
        <w:t>).</w:t>
      </w:r>
    </w:p>
    <w:p w:rsidR="00D66005" w:rsidRPr="00F77964" w:rsidRDefault="00D66005" w:rsidP="00D66005">
      <w:pPr>
        <w:pStyle w:val="CH3"/>
        <w:rPr>
          <w:rFonts w:eastAsia="SimSun"/>
          <w:lang w:val="fr-FR" w:eastAsia="zh-CN"/>
        </w:rPr>
      </w:pPr>
      <w:r w:rsidRPr="00F77964">
        <w:rPr>
          <w:rFonts w:eastAsia="SimSun"/>
          <w:lang w:val="fr-FR" w:eastAsia="zh-CN"/>
        </w:rPr>
        <w:tab/>
      </w:r>
      <w:r w:rsidRPr="00F77964">
        <w:rPr>
          <w:rFonts w:eastAsia="SimSun"/>
          <w:lang w:val="fr-FR" w:eastAsia="zh-CN"/>
        </w:rPr>
        <w:tab/>
      </w:r>
      <w:r w:rsidR="0048412B" w:rsidRPr="00F77964">
        <w:rPr>
          <w:rFonts w:eastAsia="SimSun"/>
          <w:lang w:val="fr-FR" w:eastAsia="zh-CN"/>
        </w:rPr>
        <w:t xml:space="preserve">Actions, étapes intermédiaires et dispositions institutionnelles </w:t>
      </w:r>
    </w:p>
    <w:p w:rsidR="00D66005" w:rsidRPr="00F77964" w:rsidRDefault="00F4565D" w:rsidP="00D66005">
      <w:pPr>
        <w:pStyle w:val="Normalnumber"/>
        <w:numPr>
          <w:ilvl w:val="0"/>
          <w:numId w:val="6"/>
        </w:numPr>
        <w:tabs>
          <w:tab w:val="left" w:pos="624"/>
        </w:tabs>
        <w:ind w:left="1247" w:firstLine="0"/>
        <w:rPr>
          <w:rFonts w:eastAsia="Calibri"/>
          <w:lang w:val="fr-FR"/>
        </w:rPr>
      </w:pPr>
      <w:r w:rsidRPr="00F77964">
        <w:rPr>
          <w:lang w:val="fr-FR"/>
        </w:rPr>
        <w:t>Les actions à mener sont indiquées ci-après</w:t>
      </w:r>
      <w:r w:rsidR="0066597A" w:rsidRPr="00F77964">
        <w:rPr>
          <w:lang w:val="fr-FR"/>
        </w:rPr>
        <w:t>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1303"/>
        <w:gridCol w:w="6698"/>
      </w:tblGrid>
      <w:tr w:rsidR="00D66005" w:rsidRPr="0061490E" w:rsidTr="00D66005">
        <w:trPr>
          <w:trHeight w:val="347"/>
        </w:trPr>
        <w:tc>
          <w:tcPr>
            <w:tcW w:w="1908" w:type="dxa"/>
            <w:gridSpan w:val="2"/>
            <w:tcBorders>
              <w:top w:val="single" w:sz="4" w:space="0" w:color="auto"/>
              <w:left w:val="single" w:sz="4" w:space="0" w:color="auto"/>
              <w:bottom w:val="single" w:sz="4" w:space="0" w:color="auto"/>
              <w:right w:val="single" w:sz="4" w:space="0" w:color="auto"/>
            </w:tcBorders>
            <w:hideMark/>
          </w:tcPr>
          <w:p w:rsidR="00D66005" w:rsidRPr="00F77964" w:rsidRDefault="0066597A" w:rsidP="0066597A">
            <w:pPr>
              <w:pStyle w:val="Normal-pool"/>
              <w:spacing w:before="40" w:after="40"/>
              <w:rPr>
                <w:rFonts w:eastAsia="SimSun"/>
                <w:i/>
                <w:sz w:val="18"/>
                <w:szCs w:val="18"/>
                <w:lang w:eastAsia="zh-CN"/>
              </w:rPr>
            </w:pPr>
            <w:r w:rsidRPr="00F77964">
              <w:rPr>
                <w:rFonts w:eastAsia="SimSun"/>
                <w:i/>
                <w:sz w:val="18"/>
                <w:szCs w:val="18"/>
                <w:lang w:eastAsia="zh-CN"/>
              </w:rPr>
              <w:t>Calendrier</w:t>
            </w:r>
          </w:p>
        </w:tc>
        <w:tc>
          <w:tcPr>
            <w:tcW w:w="6698"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D66005" w:rsidP="005C07D6">
            <w:pPr>
              <w:pStyle w:val="Normal-pool"/>
              <w:spacing w:before="40" w:after="40"/>
              <w:rPr>
                <w:rFonts w:eastAsia="SimSun"/>
                <w:i/>
                <w:sz w:val="18"/>
                <w:szCs w:val="18"/>
                <w:lang w:eastAsia="zh-CN"/>
              </w:rPr>
            </w:pPr>
            <w:r w:rsidRPr="00F77964">
              <w:rPr>
                <w:rFonts w:eastAsia="SimSun"/>
                <w:i/>
                <w:sz w:val="18"/>
                <w:szCs w:val="18"/>
                <w:lang w:eastAsia="zh-CN"/>
              </w:rPr>
              <w:t>Actions/</w:t>
            </w:r>
            <w:r w:rsidR="00F77964" w:rsidRPr="00F77964">
              <w:rPr>
                <w:rFonts w:eastAsia="SimSun"/>
                <w:i/>
                <w:sz w:val="18"/>
                <w:szCs w:val="18"/>
                <w:lang w:eastAsia="zh-CN"/>
              </w:rPr>
              <w:t>dispositions</w:t>
            </w:r>
            <w:r w:rsidR="0066597A" w:rsidRPr="00F77964">
              <w:rPr>
                <w:rFonts w:eastAsia="SimSun"/>
                <w:i/>
                <w:sz w:val="18"/>
                <w:szCs w:val="18"/>
                <w:lang w:eastAsia="zh-CN"/>
              </w:rPr>
              <w:t xml:space="preserve"> institutionnel</w:t>
            </w:r>
            <w:r w:rsidR="005C07D6" w:rsidRPr="00F77964">
              <w:rPr>
                <w:rFonts w:eastAsia="SimSun"/>
                <w:i/>
                <w:sz w:val="18"/>
                <w:szCs w:val="18"/>
                <w:lang w:eastAsia="zh-CN"/>
              </w:rPr>
              <w:t>le</w:t>
            </w:r>
          </w:p>
        </w:tc>
      </w:tr>
      <w:tr w:rsidR="00D66005" w:rsidRPr="0061490E" w:rsidTr="00D66005">
        <w:trPr>
          <w:trHeight w:val="591"/>
        </w:trPr>
        <w:tc>
          <w:tcPr>
            <w:tcW w:w="605" w:type="dxa"/>
            <w:tcBorders>
              <w:top w:val="single" w:sz="4" w:space="0" w:color="auto"/>
              <w:left w:val="single" w:sz="4" w:space="0" w:color="auto"/>
              <w:bottom w:val="single" w:sz="4" w:space="0" w:color="auto"/>
              <w:right w:val="single" w:sz="4" w:space="0" w:color="auto"/>
            </w:tcBorders>
            <w:hideMark/>
          </w:tcPr>
          <w:p w:rsidR="00D66005" w:rsidRPr="00F77964" w:rsidRDefault="00D66005">
            <w:pPr>
              <w:pStyle w:val="Normal-pool"/>
              <w:spacing w:before="40" w:after="40"/>
              <w:rPr>
                <w:rFonts w:eastAsia="SimSun"/>
                <w:sz w:val="18"/>
                <w:szCs w:val="18"/>
                <w:lang w:eastAsia="zh-CN"/>
              </w:rPr>
            </w:pPr>
            <w:r w:rsidRPr="00F77964">
              <w:rPr>
                <w:rFonts w:eastAsia="SimSun"/>
                <w:sz w:val="18"/>
                <w:szCs w:val="18"/>
                <w:lang w:eastAsia="zh-CN"/>
              </w:rPr>
              <w:t>2013</w:t>
            </w:r>
          </w:p>
        </w:tc>
        <w:tc>
          <w:tcPr>
            <w:tcW w:w="1303" w:type="dxa"/>
            <w:tcBorders>
              <w:top w:val="single" w:sz="4" w:space="0" w:color="auto"/>
              <w:left w:val="single" w:sz="4" w:space="0" w:color="auto"/>
              <w:bottom w:val="single" w:sz="4" w:space="0" w:color="auto"/>
              <w:right w:val="single" w:sz="4" w:space="0" w:color="auto"/>
            </w:tcBorders>
            <w:hideMark/>
          </w:tcPr>
          <w:p w:rsidR="00D66005" w:rsidRPr="00F77964" w:rsidRDefault="00E10C0C" w:rsidP="00E10C0C">
            <w:pPr>
              <w:pStyle w:val="Normal-pool"/>
              <w:spacing w:before="40" w:after="40"/>
              <w:rPr>
                <w:rFonts w:eastAsia="SimSun"/>
                <w:sz w:val="18"/>
                <w:szCs w:val="18"/>
                <w:lang w:eastAsia="zh-CN"/>
              </w:rPr>
            </w:pPr>
            <w:r w:rsidRPr="00F77964">
              <w:rPr>
                <w:rFonts w:eastAsia="SimSun"/>
                <w:sz w:val="18"/>
                <w:szCs w:val="18"/>
                <w:lang w:eastAsia="zh-CN"/>
              </w:rPr>
              <w:t>Quatrième trimestre</w:t>
            </w:r>
          </w:p>
        </w:tc>
        <w:tc>
          <w:tcPr>
            <w:tcW w:w="6698"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034423" w:rsidP="00DA5FF2">
            <w:pPr>
              <w:pStyle w:val="Normal-pool"/>
              <w:spacing w:before="40" w:after="40"/>
              <w:rPr>
                <w:rFonts w:eastAsia="SimSun"/>
                <w:sz w:val="18"/>
                <w:szCs w:val="18"/>
                <w:lang w:eastAsia="zh-CN"/>
              </w:rPr>
            </w:pPr>
            <w:r w:rsidRPr="00F77964">
              <w:rPr>
                <w:rFonts w:eastAsia="SimSun"/>
                <w:sz w:val="18"/>
                <w:szCs w:val="18"/>
                <w:lang w:eastAsia="zh-CN"/>
              </w:rPr>
              <w:t>La Plénière, à sa deuxième session, examine</w:t>
            </w:r>
            <w:r w:rsidR="00DA5FF2">
              <w:rPr>
                <w:rFonts w:eastAsia="SimSun"/>
                <w:sz w:val="18"/>
                <w:szCs w:val="18"/>
                <w:lang w:eastAsia="zh-CN"/>
              </w:rPr>
              <w:t xml:space="preserve"> la question de</w:t>
            </w:r>
            <w:r w:rsidRPr="00F77964">
              <w:rPr>
                <w:rFonts w:eastAsia="SimSun"/>
                <w:sz w:val="18"/>
                <w:szCs w:val="18"/>
                <w:lang w:eastAsia="zh-CN"/>
              </w:rPr>
              <w:t xml:space="preserve"> l</w:t>
            </w:r>
            <w:r w:rsidR="00DA0E2E" w:rsidRPr="00F77964">
              <w:rPr>
                <w:rFonts w:eastAsia="SimSun"/>
                <w:sz w:val="18"/>
                <w:szCs w:val="18"/>
                <w:lang w:eastAsia="zh-CN"/>
              </w:rPr>
              <w:t>’</w:t>
            </w:r>
            <w:r w:rsidRPr="00F77964">
              <w:rPr>
                <w:rFonts w:eastAsia="SimSun"/>
                <w:sz w:val="18"/>
                <w:szCs w:val="18"/>
                <w:lang w:eastAsia="zh-CN"/>
              </w:rPr>
              <w:t>établissement de l’équipe spécial</w:t>
            </w:r>
            <w:r w:rsidR="00DA0E2E" w:rsidRPr="00F77964">
              <w:rPr>
                <w:rFonts w:eastAsia="SimSun"/>
                <w:sz w:val="18"/>
                <w:szCs w:val="18"/>
                <w:lang w:eastAsia="zh-CN"/>
              </w:rPr>
              <w:t>e</w:t>
            </w:r>
            <w:r w:rsidRPr="00F77964">
              <w:rPr>
                <w:rFonts w:eastAsia="SimSun"/>
                <w:sz w:val="18"/>
                <w:szCs w:val="18"/>
                <w:lang w:eastAsia="zh-CN"/>
              </w:rPr>
              <w:t xml:space="preserve"> sur le renforcement des capacités </w:t>
            </w:r>
            <w:r w:rsidR="00D66005" w:rsidRPr="00F77964">
              <w:rPr>
                <w:rFonts w:eastAsia="SimSun"/>
                <w:sz w:val="18"/>
                <w:szCs w:val="18"/>
                <w:lang w:eastAsia="zh-CN"/>
              </w:rPr>
              <w:t>(</w:t>
            </w:r>
            <w:r w:rsidRPr="00F77964">
              <w:rPr>
                <w:rFonts w:eastAsia="SimSun"/>
                <w:sz w:val="18"/>
                <w:szCs w:val="18"/>
                <w:lang w:eastAsia="zh-CN"/>
              </w:rPr>
              <w:t>voir produit </w:t>
            </w:r>
            <w:r w:rsidR="00D66005" w:rsidRPr="00F77964">
              <w:rPr>
                <w:rFonts w:eastAsia="SimSun"/>
                <w:sz w:val="18"/>
                <w:szCs w:val="18"/>
                <w:lang w:eastAsia="zh-CN"/>
              </w:rPr>
              <w:t>1</w:t>
            </w:r>
            <w:r w:rsidR="00DA0E2E" w:rsidRPr="00F77964">
              <w:rPr>
                <w:rFonts w:eastAsia="SimSun"/>
                <w:sz w:val="18"/>
                <w:szCs w:val="18"/>
                <w:lang w:eastAsia="zh-CN"/>
              </w:rPr>
              <w:t> </w:t>
            </w:r>
            <w:r w:rsidR="00D66005" w:rsidRPr="00F77964">
              <w:rPr>
                <w:rFonts w:eastAsia="SimSun"/>
                <w:sz w:val="18"/>
                <w:szCs w:val="18"/>
                <w:lang w:eastAsia="zh-CN"/>
              </w:rPr>
              <w:t>a))</w:t>
            </w:r>
            <w:r w:rsidR="00DA5FF2">
              <w:rPr>
                <w:rFonts w:eastAsia="SimSun"/>
                <w:sz w:val="18"/>
                <w:szCs w:val="18"/>
                <w:lang w:eastAsia="zh-CN"/>
              </w:rPr>
              <w:t xml:space="preserve"> chargée</w:t>
            </w:r>
            <w:r w:rsidR="00DA0E2E" w:rsidRPr="00F77964">
              <w:rPr>
                <w:rFonts w:eastAsia="SimSun"/>
                <w:sz w:val="18"/>
                <w:szCs w:val="18"/>
                <w:lang w:eastAsia="zh-CN"/>
              </w:rPr>
              <w:t xml:space="preserve"> </w:t>
            </w:r>
            <w:r w:rsidRPr="00F77964">
              <w:rPr>
                <w:rFonts w:eastAsia="SimSun"/>
                <w:sz w:val="18"/>
                <w:szCs w:val="18"/>
                <w:lang w:eastAsia="zh-CN"/>
              </w:rPr>
              <w:t xml:space="preserve">notamment de renforcer la capacité institutionnelle nécessaire pour mettre en œuvre le programme de travail, </w:t>
            </w:r>
            <w:r w:rsidR="00DA0E2E" w:rsidRPr="00F77964">
              <w:rPr>
                <w:rFonts w:eastAsia="SimSun"/>
                <w:sz w:val="18"/>
                <w:szCs w:val="18"/>
                <w:lang w:eastAsia="zh-CN"/>
              </w:rPr>
              <w:t xml:space="preserve">et </w:t>
            </w:r>
            <w:r w:rsidR="00DA5FF2">
              <w:rPr>
                <w:rFonts w:eastAsia="SimSun"/>
                <w:sz w:val="18"/>
                <w:szCs w:val="18"/>
                <w:lang w:eastAsia="zh-CN"/>
              </w:rPr>
              <w:t xml:space="preserve">étudie la possibilité de </w:t>
            </w:r>
            <w:r w:rsidRPr="00F77964">
              <w:rPr>
                <w:rFonts w:eastAsia="SimSun"/>
                <w:sz w:val="18"/>
                <w:szCs w:val="18"/>
                <w:lang w:eastAsia="zh-CN"/>
              </w:rPr>
              <w:t>lui demander de soutenir le produit </w:t>
            </w:r>
            <w:r w:rsidR="00D66005" w:rsidRPr="00F77964">
              <w:rPr>
                <w:rFonts w:eastAsia="SimSun"/>
                <w:sz w:val="18"/>
                <w:szCs w:val="18"/>
                <w:lang w:eastAsia="zh-CN"/>
              </w:rPr>
              <w:t>2</w:t>
            </w:r>
            <w:r w:rsidR="00DA0E2E" w:rsidRPr="00F77964">
              <w:rPr>
                <w:rFonts w:eastAsia="SimSun"/>
                <w:sz w:val="18"/>
                <w:szCs w:val="18"/>
                <w:lang w:eastAsia="zh-CN"/>
              </w:rPr>
              <w:t> </w:t>
            </w:r>
            <w:r w:rsidR="00D66005" w:rsidRPr="00F77964">
              <w:rPr>
                <w:rFonts w:eastAsia="SimSun"/>
                <w:sz w:val="18"/>
                <w:szCs w:val="18"/>
                <w:lang w:eastAsia="zh-CN"/>
              </w:rPr>
              <w:t xml:space="preserve">b) </w:t>
            </w:r>
            <w:r w:rsidRPr="00F77964">
              <w:rPr>
                <w:rFonts w:eastAsia="SimSun"/>
                <w:sz w:val="18"/>
                <w:szCs w:val="18"/>
                <w:lang w:eastAsia="zh-CN"/>
              </w:rPr>
              <w:t xml:space="preserve">sur les évaluations régionales/sous-régionales et d’aider le Bureau et le Groupe d’experts multidisciplinaire à mettre au point </w:t>
            </w:r>
            <w:r w:rsidR="00DA5FF2">
              <w:rPr>
                <w:rFonts w:eastAsia="SimSun"/>
                <w:sz w:val="18"/>
                <w:szCs w:val="18"/>
                <w:lang w:eastAsia="zh-CN"/>
              </w:rPr>
              <w:t>une proposition</w:t>
            </w:r>
            <w:r w:rsidR="006F2C91" w:rsidRPr="00F77964">
              <w:rPr>
                <w:rFonts w:eastAsia="SimSun"/>
                <w:sz w:val="18"/>
                <w:szCs w:val="18"/>
                <w:lang w:eastAsia="zh-CN"/>
              </w:rPr>
              <w:t xml:space="preserve"> de </w:t>
            </w:r>
            <w:r w:rsidR="00C362BD">
              <w:rPr>
                <w:rFonts w:eastAsia="SimSun"/>
                <w:sz w:val="18"/>
                <w:szCs w:val="18"/>
                <w:lang w:eastAsia="zh-CN"/>
              </w:rPr>
              <w:t>programmes de bourses de recherche</w:t>
            </w:r>
            <w:r w:rsidRPr="00F77964">
              <w:rPr>
                <w:rFonts w:eastAsia="SimSun"/>
                <w:sz w:val="18"/>
                <w:szCs w:val="18"/>
                <w:lang w:eastAsia="zh-CN"/>
              </w:rPr>
              <w:t>, d’échange</w:t>
            </w:r>
            <w:r w:rsidR="006F2C91" w:rsidRPr="00F77964">
              <w:rPr>
                <w:rFonts w:eastAsia="SimSun"/>
                <w:sz w:val="18"/>
                <w:szCs w:val="18"/>
                <w:lang w:eastAsia="zh-CN"/>
              </w:rPr>
              <w:t>s</w:t>
            </w:r>
            <w:r w:rsidRPr="00F77964">
              <w:rPr>
                <w:rFonts w:eastAsia="SimSun"/>
                <w:sz w:val="18"/>
                <w:szCs w:val="18"/>
                <w:lang w:eastAsia="zh-CN"/>
              </w:rPr>
              <w:t xml:space="preserve"> et de formation à soumettre à la Plénière</w:t>
            </w:r>
          </w:p>
        </w:tc>
      </w:tr>
      <w:tr w:rsidR="00D66005" w:rsidRPr="0061490E" w:rsidTr="00AF3D13">
        <w:trPr>
          <w:trHeight w:val="387"/>
        </w:trPr>
        <w:tc>
          <w:tcPr>
            <w:tcW w:w="605"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AF3D13">
            <w:pPr>
              <w:pStyle w:val="Normal-pool"/>
              <w:spacing w:before="40" w:after="40"/>
              <w:rPr>
                <w:rFonts w:eastAsia="SimSun"/>
                <w:sz w:val="18"/>
                <w:szCs w:val="18"/>
                <w:lang w:eastAsia="zh-CN"/>
              </w:rPr>
            </w:pPr>
            <w:r w:rsidRPr="00F77964">
              <w:rPr>
                <w:rFonts w:eastAsia="SimSun"/>
                <w:sz w:val="18"/>
                <w:szCs w:val="18"/>
                <w:lang w:eastAsia="zh-CN"/>
              </w:rPr>
              <w:t>2014</w:t>
            </w:r>
          </w:p>
        </w:tc>
        <w:tc>
          <w:tcPr>
            <w:tcW w:w="1303" w:type="dxa"/>
            <w:tcBorders>
              <w:top w:val="single" w:sz="4" w:space="0" w:color="auto"/>
              <w:left w:val="single" w:sz="4" w:space="0" w:color="auto"/>
              <w:bottom w:val="single" w:sz="4" w:space="0" w:color="auto"/>
              <w:right w:val="single" w:sz="4" w:space="0" w:color="auto"/>
            </w:tcBorders>
            <w:hideMark/>
          </w:tcPr>
          <w:p w:rsidR="00D66005" w:rsidRPr="00F77964" w:rsidRDefault="00034423" w:rsidP="00AF3D13">
            <w:pPr>
              <w:pStyle w:val="Normal-pool"/>
              <w:spacing w:before="40" w:after="40"/>
              <w:rPr>
                <w:rFonts w:eastAsia="SimSun"/>
                <w:sz w:val="18"/>
                <w:szCs w:val="18"/>
                <w:lang w:eastAsia="zh-CN"/>
              </w:rPr>
            </w:pPr>
            <w:r w:rsidRPr="00F77964">
              <w:rPr>
                <w:rFonts w:eastAsia="SimSun"/>
                <w:sz w:val="18"/>
                <w:szCs w:val="18"/>
                <w:lang w:eastAsia="zh-CN"/>
              </w:rPr>
              <w:t>Deuxième</w:t>
            </w:r>
            <w:r w:rsidR="00D66005" w:rsidRPr="00F77964">
              <w:rPr>
                <w:rFonts w:eastAsia="SimSun"/>
                <w:sz w:val="18"/>
                <w:szCs w:val="18"/>
                <w:lang w:eastAsia="zh-CN"/>
              </w:rPr>
              <w:t>/</w:t>
            </w:r>
            <w:r w:rsidR="00AF3D13">
              <w:rPr>
                <w:rFonts w:eastAsia="SimSun"/>
                <w:sz w:val="18"/>
                <w:szCs w:val="18"/>
                <w:lang w:eastAsia="zh-CN"/>
              </w:rPr>
              <w:br/>
            </w:r>
            <w:r w:rsidRPr="00F77964">
              <w:rPr>
                <w:rFonts w:eastAsia="SimSun"/>
                <w:sz w:val="18"/>
                <w:szCs w:val="18"/>
                <w:lang w:eastAsia="zh-CN"/>
              </w:rPr>
              <w:t>troisième trimestres</w:t>
            </w:r>
          </w:p>
        </w:tc>
        <w:tc>
          <w:tcPr>
            <w:tcW w:w="6698" w:type="dxa"/>
            <w:tcBorders>
              <w:top w:val="single" w:sz="4" w:space="0" w:color="auto"/>
              <w:left w:val="single" w:sz="4" w:space="0" w:color="auto"/>
              <w:bottom w:val="single" w:sz="4" w:space="0" w:color="auto"/>
              <w:right w:val="single" w:sz="4" w:space="0" w:color="auto"/>
            </w:tcBorders>
            <w:hideMark/>
          </w:tcPr>
          <w:p w:rsidR="00D66005" w:rsidRPr="00F77964" w:rsidRDefault="00034423" w:rsidP="00AF3D13">
            <w:pPr>
              <w:pStyle w:val="Normal-pool"/>
              <w:spacing w:before="40" w:after="40"/>
              <w:rPr>
                <w:rFonts w:eastAsia="SimSun"/>
                <w:sz w:val="18"/>
                <w:szCs w:val="18"/>
                <w:lang w:eastAsia="zh-CN"/>
              </w:rPr>
            </w:pPr>
            <w:r w:rsidRPr="00F77964">
              <w:rPr>
                <w:rFonts w:eastAsia="SimSun"/>
                <w:sz w:val="18"/>
                <w:szCs w:val="18"/>
                <w:lang w:eastAsia="zh-CN"/>
              </w:rPr>
              <w:t xml:space="preserve">L’équipe spéciale sur le renforcement des capacités met au point </w:t>
            </w:r>
            <w:r w:rsidR="00DA5FF2">
              <w:rPr>
                <w:rFonts w:eastAsia="SimSun"/>
                <w:sz w:val="18"/>
                <w:szCs w:val="18"/>
                <w:lang w:eastAsia="zh-CN"/>
              </w:rPr>
              <w:t xml:space="preserve">une proposition </w:t>
            </w:r>
            <w:r w:rsidR="00451946" w:rsidRPr="00F77964">
              <w:rPr>
                <w:rFonts w:eastAsia="SimSun"/>
                <w:sz w:val="18"/>
                <w:szCs w:val="18"/>
                <w:lang w:eastAsia="zh-CN"/>
              </w:rPr>
              <w:t xml:space="preserve">de </w:t>
            </w:r>
            <w:r w:rsidR="00C362BD">
              <w:rPr>
                <w:rFonts w:eastAsia="SimSun"/>
                <w:sz w:val="18"/>
                <w:szCs w:val="18"/>
                <w:lang w:eastAsia="zh-CN"/>
              </w:rPr>
              <w:t>programmes de bourses de recherche</w:t>
            </w:r>
            <w:r w:rsidR="00451946" w:rsidRPr="00F77964">
              <w:rPr>
                <w:rFonts w:eastAsia="SimSun"/>
                <w:sz w:val="18"/>
                <w:szCs w:val="18"/>
                <w:lang w:eastAsia="zh-CN"/>
              </w:rPr>
              <w:t>,</w:t>
            </w:r>
            <w:r w:rsidRPr="00F77964">
              <w:rPr>
                <w:rFonts w:eastAsia="SimSun"/>
                <w:sz w:val="18"/>
                <w:szCs w:val="18"/>
                <w:lang w:eastAsia="zh-CN"/>
              </w:rPr>
              <w:t xml:space="preserve"> d’échange</w:t>
            </w:r>
            <w:r w:rsidR="00451946" w:rsidRPr="00F77964">
              <w:rPr>
                <w:rFonts w:eastAsia="SimSun"/>
                <w:sz w:val="18"/>
                <w:szCs w:val="18"/>
                <w:lang w:eastAsia="zh-CN"/>
              </w:rPr>
              <w:t>s</w:t>
            </w:r>
            <w:r w:rsidRPr="00F77964">
              <w:rPr>
                <w:rFonts w:eastAsia="SimSun"/>
                <w:sz w:val="18"/>
                <w:szCs w:val="18"/>
                <w:lang w:eastAsia="zh-CN"/>
              </w:rPr>
              <w:t xml:space="preserve"> et de formation</w:t>
            </w:r>
          </w:p>
        </w:tc>
      </w:tr>
      <w:tr w:rsidR="00D66005" w:rsidRPr="0061490E" w:rsidTr="00D66005">
        <w:trPr>
          <w:trHeight w:val="387"/>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sz w:val="18"/>
                <w:szCs w:val="18"/>
                <w:lang w:eastAsia="zh-CN"/>
              </w:rPr>
            </w:pPr>
          </w:p>
        </w:tc>
        <w:tc>
          <w:tcPr>
            <w:tcW w:w="1303" w:type="dxa"/>
            <w:tcBorders>
              <w:top w:val="single" w:sz="4" w:space="0" w:color="auto"/>
              <w:left w:val="single" w:sz="4" w:space="0" w:color="auto"/>
              <w:bottom w:val="single" w:sz="4" w:space="0" w:color="auto"/>
              <w:right w:val="single" w:sz="4" w:space="0" w:color="auto"/>
            </w:tcBorders>
            <w:hideMark/>
          </w:tcPr>
          <w:p w:rsidR="00D66005" w:rsidRPr="00F77964" w:rsidRDefault="002F7127" w:rsidP="002F7127">
            <w:pPr>
              <w:pStyle w:val="Normal-pool"/>
              <w:spacing w:before="40" w:after="40"/>
              <w:rPr>
                <w:rFonts w:eastAsia="SimSun"/>
                <w:sz w:val="18"/>
                <w:szCs w:val="18"/>
                <w:lang w:eastAsia="zh-CN"/>
              </w:rPr>
            </w:pPr>
            <w:r w:rsidRPr="00F77964">
              <w:rPr>
                <w:rFonts w:eastAsia="SimSun"/>
                <w:sz w:val="18"/>
                <w:szCs w:val="18"/>
                <w:lang w:eastAsia="zh-CN"/>
              </w:rPr>
              <w:t>D</w:t>
            </w:r>
            <w:r w:rsidR="00034423" w:rsidRPr="00F77964">
              <w:rPr>
                <w:rFonts w:eastAsia="SimSun"/>
                <w:sz w:val="18"/>
                <w:szCs w:val="18"/>
                <w:lang w:eastAsia="zh-CN"/>
              </w:rPr>
              <w:t>euxième/troisième/quatrième trimestres</w:t>
            </w:r>
          </w:p>
        </w:tc>
        <w:tc>
          <w:tcPr>
            <w:tcW w:w="6698"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034423" w:rsidP="00860711">
            <w:pPr>
              <w:pStyle w:val="Normal-pool"/>
              <w:spacing w:before="40" w:after="40"/>
              <w:rPr>
                <w:rFonts w:eastAsia="SimSun"/>
                <w:sz w:val="18"/>
                <w:szCs w:val="18"/>
                <w:lang w:eastAsia="zh-CN"/>
              </w:rPr>
            </w:pPr>
            <w:r w:rsidRPr="00F77964">
              <w:rPr>
                <w:rFonts w:eastAsia="SimSun"/>
                <w:sz w:val="18"/>
                <w:szCs w:val="18"/>
                <w:lang w:eastAsia="zh-CN"/>
              </w:rPr>
              <w:t>L’équipe spéciale de renforcement des capacités contribue au renforcement de la capacité institutionnelle nécessaire pour mettre en œuvre le programme de travail, en particulier les évaluations régionales et sous-régionales</w:t>
            </w:r>
            <w:r w:rsidR="00D66005" w:rsidRPr="00F77964">
              <w:rPr>
                <w:rFonts w:eastAsia="SimSun"/>
                <w:sz w:val="18"/>
                <w:szCs w:val="18"/>
                <w:lang w:eastAsia="zh-CN"/>
              </w:rPr>
              <w:t xml:space="preserve"> (</w:t>
            </w:r>
            <w:r w:rsidRPr="00F77964">
              <w:rPr>
                <w:rFonts w:eastAsia="SimSun"/>
                <w:sz w:val="18"/>
                <w:szCs w:val="18"/>
                <w:lang w:eastAsia="zh-CN"/>
              </w:rPr>
              <w:t>voir produit </w:t>
            </w:r>
            <w:r w:rsidR="00D66005" w:rsidRPr="00F77964">
              <w:rPr>
                <w:rFonts w:eastAsia="SimSun"/>
                <w:sz w:val="18"/>
                <w:szCs w:val="18"/>
                <w:lang w:eastAsia="zh-CN"/>
              </w:rPr>
              <w:t>2 (b))</w:t>
            </w:r>
          </w:p>
        </w:tc>
      </w:tr>
      <w:tr w:rsidR="00D66005" w:rsidRPr="0061490E" w:rsidTr="00D66005">
        <w:trPr>
          <w:trHeight w:val="279"/>
        </w:trPr>
        <w:tc>
          <w:tcPr>
            <w:tcW w:w="605"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pPr>
              <w:pStyle w:val="Normal-pool"/>
              <w:spacing w:before="40" w:after="40"/>
              <w:rPr>
                <w:rFonts w:eastAsia="SimSun"/>
                <w:sz w:val="18"/>
                <w:szCs w:val="18"/>
                <w:lang w:eastAsia="zh-CN"/>
              </w:rPr>
            </w:pPr>
            <w:r w:rsidRPr="00F77964">
              <w:rPr>
                <w:rFonts w:eastAsia="SimSun"/>
                <w:sz w:val="18"/>
                <w:szCs w:val="18"/>
                <w:lang w:eastAsia="zh-CN"/>
              </w:rPr>
              <w:t>2015</w:t>
            </w:r>
          </w:p>
        </w:tc>
        <w:tc>
          <w:tcPr>
            <w:tcW w:w="1303"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034423" w:rsidP="00034423">
            <w:pPr>
              <w:pStyle w:val="Normal-pool"/>
              <w:spacing w:before="40" w:after="40"/>
              <w:rPr>
                <w:rFonts w:eastAsia="SimSun"/>
                <w:sz w:val="18"/>
                <w:szCs w:val="18"/>
                <w:lang w:eastAsia="zh-CN"/>
              </w:rPr>
            </w:pPr>
            <w:r w:rsidRPr="00F77964">
              <w:rPr>
                <w:rFonts w:eastAsia="SimSun"/>
                <w:sz w:val="18"/>
                <w:szCs w:val="18"/>
                <w:lang w:eastAsia="zh-CN"/>
              </w:rPr>
              <w:t>Premier trimestre</w:t>
            </w:r>
          </w:p>
        </w:tc>
        <w:tc>
          <w:tcPr>
            <w:tcW w:w="6698"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034423" w:rsidP="00451946">
            <w:pPr>
              <w:pStyle w:val="Normal-pool"/>
              <w:spacing w:before="40" w:after="40"/>
              <w:rPr>
                <w:rFonts w:eastAsia="SimSun"/>
                <w:sz w:val="18"/>
                <w:szCs w:val="18"/>
                <w:lang w:eastAsia="zh-CN"/>
              </w:rPr>
            </w:pPr>
            <w:r w:rsidRPr="00F77964">
              <w:rPr>
                <w:rFonts w:eastAsia="SimSun"/>
                <w:sz w:val="18"/>
                <w:szCs w:val="18"/>
                <w:lang w:eastAsia="zh-CN"/>
              </w:rPr>
              <w:t>La Plénière, à sa troisième session, e</w:t>
            </w:r>
            <w:r w:rsidR="00451946" w:rsidRPr="00F77964">
              <w:rPr>
                <w:rFonts w:eastAsia="SimSun"/>
                <w:sz w:val="18"/>
                <w:szCs w:val="18"/>
                <w:lang w:eastAsia="zh-CN"/>
              </w:rPr>
              <w:t>xamine</w:t>
            </w:r>
            <w:r w:rsidRPr="00F77964">
              <w:rPr>
                <w:rFonts w:eastAsia="SimSun"/>
                <w:sz w:val="18"/>
                <w:szCs w:val="18"/>
                <w:lang w:eastAsia="zh-CN"/>
              </w:rPr>
              <w:t xml:space="preserve"> </w:t>
            </w:r>
            <w:r w:rsidR="00DA5FF2">
              <w:rPr>
                <w:rFonts w:eastAsia="SimSun"/>
                <w:sz w:val="18"/>
                <w:szCs w:val="18"/>
                <w:lang w:eastAsia="zh-CN"/>
              </w:rPr>
              <w:t xml:space="preserve">la question de </w:t>
            </w:r>
            <w:r w:rsidRPr="00F77964">
              <w:rPr>
                <w:rFonts w:eastAsia="SimSun"/>
                <w:sz w:val="18"/>
                <w:szCs w:val="18"/>
                <w:lang w:eastAsia="zh-CN"/>
              </w:rPr>
              <w:t>l’établissement de programmes et de bourses, d’échange et de formation</w:t>
            </w:r>
          </w:p>
        </w:tc>
      </w:tr>
      <w:tr w:rsidR="00D66005" w:rsidRPr="0061490E" w:rsidTr="00D66005">
        <w:trPr>
          <w:trHeight w:val="279"/>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sz w:val="18"/>
                <w:szCs w:val="18"/>
                <w:lang w:eastAsia="zh-CN"/>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sz w:val="18"/>
                <w:szCs w:val="18"/>
                <w:lang w:eastAsia="zh-CN"/>
              </w:rPr>
            </w:pPr>
          </w:p>
        </w:tc>
        <w:tc>
          <w:tcPr>
            <w:tcW w:w="6698"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034423" w:rsidP="004310B0">
            <w:pPr>
              <w:pStyle w:val="Normal-pool"/>
              <w:spacing w:before="40" w:after="40"/>
              <w:rPr>
                <w:rFonts w:eastAsia="SimSun"/>
                <w:sz w:val="18"/>
                <w:szCs w:val="18"/>
                <w:lang w:eastAsia="zh-CN"/>
              </w:rPr>
            </w:pPr>
            <w:r w:rsidRPr="00F77964">
              <w:rPr>
                <w:rFonts w:eastAsia="SimSun"/>
                <w:sz w:val="18"/>
                <w:szCs w:val="18"/>
                <w:lang w:eastAsia="zh-CN"/>
              </w:rPr>
              <w:t xml:space="preserve">La Plénière, à sa troisième session, </w:t>
            </w:r>
            <w:r w:rsidR="00DA5FF2">
              <w:rPr>
                <w:rFonts w:eastAsia="SimSun"/>
                <w:sz w:val="18"/>
                <w:szCs w:val="18"/>
                <w:lang w:eastAsia="zh-CN"/>
              </w:rPr>
              <w:t xml:space="preserve">examine la possibilité de </w:t>
            </w:r>
            <w:r w:rsidRPr="00F77964">
              <w:rPr>
                <w:rFonts w:eastAsia="SimSun"/>
                <w:sz w:val="18"/>
                <w:szCs w:val="18"/>
                <w:lang w:eastAsia="zh-CN"/>
              </w:rPr>
              <w:t>demander à l’équipe spéciale de contribuer à répondre aux besoins hiérarchis</w:t>
            </w:r>
            <w:r w:rsidR="003803D3" w:rsidRPr="00F77964">
              <w:rPr>
                <w:rFonts w:eastAsia="SimSun"/>
                <w:sz w:val="18"/>
                <w:szCs w:val="18"/>
                <w:lang w:eastAsia="zh-CN"/>
              </w:rPr>
              <w:t xml:space="preserve">és de renforcement des </w:t>
            </w:r>
            <w:r w:rsidRPr="00F77964">
              <w:rPr>
                <w:rFonts w:eastAsia="SimSun"/>
                <w:sz w:val="18"/>
                <w:szCs w:val="18"/>
                <w:lang w:eastAsia="zh-CN"/>
              </w:rPr>
              <w:t xml:space="preserve">capacités </w:t>
            </w:r>
            <w:r w:rsidR="00AB27E4" w:rsidRPr="00F77964">
              <w:rPr>
                <w:rFonts w:eastAsia="SimSun"/>
                <w:sz w:val="18"/>
                <w:szCs w:val="18"/>
                <w:lang w:eastAsia="zh-CN"/>
              </w:rPr>
              <w:t xml:space="preserve">dont il a été convenu, </w:t>
            </w:r>
            <w:r w:rsidR="00860711" w:rsidRPr="00F77964">
              <w:rPr>
                <w:rFonts w:eastAsia="SimSun"/>
                <w:sz w:val="18"/>
                <w:szCs w:val="18"/>
                <w:lang w:eastAsia="zh-CN"/>
              </w:rPr>
              <w:t xml:space="preserve">au moyen </w:t>
            </w:r>
            <w:r w:rsidR="00AB27E4" w:rsidRPr="00F77964">
              <w:rPr>
                <w:rFonts w:eastAsia="SimSun"/>
                <w:sz w:val="18"/>
                <w:szCs w:val="18"/>
                <w:lang w:eastAsia="zh-CN"/>
              </w:rPr>
              <w:t>des</w:t>
            </w:r>
            <w:r w:rsidRPr="00F77964">
              <w:rPr>
                <w:rFonts w:eastAsia="SimSun"/>
                <w:sz w:val="18"/>
                <w:szCs w:val="18"/>
                <w:lang w:eastAsia="zh-CN"/>
              </w:rPr>
              <w:t xml:space="preserve"> ressources </w:t>
            </w:r>
            <w:r w:rsidR="004310B0">
              <w:rPr>
                <w:rFonts w:eastAsia="SimSun"/>
                <w:sz w:val="18"/>
                <w:szCs w:val="18"/>
                <w:lang w:eastAsia="zh-CN"/>
              </w:rPr>
              <w:t xml:space="preserve">mises à </w:t>
            </w:r>
            <w:r w:rsidRPr="00F77964">
              <w:rPr>
                <w:rFonts w:eastAsia="SimSun"/>
                <w:sz w:val="18"/>
                <w:szCs w:val="18"/>
                <w:lang w:eastAsia="zh-CN"/>
              </w:rPr>
              <w:t>dispo</w:t>
            </w:r>
            <w:r w:rsidR="004310B0">
              <w:rPr>
                <w:rFonts w:eastAsia="SimSun"/>
                <w:sz w:val="18"/>
                <w:szCs w:val="18"/>
                <w:lang w:eastAsia="zh-CN"/>
              </w:rPr>
              <w:t>sition par le</w:t>
            </w:r>
            <w:r w:rsidR="00DA5FF2">
              <w:rPr>
                <w:rFonts w:eastAsia="SimSun"/>
                <w:sz w:val="18"/>
                <w:szCs w:val="18"/>
                <w:lang w:eastAsia="zh-CN"/>
              </w:rPr>
              <w:t xml:space="preserve"> </w:t>
            </w:r>
            <w:r w:rsidRPr="00F77964">
              <w:rPr>
                <w:rFonts w:eastAsia="SimSun"/>
                <w:sz w:val="18"/>
                <w:szCs w:val="18"/>
                <w:lang w:eastAsia="zh-CN"/>
              </w:rPr>
              <w:t xml:space="preserve">Fonds d’affectation spéciale de la </w:t>
            </w:r>
            <w:r w:rsidR="00AB27E4" w:rsidRPr="00F77964">
              <w:rPr>
                <w:rFonts w:eastAsia="SimSun"/>
                <w:sz w:val="18"/>
                <w:szCs w:val="18"/>
                <w:lang w:eastAsia="zh-CN"/>
              </w:rPr>
              <w:t>P</w:t>
            </w:r>
            <w:r w:rsidRPr="00F77964">
              <w:rPr>
                <w:rFonts w:eastAsia="SimSun"/>
                <w:sz w:val="18"/>
                <w:szCs w:val="18"/>
                <w:lang w:eastAsia="zh-CN"/>
              </w:rPr>
              <w:t xml:space="preserve">lateforme </w:t>
            </w:r>
            <w:r w:rsidR="00AB27E4" w:rsidRPr="00F77964">
              <w:rPr>
                <w:rFonts w:eastAsia="SimSun"/>
                <w:sz w:val="18"/>
                <w:szCs w:val="18"/>
                <w:lang w:eastAsia="zh-CN"/>
              </w:rPr>
              <w:t xml:space="preserve">ou </w:t>
            </w:r>
            <w:r w:rsidR="004310B0">
              <w:rPr>
                <w:rFonts w:eastAsia="SimSun"/>
                <w:sz w:val="18"/>
                <w:szCs w:val="18"/>
                <w:lang w:eastAsia="zh-CN"/>
              </w:rPr>
              <w:t>des aides</w:t>
            </w:r>
            <w:r w:rsidR="00AB27E4" w:rsidRPr="00F77964">
              <w:rPr>
                <w:rFonts w:eastAsia="SimSun"/>
                <w:sz w:val="18"/>
                <w:szCs w:val="18"/>
                <w:lang w:eastAsia="zh-CN"/>
              </w:rPr>
              <w:t xml:space="preserve"> financi</w:t>
            </w:r>
            <w:r w:rsidR="004310B0">
              <w:rPr>
                <w:rFonts w:eastAsia="SimSun"/>
                <w:sz w:val="18"/>
                <w:szCs w:val="18"/>
                <w:lang w:eastAsia="zh-CN"/>
              </w:rPr>
              <w:t>ère</w:t>
            </w:r>
            <w:r w:rsidR="00860711" w:rsidRPr="00F77964">
              <w:rPr>
                <w:rFonts w:eastAsia="SimSun"/>
                <w:sz w:val="18"/>
                <w:szCs w:val="18"/>
                <w:lang w:eastAsia="zh-CN"/>
              </w:rPr>
              <w:t xml:space="preserve">s ou en </w:t>
            </w:r>
            <w:r w:rsidR="00AB27E4" w:rsidRPr="00F77964">
              <w:rPr>
                <w:rFonts w:eastAsia="SimSun"/>
                <w:sz w:val="18"/>
                <w:szCs w:val="18"/>
                <w:lang w:eastAsia="zh-CN"/>
              </w:rPr>
              <w:t xml:space="preserve">nature </w:t>
            </w:r>
            <w:r w:rsidR="004310B0">
              <w:rPr>
                <w:rFonts w:eastAsia="SimSun"/>
                <w:sz w:val="18"/>
                <w:szCs w:val="18"/>
                <w:lang w:eastAsia="zh-CN"/>
              </w:rPr>
              <w:t>obtenue</w:t>
            </w:r>
            <w:r w:rsidR="00860711" w:rsidRPr="00F77964">
              <w:rPr>
                <w:rFonts w:eastAsia="SimSun"/>
                <w:sz w:val="18"/>
                <w:szCs w:val="18"/>
                <w:lang w:eastAsia="zh-CN"/>
              </w:rPr>
              <w:t>s</w:t>
            </w:r>
            <w:r w:rsidR="00D66005" w:rsidRPr="00F77964">
              <w:rPr>
                <w:rFonts w:eastAsia="SimSun"/>
                <w:sz w:val="18"/>
                <w:szCs w:val="18"/>
                <w:lang w:eastAsia="zh-CN"/>
              </w:rPr>
              <w:t xml:space="preserve"> (</w:t>
            </w:r>
            <w:r w:rsidRPr="00F77964">
              <w:rPr>
                <w:rFonts w:eastAsia="SimSun"/>
                <w:sz w:val="18"/>
                <w:szCs w:val="18"/>
                <w:lang w:eastAsia="zh-CN"/>
              </w:rPr>
              <w:t>voir produit </w:t>
            </w:r>
            <w:r w:rsidR="00D66005" w:rsidRPr="00F77964">
              <w:rPr>
                <w:rFonts w:eastAsia="SimSun"/>
                <w:sz w:val="18"/>
                <w:szCs w:val="18"/>
                <w:lang w:eastAsia="zh-CN"/>
              </w:rPr>
              <w:t>1</w:t>
            </w:r>
            <w:r w:rsidR="002F7127" w:rsidRPr="00F77964">
              <w:rPr>
                <w:rFonts w:eastAsia="SimSun"/>
                <w:sz w:val="18"/>
                <w:szCs w:val="18"/>
                <w:lang w:eastAsia="zh-CN"/>
              </w:rPr>
              <w:t> </w:t>
            </w:r>
            <w:r w:rsidR="00D66005" w:rsidRPr="00F77964">
              <w:rPr>
                <w:rFonts w:eastAsia="SimSun"/>
                <w:sz w:val="18"/>
                <w:szCs w:val="18"/>
                <w:lang w:eastAsia="zh-CN"/>
              </w:rPr>
              <w:t>a))</w:t>
            </w:r>
          </w:p>
        </w:tc>
      </w:tr>
      <w:tr w:rsidR="00D66005" w:rsidRPr="0061490E" w:rsidTr="00AF3D13">
        <w:trPr>
          <w:trHeight w:val="56"/>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sz w:val="18"/>
                <w:szCs w:val="18"/>
                <w:lang w:eastAsia="zh-CN"/>
              </w:rPr>
            </w:pPr>
          </w:p>
        </w:tc>
        <w:tc>
          <w:tcPr>
            <w:tcW w:w="1303" w:type="dxa"/>
            <w:tcBorders>
              <w:top w:val="single" w:sz="4" w:space="0" w:color="auto"/>
              <w:left w:val="single" w:sz="4" w:space="0" w:color="auto"/>
              <w:bottom w:val="single" w:sz="4" w:space="0" w:color="auto"/>
              <w:right w:val="single" w:sz="4" w:space="0" w:color="auto"/>
            </w:tcBorders>
            <w:hideMark/>
          </w:tcPr>
          <w:p w:rsidR="00D66005" w:rsidRPr="00F77964" w:rsidRDefault="00034423" w:rsidP="00AF3D13">
            <w:pPr>
              <w:pStyle w:val="Normal-pool"/>
              <w:spacing w:before="40" w:after="40"/>
              <w:rPr>
                <w:rFonts w:eastAsia="SimSun"/>
                <w:sz w:val="18"/>
                <w:szCs w:val="18"/>
                <w:lang w:eastAsia="zh-CN"/>
              </w:rPr>
            </w:pPr>
            <w:r w:rsidRPr="00F77964">
              <w:rPr>
                <w:rFonts w:eastAsia="SimSun"/>
                <w:sz w:val="18"/>
                <w:szCs w:val="18"/>
                <w:lang w:eastAsia="zh-CN"/>
              </w:rPr>
              <w:t>Premier/deuxième/troisième/quatrième trimestres</w:t>
            </w:r>
          </w:p>
        </w:tc>
        <w:tc>
          <w:tcPr>
            <w:tcW w:w="6698" w:type="dxa"/>
            <w:tcBorders>
              <w:top w:val="single" w:sz="4" w:space="0" w:color="auto"/>
              <w:left w:val="single" w:sz="4" w:space="0" w:color="auto"/>
              <w:bottom w:val="single" w:sz="4" w:space="0" w:color="auto"/>
              <w:right w:val="single" w:sz="4" w:space="0" w:color="auto"/>
            </w:tcBorders>
            <w:hideMark/>
          </w:tcPr>
          <w:p w:rsidR="00D66005" w:rsidRPr="00F77964" w:rsidRDefault="00034423" w:rsidP="00AF3D13">
            <w:pPr>
              <w:pStyle w:val="Normal-pool"/>
              <w:spacing w:before="40" w:after="40"/>
              <w:rPr>
                <w:rFonts w:eastAsia="SimSun"/>
                <w:sz w:val="18"/>
                <w:szCs w:val="18"/>
                <w:lang w:eastAsia="zh-CN"/>
              </w:rPr>
            </w:pPr>
            <w:r w:rsidRPr="00F77964">
              <w:rPr>
                <w:rFonts w:eastAsia="SimSun"/>
                <w:sz w:val="18"/>
                <w:szCs w:val="18"/>
                <w:lang w:eastAsia="zh-CN"/>
              </w:rPr>
              <w:t xml:space="preserve">L’équipe spéciale sur le renforcement des capacités </w:t>
            </w:r>
            <w:r w:rsidR="00860711" w:rsidRPr="00F77964">
              <w:rPr>
                <w:rFonts w:eastAsia="SimSun"/>
                <w:sz w:val="18"/>
                <w:szCs w:val="18"/>
                <w:lang w:eastAsia="zh-CN"/>
              </w:rPr>
              <w:t>s’emploie à répondre</w:t>
            </w:r>
            <w:r w:rsidRPr="00F77964">
              <w:rPr>
                <w:rFonts w:eastAsia="SimSun"/>
                <w:sz w:val="18"/>
                <w:szCs w:val="18"/>
                <w:lang w:eastAsia="zh-CN"/>
              </w:rPr>
              <w:t xml:space="preserve"> aux besoins hiérarchisés</w:t>
            </w:r>
            <w:r w:rsidR="00D32161" w:rsidRPr="00F77964">
              <w:rPr>
                <w:rFonts w:eastAsia="SimSun"/>
                <w:sz w:val="18"/>
                <w:szCs w:val="18"/>
                <w:lang w:eastAsia="zh-CN"/>
              </w:rPr>
              <w:t xml:space="preserve"> d</w:t>
            </w:r>
            <w:r w:rsidR="00860711" w:rsidRPr="00F77964">
              <w:rPr>
                <w:rFonts w:eastAsia="SimSun"/>
                <w:sz w:val="18"/>
                <w:szCs w:val="18"/>
                <w:lang w:eastAsia="zh-CN"/>
              </w:rPr>
              <w:t>e</w:t>
            </w:r>
            <w:r w:rsidR="00D32161" w:rsidRPr="00F77964">
              <w:rPr>
                <w:rFonts w:eastAsia="SimSun"/>
                <w:sz w:val="18"/>
                <w:szCs w:val="18"/>
                <w:lang w:eastAsia="zh-CN"/>
              </w:rPr>
              <w:t xml:space="preserve"> renforcement des capacités</w:t>
            </w:r>
            <w:r w:rsidR="00B50402" w:rsidRPr="00F77964">
              <w:rPr>
                <w:rFonts w:eastAsia="SimSun"/>
                <w:sz w:val="18"/>
                <w:szCs w:val="18"/>
                <w:lang w:eastAsia="zh-CN"/>
              </w:rPr>
              <w:t>,</w:t>
            </w:r>
            <w:r w:rsidR="00D32161" w:rsidRPr="00F77964">
              <w:rPr>
                <w:rFonts w:eastAsia="SimSun"/>
                <w:sz w:val="18"/>
                <w:szCs w:val="18"/>
                <w:lang w:eastAsia="zh-CN"/>
              </w:rPr>
              <w:t xml:space="preserve"> tel</w:t>
            </w:r>
            <w:r w:rsidR="00B50402" w:rsidRPr="00F77964">
              <w:rPr>
                <w:rFonts w:eastAsia="SimSun"/>
                <w:sz w:val="18"/>
                <w:szCs w:val="18"/>
                <w:lang w:eastAsia="zh-CN"/>
              </w:rPr>
              <w:t>s</w:t>
            </w:r>
            <w:r w:rsidR="00D32161" w:rsidRPr="00F77964">
              <w:rPr>
                <w:rFonts w:eastAsia="SimSun"/>
                <w:sz w:val="18"/>
                <w:szCs w:val="18"/>
                <w:lang w:eastAsia="zh-CN"/>
              </w:rPr>
              <w:t xml:space="preserve"> qu</w:t>
            </w:r>
            <w:r w:rsidR="00B50402" w:rsidRPr="00F77964">
              <w:rPr>
                <w:rFonts w:eastAsia="SimSun"/>
                <w:sz w:val="18"/>
                <w:szCs w:val="18"/>
                <w:lang w:eastAsia="zh-CN"/>
              </w:rPr>
              <w:t>e convenus</w:t>
            </w:r>
            <w:r w:rsidR="00D32161" w:rsidRPr="00F77964">
              <w:rPr>
                <w:rFonts w:eastAsia="SimSun"/>
                <w:sz w:val="18"/>
                <w:szCs w:val="18"/>
                <w:lang w:eastAsia="zh-CN"/>
              </w:rPr>
              <w:t xml:space="preserve"> par la Plénière</w:t>
            </w:r>
            <w:r w:rsidR="00D66005" w:rsidRPr="00F77964">
              <w:rPr>
                <w:rFonts w:eastAsia="SimSun"/>
                <w:sz w:val="18"/>
                <w:szCs w:val="18"/>
                <w:lang w:eastAsia="zh-CN"/>
              </w:rPr>
              <w:t xml:space="preserve"> </w:t>
            </w:r>
          </w:p>
        </w:tc>
      </w:tr>
      <w:tr w:rsidR="00D66005" w:rsidRPr="0061490E" w:rsidTr="00D66005">
        <w:trPr>
          <w:trHeight w:val="217"/>
        </w:trPr>
        <w:tc>
          <w:tcPr>
            <w:tcW w:w="605"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pPr>
              <w:pStyle w:val="Normal-pool"/>
              <w:spacing w:before="40" w:after="40"/>
              <w:rPr>
                <w:rFonts w:eastAsia="SimSun"/>
                <w:sz w:val="18"/>
                <w:szCs w:val="18"/>
                <w:lang w:eastAsia="zh-CN"/>
              </w:rPr>
            </w:pPr>
            <w:r w:rsidRPr="00F77964">
              <w:rPr>
                <w:rFonts w:eastAsia="SimSun"/>
                <w:sz w:val="18"/>
                <w:szCs w:val="18"/>
                <w:lang w:eastAsia="zh-CN"/>
              </w:rPr>
              <w:t>2016</w:t>
            </w:r>
          </w:p>
        </w:tc>
        <w:tc>
          <w:tcPr>
            <w:tcW w:w="1303" w:type="dxa"/>
            <w:tcBorders>
              <w:top w:val="single" w:sz="4" w:space="0" w:color="auto"/>
              <w:left w:val="single" w:sz="4" w:space="0" w:color="auto"/>
              <w:bottom w:val="single" w:sz="4" w:space="0" w:color="auto"/>
              <w:right w:val="single" w:sz="4" w:space="0" w:color="auto"/>
            </w:tcBorders>
            <w:hideMark/>
          </w:tcPr>
          <w:p w:rsidR="00D66005" w:rsidRPr="00F77964" w:rsidRDefault="00D32161" w:rsidP="00D32161">
            <w:pPr>
              <w:pStyle w:val="Normal-pool"/>
              <w:spacing w:before="40" w:after="40"/>
              <w:rPr>
                <w:rFonts w:eastAsia="SimSun"/>
                <w:sz w:val="18"/>
                <w:szCs w:val="18"/>
                <w:lang w:eastAsia="zh-CN"/>
              </w:rPr>
            </w:pPr>
            <w:r w:rsidRPr="00F77964">
              <w:rPr>
                <w:rFonts w:eastAsia="SimSun"/>
                <w:sz w:val="18"/>
                <w:szCs w:val="18"/>
                <w:lang w:eastAsia="zh-CN"/>
              </w:rPr>
              <w:t>Premier trimestre</w:t>
            </w:r>
          </w:p>
        </w:tc>
        <w:tc>
          <w:tcPr>
            <w:tcW w:w="6698"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D32161" w:rsidP="00C01029">
            <w:pPr>
              <w:pStyle w:val="Normal-pool"/>
              <w:spacing w:before="40" w:after="40"/>
              <w:rPr>
                <w:rFonts w:eastAsia="SimSun"/>
                <w:sz w:val="18"/>
                <w:szCs w:val="18"/>
                <w:lang w:eastAsia="zh-CN"/>
              </w:rPr>
            </w:pPr>
            <w:r w:rsidRPr="00F77964">
              <w:rPr>
                <w:rFonts w:eastAsia="SimSun"/>
                <w:sz w:val="18"/>
                <w:szCs w:val="18"/>
                <w:lang w:eastAsia="zh-CN"/>
              </w:rPr>
              <w:t xml:space="preserve">La Plénière, à sa quatrième session, </w:t>
            </w:r>
            <w:r w:rsidR="00C01029">
              <w:rPr>
                <w:rFonts w:eastAsia="SimSun"/>
                <w:sz w:val="18"/>
                <w:szCs w:val="18"/>
                <w:lang w:eastAsia="zh-CN"/>
              </w:rPr>
              <w:t>étudie la possibilité de</w:t>
            </w:r>
            <w:r w:rsidRPr="00F77964">
              <w:rPr>
                <w:rFonts w:eastAsia="SimSun"/>
                <w:sz w:val="18"/>
                <w:szCs w:val="18"/>
                <w:lang w:eastAsia="zh-CN"/>
              </w:rPr>
              <w:t xml:space="preserve"> demander à l’équipe spéciale de contribuer à répondre aux besoins hiérarchisés de renforcement des capacités </w:t>
            </w:r>
            <w:r w:rsidR="00D66005" w:rsidRPr="00F77964">
              <w:rPr>
                <w:rFonts w:eastAsia="SimSun"/>
                <w:sz w:val="18"/>
                <w:szCs w:val="18"/>
                <w:lang w:eastAsia="zh-CN"/>
              </w:rPr>
              <w:t>(</w:t>
            </w:r>
            <w:r w:rsidRPr="00F77964">
              <w:rPr>
                <w:rFonts w:eastAsia="SimSun"/>
                <w:sz w:val="18"/>
                <w:szCs w:val="18"/>
                <w:lang w:eastAsia="zh-CN"/>
              </w:rPr>
              <w:t>voir produit </w:t>
            </w:r>
            <w:r w:rsidR="00D66005" w:rsidRPr="00F77964">
              <w:rPr>
                <w:rFonts w:eastAsia="SimSun"/>
                <w:sz w:val="18"/>
                <w:szCs w:val="18"/>
                <w:lang w:eastAsia="zh-CN"/>
              </w:rPr>
              <w:t>1 a))</w:t>
            </w:r>
          </w:p>
        </w:tc>
      </w:tr>
      <w:tr w:rsidR="00D66005" w:rsidRPr="0061490E" w:rsidTr="00AF3D13">
        <w:trPr>
          <w:trHeight w:val="56"/>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sz w:val="18"/>
                <w:szCs w:val="18"/>
                <w:lang w:eastAsia="zh-CN"/>
              </w:rPr>
            </w:pPr>
          </w:p>
        </w:tc>
        <w:tc>
          <w:tcPr>
            <w:tcW w:w="1303" w:type="dxa"/>
            <w:tcBorders>
              <w:top w:val="single" w:sz="4" w:space="0" w:color="auto"/>
              <w:left w:val="single" w:sz="4" w:space="0" w:color="auto"/>
              <w:bottom w:val="single" w:sz="4" w:space="0" w:color="auto"/>
              <w:right w:val="single" w:sz="4" w:space="0" w:color="auto"/>
            </w:tcBorders>
            <w:hideMark/>
          </w:tcPr>
          <w:p w:rsidR="00D66005" w:rsidRPr="00F77964" w:rsidRDefault="00D32161" w:rsidP="00AF3D13">
            <w:pPr>
              <w:pStyle w:val="Normal-pool"/>
              <w:spacing w:before="40" w:after="40"/>
              <w:rPr>
                <w:rFonts w:eastAsia="SimSun"/>
                <w:sz w:val="18"/>
                <w:szCs w:val="18"/>
                <w:lang w:eastAsia="zh-CN"/>
              </w:rPr>
            </w:pPr>
            <w:r w:rsidRPr="00F77964">
              <w:rPr>
                <w:rFonts w:eastAsia="SimSun"/>
                <w:sz w:val="18"/>
                <w:szCs w:val="18"/>
                <w:lang w:eastAsia="zh-CN"/>
              </w:rPr>
              <w:t>Premier/deuxième/troisième/quatrième trimestres</w:t>
            </w:r>
          </w:p>
        </w:tc>
        <w:tc>
          <w:tcPr>
            <w:tcW w:w="6698" w:type="dxa"/>
            <w:tcBorders>
              <w:top w:val="single" w:sz="4" w:space="0" w:color="auto"/>
              <w:left w:val="single" w:sz="4" w:space="0" w:color="auto"/>
              <w:bottom w:val="single" w:sz="4" w:space="0" w:color="auto"/>
              <w:right w:val="single" w:sz="4" w:space="0" w:color="auto"/>
            </w:tcBorders>
            <w:hideMark/>
          </w:tcPr>
          <w:p w:rsidR="00D66005" w:rsidRPr="00F77964" w:rsidRDefault="00D32161" w:rsidP="00AF3D13">
            <w:pPr>
              <w:pStyle w:val="Normal-pool"/>
              <w:spacing w:before="40" w:after="40"/>
              <w:rPr>
                <w:rFonts w:eastAsia="SimSun"/>
                <w:sz w:val="18"/>
                <w:szCs w:val="18"/>
                <w:lang w:eastAsia="zh-CN"/>
              </w:rPr>
            </w:pPr>
            <w:r w:rsidRPr="00F77964">
              <w:rPr>
                <w:rFonts w:eastAsia="SimSun"/>
                <w:sz w:val="18"/>
                <w:szCs w:val="18"/>
                <w:lang w:eastAsia="zh-CN"/>
              </w:rPr>
              <w:t xml:space="preserve">L’équipe spéciale sur le renforcement des capacités </w:t>
            </w:r>
            <w:r w:rsidR="00860711" w:rsidRPr="00F77964">
              <w:rPr>
                <w:rFonts w:eastAsia="SimSun"/>
                <w:sz w:val="18"/>
                <w:szCs w:val="18"/>
                <w:lang w:eastAsia="zh-CN"/>
              </w:rPr>
              <w:t xml:space="preserve">s’emploie à répondre </w:t>
            </w:r>
            <w:r w:rsidRPr="00F77964">
              <w:rPr>
                <w:rFonts w:eastAsia="SimSun"/>
                <w:sz w:val="18"/>
                <w:szCs w:val="18"/>
                <w:lang w:eastAsia="zh-CN"/>
              </w:rPr>
              <w:t>aux besoins hiérarchisés d</w:t>
            </w:r>
            <w:r w:rsidR="00860711" w:rsidRPr="00F77964">
              <w:rPr>
                <w:rFonts w:eastAsia="SimSun"/>
                <w:sz w:val="18"/>
                <w:szCs w:val="18"/>
                <w:lang w:eastAsia="zh-CN"/>
              </w:rPr>
              <w:t>e</w:t>
            </w:r>
            <w:r w:rsidRPr="00F77964">
              <w:rPr>
                <w:rFonts w:eastAsia="SimSun"/>
                <w:sz w:val="18"/>
                <w:szCs w:val="18"/>
                <w:lang w:eastAsia="zh-CN"/>
              </w:rPr>
              <w:t xml:space="preserve"> renforcement des capacités, tel</w:t>
            </w:r>
            <w:r w:rsidR="00B50402" w:rsidRPr="00F77964">
              <w:rPr>
                <w:rFonts w:eastAsia="SimSun"/>
                <w:sz w:val="18"/>
                <w:szCs w:val="18"/>
                <w:lang w:eastAsia="zh-CN"/>
              </w:rPr>
              <w:t>s que convenus</w:t>
            </w:r>
            <w:r w:rsidRPr="00F77964">
              <w:rPr>
                <w:rFonts w:eastAsia="SimSun"/>
                <w:sz w:val="18"/>
                <w:szCs w:val="18"/>
                <w:lang w:eastAsia="zh-CN"/>
              </w:rPr>
              <w:t xml:space="preserve"> par la Plénière</w:t>
            </w:r>
            <w:r w:rsidR="00D66005" w:rsidRPr="00F77964">
              <w:rPr>
                <w:rFonts w:eastAsia="SimSun"/>
                <w:sz w:val="18"/>
                <w:szCs w:val="18"/>
                <w:lang w:eastAsia="zh-CN"/>
              </w:rPr>
              <w:t xml:space="preserve"> </w:t>
            </w:r>
          </w:p>
        </w:tc>
      </w:tr>
      <w:tr w:rsidR="00D66005" w:rsidRPr="0061490E" w:rsidTr="00AF3D13">
        <w:trPr>
          <w:trHeight w:val="155"/>
        </w:trPr>
        <w:tc>
          <w:tcPr>
            <w:tcW w:w="605"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pPr>
              <w:pStyle w:val="Normal-pool"/>
              <w:spacing w:before="40" w:after="40"/>
              <w:rPr>
                <w:rFonts w:eastAsia="SimSun"/>
                <w:sz w:val="18"/>
                <w:szCs w:val="18"/>
                <w:lang w:eastAsia="zh-CN"/>
              </w:rPr>
            </w:pPr>
            <w:r w:rsidRPr="00F77964">
              <w:rPr>
                <w:rFonts w:eastAsia="SimSun"/>
                <w:sz w:val="18"/>
                <w:szCs w:val="18"/>
                <w:lang w:eastAsia="zh-CN"/>
              </w:rPr>
              <w:t>2017</w:t>
            </w:r>
          </w:p>
        </w:tc>
        <w:tc>
          <w:tcPr>
            <w:tcW w:w="1303" w:type="dxa"/>
            <w:tcBorders>
              <w:top w:val="single" w:sz="4" w:space="0" w:color="auto"/>
              <w:left w:val="single" w:sz="4" w:space="0" w:color="auto"/>
              <w:bottom w:val="single" w:sz="4" w:space="0" w:color="auto"/>
              <w:right w:val="single" w:sz="4" w:space="0" w:color="auto"/>
            </w:tcBorders>
            <w:hideMark/>
          </w:tcPr>
          <w:p w:rsidR="00D66005" w:rsidRPr="00F77964" w:rsidRDefault="00D32161" w:rsidP="00AF3D13">
            <w:pPr>
              <w:pStyle w:val="Normal-pool"/>
              <w:spacing w:before="40" w:after="40"/>
              <w:rPr>
                <w:rFonts w:eastAsia="SimSun"/>
                <w:sz w:val="18"/>
                <w:szCs w:val="18"/>
                <w:lang w:eastAsia="zh-CN"/>
              </w:rPr>
            </w:pPr>
            <w:r w:rsidRPr="00F77964">
              <w:rPr>
                <w:rFonts w:eastAsia="SimSun"/>
                <w:sz w:val="18"/>
                <w:szCs w:val="18"/>
                <w:lang w:eastAsia="zh-CN"/>
              </w:rPr>
              <w:t>Premier trimestre</w:t>
            </w:r>
          </w:p>
        </w:tc>
        <w:tc>
          <w:tcPr>
            <w:tcW w:w="6698" w:type="dxa"/>
            <w:tcBorders>
              <w:top w:val="single" w:sz="4" w:space="0" w:color="auto"/>
              <w:left w:val="single" w:sz="4" w:space="0" w:color="auto"/>
              <w:bottom w:val="single" w:sz="4" w:space="0" w:color="auto"/>
              <w:right w:val="single" w:sz="4" w:space="0" w:color="auto"/>
            </w:tcBorders>
            <w:hideMark/>
          </w:tcPr>
          <w:p w:rsidR="00D66005" w:rsidRPr="00F77964" w:rsidRDefault="00D32161" w:rsidP="00AF3D13">
            <w:pPr>
              <w:pStyle w:val="Normal-pool"/>
              <w:spacing w:before="40" w:after="40"/>
              <w:rPr>
                <w:rFonts w:eastAsia="SimSun"/>
                <w:sz w:val="18"/>
                <w:szCs w:val="18"/>
                <w:lang w:eastAsia="zh-CN"/>
              </w:rPr>
            </w:pPr>
            <w:r w:rsidRPr="00F77964">
              <w:rPr>
                <w:rFonts w:eastAsia="SimSun"/>
                <w:sz w:val="18"/>
                <w:szCs w:val="18"/>
                <w:lang w:eastAsia="zh-CN"/>
              </w:rPr>
              <w:t xml:space="preserve">La Plénière, à sa septième session, </w:t>
            </w:r>
            <w:r w:rsidR="00C01029">
              <w:rPr>
                <w:rFonts w:eastAsia="SimSun"/>
                <w:sz w:val="18"/>
                <w:szCs w:val="18"/>
                <w:lang w:eastAsia="zh-CN"/>
              </w:rPr>
              <w:t xml:space="preserve">étudie la possibilité de </w:t>
            </w:r>
            <w:r w:rsidRPr="00F77964">
              <w:rPr>
                <w:rFonts w:eastAsia="SimSun"/>
                <w:sz w:val="18"/>
                <w:szCs w:val="18"/>
                <w:lang w:eastAsia="zh-CN"/>
              </w:rPr>
              <w:t xml:space="preserve">demander à l’équipe spéciale de contribuer à répondre aux besoins hiérarchisés </w:t>
            </w:r>
            <w:r w:rsidR="00B50402" w:rsidRPr="00F77964">
              <w:rPr>
                <w:rFonts w:eastAsia="SimSun"/>
                <w:sz w:val="18"/>
                <w:szCs w:val="18"/>
                <w:lang w:eastAsia="zh-CN"/>
              </w:rPr>
              <w:t>de</w:t>
            </w:r>
            <w:r w:rsidRPr="00F77964">
              <w:rPr>
                <w:rFonts w:eastAsia="SimSun"/>
                <w:sz w:val="18"/>
                <w:szCs w:val="18"/>
                <w:lang w:eastAsia="zh-CN"/>
              </w:rPr>
              <w:t xml:space="preserve"> renforcement des capacités </w:t>
            </w:r>
            <w:r w:rsidR="00D66005" w:rsidRPr="00F77964">
              <w:rPr>
                <w:rFonts w:eastAsia="SimSun"/>
                <w:sz w:val="18"/>
                <w:szCs w:val="18"/>
                <w:lang w:eastAsia="zh-CN"/>
              </w:rPr>
              <w:t>(</w:t>
            </w:r>
            <w:r w:rsidRPr="00F77964">
              <w:rPr>
                <w:rFonts w:eastAsia="SimSun"/>
                <w:sz w:val="18"/>
                <w:szCs w:val="18"/>
                <w:lang w:eastAsia="zh-CN"/>
              </w:rPr>
              <w:t>voir produit </w:t>
            </w:r>
            <w:r w:rsidR="00D66005" w:rsidRPr="00F77964">
              <w:rPr>
                <w:rFonts w:eastAsia="SimSun"/>
                <w:sz w:val="18"/>
                <w:szCs w:val="18"/>
                <w:lang w:eastAsia="zh-CN"/>
              </w:rPr>
              <w:t>1 a))</w:t>
            </w:r>
          </w:p>
        </w:tc>
      </w:tr>
      <w:tr w:rsidR="00D66005" w:rsidRPr="0061490E" w:rsidTr="00AF3D13">
        <w:trPr>
          <w:trHeight w:val="56"/>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sz w:val="18"/>
                <w:szCs w:val="18"/>
                <w:lang w:eastAsia="zh-CN"/>
              </w:rPr>
            </w:pPr>
          </w:p>
        </w:tc>
        <w:tc>
          <w:tcPr>
            <w:tcW w:w="1303" w:type="dxa"/>
            <w:tcBorders>
              <w:top w:val="single" w:sz="4" w:space="0" w:color="auto"/>
              <w:left w:val="single" w:sz="4" w:space="0" w:color="auto"/>
              <w:bottom w:val="single" w:sz="4" w:space="0" w:color="auto"/>
              <w:right w:val="single" w:sz="4" w:space="0" w:color="auto"/>
            </w:tcBorders>
            <w:hideMark/>
          </w:tcPr>
          <w:p w:rsidR="00D66005" w:rsidRPr="00F77964" w:rsidRDefault="00D32161" w:rsidP="00AF3D13">
            <w:pPr>
              <w:pStyle w:val="Normal-pool"/>
              <w:spacing w:before="40" w:after="40"/>
              <w:rPr>
                <w:rFonts w:eastAsia="SimSun"/>
                <w:sz w:val="18"/>
                <w:szCs w:val="18"/>
                <w:lang w:eastAsia="zh-CN"/>
              </w:rPr>
            </w:pPr>
            <w:r w:rsidRPr="00F77964">
              <w:rPr>
                <w:rFonts w:eastAsia="SimSun"/>
                <w:sz w:val="18"/>
                <w:szCs w:val="18"/>
                <w:lang w:eastAsia="zh-CN"/>
              </w:rPr>
              <w:t>Premier/deuxième/troisième/quatrième trimestres</w:t>
            </w:r>
          </w:p>
        </w:tc>
        <w:tc>
          <w:tcPr>
            <w:tcW w:w="6698" w:type="dxa"/>
            <w:tcBorders>
              <w:top w:val="single" w:sz="4" w:space="0" w:color="auto"/>
              <w:left w:val="single" w:sz="4" w:space="0" w:color="auto"/>
              <w:bottom w:val="single" w:sz="4" w:space="0" w:color="auto"/>
              <w:right w:val="single" w:sz="4" w:space="0" w:color="auto"/>
            </w:tcBorders>
            <w:hideMark/>
          </w:tcPr>
          <w:p w:rsidR="00D66005" w:rsidRPr="00F77964" w:rsidRDefault="00D32161" w:rsidP="00AF3D13">
            <w:pPr>
              <w:pStyle w:val="Normal-pool"/>
              <w:spacing w:before="40" w:after="40"/>
              <w:rPr>
                <w:rFonts w:eastAsia="SimSun"/>
                <w:sz w:val="18"/>
                <w:szCs w:val="18"/>
                <w:lang w:eastAsia="zh-CN"/>
              </w:rPr>
            </w:pPr>
            <w:r w:rsidRPr="00F77964">
              <w:rPr>
                <w:rFonts w:eastAsia="SimSun"/>
                <w:sz w:val="18"/>
                <w:szCs w:val="18"/>
                <w:lang w:eastAsia="zh-CN"/>
              </w:rPr>
              <w:t xml:space="preserve">L’équipe spéciale sur le renforcement des capacités </w:t>
            </w:r>
            <w:r w:rsidR="00860711" w:rsidRPr="00F77964">
              <w:rPr>
                <w:rFonts w:eastAsia="SimSun"/>
                <w:sz w:val="18"/>
                <w:szCs w:val="18"/>
                <w:lang w:eastAsia="zh-CN"/>
              </w:rPr>
              <w:t xml:space="preserve">s’emploie à répondre </w:t>
            </w:r>
            <w:r w:rsidRPr="00F77964">
              <w:rPr>
                <w:rFonts w:eastAsia="SimSun"/>
                <w:sz w:val="18"/>
                <w:szCs w:val="18"/>
                <w:lang w:eastAsia="zh-CN"/>
              </w:rPr>
              <w:t>aux besoins hiérarchisés d</w:t>
            </w:r>
            <w:r w:rsidR="00860711" w:rsidRPr="00F77964">
              <w:rPr>
                <w:rFonts w:eastAsia="SimSun"/>
                <w:sz w:val="18"/>
                <w:szCs w:val="18"/>
                <w:lang w:eastAsia="zh-CN"/>
              </w:rPr>
              <w:t>e</w:t>
            </w:r>
            <w:r w:rsidRPr="00F77964">
              <w:rPr>
                <w:rFonts w:eastAsia="SimSun"/>
                <w:sz w:val="18"/>
                <w:szCs w:val="18"/>
                <w:lang w:eastAsia="zh-CN"/>
              </w:rPr>
              <w:t xml:space="preserve"> renforcement des capacités</w:t>
            </w:r>
            <w:r w:rsidR="00B50402" w:rsidRPr="00F77964">
              <w:rPr>
                <w:rFonts w:eastAsia="SimSun"/>
                <w:sz w:val="18"/>
                <w:szCs w:val="18"/>
                <w:lang w:eastAsia="zh-CN"/>
              </w:rPr>
              <w:t>,</w:t>
            </w:r>
            <w:r w:rsidRPr="00F77964">
              <w:rPr>
                <w:rFonts w:eastAsia="SimSun"/>
                <w:sz w:val="18"/>
                <w:szCs w:val="18"/>
                <w:lang w:eastAsia="zh-CN"/>
              </w:rPr>
              <w:t xml:space="preserve"> tel</w:t>
            </w:r>
            <w:r w:rsidR="00B50402" w:rsidRPr="00F77964">
              <w:rPr>
                <w:rFonts w:eastAsia="SimSun"/>
                <w:sz w:val="18"/>
                <w:szCs w:val="18"/>
                <w:lang w:eastAsia="zh-CN"/>
              </w:rPr>
              <w:t>s que convenus</w:t>
            </w:r>
            <w:r w:rsidRPr="00F77964">
              <w:rPr>
                <w:rFonts w:eastAsia="SimSun"/>
                <w:sz w:val="18"/>
                <w:szCs w:val="18"/>
                <w:lang w:eastAsia="zh-CN"/>
              </w:rPr>
              <w:t xml:space="preserve"> par la Plénière</w:t>
            </w:r>
            <w:r w:rsidR="00D66005" w:rsidRPr="00F77964">
              <w:rPr>
                <w:rFonts w:eastAsia="SimSun"/>
                <w:sz w:val="18"/>
                <w:szCs w:val="18"/>
                <w:lang w:eastAsia="zh-CN"/>
              </w:rPr>
              <w:t xml:space="preserve"> </w:t>
            </w:r>
          </w:p>
        </w:tc>
      </w:tr>
      <w:tr w:rsidR="00D66005" w:rsidRPr="0061490E" w:rsidTr="00AF3D13">
        <w:trPr>
          <w:trHeight w:val="155"/>
        </w:trPr>
        <w:tc>
          <w:tcPr>
            <w:tcW w:w="605"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pPr>
              <w:pStyle w:val="Normal-pool"/>
              <w:spacing w:before="40" w:after="40"/>
              <w:rPr>
                <w:rFonts w:eastAsia="SimSun"/>
                <w:sz w:val="18"/>
                <w:szCs w:val="18"/>
                <w:lang w:eastAsia="zh-CN"/>
              </w:rPr>
            </w:pPr>
            <w:r w:rsidRPr="00F77964">
              <w:rPr>
                <w:rFonts w:eastAsia="SimSun"/>
                <w:sz w:val="18"/>
                <w:szCs w:val="18"/>
                <w:lang w:eastAsia="zh-CN"/>
              </w:rPr>
              <w:t>2018</w:t>
            </w:r>
          </w:p>
        </w:tc>
        <w:tc>
          <w:tcPr>
            <w:tcW w:w="1303" w:type="dxa"/>
            <w:tcBorders>
              <w:top w:val="single" w:sz="4" w:space="0" w:color="auto"/>
              <w:left w:val="single" w:sz="4" w:space="0" w:color="auto"/>
              <w:bottom w:val="single" w:sz="4" w:space="0" w:color="auto"/>
              <w:right w:val="single" w:sz="4" w:space="0" w:color="auto"/>
            </w:tcBorders>
            <w:hideMark/>
          </w:tcPr>
          <w:p w:rsidR="00D66005" w:rsidRPr="00F77964" w:rsidRDefault="00D32161" w:rsidP="00AF3D13">
            <w:pPr>
              <w:pStyle w:val="Normal-pool"/>
              <w:spacing w:before="40" w:after="40"/>
              <w:rPr>
                <w:rFonts w:eastAsia="SimSun"/>
                <w:sz w:val="18"/>
                <w:szCs w:val="18"/>
                <w:lang w:eastAsia="zh-CN"/>
              </w:rPr>
            </w:pPr>
            <w:r w:rsidRPr="00F77964">
              <w:rPr>
                <w:rFonts w:eastAsia="SimSun"/>
                <w:sz w:val="18"/>
                <w:szCs w:val="18"/>
                <w:lang w:eastAsia="zh-CN"/>
              </w:rPr>
              <w:t>Premier trimestre</w:t>
            </w:r>
          </w:p>
        </w:tc>
        <w:tc>
          <w:tcPr>
            <w:tcW w:w="6698" w:type="dxa"/>
            <w:tcBorders>
              <w:top w:val="single" w:sz="4" w:space="0" w:color="auto"/>
              <w:left w:val="single" w:sz="4" w:space="0" w:color="auto"/>
              <w:bottom w:val="single" w:sz="4" w:space="0" w:color="auto"/>
              <w:right w:val="single" w:sz="4" w:space="0" w:color="auto"/>
            </w:tcBorders>
            <w:hideMark/>
          </w:tcPr>
          <w:p w:rsidR="00D66005" w:rsidRPr="00F77964" w:rsidRDefault="00D539D8" w:rsidP="00AF3D13">
            <w:pPr>
              <w:pStyle w:val="Normal-pool"/>
              <w:spacing w:before="40" w:after="40"/>
              <w:rPr>
                <w:rFonts w:eastAsia="SimSun"/>
                <w:sz w:val="18"/>
                <w:szCs w:val="18"/>
                <w:lang w:eastAsia="zh-CN"/>
              </w:rPr>
            </w:pPr>
            <w:r w:rsidRPr="00F77964">
              <w:rPr>
                <w:rFonts w:eastAsia="SimSun"/>
                <w:sz w:val="18"/>
                <w:szCs w:val="18"/>
                <w:lang w:eastAsia="zh-CN"/>
              </w:rPr>
              <w:t xml:space="preserve">La Plénière, à sa sixième session, </w:t>
            </w:r>
            <w:r w:rsidR="00C01029">
              <w:rPr>
                <w:rFonts w:eastAsia="SimSun"/>
                <w:sz w:val="18"/>
                <w:szCs w:val="18"/>
                <w:lang w:eastAsia="zh-CN"/>
              </w:rPr>
              <w:t xml:space="preserve">étudie la possibilité de </w:t>
            </w:r>
            <w:r w:rsidRPr="00F77964">
              <w:rPr>
                <w:rFonts w:eastAsia="SimSun"/>
                <w:sz w:val="18"/>
                <w:szCs w:val="18"/>
                <w:lang w:eastAsia="zh-CN"/>
              </w:rPr>
              <w:t xml:space="preserve">demander à l’équipe spéciale de contribuer à répondre aux besoins hiérarchisés </w:t>
            </w:r>
            <w:r w:rsidR="00B50402" w:rsidRPr="00F77964">
              <w:rPr>
                <w:rFonts w:eastAsia="SimSun"/>
                <w:sz w:val="18"/>
                <w:szCs w:val="18"/>
                <w:lang w:eastAsia="zh-CN"/>
              </w:rPr>
              <w:t>de</w:t>
            </w:r>
            <w:r w:rsidRPr="00F77964">
              <w:rPr>
                <w:rFonts w:eastAsia="SimSun"/>
                <w:sz w:val="18"/>
                <w:szCs w:val="18"/>
                <w:lang w:eastAsia="zh-CN"/>
              </w:rPr>
              <w:t xml:space="preserve"> renforcement des capacités </w:t>
            </w:r>
            <w:r w:rsidR="00D66005" w:rsidRPr="00F77964">
              <w:rPr>
                <w:rFonts w:eastAsia="SimSun"/>
                <w:sz w:val="18"/>
                <w:szCs w:val="18"/>
                <w:lang w:eastAsia="zh-CN"/>
              </w:rPr>
              <w:t>(</w:t>
            </w:r>
            <w:r w:rsidRPr="00F77964">
              <w:rPr>
                <w:rFonts w:eastAsia="SimSun"/>
                <w:sz w:val="18"/>
                <w:szCs w:val="18"/>
                <w:lang w:eastAsia="zh-CN"/>
              </w:rPr>
              <w:t>voir produit </w:t>
            </w:r>
            <w:r w:rsidR="00D66005" w:rsidRPr="00F77964">
              <w:rPr>
                <w:rFonts w:eastAsia="SimSun"/>
                <w:sz w:val="18"/>
                <w:szCs w:val="18"/>
                <w:lang w:eastAsia="zh-CN"/>
              </w:rPr>
              <w:t>1 a))</w:t>
            </w:r>
          </w:p>
        </w:tc>
      </w:tr>
      <w:tr w:rsidR="00D66005" w:rsidRPr="0061490E" w:rsidTr="00AF3D13">
        <w:trPr>
          <w:trHeight w:val="56"/>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sz w:val="18"/>
                <w:szCs w:val="18"/>
                <w:lang w:eastAsia="zh-CN"/>
              </w:rPr>
            </w:pPr>
          </w:p>
        </w:tc>
        <w:tc>
          <w:tcPr>
            <w:tcW w:w="1303" w:type="dxa"/>
            <w:tcBorders>
              <w:top w:val="single" w:sz="4" w:space="0" w:color="auto"/>
              <w:left w:val="single" w:sz="4" w:space="0" w:color="auto"/>
              <w:bottom w:val="single" w:sz="4" w:space="0" w:color="auto"/>
              <w:right w:val="single" w:sz="4" w:space="0" w:color="auto"/>
            </w:tcBorders>
            <w:hideMark/>
          </w:tcPr>
          <w:p w:rsidR="00D66005" w:rsidRPr="00F77964" w:rsidRDefault="00D539D8" w:rsidP="00AF3D13">
            <w:pPr>
              <w:pStyle w:val="Normal-pool"/>
              <w:spacing w:before="40" w:after="40"/>
              <w:rPr>
                <w:rFonts w:eastAsia="SimSun"/>
                <w:sz w:val="18"/>
                <w:szCs w:val="18"/>
                <w:lang w:eastAsia="zh-CN"/>
              </w:rPr>
            </w:pPr>
            <w:r w:rsidRPr="00F77964">
              <w:rPr>
                <w:rFonts w:eastAsia="SimSun"/>
                <w:sz w:val="18"/>
                <w:szCs w:val="18"/>
                <w:lang w:eastAsia="zh-CN"/>
              </w:rPr>
              <w:t>Deuxième/troisième/quatrième trimestres</w:t>
            </w:r>
          </w:p>
        </w:tc>
        <w:tc>
          <w:tcPr>
            <w:tcW w:w="6698" w:type="dxa"/>
            <w:tcBorders>
              <w:top w:val="single" w:sz="4" w:space="0" w:color="auto"/>
              <w:left w:val="single" w:sz="4" w:space="0" w:color="auto"/>
              <w:bottom w:val="single" w:sz="4" w:space="0" w:color="auto"/>
              <w:right w:val="single" w:sz="4" w:space="0" w:color="auto"/>
            </w:tcBorders>
            <w:hideMark/>
          </w:tcPr>
          <w:p w:rsidR="00D66005" w:rsidRPr="00F77964" w:rsidRDefault="00D539D8" w:rsidP="00AF3D13">
            <w:pPr>
              <w:pStyle w:val="Normal-pool"/>
              <w:spacing w:before="40" w:after="40"/>
              <w:rPr>
                <w:rFonts w:eastAsia="SimSun"/>
                <w:sz w:val="18"/>
                <w:szCs w:val="18"/>
                <w:lang w:eastAsia="zh-CN"/>
              </w:rPr>
            </w:pPr>
            <w:r w:rsidRPr="00F77964">
              <w:rPr>
                <w:rFonts w:eastAsia="SimSun"/>
                <w:sz w:val="18"/>
                <w:szCs w:val="18"/>
                <w:lang w:eastAsia="zh-CN"/>
              </w:rPr>
              <w:t xml:space="preserve">L’équipe spéciale sur le renforcement des capacités </w:t>
            </w:r>
            <w:r w:rsidR="00860711" w:rsidRPr="00F77964">
              <w:rPr>
                <w:rFonts w:eastAsia="SimSun"/>
                <w:sz w:val="18"/>
                <w:szCs w:val="18"/>
                <w:lang w:eastAsia="zh-CN"/>
              </w:rPr>
              <w:t xml:space="preserve">s’emploie à </w:t>
            </w:r>
            <w:r w:rsidRPr="00F77964">
              <w:rPr>
                <w:rFonts w:eastAsia="SimSun"/>
                <w:sz w:val="18"/>
                <w:szCs w:val="18"/>
                <w:lang w:eastAsia="zh-CN"/>
              </w:rPr>
              <w:t>répond</w:t>
            </w:r>
            <w:r w:rsidR="00860711" w:rsidRPr="00F77964">
              <w:rPr>
                <w:rFonts w:eastAsia="SimSun"/>
                <w:sz w:val="18"/>
                <w:szCs w:val="18"/>
                <w:lang w:eastAsia="zh-CN"/>
              </w:rPr>
              <w:t>re</w:t>
            </w:r>
            <w:r w:rsidRPr="00F77964">
              <w:rPr>
                <w:rFonts w:eastAsia="SimSun"/>
                <w:sz w:val="18"/>
                <w:szCs w:val="18"/>
                <w:lang w:eastAsia="zh-CN"/>
              </w:rPr>
              <w:t xml:space="preserve"> aux besoins hiérarchisés de renforcement des capacités, tel</w:t>
            </w:r>
            <w:r w:rsidR="001047BA" w:rsidRPr="00F77964">
              <w:rPr>
                <w:rFonts w:eastAsia="SimSun"/>
                <w:sz w:val="18"/>
                <w:szCs w:val="18"/>
                <w:lang w:eastAsia="zh-CN"/>
              </w:rPr>
              <w:t>s que convenus</w:t>
            </w:r>
            <w:r w:rsidRPr="00F77964">
              <w:rPr>
                <w:rFonts w:eastAsia="SimSun"/>
                <w:sz w:val="18"/>
                <w:szCs w:val="18"/>
                <w:lang w:eastAsia="zh-CN"/>
              </w:rPr>
              <w:t xml:space="preserve"> par la </w:t>
            </w:r>
            <w:r w:rsidR="00860711" w:rsidRPr="00F77964">
              <w:rPr>
                <w:rFonts w:eastAsia="SimSun"/>
                <w:sz w:val="18"/>
                <w:szCs w:val="18"/>
                <w:lang w:eastAsia="zh-CN"/>
              </w:rPr>
              <w:t>P</w:t>
            </w:r>
            <w:r w:rsidRPr="00F77964">
              <w:rPr>
                <w:rFonts w:eastAsia="SimSun"/>
                <w:sz w:val="18"/>
                <w:szCs w:val="18"/>
                <w:lang w:eastAsia="zh-CN"/>
              </w:rPr>
              <w:t>lénière</w:t>
            </w:r>
            <w:r w:rsidR="00D66005" w:rsidRPr="00F77964">
              <w:rPr>
                <w:rFonts w:eastAsia="SimSun"/>
                <w:sz w:val="18"/>
                <w:szCs w:val="18"/>
                <w:lang w:eastAsia="zh-CN"/>
              </w:rPr>
              <w:t xml:space="preserve"> </w:t>
            </w:r>
          </w:p>
        </w:tc>
      </w:tr>
    </w:tbl>
    <w:p w:rsidR="00D66005" w:rsidRPr="00F77964" w:rsidRDefault="00D66005" w:rsidP="00D66005">
      <w:pPr>
        <w:pStyle w:val="CH3"/>
        <w:spacing w:before="240"/>
        <w:rPr>
          <w:rFonts w:eastAsia="SimSun"/>
          <w:lang w:val="fr-FR" w:eastAsia="zh-CN"/>
        </w:rPr>
      </w:pPr>
      <w:r w:rsidRPr="00F77964">
        <w:rPr>
          <w:rFonts w:eastAsia="SimSun"/>
          <w:lang w:val="fr-FR" w:eastAsia="zh-CN"/>
        </w:rPr>
        <w:tab/>
      </w:r>
      <w:r w:rsidRPr="00F77964">
        <w:rPr>
          <w:rFonts w:eastAsia="SimSun"/>
          <w:lang w:val="fr-FR" w:eastAsia="zh-CN"/>
        </w:rPr>
        <w:tab/>
      </w:r>
      <w:r w:rsidR="00D539D8" w:rsidRPr="00F77964">
        <w:rPr>
          <w:rFonts w:eastAsia="SimSun"/>
          <w:lang w:val="fr-FR" w:eastAsia="zh-CN"/>
        </w:rPr>
        <w:t>Prévisions de coûts</w:t>
      </w:r>
      <w:r w:rsidRPr="00F77964">
        <w:rPr>
          <w:rFonts w:eastAsia="SimSun"/>
          <w:lang w:val="fr-FR" w:eastAsia="zh-CN"/>
        </w:rPr>
        <w:t xml:space="preserve"> </w:t>
      </w:r>
    </w:p>
    <w:p w:rsidR="00D66005" w:rsidRPr="00F77964" w:rsidRDefault="00D539D8" w:rsidP="00D66005">
      <w:pPr>
        <w:pStyle w:val="Normalnumber"/>
        <w:keepNext/>
        <w:keepLines/>
        <w:numPr>
          <w:ilvl w:val="0"/>
          <w:numId w:val="6"/>
        </w:numPr>
        <w:tabs>
          <w:tab w:val="left" w:pos="624"/>
        </w:tabs>
        <w:ind w:left="1247" w:firstLine="0"/>
        <w:rPr>
          <w:rFonts w:eastAsia="Calibri"/>
          <w:lang w:val="fr-FR"/>
        </w:rPr>
      </w:pPr>
      <w:r w:rsidRPr="00F77964">
        <w:rPr>
          <w:lang w:val="fr-FR"/>
        </w:rPr>
        <w:t>Les prévisions de coûts sont les suivantes :</w:t>
      </w:r>
    </w:p>
    <w:p w:rsidR="00D66005" w:rsidRPr="00F77964" w:rsidRDefault="00D66005" w:rsidP="00D66005">
      <w:pPr>
        <w:pStyle w:val="Normalnumber"/>
        <w:keepNext/>
        <w:keepLines/>
        <w:tabs>
          <w:tab w:val="left" w:pos="624"/>
        </w:tabs>
        <w:spacing w:before="120" w:after="0"/>
        <w:rPr>
          <w:rFonts w:eastAsia="Calibri"/>
          <w:sz w:val="18"/>
          <w:szCs w:val="18"/>
          <w:lang w:val="fr-FR"/>
        </w:rPr>
      </w:pPr>
      <w:r w:rsidRPr="00F77964">
        <w:rPr>
          <w:rFonts w:eastAsia="Calibri"/>
          <w:lang w:val="fr-FR"/>
        </w:rPr>
        <w:tab/>
      </w:r>
      <w:r w:rsidRPr="00F77964">
        <w:rPr>
          <w:rFonts w:eastAsia="Calibri"/>
          <w:lang w:val="fr-FR"/>
        </w:rPr>
        <w:tab/>
      </w:r>
      <w:r w:rsidRPr="00F77964">
        <w:rPr>
          <w:rFonts w:eastAsia="Calibri"/>
          <w:sz w:val="18"/>
          <w:szCs w:val="18"/>
          <w:lang w:val="fr-FR"/>
        </w:rPr>
        <w:t>(</w:t>
      </w:r>
      <w:r w:rsidR="001047BA" w:rsidRPr="00F77964">
        <w:rPr>
          <w:rFonts w:eastAsia="Calibri"/>
          <w:sz w:val="18"/>
          <w:szCs w:val="18"/>
          <w:lang w:val="fr-FR"/>
        </w:rPr>
        <w:t>d</w:t>
      </w:r>
      <w:r w:rsidR="00D539D8" w:rsidRPr="00F77964">
        <w:rPr>
          <w:rFonts w:eastAsia="Calibri"/>
          <w:sz w:val="18"/>
          <w:szCs w:val="18"/>
          <w:lang w:val="fr-FR"/>
        </w:rPr>
        <w:t xml:space="preserve">ollars des </w:t>
      </w:r>
      <w:r w:rsidR="00B10062" w:rsidRPr="00F77964">
        <w:rPr>
          <w:rFonts w:eastAsia="Calibri"/>
          <w:sz w:val="18"/>
          <w:szCs w:val="18"/>
          <w:lang w:val="fr-FR"/>
        </w:rPr>
        <w:t>États-Unis</w:t>
      </w:r>
      <w:r w:rsidRPr="00F77964">
        <w:rPr>
          <w:rFonts w:eastAsia="Calibri"/>
          <w:sz w:val="18"/>
          <w:szCs w:val="18"/>
          <w:lang w:val="fr-FR"/>
        </w:rPr>
        <w:t>)</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711"/>
        <w:gridCol w:w="3146"/>
        <w:gridCol w:w="1234"/>
      </w:tblGrid>
      <w:tr w:rsidR="00D66005" w:rsidRPr="0061490E" w:rsidTr="00D66005">
        <w:tc>
          <w:tcPr>
            <w:tcW w:w="718" w:type="dxa"/>
            <w:tcBorders>
              <w:top w:val="single" w:sz="4" w:space="0" w:color="auto"/>
              <w:left w:val="single" w:sz="4" w:space="0" w:color="auto"/>
              <w:bottom w:val="single" w:sz="4" w:space="0" w:color="auto"/>
              <w:right w:val="single" w:sz="4" w:space="0" w:color="auto"/>
            </w:tcBorders>
            <w:hideMark/>
          </w:tcPr>
          <w:p w:rsidR="00D66005" w:rsidRPr="00F77964" w:rsidRDefault="00D539D8" w:rsidP="00D539D8">
            <w:pPr>
              <w:pStyle w:val="Normal-pool"/>
              <w:keepNext/>
              <w:keepLines/>
              <w:spacing w:before="40" w:after="40"/>
              <w:rPr>
                <w:rFonts w:eastAsia="SimSun"/>
                <w:i/>
                <w:sz w:val="18"/>
                <w:szCs w:val="18"/>
                <w:lang w:eastAsia="zh-CN"/>
              </w:rPr>
            </w:pPr>
            <w:r w:rsidRPr="00F77964">
              <w:rPr>
                <w:rFonts w:eastAsia="SimSun"/>
                <w:i/>
                <w:sz w:val="18"/>
                <w:szCs w:val="18"/>
                <w:lang w:eastAsia="zh-CN"/>
              </w:rPr>
              <w:t>Année</w:t>
            </w:r>
          </w:p>
        </w:tc>
        <w:tc>
          <w:tcPr>
            <w:tcW w:w="2929" w:type="dxa"/>
            <w:tcBorders>
              <w:top w:val="single" w:sz="4" w:space="0" w:color="auto"/>
              <w:left w:val="single" w:sz="4" w:space="0" w:color="auto"/>
              <w:bottom w:val="single" w:sz="4" w:space="0" w:color="auto"/>
              <w:right w:val="single" w:sz="4" w:space="0" w:color="auto"/>
            </w:tcBorders>
            <w:hideMark/>
          </w:tcPr>
          <w:p w:rsidR="00D66005" w:rsidRPr="00F77964" w:rsidRDefault="00D972E8" w:rsidP="00D539D8">
            <w:pPr>
              <w:pStyle w:val="Normal-pool"/>
              <w:keepNext/>
              <w:keepLines/>
              <w:spacing w:before="40" w:after="40"/>
              <w:rPr>
                <w:rFonts w:eastAsia="SimSun"/>
                <w:i/>
                <w:sz w:val="18"/>
                <w:szCs w:val="18"/>
                <w:lang w:eastAsia="zh-CN"/>
              </w:rPr>
            </w:pPr>
            <w:r>
              <w:rPr>
                <w:rFonts w:eastAsia="SimSun"/>
                <w:i/>
                <w:sz w:val="18"/>
                <w:szCs w:val="18"/>
                <w:lang w:eastAsia="zh-CN"/>
              </w:rPr>
              <w:t>Postes de dépense</w:t>
            </w:r>
          </w:p>
        </w:tc>
        <w:tc>
          <w:tcPr>
            <w:tcW w:w="3402" w:type="dxa"/>
            <w:tcBorders>
              <w:top w:val="single" w:sz="4" w:space="0" w:color="auto"/>
              <w:left w:val="single" w:sz="4" w:space="0" w:color="auto"/>
              <w:bottom w:val="single" w:sz="4" w:space="0" w:color="auto"/>
              <w:right w:val="single" w:sz="4" w:space="0" w:color="auto"/>
            </w:tcBorders>
            <w:hideMark/>
          </w:tcPr>
          <w:p w:rsidR="00D66005" w:rsidRPr="00F77964" w:rsidRDefault="00D539D8" w:rsidP="00D539D8">
            <w:pPr>
              <w:pStyle w:val="Normal-pool"/>
              <w:keepNext/>
              <w:keepLines/>
              <w:spacing w:before="40" w:after="40"/>
              <w:rPr>
                <w:rFonts w:eastAsia="SimSun"/>
                <w:i/>
                <w:sz w:val="18"/>
                <w:szCs w:val="18"/>
                <w:lang w:eastAsia="zh-CN"/>
              </w:rPr>
            </w:pPr>
            <w:r w:rsidRPr="00F77964">
              <w:rPr>
                <w:rFonts w:eastAsia="SimSun"/>
                <w:i/>
                <w:sz w:val="18"/>
                <w:szCs w:val="18"/>
                <w:lang w:eastAsia="zh-CN"/>
              </w:rPr>
              <w:t>Hypothèses</w:t>
            </w:r>
          </w:p>
        </w:tc>
        <w:tc>
          <w:tcPr>
            <w:tcW w:w="1276" w:type="dxa"/>
            <w:tcBorders>
              <w:top w:val="single" w:sz="4" w:space="0" w:color="auto"/>
              <w:left w:val="single" w:sz="4" w:space="0" w:color="auto"/>
              <w:bottom w:val="single" w:sz="4" w:space="0" w:color="auto"/>
              <w:right w:val="single" w:sz="4" w:space="0" w:color="auto"/>
            </w:tcBorders>
            <w:hideMark/>
          </w:tcPr>
          <w:p w:rsidR="00D66005" w:rsidRPr="00F77964" w:rsidRDefault="00D66005" w:rsidP="00F77964">
            <w:pPr>
              <w:pStyle w:val="Normal-pool"/>
              <w:keepNext/>
              <w:keepLines/>
              <w:spacing w:before="40" w:after="40"/>
              <w:jc w:val="right"/>
              <w:rPr>
                <w:rFonts w:eastAsia="SimSun"/>
                <w:i/>
                <w:sz w:val="18"/>
                <w:szCs w:val="18"/>
                <w:lang w:eastAsia="zh-CN"/>
              </w:rPr>
            </w:pPr>
            <w:r w:rsidRPr="00F77964">
              <w:rPr>
                <w:rFonts w:eastAsia="SimSun"/>
                <w:i/>
                <w:sz w:val="18"/>
                <w:szCs w:val="18"/>
                <w:lang w:eastAsia="zh-CN"/>
              </w:rPr>
              <w:t>Co</w:t>
            </w:r>
            <w:r w:rsidR="00F77964">
              <w:rPr>
                <w:rFonts w:eastAsia="SimSun"/>
                <w:i/>
                <w:sz w:val="18"/>
                <w:szCs w:val="18"/>
                <w:lang w:eastAsia="zh-CN"/>
              </w:rPr>
              <w:t>ût</w:t>
            </w:r>
            <w:r w:rsidRPr="00F77964">
              <w:rPr>
                <w:rFonts w:eastAsia="SimSun"/>
                <w:i/>
                <w:sz w:val="18"/>
                <w:szCs w:val="18"/>
                <w:lang w:eastAsia="zh-CN"/>
              </w:rPr>
              <w:t xml:space="preserve"> </w:t>
            </w:r>
          </w:p>
        </w:tc>
      </w:tr>
      <w:tr w:rsidR="00D66005" w:rsidRPr="0061490E" w:rsidTr="00D028D2">
        <w:tc>
          <w:tcPr>
            <w:tcW w:w="718"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D028D2">
            <w:pPr>
              <w:pStyle w:val="Normal-pool"/>
              <w:keepNext/>
              <w:keepLines/>
              <w:spacing w:before="40" w:after="40"/>
              <w:rPr>
                <w:rFonts w:eastAsia="SimSun"/>
                <w:sz w:val="18"/>
                <w:szCs w:val="18"/>
                <w:lang w:eastAsia="zh-CN"/>
              </w:rPr>
            </w:pPr>
            <w:r w:rsidRPr="00F77964">
              <w:rPr>
                <w:rFonts w:eastAsia="SimSun"/>
                <w:sz w:val="18"/>
                <w:szCs w:val="18"/>
                <w:lang w:eastAsia="zh-CN"/>
              </w:rPr>
              <w:t>2014</w:t>
            </w:r>
          </w:p>
        </w:tc>
        <w:tc>
          <w:tcPr>
            <w:tcW w:w="2929"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D028D2">
            <w:pPr>
              <w:pStyle w:val="Normal-pool"/>
              <w:keepNext/>
              <w:keepLines/>
              <w:spacing w:before="40" w:after="40"/>
              <w:rPr>
                <w:rFonts w:eastAsia="SimSun"/>
                <w:sz w:val="18"/>
                <w:szCs w:val="18"/>
                <w:lang w:eastAsia="zh-CN"/>
              </w:rPr>
            </w:pPr>
            <w:r w:rsidRPr="00F77964">
              <w:rPr>
                <w:rFonts w:eastAsia="SimSun"/>
                <w:sz w:val="18"/>
                <w:szCs w:val="18"/>
                <w:lang w:eastAsia="zh-CN"/>
              </w:rPr>
              <w:t>15</w:t>
            </w:r>
            <w:r w:rsidR="00D539D8" w:rsidRPr="00F77964">
              <w:rPr>
                <w:rFonts w:eastAsia="SimSun"/>
                <w:sz w:val="18"/>
                <w:szCs w:val="18"/>
                <w:lang w:eastAsia="zh-CN"/>
              </w:rPr>
              <w:t> réunions de renforcement des capacités</w:t>
            </w:r>
            <w:r w:rsidRPr="00F77964">
              <w:rPr>
                <w:rFonts w:eastAsia="SimSun"/>
                <w:sz w:val="18"/>
                <w:szCs w:val="18"/>
                <w:lang w:eastAsia="zh-CN"/>
              </w:rPr>
              <w:t xml:space="preserve"> (20</w:t>
            </w:r>
            <w:r w:rsidR="00D539D8" w:rsidRPr="00F77964">
              <w:rPr>
                <w:rFonts w:eastAsia="SimSun"/>
                <w:sz w:val="18"/>
                <w:szCs w:val="18"/>
                <w:lang w:eastAsia="zh-CN"/>
              </w:rPr>
              <w:t> </w:t>
            </w:r>
            <w:r w:rsidRPr="00F77964">
              <w:rPr>
                <w:rFonts w:eastAsia="SimSun"/>
                <w:sz w:val="18"/>
                <w:szCs w:val="18"/>
                <w:lang w:eastAsia="zh-CN"/>
              </w:rPr>
              <w:t>experts, 15</w:t>
            </w:r>
            <w:r w:rsidR="00D539D8" w:rsidRPr="00F77964">
              <w:rPr>
                <w:rFonts w:eastAsia="SimSun"/>
                <w:sz w:val="18"/>
                <w:szCs w:val="18"/>
                <w:lang w:eastAsia="zh-CN"/>
              </w:rPr>
              <w:t> financés</w:t>
            </w:r>
            <w:r w:rsidRPr="00F77964">
              <w:rPr>
                <w:rFonts w:eastAsia="SimSun"/>
                <w:sz w:val="18"/>
                <w:szCs w:val="18"/>
                <w:lang w:eastAsia="zh-CN"/>
              </w:rPr>
              <w:t>)</w:t>
            </w:r>
          </w:p>
        </w:tc>
        <w:tc>
          <w:tcPr>
            <w:tcW w:w="3402" w:type="dxa"/>
            <w:tcBorders>
              <w:top w:val="single" w:sz="4" w:space="0" w:color="auto"/>
              <w:left w:val="single" w:sz="4" w:space="0" w:color="auto"/>
              <w:bottom w:val="single" w:sz="4" w:space="0" w:color="auto"/>
              <w:right w:val="single" w:sz="4" w:space="0" w:color="auto"/>
            </w:tcBorders>
            <w:hideMark/>
          </w:tcPr>
          <w:p w:rsidR="00D66005" w:rsidRPr="00F77964" w:rsidRDefault="00D539D8" w:rsidP="00D028D2">
            <w:pPr>
              <w:pStyle w:val="Normal-pool"/>
              <w:keepNext/>
              <w:keepLines/>
              <w:spacing w:before="40" w:after="40"/>
              <w:rPr>
                <w:rFonts w:eastAsia="SimSun"/>
                <w:sz w:val="18"/>
                <w:szCs w:val="18"/>
                <w:lang w:eastAsia="zh-CN"/>
              </w:rPr>
            </w:pPr>
            <w:r w:rsidRPr="00F77964">
              <w:rPr>
                <w:rFonts w:eastAsia="SimSun"/>
                <w:sz w:val="18"/>
                <w:szCs w:val="18"/>
                <w:lang w:eastAsia="zh-CN"/>
              </w:rPr>
              <w:t>Coûts de la réunion</w:t>
            </w:r>
            <w:r w:rsidR="00D66005" w:rsidRPr="00F77964">
              <w:rPr>
                <w:rFonts w:eastAsia="SimSun"/>
                <w:sz w:val="18"/>
                <w:szCs w:val="18"/>
                <w:lang w:eastAsia="zh-CN"/>
              </w:rPr>
              <w:t xml:space="preserve"> (15 x 1</w:t>
            </w:r>
            <w:r w:rsidRPr="00F77964">
              <w:rPr>
                <w:rFonts w:eastAsia="SimSun"/>
                <w:sz w:val="18"/>
                <w:szCs w:val="18"/>
                <w:lang w:eastAsia="zh-CN"/>
              </w:rPr>
              <w:t> semaine</w:t>
            </w:r>
            <w:r w:rsidR="00D66005" w:rsidRPr="00F77964">
              <w:rPr>
                <w:rFonts w:eastAsia="SimSun"/>
                <w:sz w:val="18"/>
                <w:szCs w:val="18"/>
                <w:lang w:eastAsia="zh-CN"/>
              </w:rPr>
              <w:t>, 20 participants) (25</w:t>
            </w:r>
            <w:r w:rsidRPr="00F77964">
              <w:rPr>
                <w:rFonts w:eastAsia="SimSun"/>
                <w:sz w:val="18"/>
                <w:szCs w:val="18"/>
                <w:lang w:eastAsia="zh-CN"/>
              </w:rPr>
              <w:t> % en nature</w:t>
            </w:r>
            <w:r w:rsidR="00D66005" w:rsidRPr="00F77964">
              <w:rPr>
                <w:rFonts w:eastAsia="SimSun"/>
                <w:sz w:val="18"/>
                <w:szCs w:val="18"/>
                <w:lang w:eastAsia="zh-CN"/>
              </w:rPr>
              <w:t>)</w:t>
            </w:r>
          </w:p>
        </w:tc>
        <w:tc>
          <w:tcPr>
            <w:tcW w:w="1276" w:type="dxa"/>
            <w:tcBorders>
              <w:top w:val="single" w:sz="4" w:space="0" w:color="auto"/>
              <w:left w:val="single" w:sz="4" w:space="0" w:color="auto"/>
              <w:bottom w:val="single" w:sz="4" w:space="0" w:color="auto"/>
              <w:right w:val="single" w:sz="4" w:space="0" w:color="auto"/>
            </w:tcBorders>
            <w:hideMark/>
          </w:tcPr>
          <w:p w:rsidR="00D66005" w:rsidRPr="00F77964" w:rsidRDefault="00D66005" w:rsidP="00D028D2">
            <w:pPr>
              <w:pStyle w:val="Normal-pool"/>
              <w:keepNext/>
              <w:keepLines/>
              <w:spacing w:before="40" w:after="40"/>
              <w:rPr>
                <w:rFonts w:eastAsia="SimSun"/>
                <w:sz w:val="18"/>
                <w:szCs w:val="18"/>
                <w:lang w:eastAsia="zh-CN"/>
              </w:rPr>
            </w:pPr>
            <w:r w:rsidRPr="00F77964">
              <w:rPr>
                <w:rFonts w:eastAsia="SimSun"/>
                <w:sz w:val="18"/>
                <w:szCs w:val="18"/>
                <w:lang w:eastAsia="zh-CN"/>
              </w:rPr>
              <w:t>112</w:t>
            </w:r>
            <w:r w:rsidR="001047BA" w:rsidRPr="00F77964">
              <w:rPr>
                <w:rFonts w:eastAsia="SimSun"/>
                <w:sz w:val="18"/>
                <w:szCs w:val="18"/>
                <w:lang w:eastAsia="zh-CN"/>
              </w:rPr>
              <w:t> </w:t>
            </w:r>
            <w:r w:rsidRPr="00F77964">
              <w:rPr>
                <w:rFonts w:eastAsia="SimSun"/>
                <w:sz w:val="18"/>
                <w:szCs w:val="18"/>
                <w:lang w:eastAsia="zh-CN"/>
              </w:rPr>
              <w:t>500</w:t>
            </w:r>
          </w:p>
        </w:tc>
      </w:tr>
      <w:tr w:rsidR="00D66005" w:rsidRPr="0061490E" w:rsidTr="00D028D2">
        <w:trPr>
          <w:trHeight w:val="343"/>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D028D2">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D028D2">
            <w:pPr>
              <w:rPr>
                <w:rFonts w:eastAsia="SimSun"/>
                <w:sz w:val="18"/>
                <w:szCs w:val="18"/>
                <w:lang w:eastAsia="zh-CN"/>
              </w:rPr>
            </w:pPr>
          </w:p>
        </w:tc>
        <w:tc>
          <w:tcPr>
            <w:tcW w:w="3402" w:type="dxa"/>
            <w:tcBorders>
              <w:top w:val="single" w:sz="4" w:space="0" w:color="auto"/>
              <w:left w:val="single" w:sz="4" w:space="0" w:color="auto"/>
              <w:bottom w:val="single" w:sz="4" w:space="0" w:color="auto"/>
              <w:right w:val="single" w:sz="4" w:space="0" w:color="auto"/>
            </w:tcBorders>
            <w:hideMark/>
          </w:tcPr>
          <w:p w:rsidR="00D66005" w:rsidRPr="00F77964" w:rsidRDefault="00D972E8" w:rsidP="00D028D2">
            <w:pPr>
              <w:pStyle w:val="Normal-pool"/>
              <w:keepNext/>
              <w:keepLines/>
              <w:spacing w:before="40" w:after="40"/>
              <w:rPr>
                <w:rFonts w:eastAsia="SimSun"/>
                <w:sz w:val="18"/>
                <w:szCs w:val="18"/>
                <w:lang w:eastAsia="zh-CN"/>
              </w:rPr>
            </w:pPr>
            <w:r>
              <w:rPr>
                <w:rFonts w:eastAsia="SimSun"/>
                <w:sz w:val="18"/>
                <w:szCs w:val="18"/>
                <w:lang w:eastAsia="zh-CN"/>
              </w:rPr>
              <w:t>Frais de voyage et indemnités journalières de subsistance</w:t>
            </w:r>
            <w:r w:rsidR="00D66005" w:rsidRPr="00F77964">
              <w:rPr>
                <w:rFonts w:eastAsia="SimSun"/>
                <w:sz w:val="18"/>
                <w:szCs w:val="18"/>
                <w:lang w:eastAsia="zh-CN"/>
              </w:rPr>
              <w:t xml:space="preserve"> (15 x 15 x 1</w:t>
            </w:r>
            <w:r w:rsidR="00D539D8" w:rsidRPr="00F77964">
              <w:rPr>
                <w:rFonts w:eastAsia="SimSun"/>
                <w:sz w:val="18"/>
                <w:szCs w:val="18"/>
                <w:lang w:eastAsia="zh-CN"/>
              </w:rPr>
              <w:t> </w:t>
            </w:r>
            <w:r w:rsidR="00D66005" w:rsidRPr="00F77964">
              <w:rPr>
                <w:rFonts w:eastAsia="SimSun"/>
                <w:sz w:val="18"/>
                <w:szCs w:val="18"/>
                <w:lang w:eastAsia="zh-CN"/>
              </w:rPr>
              <w:t>500</w:t>
            </w:r>
            <w:r w:rsidR="001047BA" w:rsidRPr="00F77964">
              <w:rPr>
                <w:rFonts w:eastAsia="SimSun"/>
                <w:sz w:val="18"/>
                <w:szCs w:val="18"/>
                <w:lang w:eastAsia="zh-CN"/>
              </w:rPr>
              <w:t> dollars</w:t>
            </w:r>
            <w:r w:rsidR="00D66005" w:rsidRPr="00F77964">
              <w:rPr>
                <w:rFonts w:eastAsia="SimSun"/>
                <w:sz w:val="18"/>
                <w:szCs w:val="18"/>
                <w:lang w:eastAsia="zh-CN"/>
              </w:rPr>
              <w:t>)</w:t>
            </w:r>
          </w:p>
        </w:tc>
        <w:tc>
          <w:tcPr>
            <w:tcW w:w="1276" w:type="dxa"/>
            <w:tcBorders>
              <w:top w:val="single" w:sz="4" w:space="0" w:color="auto"/>
              <w:left w:val="single" w:sz="4" w:space="0" w:color="auto"/>
              <w:bottom w:val="single" w:sz="4" w:space="0" w:color="auto"/>
              <w:right w:val="single" w:sz="4" w:space="0" w:color="auto"/>
            </w:tcBorders>
            <w:hideMark/>
          </w:tcPr>
          <w:p w:rsidR="00D66005" w:rsidRPr="00F77964" w:rsidRDefault="00D66005" w:rsidP="00D028D2">
            <w:pPr>
              <w:pStyle w:val="Normal-pool"/>
              <w:keepNext/>
              <w:keepLines/>
              <w:spacing w:before="40" w:after="40"/>
              <w:rPr>
                <w:rFonts w:eastAsia="SimSun"/>
                <w:sz w:val="18"/>
                <w:szCs w:val="18"/>
                <w:lang w:eastAsia="zh-CN"/>
              </w:rPr>
            </w:pPr>
            <w:r w:rsidRPr="00F77964">
              <w:rPr>
                <w:rFonts w:eastAsia="SimSun"/>
                <w:sz w:val="18"/>
                <w:szCs w:val="18"/>
                <w:lang w:eastAsia="zh-CN"/>
              </w:rPr>
              <w:t>337</w:t>
            </w:r>
            <w:r w:rsidR="001047BA" w:rsidRPr="00F77964">
              <w:rPr>
                <w:rFonts w:eastAsia="SimSun"/>
                <w:sz w:val="18"/>
                <w:szCs w:val="18"/>
                <w:lang w:eastAsia="zh-CN"/>
              </w:rPr>
              <w:t> </w:t>
            </w:r>
            <w:r w:rsidRPr="00F77964">
              <w:rPr>
                <w:rFonts w:eastAsia="SimSun"/>
                <w:sz w:val="18"/>
                <w:szCs w:val="18"/>
                <w:lang w:eastAsia="zh-CN"/>
              </w:rPr>
              <w:t>500</w:t>
            </w:r>
          </w:p>
        </w:tc>
      </w:tr>
      <w:tr w:rsidR="00D66005" w:rsidRPr="0061490E" w:rsidTr="00D028D2">
        <w:trPr>
          <w:trHeight w:val="277"/>
        </w:trPr>
        <w:tc>
          <w:tcPr>
            <w:tcW w:w="718" w:type="dxa"/>
            <w:tcBorders>
              <w:top w:val="single" w:sz="4" w:space="0" w:color="auto"/>
              <w:left w:val="single" w:sz="4" w:space="0" w:color="auto"/>
              <w:bottom w:val="single" w:sz="4" w:space="0" w:color="auto"/>
              <w:right w:val="single" w:sz="4" w:space="0" w:color="auto"/>
            </w:tcBorders>
            <w:hideMark/>
          </w:tcPr>
          <w:p w:rsidR="00D66005" w:rsidRPr="00F77964" w:rsidRDefault="00D66005" w:rsidP="00D028D2">
            <w:pPr>
              <w:pStyle w:val="Normal-pool"/>
              <w:keepNext/>
              <w:keepLines/>
              <w:spacing w:before="40" w:after="40"/>
              <w:rPr>
                <w:rFonts w:eastAsia="SimSun"/>
                <w:sz w:val="18"/>
                <w:szCs w:val="18"/>
                <w:lang w:eastAsia="zh-CN"/>
              </w:rPr>
            </w:pPr>
            <w:r w:rsidRPr="00F77964">
              <w:rPr>
                <w:rFonts w:eastAsia="SimSun"/>
                <w:sz w:val="18"/>
                <w:szCs w:val="18"/>
                <w:lang w:eastAsia="zh-CN"/>
              </w:rPr>
              <w:t>2015</w:t>
            </w:r>
          </w:p>
        </w:tc>
        <w:tc>
          <w:tcPr>
            <w:tcW w:w="2929" w:type="dxa"/>
            <w:tcBorders>
              <w:top w:val="single" w:sz="4" w:space="0" w:color="auto"/>
              <w:left w:val="single" w:sz="4" w:space="0" w:color="auto"/>
              <w:bottom w:val="single" w:sz="4" w:space="0" w:color="auto"/>
              <w:right w:val="single" w:sz="4" w:space="0" w:color="auto"/>
            </w:tcBorders>
            <w:hideMark/>
          </w:tcPr>
          <w:p w:rsidR="00D66005" w:rsidRPr="00F77964" w:rsidRDefault="00D539D8" w:rsidP="00D028D2">
            <w:pPr>
              <w:pStyle w:val="Normal-pool"/>
              <w:keepNext/>
              <w:keepLines/>
              <w:spacing w:before="40" w:after="40"/>
              <w:rPr>
                <w:rFonts w:eastAsia="SimSun"/>
                <w:sz w:val="18"/>
                <w:szCs w:val="18"/>
                <w:lang w:eastAsia="zh-CN"/>
              </w:rPr>
            </w:pPr>
            <w:r w:rsidRPr="00F77964">
              <w:rPr>
                <w:rFonts w:eastAsia="SimSun"/>
                <w:sz w:val="18"/>
                <w:szCs w:val="18"/>
                <w:lang w:eastAsia="zh-CN"/>
              </w:rPr>
              <w:t>Activités de renforcement des capacités</w:t>
            </w:r>
            <w:r w:rsidR="00D66005" w:rsidRPr="00F77964">
              <w:rPr>
                <w:rFonts w:eastAsia="SimSun"/>
                <w:sz w:val="18"/>
                <w:szCs w:val="18"/>
                <w:lang w:eastAsia="zh-CN"/>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D66005" w:rsidRPr="00F77964" w:rsidRDefault="00B10062" w:rsidP="00D028D2">
            <w:pPr>
              <w:pStyle w:val="Normal-pool"/>
              <w:keepNext/>
              <w:keepLines/>
              <w:spacing w:before="40" w:after="40"/>
              <w:rPr>
                <w:rFonts w:eastAsia="SimSun"/>
                <w:sz w:val="18"/>
                <w:szCs w:val="18"/>
                <w:lang w:eastAsia="zh-CN"/>
              </w:rPr>
            </w:pPr>
            <w:r w:rsidRPr="00F77964">
              <w:rPr>
                <w:rFonts w:eastAsia="SimSun"/>
                <w:sz w:val="18"/>
                <w:szCs w:val="18"/>
                <w:lang w:eastAsia="zh-CN"/>
              </w:rPr>
              <w:t>À</w:t>
            </w:r>
            <w:r w:rsidR="00D539D8" w:rsidRPr="00F77964">
              <w:rPr>
                <w:rFonts w:eastAsia="SimSun"/>
                <w:sz w:val="18"/>
                <w:szCs w:val="18"/>
                <w:lang w:eastAsia="zh-CN"/>
              </w:rPr>
              <w:t xml:space="preserve"> définir (bourses, ateliers, assistance technique)</w:t>
            </w:r>
          </w:p>
        </w:tc>
        <w:tc>
          <w:tcPr>
            <w:tcW w:w="1276" w:type="dxa"/>
            <w:tcBorders>
              <w:top w:val="single" w:sz="4" w:space="0" w:color="auto"/>
              <w:left w:val="single" w:sz="4" w:space="0" w:color="auto"/>
              <w:bottom w:val="single" w:sz="4" w:space="0" w:color="auto"/>
              <w:right w:val="single" w:sz="4" w:space="0" w:color="auto"/>
            </w:tcBorders>
            <w:hideMark/>
          </w:tcPr>
          <w:p w:rsidR="00D66005" w:rsidRPr="00F77964" w:rsidRDefault="00D66005" w:rsidP="00D028D2">
            <w:pPr>
              <w:pStyle w:val="Normal-pool"/>
              <w:keepNext/>
              <w:keepLines/>
              <w:spacing w:before="40" w:after="40"/>
              <w:rPr>
                <w:rFonts w:eastAsia="SimSun"/>
                <w:sz w:val="18"/>
                <w:szCs w:val="18"/>
                <w:lang w:eastAsia="zh-CN"/>
              </w:rPr>
            </w:pPr>
            <w:r w:rsidRPr="00F77964">
              <w:rPr>
                <w:rFonts w:eastAsia="SimSun"/>
                <w:sz w:val="18"/>
                <w:szCs w:val="18"/>
                <w:lang w:eastAsia="zh-CN"/>
              </w:rPr>
              <w:t>450</w:t>
            </w:r>
            <w:r w:rsidR="001047BA" w:rsidRPr="00F77964">
              <w:rPr>
                <w:rFonts w:eastAsia="SimSun"/>
                <w:sz w:val="18"/>
                <w:szCs w:val="18"/>
                <w:lang w:eastAsia="zh-CN"/>
              </w:rPr>
              <w:t> </w:t>
            </w:r>
            <w:r w:rsidRPr="00F77964">
              <w:rPr>
                <w:rFonts w:eastAsia="SimSun"/>
                <w:sz w:val="18"/>
                <w:szCs w:val="18"/>
                <w:lang w:eastAsia="zh-CN"/>
              </w:rPr>
              <w:t>000</w:t>
            </w:r>
          </w:p>
        </w:tc>
      </w:tr>
      <w:tr w:rsidR="00D66005" w:rsidRPr="0061490E" w:rsidTr="00D028D2">
        <w:trPr>
          <w:trHeight w:val="277"/>
        </w:trPr>
        <w:tc>
          <w:tcPr>
            <w:tcW w:w="718" w:type="dxa"/>
            <w:tcBorders>
              <w:top w:val="single" w:sz="4" w:space="0" w:color="auto"/>
              <w:left w:val="single" w:sz="4" w:space="0" w:color="auto"/>
              <w:bottom w:val="single" w:sz="4" w:space="0" w:color="auto"/>
              <w:right w:val="single" w:sz="4" w:space="0" w:color="auto"/>
            </w:tcBorders>
            <w:hideMark/>
          </w:tcPr>
          <w:p w:rsidR="00D66005" w:rsidRPr="00F77964" w:rsidRDefault="00D66005" w:rsidP="00D028D2">
            <w:pPr>
              <w:pStyle w:val="Normal-pool"/>
              <w:spacing w:before="40" w:after="40"/>
              <w:rPr>
                <w:rFonts w:eastAsia="SimSun"/>
                <w:sz w:val="18"/>
                <w:szCs w:val="18"/>
                <w:lang w:eastAsia="zh-CN"/>
              </w:rPr>
            </w:pPr>
            <w:r w:rsidRPr="00F77964">
              <w:rPr>
                <w:rFonts w:eastAsia="SimSun"/>
                <w:sz w:val="18"/>
                <w:szCs w:val="18"/>
                <w:lang w:eastAsia="zh-CN"/>
              </w:rPr>
              <w:t>2016</w:t>
            </w:r>
          </w:p>
        </w:tc>
        <w:tc>
          <w:tcPr>
            <w:tcW w:w="2929" w:type="dxa"/>
            <w:tcBorders>
              <w:top w:val="single" w:sz="4" w:space="0" w:color="auto"/>
              <w:left w:val="single" w:sz="4" w:space="0" w:color="auto"/>
              <w:bottom w:val="single" w:sz="4" w:space="0" w:color="auto"/>
              <w:right w:val="single" w:sz="4" w:space="0" w:color="auto"/>
            </w:tcBorders>
            <w:hideMark/>
          </w:tcPr>
          <w:p w:rsidR="00D66005" w:rsidRPr="00F77964" w:rsidRDefault="00D539D8" w:rsidP="00D028D2">
            <w:pPr>
              <w:pStyle w:val="Normal-pool"/>
              <w:spacing w:before="40" w:after="40"/>
              <w:rPr>
                <w:rFonts w:eastAsia="SimSun"/>
                <w:sz w:val="18"/>
                <w:szCs w:val="18"/>
                <w:lang w:eastAsia="zh-CN"/>
              </w:rPr>
            </w:pPr>
            <w:r w:rsidRPr="00F77964">
              <w:rPr>
                <w:rFonts w:eastAsia="SimSun"/>
                <w:sz w:val="18"/>
                <w:szCs w:val="18"/>
                <w:lang w:eastAsia="zh-CN"/>
              </w:rPr>
              <w:t xml:space="preserve">Activités de renforcement des capacités </w:t>
            </w:r>
          </w:p>
        </w:tc>
        <w:tc>
          <w:tcPr>
            <w:tcW w:w="3402" w:type="dxa"/>
            <w:tcBorders>
              <w:top w:val="single" w:sz="4" w:space="0" w:color="auto"/>
              <w:left w:val="single" w:sz="4" w:space="0" w:color="auto"/>
              <w:bottom w:val="single" w:sz="4" w:space="0" w:color="auto"/>
              <w:right w:val="single" w:sz="4" w:space="0" w:color="auto"/>
            </w:tcBorders>
            <w:hideMark/>
          </w:tcPr>
          <w:p w:rsidR="00D66005" w:rsidRPr="00F77964" w:rsidRDefault="00B10062" w:rsidP="00D028D2">
            <w:pPr>
              <w:pStyle w:val="Normal-pool"/>
              <w:spacing w:before="40" w:after="40"/>
              <w:rPr>
                <w:rFonts w:eastAsia="SimSun"/>
                <w:sz w:val="18"/>
                <w:szCs w:val="18"/>
                <w:lang w:eastAsia="zh-CN"/>
              </w:rPr>
            </w:pPr>
            <w:r w:rsidRPr="00F77964">
              <w:rPr>
                <w:rFonts w:eastAsia="SimSun"/>
                <w:sz w:val="18"/>
                <w:szCs w:val="18"/>
                <w:lang w:eastAsia="zh-CN"/>
              </w:rPr>
              <w:t>À définir (bourses, ateliers, assistance technique)</w:t>
            </w:r>
          </w:p>
        </w:tc>
        <w:tc>
          <w:tcPr>
            <w:tcW w:w="1276" w:type="dxa"/>
            <w:tcBorders>
              <w:top w:val="single" w:sz="4" w:space="0" w:color="auto"/>
              <w:left w:val="single" w:sz="4" w:space="0" w:color="auto"/>
              <w:bottom w:val="single" w:sz="4" w:space="0" w:color="auto"/>
              <w:right w:val="single" w:sz="4" w:space="0" w:color="auto"/>
            </w:tcBorders>
            <w:hideMark/>
          </w:tcPr>
          <w:p w:rsidR="00D66005" w:rsidRPr="00F77964" w:rsidRDefault="00D66005" w:rsidP="00D028D2">
            <w:pPr>
              <w:pStyle w:val="Normal-pool"/>
              <w:spacing w:before="40" w:after="40"/>
              <w:rPr>
                <w:rFonts w:eastAsia="SimSun"/>
                <w:sz w:val="18"/>
                <w:szCs w:val="18"/>
                <w:lang w:eastAsia="zh-CN"/>
              </w:rPr>
            </w:pPr>
            <w:r w:rsidRPr="00F77964">
              <w:rPr>
                <w:rFonts w:eastAsia="SimSun"/>
                <w:sz w:val="18"/>
                <w:szCs w:val="18"/>
                <w:lang w:eastAsia="zh-CN"/>
              </w:rPr>
              <w:t>450</w:t>
            </w:r>
            <w:r w:rsidR="001047BA" w:rsidRPr="00F77964">
              <w:rPr>
                <w:rFonts w:eastAsia="SimSun"/>
                <w:sz w:val="18"/>
                <w:szCs w:val="18"/>
                <w:lang w:eastAsia="zh-CN"/>
              </w:rPr>
              <w:t> </w:t>
            </w:r>
            <w:r w:rsidRPr="00F77964">
              <w:rPr>
                <w:rFonts w:eastAsia="SimSun"/>
                <w:sz w:val="18"/>
                <w:szCs w:val="18"/>
                <w:lang w:eastAsia="zh-CN"/>
              </w:rPr>
              <w:t>000</w:t>
            </w:r>
          </w:p>
        </w:tc>
      </w:tr>
      <w:tr w:rsidR="00D66005" w:rsidRPr="0061490E" w:rsidTr="00D028D2">
        <w:trPr>
          <w:trHeight w:val="277"/>
        </w:trPr>
        <w:tc>
          <w:tcPr>
            <w:tcW w:w="718" w:type="dxa"/>
            <w:tcBorders>
              <w:top w:val="single" w:sz="4" w:space="0" w:color="auto"/>
              <w:left w:val="single" w:sz="4" w:space="0" w:color="auto"/>
              <w:bottom w:val="single" w:sz="4" w:space="0" w:color="auto"/>
              <w:right w:val="single" w:sz="4" w:space="0" w:color="auto"/>
            </w:tcBorders>
            <w:hideMark/>
          </w:tcPr>
          <w:p w:rsidR="00D66005" w:rsidRPr="00F77964" w:rsidRDefault="00D66005" w:rsidP="00D028D2">
            <w:pPr>
              <w:pStyle w:val="Normal-pool"/>
              <w:spacing w:before="40" w:after="40"/>
              <w:rPr>
                <w:rFonts w:eastAsia="SimSun"/>
                <w:sz w:val="18"/>
                <w:szCs w:val="18"/>
                <w:lang w:eastAsia="zh-CN"/>
              </w:rPr>
            </w:pPr>
            <w:r w:rsidRPr="00F77964">
              <w:rPr>
                <w:rFonts w:eastAsia="SimSun"/>
                <w:sz w:val="18"/>
                <w:szCs w:val="18"/>
                <w:lang w:eastAsia="zh-CN"/>
              </w:rPr>
              <w:t>2017</w:t>
            </w:r>
          </w:p>
        </w:tc>
        <w:tc>
          <w:tcPr>
            <w:tcW w:w="2929" w:type="dxa"/>
            <w:tcBorders>
              <w:top w:val="single" w:sz="4" w:space="0" w:color="auto"/>
              <w:left w:val="single" w:sz="4" w:space="0" w:color="auto"/>
              <w:bottom w:val="single" w:sz="4" w:space="0" w:color="auto"/>
              <w:right w:val="single" w:sz="4" w:space="0" w:color="auto"/>
            </w:tcBorders>
            <w:hideMark/>
          </w:tcPr>
          <w:p w:rsidR="00D66005" w:rsidRPr="00F77964" w:rsidRDefault="00D539D8" w:rsidP="00D028D2">
            <w:pPr>
              <w:pStyle w:val="Normal-pool"/>
              <w:spacing w:before="40" w:after="40"/>
              <w:rPr>
                <w:rFonts w:eastAsia="SimSun"/>
                <w:sz w:val="18"/>
                <w:szCs w:val="18"/>
                <w:lang w:eastAsia="zh-CN"/>
              </w:rPr>
            </w:pPr>
            <w:r w:rsidRPr="00F77964">
              <w:rPr>
                <w:rFonts w:eastAsia="SimSun"/>
                <w:sz w:val="18"/>
                <w:szCs w:val="18"/>
                <w:lang w:eastAsia="zh-CN"/>
              </w:rPr>
              <w:t xml:space="preserve">Activités de renforcement des capacités </w:t>
            </w:r>
          </w:p>
        </w:tc>
        <w:tc>
          <w:tcPr>
            <w:tcW w:w="3402" w:type="dxa"/>
            <w:tcBorders>
              <w:top w:val="single" w:sz="4" w:space="0" w:color="auto"/>
              <w:left w:val="single" w:sz="4" w:space="0" w:color="auto"/>
              <w:bottom w:val="single" w:sz="4" w:space="0" w:color="auto"/>
              <w:right w:val="single" w:sz="4" w:space="0" w:color="auto"/>
            </w:tcBorders>
            <w:hideMark/>
          </w:tcPr>
          <w:p w:rsidR="00D66005" w:rsidRPr="00F77964" w:rsidRDefault="00B10062" w:rsidP="00D028D2">
            <w:pPr>
              <w:pStyle w:val="Normal-pool"/>
              <w:spacing w:before="40" w:after="40"/>
              <w:rPr>
                <w:rFonts w:eastAsia="SimSun"/>
                <w:sz w:val="18"/>
                <w:szCs w:val="18"/>
                <w:lang w:eastAsia="zh-CN"/>
              </w:rPr>
            </w:pPr>
            <w:r w:rsidRPr="00F77964">
              <w:rPr>
                <w:rFonts w:eastAsia="SimSun"/>
                <w:sz w:val="18"/>
                <w:szCs w:val="18"/>
                <w:lang w:eastAsia="zh-CN"/>
              </w:rPr>
              <w:t>À définir (bourses, ateliers, assistance technique)</w:t>
            </w:r>
          </w:p>
        </w:tc>
        <w:tc>
          <w:tcPr>
            <w:tcW w:w="1276" w:type="dxa"/>
            <w:tcBorders>
              <w:top w:val="single" w:sz="4" w:space="0" w:color="auto"/>
              <w:left w:val="single" w:sz="4" w:space="0" w:color="auto"/>
              <w:bottom w:val="single" w:sz="4" w:space="0" w:color="auto"/>
              <w:right w:val="single" w:sz="4" w:space="0" w:color="auto"/>
            </w:tcBorders>
            <w:hideMark/>
          </w:tcPr>
          <w:p w:rsidR="00D66005" w:rsidRPr="00F77964" w:rsidRDefault="00D66005" w:rsidP="00D028D2">
            <w:pPr>
              <w:pStyle w:val="Normal-pool"/>
              <w:spacing w:before="40" w:after="40"/>
              <w:rPr>
                <w:rFonts w:eastAsia="SimSun"/>
                <w:sz w:val="18"/>
                <w:szCs w:val="18"/>
                <w:lang w:eastAsia="zh-CN"/>
              </w:rPr>
            </w:pPr>
            <w:r w:rsidRPr="00F77964">
              <w:rPr>
                <w:rFonts w:eastAsia="SimSun"/>
                <w:sz w:val="18"/>
                <w:szCs w:val="18"/>
                <w:lang w:eastAsia="zh-CN"/>
              </w:rPr>
              <w:t>450</w:t>
            </w:r>
            <w:r w:rsidR="001047BA" w:rsidRPr="00F77964">
              <w:rPr>
                <w:rFonts w:eastAsia="SimSun"/>
                <w:sz w:val="18"/>
                <w:szCs w:val="18"/>
                <w:lang w:eastAsia="zh-CN"/>
              </w:rPr>
              <w:t> </w:t>
            </w:r>
            <w:r w:rsidRPr="00F77964">
              <w:rPr>
                <w:rFonts w:eastAsia="SimSun"/>
                <w:sz w:val="18"/>
                <w:szCs w:val="18"/>
                <w:lang w:eastAsia="zh-CN"/>
              </w:rPr>
              <w:t>000</w:t>
            </w:r>
          </w:p>
        </w:tc>
      </w:tr>
      <w:tr w:rsidR="00D66005" w:rsidRPr="0061490E" w:rsidTr="00D028D2">
        <w:trPr>
          <w:trHeight w:val="277"/>
        </w:trPr>
        <w:tc>
          <w:tcPr>
            <w:tcW w:w="718" w:type="dxa"/>
            <w:tcBorders>
              <w:top w:val="single" w:sz="4" w:space="0" w:color="auto"/>
              <w:left w:val="single" w:sz="4" w:space="0" w:color="auto"/>
              <w:bottom w:val="single" w:sz="4" w:space="0" w:color="auto"/>
              <w:right w:val="single" w:sz="4" w:space="0" w:color="auto"/>
            </w:tcBorders>
            <w:hideMark/>
          </w:tcPr>
          <w:p w:rsidR="00D66005" w:rsidRPr="00F77964" w:rsidRDefault="00D66005" w:rsidP="00D028D2">
            <w:pPr>
              <w:pStyle w:val="Normal-pool"/>
              <w:spacing w:before="40" w:after="40"/>
              <w:rPr>
                <w:rFonts w:eastAsia="SimSun"/>
                <w:sz w:val="18"/>
                <w:szCs w:val="18"/>
                <w:lang w:eastAsia="zh-CN"/>
              </w:rPr>
            </w:pPr>
            <w:r w:rsidRPr="00F77964">
              <w:rPr>
                <w:rFonts w:eastAsia="SimSun"/>
                <w:sz w:val="18"/>
                <w:szCs w:val="18"/>
                <w:lang w:eastAsia="zh-CN"/>
              </w:rPr>
              <w:t>2018</w:t>
            </w:r>
          </w:p>
        </w:tc>
        <w:tc>
          <w:tcPr>
            <w:tcW w:w="2929" w:type="dxa"/>
            <w:tcBorders>
              <w:top w:val="single" w:sz="4" w:space="0" w:color="auto"/>
              <w:left w:val="single" w:sz="4" w:space="0" w:color="auto"/>
              <w:bottom w:val="single" w:sz="4" w:space="0" w:color="auto"/>
              <w:right w:val="single" w:sz="4" w:space="0" w:color="auto"/>
            </w:tcBorders>
            <w:hideMark/>
          </w:tcPr>
          <w:p w:rsidR="00D66005" w:rsidRPr="00F77964" w:rsidRDefault="00D539D8" w:rsidP="00D028D2">
            <w:pPr>
              <w:pStyle w:val="Normal-pool"/>
              <w:spacing w:before="40" w:after="40"/>
              <w:rPr>
                <w:rFonts w:eastAsia="SimSun"/>
                <w:sz w:val="18"/>
                <w:szCs w:val="18"/>
                <w:lang w:eastAsia="zh-CN"/>
              </w:rPr>
            </w:pPr>
            <w:r w:rsidRPr="00F77964">
              <w:rPr>
                <w:rFonts w:eastAsia="SimSun"/>
                <w:sz w:val="18"/>
                <w:szCs w:val="18"/>
                <w:lang w:eastAsia="zh-CN"/>
              </w:rPr>
              <w:t xml:space="preserve">Activités de renforcement des capacités </w:t>
            </w:r>
          </w:p>
        </w:tc>
        <w:tc>
          <w:tcPr>
            <w:tcW w:w="3402" w:type="dxa"/>
            <w:tcBorders>
              <w:top w:val="single" w:sz="4" w:space="0" w:color="auto"/>
              <w:left w:val="single" w:sz="4" w:space="0" w:color="auto"/>
              <w:bottom w:val="single" w:sz="4" w:space="0" w:color="auto"/>
              <w:right w:val="single" w:sz="4" w:space="0" w:color="auto"/>
            </w:tcBorders>
            <w:hideMark/>
          </w:tcPr>
          <w:p w:rsidR="00D66005" w:rsidRPr="00F77964" w:rsidRDefault="00B10062" w:rsidP="00D028D2">
            <w:pPr>
              <w:pStyle w:val="Normal-pool"/>
              <w:spacing w:before="40" w:after="40"/>
              <w:rPr>
                <w:rFonts w:eastAsia="SimSun"/>
                <w:sz w:val="18"/>
                <w:szCs w:val="18"/>
                <w:lang w:eastAsia="zh-CN"/>
              </w:rPr>
            </w:pPr>
            <w:r w:rsidRPr="00F77964">
              <w:rPr>
                <w:rFonts w:eastAsia="SimSun"/>
                <w:sz w:val="18"/>
                <w:szCs w:val="18"/>
                <w:lang w:eastAsia="zh-CN"/>
              </w:rPr>
              <w:t>À définir (bourses, ateliers, assistance technique)</w:t>
            </w:r>
          </w:p>
        </w:tc>
        <w:tc>
          <w:tcPr>
            <w:tcW w:w="1276" w:type="dxa"/>
            <w:tcBorders>
              <w:top w:val="single" w:sz="4" w:space="0" w:color="auto"/>
              <w:left w:val="single" w:sz="4" w:space="0" w:color="auto"/>
              <w:bottom w:val="single" w:sz="4" w:space="0" w:color="auto"/>
              <w:right w:val="single" w:sz="4" w:space="0" w:color="auto"/>
            </w:tcBorders>
            <w:hideMark/>
          </w:tcPr>
          <w:p w:rsidR="00D66005" w:rsidRPr="00F77964" w:rsidRDefault="00D66005" w:rsidP="00D028D2">
            <w:pPr>
              <w:pStyle w:val="Normal-pool"/>
              <w:spacing w:before="40" w:after="40"/>
              <w:rPr>
                <w:rFonts w:eastAsia="SimSun"/>
                <w:sz w:val="18"/>
                <w:szCs w:val="18"/>
                <w:lang w:eastAsia="zh-CN"/>
              </w:rPr>
            </w:pPr>
            <w:r w:rsidRPr="00F77964">
              <w:rPr>
                <w:rFonts w:eastAsia="SimSun"/>
                <w:sz w:val="18"/>
                <w:szCs w:val="18"/>
                <w:lang w:eastAsia="zh-CN"/>
              </w:rPr>
              <w:t>450</w:t>
            </w:r>
            <w:r w:rsidR="001047BA" w:rsidRPr="00F77964">
              <w:rPr>
                <w:rFonts w:eastAsia="SimSun"/>
                <w:sz w:val="18"/>
                <w:szCs w:val="18"/>
                <w:lang w:eastAsia="zh-CN"/>
              </w:rPr>
              <w:t> </w:t>
            </w:r>
            <w:r w:rsidRPr="00F77964">
              <w:rPr>
                <w:rFonts w:eastAsia="SimSun"/>
                <w:sz w:val="18"/>
                <w:szCs w:val="18"/>
                <w:lang w:eastAsia="zh-CN"/>
              </w:rPr>
              <w:t>000</w:t>
            </w:r>
          </w:p>
        </w:tc>
      </w:tr>
      <w:tr w:rsidR="00D66005" w:rsidRPr="0061490E" w:rsidTr="00D028D2">
        <w:tc>
          <w:tcPr>
            <w:tcW w:w="718" w:type="dxa"/>
            <w:tcBorders>
              <w:top w:val="single" w:sz="4" w:space="0" w:color="auto"/>
              <w:left w:val="single" w:sz="4" w:space="0" w:color="auto"/>
              <w:bottom w:val="single" w:sz="4" w:space="0" w:color="auto"/>
              <w:right w:val="single" w:sz="4" w:space="0" w:color="auto"/>
            </w:tcBorders>
            <w:hideMark/>
          </w:tcPr>
          <w:p w:rsidR="00D66005" w:rsidRPr="00F77964" w:rsidRDefault="00D66005" w:rsidP="00D028D2">
            <w:pPr>
              <w:pStyle w:val="Normal-pool"/>
              <w:spacing w:before="40" w:after="40"/>
              <w:rPr>
                <w:rFonts w:eastAsia="SimSun"/>
                <w:b/>
                <w:sz w:val="18"/>
                <w:szCs w:val="18"/>
                <w:lang w:eastAsia="zh-CN"/>
              </w:rPr>
            </w:pPr>
            <w:r w:rsidRPr="00F77964">
              <w:rPr>
                <w:rFonts w:eastAsia="SimSun"/>
                <w:b/>
                <w:sz w:val="18"/>
                <w:szCs w:val="18"/>
                <w:lang w:eastAsia="zh-CN"/>
              </w:rPr>
              <w:t>Total</w:t>
            </w:r>
          </w:p>
        </w:tc>
        <w:tc>
          <w:tcPr>
            <w:tcW w:w="2929" w:type="dxa"/>
            <w:tcBorders>
              <w:top w:val="single" w:sz="4" w:space="0" w:color="auto"/>
              <w:left w:val="single" w:sz="4" w:space="0" w:color="auto"/>
              <w:bottom w:val="single" w:sz="4" w:space="0" w:color="auto"/>
              <w:right w:val="single" w:sz="4" w:space="0" w:color="auto"/>
            </w:tcBorders>
          </w:tcPr>
          <w:p w:rsidR="00D66005" w:rsidRPr="00F77964" w:rsidRDefault="00D66005" w:rsidP="00D028D2">
            <w:pPr>
              <w:pStyle w:val="MediumGrid1-Accent21"/>
              <w:tabs>
                <w:tab w:val="left" w:pos="426"/>
              </w:tabs>
              <w:autoSpaceDE w:val="0"/>
              <w:autoSpaceDN w:val="0"/>
              <w:adjustRightInd w:val="0"/>
              <w:spacing w:before="60" w:after="60"/>
              <w:ind w:left="0"/>
              <w:rPr>
                <w:rFonts w:ascii="Times New Roman" w:eastAsia="SimSun" w:hAnsi="Times New Roman"/>
                <w:sz w:val="20"/>
                <w:szCs w:val="20"/>
                <w:lang w:val="fr-FR" w:eastAsia="zh-CN"/>
              </w:rPr>
            </w:pPr>
          </w:p>
        </w:tc>
        <w:tc>
          <w:tcPr>
            <w:tcW w:w="3402" w:type="dxa"/>
            <w:tcBorders>
              <w:top w:val="single" w:sz="4" w:space="0" w:color="auto"/>
              <w:left w:val="single" w:sz="4" w:space="0" w:color="auto"/>
              <w:bottom w:val="single" w:sz="4" w:space="0" w:color="auto"/>
              <w:right w:val="single" w:sz="4" w:space="0" w:color="auto"/>
            </w:tcBorders>
          </w:tcPr>
          <w:p w:rsidR="00D66005" w:rsidRPr="00F77964" w:rsidRDefault="00D66005" w:rsidP="00D028D2">
            <w:pPr>
              <w:pStyle w:val="MediumGrid1-Accent21"/>
              <w:tabs>
                <w:tab w:val="left" w:pos="426"/>
              </w:tabs>
              <w:autoSpaceDE w:val="0"/>
              <w:autoSpaceDN w:val="0"/>
              <w:adjustRightInd w:val="0"/>
              <w:spacing w:before="60" w:after="60"/>
              <w:ind w:left="0"/>
              <w:rPr>
                <w:rFonts w:ascii="Times New Roman" w:eastAsia="SimSun" w:hAnsi="Times New Roman"/>
                <w:sz w:val="20"/>
                <w:szCs w:val="20"/>
                <w:lang w:val="fr-FR" w:eastAsia="zh-CN"/>
              </w:rPr>
            </w:pPr>
          </w:p>
        </w:tc>
        <w:tc>
          <w:tcPr>
            <w:tcW w:w="1276" w:type="dxa"/>
            <w:tcBorders>
              <w:top w:val="single" w:sz="4" w:space="0" w:color="auto"/>
              <w:left w:val="single" w:sz="4" w:space="0" w:color="auto"/>
              <w:bottom w:val="single" w:sz="4" w:space="0" w:color="auto"/>
              <w:right w:val="single" w:sz="4" w:space="0" w:color="auto"/>
            </w:tcBorders>
            <w:hideMark/>
          </w:tcPr>
          <w:p w:rsidR="00D66005" w:rsidRPr="00F77964" w:rsidRDefault="00D66005" w:rsidP="00D028D2">
            <w:pPr>
              <w:pStyle w:val="Normal-pool"/>
              <w:spacing w:before="40" w:after="40"/>
              <w:rPr>
                <w:rFonts w:eastAsia="SimSun"/>
                <w:b/>
                <w:sz w:val="18"/>
                <w:szCs w:val="18"/>
                <w:lang w:eastAsia="zh-CN"/>
              </w:rPr>
            </w:pPr>
            <w:r w:rsidRPr="00F77964">
              <w:rPr>
                <w:rFonts w:eastAsia="SimSun"/>
                <w:b/>
                <w:sz w:val="18"/>
                <w:szCs w:val="18"/>
                <w:lang w:eastAsia="zh-CN"/>
              </w:rPr>
              <w:t>2</w:t>
            </w:r>
            <w:r w:rsidR="001047BA" w:rsidRPr="00F77964">
              <w:rPr>
                <w:rFonts w:eastAsia="SimSun"/>
                <w:b/>
                <w:sz w:val="18"/>
                <w:szCs w:val="18"/>
                <w:lang w:eastAsia="zh-CN"/>
              </w:rPr>
              <w:t> </w:t>
            </w:r>
            <w:r w:rsidRPr="00F77964">
              <w:rPr>
                <w:rFonts w:eastAsia="SimSun"/>
                <w:b/>
                <w:sz w:val="18"/>
                <w:szCs w:val="18"/>
                <w:lang w:eastAsia="zh-CN"/>
              </w:rPr>
              <w:t>250</w:t>
            </w:r>
            <w:r w:rsidR="001047BA" w:rsidRPr="00F77964">
              <w:rPr>
                <w:rFonts w:eastAsia="SimSun"/>
                <w:b/>
                <w:sz w:val="18"/>
                <w:szCs w:val="18"/>
                <w:lang w:eastAsia="zh-CN"/>
              </w:rPr>
              <w:t> </w:t>
            </w:r>
            <w:r w:rsidRPr="00F77964">
              <w:rPr>
                <w:rFonts w:eastAsia="SimSun"/>
                <w:b/>
                <w:sz w:val="18"/>
                <w:szCs w:val="18"/>
                <w:lang w:eastAsia="zh-CN"/>
              </w:rPr>
              <w:t>000</w:t>
            </w:r>
          </w:p>
        </w:tc>
      </w:tr>
    </w:tbl>
    <w:p w:rsidR="00D66005" w:rsidRPr="00F77964" w:rsidRDefault="00B6201C" w:rsidP="00216359">
      <w:pPr>
        <w:pStyle w:val="CH3"/>
        <w:spacing w:before="120" w:after="0"/>
        <w:ind w:firstLine="0"/>
        <w:rPr>
          <w:rFonts w:eastAsia="SimSun"/>
          <w:b w:val="0"/>
          <w:lang w:eastAsia="zh-CN"/>
        </w:rPr>
      </w:pPr>
      <w:r w:rsidRPr="00F77964">
        <w:rPr>
          <w:rFonts w:eastAsia="SimSun"/>
          <w:lang w:eastAsia="zh-CN"/>
        </w:rPr>
        <w:lastRenderedPageBreak/>
        <w:t>Produit </w:t>
      </w:r>
      <w:r w:rsidR="00D66005" w:rsidRPr="00F77964">
        <w:rPr>
          <w:rFonts w:eastAsia="SimSun"/>
          <w:lang w:eastAsia="zh-CN"/>
        </w:rPr>
        <w:t>1</w:t>
      </w:r>
      <w:r w:rsidR="001047BA" w:rsidRPr="00F77964">
        <w:rPr>
          <w:rFonts w:eastAsia="SimSun"/>
          <w:lang w:eastAsia="zh-CN"/>
        </w:rPr>
        <w:t> </w:t>
      </w:r>
      <w:r w:rsidR="00D66005" w:rsidRPr="00F77964">
        <w:rPr>
          <w:rFonts w:eastAsia="SimSun"/>
          <w:lang w:eastAsia="zh-CN"/>
        </w:rPr>
        <w:t>c)</w:t>
      </w:r>
    </w:p>
    <w:p w:rsidR="00D66005" w:rsidRPr="00F77964" w:rsidRDefault="00D66005" w:rsidP="00216359">
      <w:pPr>
        <w:pStyle w:val="CH3"/>
        <w:rPr>
          <w:rFonts w:eastAsia="SimSun"/>
          <w:lang w:val="fr-FR" w:eastAsia="zh-CN"/>
        </w:rPr>
      </w:pPr>
      <w:r w:rsidRPr="00F77964">
        <w:rPr>
          <w:rFonts w:eastAsia="SimSun"/>
          <w:lang w:val="fr-FR" w:eastAsia="zh-CN"/>
        </w:rPr>
        <w:tab/>
      </w:r>
      <w:r w:rsidRPr="00F77964">
        <w:rPr>
          <w:rFonts w:eastAsia="SimSun"/>
          <w:lang w:val="fr-FR" w:eastAsia="zh-CN"/>
        </w:rPr>
        <w:tab/>
      </w:r>
      <w:r w:rsidR="00C01029" w:rsidRPr="00C01029">
        <w:rPr>
          <w:rFonts w:eastAsia="SimSun"/>
          <w:lang w:val="fr-FR" w:eastAsia="zh-CN"/>
        </w:rPr>
        <w:t>Élaborer des procédures et des approches pour travailler avec les systèmes de connaissances locaux et autochtones (</w:t>
      </w:r>
      <w:r w:rsidR="00C01029" w:rsidRPr="00C01029">
        <w:rPr>
          <w:rFonts w:eastAsia="SimSun"/>
          <w:i/>
          <w:lang w:val="fr-FR" w:eastAsia="zh-CN"/>
        </w:rPr>
        <w:t>d’ici 2016</w:t>
      </w:r>
      <w:r w:rsidR="00C01029" w:rsidRPr="00C01029">
        <w:rPr>
          <w:rFonts w:eastAsia="SimSun"/>
          <w:lang w:val="fr-FR" w:eastAsia="zh-CN"/>
        </w:rPr>
        <w:t>)</w:t>
      </w:r>
    </w:p>
    <w:p w:rsidR="00D66005" w:rsidRPr="00F77964" w:rsidRDefault="00D66005" w:rsidP="00216359">
      <w:pPr>
        <w:pStyle w:val="CH3"/>
        <w:rPr>
          <w:lang w:val="fr-FR"/>
        </w:rPr>
      </w:pPr>
      <w:r w:rsidRPr="00F77964">
        <w:rPr>
          <w:rFonts w:eastAsia="Calibri"/>
          <w:lang w:val="fr-FR"/>
        </w:rPr>
        <w:tab/>
      </w:r>
      <w:r w:rsidRPr="00F77964">
        <w:rPr>
          <w:rFonts w:eastAsia="Calibri"/>
          <w:lang w:val="fr-FR"/>
        </w:rPr>
        <w:tab/>
      </w:r>
      <w:r w:rsidR="00B6201C" w:rsidRPr="00F77964">
        <w:rPr>
          <w:rFonts w:eastAsia="Calibri"/>
          <w:lang w:val="fr-FR"/>
        </w:rPr>
        <w:t>Hypothèses</w:t>
      </w:r>
      <w:r w:rsidRPr="00F77964">
        <w:rPr>
          <w:lang w:val="fr-FR"/>
        </w:rPr>
        <w:t xml:space="preserve"> </w:t>
      </w:r>
    </w:p>
    <w:p w:rsidR="00D66005" w:rsidRPr="00F77964" w:rsidRDefault="00B6201C" w:rsidP="00D66005">
      <w:pPr>
        <w:pStyle w:val="Normalnumber"/>
        <w:numPr>
          <w:ilvl w:val="0"/>
          <w:numId w:val="6"/>
        </w:numPr>
        <w:tabs>
          <w:tab w:val="left" w:pos="624"/>
        </w:tabs>
        <w:ind w:left="1247" w:firstLine="0"/>
        <w:rPr>
          <w:lang w:val="fr-FR"/>
        </w:rPr>
      </w:pPr>
      <w:r w:rsidRPr="00F77964">
        <w:rPr>
          <w:lang w:val="fr-FR"/>
        </w:rPr>
        <w:t xml:space="preserve">La Plénière a demandé au Groupe d’experts multidisciplinaire de recommander </w:t>
      </w:r>
      <w:r w:rsidR="00F75045">
        <w:t>des procédures et méthodes de travail fondées sur des systèmes de connaissances différents pour examen par la Plénière à sa deuxième session, en tirant parti des contributions reçues</w:t>
      </w:r>
      <w:r w:rsidRPr="00F77964">
        <w:rPr>
          <w:lang w:val="fr-FR"/>
        </w:rPr>
        <w:t xml:space="preserve"> </w:t>
      </w:r>
      <w:r w:rsidR="00A30148" w:rsidRPr="00F77964">
        <w:rPr>
          <w:lang w:val="fr-FR"/>
        </w:rPr>
        <w:t>de l’atelier</w:t>
      </w:r>
      <w:r w:rsidRPr="00F77964">
        <w:rPr>
          <w:lang w:val="fr-FR"/>
        </w:rPr>
        <w:t xml:space="preserve"> sur le thème « La contribution des systèmes de connaissance</w:t>
      </w:r>
      <w:r w:rsidR="00010A63" w:rsidRPr="00F77964">
        <w:rPr>
          <w:lang w:val="fr-FR"/>
        </w:rPr>
        <w:t>s</w:t>
      </w:r>
      <w:r w:rsidRPr="00F77964">
        <w:rPr>
          <w:lang w:val="fr-FR"/>
        </w:rPr>
        <w:t xml:space="preserve"> autochtones et loca</w:t>
      </w:r>
      <w:r w:rsidR="00032C72">
        <w:rPr>
          <w:lang w:val="fr-FR"/>
        </w:rPr>
        <w:t>ux</w:t>
      </w:r>
      <w:r w:rsidRPr="00F77964">
        <w:rPr>
          <w:lang w:val="fr-FR"/>
        </w:rPr>
        <w:t xml:space="preserve"> à la </w:t>
      </w:r>
      <w:r w:rsidR="00A30148" w:rsidRPr="00F77964">
        <w:rPr>
          <w:lang w:val="fr-FR"/>
        </w:rPr>
        <w:t>P</w:t>
      </w:r>
      <w:r w:rsidRPr="00F77964">
        <w:rPr>
          <w:lang w:val="fr-FR"/>
        </w:rPr>
        <w:t xml:space="preserve">lateforme intergouvernementale scientifique et politique sur la biodiversité et les services écosystémiques : </w:t>
      </w:r>
      <w:r w:rsidR="00A30148" w:rsidRPr="00F77964">
        <w:rPr>
          <w:lang w:val="fr-FR"/>
        </w:rPr>
        <w:t>création de</w:t>
      </w:r>
      <w:r w:rsidRPr="00F77964">
        <w:rPr>
          <w:lang w:val="fr-FR"/>
        </w:rPr>
        <w:t xml:space="preserve"> synergies avec la science », </w:t>
      </w:r>
      <w:r w:rsidR="00A30148" w:rsidRPr="00F77964">
        <w:rPr>
          <w:lang w:val="fr-FR"/>
        </w:rPr>
        <w:t>qui a eu lieu</w:t>
      </w:r>
      <w:r w:rsidRPr="00F77964">
        <w:rPr>
          <w:lang w:val="fr-FR"/>
        </w:rPr>
        <w:t xml:space="preserve"> à Tokyo en juin 2013. Les résultats de cet atelier ont servi de base à la mise au point d’un guide préliminaire sur les principes et procédures à appliquer pour </w:t>
      </w:r>
      <w:r w:rsidR="00F75045">
        <w:rPr>
          <w:lang w:val="fr-FR"/>
        </w:rPr>
        <w:t>travaill</w:t>
      </w:r>
      <w:r w:rsidR="0080395D" w:rsidRPr="00F77964">
        <w:rPr>
          <w:lang w:val="fr-FR"/>
        </w:rPr>
        <w:t>er</w:t>
      </w:r>
      <w:r w:rsidRPr="00F77964">
        <w:rPr>
          <w:lang w:val="fr-FR"/>
        </w:rPr>
        <w:t xml:space="preserve"> avec les systèmes de connaissance</w:t>
      </w:r>
      <w:r w:rsidR="00A30148" w:rsidRPr="00F77964">
        <w:rPr>
          <w:lang w:val="fr-FR"/>
        </w:rPr>
        <w:t>s</w:t>
      </w:r>
      <w:r w:rsidRPr="00F77964">
        <w:rPr>
          <w:lang w:val="fr-FR"/>
        </w:rPr>
        <w:t xml:space="preserve"> autochtones et loca</w:t>
      </w:r>
      <w:r w:rsidR="00032C72">
        <w:rPr>
          <w:lang w:val="fr-FR"/>
        </w:rPr>
        <w:t>ux</w:t>
      </w:r>
      <w:r w:rsidRPr="00F77964">
        <w:rPr>
          <w:lang w:val="fr-FR"/>
        </w:rPr>
        <w:t xml:space="preserve">, dont la Plénière </w:t>
      </w:r>
      <w:r w:rsidR="00F75045" w:rsidRPr="00F77964">
        <w:rPr>
          <w:lang w:val="fr-FR"/>
        </w:rPr>
        <w:t xml:space="preserve">sera saisie </w:t>
      </w:r>
      <w:r w:rsidRPr="00F77964">
        <w:rPr>
          <w:lang w:val="fr-FR"/>
        </w:rPr>
        <w:t>à sa deuxième session à des fins d’information. L</w:t>
      </w:r>
      <w:r w:rsidR="00A30148" w:rsidRPr="00F77964">
        <w:rPr>
          <w:lang w:val="fr-FR"/>
        </w:rPr>
        <w:t>a</w:t>
      </w:r>
      <w:r w:rsidRPr="00F77964">
        <w:rPr>
          <w:lang w:val="fr-FR"/>
        </w:rPr>
        <w:t xml:space="preserve"> reconnaissance des </w:t>
      </w:r>
      <w:r w:rsidR="006A0887">
        <w:rPr>
          <w:lang w:val="fr-FR"/>
        </w:rPr>
        <w:t>savoir</w:t>
      </w:r>
      <w:r w:rsidRPr="00F77964">
        <w:rPr>
          <w:lang w:val="fr-FR"/>
        </w:rPr>
        <w:t>s autochtones et loca</w:t>
      </w:r>
      <w:r w:rsidR="006A0887">
        <w:rPr>
          <w:lang w:val="fr-FR"/>
        </w:rPr>
        <w:t>ux</w:t>
      </w:r>
      <w:r w:rsidRPr="00F77964">
        <w:rPr>
          <w:lang w:val="fr-FR"/>
        </w:rPr>
        <w:t xml:space="preserve"> dans </w:t>
      </w:r>
      <w:r w:rsidR="00F35DFE" w:rsidRPr="00F77964">
        <w:rPr>
          <w:lang w:val="fr-FR"/>
        </w:rPr>
        <w:t xml:space="preserve">le renforcement de </w:t>
      </w:r>
      <w:r w:rsidRPr="00F77964">
        <w:rPr>
          <w:lang w:val="fr-FR"/>
        </w:rPr>
        <w:t>l’interface scien</w:t>
      </w:r>
      <w:r w:rsidR="0080395D" w:rsidRPr="00F77964">
        <w:rPr>
          <w:lang w:val="fr-FR"/>
        </w:rPr>
        <w:t xml:space="preserve">tifique et </w:t>
      </w:r>
      <w:r w:rsidRPr="00F77964">
        <w:rPr>
          <w:lang w:val="fr-FR"/>
        </w:rPr>
        <w:t>politique et l</w:t>
      </w:r>
      <w:r w:rsidR="00A30148" w:rsidRPr="00F77964">
        <w:rPr>
          <w:lang w:val="fr-FR"/>
        </w:rPr>
        <w:t>a</w:t>
      </w:r>
      <w:r w:rsidRPr="00F77964">
        <w:rPr>
          <w:lang w:val="fr-FR"/>
        </w:rPr>
        <w:t xml:space="preserve"> </w:t>
      </w:r>
      <w:r w:rsidR="00A30148" w:rsidRPr="00F77964">
        <w:rPr>
          <w:lang w:val="fr-FR"/>
        </w:rPr>
        <w:t xml:space="preserve">création de </w:t>
      </w:r>
      <w:r w:rsidRPr="00F77964">
        <w:rPr>
          <w:lang w:val="fr-FR"/>
        </w:rPr>
        <w:t xml:space="preserve">synergies avec la science </w:t>
      </w:r>
      <w:r w:rsidR="006A0887">
        <w:rPr>
          <w:lang w:val="fr-FR"/>
        </w:rPr>
        <w:t>a</w:t>
      </w:r>
      <w:r w:rsidRPr="00F77964">
        <w:rPr>
          <w:lang w:val="fr-FR"/>
        </w:rPr>
        <w:t xml:space="preserve"> </w:t>
      </w:r>
      <w:r w:rsidR="00A30148" w:rsidRPr="00F77964">
        <w:rPr>
          <w:lang w:val="fr-FR"/>
        </w:rPr>
        <w:t>connu des évolutions</w:t>
      </w:r>
      <w:r w:rsidRPr="00F77964">
        <w:rPr>
          <w:lang w:val="fr-FR"/>
        </w:rPr>
        <w:t xml:space="preserve"> très variables partout dans le monde et des travaux plus approfondis sont nécessaires pour dé</w:t>
      </w:r>
      <w:r w:rsidR="00370E84" w:rsidRPr="00F77964">
        <w:rPr>
          <w:lang w:val="fr-FR"/>
        </w:rPr>
        <w:t>finir</w:t>
      </w:r>
      <w:r w:rsidRPr="00F77964">
        <w:rPr>
          <w:lang w:val="fr-FR"/>
        </w:rPr>
        <w:t xml:space="preserve"> un</w:t>
      </w:r>
      <w:r w:rsidR="00F35DFE" w:rsidRPr="00F77964">
        <w:rPr>
          <w:lang w:val="fr-FR"/>
        </w:rPr>
        <w:t xml:space="preserve"> ensemble cohérent </w:t>
      </w:r>
      <w:r w:rsidRPr="00F77964">
        <w:rPr>
          <w:lang w:val="fr-FR"/>
        </w:rPr>
        <w:t xml:space="preserve">de procédures et d’approches pouvant être utilisées par la </w:t>
      </w:r>
      <w:r w:rsidR="00F35DFE" w:rsidRPr="00F77964">
        <w:rPr>
          <w:lang w:val="fr-FR"/>
        </w:rPr>
        <w:t>P</w:t>
      </w:r>
      <w:r w:rsidRPr="00F77964">
        <w:rPr>
          <w:lang w:val="fr-FR"/>
        </w:rPr>
        <w:t>lateforme. Ces efforts s’appuieront sur ceux de l’UNESCO, de la Convention sur la diversité biologique, de l’Organisation mondiale de la propriété intellectuelle</w:t>
      </w:r>
      <w:r w:rsidR="00032C72">
        <w:rPr>
          <w:lang w:val="fr-FR"/>
        </w:rPr>
        <w:t xml:space="preserve"> et</w:t>
      </w:r>
      <w:r w:rsidRPr="00F77964">
        <w:rPr>
          <w:lang w:val="fr-FR"/>
        </w:rPr>
        <w:t xml:space="preserve"> de la FAO, entre autres, et les complèteront. Sous la direction du </w:t>
      </w:r>
      <w:r w:rsidR="00195EE1" w:rsidRPr="00F77964">
        <w:rPr>
          <w:lang w:val="fr-FR"/>
        </w:rPr>
        <w:t>G</w:t>
      </w:r>
      <w:r w:rsidRPr="00F77964">
        <w:rPr>
          <w:lang w:val="fr-FR"/>
        </w:rPr>
        <w:t xml:space="preserve">roupe d’experts multidisciplinaire et du Bureau, un </w:t>
      </w:r>
      <w:r w:rsidR="00195EE1" w:rsidRPr="00F77964">
        <w:rPr>
          <w:lang w:val="fr-FR"/>
        </w:rPr>
        <w:t>g</w:t>
      </w:r>
      <w:r w:rsidRPr="00F77964">
        <w:rPr>
          <w:lang w:val="fr-FR"/>
        </w:rPr>
        <w:t xml:space="preserve">roupe d’experts </w:t>
      </w:r>
      <w:r w:rsidR="00032C72">
        <w:rPr>
          <w:lang w:val="fr-FR"/>
        </w:rPr>
        <w:t xml:space="preserve">doté d’un </w:t>
      </w:r>
      <w:r w:rsidRPr="00F77964">
        <w:rPr>
          <w:lang w:val="fr-FR"/>
        </w:rPr>
        <w:t xml:space="preserve">mandat </w:t>
      </w:r>
      <w:r w:rsidR="00032C72">
        <w:rPr>
          <w:lang w:val="fr-FR"/>
        </w:rPr>
        <w:t>précis</w:t>
      </w:r>
      <w:r w:rsidRPr="00F77964">
        <w:rPr>
          <w:lang w:val="fr-FR"/>
        </w:rPr>
        <w:t xml:space="preserve"> </w:t>
      </w:r>
      <w:r w:rsidR="004621EA">
        <w:rPr>
          <w:lang w:val="fr-FR"/>
        </w:rPr>
        <w:t>à durée déterminée</w:t>
      </w:r>
      <w:r w:rsidRPr="00F77964">
        <w:rPr>
          <w:lang w:val="fr-FR"/>
        </w:rPr>
        <w:t xml:space="preserve"> sera établi pour </w:t>
      </w:r>
      <w:r w:rsidR="00195EE1" w:rsidRPr="00F77964">
        <w:rPr>
          <w:lang w:val="fr-FR"/>
        </w:rPr>
        <w:t>élaborer</w:t>
      </w:r>
      <w:r w:rsidRPr="00F77964">
        <w:rPr>
          <w:lang w:val="fr-FR"/>
        </w:rPr>
        <w:t xml:space="preserve"> plus avant le guide aux fins d’approbation par la Plénière à sa quatrième session</w:t>
      </w:r>
      <w:r w:rsidR="00195EE1" w:rsidRPr="00F77964">
        <w:rPr>
          <w:lang w:val="fr-FR"/>
        </w:rPr>
        <w:t xml:space="preserve"> (</w:t>
      </w:r>
      <w:r w:rsidRPr="00F77964">
        <w:rPr>
          <w:lang w:val="fr-FR"/>
        </w:rPr>
        <w:t>qui devrait se tenir au début de 2016)</w:t>
      </w:r>
      <w:r w:rsidR="0080395D" w:rsidRPr="00F77964">
        <w:rPr>
          <w:lang w:val="fr-FR"/>
        </w:rPr>
        <w:t>,</w:t>
      </w:r>
      <w:r w:rsidRPr="00F77964">
        <w:rPr>
          <w:lang w:val="fr-FR"/>
        </w:rPr>
        <w:t xml:space="preserve"> de façon qu’il puisse servir de base au processus de mise au point des autres produits en cours de la plateforme, notamment les évaluations régionales/sous-régionales. Le </w:t>
      </w:r>
      <w:r w:rsidR="00F35DFE" w:rsidRPr="00F77964">
        <w:rPr>
          <w:lang w:val="fr-FR"/>
        </w:rPr>
        <w:t>g</w:t>
      </w:r>
      <w:r w:rsidRPr="00F77964">
        <w:rPr>
          <w:lang w:val="fr-FR"/>
        </w:rPr>
        <w:t>roupe d’experts, en collaboration avec l’équipe spéciale sur les connaissances et les données</w:t>
      </w:r>
      <w:r w:rsidR="00F35DFE" w:rsidRPr="00F77964">
        <w:rPr>
          <w:lang w:val="fr-FR"/>
        </w:rPr>
        <w:t>,</w:t>
      </w:r>
      <w:r w:rsidRPr="00F77964">
        <w:rPr>
          <w:lang w:val="fr-FR"/>
        </w:rPr>
        <w:t xml:space="preserve"> </w:t>
      </w:r>
      <w:r w:rsidR="006123EF">
        <w:rPr>
          <w:lang w:val="fr-FR"/>
        </w:rPr>
        <w:t>aider</w:t>
      </w:r>
      <w:r w:rsidRPr="00F77964">
        <w:rPr>
          <w:lang w:val="fr-FR"/>
        </w:rPr>
        <w:t xml:space="preserve">a aussi le Groupe </w:t>
      </w:r>
      <w:r w:rsidR="00D43062" w:rsidRPr="00F77964">
        <w:rPr>
          <w:lang w:val="fr-FR"/>
        </w:rPr>
        <w:t>d’experts multidisciplinaire et le Bureau</w:t>
      </w:r>
      <w:r w:rsidR="006123EF">
        <w:rPr>
          <w:lang w:val="fr-FR"/>
        </w:rPr>
        <w:t>,</w:t>
      </w:r>
      <w:r w:rsidR="00D43062" w:rsidRPr="00F77964">
        <w:rPr>
          <w:lang w:val="fr-FR"/>
        </w:rPr>
        <w:t xml:space="preserve"> en 2014</w:t>
      </w:r>
      <w:r w:rsidR="006123EF">
        <w:rPr>
          <w:lang w:val="fr-FR"/>
        </w:rPr>
        <w:t>,</w:t>
      </w:r>
      <w:r w:rsidR="00D43062" w:rsidRPr="00F77964">
        <w:rPr>
          <w:lang w:val="fr-FR"/>
        </w:rPr>
        <w:t xml:space="preserve"> </w:t>
      </w:r>
      <w:r w:rsidR="006123EF">
        <w:rPr>
          <w:lang w:val="fr-FR"/>
        </w:rPr>
        <w:t xml:space="preserve">à </w:t>
      </w:r>
      <w:r w:rsidR="00D43062" w:rsidRPr="00F77964">
        <w:rPr>
          <w:lang w:val="fr-FR"/>
        </w:rPr>
        <w:t>établi</w:t>
      </w:r>
      <w:r w:rsidR="006123EF">
        <w:rPr>
          <w:lang w:val="fr-FR"/>
        </w:rPr>
        <w:t xml:space="preserve">r un fichier et </w:t>
      </w:r>
      <w:r w:rsidR="00D43062" w:rsidRPr="00F77964">
        <w:rPr>
          <w:lang w:val="fr-FR"/>
        </w:rPr>
        <w:t xml:space="preserve">un réseau d’experts et de détenteurs de connaissances. Ce fichier </w:t>
      </w:r>
      <w:r w:rsidR="006F110F">
        <w:rPr>
          <w:lang w:val="fr-FR"/>
        </w:rPr>
        <w:t>constitue</w:t>
      </w:r>
      <w:r w:rsidR="00D43062" w:rsidRPr="00F77964">
        <w:rPr>
          <w:lang w:val="fr-FR"/>
        </w:rPr>
        <w:t xml:space="preserve">ra </w:t>
      </w:r>
      <w:r w:rsidR="006F110F">
        <w:rPr>
          <w:lang w:val="fr-FR"/>
        </w:rPr>
        <w:t>une source d’information pour</w:t>
      </w:r>
      <w:r w:rsidR="00D43062" w:rsidRPr="00F77964">
        <w:rPr>
          <w:lang w:val="fr-FR"/>
        </w:rPr>
        <w:t xml:space="preserve"> l</w:t>
      </w:r>
      <w:r w:rsidR="006F110F">
        <w:rPr>
          <w:lang w:val="fr-FR"/>
        </w:rPr>
        <w:t>’exécu</w:t>
      </w:r>
      <w:r w:rsidR="00D43062" w:rsidRPr="00F77964">
        <w:rPr>
          <w:lang w:val="fr-FR"/>
        </w:rPr>
        <w:t xml:space="preserve">tion des activités de la </w:t>
      </w:r>
      <w:r w:rsidR="00195EE1" w:rsidRPr="00F77964">
        <w:rPr>
          <w:lang w:val="fr-FR"/>
        </w:rPr>
        <w:t>P</w:t>
      </w:r>
      <w:r w:rsidR="00D43062" w:rsidRPr="00F77964">
        <w:rPr>
          <w:lang w:val="fr-FR"/>
        </w:rPr>
        <w:t xml:space="preserve">lateforme, y compris </w:t>
      </w:r>
      <w:r w:rsidR="006F110F">
        <w:rPr>
          <w:lang w:val="fr-FR"/>
        </w:rPr>
        <w:t>les</w:t>
      </w:r>
      <w:r w:rsidR="00D43062" w:rsidRPr="00F77964">
        <w:rPr>
          <w:lang w:val="fr-FR"/>
        </w:rPr>
        <w:t xml:space="preserve"> évaluation</w:t>
      </w:r>
      <w:r w:rsidR="006F110F">
        <w:rPr>
          <w:lang w:val="fr-FR"/>
        </w:rPr>
        <w:t>s</w:t>
      </w:r>
      <w:r w:rsidR="00D43062" w:rsidRPr="00F77964">
        <w:rPr>
          <w:lang w:val="fr-FR"/>
        </w:rPr>
        <w:t>. L</w:t>
      </w:r>
      <w:r w:rsidR="00195EE1" w:rsidRPr="00F77964">
        <w:rPr>
          <w:lang w:val="fr-FR"/>
        </w:rPr>
        <w:t xml:space="preserve">’élaboration </w:t>
      </w:r>
      <w:r w:rsidR="00D43062" w:rsidRPr="00F77964">
        <w:rPr>
          <w:lang w:val="fr-FR"/>
        </w:rPr>
        <w:t xml:space="preserve">des procédures et des approches par un </w:t>
      </w:r>
      <w:r w:rsidR="00F77964" w:rsidRPr="00F77964">
        <w:rPr>
          <w:lang w:val="fr-FR"/>
        </w:rPr>
        <w:t>aréopage</w:t>
      </w:r>
      <w:r w:rsidR="000F67AA" w:rsidRPr="00F77964">
        <w:rPr>
          <w:lang w:val="fr-FR"/>
        </w:rPr>
        <w:t xml:space="preserve"> </w:t>
      </w:r>
      <w:r w:rsidR="00D43062" w:rsidRPr="00F77964">
        <w:rPr>
          <w:lang w:val="fr-FR"/>
        </w:rPr>
        <w:t xml:space="preserve">d’experts s’appuiera sur un éventail des meilleures pratiques </w:t>
      </w:r>
      <w:r w:rsidR="00195EE1" w:rsidRPr="00F77964">
        <w:rPr>
          <w:lang w:val="fr-FR"/>
        </w:rPr>
        <w:t xml:space="preserve">mises en </w:t>
      </w:r>
      <w:r w:rsidR="00F77964" w:rsidRPr="00F77964">
        <w:rPr>
          <w:lang w:val="fr-FR"/>
        </w:rPr>
        <w:t>évidence</w:t>
      </w:r>
      <w:r w:rsidR="00195EE1" w:rsidRPr="00F77964">
        <w:rPr>
          <w:lang w:val="fr-FR"/>
        </w:rPr>
        <w:t xml:space="preserve"> </w:t>
      </w:r>
      <w:r w:rsidR="00D43062" w:rsidRPr="00F77964">
        <w:rPr>
          <w:lang w:val="fr-FR"/>
        </w:rPr>
        <w:t xml:space="preserve">dans chaque région </w:t>
      </w:r>
      <w:r w:rsidR="006A0887">
        <w:rPr>
          <w:lang w:val="fr-FR"/>
        </w:rPr>
        <w:t xml:space="preserve">concernant le </w:t>
      </w:r>
      <w:r w:rsidR="006F110F">
        <w:rPr>
          <w:lang w:val="fr-FR"/>
        </w:rPr>
        <w:t>travail</w:t>
      </w:r>
      <w:r w:rsidR="00195EE1" w:rsidRPr="00F77964">
        <w:rPr>
          <w:lang w:val="fr-FR"/>
        </w:rPr>
        <w:t xml:space="preserve"> avec les</w:t>
      </w:r>
      <w:r w:rsidR="00D43062" w:rsidRPr="00F77964">
        <w:rPr>
          <w:lang w:val="fr-FR"/>
        </w:rPr>
        <w:t xml:space="preserve"> systèmes de connaissance</w:t>
      </w:r>
      <w:r w:rsidR="006F110F">
        <w:rPr>
          <w:lang w:val="fr-FR"/>
        </w:rPr>
        <w:t>s</w:t>
      </w:r>
      <w:r w:rsidR="00D43062" w:rsidRPr="00F77964">
        <w:rPr>
          <w:lang w:val="fr-FR"/>
        </w:rPr>
        <w:t xml:space="preserve"> autochtones et loca</w:t>
      </w:r>
      <w:r w:rsidR="006F110F">
        <w:rPr>
          <w:lang w:val="fr-FR"/>
        </w:rPr>
        <w:t>ux</w:t>
      </w:r>
      <w:r w:rsidR="00D43062" w:rsidRPr="00F77964">
        <w:rPr>
          <w:lang w:val="fr-FR"/>
        </w:rPr>
        <w:t>. Ce</w:t>
      </w:r>
      <w:r w:rsidR="00195EE1" w:rsidRPr="00F77964">
        <w:rPr>
          <w:lang w:val="fr-FR"/>
        </w:rPr>
        <w:t>t exercice</w:t>
      </w:r>
      <w:r w:rsidR="00D43062" w:rsidRPr="00F77964">
        <w:rPr>
          <w:lang w:val="fr-FR"/>
        </w:rPr>
        <w:t xml:space="preserve"> sera </w:t>
      </w:r>
      <w:r w:rsidR="006C7083" w:rsidRPr="00F77964">
        <w:rPr>
          <w:lang w:val="fr-FR"/>
        </w:rPr>
        <w:t xml:space="preserve">aussi </w:t>
      </w:r>
      <w:r w:rsidR="000F67AA" w:rsidRPr="00F77964">
        <w:rPr>
          <w:lang w:val="fr-FR"/>
        </w:rPr>
        <w:t>étayé</w:t>
      </w:r>
      <w:r w:rsidR="006C7083" w:rsidRPr="00F77964">
        <w:rPr>
          <w:lang w:val="fr-FR"/>
        </w:rPr>
        <w:t xml:space="preserve"> par les connaissances tirées d’une ou deux études de cas </w:t>
      </w:r>
      <w:r w:rsidR="00195EE1" w:rsidRPr="00F77964">
        <w:rPr>
          <w:lang w:val="fr-FR"/>
        </w:rPr>
        <w:t xml:space="preserve">réalisées </w:t>
      </w:r>
      <w:r w:rsidR="006C7083" w:rsidRPr="00F77964">
        <w:rPr>
          <w:lang w:val="fr-FR"/>
        </w:rPr>
        <w:t xml:space="preserve">dans chacune des cinq régions de l’ONU; une </w:t>
      </w:r>
      <w:r w:rsidR="00F35DFE" w:rsidRPr="00F77964">
        <w:rPr>
          <w:lang w:val="fr-FR"/>
        </w:rPr>
        <w:t>téléco</w:t>
      </w:r>
      <w:r w:rsidR="000F67AA" w:rsidRPr="00F77964">
        <w:rPr>
          <w:lang w:val="fr-FR"/>
        </w:rPr>
        <w:t>n</w:t>
      </w:r>
      <w:r w:rsidR="00F35DFE" w:rsidRPr="00F77964">
        <w:rPr>
          <w:lang w:val="fr-FR"/>
        </w:rPr>
        <w:t>férence</w:t>
      </w:r>
      <w:r w:rsidR="00195EE1" w:rsidRPr="00F77964">
        <w:rPr>
          <w:lang w:val="fr-FR"/>
        </w:rPr>
        <w:t xml:space="preserve"> </w:t>
      </w:r>
      <w:r w:rsidR="006C7083" w:rsidRPr="00F77964">
        <w:rPr>
          <w:lang w:val="fr-FR"/>
        </w:rPr>
        <w:t xml:space="preserve">ou un examen du projet de guide, avec un grand nombre d’experts et de parties prenantes (y compris le </w:t>
      </w:r>
      <w:r w:rsidR="00295151" w:rsidRPr="00295151">
        <w:rPr>
          <w:rFonts w:eastAsia="Calibri"/>
          <w:lang w:val="fr-FR"/>
        </w:rPr>
        <w:t>World Indigenous Network</w:t>
      </w:r>
      <w:r w:rsidR="006C7083" w:rsidRPr="00F77964">
        <w:rPr>
          <w:lang w:val="fr-FR"/>
        </w:rPr>
        <w:t>)</w:t>
      </w:r>
      <w:r w:rsidR="00195EE1" w:rsidRPr="00F77964">
        <w:rPr>
          <w:lang w:val="fr-FR"/>
        </w:rPr>
        <w:t>;</w:t>
      </w:r>
      <w:r w:rsidR="006C7083" w:rsidRPr="00F77964">
        <w:rPr>
          <w:lang w:val="fr-FR"/>
        </w:rPr>
        <w:t xml:space="preserve"> et trois réunions du </w:t>
      </w:r>
      <w:r w:rsidR="00195EE1" w:rsidRPr="00F77964">
        <w:rPr>
          <w:lang w:val="fr-FR"/>
        </w:rPr>
        <w:t>g</w:t>
      </w:r>
      <w:r w:rsidR="006C7083" w:rsidRPr="00F77964">
        <w:rPr>
          <w:lang w:val="fr-FR"/>
        </w:rPr>
        <w:t xml:space="preserve">roupe d’experts. En 2015, le </w:t>
      </w:r>
      <w:r w:rsidR="00195EE1" w:rsidRPr="00F77964">
        <w:rPr>
          <w:lang w:val="fr-FR"/>
        </w:rPr>
        <w:t>g</w:t>
      </w:r>
      <w:r w:rsidR="006C7083" w:rsidRPr="00F77964">
        <w:rPr>
          <w:lang w:val="fr-FR"/>
        </w:rPr>
        <w:t xml:space="preserve">roupe d’experts évaluera et finalisera le </w:t>
      </w:r>
      <w:r w:rsidR="000F67AA" w:rsidRPr="00F77964">
        <w:rPr>
          <w:lang w:val="fr-FR"/>
        </w:rPr>
        <w:t>g</w:t>
      </w:r>
      <w:r w:rsidR="006C7083" w:rsidRPr="00F77964">
        <w:rPr>
          <w:lang w:val="fr-FR"/>
        </w:rPr>
        <w:t xml:space="preserve">uide sur la base des </w:t>
      </w:r>
      <w:r w:rsidR="00295151">
        <w:rPr>
          <w:lang w:val="fr-FR"/>
        </w:rPr>
        <w:t>éléments</w:t>
      </w:r>
      <w:r w:rsidR="006C7083" w:rsidRPr="00F77964">
        <w:rPr>
          <w:lang w:val="fr-FR"/>
        </w:rPr>
        <w:t xml:space="preserve"> </w:t>
      </w:r>
      <w:r w:rsidR="00295151">
        <w:rPr>
          <w:lang w:val="fr-FR"/>
        </w:rPr>
        <w:t>apportés par l</w:t>
      </w:r>
      <w:r w:rsidR="006C7083" w:rsidRPr="00F77964">
        <w:rPr>
          <w:lang w:val="fr-FR"/>
        </w:rPr>
        <w:t xml:space="preserve">’examen et </w:t>
      </w:r>
      <w:r w:rsidR="00295151">
        <w:rPr>
          <w:lang w:val="fr-FR"/>
        </w:rPr>
        <w:t>l</w:t>
      </w:r>
      <w:r w:rsidR="006C7083" w:rsidRPr="00F77964">
        <w:rPr>
          <w:lang w:val="fr-FR"/>
        </w:rPr>
        <w:t xml:space="preserve">es </w:t>
      </w:r>
      <w:r w:rsidR="00F35DFE" w:rsidRPr="00F77964">
        <w:rPr>
          <w:lang w:val="fr-FR"/>
        </w:rPr>
        <w:t>télé</w:t>
      </w:r>
      <w:r w:rsidR="006C7083" w:rsidRPr="00F77964">
        <w:rPr>
          <w:lang w:val="fr-FR"/>
        </w:rPr>
        <w:t xml:space="preserve">conférences, en vue de son approbation par la </w:t>
      </w:r>
      <w:r w:rsidR="00195EE1" w:rsidRPr="00F77964">
        <w:rPr>
          <w:lang w:val="fr-FR"/>
        </w:rPr>
        <w:t>P</w:t>
      </w:r>
      <w:r w:rsidR="006C7083" w:rsidRPr="00F77964">
        <w:rPr>
          <w:lang w:val="fr-FR"/>
        </w:rPr>
        <w:t xml:space="preserve">lénière à sa quatrième session et de sa mise en œuvre dans </w:t>
      </w:r>
      <w:r w:rsidR="00295151">
        <w:rPr>
          <w:lang w:val="fr-FR"/>
        </w:rPr>
        <w:t>l</w:t>
      </w:r>
      <w:r w:rsidR="006C7083" w:rsidRPr="00F77964">
        <w:rPr>
          <w:lang w:val="fr-FR"/>
        </w:rPr>
        <w:t xml:space="preserve">’évaluation </w:t>
      </w:r>
      <w:r w:rsidR="00295151" w:rsidRPr="00F77964">
        <w:rPr>
          <w:lang w:val="fr-FR"/>
        </w:rPr>
        <w:t xml:space="preserve">plus large </w:t>
      </w:r>
      <w:r w:rsidR="006C7083" w:rsidRPr="00F77964">
        <w:rPr>
          <w:lang w:val="fr-FR"/>
        </w:rPr>
        <w:t xml:space="preserve">de la </w:t>
      </w:r>
      <w:r w:rsidR="003E752B" w:rsidRPr="00F77964">
        <w:rPr>
          <w:lang w:val="fr-FR"/>
        </w:rPr>
        <w:t>P</w:t>
      </w:r>
      <w:r w:rsidR="006C7083" w:rsidRPr="00F77964">
        <w:rPr>
          <w:lang w:val="fr-FR"/>
        </w:rPr>
        <w:t>lateforme.</w:t>
      </w:r>
    </w:p>
    <w:p w:rsidR="00D66005" w:rsidRPr="00F77964" w:rsidRDefault="00D66005" w:rsidP="00D66005">
      <w:pPr>
        <w:pStyle w:val="CH3"/>
        <w:rPr>
          <w:lang w:val="fr-FR"/>
        </w:rPr>
      </w:pPr>
      <w:r w:rsidRPr="00F77964">
        <w:rPr>
          <w:rFonts w:eastAsia="Calibri"/>
          <w:lang w:val="fr-FR"/>
        </w:rPr>
        <w:tab/>
      </w:r>
      <w:r w:rsidRPr="00F77964">
        <w:rPr>
          <w:rFonts w:eastAsia="Calibri"/>
          <w:lang w:val="fr-FR"/>
        </w:rPr>
        <w:tab/>
      </w:r>
      <w:r w:rsidR="0048412B" w:rsidRPr="00F77964">
        <w:rPr>
          <w:rFonts w:eastAsia="SimSun"/>
          <w:lang w:val="fr-FR" w:eastAsia="zh-CN"/>
        </w:rPr>
        <w:t>Actions, étapes intermédiaires et dispositions institutionnelles</w:t>
      </w:r>
      <w:r w:rsidR="0048412B" w:rsidRPr="00F77964">
        <w:rPr>
          <w:rFonts w:eastAsia="Calibri"/>
          <w:lang w:val="fr-FR"/>
        </w:rPr>
        <w:t xml:space="preserve"> </w:t>
      </w:r>
    </w:p>
    <w:p w:rsidR="00D66005" w:rsidRPr="00F77964" w:rsidRDefault="00F4565D" w:rsidP="00D66005">
      <w:pPr>
        <w:pStyle w:val="Normalnumber"/>
        <w:keepNext/>
        <w:keepLines/>
        <w:numPr>
          <w:ilvl w:val="0"/>
          <w:numId w:val="6"/>
        </w:numPr>
        <w:tabs>
          <w:tab w:val="left" w:pos="624"/>
        </w:tabs>
        <w:ind w:left="1247" w:firstLine="0"/>
        <w:rPr>
          <w:lang w:val="fr-FR"/>
        </w:rPr>
      </w:pPr>
      <w:r w:rsidRPr="00F77964">
        <w:rPr>
          <w:lang w:val="fr-FR"/>
        </w:rPr>
        <w:t>Les actions à mener sont indiquées ci-après</w:t>
      </w:r>
      <w:r w:rsidR="006C7083" w:rsidRPr="00F77964">
        <w:rPr>
          <w:lang w:val="fr-FR"/>
        </w:rPr>
        <w:t> :</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193"/>
        <w:gridCol w:w="6968"/>
      </w:tblGrid>
      <w:tr w:rsidR="00D66005" w:rsidRPr="0061490E" w:rsidTr="00D66005">
        <w:trPr>
          <w:trHeight w:val="123"/>
          <w:tblHeader/>
        </w:trPr>
        <w:tc>
          <w:tcPr>
            <w:tcW w:w="1830" w:type="dxa"/>
            <w:gridSpan w:val="2"/>
            <w:tcBorders>
              <w:top w:val="single" w:sz="4" w:space="0" w:color="auto"/>
              <w:left w:val="single" w:sz="4" w:space="0" w:color="auto"/>
              <w:bottom w:val="single" w:sz="4" w:space="0" w:color="auto"/>
              <w:right w:val="single" w:sz="4" w:space="0" w:color="auto"/>
            </w:tcBorders>
            <w:hideMark/>
          </w:tcPr>
          <w:p w:rsidR="00D66005" w:rsidRPr="00F77964" w:rsidRDefault="006C7083" w:rsidP="006C7083">
            <w:pPr>
              <w:pStyle w:val="Normal-pool"/>
              <w:keepNext/>
              <w:keepLines/>
              <w:spacing w:before="40" w:after="40"/>
              <w:rPr>
                <w:rFonts w:eastAsia="SimSun"/>
                <w:sz w:val="18"/>
                <w:szCs w:val="18"/>
                <w:lang w:eastAsia="zh-CN"/>
              </w:rPr>
            </w:pPr>
            <w:r w:rsidRPr="00F77964">
              <w:rPr>
                <w:rFonts w:eastAsia="SimSun"/>
                <w:i/>
                <w:sz w:val="18"/>
                <w:szCs w:val="18"/>
                <w:lang w:eastAsia="zh-CN"/>
              </w:rPr>
              <w:t>Calendrier</w:t>
            </w:r>
          </w:p>
        </w:tc>
        <w:tc>
          <w:tcPr>
            <w:tcW w:w="6968"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D66005" w:rsidP="006C7083">
            <w:pPr>
              <w:pStyle w:val="Normal-pool"/>
              <w:keepNext/>
              <w:keepLines/>
              <w:spacing w:before="40" w:after="40"/>
              <w:rPr>
                <w:rFonts w:eastAsia="SimSun"/>
                <w:sz w:val="18"/>
                <w:szCs w:val="18"/>
                <w:lang w:eastAsia="zh-CN"/>
              </w:rPr>
            </w:pPr>
            <w:r w:rsidRPr="00F77964">
              <w:rPr>
                <w:rFonts w:eastAsia="SimSun"/>
                <w:i/>
                <w:sz w:val="18"/>
                <w:szCs w:val="18"/>
                <w:lang w:eastAsia="zh-CN"/>
              </w:rPr>
              <w:t>Actions/</w:t>
            </w:r>
            <w:r w:rsidR="006C7083" w:rsidRPr="00F77964">
              <w:rPr>
                <w:rFonts w:eastAsia="SimSun"/>
                <w:i/>
                <w:sz w:val="18"/>
                <w:szCs w:val="18"/>
                <w:lang w:eastAsia="zh-CN"/>
              </w:rPr>
              <w:t>dispositions institutionnelles</w:t>
            </w:r>
          </w:p>
        </w:tc>
      </w:tr>
      <w:tr w:rsidR="00D66005" w:rsidRPr="0061490E" w:rsidTr="00216359">
        <w:trPr>
          <w:trHeight w:val="123"/>
        </w:trPr>
        <w:tc>
          <w:tcPr>
            <w:tcW w:w="637"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216359">
            <w:pPr>
              <w:pStyle w:val="Normal-pool"/>
              <w:keepNext/>
              <w:keepLines/>
              <w:spacing w:before="40" w:after="40"/>
              <w:rPr>
                <w:rFonts w:eastAsia="SimSun"/>
                <w:sz w:val="18"/>
                <w:szCs w:val="18"/>
                <w:lang w:eastAsia="zh-CN"/>
              </w:rPr>
            </w:pPr>
            <w:r w:rsidRPr="00F77964">
              <w:rPr>
                <w:rFonts w:eastAsia="SimSun"/>
                <w:sz w:val="18"/>
                <w:szCs w:val="18"/>
                <w:lang w:eastAsia="zh-CN"/>
              </w:rPr>
              <w:t>2013</w:t>
            </w:r>
          </w:p>
        </w:tc>
        <w:tc>
          <w:tcPr>
            <w:tcW w:w="1193"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6C7083" w:rsidP="00216359">
            <w:pPr>
              <w:pStyle w:val="Normal-pool"/>
              <w:keepNext/>
              <w:keepLines/>
              <w:spacing w:before="40" w:after="40"/>
              <w:rPr>
                <w:rFonts w:eastAsia="SimSun"/>
                <w:sz w:val="18"/>
                <w:szCs w:val="18"/>
                <w:lang w:eastAsia="zh-CN"/>
              </w:rPr>
            </w:pPr>
            <w:r w:rsidRPr="00F77964">
              <w:rPr>
                <w:rFonts w:eastAsia="SimSun"/>
                <w:sz w:val="18"/>
                <w:szCs w:val="18"/>
                <w:lang w:eastAsia="zh-CN"/>
              </w:rPr>
              <w:t>Quatrième trimestre</w:t>
            </w:r>
          </w:p>
        </w:tc>
        <w:tc>
          <w:tcPr>
            <w:tcW w:w="6968" w:type="dxa"/>
            <w:tcBorders>
              <w:top w:val="single" w:sz="4" w:space="0" w:color="auto"/>
              <w:left w:val="single" w:sz="4" w:space="0" w:color="auto"/>
              <w:bottom w:val="single" w:sz="4" w:space="0" w:color="auto"/>
              <w:right w:val="single" w:sz="4" w:space="0" w:color="auto"/>
            </w:tcBorders>
            <w:hideMark/>
          </w:tcPr>
          <w:p w:rsidR="00D66005" w:rsidRPr="00F77964" w:rsidRDefault="006C7083" w:rsidP="00216359">
            <w:pPr>
              <w:pStyle w:val="Normal-pool"/>
              <w:keepNext/>
              <w:keepLines/>
              <w:spacing w:before="40" w:after="40"/>
              <w:rPr>
                <w:rFonts w:eastAsia="SimSun"/>
                <w:sz w:val="18"/>
                <w:szCs w:val="18"/>
                <w:lang w:eastAsia="zh-CN"/>
              </w:rPr>
            </w:pPr>
            <w:r w:rsidRPr="00F77964">
              <w:rPr>
                <w:rFonts w:eastAsia="SimSun"/>
                <w:sz w:val="18"/>
                <w:szCs w:val="18"/>
                <w:lang w:eastAsia="zh-CN"/>
              </w:rPr>
              <w:t>La Plénière, à sa deuxième session, s</w:t>
            </w:r>
            <w:r w:rsidR="00800C86" w:rsidRPr="00F77964">
              <w:rPr>
                <w:rFonts w:eastAsia="SimSun"/>
                <w:sz w:val="18"/>
                <w:szCs w:val="18"/>
                <w:lang w:eastAsia="zh-CN"/>
              </w:rPr>
              <w:t xml:space="preserve">’inspirant </w:t>
            </w:r>
            <w:r w:rsidRPr="00F77964">
              <w:rPr>
                <w:rFonts w:eastAsia="SimSun"/>
                <w:sz w:val="18"/>
                <w:szCs w:val="18"/>
                <w:lang w:eastAsia="zh-CN"/>
              </w:rPr>
              <w:t>d</w:t>
            </w:r>
            <w:r w:rsidR="000062DD">
              <w:rPr>
                <w:rFonts w:eastAsia="SimSun"/>
                <w:sz w:val="18"/>
                <w:szCs w:val="18"/>
                <w:lang w:eastAsia="zh-CN"/>
              </w:rPr>
              <w:t xml:space="preserve">es orientations </w:t>
            </w:r>
            <w:r w:rsidRPr="00F77964">
              <w:rPr>
                <w:rFonts w:eastAsia="SimSun"/>
                <w:sz w:val="18"/>
                <w:szCs w:val="18"/>
                <w:lang w:eastAsia="zh-CN"/>
              </w:rPr>
              <w:t>initial</w:t>
            </w:r>
            <w:r w:rsidR="000062DD">
              <w:rPr>
                <w:rFonts w:eastAsia="SimSun"/>
                <w:sz w:val="18"/>
                <w:szCs w:val="18"/>
                <w:lang w:eastAsia="zh-CN"/>
              </w:rPr>
              <w:t>es</w:t>
            </w:r>
            <w:r w:rsidRPr="00F77964">
              <w:rPr>
                <w:rFonts w:eastAsia="SimSun"/>
                <w:sz w:val="18"/>
                <w:szCs w:val="18"/>
                <w:lang w:eastAsia="zh-CN"/>
              </w:rPr>
              <w:t xml:space="preserve"> sur les procédures et approches pour </w:t>
            </w:r>
            <w:r w:rsidR="00D05E6F">
              <w:rPr>
                <w:rFonts w:eastAsia="SimSun"/>
                <w:sz w:val="18"/>
                <w:szCs w:val="18"/>
                <w:lang w:eastAsia="zh-CN"/>
              </w:rPr>
              <w:t xml:space="preserve">travailler </w:t>
            </w:r>
            <w:r w:rsidRPr="00F77964">
              <w:rPr>
                <w:rFonts w:eastAsia="SimSun"/>
                <w:sz w:val="18"/>
                <w:szCs w:val="18"/>
                <w:lang w:eastAsia="zh-CN"/>
              </w:rPr>
              <w:t xml:space="preserve">avec les </w:t>
            </w:r>
            <w:r w:rsidR="00AF0FA3">
              <w:rPr>
                <w:rFonts w:eastAsia="SimSun"/>
                <w:sz w:val="18"/>
                <w:szCs w:val="18"/>
                <w:lang w:eastAsia="zh-CN"/>
              </w:rPr>
              <w:t>systèmes de connaissances autochtones et locaux</w:t>
            </w:r>
            <w:r w:rsidRPr="00F77964">
              <w:rPr>
                <w:rFonts w:eastAsia="SimSun"/>
                <w:sz w:val="18"/>
                <w:szCs w:val="18"/>
                <w:lang w:eastAsia="zh-CN"/>
              </w:rPr>
              <w:t xml:space="preserve"> </w:t>
            </w:r>
            <w:r w:rsidR="00D66005" w:rsidRPr="00F77964">
              <w:rPr>
                <w:rFonts w:eastAsia="SimSun"/>
                <w:sz w:val="18"/>
                <w:szCs w:val="18"/>
                <w:lang w:eastAsia="zh-CN"/>
              </w:rPr>
              <w:t>(</w:t>
            </w:r>
            <w:r w:rsidR="000062DD">
              <w:rPr>
                <w:rFonts w:eastAsia="SimSun"/>
                <w:sz w:val="18"/>
                <w:szCs w:val="18"/>
                <w:lang w:eastAsia="zh-CN"/>
              </w:rPr>
              <w:t xml:space="preserve">voir </w:t>
            </w:r>
            <w:r w:rsidR="00D66005" w:rsidRPr="00F77964">
              <w:rPr>
                <w:rFonts w:eastAsia="SimSun"/>
                <w:sz w:val="18"/>
                <w:szCs w:val="18"/>
                <w:lang w:eastAsia="zh-CN"/>
              </w:rPr>
              <w:t>IPBES/2/INF/1)</w:t>
            </w:r>
            <w:r w:rsidR="00800C86" w:rsidRPr="00F77964">
              <w:rPr>
                <w:rFonts w:eastAsia="SimSun"/>
                <w:sz w:val="18"/>
                <w:szCs w:val="18"/>
                <w:lang w:eastAsia="zh-CN"/>
              </w:rPr>
              <w:t>,</w:t>
            </w:r>
            <w:r w:rsidRPr="00F77964">
              <w:rPr>
                <w:rFonts w:eastAsia="SimSun"/>
                <w:sz w:val="18"/>
                <w:szCs w:val="18"/>
                <w:lang w:eastAsia="zh-CN"/>
              </w:rPr>
              <w:t xml:space="preserve"> demande au Groupe d’experts multidisciplinaire et au Bureau, </w:t>
            </w:r>
            <w:r w:rsidR="00AF0FA3">
              <w:rPr>
                <w:rFonts w:eastAsia="SimSun"/>
                <w:sz w:val="18"/>
                <w:szCs w:val="18"/>
                <w:lang w:eastAsia="zh-CN"/>
              </w:rPr>
              <w:t>appuyé</w:t>
            </w:r>
            <w:r w:rsidRPr="00F77964">
              <w:rPr>
                <w:rFonts w:eastAsia="SimSun"/>
                <w:sz w:val="18"/>
                <w:szCs w:val="18"/>
                <w:lang w:eastAsia="zh-CN"/>
              </w:rPr>
              <w:t xml:space="preserve">s par un Groupe d’experts </w:t>
            </w:r>
            <w:r w:rsidR="00AF0FA3">
              <w:rPr>
                <w:rFonts w:eastAsia="SimSun"/>
                <w:sz w:val="18"/>
                <w:szCs w:val="18"/>
                <w:lang w:eastAsia="zh-CN"/>
              </w:rPr>
              <w:t xml:space="preserve">mis en place à cet effet et doté d’un </w:t>
            </w:r>
            <w:r w:rsidR="00800C86" w:rsidRPr="00F77964">
              <w:rPr>
                <w:rFonts w:eastAsia="SimSun"/>
                <w:sz w:val="18"/>
                <w:szCs w:val="18"/>
                <w:lang w:eastAsia="zh-CN"/>
              </w:rPr>
              <w:t>mandat</w:t>
            </w:r>
            <w:r w:rsidRPr="00F77964">
              <w:rPr>
                <w:rFonts w:eastAsia="SimSun"/>
                <w:sz w:val="18"/>
                <w:szCs w:val="18"/>
                <w:lang w:eastAsia="zh-CN"/>
              </w:rPr>
              <w:t xml:space="preserve"> </w:t>
            </w:r>
            <w:r w:rsidR="00AF0FA3">
              <w:rPr>
                <w:rFonts w:eastAsia="SimSun"/>
                <w:sz w:val="18"/>
                <w:szCs w:val="18"/>
                <w:lang w:eastAsia="zh-CN"/>
              </w:rPr>
              <w:t>précis</w:t>
            </w:r>
            <w:r w:rsidR="00800C86" w:rsidRPr="00F77964">
              <w:rPr>
                <w:rFonts w:eastAsia="SimSun"/>
                <w:sz w:val="18"/>
                <w:szCs w:val="18"/>
                <w:lang w:eastAsia="zh-CN"/>
              </w:rPr>
              <w:t xml:space="preserve"> </w:t>
            </w:r>
            <w:r w:rsidR="004621EA">
              <w:rPr>
                <w:rFonts w:eastAsia="SimSun"/>
                <w:sz w:val="18"/>
                <w:szCs w:val="18"/>
                <w:lang w:eastAsia="zh-CN"/>
              </w:rPr>
              <w:t>à durée déterminée</w:t>
            </w:r>
            <w:r w:rsidRPr="00F77964">
              <w:rPr>
                <w:rFonts w:eastAsia="SimSun"/>
                <w:sz w:val="18"/>
                <w:szCs w:val="18"/>
                <w:lang w:eastAsia="zh-CN"/>
              </w:rPr>
              <w:t>, de mettre au point un projet de procédure</w:t>
            </w:r>
            <w:r w:rsidR="00800C86" w:rsidRPr="00F77964">
              <w:rPr>
                <w:rFonts w:eastAsia="SimSun"/>
                <w:sz w:val="18"/>
                <w:szCs w:val="18"/>
                <w:lang w:eastAsia="zh-CN"/>
              </w:rPr>
              <w:t>s</w:t>
            </w:r>
            <w:r w:rsidRPr="00F77964">
              <w:rPr>
                <w:rFonts w:eastAsia="SimSun"/>
                <w:sz w:val="18"/>
                <w:szCs w:val="18"/>
                <w:lang w:eastAsia="zh-CN"/>
              </w:rPr>
              <w:t xml:space="preserve"> et d’approche</w:t>
            </w:r>
            <w:r w:rsidR="00800C86" w:rsidRPr="00F77964">
              <w:rPr>
                <w:rFonts w:eastAsia="SimSun"/>
                <w:sz w:val="18"/>
                <w:szCs w:val="18"/>
                <w:lang w:eastAsia="zh-CN"/>
              </w:rPr>
              <w:t>s</w:t>
            </w:r>
            <w:r w:rsidRPr="00F77964">
              <w:rPr>
                <w:rFonts w:eastAsia="SimSun"/>
                <w:sz w:val="18"/>
                <w:szCs w:val="18"/>
                <w:lang w:eastAsia="zh-CN"/>
              </w:rPr>
              <w:t xml:space="preserve"> pour </w:t>
            </w:r>
            <w:r w:rsidR="00AF0FA3">
              <w:rPr>
                <w:rFonts w:eastAsia="SimSun"/>
                <w:sz w:val="18"/>
                <w:szCs w:val="18"/>
                <w:lang w:eastAsia="zh-CN"/>
              </w:rPr>
              <w:t>travailler</w:t>
            </w:r>
            <w:r w:rsidRPr="00F77964">
              <w:rPr>
                <w:rFonts w:eastAsia="SimSun"/>
                <w:sz w:val="18"/>
                <w:szCs w:val="18"/>
                <w:lang w:eastAsia="zh-CN"/>
              </w:rPr>
              <w:t xml:space="preserve"> avec ces systèmes aux fins d’examen par la </w:t>
            </w:r>
            <w:r w:rsidR="00800C86" w:rsidRPr="00F77964">
              <w:rPr>
                <w:rFonts w:eastAsia="SimSun"/>
                <w:sz w:val="18"/>
                <w:szCs w:val="18"/>
                <w:lang w:eastAsia="zh-CN"/>
              </w:rPr>
              <w:t>P</w:t>
            </w:r>
            <w:r w:rsidRPr="00F77964">
              <w:rPr>
                <w:rFonts w:eastAsia="SimSun"/>
                <w:sz w:val="18"/>
                <w:szCs w:val="18"/>
                <w:lang w:eastAsia="zh-CN"/>
              </w:rPr>
              <w:t>lénière à sa quatrième session (qui devrait avoir lieu au déb</w:t>
            </w:r>
            <w:r w:rsidR="00800C86" w:rsidRPr="00F77964">
              <w:rPr>
                <w:rFonts w:eastAsia="SimSun"/>
                <w:sz w:val="18"/>
                <w:szCs w:val="18"/>
                <w:lang w:eastAsia="zh-CN"/>
              </w:rPr>
              <w:t>u</w:t>
            </w:r>
            <w:r w:rsidRPr="00F77964">
              <w:rPr>
                <w:rFonts w:eastAsia="SimSun"/>
                <w:sz w:val="18"/>
                <w:szCs w:val="18"/>
                <w:lang w:eastAsia="zh-CN"/>
              </w:rPr>
              <w:t>t de 2016)</w:t>
            </w:r>
          </w:p>
        </w:tc>
      </w:tr>
      <w:tr w:rsidR="00D66005" w:rsidRPr="0061490E" w:rsidTr="00216359">
        <w:trPr>
          <w:trHeight w:val="123"/>
        </w:trPr>
        <w:tc>
          <w:tcPr>
            <w:tcW w:w="1830" w:type="dxa"/>
            <w:vMerge/>
            <w:tcBorders>
              <w:top w:val="single" w:sz="4" w:space="0" w:color="auto"/>
              <w:left w:val="single" w:sz="4" w:space="0" w:color="auto"/>
              <w:bottom w:val="single" w:sz="4" w:space="0" w:color="auto"/>
              <w:right w:val="single" w:sz="4" w:space="0" w:color="auto"/>
            </w:tcBorders>
            <w:hideMark/>
          </w:tcPr>
          <w:p w:rsidR="00D66005" w:rsidRPr="0061490E" w:rsidRDefault="00D66005" w:rsidP="00216359">
            <w:pPr>
              <w:rPr>
                <w:rFonts w:eastAsia="SimSun"/>
                <w:sz w:val="18"/>
                <w:szCs w:val="18"/>
                <w:lang w:eastAsia="zh-CN"/>
              </w:rPr>
            </w:pPr>
          </w:p>
        </w:tc>
        <w:tc>
          <w:tcPr>
            <w:tcW w:w="1193" w:type="dxa"/>
            <w:vMerge/>
            <w:tcBorders>
              <w:top w:val="single" w:sz="4" w:space="0" w:color="auto"/>
              <w:left w:val="single" w:sz="4" w:space="0" w:color="auto"/>
              <w:bottom w:val="single" w:sz="4" w:space="0" w:color="auto"/>
              <w:right w:val="single" w:sz="4" w:space="0" w:color="auto"/>
            </w:tcBorders>
            <w:hideMark/>
          </w:tcPr>
          <w:p w:rsidR="00D66005" w:rsidRPr="0061490E" w:rsidRDefault="00D66005" w:rsidP="00216359">
            <w:pPr>
              <w:rPr>
                <w:rFonts w:eastAsia="SimSun"/>
                <w:sz w:val="18"/>
                <w:szCs w:val="18"/>
                <w:lang w:eastAsia="zh-CN"/>
              </w:rPr>
            </w:pPr>
          </w:p>
        </w:tc>
        <w:tc>
          <w:tcPr>
            <w:tcW w:w="6968" w:type="dxa"/>
            <w:tcBorders>
              <w:top w:val="single" w:sz="4" w:space="0" w:color="auto"/>
              <w:left w:val="single" w:sz="4" w:space="0" w:color="auto"/>
              <w:bottom w:val="single" w:sz="4" w:space="0" w:color="auto"/>
              <w:right w:val="single" w:sz="4" w:space="0" w:color="auto"/>
            </w:tcBorders>
            <w:hideMark/>
          </w:tcPr>
          <w:p w:rsidR="00D66005" w:rsidRPr="00F77964" w:rsidRDefault="006C7083" w:rsidP="00216359">
            <w:pPr>
              <w:pStyle w:val="Normal-pool"/>
              <w:spacing w:before="40" w:after="40"/>
              <w:rPr>
                <w:rFonts w:eastAsia="SimSun"/>
                <w:sz w:val="18"/>
                <w:szCs w:val="18"/>
                <w:lang w:eastAsia="zh-CN"/>
              </w:rPr>
            </w:pPr>
            <w:r w:rsidRPr="00F77964">
              <w:rPr>
                <w:rFonts w:eastAsia="SimSun"/>
                <w:sz w:val="18"/>
                <w:szCs w:val="18"/>
                <w:lang w:eastAsia="zh-CN"/>
              </w:rPr>
              <w:t xml:space="preserve">La Plénière, à sa deuxième session, demande au Groupe d’experts </w:t>
            </w:r>
            <w:r w:rsidR="00800C86" w:rsidRPr="00F77964">
              <w:rPr>
                <w:rFonts w:eastAsia="SimSun"/>
                <w:sz w:val="18"/>
                <w:szCs w:val="18"/>
                <w:lang w:eastAsia="zh-CN"/>
              </w:rPr>
              <w:t>multi</w:t>
            </w:r>
            <w:r w:rsidRPr="00F77964">
              <w:rPr>
                <w:rFonts w:eastAsia="SimSun"/>
                <w:sz w:val="18"/>
                <w:szCs w:val="18"/>
                <w:lang w:eastAsia="zh-CN"/>
              </w:rPr>
              <w:t xml:space="preserve">disciplinaire et au Bureau, soutenus par un </w:t>
            </w:r>
            <w:r w:rsidR="00800C86" w:rsidRPr="00F77964">
              <w:rPr>
                <w:rFonts w:eastAsia="SimSun"/>
                <w:sz w:val="18"/>
                <w:szCs w:val="18"/>
                <w:lang w:eastAsia="zh-CN"/>
              </w:rPr>
              <w:t>g</w:t>
            </w:r>
            <w:r w:rsidRPr="00F77964">
              <w:rPr>
                <w:rFonts w:eastAsia="SimSun"/>
                <w:sz w:val="18"/>
                <w:szCs w:val="18"/>
                <w:lang w:eastAsia="zh-CN"/>
              </w:rPr>
              <w:t>roupe d’experts et en collaboration avec l’équipe spéciale sur les connaissances et les données, d’établir en 2014 un fichier et un réseau d</w:t>
            </w:r>
            <w:r w:rsidR="00AF0FA3">
              <w:rPr>
                <w:rFonts w:eastAsia="SimSun"/>
                <w:sz w:val="18"/>
                <w:szCs w:val="18"/>
                <w:lang w:eastAsia="zh-CN"/>
              </w:rPr>
              <w:t>e spécialistes du travail</w:t>
            </w:r>
            <w:r w:rsidRPr="00F77964">
              <w:rPr>
                <w:rFonts w:eastAsia="SimSun"/>
                <w:sz w:val="18"/>
                <w:szCs w:val="18"/>
                <w:lang w:eastAsia="zh-CN"/>
              </w:rPr>
              <w:t xml:space="preserve"> avec d</w:t>
            </w:r>
            <w:r w:rsidR="00EC5A00">
              <w:rPr>
                <w:rFonts w:eastAsia="SimSun"/>
                <w:sz w:val="18"/>
                <w:szCs w:val="18"/>
                <w:lang w:eastAsia="zh-CN"/>
              </w:rPr>
              <w:t>’autre</w:t>
            </w:r>
            <w:r w:rsidRPr="00F77964">
              <w:rPr>
                <w:rFonts w:eastAsia="SimSun"/>
                <w:sz w:val="18"/>
                <w:szCs w:val="18"/>
                <w:lang w:eastAsia="zh-CN"/>
              </w:rPr>
              <w:t>s systèmes de connaissances</w:t>
            </w:r>
          </w:p>
        </w:tc>
      </w:tr>
      <w:tr w:rsidR="00D66005" w:rsidRPr="0061490E" w:rsidTr="00216359">
        <w:trPr>
          <w:trHeight w:val="53"/>
        </w:trPr>
        <w:tc>
          <w:tcPr>
            <w:tcW w:w="637"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E36E66">
            <w:pPr>
              <w:pStyle w:val="Normal-pool"/>
              <w:keepNext/>
              <w:keepLines/>
              <w:spacing w:before="40" w:after="40"/>
              <w:rPr>
                <w:rFonts w:eastAsia="SimSun"/>
                <w:sz w:val="18"/>
                <w:szCs w:val="18"/>
                <w:lang w:eastAsia="zh-CN"/>
              </w:rPr>
            </w:pPr>
            <w:r w:rsidRPr="00F77964">
              <w:rPr>
                <w:rFonts w:eastAsia="SimSun"/>
                <w:sz w:val="18"/>
                <w:szCs w:val="18"/>
                <w:lang w:eastAsia="zh-CN"/>
              </w:rPr>
              <w:lastRenderedPageBreak/>
              <w:t>2014</w:t>
            </w:r>
          </w:p>
        </w:tc>
        <w:tc>
          <w:tcPr>
            <w:tcW w:w="1193" w:type="dxa"/>
            <w:tcBorders>
              <w:top w:val="single" w:sz="4" w:space="0" w:color="auto"/>
              <w:left w:val="single" w:sz="4" w:space="0" w:color="auto"/>
              <w:bottom w:val="single" w:sz="4" w:space="0" w:color="auto"/>
              <w:right w:val="single" w:sz="4" w:space="0" w:color="auto"/>
            </w:tcBorders>
            <w:hideMark/>
          </w:tcPr>
          <w:p w:rsidR="00D66005" w:rsidRPr="00F77964" w:rsidRDefault="006C7083" w:rsidP="00E36E66">
            <w:pPr>
              <w:pStyle w:val="Normal-pool"/>
              <w:keepNext/>
              <w:keepLines/>
              <w:spacing w:before="40" w:after="40"/>
              <w:rPr>
                <w:rFonts w:eastAsia="SimSun"/>
                <w:sz w:val="18"/>
                <w:szCs w:val="18"/>
                <w:lang w:eastAsia="zh-CN"/>
              </w:rPr>
            </w:pPr>
            <w:r w:rsidRPr="00F77964">
              <w:rPr>
                <w:rFonts w:eastAsia="SimSun"/>
                <w:sz w:val="18"/>
                <w:szCs w:val="18"/>
                <w:lang w:eastAsia="zh-CN"/>
              </w:rPr>
              <w:t>Premier trimestre</w:t>
            </w:r>
          </w:p>
        </w:tc>
        <w:tc>
          <w:tcPr>
            <w:tcW w:w="6968" w:type="dxa"/>
            <w:tcBorders>
              <w:top w:val="single" w:sz="4" w:space="0" w:color="auto"/>
              <w:left w:val="single" w:sz="4" w:space="0" w:color="auto"/>
              <w:bottom w:val="single" w:sz="4" w:space="0" w:color="auto"/>
              <w:right w:val="single" w:sz="4" w:space="0" w:color="auto"/>
            </w:tcBorders>
            <w:hideMark/>
          </w:tcPr>
          <w:p w:rsidR="00D66005" w:rsidRPr="00F77964" w:rsidRDefault="006C7083" w:rsidP="00E36E66">
            <w:pPr>
              <w:pStyle w:val="Normal-pool"/>
              <w:keepNext/>
              <w:keepLines/>
              <w:spacing w:before="40" w:after="40"/>
              <w:rPr>
                <w:rFonts w:eastAsia="SimSun"/>
                <w:sz w:val="18"/>
                <w:szCs w:val="18"/>
                <w:lang w:eastAsia="zh-CN"/>
              </w:rPr>
            </w:pPr>
            <w:r w:rsidRPr="00F77964">
              <w:rPr>
                <w:rFonts w:eastAsia="SimSun"/>
                <w:sz w:val="18"/>
                <w:szCs w:val="18"/>
                <w:lang w:eastAsia="zh-CN"/>
              </w:rPr>
              <w:t xml:space="preserve">Le Groupe d’experts multidisciplinaire et le Bureau </w:t>
            </w:r>
            <w:r w:rsidR="000F67AA" w:rsidRPr="00F77964">
              <w:rPr>
                <w:rFonts w:eastAsia="SimSun"/>
                <w:sz w:val="18"/>
                <w:szCs w:val="18"/>
                <w:lang w:eastAsia="zh-CN"/>
              </w:rPr>
              <w:t>sollicitent</w:t>
            </w:r>
            <w:r w:rsidRPr="00F77964">
              <w:rPr>
                <w:rFonts w:eastAsia="SimSun"/>
                <w:sz w:val="18"/>
                <w:szCs w:val="18"/>
                <w:lang w:eastAsia="zh-CN"/>
              </w:rPr>
              <w:t xml:space="preserve"> des candidatures et procèdent à une sélection des spécialistes des </w:t>
            </w:r>
            <w:r w:rsidR="00032C72">
              <w:rPr>
                <w:rFonts w:eastAsia="SimSun"/>
                <w:sz w:val="18"/>
                <w:szCs w:val="18"/>
                <w:lang w:eastAsia="zh-CN"/>
              </w:rPr>
              <w:t>systèmes de connaissances autochtones et locaux</w:t>
            </w:r>
            <w:r w:rsidRPr="00F77964">
              <w:rPr>
                <w:rFonts w:eastAsia="SimSun"/>
                <w:sz w:val="18"/>
                <w:szCs w:val="18"/>
                <w:lang w:eastAsia="zh-CN"/>
              </w:rPr>
              <w:t xml:space="preserve"> et autres experts </w:t>
            </w:r>
            <w:r w:rsidR="000F67AA" w:rsidRPr="00F77964">
              <w:rPr>
                <w:rFonts w:eastAsia="SimSun"/>
                <w:sz w:val="18"/>
                <w:szCs w:val="18"/>
                <w:lang w:eastAsia="zh-CN"/>
              </w:rPr>
              <w:t xml:space="preserve">inscrits </w:t>
            </w:r>
            <w:r w:rsidRPr="00F77964">
              <w:rPr>
                <w:rFonts w:eastAsia="SimSun"/>
                <w:sz w:val="18"/>
                <w:szCs w:val="18"/>
                <w:lang w:eastAsia="zh-CN"/>
              </w:rPr>
              <w:t xml:space="preserve">sur le fichier </w:t>
            </w:r>
            <w:r w:rsidR="000F67AA" w:rsidRPr="00F77964">
              <w:rPr>
                <w:rFonts w:eastAsia="SimSun"/>
                <w:sz w:val="18"/>
                <w:szCs w:val="18"/>
                <w:lang w:eastAsia="zh-CN"/>
              </w:rPr>
              <w:t xml:space="preserve">ou </w:t>
            </w:r>
            <w:r w:rsidR="00EC5A00">
              <w:rPr>
                <w:rFonts w:eastAsia="SimSun"/>
                <w:sz w:val="18"/>
                <w:szCs w:val="18"/>
                <w:lang w:eastAsia="zh-CN"/>
              </w:rPr>
              <w:t xml:space="preserve">faisant </w:t>
            </w:r>
            <w:r w:rsidR="000F67AA" w:rsidRPr="00F77964">
              <w:rPr>
                <w:rFonts w:eastAsia="SimSun"/>
                <w:sz w:val="18"/>
                <w:szCs w:val="18"/>
                <w:lang w:eastAsia="zh-CN"/>
              </w:rPr>
              <w:t>parti</w:t>
            </w:r>
            <w:r w:rsidR="00EC5A00">
              <w:rPr>
                <w:rFonts w:eastAsia="SimSun"/>
                <w:sz w:val="18"/>
                <w:szCs w:val="18"/>
                <w:lang w:eastAsia="zh-CN"/>
              </w:rPr>
              <w:t>e d</w:t>
            </w:r>
            <w:r w:rsidR="000F67AA" w:rsidRPr="00F77964">
              <w:rPr>
                <w:rFonts w:eastAsia="SimSun"/>
                <w:sz w:val="18"/>
                <w:szCs w:val="18"/>
                <w:lang w:eastAsia="zh-CN"/>
              </w:rPr>
              <w:t>u</w:t>
            </w:r>
            <w:r w:rsidRPr="00F77964">
              <w:rPr>
                <w:rFonts w:eastAsia="SimSun"/>
                <w:sz w:val="18"/>
                <w:szCs w:val="18"/>
                <w:lang w:eastAsia="zh-CN"/>
              </w:rPr>
              <w:t xml:space="preserve"> </w:t>
            </w:r>
            <w:r w:rsidR="00EC5A00">
              <w:rPr>
                <w:rFonts w:eastAsia="SimSun"/>
                <w:sz w:val="18"/>
                <w:szCs w:val="18"/>
                <w:lang w:eastAsia="zh-CN"/>
              </w:rPr>
              <w:t>r</w:t>
            </w:r>
            <w:r w:rsidRPr="00F77964">
              <w:rPr>
                <w:rFonts w:eastAsia="SimSun"/>
                <w:sz w:val="18"/>
                <w:szCs w:val="18"/>
                <w:lang w:eastAsia="zh-CN"/>
              </w:rPr>
              <w:t xml:space="preserve">éseau mondial </w:t>
            </w:r>
            <w:r w:rsidR="00EC5A00">
              <w:rPr>
                <w:rFonts w:eastAsia="SimSun"/>
                <w:sz w:val="18"/>
                <w:szCs w:val="18"/>
                <w:lang w:eastAsia="zh-CN"/>
              </w:rPr>
              <w:t xml:space="preserve">qui sont susceptibles de </w:t>
            </w:r>
            <w:r w:rsidR="000F67AA" w:rsidRPr="00F77964">
              <w:rPr>
                <w:rFonts w:eastAsia="SimSun"/>
                <w:sz w:val="18"/>
                <w:szCs w:val="18"/>
                <w:lang w:eastAsia="zh-CN"/>
              </w:rPr>
              <w:t>particip</w:t>
            </w:r>
            <w:r w:rsidR="00EC5A00">
              <w:rPr>
                <w:rFonts w:eastAsia="SimSun"/>
                <w:sz w:val="18"/>
                <w:szCs w:val="18"/>
                <w:lang w:eastAsia="zh-CN"/>
              </w:rPr>
              <w:t>er</w:t>
            </w:r>
            <w:r w:rsidR="00800C86" w:rsidRPr="00F77964">
              <w:rPr>
                <w:rFonts w:eastAsia="SimSun"/>
                <w:sz w:val="18"/>
                <w:szCs w:val="18"/>
                <w:lang w:eastAsia="zh-CN"/>
              </w:rPr>
              <w:t xml:space="preserve"> </w:t>
            </w:r>
            <w:r w:rsidRPr="00F77964">
              <w:rPr>
                <w:rFonts w:eastAsia="SimSun"/>
                <w:sz w:val="18"/>
                <w:szCs w:val="18"/>
                <w:lang w:eastAsia="zh-CN"/>
              </w:rPr>
              <w:t>au</w:t>
            </w:r>
            <w:r w:rsidR="00EC5A00">
              <w:rPr>
                <w:rFonts w:eastAsia="SimSun"/>
                <w:sz w:val="18"/>
                <w:szCs w:val="18"/>
                <w:lang w:eastAsia="zh-CN"/>
              </w:rPr>
              <w:t>x travaux du</w:t>
            </w:r>
            <w:r w:rsidRPr="00F77964">
              <w:rPr>
                <w:rFonts w:eastAsia="SimSun"/>
                <w:sz w:val="18"/>
                <w:szCs w:val="18"/>
                <w:lang w:eastAsia="zh-CN"/>
              </w:rPr>
              <w:t xml:space="preserve"> </w:t>
            </w:r>
            <w:r w:rsidR="00800C86" w:rsidRPr="00F77964">
              <w:rPr>
                <w:rFonts w:eastAsia="SimSun"/>
                <w:sz w:val="18"/>
                <w:szCs w:val="18"/>
                <w:lang w:eastAsia="zh-CN"/>
              </w:rPr>
              <w:t>g</w:t>
            </w:r>
            <w:r w:rsidRPr="00F77964">
              <w:rPr>
                <w:rFonts w:eastAsia="SimSun"/>
                <w:sz w:val="18"/>
                <w:szCs w:val="18"/>
                <w:lang w:eastAsia="zh-CN"/>
              </w:rPr>
              <w:t xml:space="preserve">roupe d’experts et </w:t>
            </w:r>
            <w:r w:rsidR="000F67AA" w:rsidRPr="00F77964">
              <w:rPr>
                <w:rFonts w:eastAsia="SimSun"/>
                <w:sz w:val="18"/>
                <w:szCs w:val="18"/>
                <w:lang w:eastAsia="zh-CN"/>
              </w:rPr>
              <w:t>aux</w:t>
            </w:r>
            <w:r w:rsidRPr="00F77964">
              <w:rPr>
                <w:rFonts w:eastAsia="SimSun"/>
                <w:sz w:val="18"/>
                <w:szCs w:val="18"/>
                <w:lang w:eastAsia="zh-CN"/>
              </w:rPr>
              <w:t xml:space="preserve"> examens des études de cas</w:t>
            </w:r>
          </w:p>
        </w:tc>
      </w:tr>
      <w:tr w:rsidR="00D66005" w:rsidRPr="0061490E" w:rsidTr="00216359">
        <w:trPr>
          <w:trHeight w:val="796"/>
        </w:trPr>
        <w:tc>
          <w:tcPr>
            <w:tcW w:w="1830" w:type="dxa"/>
            <w:vMerge/>
            <w:tcBorders>
              <w:top w:val="single" w:sz="4" w:space="0" w:color="auto"/>
              <w:left w:val="single" w:sz="4" w:space="0" w:color="auto"/>
              <w:bottom w:val="single" w:sz="4" w:space="0" w:color="auto"/>
              <w:right w:val="single" w:sz="4" w:space="0" w:color="auto"/>
            </w:tcBorders>
            <w:hideMark/>
          </w:tcPr>
          <w:p w:rsidR="00D66005" w:rsidRPr="0061490E" w:rsidRDefault="00D66005" w:rsidP="00E36E66">
            <w:pPr>
              <w:keepNext/>
              <w:keepLines/>
              <w:rPr>
                <w:rFonts w:eastAsia="SimSun"/>
                <w:sz w:val="18"/>
                <w:szCs w:val="18"/>
                <w:lang w:eastAsia="zh-CN"/>
              </w:rPr>
            </w:pPr>
          </w:p>
        </w:tc>
        <w:tc>
          <w:tcPr>
            <w:tcW w:w="1193" w:type="dxa"/>
            <w:tcBorders>
              <w:top w:val="single" w:sz="4" w:space="0" w:color="auto"/>
              <w:left w:val="single" w:sz="4" w:space="0" w:color="auto"/>
              <w:bottom w:val="single" w:sz="4" w:space="0" w:color="auto"/>
              <w:right w:val="single" w:sz="4" w:space="0" w:color="auto"/>
            </w:tcBorders>
            <w:hideMark/>
          </w:tcPr>
          <w:p w:rsidR="00D66005" w:rsidRPr="00F77964" w:rsidRDefault="006C7083" w:rsidP="00E36E66">
            <w:pPr>
              <w:pStyle w:val="Normal-pool"/>
              <w:keepNext/>
              <w:keepLines/>
              <w:spacing w:before="40" w:after="40"/>
              <w:rPr>
                <w:rFonts w:eastAsia="SimSun"/>
                <w:sz w:val="18"/>
                <w:szCs w:val="18"/>
                <w:lang w:eastAsia="zh-CN"/>
              </w:rPr>
            </w:pPr>
            <w:r w:rsidRPr="00F77964">
              <w:rPr>
                <w:rFonts w:eastAsia="SimSun"/>
                <w:sz w:val="18"/>
                <w:szCs w:val="18"/>
                <w:lang w:eastAsia="zh-CN"/>
              </w:rPr>
              <w:t>Premier</w:t>
            </w:r>
            <w:r w:rsidR="00D66005" w:rsidRPr="00F77964">
              <w:rPr>
                <w:rFonts w:eastAsia="SimSun"/>
                <w:sz w:val="18"/>
                <w:szCs w:val="18"/>
                <w:lang w:eastAsia="zh-CN"/>
              </w:rPr>
              <w:t>/</w:t>
            </w:r>
            <w:r w:rsidR="00010A63" w:rsidRPr="00F77964">
              <w:rPr>
                <w:rFonts w:eastAsia="SimSun"/>
                <w:sz w:val="18"/>
                <w:szCs w:val="18"/>
                <w:lang w:eastAsia="zh-CN"/>
              </w:rPr>
              <w:t xml:space="preserve"> </w:t>
            </w:r>
            <w:r w:rsidRPr="00F77964">
              <w:rPr>
                <w:rFonts w:eastAsia="SimSun"/>
                <w:sz w:val="18"/>
                <w:szCs w:val="18"/>
                <w:lang w:eastAsia="zh-CN"/>
              </w:rPr>
              <w:t>deuxième</w:t>
            </w:r>
            <w:r w:rsidR="00D66005" w:rsidRPr="00F77964">
              <w:rPr>
                <w:rFonts w:eastAsia="SimSun"/>
                <w:sz w:val="18"/>
                <w:szCs w:val="18"/>
                <w:lang w:eastAsia="zh-CN"/>
              </w:rPr>
              <w:t>/</w:t>
            </w:r>
            <w:r w:rsidR="00010A63" w:rsidRPr="00F77964">
              <w:rPr>
                <w:rFonts w:eastAsia="SimSun"/>
                <w:sz w:val="18"/>
                <w:szCs w:val="18"/>
                <w:lang w:eastAsia="zh-CN"/>
              </w:rPr>
              <w:t xml:space="preserve"> </w:t>
            </w:r>
            <w:r w:rsidRPr="00F77964">
              <w:rPr>
                <w:rFonts w:eastAsia="SimSun"/>
                <w:sz w:val="18"/>
                <w:szCs w:val="18"/>
                <w:lang w:eastAsia="zh-CN"/>
              </w:rPr>
              <w:t>troisième/</w:t>
            </w:r>
            <w:r w:rsidR="00010A63" w:rsidRPr="00F77964">
              <w:rPr>
                <w:rFonts w:eastAsia="SimSun"/>
                <w:sz w:val="18"/>
                <w:szCs w:val="18"/>
                <w:lang w:eastAsia="zh-CN"/>
              </w:rPr>
              <w:t xml:space="preserve"> </w:t>
            </w:r>
            <w:r w:rsidRPr="00F77964">
              <w:rPr>
                <w:rFonts w:eastAsia="SimSun"/>
                <w:sz w:val="18"/>
                <w:szCs w:val="18"/>
                <w:lang w:eastAsia="zh-CN"/>
              </w:rPr>
              <w:t>quatrième trimestres</w:t>
            </w:r>
          </w:p>
        </w:tc>
        <w:tc>
          <w:tcPr>
            <w:tcW w:w="6968" w:type="dxa"/>
            <w:tcBorders>
              <w:top w:val="single" w:sz="4" w:space="0" w:color="auto"/>
              <w:left w:val="single" w:sz="4" w:space="0" w:color="auto"/>
              <w:bottom w:val="single" w:sz="4" w:space="0" w:color="auto"/>
              <w:right w:val="single" w:sz="4" w:space="0" w:color="auto"/>
            </w:tcBorders>
            <w:hideMark/>
          </w:tcPr>
          <w:p w:rsidR="00D66005" w:rsidRPr="00F77964" w:rsidRDefault="006C7083" w:rsidP="00E36E66">
            <w:pPr>
              <w:pStyle w:val="Normal-pool"/>
              <w:keepNext/>
              <w:keepLines/>
              <w:spacing w:before="40" w:after="40"/>
              <w:rPr>
                <w:rFonts w:eastAsia="SimSun"/>
                <w:sz w:val="18"/>
                <w:szCs w:val="18"/>
                <w:lang w:eastAsia="zh-CN"/>
              </w:rPr>
            </w:pPr>
            <w:r w:rsidRPr="00F77964">
              <w:rPr>
                <w:rFonts w:eastAsia="SimSun"/>
                <w:sz w:val="18"/>
                <w:szCs w:val="18"/>
                <w:lang w:eastAsia="zh-CN"/>
              </w:rPr>
              <w:t xml:space="preserve">Le Groupe d’experts multidisciplinaire </w:t>
            </w:r>
            <w:r w:rsidR="003970E0" w:rsidRPr="00F77964">
              <w:rPr>
                <w:rFonts w:eastAsia="SimSun"/>
                <w:sz w:val="18"/>
                <w:szCs w:val="18"/>
                <w:lang w:eastAsia="zh-CN"/>
              </w:rPr>
              <w:t xml:space="preserve">et le Bureau, </w:t>
            </w:r>
            <w:r w:rsidR="00EC5A00">
              <w:rPr>
                <w:rFonts w:eastAsia="SimSun"/>
                <w:sz w:val="18"/>
                <w:szCs w:val="18"/>
                <w:lang w:eastAsia="zh-CN"/>
              </w:rPr>
              <w:t>avec l’aide du</w:t>
            </w:r>
            <w:r w:rsidR="003970E0" w:rsidRPr="00F77964">
              <w:rPr>
                <w:rFonts w:eastAsia="SimSun"/>
                <w:sz w:val="18"/>
                <w:szCs w:val="18"/>
                <w:lang w:eastAsia="zh-CN"/>
              </w:rPr>
              <w:t xml:space="preserve"> </w:t>
            </w:r>
            <w:r w:rsidR="00F35DFE" w:rsidRPr="00F77964">
              <w:rPr>
                <w:rFonts w:eastAsia="SimSun"/>
                <w:sz w:val="18"/>
                <w:szCs w:val="18"/>
                <w:lang w:eastAsia="zh-CN"/>
              </w:rPr>
              <w:t>g</w:t>
            </w:r>
            <w:r w:rsidR="003970E0" w:rsidRPr="00F77964">
              <w:rPr>
                <w:rFonts w:eastAsia="SimSun"/>
                <w:sz w:val="18"/>
                <w:szCs w:val="18"/>
                <w:lang w:eastAsia="zh-CN"/>
              </w:rPr>
              <w:t xml:space="preserve">roupe d’experts et en collaboration avec l’équipe spéciale sur les connaissances et les données </w:t>
            </w:r>
            <w:r w:rsidR="001F4571" w:rsidRPr="00F77964">
              <w:rPr>
                <w:rFonts w:eastAsia="SimSun"/>
                <w:sz w:val="18"/>
                <w:szCs w:val="18"/>
                <w:lang w:eastAsia="zh-CN"/>
              </w:rPr>
              <w:t>créée</w:t>
            </w:r>
            <w:r w:rsidR="003970E0" w:rsidRPr="00F77964">
              <w:rPr>
                <w:rFonts w:eastAsia="SimSun"/>
                <w:sz w:val="18"/>
                <w:szCs w:val="18"/>
                <w:lang w:eastAsia="zh-CN"/>
              </w:rPr>
              <w:t xml:space="preserve"> conformément au produit </w:t>
            </w:r>
            <w:r w:rsidR="00D66005" w:rsidRPr="00F77964">
              <w:rPr>
                <w:rFonts w:eastAsia="SimSun"/>
                <w:sz w:val="18"/>
                <w:szCs w:val="18"/>
                <w:lang w:eastAsia="zh-CN"/>
              </w:rPr>
              <w:t>1</w:t>
            </w:r>
            <w:r w:rsidR="001F4571" w:rsidRPr="00F77964">
              <w:rPr>
                <w:rFonts w:eastAsia="SimSun"/>
                <w:sz w:val="18"/>
                <w:szCs w:val="18"/>
                <w:lang w:eastAsia="zh-CN"/>
              </w:rPr>
              <w:t> </w:t>
            </w:r>
            <w:r w:rsidR="00D66005" w:rsidRPr="00F77964">
              <w:rPr>
                <w:rFonts w:eastAsia="SimSun"/>
                <w:sz w:val="18"/>
                <w:szCs w:val="18"/>
                <w:lang w:eastAsia="zh-CN"/>
              </w:rPr>
              <w:t xml:space="preserve">d), </w:t>
            </w:r>
            <w:r w:rsidR="003970E0" w:rsidRPr="00F77964">
              <w:rPr>
                <w:rFonts w:eastAsia="SimSun"/>
                <w:sz w:val="18"/>
                <w:szCs w:val="18"/>
                <w:lang w:eastAsia="zh-CN"/>
              </w:rPr>
              <w:t>établit un fichier et un réseau d’experts et de détenteurs de connaissances, qui sera étendu de façon permanente</w:t>
            </w:r>
          </w:p>
        </w:tc>
      </w:tr>
      <w:tr w:rsidR="00D66005" w:rsidRPr="0061490E" w:rsidTr="00216359">
        <w:trPr>
          <w:trHeight w:val="53"/>
        </w:trPr>
        <w:tc>
          <w:tcPr>
            <w:tcW w:w="1830" w:type="dxa"/>
            <w:vMerge/>
            <w:tcBorders>
              <w:top w:val="single" w:sz="4" w:space="0" w:color="auto"/>
              <w:left w:val="single" w:sz="4" w:space="0" w:color="auto"/>
              <w:bottom w:val="single" w:sz="4" w:space="0" w:color="auto"/>
              <w:right w:val="single" w:sz="4" w:space="0" w:color="auto"/>
            </w:tcBorders>
            <w:hideMark/>
          </w:tcPr>
          <w:p w:rsidR="00D66005" w:rsidRPr="0061490E" w:rsidRDefault="00D66005" w:rsidP="00216359">
            <w:pPr>
              <w:rPr>
                <w:rFonts w:eastAsia="SimSun"/>
                <w:sz w:val="18"/>
                <w:szCs w:val="18"/>
                <w:lang w:eastAsia="zh-CN"/>
              </w:rPr>
            </w:pPr>
          </w:p>
        </w:tc>
        <w:tc>
          <w:tcPr>
            <w:tcW w:w="1193" w:type="dxa"/>
            <w:tcBorders>
              <w:top w:val="single" w:sz="4" w:space="0" w:color="auto"/>
              <w:left w:val="single" w:sz="4" w:space="0" w:color="auto"/>
              <w:bottom w:val="single" w:sz="4" w:space="0" w:color="auto"/>
              <w:right w:val="single" w:sz="4" w:space="0" w:color="auto"/>
            </w:tcBorders>
            <w:hideMark/>
          </w:tcPr>
          <w:p w:rsidR="00D66005" w:rsidRPr="00F77964" w:rsidRDefault="003970E0" w:rsidP="00216359">
            <w:pPr>
              <w:pStyle w:val="Normal-pool"/>
              <w:spacing w:before="40" w:after="40"/>
              <w:rPr>
                <w:rFonts w:eastAsia="SimSun"/>
                <w:sz w:val="18"/>
                <w:szCs w:val="18"/>
                <w:lang w:eastAsia="zh-CN"/>
              </w:rPr>
            </w:pPr>
            <w:r w:rsidRPr="00F77964">
              <w:rPr>
                <w:rFonts w:eastAsia="SimSun"/>
                <w:sz w:val="18"/>
                <w:szCs w:val="18"/>
                <w:lang w:eastAsia="zh-CN"/>
              </w:rPr>
              <w:t>Deuxième</w:t>
            </w:r>
            <w:r w:rsidR="00010A63" w:rsidRPr="00F77964">
              <w:rPr>
                <w:rFonts w:eastAsia="SimSun"/>
                <w:sz w:val="18"/>
                <w:szCs w:val="18"/>
                <w:lang w:eastAsia="zh-CN"/>
              </w:rPr>
              <w:t xml:space="preserve"> </w:t>
            </w:r>
            <w:r w:rsidR="00D66005" w:rsidRPr="00F77964">
              <w:rPr>
                <w:rFonts w:eastAsia="SimSun"/>
                <w:sz w:val="18"/>
                <w:szCs w:val="18"/>
                <w:lang w:eastAsia="zh-CN"/>
              </w:rPr>
              <w:t>/</w:t>
            </w:r>
            <w:r w:rsidRPr="00F77964">
              <w:rPr>
                <w:rFonts w:eastAsia="SimSun"/>
                <w:sz w:val="18"/>
                <w:szCs w:val="18"/>
                <w:lang w:eastAsia="zh-CN"/>
              </w:rPr>
              <w:t>troisième</w:t>
            </w:r>
            <w:r w:rsidR="00D66005" w:rsidRPr="00F77964">
              <w:rPr>
                <w:rFonts w:eastAsia="SimSun"/>
                <w:sz w:val="18"/>
                <w:szCs w:val="18"/>
                <w:lang w:eastAsia="zh-CN"/>
              </w:rPr>
              <w:t xml:space="preserve">/ </w:t>
            </w:r>
            <w:r w:rsidRPr="00F77964">
              <w:rPr>
                <w:rFonts w:eastAsia="SimSun"/>
                <w:sz w:val="18"/>
                <w:szCs w:val="18"/>
                <w:lang w:eastAsia="zh-CN"/>
              </w:rPr>
              <w:t>quatrième trimestres</w:t>
            </w:r>
          </w:p>
        </w:tc>
        <w:tc>
          <w:tcPr>
            <w:tcW w:w="6968" w:type="dxa"/>
            <w:tcBorders>
              <w:top w:val="single" w:sz="4" w:space="0" w:color="auto"/>
              <w:left w:val="single" w:sz="4" w:space="0" w:color="auto"/>
              <w:bottom w:val="single" w:sz="4" w:space="0" w:color="auto"/>
              <w:right w:val="single" w:sz="4" w:space="0" w:color="auto"/>
            </w:tcBorders>
            <w:hideMark/>
          </w:tcPr>
          <w:p w:rsidR="00D66005" w:rsidRPr="00F77964" w:rsidRDefault="003970E0" w:rsidP="00216359">
            <w:pPr>
              <w:pStyle w:val="Normal-pool"/>
              <w:spacing w:before="40" w:after="40"/>
              <w:rPr>
                <w:rFonts w:eastAsia="SimSun"/>
                <w:sz w:val="18"/>
                <w:szCs w:val="18"/>
                <w:lang w:eastAsia="zh-CN"/>
              </w:rPr>
            </w:pPr>
            <w:r w:rsidRPr="00F77964">
              <w:rPr>
                <w:rFonts w:eastAsia="SimSun"/>
                <w:sz w:val="18"/>
                <w:szCs w:val="18"/>
                <w:lang w:eastAsia="zh-CN"/>
              </w:rPr>
              <w:t xml:space="preserve">Le </w:t>
            </w:r>
            <w:r w:rsidR="001F4571" w:rsidRPr="00F77964">
              <w:rPr>
                <w:rFonts w:eastAsia="SimSun"/>
                <w:sz w:val="18"/>
                <w:szCs w:val="18"/>
                <w:lang w:eastAsia="zh-CN"/>
              </w:rPr>
              <w:t>g</w:t>
            </w:r>
            <w:r w:rsidRPr="00F77964">
              <w:rPr>
                <w:rFonts w:eastAsia="SimSun"/>
                <w:sz w:val="18"/>
                <w:szCs w:val="18"/>
                <w:lang w:eastAsia="zh-CN"/>
              </w:rPr>
              <w:t>roupe d’experts</w:t>
            </w:r>
            <w:r w:rsidR="00FD5AD0">
              <w:rPr>
                <w:rFonts w:eastAsia="SimSun"/>
                <w:sz w:val="18"/>
                <w:szCs w:val="18"/>
                <w:lang w:eastAsia="zh-CN"/>
              </w:rPr>
              <w:t xml:space="preserve"> entreprend</w:t>
            </w:r>
            <w:r w:rsidRPr="00F77964">
              <w:rPr>
                <w:rFonts w:eastAsia="SimSun"/>
                <w:sz w:val="18"/>
                <w:szCs w:val="18"/>
                <w:lang w:eastAsia="zh-CN"/>
              </w:rPr>
              <w:t xml:space="preserve"> sous la direction du Groupe d’experts multidisciplinaire et du Bureau un examen des procédures et approches existantes, notamment en tirant parti des </w:t>
            </w:r>
            <w:r w:rsidR="001F4571" w:rsidRPr="00F77964">
              <w:rPr>
                <w:rFonts w:eastAsia="SimSun"/>
                <w:sz w:val="18"/>
                <w:szCs w:val="18"/>
                <w:lang w:eastAsia="zh-CN"/>
              </w:rPr>
              <w:t>données d’</w:t>
            </w:r>
            <w:r w:rsidRPr="00F77964">
              <w:rPr>
                <w:rFonts w:eastAsia="SimSun"/>
                <w:sz w:val="18"/>
                <w:szCs w:val="18"/>
                <w:lang w:eastAsia="zh-CN"/>
              </w:rPr>
              <w:t xml:space="preserve">expérience et des meilleures pratiques </w:t>
            </w:r>
            <w:r w:rsidR="001F4571" w:rsidRPr="00F77964">
              <w:rPr>
                <w:rFonts w:eastAsia="SimSun"/>
                <w:sz w:val="18"/>
                <w:szCs w:val="18"/>
                <w:lang w:eastAsia="zh-CN"/>
              </w:rPr>
              <w:t>concernant</w:t>
            </w:r>
            <w:r w:rsidRPr="00F77964">
              <w:rPr>
                <w:rFonts w:eastAsia="SimSun"/>
                <w:sz w:val="18"/>
                <w:szCs w:val="18"/>
                <w:lang w:eastAsia="zh-CN"/>
              </w:rPr>
              <w:t xml:space="preserve"> </w:t>
            </w:r>
            <w:r w:rsidR="00EC5A00">
              <w:rPr>
                <w:rFonts w:eastAsia="SimSun"/>
                <w:sz w:val="18"/>
                <w:szCs w:val="18"/>
                <w:lang w:eastAsia="zh-CN"/>
              </w:rPr>
              <w:t>le travail avec les systèmes</w:t>
            </w:r>
            <w:r w:rsidR="00032C72">
              <w:rPr>
                <w:rFonts w:eastAsia="SimSun"/>
                <w:sz w:val="18"/>
                <w:szCs w:val="18"/>
                <w:lang w:eastAsia="zh-CN"/>
              </w:rPr>
              <w:t xml:space="preserve"> de connaissances autochtones et locaux</w:t>
            </w:r>
            <w:r w:rsidR="001F4571" w:rsidRPr="00F77964">
              <w:rPr>
                <w:rFonts w:eastAsia="SimSun"/>
                <w:sz w:val="18"/>
                <w:szCs w:val="18"/>
                <w:lang w:eastAsia="zh-CN"/>
              </w:rPr>
              <w:t xml:space="preserve"> ayant fait l’objet</w:t>
            </w:r>
            <w:r w:rsidRPr="00F77964">
              <w:rPr>
                <w:rFonts w:eastAsia="SimSun"/>
                <w:sz w:val="18"/>
                <w:szCs w:val="18"/>
                <w:lang w:eastAsia="zh-CN"/>
              </w:rPr>
              <w:t xml:space="preserve"> d’une ou deux études de cas dans chacune des cinq régions de l’ONU</w:t>
            </w:r>
          </w:p>
        </w:tc>
      </w:tr>
      <w:tr w:rsidR="00D66005" w:rsidRPr="0061490E" w:rsidTr="00216359">
        <w:trPr>
          <w:trHeight w:val="651"/>
        </w:trPr>
        <w:tc>
          <w:tcPr>
            <w:tcW w:w="637"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216359">
            <w:pPr>
              <w:pStyle w:val="Normal-pool"/>
              <w:spacing w:before="40" w:after="40"/>
              <w:rPr>
                <w:rFonts w:eastAsia="SimSun"/>
                <w:sz w:val="18"/>
                <w:szCs w:val="18"/>
                <w:lang w:eastAsia="zh-CN"/>
              </w:rPr>
            </w:pPr>
            <w:r w:rsidRPr="00F77964">
              <w:rPr>
                <w:rFonts w:eastAsia="SimSun"/>
                <w:sz w:val="18"/>
                <w:szCs w:val="18"/>
                <w:lang w:eastAsia="zh-CN"/>
              </w:rPr>
              <w:t>2015</w:t>
            </w:r>
          </w:p>
        </w:tc>
        <w:tc>
          <w:tcPr>
            <w:tcW w:w="1193" w:type="dxa"/>
            <w:tcBorders>
              <w:top w:val="single" w:sz="4" w:space="0" w:color="auto"/>
              <w:left w:val="single" w:sz="4" w:space="0" w:color="auto"/>
              <w:bottom w:val="single" w:sz="4" w:space="0" w:color="auto"/>
              <w:right w:val="single" w:sz="4" w:space="0" w:color="auto"/>
            </w:tcBorders>
            <w:hideMark/>
          </w:tcPr>
          <w:p w:rsidR="00D66005" w:rsidRPr="00F77964" w:rsidRDefault="003970E0" w:rsidP="00216359">
            <w:pPr>
              <w:pStyle w:val="Normal-pool"/>
              <w:spacing w:before="40" w:after="40"/>
              <w:rPr>
                <w:rFonts w:eastAsia="SimSun"/>
                <w:sz w:val="18"/>
                <w:szCs w:val="18"/>
                <w:lang w:eastAsia="zh-CN"/>
              </w:rPr>
            </w:pPr>
            <w:r w:rsidRPr="00F77964">
              <w:rPr>
                <w:rFonts w:eastAsia="SimSun"/>
                <w:sz w:val="18"/>
                <w:szCs w:val="18"/>
                <w:lang w:eastAsia="zh-CN"/>
              </w:rPr>
              <w:t>Premier trimestre</w:t>
            </w:r>
          </w:p>
        </w:tc>
        <w:tc>
          <w:tcPr>
            <w:tcW w:w="6968" w:type="dxa"/>
            <w:tcBorders>
              <w:top w:val="single" w:sz="4" w:space="0" w:color="auto"/>
              <w:left w:val="single" w:sz="4" w:space="0" w:color="auto"/>
              <w:bottom w:val="single" w:sz="4" w:space="0" w:color="auto"/>
              <w:right w:val="single" w:sz="4" w:space="0" w:color="auto"/>
            </w:tcBorders>
            <w:hideMark/>
          </w:tcPr>
          <w:p w:rsidR="00D66005" w:rsidRPr="00F77964" w:rsidRDefault="003970E0" w:rsidP="00216359">
            <w:pPr>
              <w:pStyle w:val="Normal-pool"/>
              <w:spacing w:before="40" w:after="40"/>
              <w:rPr>
                <w:rFonts w:eastAsia="SimSun"/>
                <w:sz w:val="18"/>
                <w:szCs w:val="18"/>
                <w:lang w:eastAsia="zh-CN"/>
              </w:rPr>
            </w:pPr>
            <w:r w:rsidRPr="00F77964">
              <w:rPr>
                <w:rFonts w:eastAsia="SimSun"/>
                <w:sz w:val="18"/>
                <w:szCs w:val="18"/>
                <w:lang w:eastAsia="zh-CN"/>
              </w:rPr>
              <w:t>Sur la base des examens et d</w:t>
            </w:r>
            <w:r w:rsidR="000062DD">
              <w:rPr>
                <w:rFonts w:eastAsia="SimSun"/>
                <w:sz w:val="18"/>
                <w:szCs w:val="18"/>
                <w:lang w:eastAsia="zh-CN"/>
              </w:rPr>
              <w:t>es orientations</w:t>
            </w:r>
            <w:r w:rsidRPr="00F77964">
              <w:rPr>
                <w:rFonts w:eastAsia="SimSun"/>
                <w:sz w:val="18"/>
                <w:szCs w:val="18"/>
                <w:lang w:eastAsia="zh-CN"/>
              </w:rPr>
              <w:t xml:space="preserve"> préliminaire</w:t>
            </w:r>
            <w:r w:rsidR="000062DD">
              <w:rPr>
                <w:rFonts w:eastAsia="SimSun"/>
                <w:sz w:val="18"/>
                <w:szCs w:val="18"/>
                <w:lang w:eastAsia="zh-CN"/>
              </w:rPr>
              <w:t>s</w:t>
            </w:r>
            <w:r w:rsidRPr="00F77964">
              <w:rPr>
                <w:rFonts w:eastAsia="SimSun"/>
                <w:sz w:val="18"/>
                <w:szCs w:val="18"/>
                <w:lang w:eastAsia="zh-CN"/>
              </w:rPr>
              <w:t xml:space="preserve"> soumis </w:t>
            </w:r>
            <w:r w:rsidR="001F4571" w:rsidRPr="00F77964">
              <w:rPr>
                <w:rFonts w:eastAsia="SimSun"/>
                <w:sz w:val="18"/>
                <w:szCs w:val="18"/>
                <w:lang w:eastAsia="zh-CN"/>
              </w:rPr>
              <w:t xml:space="preserve">à la Plénière </w:t>
            </w:r>
            <w:r w:rsidRPr="00F77964">
              <w:rPr>
                <w:rFonts w:eastAsia="SimSun"/>
                <w:sz w:val="18"/>
                <w:szCs w:val="18"/>
                <w:lang w:eastAsia="zh-CN"/>
              </w:rPr>
              <w:t xml:space="preserve">à sa deuxième session, le </w:t>
            </w:r>
            <w:r w:rsidR="001F4571" w:rsidRPr="00F77964">
              <w:rPr>
                <w:rFonts w:eastAsia="SimSun"/>
                <w:sz w:val="18"/>
                <w:szCs w:val="18"/>
                <w:lang w:eastAsia="zh-CN"/>
              </w:rPr>
              <w:t>g</w:t>
            </w:r>
            <w:r w:rsidRPr="00F77964">
              <w:rPr>
                <w:rFonts w:eastAsia="SimSun"/>
                <w:sz w:val="18"/>
                <w:szCs w:val="18"/>
                <w:lang w:eastAsia="zh-CN"/>
              </w:rPr>
              <w:t xml:space="preserve">roupe d’experts, </w:t>
            </w:r>
            <w:r w:rsidR="00FD5AD0">
              <w:rPr>
                <w:rFonts w:eastAsia="SimSun"/>
                <w:sz w:val="18"/>
                <w:szCs w:val="18"/>
                <w:lang w:eastAsia="zh-CN"/>
              </w:rPr>
              <w:t>sous la direction du</w:t>
            </w:r>
            <w:r w:rsidRPr="00F77964">
              <w:rPr>
                <w:rFonts w:eastAsia="SimSun"/>
                <w:sz w:val="18"/>
                <w:szCs w:val="18"/>
                <w:lang w:eastAsia="zh-CN"/>
              </w:rPr>
              <w:t xml:space="preserve"> Groupe d’experts multidisciplinaire et </w:t>
            </w:r>
            <w:r w:rsidR="00FD5AD0">
              <w:rPr>
                <w:rFonts w:eastAsia="SimSun"/>
                <w:sz w:val="18"/>
                <w:szCs w:val="18"/>
                <w:lang w:eastAsia="zh-CN"/>
              </w:rPr>
              <w:t>du</w:t>
            </w:r>
            <w:r w:rsidRPr="00F77964">
              <w:rPr>
                <w:rFonts w:eastAsia="SimSun"/>
                <w:sz w:val="18"/>
                <w:szCs w:val="18"/>
                <w:lang w:eastAsia="zh-CN"/>
              </w:rPr>
              <w:t xml:space="preserve"> Bureau, révise plus avant les procédures et approches pour </w:t>
            </w:r>
            <w:r w:rsidR="00EC5A00">
              <w:rPr>
                <w:rFonts w:eastAsia="SimSun"/>
                <w:sz w:val="18"/>
                <w:szCs w:val="18"/>
                <w:lang w:eastAsia="zh-CN"/>
              </w:rPr>
              <w:t>le travail avec les systèmes</w:t>
            </w:r>
            <w:r w:rsidR="00032C72">
              <w:rPr>
                <w:rFonts w:eastAsia="SimSun"/>
                <w:sz w:val="18"/>
                <w:szCs w:val="18"/>
                <w:lang w:eastAsia="zh-CN"/>
              </w:rPr>
              <w:t xml:space="preserve"> de connaissances autochtones et locaux</w:t>
            </w:r>
          </w:p>
        </w:tc>
      </w:tr>
      <w:tr w:rsidR="00D66005" w:rsidRPr="0061490E" w:rsidTr="00216359">
        <w:trPr>
          <w:trHeight w:val="651"/>
        </w:trPr>
        <w:tc>
          <w:tcPr>
            <w:tcW w:w="1830" w:type="dxa"/>
            <w:vMerge/>
            <w:tcBorders>
              <w:top w:val="single" w:sz="4" w:space="0" w:color="auto"/>
              <w:left w:val="single" w:sz="4" w:space="0" w:color="auto"/>
              <w:bottom w:val="single" w:sz="4" w:space="0" w:color="auto"/>
              <w:right w:val="single" w:sz="4" w:space="0" w:color="auto"/>
            </w:tcBorders>
            <w:hideMark/>
          </w:tcPr>
          <w:p w:rsidR="00D66005" w:rsidRPr="0061490E" w:rsidRDefault="00D66005" w:rsidP="00216359">
            <w:pPr>
              <w:rPr>
                <w:rFonts w:eastAsia="SimSun"/>
                <w:sz w:val="18"/>
                <w:szCs w:val="18"/>
                <w:lang w:eastAsia="zh-CN"/>
              </w:rPr>
            </w:pPr>
          </w:p>
        </w:tc>
        <w:tc>
          <w:tcPr>
            <w:tcW w:w="1193" w:type="dxa"/>
            <w:tcBorders>
              <w:top w:val="single" w:sz="4" w:space="0" w:color="auto"/>
              <w:left w:val="single" w:sz="4" w:space="0" w:color="auto"/>
              <w:bottom w:val="single" w:sz="4" w:space="0" w:color="auto"/>
              <w:right w:val="single" w:sz="4" w:space="0" w:color="auto"/>
            </w:tcBorders>
            <w:hideMark/>
          </w:tcPr>
          <w:p w:rsidR="00D66005" w:rsidRPr="00F77964" w:rsidRDefault="003970E0" w:rsidP="00216359">
            <w:pPr>
              <w:pStyle w:val="Normal-pool"/>
              <w:spacing w:before="40" w:after="40"/>
              <w:rPr>
                <w:rFonts w:eastAsia="SimSun"/>
                <w:sz w:val="18"/>
                <w:szCs w:val="18"/>
                <w:lang w:eastAsia="zh-CN"/>
              </w:rPr>
            </w:pPr>
            <w:r w:rsidRPr="00F77964">
              <w:rPr>
                <w:rFonts w:eastAsia="SimSun"/>
                <w:sz w:val="18"/>
                <w:szCs w:val="18"/>
                <w:lang w:eastAsia="zh-CN"/>
              </w:rPr>
              <w:t>Deuxième trimestre</w:t>
            </w:r>
          </w:p>
        </w:tc>
        <w:tc>
          <w:tcPr>
            <w:tcW w:w="6968" w:type="dxa"/>
            <w:tcBorders>
              <w:top w:val="single" w:sz="4" w:space="0" w:color="auto"/>
              <w:left w:val="single" w:sz="4" w:space="0" w:color="auto"/>
              <w:bottom w:val="single" w:sz="4" w:space="0" w:color="auto"/>
              <w:right w:val="single" w:sz="4" w:space="0" w:color="auto"/>
            </w:tcBorders>
            <w:hideMark/>
          </w:tcPr>
          <w:p w:rsidR="00D66005" w:rsidRPr="00F77964" w:rsidRDefault="003970E0" w:rsidP="00216359">
            <w:pPr>
              <w:pStyle w:val="Normal-pool"/>
              <w:spacing w:before="40" w:after="40"/>
              <w:rPr>
                <w:rFonts w:eastAsia="SimSun"/>
                <w:sz w:val="18"/>
                <w:szCs w:val="18"/>
                <w:lang w:eastAsia="zh-CN"/>
              </w:rPr>
            </w:pPr>
            <w:r w:rsidRPr="00F77964">
              <w:rPr>
                <w:rFonts w:eastAsia="SimSun"/>
                <w:sz w:val="18"/>
                <w:szCs w:val="18"/>
                <w:lang w:eastAsia="zh-CN"/>
              </w:rPr>
              <w:t xml:space="preserve">Le </w:t>
            </w:r>
            <w:r w:rsidR="00F35DFE" w:rsidRPr="00F77964">
              <w:rPr>
                <w:rFonts w:eastAsia="SimSun"/>
                <w:sz w:val="18"/>
                <w:szCs w:val="18"/>
                <w:lang w:eastAsia="zh-CN"/>
              </w:rPr>
              <w:t>g</w:t>
            </w:r>
            <w:r w:rsidRPr="00F77964">
              <w:rPr>
                <w:rFonts w:eastAsia="SimSun"/>
                <w:sz w:val="18"/>
                <w:szCs w:val="18"/>
                <w:lang w:eastAsia="zh-CN"/>
              </w:rPr>
              <w:t xml:space="preserve">roupe d’experts, sous la direction du Groupe d’experts multidisciplinaire </w:t>
            </w:r>
            <w:r w:rsidR="00CE3797" w:rsidRPr="00F77964">
              <w:rPr>
                <w:rFonts w:eastAsia="SimSun"/>
                <w:sz w:val="18"/>
                <w:szCs w:val="18"/>
                <w:lang w:eastAsia="zh-CN"/>
              </w:rPr>
              <w:t>et du Bureau organise une téléconférence ou un</w:t>
            </w:r>
            <w:r w:rsidR="003B667A">
              <w:rPr>
                <w:rFonts w:eastAsia="SimSun"/>
                <w:sz w:val="18"/>
                <w:szCs w:val="18"/>
                <w:lang w:eastAsia="zh-CN"/>
              </w:rPr>
              <w:t>e réunion d’</w:t>
            </w:r>
            <w:r w:rsidR="00CE3797" w:rsidRPr="00F77964">
              <w:rPr>
                <w:rFonts w:eastAsia="SimSun"/>
                <w:sz w:val="18"/>
                <w:szCs w:val="18"/>
                <w:lang w:eastAsia="zh-CN"/>
              </w:rPr>
              <w:t>un groupe plus large d’experts et de parties prenantes pour examiner le projet de procédure</w:t>
            </w:r>
            <w:r w:rsidR="00F35DFE" w:rsidRPr="00F77964">
              <w:rPr>
                <w:rFonts w:eastAsia="SimSun"/>
                <w:sz w:val="18"/>
                <w:szCs w:val="18"/>
                <w:lang w:eastAsia="zh-CN"/>
              </w:rPr>
              <w:t>s</w:t>
            </w:r>
            <w:r w:rsidR="00CE3797" w:rsidRPr="00F77964">
              <w:rPr>
                <w:rFonts w:eastAsia="SimSun"/>
                <w:sz w:val="18"/>
                <w:szCs w:val="18"/>
                <w:lang w:eastAsia="zh-CN"/>
              </w:rPr>
              <w:t xml:space="preserve"> et d’approche</w:t>
            </w:r>
            <w:r w:rsidR="00F35DFE" w:rsidRPr="00F77964">
              <w:rPr>
                <w:rFonts w:eastAsia="SimSun"/>
                <w:sz w:val="18"/>
                <w:szCs w:val="18"/>
                <w:lang w:eastAsia="zh-CN"/>
              </w:rPr>
              <w:t>s</w:t>
            </w:r>
            <w:r w:rsidR="00CE3797" w:rsidRPr="00F77964">
              <w:rPr>
                <w:rFonts w:eastAsia="SimSun"/>
                <w:sz w:val="18"/>
                <w:szCs w:val="18"/>
                <w:lang w:eastAsia="zh-CN"/>
              </w:rPr>
              <w:t xml:space="preserve">. </w:t>
            </w:r>
            <w:r w:rsidR="00F35DFE" w:rsidRPr="00F77964">
              <w:rPr>
                <w:rFonts w:eastAsia="SimSun"/>
                <w:sz w:val="18"/>
                <w:szCs w:val="18"/>
                <w:lang w:eastAsia="zh-CN"/>
              </w:rPr>
              <w:t>Il</w:t>
            </w:r>
            <w:r w:rsidR="00CE3797" w:rsidRPr="00F77964">
              <w:rPr>
                <w:rFonts w:eastAsia="SimSun"/>
                <w:sz w:val="18"/>
                <w:szCs w:val="18"/>
                <w:lang w:eastAsia="zh-CN"/>
              </w:rPr>
              <w:t xml:space="preserve"> tient des réunions de suivi avec les réalisateurs des études de cas pour obtenir des informations en retour sur les procédures et les approches</w:t>
            </w:r>
          </w:p>
        </w:tc>
      </w:tr>
      <w:tr w:rsidR="00D66005" w:rsidRPr="0061490E" w:rsidTr="00216359">
        <w:trPr>
          <w:trHeight w:val="651"/>
        </w:trPr>
        <w:tc>
          <w:tcPr>
            <w:tcW w:w="1830" w:type="dxa"/>
            <w:vMerge/>
            <w:tcBorders>
              <w:top w:val="single" w:sz="4" w:space="0" w:color="auto"/>
              <w:left w:val="single" w:sz="4" w:space="0" w:color="auto"/>
              <w:bottom w:val="single" w:sz="4" w:space="0" w:color="auto"/>
              <w:right w:val="single" w:sz="4" w:space="0" w:color="auto"/>
            </w:tcBorders>
            <w:hideMark/>
          </w:tcPr>
          <w:p w:rsidR="00D66005" w:rsidRPr="0061490E" w:rsidRDefault="00D66005" w:rsidP="00216359">
            <w:pPr>
              <w:rPr>
                <w:rFonts w:eastAsia="SimSun"/>
                <w:sz w:val="18"/>
                <w:szCs w:val="18"/>
                <w:lang w:eastAsia="zh-CN"/>
              </w:rPr>
            </w:pPr>
          </w:p>
        </w:tc>
        <w:tc>
          <w:tcPr>
            <w:tcW w:w="1193" w:type="dxa"/>
            <w:tcBorders>
              <w:top w:val="single" w:sz="4" w:space="0" w:color="auto"/>
              <w:left w:val="single" w:sz="4" w:space="0" w:color="auto"/>
              <w:bottom w:val="single" w:sz="4" w:space="0" w:color="auto"/>
              <w:right w:val="single" w:sz="4" w:space="0" w:color="auto"/>
            </w:tcBorders>
            <w:hideMark/>
          </w:tcPr>
          <w:p w:rsidR="00D66005" w:rsidRPr="00F77964" w:rsidRDefault="003970E0" w:rsidP="00216359">
            <w:pPr>
              <w:pStyle w:val="Normal-pool"/>
              <w:spacing w:before="40" w:after="40"/>
              <w:rPr>
                <w:rFonts w:eastAsia="SimSun"/>
                <w:sz w:val="18"/>
                <w:szCs w:val="18"/>
                <w:lang w:eastAsia="zh-CN"/>
              </w:rPr>
            </w:pPr>
            <w:r w:rsidRPr="00F77964">
              <w:rPr>
                <w:rFonts w:eastAsia="SimSun"/>
                <w:sz w:val="18"/>
                <w:szCs w:val="18"/>
                <w:lang w:eastAsia="zh-CN"/>
              </w:rPr>
              <w:t>Troisième trimestre</w:t>
            </w:r>
          </w:p>
        </w:tc>
        <w:tc>
          <w:tcPr>
            <w:tcW w:w="6968" w:type="dxa"/>
            <w:tcBorders>
              <w:top w:val="single" w:sz="4" w:space="0" w:color="auto"/>
              <w:left w:val="single" w:sz="4" w:space="0" w:color="auto"/>
              <w:bottom w:val="single" w:sz="4" w:space="0" w:color="auto"/>
              <w:right w:val="single" w:sz="4" w:space="0" w:color="auto"/>
            </w:tcBorders>
            <w:hideMark/>
          </w:tcPr>
          <w:p w:rsidR="00D66005" w:rsidRPr="00F77964" w:rsidRDefault="00CE3797" w:rsidP="00216359">
            <w:pPr>
              <w:pStyle w:val="Normal-pool"/>
              <w:spacing w:before="40" w:after="40"/>
              <w:rPr>
                <w:rFonts w:eastAsia="SimSun"/>
                <w:sz w:val="18"/>
                <w:szCs w:val="18"/>
                <w:lang w:eastAsia="zh-CN"/>
              </w:rPr>
            </w:pPr>
            <w:r w:rsidRPr="00F77964">
              <w:rPr>
                <w:rFonts w:eastAsia="SimSun"/>
                <w:sz w:val="18"/>
                <w:szCs w:val="18"/>
                <w:lang w:eastAsia="zh-CN"/>
              </w:rPr>
              <w:t xml:space="preserve">Le </w:t>
            </w:r>
            <w:r w:rsidR="00F35DFE" w:rsidRPr="00F77964">
              <w:rPr>
                <w:rFonts w:eastAsia="SimSun"/>
                <w:sz w:val="18"/>
                <w:szCs w:val="18"/>
                <w:lang w:eastAsia="zh-CN"/>
              </w:rPr>
              <w:t>g</w:t>
            </w:r>
            <w:r w:rsidRPr="00F77964">
              <w:rPr>
                <w:rFonts w:eastAsia="SimSun"/>
                <w:sz w:val="18"/>
                <w:szCs w:val="18"/>
                <w:lang w:eastAsia="zh-CN"/>
              </w:rPr>
              <w:t>roupe d’experts, sous la direction du Groupe d’experts multidisciplinaire et du Bureau, se réuni</w:t>
            </w:r>
            <w:r w:rsidR="00F35DFE" w:rsidRPr="00F77964">
              <w:rPr>
                <w:rFonts w:eastAsia="SimSun"/>
                <w:sz w:val="18"/>
                <w:szCs w:val="18"/>
                <w:lang w:eastAsia="zh-CN"/>
              </w:rPr>
              <w:t>t</w:t>
            </w:r>
            <w:r w:rsidRPr="00F77964">
              <w:rPr>
                <w:rFonts w:eastAsia="SimSun"/>
                <w:sz w:val="18"/>
                <w:szCs w:val="18"/>
                <w:lang w:eastAsia="zh-CN"/>
              </w:rPr>
              <w:t xml:space="preserve"> à nouveau pour évaluer les informations en retour reçues dans le cadre du processus de téléconférence</w:t>
            </w:r>
            <w:r w:rsidR="00F35DFE" w:rsidRPr="00F77964">
              <w:rPr>
                <w:rFonts w:eastAsia="SimSun"/>
                <w:sz w:val="18"/>
                <w:szCs w:val="18"/>
                <w:lang w:eastAsia="zh-CN"/>
              </w:rPr>
              <w:t>s</w:t>
            </w:r>
            <w:r w:rsidRPr="00F77964">
              <w:rPr>
                <w:rFonts w:eastAsia="SimSun"/>
                <w:sz w:val="18"/>
                <w:szCs w:val="18"/>
                <w:lang w:eastAsia="zh-CN"/>
              </w:rPr>
              <w:t>/d’examen</w:t>
            </w:r>
            <w:r w:rsidR="00F35DFE" w:rsidRPr="00F77964">
              <w:rPr>
                <w:rFonts w:eastAsia="SimSun"/>
                <w:sz w:val="18"/>
                <w:szCs w:val="18"/>
                <w:lang w:eastAsia="zh-CN"/>
              </w:rPr>
              <w:t>s</w:t>
            </w:r>
            <w:r w:rsidRPr="00F77964">
              <w:rPr>
                <w:rFonts w:eastAsia="SimSun"/>
                <w:sz w:val="18"/>
                <w:szCs w:val="18"/>
                <w:lang w:eastAsia="zh-CN"/>
              </w:rPr>
              <w:t xml:space="preserve"> et des réunions de suivi </w:t>
            </w:r>
            <w:r w:rsidR="00F35DFE" w:rsidRPr="00F77964">
              <w:rPr>
                <w:rFonts w:eastAsia="SimSun"/>
                <w:sz w:val="18"/>
                <w:szCs w:val="18"/>
                <w:lang w:eastAsia="zh-CN"/>
              </w:rPr>
              <w:t>d</w:t>
            </w:r>
            <w:r w:rsidRPr="00F77964">
              <w:rPr>
                <w:rFonts w:eastAsia="SimSun"/>
                <w:sz w:val="18"/>
                <w:szCs w:val="18"/>
                <w:lang w:eastAsia="zh-CN"/>
              </w:rPr>
              <w:t xml:space="preserve">es études de cas avec les détenteurs de connaissances locales et autochtones et révise et finalise </w:t>
            </w:r>
            <w:r w:rsidR="000F67AA" w:rsidRPr="00F77964">
              <w:rPr>
                <w:rFonts w:eastAsia="SimSun"/>
                <w:sz w:val="18"/>
                <w:szCs w:val="18"/>
                <w:lang w:eastAsia="zh-CN"/>
              </w:rPr>
              <w:t>le projet de</w:t>
            </w:r>
            <w:r w:rsidRPr="00F77964">
              <w:rPr>
                <w:rFonts w:eastAsia="SimSun"/>
                <w:sz w:val="18"/>
                <w:szCs w:val="18"/>
                <w:lang w:eastAsia="zh-CN"/>
              </w:rPr>
              <w:t xml:space="preserve"> procédures et </w:t>
            </w:r>
            <w:r w:rsidR="000F67AA" w:rsidRPr="00F77964">
              <w:rPr>
                <w:rFonts w:eastAsia="SimSun"/>
                <w:sz w:val="18"/>
                <w:szCs w:val="18"/>
                <w:lang w:eastAsia="zh-CN"/>
              </w:rPr>
              <w:t>d’</w:t>
            </w:r>
            <w:r w:rsidRPr="00F77964">
              <w:rPr>
                <w:rFonts w:eastAsia="SimSun"/>
                <w:sz w:val="18"/>
                <w:szCs w:val="18"/>
                <w:lang w:eastAsia="zh-CN"/>
              </w:rPr>
              <w:t>approches</w:t>
            </w:r>
          </w:p>
        </w:tc>
      </w:tr>
      <w:tr w:rsidR="00D66005" w:rsidRPr="0061490E" w:rsidTr="00216359">
        <w:trPr>
          <w:trHeight w:val="651"/>
        </w:trPr>
        <w:tc>
          <w:tcPr>
            <w:tcW w:w="1830" w:type="dxa"/>
            <w:vMerge/>
            <w:tcBorders>
              <w:top w:val="single" w:sz="4" w:space="0" w:color="auto"/>
              <w:left w:val="single" w:sz="4" w:space="0" w:color="auto"/>
              <w:bottom w:val="single" w:sz="4" w:space="0" w:color="auto"/>
              <w:right w:val="single" w:sz="4" w:space="0" w:color="auto"/>
            </w:tcBorders>
            <w:hideMark/>
          </w:tcPr>
          <w:p w:rsidR="00D66005" w:rsidRPr="0061490E" w:rsidRDefault="00D66005" w:rsidP="00216359">
            <w:pPr>
              <w:rPr>
                <w:rFonts w:eastAsia="SimSun"/>
                <w:sz w:val="18"/>
                <w:szCs w:val="18"/>
                <w:lang w:eastAsia="zh-CN"/>
              </w:rPr>
            </w:pPr>
          </w:p>
        </w:tc>
        <w:tc>
          <w:tcPr>
            <w:tcW w:w="1193" w:type="dxa"/>
            <w:tcBorders>
              <w:top w:val="single" w:sz="4" w:space="0" w:color="auto"/>
              <w:left w:val="single" w:sz="4" w:space="0" w:color="auto"/>
              <w:bottom w:val="single" w:sz="4" w:space="0" w:color="auto"/>
              <w:right w:val="single" w:sz="4" w:space="0" w:color="auto"/>
            </w:tcBorders>
            <w:hideMark/>
          </w:tcPr>
          <w:p w:rsidR="00D66005" w:rsidRPr="00F77964" w:rsidRDefault="003970E0" w:rsidP="00216359">
            <w:pPr>
              <w:pStyle w:val="Normal-pool"/>
              <w:spacing w:before="40" w:after="40"/>
              <w:rPr>
                <w:rFonts w:eastAsia="SimSun"/>
                <w:sz w:val="18"/>
                <w:szCs w:val="18"/>
                <w:lang w:eastAsia="zh-CN"/>
              </w:rPr>
            </w:pPr>
            <w:r w:rsidRPr="00F77964">
              <w:rPr>
                <w:rFonts w:eastAsia="SimSun"/>
                <w:sz w:val="18"/>
                <w:szCs w:val="18"/>
                <w:lang w:eastAsia="zh-CN"/>
              </w:rPr>
              <w:t>Quatrième trimestre</w:t>
            </w:r>
          </w:p>
        </w:tc>
        <w:tc>
          <w:tcPr>
            <w:tcW w:w="6968" w:type="dxa"/>
            <w:tcBorders>
              <w:top w:val="single" w:sz="4" w:space="0" w:color="auto"/>
              <w:left w:val="single" w:sz="4" w:space="0" w:color="auto"/>
              <w:bottom w:val="single" w:sz="4" w:space="0" w:color="auto"/>
              <w:right w:val="single" w:sz="4" w:space="0" w:color="auto"/>
            </w:tcBorders>
            <w:hideMark/>
          </w:tcPr>
          <w:p w:rsidR="00D66005" w:rsidRPr="00F77964" w:rsidRDefault="00CE3797" w:rsidP="00216359">
            <w:pPr>
              <w:pStyle w:val="Normal-pool"/>
              <w:spacing w:before="40" w:after="40"/>
              <w:rPr>
                <w:rFonts w:eastAsia="SimSun"/>
                <w:sz w:val="18"/>
                <w:szCs w:val="18"/>
                <w:lang w:eastAsia="zh-CN"/>
              </w:rPr>
            </w:pPr>
            <w:r w:rsidRPr="00F77964">
              <w:rPr>
                <w:rFonts w:eastAsia="SimSun"/>
                <w:sz w:val="18"/>
                <w:szCs w:val="18"/>
                <w:lang w:eastAsia="zh-CN"/>
              </w:rPr>
              <w:t xml:space="preserve">Le projet final de procédures et d’approches pour </w:t>
            </w:r>
            <w:r w:rsidR="00EC5A00">
              <w:rPr>
                <w:rFonts w:eastAsia="SimSun"/>
                <w:sz w:val="18"/>
                <w:szCs w:val="18"/>
                <w:lang w:eastAsia="zh-CN"/>
              </w:rPr>
              <w:t>le travail avec les systèmes</w:t>
            </w:r>
            <w:r w:rsidR="00032C72">
              <w:rPr>
                <w:rFonts w:eastAsia="SimSun"/>
                <w:sz w:val="18"/>
                <w:szCs w:val="18"/>
                <w:lang w:eastAsia="zh-CN"/>
              </w:rPr>
              <w:t xml:space="preserve"> de connaissances autochtones et locaux</w:t>
            </w:r>
            <w:r w:rsidRPr="00F77964">
              <w:rPr>
                <w:rFonts w:eastAsia="SimSun"/>
                <w:sz w:val="18"/>
                <w:szCs w:val="18"/>
                <w:lang w:eastAsia="zh-CN"/>
              </w:rPr>
              <w:t xml:space="preserve"> est examiné par le Groupe d’experts multidisciplinaire et le Bureau, des membres de la </w:t>
            </w:r>
            <w:r w:rsidR="000F67AA" w:rsidRPr="00F77964">
              <w:rPr>
                <w:rFonts w:eastAsia="SimSun"/>
                <w:sz w:val="18"/>
                <w:szCs w:val="18"/>
                <w:lang w:eastAsia="zh-CN"/>
              </w:rPr>
              <w:t>P</w:t>
            </w:r>
            <w:r w:rsidRPr="00F77964">
              <w:rPr>
                <w:rFonts w:eastAsia="SimSun"/>
                <w:sz w:val="18"/>
                <w:szCs w:val="18"/>
                <w:lang w:eastAsia="zh-CN"/>
              </w:rPr>
              <w:t xml:space="preserve">lateforme et d’autres parties prenantes avant d’être soumis à la </w:t>
            </w:r>
            <w:r w:rsidR="000F67AA" w:rsidRPr="00F77964">
              <w:rPr>
                <w:rFonts w:eastAsia="SimSun"/>
                <w:sz w:val="18"/>
                <w:szCs w:val="18"/>
                <w:lang w:eastAsia="zh-CN"/>
              </w:rPr>
              <w:t>P</w:t>
            </w:r>
            <w:r w:rsidRPr="00F77964">
              <w:rPr>
                <w:rFonts w:eastAsia="SimSun"/>
                <w:sz w:val="18"/>
                <w:szCs w:val="18"/>
                <w:lang w:eastAsia="zh-CN"/>
              </w:rPr>
              <w:t xml:space="preserve">lénière à sa quatrième session pour examen en vue de </w:t>
            </w:r>
            <w:r w:rsidR="000F67AA" w:rsidRPr="00F77964">
              <w:rPr>
                <w:rFonts w:eastAsia="SimSun"/>
                <w:sz w:val="18"/>
                <w:szCs w:val="18"/>
                <w:lang w:eastAsia="zh-CN"/>
              </w:rPr>
              <w:t>son</w:t>
            </w:r>
            <w:r w:rsidRPr="00F77964">
              <w:rPr>
                <w:rFonts w:eastAsia="SimSun"/>
                <w:sz w:val="18"/>
                <w:szCs w:val="18"/>
                <w:lang w:eastAsia="zh-CN"/>
              </w:rPr>
              <w:t xml:space="preserve"> approbation pour utilisation dans les produits en cours et futurs de la </w:t>
            </w:r>
            <w:r w:rsidR="000F67AA" w:rsidRPr="00F77964">
              <w:rPr>
                <w:rFonts w:eastAsia="SimSun"/>
                <w:sz w:val="18"/>
                <w:szCs w:val="18"/>
                <w:lang w:eastAsia="zh-CN"/>
              </w:rPr>
              <w:t>P</w:t>
            </w:r>
            <w:r w:rsidRPr="00F77964">
              <w:rPr>
                <w:rFonts w:eastAsia="SimSun"/>
                <w:sz w:val="18"/>
                <w:szCs w:val="18"/>
                <w:lang w:eastAsia="zh-CN"/>
              </w:rPr>
              <w:t>lateforme</w:t>
            </w:r>
          </w:p>
        </w:tc>
      </w:tr>
      <w:tr w:rsidR="00D66005" w:rsidRPr="0061490E" w:rsidTr="00216359">
        <w:trPr>
          <w:trHeight w:val="521"/>
        </w:trPr>
        <w:tc>
          <w:tcPr>
            <w:tcW w:w="637" w:type="dxa"/>
            <w:tcBorders>
              <w:top w:val="single" w:sz="4" w:space="0" w:color="auto"/>
              <w:left w:val="single" w:sz="4" w:space="0" w:color="auto"/>
              <w:bottom w:val="single" w:sz="4" w:space="0" w:color="auto"/>
              <w:right w:val="single" w:sz="4" w:space="0" w:color="auto"/>
            </w:tcBorders>
            <w:hideMark/>
          </w:tcPr>
          <w:p w:rsidR="00D66005" w:rsidRPr="00F77964" w:rsidRDefault="00D66005" w:rsidP="00216359">
            <w:pPr>
              <w:pStyle w:val="Normal-pool"/>
              <w:spacing w:before="40" w:after="40"/>
              <w:rPr>
                <w:rFonts w:eastAsia="SimSun"/>
                <w:sz w:val="18"/>
                <w:szCs w:val="18"/>
                <w:lang w:eastAsia="zh-CN"/>
              </w:rPr>
            </w:pPr>
            <w:r w:rsidRPr="00F77964">
              <w:rPr>
                <w:rFonts w:eastAsia="SimSun"/>
                <w:sz w:val="18"/>
                <w:szCs w:val="18"/>
                <w:lang w:eastAsia="zh-CN"/>
              </w:rPr>
              <w:t>2016</w:t>
            </w:r>
          </w:p>
        </w:tc>
        <w:tc>
          <w:tcPr>
            <w:tcW w:w="1193" w:type="dxa"/>
            <w:tcBorders>
              <w:top w:val="single" w:sz="4" w:space="0" w:color="auto"/>
              <w:left w:val="single" w:sz="4" w:space="0" w:color="auto"/>
              <w:bottom w:val="single" w:sz="4" w:space="0" w:color="auto"/>
              <w:right w:val="single" w:sz="4" w:space="0" w:color="auto"/>
            </w:tcBorders>
            <w:hideMark/>
          </w:tcPr>
          <w:p w:rsidR="00D66005" w:rsidRPr="00F77964" w:rsidRDefault="003970E0" w:rsidP="00216359">
            <w:pPr>
              <w:pStyle w:val="Normal-pool"/>
              <w:spacing w:before="40" w:after="40"/>
              <w:rPr>
                <w:rFonts w:eastAsia="SimSun"/>
                <w:sz w:val="18"/>
                <w:szCs w:val="18"/>
                <w:lang w:eastAsia="zh-CN"/>
              </w:rPr>
            </w:pPr>
            <w:r w:rsidRPr="00F77964">
              <w:rPr>
                <w:rFonts w:eastAsia="SimSun"/>
                <w:sz w:val="18"/>
                <w:szCs w:val="18"/>
                <w:lang w:eastAsia="zh-CN"/>
              </w:rPr>
              <w:t>Cinquième trimestre</w:t>
            </w:r>
          </w:p>
        </w:tc>
        <w:tc>
          <w:tcPr>
            <w:tcW w:w="6968" w:type="dxa"/>
            <w:tcBorders>
              <w:top w:val="single" w:sz="4" w:space="0" w:color="auto"/>
              <w:left w:val="single" w:sz="4" w:space="0" w:color="auto"/>
              <w:bottom w:val="single" w:sz="4" w:space="0" w:color="auto"/>
              <w:right w:val="single" w:sz="4" w:space="0" w:color="auto"/>
            </w:tcBorders>
            <w:hideMark/>
          </w:tcPr>
          <w:p w:rsidR="00D66005" w:rsidRPr="00F77964" w:rsidRDefault="00773A9E" w:rsidP="00216359">
            <w:pPr>
              <w:pStyle w:val="Normal-pool"/>
              <w:spacing w:before="40" w:after="40"/>
              <w:rPr>
                <w:rFonts w:eastAsia="SimSun"/>
                <w:sz w:val="18"/>
                <w:szCs w:val="18"/>
                <w:lang w:eastAsia="zh-CN"/>
              </w:rPr>
            </w:pPr>
            <w:r w:rsidRPr="00F77964">
              <w:rPr>
                <w:rFonts w:eastAsia="SimSun"/>
                <w:sz w:val="18"/>
                <w:szCs w:val="18"/>
                <w:lang w:eastAsia="zh-CN"/>
              </w:rPr>
              <w:t>La Plénière, à sa quatrième session, examine le</w:t>
            </w:r>
            <w:r w:rsidR="000F67AA" w:rsidRPr="00F77964">
              <w:rPr>
                <w:rFonts w:eastAsia="SimSun"/>
                <w:sz w:val="18"/>
                <w:szCs w:val="18"/>
                <w:lang w:eastAsia="zh-CN"/>
              </w:rPr>
              <w:t xml:space="preserve"> </w:t>
            </w:r>
            <w:r w:rsidR="00F77964" w:rsidRPr="00F77964">
              <w:rPr>
                <w:rFonts w:eastAsia="SimSun"/>
                <w:sz w:val="18"/>
                <w:szCs w:val="18"/>
                <w:lang w:eastAsia="zh-CN"/>
              </w:rPr>
              <w:t>projet</w:t>
            </w:r>
            <w:r w:rsidR="000F67AA" w:rsidRPr="00F77964">
              <w:rPr>
                <w:rFonts w:eastAsia="SimSun"/>
                <w:sz w:val="18"/>
                <w:szCs w:val="18"/>
                <w:lang w:eastAsia="zh-CN"/>
              </w:rPr>
              <w:t xml:space="preserve"> de</w:t>
            </w:r>
            <w:r w:rsidRPr="00F77964">
              <w:rPr>
                <w:rFonts w:eastAsia="SimSun"/>
                <w:sz w:val="18"/>
                <w:szCs w:val="18"/>
                <w:lang w:eastAsia="zh-CN"/>
              </w:rPr>
              <w:t xml:space="preserve"> procédures et </w:t>
            </w:r>
            <w:r w:rsidR="000F67AA" w:rsidRPr="00F77964">
              <w:rPr>
                <w:rFonts w:eastAsia="SimSun"/>
                <w:sz w:val="18"/>
                <w:szCs w:val="18"/>
                <w:lang w:eastAsia="zh-CN"/>
              </w:rPr>
              <w:t>d’</w:t>
            </w:r>
            <w:r w:rsidRPr="00F77964">
              <w:rPr>
                <w:rFonts w:eastAsia="SimSun"/>
                <w:sz w:val="18"/>
                <w:szCs w:val="18"/>
                <w:lang w:eastAsia="zh-CN"/>
              </w:rPr>
              <w:t xml:space="preserve">approches et prend des mesures en vue d’une collaboration appropriée avec les </w:t>
            </w:r>
            <w:r w:rsidR="00032C72">
              <w:rPr>
                <w:rFonts w:eastAsia="SimSun"/>
                <w:sz w:val="18"/>
                <w:szCs w:val="18"/>
                <w:lang w:eastAsia="zh-CN"/>
              </w:rPr>
              <w:t>systèmes de connaissances autochtones et locaux</w:t>
            </w:r>
          </w:p>
        </w:tc>
      </w:tr>
    </w:tbl>
    <w:p w:rsidR="00D66005" w:rsidRPr="00F77964" w:rsidRDefault="00D66005" w:rsidP="00D66005">
      <w:pPr>
        <w:pStyle w:val="CH3"/>
        <w:spacing w:before="240"/>
        <w:rPr>
          <w:rFonts w:eastAsia="SimSun"/>
          <w:lang w:val="fr-FR" w:eastAsia="zh-CN"/>
        </w:rPr>
      </w:pPr>
      <w:r w:rsidRPr="00F77964">
        <w:rPr>
          <w:rFonts w:eastAsia="SimSun"/>
          <w:lang w:val="fr-FR" w:eastAsia="zh-CN"/>
        </w:rPr>
        <w:tab/>
      </w:r>
      <w:r w:rsidRPr="00F77964">
        <w:rPr>
          <w:rFonts w:eastAsia="SimSun"/>
          <w:lang w:val="fr-FR" w:eastAsia="zh-CN"/>
        </w:rPr>
        <w:tab/>
      </w:r>
      <w:r w:rsidR="00773A9E" w:rsidRPr="00F77964">
        <w:rPr>
          <w:rFonts w:eastAsia="SimSun"/>
          <w:lang w:val="fr-FR" w:eastAsia="zh-CN"/>
        </w:rPr>
        <w:t>Prévisions de coûts</w:t>
      </w:r>
      <w:r w:rsidRPr="00F77964">
        <w:rPr>
          <w:rFonts w:eastAsia="SimSun"/>
          <w:lang w:val="fr-FR" w:eastAsia="zh-CN"/>
        </w:rPr>
        <w:t xml:space="preserve"> </w:t>
      </w:r>
    </w:p>
    <w:p w:rsidR="00D66005" w:rsidRPr="00F77964" w:rsidRDefault="00773A9E" w:rsidP="00D66005">
      <w:pPr>
        <w:pStyle w:val="Normalnumber"/>
        <w:numPr>
          <w:ilvl w:val="0"/>
          <w:numId w:val="6"/>
        </w:numPr>
        <w:tabs>
          <w:tab w:val="left" w:pos="624"/>
        </w:tabs>
        <w:ind w:left="1247" w:firstLine="0"/>
        <w:rPr>
          <w:lang w:val="fr-FR"/>
        </w:rPr>
      </w:pPr>
      <w:r w:rsidRPr="00F77964">
        <w:rPr>
          <w:lang w:val="fr-FR"/>
        </w:rPr>
        <w:t>Les prévisions de coûts sont les suivantes :</w:t>
      </w:r>
    </w:p>
    <w:p w:rsidR="00D66005" w:rsidRPr="00F77964" w:rsidRDefault="00D66005" w:rsidP="00D66005">
      <w:pPr>
        <w:pStyle w:val="Normalnumber"/>
        <w:tabs>
          <w:tab w:val="left" w:pos="624"/>
        </w:tabs>
        <w:spacing w:before="120" w:after="0"/>
        <w:rPr>
          <w:sz w:val="18"/>
          <w:szCs w:val="18"/>
          <w:lang w:val="fr-FR"/>
        </w:rPr>
      </w:pPr>
      <w:r w:rsidRPr="00F77964">
        <w:rPr>
          <w:lang w:val="fr-FR"/>
        </w:rPr>
        <w:tab/>
      </w:r>
      <w:r w:rsidRPr="00F77964">
        <w:rPr>
          <w:lang w:val="fr-FR"/>
        </w:rPr>
        <w:tab/>
      </w:r>
      <w:r w:rsidRPr="00F77964">
        <w:rPr>
          <w:sz w:val="18"/>
          <w:szCs w:val="18"/>
          <w:lang w:val="fr-FR"/>
        </w:rPr>
        <w:t>(</w:t>
      </w:r>
      <w:r w:rsidR="00F35DFE" w:rsidRPr="00F77964">
        <w:rPr>
          <w:sz w:val="18"/>
          <w:szCs w:val="18"/>
          <w:lang w:val="fr-FR"/>
        </w:rPr>
        <w:t>d</w:t>
      </w:r>
      <w:r w:rsidR="00773A9E" w:rsidRPr="00F77964">
        <w:rPr>
          <w:sz w:val="18"/>
          <w:szCs w:val="18"/>
          <w:lang w:val="fr-FR"/>
        </w:rPr>
        <w:t xml:space="preserve">ollars des </w:t>
      </w:r>
      <w:r w:rsidR="00DB5889" w:rsidRPr="00F77964">
        <w:rPr>
          <w:sz w:val="18"/>
          <w:szCs w:val="18"/>
          <w:lang w:val="fr-FR"/>
        </w:rPr>
        <w:t>États-Unis</w:t>
      </w:r>
      <w:r w:rsidRPr="00F77964">
        <w:rPr>
          <w:sz w:val="18"/>
          <w:szCs w:val="18"/>
          <w:lang w:val="fr-FR"/>
        </w:rPr>
        <w:t>)</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2957"/>
        <w:gridCol w:w="3402"/>
        <w:gridCol w:w="957"/>
      </w:tblGrid>
      <w:tr w:rsidR="00D66005" w:rsidRPr="0061490E" w:rsidTr="00D66005">
        <w:trPr>
          <w:tblHeader/>
        </w:trPr>
        <w:tc>
          <w:tcPr>
            <w:tcW w:w="681" w:type="dxa"/>
            <w:tcBorders>
              <w:top w:val="single" w:sz="4" w:space="0" w:color="auto"/>
              <w:left w:val="single" w:sz="4" w:space="0" w:color="auto"/>
              <w:bottom w:val="single" w:sz="4" w:space="0" w:color="auto"/>
              <w:right w:val="single" w:sz="4" w:space="0" w:color="auto"/>
            </w:tcBorders>
            <w:hideMark/>
          </w:tcPr>
          <w:p w:rsidR="00D66005" w:rsidRPr="00F77964" w:rsidRDefault="00773A9E" w:rsidP="00773A9E">
            <w:pPr>
              <w:pStyle w:val="Normal-pool"/>
              <w:keepNext/>
              <w:keepLines/>
              <w:spacing w:before="40" w:after="40"/>
              <w:rPr>
                <w:rFonts w:eastAsia="SimSun"/>
                <w:i/>
                <w:sz w:val="18"/>
                <w:szCs w:val="18"/>
                <w:lang w:eastAsia="zh-CN"/>
              </w:rPr>
            </w:pPr>
            <w:r w:rsidRPr="00F77964">
              <w:rPr>
                <w:rFonts w:eastAsia="SimSun"/>
                <w:i/>
                <w:sz w:val="18"/>
                <w:szCs w:val="18"/>
                <w:lang w:eastAsia="zh-CN"/>
              </w:rPr>
              <w:t>Année</w:t>
            </w:r>
          </w:p>
        </w:tc>
        <w:tc>
          <w:tcPr>
            <w:tcW w:w="3282" w:type="dxa"/>
            <w:tcBorders>
              <w:top w:val="single" w:sz="4" w:space="0" w:color="auto"/>
              <w:left w:val="single" w:sz="4" w:space="0" w:color="auto"/>
              <w:bottom w:val="single" w:sz="4" w:space="0" w:color="auto"/>
              <w:right w:val="single" w:sz="4" w:space="0" w:color="auto"/>
            </w:tcBorders>
            <w:hideMark/>
          </w:tcPr>
          <w:p w:rsidR="00D66005" w:rsidRPr="00F77964" w:rsidRDefault="00D972E8" w:rsidP="00773A9E">
            <w:pPr>
              <w:pStyle w:val="Normal-pool"/>
              <w:keepNext/>
              <w:keepLines/>
              <w:spacing w:before="40" w:after="40"/>
              <w:rPr>
                <w:rFonts w:eastAsia="SimSun"/>
                <w:i/>
                <w:sz w:val="18"/>
                <w:szCs w:val="18"/>
                <w:lang w:eastAsia="zh-CN"/>
              </w:rPr>
            </w:pPr>
            <w:r>
              <w:rPr>
                <w:rFonts w:eastAsia="SimSun"/>
                <w:i/>
                <w:sz w:val="18"/>
                <w:szCs w:val="18"/>
                <w:lang w:eastAsia="zh-CN"/>
              </w:rPr>
              <w:t>Postes de dépense</w:t>
            </w:r>
          </w:p>
        </w:tc>
        <w:tc>
          <w:tcPr>
            <w:tcW w:w="3828" w:type="dxa"/>
            <w:tcBorders>
              <w:top w:val="single" w:sz="4" w:space="0" w:color="auto"/>
              <w:left w:val="single" w:sz="4" w:space="0" w:color="auto"/>
              <w:bottom w:val="single" w:sz="4" w:space="0" w:color="auto"/>
              <w:right w:val="single" w:sz="4" w:space="0" w:color="auto"/>
            </w:tcBorders>
            <w:hideMark/>
          </w:tcPr>
          <w:p w:rsidR="00D66005" w:rsidRPr="00F77964" w:rsidRDefault="00773A9E" w:rsidP="00773A9E">
            <w:pPr>
              <w:pStyle w:val="Normal-pool"/>
              <w:keepNext/>
              <w:keepLines/>
              <w:spacing w:before="40" w:after="40"/>
              <w:rPr>
                <w:rFonts w:eastAsia="SimSun"/>
                <w:i/>
                <w:sz w:val="18"/>
                <w:szCs w:val="18"/>
                <w:lang w:eastAsia="zh-CN"/>
              </w:rPr>
            </w:pPr>
            <w:r w:rsidRPr="00F77964">
              <w:rPr>
                <w:rFonts w:eastAsia="SimSun"/>
                <w:i/>
                <w:sz w:val="18"/>
                <w:szCs w:val="18"/>
                <w:lang w:eastAsia="zh-CN"/>
              </w:rPr>
              <w:t>Hypothèses</w:t>
            </w:r>
          </w:p>
        </w:tc>
        <w:tc>
          <w:tcPr>
            <w:tcW w:w="992" w:type="dxa"/>
            <w:tcBorders>
              <w:top w:val="single" w:sz="4" w:space="0" w:color="auto"/>
              <w:left w:val="single" w:sz="4" w:space="0" w:color="auto"/>
              <w:bottom w:val="single" w:sz="4" w:space="0" w:color="auto"/>
              <w:right w:val="single" w:sz="4" w:space="0" w:color="auto"/>
            </w:tcBorders>
            <w:hideMark/>
          </w:tcPr>
          <w:p w:rsidR="00D66005" w:rsidRPr="00F77964" w:rsidRDefault="00DB5889" w:rsidP="00526A11">
            <w:pPr>
              <w:pStyle w:val="Normal-pool"/>
              <w:keepNext/>
              <w:keepLines/>
              <w:spacing w:before="40" w:after="40"/>
              <w:jc w:val="right"/>
              <w:rPr>
                <w:rFonts w:eastAsia="SimSun"/>
                <w:i/>
                <w:sz w:val="18"/>
                <w:szCs w:val="18"/>
                <w:lang w:eastAsia="zh-CN"/>
              </w:rPr>
            </w:pPr>
            <w:r w:rsidRPr="00F77964">
              <w:rPr>
                <w:rFonts w:eastAsia="SimSun"/>
                <w:i/>
                <w:sz w:val="18"/>
                <w:szCs w:val="18"/>
                <w:lang w:eastAsia="zh-CN"/>
              </w:rPr>
              <w:t>Coûts</w:t>
            </w:r>
            <w:r w:rsidR="00D66005" w:rsidRPr="00F77964">
              <w:rPr>
                <w:rFonts w:eastAsia="SimSun"/>
                <w:i/>
                <w:sz w:val="18"/>
                <w:szCs w:val="18"/>
                <w:lang w:eastAsia="zh-CN"/>
              </w:rPr>
              <w:t xml:space="preserve"> </w:t>
            </w:r>
          </w:p>
        </w:tc>
      </w:tr>
      <w:tr w:rsidR="00D66005" w:rsidRPr="0061490E" w:rsidTr="0069286E">
        <w:tc>
          <w:tcPr>
            <w:tcW w:w="681"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69286E">
            <w:pPr>
              <w:pStyle w:val="Normal-pool"/>
              <w:keepNext/>
              <w:keepLines/>
              <w:spacing w:before="40" w:after="40"/>
              <w:rPr>
                <w:rFonts w:eastAsia="SimSun"/>
                <w:sz w:val="18"/>
                <w:szCs w:val="18"/>
                <w:lang w:eastAsia="zh-CN"/>
              </w:rPr>
            </w:pPr>
            <w:r w:rsidRPr="00F77964">
              <w:rPr>
                <w:rFonts w:eastAsia="SimSun"/>
                <w:sz w:val="18"/>
                <w:szCs w:val="18"/>
                <w:lang w:eastAsia="zh-CN"/>
              </w:rPr>
              <w:t>2014</w:t>
            </w:r>
          </w:p>
        </w:tc>
        <w:tc>
          <w:tcPr>
            <w:tcW w:w="3282"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773A9E" w:rsidP="0069286E">
            <w:pPr>
              <w:pStyle w:val="Normal-pool"/>
              <w:keepNext/>
              <w:keepLines/>
              <w:spacing w:before="40" w:after="40"/>
              <w:rPr>
                <w:rFonts w:eastAsia="SimSun"/>
                <w:sz w:val="18"/>
                <w:szCs w:val="18"/>
                <w:lang w:eastAsia="zh-CN"/>
              </w:rPr>
            </w:pPr>
            <w:r w:rsidRPr="00F77964">
              <w:rPr>
                <w:rFonts w:eastAsia="SimSun"/>
                <w:sz w:val="18"/>
                <w:szCs w:val="18"/>
                <w:lang w:eastAsia="zh-CN"/>
              </w:rPr>
              <w:t xml:space="preserve">Réunion du </w:t>
            </w:r>
            <w:r w:rsidR="000F67AA" w:rsidRPr="00F77964">
              <w:rPr>
                <w:rFonts w:eastAsia="SimSun"/>
                <w:sz w:val="18"/>
                <w:szCs w:val="18"/>
                <w:lang w:eastAsia="zh-CN"/>
              </w:rPr>
              <w:t>g</w:t>
            </w:r>
            <w:r w:rsidRPr="00F77964">
              <w:rPr>
                <w:rFonts w:eastAsia="SimSun"/>
                <w:sz w:val="18"/>
                <w:szCs w:val="18"/>
                <w:lang w:eastAsia="zh-CN"/>
              </w:rPr>
              <w:t>roupe d’experts</w:t>
            </w:r>
            <w:r w:rsidR="00D66005" w:rsidRPr="00F77964">
              <w:rPr>
                <w:rFonts w:eastAsia="SimSun"/>
                <w:sz w:val="18"/>
                <w:szCs w:val="18"/>
                <w:lang w:eastAsia="zh-CN"/>
              </w:rPr>
              <w:t xml:space="preserve"> (5</w:t>
            </w:r>
            <w:r w:rsidR="0069286E">
              <w:rPr>
                <w:rFonts w:eastAsia="SimSun"/>
                <w:sz w:val="18"/>
                <w:szCs w:val="18"/>
                <w:lang w:eastAsia="zh-CN"/>
              </w:rPr>
              <w:t> </w:t>
            </w:r>
            <w:r w:rsidRPr="00F77964">
              <w:rPr>
                <w:rFonts w:eastAsia="SimSun"/>
                <w:sz w:val="18"/>
                <w:szCs w:val="18"/>
                <w:lang w:eastAsia="zh-CN"/>
              </w:rPr>
              <w:t>membres du Groupe d’experts multidisciplinaire et du Bureau</w:t>
            </w:r>
            <w:r w:rsidR="00C673C7">
              <w:rPr>
                <w:rFonts w:eastAsia="SimSun"/>
                <w:sz w:val="18"/>
                <w:szCs w:val="18"/>
                <w:lang w:eastAsia="zh-CN"/>
              </w:rPr>
              <w:t xml:space="preserve"> + </w:t>
            </w:r>
            <w:r w:rsidRPr="00F77964">
              <w:rPr>
                <w:rFonts w:eastAsia="SimSun"/>
                <w:sz w:val="18"/>
                <w:szCs w:val="18"/>
                <w:lang w:eastAsia="zh-CN"/>
              </w:rPr>
              <w:t xml:space="preserve">10 experts </w:t>
            </w:r>
            <w:r w:rsidR="00D66005" w:rsidRPr="00F77964">
              <w:rPr>
                <w:rFonts w:eastAsia="SimSun"/>
                <w:sz w:val="18"/>
                <w:szCs w:val="18"/>
                <w:lang w:eastAsia="zh-CN"/>
              </w:rPr>
              <w:t>(2 p</w:t>
            </w:r>
            <w:r w:rsidRPr="00F77964">
              <w:rPr>
                <w:rFonts w:eastAsia="SimSun"/>
                <w:sz w:val="18"/>
                <w:szCs w:val="18"/>
                <w:lang w:eastAsia="zh-CN"/>
              </w:rPr>
              <w:t>ar région</w:t>
            </w:r>
            <w:r w:rsidR="00D66005" w:rsidRPr="00F77964">
              <w:rPr>
                <w:rFonts w:eastAsia="SimSun"/>
                <w:sz w:val="18"/>
                <w:szCs w:val="18"/>
                <w:lang w:eastAsia="zh-CN"/>
              </w:rPr>
              <w:t>))</w:t>
            </w:r>
          </w:p>
        </w:tc>
        <w:tc>
          <w:tcPr>
            <w:tcW w:w="3828" w:type="dxa"/>
            <w:tcBorders>
              <w:top w:val="single" w:sz="4" w:space="0" w:color="auto"/>
              <w:left w:val="single" w:sz="4" w:space="0" w:color="auto"/>
              <w:bottom w:val="single" w:sz="4" w:space="0" w:color="auto"/>
              <w:right w:val="single" w:sz="4" w:space="0" w:color="auto"/>
            </w:tcBorders>
            <w:hideMark/>
          </w:tcPr>
          <w:p w:rsidR="00D66005" w:rsidRPr="00F77964" w:rsidRDefault="00872096" w:rsidP="0069286E">
            <w:pPr>
              <w:pStyle w:val="Normal-pool"/>
              <w:keepNext/>
              <w:keepLines/>
              <w:spacing w:before="40" w:after="40"/>
              <w:rPr>
                <w:rFonts w:eastAsia="SimSun"/>
                <w:sz w:val="18"/>
                <w:szCs w:val="18"/>
                <w:lang w:eastAsia="zh-CN"/>
              </w:rPr>
            </w:pPr>
            <w:r w:rsidRPr="00F77964">
              <w:rPr>
                <w:rFonts w:eastAsia="SimSun"/>
                <w:sz w:val="18"/>
                <w:szCs w:val="18"/>
                <w:lang w:eastAsia="zh-CN"/>
              </w:rPr>
              <w:t>Coûts de la réunion</w:t>
            </w:r>
            <w:r w:rsidR="00D66005" w:rsidRPr="00F77964">
              <w:rPr>
                <w:rFonts w:eastAsia="SimSun"/>
                <w:sz w:val="18"/>
                <w:szCs w:val="18"/>
                <w:lang w:eastAsia="zh-CN"/>
              </w:rPr>
              <w:t xml:space="preserve"> (1</w:t>
            </w:r>
            <w:r w:rsidRPr="00F77964">
              <w:rPr>
                <w:rFonts w:eastAsia="SimSun"/>
                <w:sz w:val="18"/>
                <w:szCs w:val="18"/>
                <w:lang w:eastAsia="zh-CN"/>
              </w:rPr>
              <w:t> réunion de 3 jours</w:t>
            </w:r>
            <w:r w:rsidR="00D66005" w:rsidRPr="00F77964">
              <w:rPr>
                <w:rFonts w:eastAsia="SimSun"/>
                <w:sz w:val="18"/>
                <w:szCs w:val="18"/>
                <w:lang w:eastAsia="zh-CN"/>
              </w:rPr>
              <w:t xml:space="preserve"> x 15 participants) (25</w:t>
            </w:r>
            <w:r w:rsidRPr="00F77964">
              <w:rPr>
                <w:rFonts w:eastAsia="SimSun"/>
                <w:sz w:val="18"/>
                <w:szCs w:val="18"/>
                <w:lang w:eastAsia="zh-CN"/>
              </w:rPr>
              <w:t> % en nature</w:t>
            </w:r>
            <w:r w:rsidR="00D66005" w:rsidRPr="00F77964">
              <w:rPr>
                <w:rFonts w:eastAsia="SimSun"/>
                <w:sz w:val="18"/>
                <w:szCs w:val="18"/>
                <w:lang w:eastAsia="zh-CN"/>
              </w:rPr>
              <w:t>)</w:t>
            </w:r>
          </w:p>
        </w:tc>
        <w:tc>
          <w:tcPr>
            <w:tcW w:w="99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69286E">
            <w:pPr>
              <w:pStyle w:val="Normal-pool"/>
              <w:keepNext/>
              <w:keepLines/>
              <w:spacing w:before="40" w:after="40"/>
              <w:rPr>
                <w:rFonts w:eastAsia="SimSun"/>
                <w:sz w:val="18"/>
                <w:szCs w:val="18"/>
                <w:lang w:eastAsia="zh-CN"/>
              </w:rPr>
            </w:pPr>
            <w:r w:rsidRPr="00F77964">
              <w:rPr>
                <w:rFonts w:eastAsia="SimSun"/>
                <w:sz w:val="18"/>
                <w:szCs w:val="18"/>
                <w:lang w:eastAsia="zh-CN"/>
              </w:rPr>
              <w:t>4</w:t>
            </w:r>
            <w:r w:rsidR="00F35DFE" w:rsidRPr="00F77964">
              <w:rPr>
                <w:rFonts w:eastAsia="SimSun"/>
                <w:sz w:val="18"/>
                <w:szCs w:val="18"/>
                <w:lang w:eastAsia="zh-CN"/>
              </w:rPr>
              <w:t> </w:t>
            </w:r>
            <w:r w:rsidRPr="00F77964">
              <w:rPr>
                <w:rFonts w:eastAsia="SimSun"/>
                <w:sz w:val="18"/>
                <w:szCs w:val="18"/>
                <w:lang w:eastAsia="zh-CN"/>
              </w:rPr>
              <w:t>500</w:t>
            </w:r>
          </w:p>
        </w:tc>
      </w:tr>
      <w:tr w:rsidR="00D66005" w:rsidRPr="0061490E" w:rsidTr="0069286E">
        <w:trPr>
          <w:trHeight w:val="333"/>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69286E">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69286E">
            <w:pPr>
              <w:rPr>
                <w:rFonts w:eastAsia="SimSun"/>
                <w:sz w:val="18"/>
                <w:szCs w:val="18"/>
                <w:lang w:eastAsia="zh-CN"/>
              </w:rPr>
            </w:pPr>
          </w:p>
        </w:tc>
        <w:tc>
          <w:tcPr>
            <w:tcW w:w="3828" w:type="dxa"/>
            <w:tcBorders>
              <w:top w:val="single" w:sz="4" w:space="0" w:color="auto"/>
              <w:left w:val="single" w:sz="4" w:space="0" w:color="auto"/>
              <w:bottom w:val="single" w:sz="4" w:space="0" w:color="auto"/>
              <w:right w:val="single" w:sz="4" w:space="0" w:color="auto"/>
            </w:tcBorders>
            <w:hideMark/>
          </w:tcPr>
          <w:p w:rsidR="00D66005" w:rsidRPr="00F77964" w:rsidRDefault="00D972E8" w:rsidP="0069286E">
            <w:pPr>
              <w:pStyle w:val="Normal-pool"/>
              <w:keepNext/>
              <w:keepLines/>
              <w:spacing w:before="40" w:after="40"/>
              <w:rPr>
                <w:rFonts w:eastAsia="SimSun"/>
                <w:sz w:val="18"/>
                <w:szCs w:val="18"/>
                <w:lang w:eastAsia="zh-CN"/>
              </w:rPr>
            </w:pPr>
            <w:r>
              <w:rPr>
                <w:rFonts w:eastAsia="SimSun"/>
                <w:sz w:val="18"/>
                <w:szCs w:val="18"/>
                <w:lang w:eastAsia="zh-CN"/>
              </w:rPr>
              <w:t>Frais de voyage et indemnités journalières de subsistance</w:t>
            </w:r>
            <w:r w:rsidR="00D66005" w:rsidRPr="00F77964">
              <w:rPr>
                <w:rFonts w:eastAsia="SimSun"/>
                <w:sz w:val="18"/>
                <w:szCs w:val="18"/>
                <w:lang w:eastAsia="zh-CN"/>
              </w:rPr>
              <w:t xml:space="preserve"> (12 x 3</w:t>
            </w:r>
            <w:r w:rsidR="00872096" w:rsidRPr="00F77964">
              <w:rPr>
                <w:rFonts w:eastAsia="SimSun"/>
                <w:sz w:val="18"/>
                <w:szCs w:val="18"/>
                <w:lang w:eastAsia="zh-CN"/>
              </w:rPr>
              <w:t> </w:t>
            </w:r>
            <w:r w:rsidR="00D66005" w:rsidRPr="00F77964">
              <w:rPr>
                <w:rFonts w:eastAsia="SimSun"/>
                <w:sz w:val="18"/>
                <w:szCs w:val="18"/>
                <w:lang w:eastAsia="zh-CN"/>
              </w:rPr>
              <w:t>000</w:t>
            </w:r>
            <w:r w:rsidR="00F35DFE" w:rsidRPr="00F77964">
              <w:rPr>
                <w:rFonts w:eastAsia="SimSun"/>
                <w:sz w:val="18"/>
                <w:szCs w:val="18"/>
                <w:lang w:eastAsia="zh-CN"/>
              </w:rPr>
              <w:t xml:space="preserve"> dollars</w:t>
            </w:r>
            <w:r w:rsidR="00D66005" w:rsidRPr="00F77964">
              <w:rPr>
                <w:rFonts w:eastAsia="SimSun"/>
                <w:sz w:val="18"/>
                <w:szCs w:val="18"/>
                <w:lang w:eastAsia="zh-CN"/>
              </w:rPr>
              <w:t>)</w:t>
            </w:r>
          </w:p>
        </w:tc>
        <w:tc>
          <w:tcPr>
            <w:tcW w:w="99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69286E">
            <w:pPr>
              <w:pStyle w:val="Normal-pool"/>
              <w:keepNext/>
              <w:keepLines/>
              <w:spacing w:before="40" w:after="40"/>
              <w:rPr>
                <w:rFonts w:eastAsia="SimSun"/>
                <w:sz w:val="18"/>
                <w:szCs w:val="18"/>
                <w:lang w:eastAsia="zh-CN"/>
              </w:rPr>
            </w:pPr>
            <w:r w:rsidRPr="00F77964">
              <w:rPr>
                <w:rFonts w:eastAsia="SimSun"/>
                <w:sz w:val="18"/>
                <w:szCs w:val="18"/>
                <w:lang w:eastAsia="zh-CN"/>
              </w:rPr>
              <w:t>36</w:t>
            </w:r>
            <w:r w:rsidR="00F35DFE" w:rsidRPr="00F77964">
              <w:rPr>
                <w:rFonts w:eastAsia="SimSun"/>
                <w:sz w:val="18"/>
                <w:szCs w:val="18"/>
                <w:lang w:eastAsia="zh-CN"/>
              </w:rPr>
              <w:t> </w:t>
            </w:r>
            <w:r w:rsidRPr="00F77964">
              <w:rPr>
                <w:rFonts w:eastAsia="SimSun"/>
                <w:sz w:val="18"/>
                <w:szCs w:val="18"/>
                <w:lang w:eastAsia="zh-CN"/>
              </w:rPr>
              <w:t>000</w:t>
            </w:r>
          </w:p>
        </w:tc>
      </w:tr>
      <w:tr w:rsidR="00872096" w:rsidRPr="0061490E" w:rsidTr="0069286E">
        <w:tc>
          <w:tcPr>
            <w:tcW w:w="0" w:type="auto"/>
            <w:vMerge/>
            <w:tcBorders>
              <w:top w:val="single" w:sz="4" w:space="0" w:color="auto"/>
              <w:left w:val="single" w:sz="4" w:space="0" w:color="auto"/>
              <w:bottom w:val="single" w:sz="4" w:space="0" w:color="auto"/>
              <w:right w:val="single" w:sz="4" w:space="0" w:color="auto"/>
            </w:tcBorders>
            <w:hideMark/>
          </w:tcPr>
          <w:p w:rsidR="00872096" w:rsidRPr="0061490E" w:rsidRDefault="00872096" w:rsidP="0069286E">
            <w:pPr>
              <w:rPr>
                <w:rFonts w:eastAsia="SimSun"/>
                <w:sz w:val="18"/>
                <w:szCs w:val="18"/>
                <w:lang w:eastAsia="zh-CN"/>
              </w:rPr>
            </w:pPr>
          </w:p>
        </w:tc>
        <w:tc>
          <w:tcPr>
            <w:tcW w:w="3282" w:type="dxa"/>
            <w:vMerge w:val="restart"/>
            <w:tcBorders>
              <w:top w:val="single" w:sz="4" w:space="0" w:color="auto"/>
              <w:left w:val="single" w:sz="4" w:space="0" w:color="auto"/>
              <w:bottom w:val="single" w:sz="4" w:space="0" w:color="auto"/>
              <w:right w:val="single" w:sz="4" w:space="0" w:color="auto"/>
            </w:tcBorders>
            <w:hideMark/>
          </w:tcPr>
          <w:p w:rsidR="00872096" w:rsidRPr="00F77964" w:rsidRDefault="00872096" w:rsidP="0069286E">
            <w:pPr>
              <w:pStyle w:val="Normal-pool"/>
              <w:keepNext/>
              <w:keepLines/>
              <w:spacing w:before="40" w:after="40"/>
              <w:rPr>
                <w:rFonts w:eastAsia="SimSun"/>
                <w:sz w:val="18"/>
                <w:szCs w:val="18"/>
                <w:lang w:eastAsia="zh-CN"/>
              </w:rPr>
            </w:pPr>
            <w:r w:rsidRPr="00F77964">
              <w:rPr>
                <w:rFonts w:eastAsia="SimSun"/>
                <w:sz w:val="18"/>
                <w:szCs w:val="18"/>
                <w:lang w:eastAsia="zh-CN"/>
              </w:rPr>
              <w:t xml:space="preserve">5 réunions régionales d’examen des études de cas pour </w:t>
            </w:r>
            <w:r w:rsidR="00F35DFE" w:rsidRPr="00F77964">
              <w:rPr>
                <w:rFonts w:eastAsia="SimSun"/>
                <w:sz w:val="18"/>
                <w:szCs w:val="18"/>
                <w:lang w:eastAsia="zh-CN"/>
              </w:rPr>
              <w:t>mettre en évidence et examiner</w:t>
            </w:r>
            <w:r w:rsidRPr="00F77964">
              <w:rPr>
                <w:rFonts w:eastAsia="SimSun"/>
                <w:sz w:val="18"/>
                <w:szCs w:val="18"/>
                <w:lang w:eastAsia="zh-CN"/>
              </w:rPr>
              <w:t xml:space="preserve"> les procédures, approches et meilleures pratiques existantes</w:t>
            </w:r>
          </w:p>
        </w:tc>
        <w:tc>
          <w:tcPr>
            <w:tcW w:w="3828" w:type="dxa"/>
            <w:tcBorders>
              <w:top w:val="single" w:sz="4" w:space="0" w:color="auto"/>
              <w:left w:val="single" w:sz="4" w:space="0" w:color="auto"/>
              <w:bottom w:val="single" w:sz="4" w:space="0" w:color="auto"/>
              <w:right w:val="single" w:sz="4" w:space="0" w:color="auto"/>
            </w:tcBorders>
            <w:hideMark/>
          </w:tcPr>
          <w:p w:rsidR="00872096" w:rsidRPr="00F77964" w:rsidRDefault="00872096" w:rsidP="0069286E">
            <w:pPr>
              <w:pStyle w:val="Normal-pool"/>
              <w:keepNext/>
              <w:keepLines/>
              <w:spacing w:before="40" w:after="40"/>
              <w:rPr>
                <w:rFonts w:eastAsia="SimSun"/>
                <w:sz w:val="18"/>
                <w:szCs w:val="18"/>
                <w:lang w:eastAsia="zh-CN"/>
              </w:rPr>
            </w:pPr>
            <w:r w:rsidRPr="00F77964">
              <w:rPr>
                <w:rFonts w:eastAsia="SimSun"/>
                <w:sz w:val="18"/>
                <w:szCs w:val="18"/>
                <w:lang w:eastAsia="zh-CN"/>
              </w:rPr>
              <w:t>Coûts de</w:t>
            </w:r>
            <w:r w:rsidR="00F35DFE" w:rsidRPr="00F77964">
              <w:rPr>
                <w:rFonts w:eastAsia="SimSun"/>
                <w:sz w:val="18"/>
                <w:szCs w:val="18"/>
                <w:lang w:eastAsia="zh-CN"/>
              </w:rPr>
              <w:t>s</w:t>
            </w:r>
            <w:r w:rsidRPr="00F77964">
              <w:rPr>
                <w:rFonts w:eastAsia="SimSun"/>
                <w:sz w:val="18"/>
                <w:szCs w:val="18"/>
                <w:lang w:eastAsia="zh-CN"/>
              </w:rPr>
              <w:t xml:space="preserve"> réunion</w:t>
            </w:r>
            <w:r w:rsidR="00F35DFE" w:rsidRPr="00F77964">
              <w:rPr>
                <w:rFonts w:eastAsia="SimSun"/>
                <w:sz w:val="18"/>
                <w:szCs w:val="18"/>
                <w:lang w:eastAsia="zh-CN"/>
              </w:rPr>
              <w:t>s</w:t>
            </w:r>
            <w:r w:rsidRPr="00F77964">
              <w:rPr>
                <w:rFonts w:eastAsia="SimSun"/>
                <w:sz w:val="18"/>
                <w:szCs w:val="18"/>
                <w:lang w:eastAsia="zh-CN"/>
              </w:rPr>
              <w:t xml:space="preserve"> (5 réunions, 2 jours par réunion x 5 000 dollars par réunion</w:t>
            </w:r>
            <w:r w:rsidR="00D972E8">
              <w:rPr>
                <w:rFonts w:eastAsia="SimSun"/>
                <w:sz w:val="18"/>
                <w:szCs w:val="18"/>
                <w:lang w:eastAsia="zh-CN"/>
              </w:rPr>
              <w:t xml:space="preserve"> </w:t>
            </w:r>
            <w:r w:rsidRPr="00F77964">
              <w:rPr>
                <w:rFonts w:eastAsia="SimSun"/>
                <w:sz w:val="18"/>
                <w:szCs w:val="18"/>
                <w:lang w:eastAsia="zh-CN"/>
              </w:rPr>
              <w:t>(25 % en nature)</w:t>
            </w:r>
          </w:p>
        </w:tc>
        <w:tc>
          <w:tcPr>
            <w:tcW w:w="992" w:type="dxa"/>
            <w:tcBorders>
              <w:top w:val="single" w:sz="4" w:space="0" w:color="auto"/>
              <w:left w:val="single" w:sz="4" w:space="0" w:color="auto"/>
              <w:bottom w:val="single" w:sz="4" w:space="0" w:color="auto"/>
              <w:right w:val="single" w:sz="4" w:space="0" w:color="auto"/>
            </w:tcBorders>
            <w:hideMark/>
          </w:tcPr>
          <w:p w:rsidR="00872096" w:rsidRPr="00F77964" w:rsidRDefault="00872096" w:rsidP="0069286E">
            <w:pPr>
              <w:pStyle w:val="Normal-pool"/>
              <w:keepNext/>
              <w:keepLines/>
              <w:spacing w:before="40" w:after="40"/>
              <w:rPr>
                <w:rFonts w:eastAsia="SimSun"/>
                <w:sz w:val="18"/>
                <w:szCs w:val="18"/>
                <w:lang w:eastAsia="zh-CN"/>
              </w:rPr>
            </w:pPr>
            <w:r w:rsidRPr="00F77964">
              <w:rPr>
                <w:rFonts w:eastAsia="SimSun"/>
                <w:sz w:val="18"/>
                <w:szCs w:val="18"/>
                <w:lang w:eastAsia="zh-CN"/>
              </w:rPr>
              <w:t>18</w:t>
            </w:r>
            <w:r w:rsidR="00F35DFE" w:rsidRPr="00F77964">
              <w:rPr>
                <w:rFonts w:eastAsia="SimSun"/>
                <w:sz w:val="18"/>
                <w:szCs w:val="18"/>
                <w:lang w:eastAsia="zh-CN"/>
              </w:rPr>
              <w:t> </w:t>
            </w:r>
            <w:r w:rsidRPr="00F77964">
              <w:rPr>
                <w:rFonts w:eastAsia="SimSun"/>
                <w:sz w:val="18"/>
                <w:szCs w:val="18"/>
                <w:lang w:eastAsia="zh-CN"/>
              </w:rPr>
              <w:t>750</w:t>
            </w:r>
          </w:p>
        </w:tc>
      </w:tr>
      <w:tr w:rsidR="00872096" w:rsidRPr="0061490E" w:rsidTr="0069286E">
        <w:tc>
          <w:tcPr>
            <w:tcW w:w="0" w:type="auto"/>
            <w:vMerge/>
            <w:tcBorders>
              <w:top w:val="single" w:sz="4" w:space="0" w:color="auto"/>
              <w:left w:val="single" w:sz="4" w:space="0" w:color="auto"/>
              <w:bottom w:val="single" w:sz="4" w:space="0" w:color="auto"/>
              <w:right w:val="single" w:sz="4" w:space="0" w:color="auto"/>
            </w:tcBorders>
            <w:hideMark/>
          </w:tcPr>
          <w:p w:rsidR="00872096" w:rsidRPr="0061490E" w:rsidRDefault="00872096" w:rsidP="0069286E">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872096" w:rsidRPr="0061490E" w:rsidRDefault="00872096" w:rsidP="0069286E">
            <w:pPr>
              <w:rPr>
                <w:rFonts w:eastAsia="SimSun"/>
                <w:sz w:val="18"/>
                <w:szCs w:val="18"/>
                <w:lang w:eastAsia="zh-CN"/>
              </w:rPr>
            </w:pPr>
          </w:p>
        </w:tc>
        <w:tc>
          <w:tcPr>
            <w:tcW w:w="3828" w:type="dxa"/>
            <w:tcBorders>
              <w:top w:val="single" w:sz="4" w:space="0" w:color="auto"/>
              <w:left w:val="single" w:sz="4" w:space="0" w:color="auto"/>
              <w:bottom w:val="single" w:sz="4" w:space="0" w:color="auto"/>
              <w:right w:val="single" w:sz="4" w:space="0" w:color="auto"/>
            </w:tcBorders>
            <w:hideMark/>
          </w:tcPr>
          <w:p w:rsidR="00872096" w:rsidRPr="00F77964" w:rsidRDefault="00D972E8" w:rsidP="0069286E">
            <w:pPr>
              <w:pStyle w:val="Normal-pool"/>
              <w:keepNext/>
              <w:keepLines/>
              <w:spacing w:before="40" w:after="40"/>
              <w:rPr>
                <w:rFonts w:eastAsia="SimSun"/>
                <w:sz w:val="18"/>
                <w:szCs w:val="18"/>
                <w:lang w:eastAsia="zh-CN"/>
              </w:rPr>
            </w:pPr>
            <w:r>
              <w:rPr>
                <w:rFonts w:eastAsia="SimSun"/>
                <w:sz w:val="18"/>
                <w:szCs w:val="18"/>
                <w:lang w:eastAsia="zh-CN"/>
              </w:rPr>
              <w:t>Frais de voyage et indemnités journalières de subsistance</w:t>
            </w:r>
            <w:r w:rsidR="00872096" w:rsidRPr="00F77964">
              <w:rPr>
                <w:rFonts w:eastAsia="SimSun"/>
                <w:sz w:val="18"/>
                <w:szCs w:val="18"/>
                <w:lang w:eastAsia="zh-CN"/>
              </w:rPr>
              <w:t xml:space="preserve"> (5 réunion</w:t>
            </w:r>
            <w:r w:rsidR="00833DCB" w:rsidRPr="00F77964">
              <w:rPr>
                <w:rFonts w:eastAsia="SimSun"/>
                <w:sz w:val="18"/>
                <w:szCs w:val="18"/>
                <w:lang w:eastAsia="zh-CN"/>
              </w:rPr>
              <w:t>s</w:t>
            </w:r>
            <w:r w:rsidR="00872096" w:rsidRPr="00F77964">
              <w:rPr>
                <w:rFonts w:eastAsia="SimSun"/>
                <w:sz w:val="18"/>
                <w:szCs w:val="18"/>
                <w:lang w:eastAsia="zh-CN"/>
              </w:rPr>
              <w:t xml:space="preserve"> x 5 participants financés par réunion x 1 500</w:t>
            </w:r>
            <w:r w:rsidR="00833DCB" w:rsidRPr="00F77964">
              <w:rPr>
                <w:rFonts w:eastAsia="SimSun"/>
                <w:sz w:val="18"/>
                <w:szCs w:val="18"/>
                <w:lang w:eastAsia="zh-CN"/>
              </w:rPr>
              <w:t> dollars</w:t>
            </w:r>
            <w:r w:rsidR="00872096" w:rsidRPr="00F77964">
              <w:rPr>
                <w:rFonts w:eastAsia="SimSun"/>
                <w:sz w:val="18"/>
                <w:szCs w:val="18"/>
                <w:lang w:eastAsia="zh-CN"/>
              </w:rPr>
              <w:t>)</w:t>
            </w:r>
          </w:p>
        </w:tc>
        <w:tc>
          <w:tcPr>
            <w:tcW w:w="992" w:type="dxa"/>
            <w:tcBorders>
              <w:top w:val="single" w:sz="4" w:space="0" w:color="auto"/>
              <w:left w:val="single" w:sz="4" w:space="0" w:color="auto"/>
              <w:bottom w:val="single" w:sz="4" w:space="0" w:color="auto"/>
              <w:right w:val="single" w:sz="4" w:space="0" w:color="auto"/>
            </w:tcBorders>
            <w:hideMark/>
          </w:tcPr>
          <w:p w:rsidR="00872096" w:rsidRPr="00F77964" w:rsidRDefault="00872096" w:rsidP="0069286E">
            <w:pPr>
              <w:pStyle w:val="Normal-pool"/>
              <w:keepNext/>
              <w:keepLines/>
              <w:spacing w:before="40" w:after="40"/>
              <w:rPr>
                <w:rFonts w:eastAsia="SimSun"/>
                <w:sz w:val="18"/>
                <w:szCs w:val="18"/>
                <w:lang w:eastAsia="zh-CN"/>
              </w:rPr>
            </w:pPr>
            <w:r w:rsidRPr="00F77964">
              <w:rPr>
                <w:rFonts w:eastAsia="SimSun"/>
                <w:sz w:val="18"/>
                <w:szCs w:val="18"/>
                <w:lang w:eastAsia="zh-CN"/>
              </w:rPr>
              <w:t>37</w:t>
            </w:r>
            <w:r w:rsidR="00833DCB" w:rsidRPr="00F77964">
              <w:rPr>
                <w:rFonts w:eastAsia="SimSun"/>
                <w:sz w:val="18"/>
                <w:szCs w:val="18"/>
                <w:lang w:eastAsia="zh-CN"/>
              </w:rPr>
              <w:t> </w:t>
            </w:r>
            <w:r w:rsidRPr="00F77964">
              <w:rPr>
                <w:rFonts w:eastAsia="SimSun"/>
                <w:sz w:val="18"/>
                <w:szCs w:val="18"/>
                <w:lang w:eastAsia="zh-CN"/>
              </w:rPr>
              <w:t>500</w:t>
            </w:r>
          </w:p>
        </w:tc>
      </w:tr>
      <w:tr w:rsidR="00872096" w:rsidRPr="0061490E" w:rsidTr="0069286E">
        <w:trPr>
          <w:trHeight w:val="523"/>
        </w:trPr>
        <w:tc>
          <w:tcPr>
            <w:tcW w:w="0" w:type="auto"/>
            <w:vMerge/>
            <w:tcBorders>
              <w:top w:val="single" w:sz="4" w:space="0" w:color="auto"/>
              <w:left w:val="single" w:sz="4" w:space="0" w:color="auto"/>
              <w:bottom w:val="single" w:sz="4" w:space="0" w:color="auto"/>
              <w:right w:val="single" w:sz="4" w:space="0" w:color="auto"/>
            </w:tcBorders>
            <w:hideMark/>
          </w:tcPr>
          <w:p w:rsidR="00872096" w:rsidRPr="0061490E" w:rsidRDefault="00872096" w:rsidP="0069286E">
            <w:pPr>
              <w:rPr>
                <w:rFonts w:eastAsia="SimSun"/>
                <w:sz w:val="18"/>
                <w:szCs w:val="18"/>
                <w:lang w:eastAsia="zh-CN"/>
              </w:rPr>
            </w:pPr>
          </w:p>
        </w:tc>
        <w:tc>
          <w:tcPr>
            <w:tcW w:w="3282" w:type="dxa"/>
            <w:tcBorders>
              <w:top w:val="single" w:sz="4" w:space="0" w:color="auto"/>
              <w:left w:val="single" w:sz="4" w:space="0" w:color="auto"/>
              <w:bottom w:val="single" w:sz="4" w:space="0" w:color="auto"/>
              <w:right w:val="single" w:sz="4" w:space="0" w:color="auto"/>
            </w:tcBorders>
          </w:tcPr>
          <w:p w:rsidR="00872096" w:rsidRPr="00F77964" w:rsidRDefault="00EA0F6F" w:rsidP="0069286E">
            <w:pPr>
              <w:pStyle w:val="Normal-pool"/>
              <w:spacing w:before="40" w:after="40"/>
              <w:rPr>
                <w:rFonts w:eastAsia="SimSun"/>
                <w:sz w:val="18"/>
                <w:szCs w:val="18"/>
                <w:lang w:eastAsia="zh-CN"/>
              </w:rPr>
            </w:pPr>
            <w:r w:rsidRPr="00F77964">
              <w:rPr>
                <w:rFonts w:eastAsia="SimSun"/>
                <w:sz w:val="18"/>
                <w:szCs w:val="18"/>
                <w:lang w:eastAsia="zh-CN"/>
              </w:rPr>
              <w:t>Appui technique</w:t>
            </w:r>
          </w:p>
          <w:p w:rsidR="00872096" w:rsidRPr="00F77964" w:rsidRDefault="00872096" w:rsidP="0069286E">
            <w:pPr>
              <w:pStyle w:val="Normal-pool"/>
              <w:spacing w:before="40" w:after="40"/>
              <w:rPr>
                <w:rFonts w:eastAsia="SimSun"/>
                <w:sz w:val="18"/>
                <w:szCs w:val="18"/>
                <w:lang w:eastAsia="zh-CN"/>
              </w:rPr>
            </w:pPr>
          </w:p>
        </w:tc>
        <w:tc>
          <w:tcPr>
            <w:tcW w:w="3828" w:type="dxa"/>
            <w:tcBorders>
              <w:top w:val="single" w:sz="4" w:space="0" w:color="auto"/>
              <w:left w:val="single" w:sz="4" w:space="0" w:color="auto"/>
              <w:bottom w:val="single" w:sz="4" w:space="0" w:color="auto"/>
              <w:right w:val="single" w:sz="4" w:space="0" w:color="auto"/>
            </w:tcBorders>
            <w:hideMark/>
          </w:tcPr>
          <w:p w:rsidR="00872096" w:rsidRPr="00F77964" w:rsidRDefault="00EA0F6F" w:rsidP="0069286E">
            <w:pPr>
              <w:pStyle w:val="Normal-pool"/>
              <w:spacing w:before="40" w:after="40"/>
              <w:rPr>
                <w:rFonts w:eastAsia="SimSun"/>
                <w:sz w:val="18"/>
                <w:szCs w:val="18"/>
                <w:lang w:eastAsia="zh-CN"/>
              </w:rPr>
            </w:pPr>
            <w:r w:rsidRPr="00F77964">
              <w:rPr>
                <w:rFonts w:eastAsia="SimSun"/>
                <w:sz w:val="18"/>
                <w:szCs w:val="18"/>
                <w:lang w:eastAsia="zh-CN"/>
              </w:rPr>
              <w:t>1</w:t>
            </w:r>
            <w:r w:rsidR="00833DCB" w:rsidRPr="00F77964">
              <w:rPr>
                <w:rFonts w:eastAsia="SimSun"/>
                <w:sz w:val="18"/>
                <w:szCs w:val="18"/>
                <w:lang w:eastAsia="zh-CN"/>
              </w:rPr>
              <w:t>,</w:t>
            </w:r>
            <w:r w:rsidRPr="00F77964">
              <w:rPr>
                <w:rFonts w:eastAsia="SimSun"/>
                <w:sz w:val="18"/>
                <w:szCs w:val="18"/>
                <w:lang w:eastAsia="zh-CN"/>
              </w:rPr>
              <w:t>5 poste d’administrateur équivalent plein temps</w:t>
            </w:r>
            <w:r w:rsidR="00872096" w:rsidRPr="00F77964">
              <w:rPr>
                <w:rFonts w:eastAsia="SimSun"/>
                <w:sz w:val="18"/>
                <w:szCs w:val="18"/>
                <w:lang w:eastAsia="zh-CN"/>
              </w:rPr>
              <w:t xml:space="preserve"> (50 </w:t>
            </w:r>
            <w:r w:rsidRPr="00F77964">
              <w:rPr>
                <w:rFonts w:eastAsia="SimSun"/>
                <w:sz w:val="18"/>
                <w:szCs w:val="18"/>
                <w:lang w:eastAsia="zh-CN"/>
              </w:rPr>
              <w:t>% en nature</w:t>
            </w:r>
            <w:r w:rsidR="00872096" w:rsidRPr="00F77964">
              <w:rPr>
                <w:rFonts w:eastAsia="SimSun"/>
                <w:sz w:val="18"/>
                <w:szCs w:val="18"/>
                <w:lang w:eastAsia="zh-CN"/>
              </w:rPr>
              <w:t>)</w:t>
            </w:r>
          </w:p>
        </w:tc>
        <w:tc>
          <w:tcPr>
            <w:tcW w:w="992" w:type="dxa"/>
            <w:tcBorders>
              <w:top w:val="single" w:sz="4" w:space="0" w:color="auto"/>
              <w:left w:val="single" w:sz="4" w:space="0" w:color="auto"/>
              <w:bottom w:val="single" w:sz="4" w:space="0" w:color="auto"/>
              <w:right w:val="single" w:sz="4" w:space="0" w:color="auto"/>
            </w:tcBorders>
            <w:hideMark/>
          </w:tcPr>
          <w:p w:rsidR="00872096" w:rsidRPr="00F77964" w:rsidRDefault="00872096" w:rsidP="0069286E">
            <w:pPr>
              <w:pStyle w:val="Normal-pool"/>
              <w:spacing w:before="40" w:after="40"/>
              <w:rPr>
                <w:rFonts w:eastAsia="SimSun"/>
                <w:sz w:val="18"/>
                <w:szCs w:val="18"/>
                <w:lang w:eastAsia="zh-CN"/>
              </w:rPr>
            </w:pPr>
            <w:r w:rsidRPr="00F77964">
              <w:rPr>
                <w:rFonts w:eastAsia="SimSun"/>
                <w:sz w:val="18"/>
                <w:szCs w:val="18"/>
                <w:lang w:eastAsia="zh-CN"/>
              </w:rPr>
              <w:t>112</w:t>
            </w:r>
            <w:r w:rsidR="00833DCB" w:rsidRPr="00F77964">
              <w:rPr>
                <w:rFonts w:eastAsia="SimSun"/>
                <w:sz w:val="18"/>
                <w:szCs w:val="18"/>
                <w:lang w:eastAsia="zh-CN"/>
              </w:rPr>
              <w:t> </w:t>
            </w:r>
            <w:r w:rsidRPr="00F77964">
              <w:rPr>
                <w:rFonts w:eastAsia="SimSun"/>
                <w:sz w:val="18"/>
                <w:szCs w:val="18"/>
                <w:lang w:eastAsia="zh-CN"/>
              </w:rPr>
              <w:t>500</w:t>
            </w:r>
          </w:p>
        </w:tc>
      </w:tr>
      <w:tr w:rsidR="00872096" w:rsidRPr="0061490E" w:rsidTr="0069286E">
        <w:trPr>
          <w:trHeight w:val="169"/>
        </w:trPr>
        <w:tc>
          <w:tcPr>
            <w:tcW w:w="681" w:type="dxa"/>
            <w:vMerge w:val="restart"/>
            <w:tcBorders>
              <w:top w:val="single" w:sz="4" w:space="0" w:color="auto"/>
              <w:left w:val="single" w:sz="4" w:space="0" w:color="auto"/>
              <w:bottom w:val="single" w:sz="4" w:space="0" w:color="auto"/>
              <w:right w:val="single" w:sz="4" w:space="0" w:color="auto"/>
            </w:tcBorders>
            <w:hideMark/>
          </w:tcPr>
          <w:p w:rsidR="00872096" w:rsidRPr="00F77964" w:rsidRDefault="00872096" w:rsidP="0069286E">
            <w:pPr>
              <w:pStyle w:val="Normal-pool"/>
              <w:spacing w:before="40" w:after="40"/>
              <w:rPr>
                <w:rFonts w:eastAsia="SimSun"/>
                <w:sz w:val="18"/>
                <w:szCs w:val="18"/>
                <w:lang w:eastAsia="zh-CN"/>
              </w:rPr>
            </w:pPr>
            <w:r w:rsidRPr="00F77964">
              <w:rPr>
                <w:rFonts w:eastAsia="SimSun"/>
                <w:sz w:val="18"/>
                <w:szCs w:val="18"/>
                <w:lang w:eastAsia="zh-CN"/>
              </w:rPr>
              <w:t>2015</w:t>
            </w:r>
          </w:p>
        </w:tc>
        <w:tc>
          <w:tcPr>
            <w:tcW w:w="3282" w:type="dxa"/>
            <w:vMerge w:val="restart"/>
            <w:tcBorders>
              <w:top w:val="single" w:sz="4" w:space="0" w:color="auto"/>
              <w:left w:val="single" w:sz="4" w:space="0" w:color="auto"/>
              <w:bottom w:val="single" w:sz="4" w:space="0" w:color="auto"/>
              <w:right w:val="single" w:sz="4" w:space="0" w:color="auto"/>
            </w:tcBorders>
            <w:hideMark/>
          </w:tcPr>
          <w:p w:rsidR="00872096" w:rsidRPr="00F77964" w:rsidRDefault="00EA0F6F" w:rsidP="0069286E">
            <w:pPr>
              <w:pStyle w:val="Normal-pool"/>
              <w:spacing w:before="40" w:after="40"/>
              <w:rPr>
                <w:rFonts w:eastAsia="SimSun"/>
                <w:sz w:val="18"/>
                <w:szCs w:val="18"/>
                <w:lang w:eastAsia="zh-CN"/>
              </w:rPr>
            </w:pPr>
            <w:r w:rsidRPr="00F77964">
              <w:rPr>
                <w:rFonts w:eastAsia="SimSun"/>
                <w:sz w:val="18"/>
                <w:szCs w:val="18"/>
                <w:lang w:eastAsia="zh-CN"/>
              </w:rPr>
              <w:t xml:space="preserve">Réunion du </w:t>
            </w:r>
            <w:r w:rsidR="00833DCB" w:rsidRPr="00F77964">
              <w:rPr>
                <w:rFonts w:eastAsia="SimSun"/>
                <w:sz w:val="18"/>
                <w:szCs w:val="18"/>
                <w:lang w:eastAsia="zh-CN"/>
              </w:rPr>
              <w:t>g</w:t>
            </w:r>
            <w:r w:rsidRPr="00F77964">
              <w:rPr>
                <w:rFonts w:eastAsia="SimSun"/>
                <w:sz w:val="18"/>
                <w:szCs w:val="18"/>
                <w:lang w:eastAsia="zh-CN"/>
              </w:rPr>
              <w:t>roupe d’experts (5 membres du Groupe d’experts multidisciplinaire et du Bureau</w:t>
            </w:r>
            <w:r w:rsidR="00C673C7">
              <w:rPr>
                <w:rFonts w:eastAsia="SimSun"/>
                <w:sz w:val="18"/>
                <w:szCs w:val="18"/>
                <w:lang w:eastAsia="zh-CN"/>
              </w:rPr>
              <w:t xml:space="preserve"> + </w:t>
            </w:r>
            <w:r w:rsidRPr="00F77964">
              <w:rPr>
                <w:rFonts w:eastAsia="SimSun"/>
                <w:sz w:val="18"/>
                <w:szCs w:val="18"/>
                <w:lang w:eastAsia="zh-CN"/>
              </w:rPr>
              <w:t>10 experts (2</w:t>
            </w:r>
            <w:r w:rsidR="00D972E8">
              <w:rPr>
                <w:rFonts w:eastAsia="SimSun"/>
                <w:sz w:val="18"/>
                <w:szCs w:val="18"/>
                <w:lang w:eastAsia="zh-CN"/>
              </w:rPr>
              <w:t xml:space="preserve"> </w:t>
            </w:r>
            <w:r w:rsidRPr="00F77964">
              <w:rPr>
                <w:rFonts w:eastAsia="SimSun"/>
                <w:sz w:val="18"/>
                <w:szCs w:val="18"/>
                <w:lang w:eastAsia="zh-CN"/>
              </w:rPr>
              <w:t>par région</w:t>
            </w:r>
            <w:r w:rsidR="00872096" w:rsidRPr="00F77964">
              <w:rPr>
                <w:rFonts w:eastAsia="SimSun"/>
                <w:sz w:val="18"/>
                <w:szCs w:val="18"/>
                <w:lang w:eastAsia="zh-CN"/>
              </w:rPr>
              <w:t>))</w:t>
            </w:r>
          </w:p>
        </w:tc>
        <w:tc>
          <w:tcPr>
            <w:tcW w:w="3828" w:type="dxa"/>
            <w:tcBorders>
              <w:top w:val="single" w:sz="4" w:space="0" w:color="auto"/>
              <w:left w:val="single" w:sz="4" w:space="0" w:color="auto"/>
              <w:bottom w:val="single" w:sz="4" w:space="0" w:color="auto"/>
              <w:right w:val="single" w:sz="4" w:space="0" w:color="auto"/>
            </w:tcBorders>
            <w:hideMark/>
          </w:tcPr>
          <w:p w:rsidR="00872096" w:rsidRPr="00F77964" w:rsidRDefault="00EA0F6F" w:rsidP="0069286E">
            <w:pPr>
              <w:pStyle w:val="Normal-pool"/>
              <w:spacing w:before="40" w:after="40"/>
              <w:rPr>
                <w:rFonts w:eastAsia="SimSun"/>
                <w:sz w:val="18"/>
                <w:szCs w:val="18"/>
                <w:lang w:eastAsia="zh-CN"/>
              </w:rPr>
            </w:pPr>
            <w:r w:rsidRPr="00F77964">
              <w:rPr>
                <w:rFonts w:eastAsia="SimSun"/>
                <w:sz w:val="18"/>
                <w:szCs w:val="18"/>
                <w:lang w:eastAsia="zh-CN"/>
              </w:rPr>
              <w:t>Coûts de la réunion</w:t>
            </w:r>
            <w:r w:rsidR="00872096" w:rsidRPr="00F77964">
              <w:rPr>
                <w:rFonts w:eastAsia="SimSun"/>
                <w:sz w:val="18"/>
                <w:szCs w:val="18"/>
                <w:lang w:eastAsia="zh-CN"/>
              </w:rPr>
              <w:t xml:space="preserve"> (1</w:t>
            </w:r>
            <w:r w:rsidRPr="00F77964">
              <w:rPr>
                <w:rFonts w:eastAsia="SimSun"/>
                <w:sz w:val="18"/>
                <w:szCs w:val="18"/>
                <w:lang w:eastAsia="zh-CN"/>
              </w:rPr>
              <w:t> réunion de 3 jours</w:t>
            </w:r>
            <w:r w:rsidR="00872096" w:rsidRPr="00F77964">
              <w:rPr>
                <w:rFonts w:eastAsia="SimSun"/>
                <w:sz w:val="18"/>
                <w:szCs w:val="18"/>
                <w:lang w:eastAsia="zh-CN"/>
              </w:rPr>
              <w:t xml:space="preserve"> x</w:t>
            </w:r>
            <w:r w:rsidRPr="00F77964">
              <w:rPr>
                <w:rFonts w:eastAsia="SimSun"/>
                <w:sz w:val="18"/>
                <w:szCs w:val="18"/>
                <w:lang w:eastAsia="zh-CN"/>
              </w:rPr>
              <w:t> </w:t>
            </w:r>
            <w:r w:rsidR="00872096" w:rsidRPr="00F77964">
              <w:rPr>
                <w:rFonts w:eastAsia="SimSun"/>
                <w:sz w:val="18"/>
                <w:szCs w:val="18"/>
                <w:lang w:eastAsia="zh-CN"/>
              </w:rPr>
              <w:t>15 participants) (25</w:t>
            </w:r>
            <w:r w:rsidRPr="00F77964">
              <w:rPr>
                <w:rFonts w:eastAsia="SimSun"/>
                <w:sz w:val="18"/>
                <w:szCs w:val="18"/>
                <w:lang w:eastAsia="zh-CN"/>
              </w:rPr>
              <w:t> % en nature</w:t>
            </w:r>
            <w:r w:rsidR="00872096" w:rsidRPr="00F77964">
              <w:rPr>
                <w:rFonts w:eastAsia="SimSun"/>
                <w:sz w:val="18"/>
                <w:szCs w:val="18"/>
                <w:lang w:eastAsia="zh-CN"/>
              </w:rPr>
              <w:t>)</w:t>
            </w:r>
          </w:p>
        </w:tc>
        <w:tc>
          <w:tcPr>
            <w:tcW w:w="992" w:type="dxa"/>
            <w:tcBorders>
              <w:top w:val="single" w:sz="4" w:space="0" w:color="auto"/>
              <w:left w:val="single" w:sz="4" w:space="0" w:color="auto"/>
              <w:bottom w:val="single" w:sz="4" w:space="0" w:color="auto"/>
              <w:right w:val="single" w:sz="4" w:space="0" w:color="auto"/>
            </w:tcBorders>
            <w:hideMark/>
          </w:tcPr>
          <w:p w:rsidR="00872096" w:rsidRPr="00F77964" w:rsidRDefault="00872096" w:rsidP="0069286E">
            <w:pPr>
              <w:pStyle w:val="Normal-pool"/>
              <w:spacing w:before="40" w:after="40"/>
              <w:rPr>
                <w:rFonts w:eastAsia="SimSun"/>
                <w:sz w:val="18"/>
                <w:szCs w:val="18"/>
                <w:lang w:eastAsia="zh-CN"/>
              </w:rPr>
            </w:pPr>
            <w:r w:rsidRPr="00F77964">
              <w:rPr>
                <w:rFonts w:eastAsia="SimSun"/>
                <w:sz w:val="18"/>
                <w:szCs w:val="18"/>
                <w:lang w:eastAsia="zh-CN"/>
              </w:rPr>
              <w:t>4</w:t>
            </w:r>
            <w:r w:rsidR="00833DCB" w:rsidRPr="00F77964">
              <w:rPr>
                <w:rFonts w:eastAsia="SimSun"/>
                <w:sz w:val="18"/>
                <w:szCs w:val="18"/>
                <w:lang w:eastAsia="zh-CN"/>
              </w:rPr>
              <w:t> </w:t>
            </w:r>
            <w:r w:rsidRPr="00F77964">
              <w:rPr>
                <w:rFonts w:eastAsia="SimSun"/>
                <w:sz w:val="18"/>
                <w:szCs w:val="18"/>
                <w:lang w:eastAsia="zh-CN"/>
              </w:rPr>
              <w:t>500</w:t>
            </w:r>
          </w:p>
        </w:tc>
      </w:tr>
      <w:tr w:rsidR="00872096" w:rsidRPr="0061490E" w:rsidTr="0069286E">
        <w:trPr>
          <w:trHeight w:val="169"/>
        </w:trPr>
        <w:tc>
          <w:tcPr>
            <w:tcW w:w="0" w:type="auto"/>
            <w:vMerge/>
            <w:tcBorders>
              <w:top w:val="single" w:sz="4" w:space="0" w:color="auto"/>
              <w:left w:val="single" w:sz="4" w:space="0" w:color="auto"/>
              <w:bottom w:val="single" w:sz="4" w:space="0" w:color="auto"/>
              <w:right w:val="single" w:sz="4" w:space="0" w:color="auto"/>
            </w:tcBorders>
            <w:hideMark/>
          </w:tcPr>
          <w:p w:rsidR="00872096" w:rsidRPr="0061490E" w:rsidRDefault="00872096" w:rsidP="0069286E">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872096" w:rsidRPr="0061490E" w:rsidRDefault="00872096" w:rsidP="0069286E">
            <w:pPr>
              <w:rPr>
                <w:rFonts w:eastAsia="SimSun"/>
                <w:sz w:val="18"/>
                <w:szCs w:val="18"/>
                <w:lang w:eastAsia="zh-CN"/>
              </w:rPr>
            </w:pPr>
          </w:p>
        </w:tc>
        <w:tc>
          <w:tcPr>
            <w:tcW w:w="3828" w:type="dxa"/>
            <w:tcBorders>
              <w:top w:val="single" w:sz="4" w:space="0" w:color="auto"/>
              <w:left w:val="single" w:sz="4" w:space="0" w:color="auto"/>
              <w:bottom w:val="single" w:sz="4" w:space="0" w:color="auto"/>
              <w:right w:val="single" w:sz="4" w:space="0" w:color="auto"/>
            </w:tcBorders>
            <w:hideMark/>
          </w:tcPr>
          <w:p w:rsidR="00872096" w:rsidRPr="00F77964" w:rsidRDefault="00EA0F6F" w:rsidP="0069286E">
            <w:pPr>
              <w:pStyle w:val="Normal-pool"/>
              <w:spacing w:before="40" w:after="40"/>
              <w:rPr>
                <w:rFonts w:eastAsia="SimSun"/>
                <w:sz w:val="18"/>
                <w:szCs w:val="18"/>
                <w:lang w:eastAsia="zh-CN"/>
              </w:rPr>
            </w:pPr>
            <w:r w:rsidRPr="00F77964">
              <w:rPr>
                <w:rFonts w:eastAsia="SimSun"/>
                <w:sz w:val="18"/>
                <w:szCs w:val="18"/>
                <w:lang w:eastAsia="zh-CN"/>
              </w:rPr>
              <w:t>Voyage et indemnité de subsistance</w:t>
            </w:r>
            <w:r w:rsidR="00872096" w:rsidRPr="00F77964">
              <w:rPr>
                <w:rFonts w:eastAsia="SimSun"/>
                <w:sz w:val="18"/>
                <w:szCs w:val="18"/>
                <w:lang w:eastAsia="zh-CN"/>
              </w:rPr>
              <w:t xml:space="preserve"> (12 x </w:t>
            </w:r>
            <w:r w:rsidRPr="00F77964">
              <w:rPr>
                <w:rFonts w:eastAsia="SimSun"/>
                <w:sz w:val="18"/>
                <w:szCs w:val="18"/>
                <w:lang w:eastAsia="zh-CN"/>
              </w:rPr>
              <w:t>3 000 </w:t>
            </w:r>
            <w:r w:rsidR="00833DCB" w:rsidRPr="00F77964">
              <w:rPr>
                <w:rFonts w:eastAsia="SimSun"/>
                <w:sz w:val="18"/>
                <w:szCs w:val="18"/>
                <w:lang w:eastAsia="zh-CN"/>
              </w:rPr>
              <w:t>dollars</w:t>
            </w:r>
            <w:r w:rsidR="00872096" w:rsidRPr="00F77964">
              <w:rPr>
                <w:rFonts w:eastAsia="SimSun"/>
                <w:sz w:val="18"/>
                <w:szCs w:val="18"/>
                <w:lang w:eastAsia="zh-CN"/>
              </w:rPr>
              <w:t>)</w:t>
            </w:r>
          </w:p>
        </w:tc>
        <w:tc>
          <w:tcPr>
            <w:tcW w:w="992" w:type="dxa"/>
            <w:tcBorders>
              <w:top w:val="single" w:sz="4" w:space="0" w:color="auto"/>
              <w:left w:val="single" w:sz="4" w:space="0" w:color="auto"/>
              <w:bottom w:val="single" w:sz="4" w:space="0" w:color="auto"/>
              <w:right w:val="single" w:sz="4" w:space="0" w:color="auto"/>
            </w:tcBorders>
            <w:hideMark/>
          </w:tcPr>
          <w:p w:rsidR="00872096" w:rsidRPr="00F77964" w:rsidRDefault="00872096" w:rsidP="0069286E">
            <w:pPr>
              <w:pStyle w:val="Normal-pool"/>
              <w:spacing w:before="40" w:after="40"/>
              <w:rPr>
                <w:rFonts w:eastAsia="SimSun"/>
                <w:sz w:val="18"/>
                <w:szCs w:val="18"/>
                <w:lang w:eastAsia="zh-CN"/>
              </w:rPr>
            </w:pPr>
            <w:r w:rsidRPr="00F77964">
              <w:rPr>
                <w:rFonts w:eastAsia="SimSun"/>
                <w:sz w:val="18"/>
                <w:szCs w:val="18"/>
                <w:lang w:eastAsia="zh-CN"/>
              </w:rPr>
              <w:t>36</w:t>
            </w:r>
            <w:r w:rsidR="00833DCB" w:rsidRPr="00F77964">
              <w:rPr>
                <w:rFonts w:eastAsia="SimSun"/>
                <w:sz w:val="18"/>
                <w:szCs w:val="18"/>
                <w:lang w:eastAsia="zh-CN"/>
              </w:rPr>
              <w:t> </w:t>
            </w:r>
            <w:r w:rsidRPr="00F77964">
              <w:rPr>
                <w:rFonts w:eastAsia="SimSun"/>
                <w:sz w:val="18"/>
                <w:szCs w:val="18"/>
                <w:lang w:eastAsia="zh-CN"/>
              </w:rPr>
              <w:t>000</w:t>
            </w:r>
          </w:p>
        </w:tc>
      </w:tr>
      <w:tr w:rsidR="00872096" w:rsidRPr="0061490E" w:rsidTr="000B13A8">
        <w:trPr>
          <w:trHeight w:val="790"/>
        </w:trPr>
        <w:tc>
          <w:tcPr>
            <w:tcW w:w="0" w:type="auto"/>
            <w:vMerge/>
            <w:tcBorders>
              <w:top w:val="single" w:sz="4" w:space="0" w:color="auto"/>
              <w:left w:val="single" w:sz="4" w:space="0" w:color="auto"/>
              <w:bottom w:val="single" w:sz="4" w:space="0" w:color="auto"/>
              <w:right w:val="single" w:sz="4" w:space="0" w:color="auto"/>
            </w:tcBorders>
            <w:hideMark/>
          </w:tcPr>
          <w:p w:rsidR="00872096" w:rsidRPr="0061490E" w:rsidRDefault="00872096" w:rsidP="000B13A8">
            <w:pPr>
              <w:rPr>
                <w:rFonts w:eastAsia="SimSun"/>
                <w:sz w:val="18"/>
                <w:szCs w:val="18"/>
                <w:lang w:eastAsia="zh-CN"/>
              </w:rPr>
            </w:pPr>
          </w:p>
        </w:tc>
        <w:tc>
          <w:tcPr>
            <w:tcW w:w="3282" w:type="dxa"/>
            <w:vMerge w:val="restart"/>
            <w:tcBorders>
              <w:top w:val="single" w:sz="4" w:space="0" w:color="auto"/>
              <w:left w:val="single" w:sz="4" w:space="0" w:color="auto"/>
              <w:bottom w:val="single" w:sz="4" w:space="0" w:color="auto"/>
              <w:right w:val="single" w:sz="4" w:space="0" w:color="auto"/>
            </w:tcBorders>
            <w:hideMark/>
          </w:tcPr>
          <w:p w:rsidR="00872096" w:rsidRPr="00F77964" w:rsidRDefault="00872096" w:rsidP="000B13A8">
            <w:pPr>
              <w:pStyle w:val="Normal-pool"/>
              <w:spacing w:before="40" w:after="40"/>
              <w:rPr>
                <w:rFonts w:eastAsia="SimSun"/>
                <w:sz w:val="18"/>
                <w:szCs w:val="18"/>
                <w:lang w:eastAsia="zh-CN"/>
              </w:rPr>
            </w:pPr>
            <w:r w:rsidRPr="00F77964">
              <w:rPr>
                <w:rFonts w:eastAsia="SimSun"/>
                <w:sz w:val="18"/>
                <w:szCs w:val="18"/>
                <w:lang w:eastAsia="zh-CN"/>
              </w:rPr>
              <w:t>5</w:t>
            </w:r>
            <w:r w:rsidR="00EA0F6F" w:rsidRPr="00F77964">
              <w:rPr>
                <w:rFonts w:eastAsia="SimSun"/>
                <w:sz w:val="18"/>
                <w:szCs w:val="18"/>
                <w:lang w:eastAsia="zh-CN"/>
              </w:rPr>
              <w:t> réunions régionales de suivi des études de cas pour examiner le projet de procédures et d’approches</w:t>
            </w:r>
          </w:p>
        </w:tc>
        <w:tc>
          <w:tcPr>
            <w:tcW w:w="3828" w:type="dxa"/>
            <w:tcBorders>
              <w:top w:val="single" w:sz="4" w:space="0" w:color="auto"/>
              <w:left w:val="single" w:sz="4" w:space="0" w:color="auto"/>
              <w:bottom w:val="single" w:sz="4" w:space="0" w:color="auto"/>
              <w:right w:val="single" w:sz="4" w:space="0" w:color="auto"/>
            </w:tcBorders>
            <w:hideMark/>
          </w:tcPr>
          <w:p w:rsidR="00872096" w:rsidRPr="00F77964" w:rsidRDefault="00EA0F6F" w:rsidP="000B13A8">
            <w:pPr>
              <w:pStyle w:val="Normal-pool"/>
              <w:spacing w:before="40" w:after="40"/>
              <w:rPr>
                <w:rFonts w:eastAsia="SimSun"/>
                <w:sz w:val="18"/>
                <w:szCs w:val="18"/>
                <w:lang w:eastAsia="zh-CN"/>
              </w:rPr>
            </w:pPr>
            <w:r w:rsidRPr="00F77964">
              <w:rPr>
                <w:rFonts w:eastAsia="SimSun"/>
                <w:sz w:val="18"/>
                <w:szCs w:val="18"/>
                <w:lang w:eastAsia="zh-CN"/>
              </w:rPr>
              <w:t>Coûts des réunions</w:t>
            </w:r>
            <w:r w:rsidR="00872096" w:rsidRPr="00F77964">
              <w:rPr>
                <w:rFonts w:eastAsia="SimSun"/>
                <w:sz w:val="18"/>
                <w:szCs w:val="18"/>
                <w:lang w:eastAsia="zh-CN"/>
              </w:rPr>
              <w:t xml:space="preserve"> (5</w:t>
            </w:r>
            <w:r w:rsidRPr="00F77964">
              <w:rPr>
                <w:rFonts w:eastAsia="SimSun"/>
                <w:sz w:val="18"/>
                <w:szCs w:val="18"/>
                <w:lang w:eastAsia="zh-CN"/>
              </w:rPr>
              <w:t> réunions, 2 jours par réunion</w:t>
            </w:r>
            <w:r w:rsidR="00872096" w:rsidRPr="00F77964">
              <w:rPr>
                <w:rFonts w:eastAsia="SimSun"/>
                <w:sz w:val="18"/>
                <w:szCs w:val="18"/>
                <w:lang w:eastAsia="zh-CN"/>
              </w:rPr>
              <w:t xml:space="preserve"> x 5</w:t>
            </w:r>
            <w:r w:rsidRPr="00F77964">
              <w:rPr>
                <w:rFonts w:eastAsia="SimSun"/>
                <w:sz w:val="18"/>
                <w:szCs w:val="18"/>
                <w:lang w:eastAsia="zh-CN"/>
              </w:rPr>
              <w:t> </w:t>
            </w:r>
            <w:r w:rsidR="00872096" w:rsidRPr="00F77964">
              <w:rPr>
                <w:rFonts w:eastAsia="SimSun"/>
                <w:sz w:val="18"/>
                <w:szCs w:val="18"/>
                <w:lang w:eastAsia="zh-CN"/>
              </w:rPr>
              <w:t>000</w:t>
            </w:r>
            <w:r w:rsidRPr="00F77964">
              <w:rPr>
                <w:rFonts w:eastAsia="SimSun"/>
                <w:sz w:val="18"/>
                <w:szCs w:val="18"/>
                <w:lang w:eastAsia="zh-CN"/>
              </w:rPr>
              <w:t> </w:t>
            </w:r>
            <w:r w:rsidR="00833DCB" w:rsidRPr="00F77964">
              <w:rPr>
                <w:rFonts w:eastAsia="SimSun"/>
                <w:sz w:val="18"/>
                <w:szCs w:val="18"/>
                <w:lang w:eastAsia="zh-CN"/>
              </w:rPr>
              <w:t>dollars</w:t>
            </w:r>
            <w:r w:rsidRPr="00F77964">
              <w:rPr>
                <w:rFonts w:eastAsia="SimSun"/>
                <w:sz w:val="18"/>
                <w:szCs w:val="18"/>
                <w:lang w:eastAsia="zh-CN"/>
              </w:rPr>
              <w:t xml:space="preserve"> par réunion</w:t>
            </w:r>
            <w:r w:rsidR="00872096" w:rsidRPr="00F77964">
              <w:rPr>
                <w:rFonts w:eastAsia="SimSun"/>
                <w:sz w:val="18"/>
                <w:szCs w:val="18"/>
                <w:lang w:eastAsia="zh-CN"/>
              </w:rPr>
              <w:t>) (25</w:t>
            </w:r>
            <w:r w:rsidRPr="00F77964">
              <w:rPr>
                <w:rFonts w:eastAsia="SimSun"/>
                <w:sz w:val="18"/>
                <w:szCs w:val="18"/>
                <w:lang w:eastAsia="zh-CN"/>
              </w:rPr>
              <w:t> % en nature</w:t>
            </w:r>
            <w:r w:rsidR="00872096" w:rsidRPr="00F77964">
              <w:rPr>
                <w:rFonts w:eastAsia="SimSun"/>
                <w:sz w:val="18"/>
                <w:szCs w:val="18"/>
                <w:lang w:eastAsia="zh-CN"/>
              </w:rPr>
              <w:t>)</w:t>
            </w:r>
          </w:p>
        </w:tc>
        <w:tc>
          <w:tcPr>
            <w:tcW w:w="992" w:type="dxa"/>
            <w:tcBorders>
              <w:top w:val="single" w:sz="4" w:space="0" w:color="auto"/>
              <w:left w:val="single" w:sz="4" w:space="0" w:color="auto"/>
              <w:bottom w:val="single" w:sz="4" w:space="0" w:color="auto"/>
              <w:right w:val="single" w:sz="4" w:space="0" w:color="auto"/>
            </w:tcBorders>
            <w:hideMark/>
          </w:tcPr>
          <w:p w:rsidR="00872096" w:rsidRPr="00F77964" w:rsidRDefault="00872096" w:rsidP="000B13A8">
            <w:pPr>
              <w:pStyle w:val="Normal-pool"/>
              <w:spacing w:before="40" w:after="40"/>
              <w:rPr>
                <w:rFonts w:eastAsia="SimSun"/>
                <w:sz w:val="18"/>
                <w:szCs w:val="18"/>
                <w:lang w:eastAsia="zh-CN"/>
              </w:rPr>
            </w:pPr>
            <w:r w:rsidRPr="00F77964">
              <w:rPr>
                <w:rFonts w:eastAsia="SimSun"/>
                <w:sz w:val="18"/>
                <w:szCs w:val="18"/>
                <w:lang w:eastAsia="zh-CN"/>
              </w:rPr>
              <w:t>18</w:t>
            </w:r>
            <w:r w:rsidR="00833DCB" w:rsidRPr="00F77964">
              <w:rPr>
                <w:rFonts w:eastAsia="SimSun"/>
                <w:sz w:val="18"/>
                <w:szCs w:val="18"/>
                <w:lang w:eastAsia="zh-CN"/>
              </w:rPr>
              <w:t> </w:t>
            </w:r>
            <w:r w:rsidRPr="00F77964">
              <w:rPr>
                <w:rFonts w:eastAsia="SimSun"/>
                <w:sz w:val="18"/>
                <w:szCs w:val="18"/>
                <w:lang w:eastAsia="zh-CN"/>
              </w:rPr>
              <w:t>750</w:t>
            </w:r>
          </w:p>
        </w:tc>
      </w:tr>
      <w:tr w:rsidR="00872096" w:rsidRPr="0061490E" w:rsidTr="000B13A8">
        <w:trPr>
          <w:trHeight w:val="108"/>
        </w:trPr>
        <w:tc>
          <w:tcPr>
            <w:tcW w:w="0" w:type="auto"/>
            <w:vMerge/>
            <w:tcBorders>
              <w:top w:val="single" w:sz="4" w:space="0" w:color="auto"/>
              <w:left w:val="single" w:sz="4" w:space="0" w:color="auto"/>
              <w:bottom w:val="single" w:sz="4" w:space="0" w:color="auto"/>
              <w:right w:val="single" w:sz="4" w:space="0" w:color="auto"/>
            </w:tcBorders>
            <w:hideMark/>
          </w:tcPr>
          <w:p w:rsidR="00872096" w:rsidRPr="0061490E" w:rsidRDefault="00872096" w:rsidP="000B13A8">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872096" w:rsidRPr="0061490E" w:rsidRDefault="00872096" w:rsidP="000B13A8">
            <w:pPr>
              <w:rPr>
                <w:rFonts w:eastAsia="SimSun"/>
                <w:sz w:val="18"/>
                <w:szCs w:val="18"/>
                <w:lang w:eastAsia="zh-CN"/>
              </w:rPr>
            </w:pPr>
          </w:p>
        </w:tc>
        <w:tc>
          <w:tcPr>
            <w:tcW w:w="3828" w:type="dxa"/>
            <w:tcBorders>
              <w:top w:val="single" w:sz="4" w:space="0" w:color="auto"/>
              <w:left w:val="single" w:sz="4" w:space="0" w:color="auto"/>
              <w:bottom w:val="single" w:sz="4" w:space="0" w:color="auto"/>
              <w:right w:val="single" w:sz="4" w:space="0" w:color="auto"/>
            </w:tcBorders>
            <w:hideMark/>
          </w:tcPr>
          <w:p w:rsidR="00872096" w:rsidRPr="00F77964" w:rsidRDefault="00D972E8" w:rsidP="000B13A8">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00872096" w:rsidRPr="00F77964">
              <w:rPr>
                <w:rFonts w:eastAsia="SimSun"/>
                <w:sz w:val="18"/>
                <w:szCs w:val="18"/>
                <w:lang w:eastAsia="zh-CN"/>
              </w:rPr>
              <w:t xml:space="preserve"> (5</w:t>
            </w:r>
            <w:r w:rsidR="00EA0F6F" w:rsidRPr="00F77964">
              <w:rPr>
                <w:rFonts w:eastAsia="SimSun"/>
                <w:sz w:val="18"/>
                <w:szCs w:val="18"/>
                <w:lang w:eastAsia="zh-CN"/>
              </w:rPr>
              <w:t> réunions</w:t>
            </w:r>
            <w:r w:rsidR="00872096" w:rsidRPr="00F77964">
              <w:rPr>
                <w:rFonts w:eastAsia="SimSun"/>
                <w:sz w:val="18"/>
                <w:szCs w:val="18"/>
                <w:lang w:eastAsia="zh-CN"/>
              </w:rPr>
              <w:t xml:space="preserve"> x 5</w:t>
            </w:r>
            <w:r w:rsidR="00EA0F6F" w:rsidRPr="00F77964">
              <w:rPr>
                <w:rFonts w:eastAsia="SimSun"/>
                <w:sz w:val="18"/>
                <w:szCs w:val="18"/>
                <w:lang w:eastAsia="zh-CN"/>
              </w:rPr>
              <w:t> participants financés par réunion</w:t>
            </w:r>
            <w:r w:rsidR="00872096" w:rsidRPr="00F77964">
              <w:rPr>
                <w:rFonts w:eastAsia="SimSun"/>
                <w:sz w:val="18"/>
                <w:szCs w:val="18"/>
                <w:lang w:eastAsia="zh-CN"/>
              </w:rPr>
              <w:t xml:space="preserve"> x</w:t>
            </w:r>
            <w:r w:rsidR="00EA0F6F" w:rsidRPr="00F77964">
              <w:rPr>
                <w:rFonts w:eastAsia="SimSun"/>
                <w:sz w:val="18"/>
                <w:szCs w:val="18"/>
                <w:lang w:eastAsia="zh-CN"/>
              </w:rPr>
              <w:t xml:space="preserve"> 1 500 </w:t>
            </w:r>
            <w:r w:rsidR="00833DCB" w:rsidRPr="00F77964">
              <w:rPr>
                <w:rFonts w:eastAsia="SimSun"/>
                <w:sz w:val="18"/>
                <w:szCs w:val="18"/>
                <w:lang w:eastAsia="zh-CN"/>
              </w:rPr>
              <w:t>dollars)</w:t>
            </w:r>
            <w:r w:rsidR="00872096" w:rsidRPr="00F77964">
              <w:rPr>
                <w:rFonts w:eastAsia="SimSun"/>
                <w:sz w:val="18"/>
                <w:szCs w:val="18"/>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872096" w:rsidRPr="00F77964" w:rsidRDefault="00872096" w:rsidP="000B13A8">
            <w:pPr>
              <w:pStyle w:val="Normal-pool"/>
              <w:spacing w:before="40" w:after="40"/>
              <w:rPr>
                <w:rFonts w:eastAsia="SimSun"/>
                <w:sz w:val="18"/>
                <w:szCs w:val="18"/>
                <w:lang w:eastAsia="zh-CN"/>
              </w:rPr>
            </w:pPr>
            <w:r w:rsidRPr="00F77964">
              <w:rPr>
                <w:rFonts w:eastAsia="SimSun"/>
                <w:sz w:val="18"/>
                <w:szCs w:val="18"/>
                <w:lang w:eastAsia="zh-CN"/>
              </w:rPr>
              <w:t>37</w:t>
            </w:r>
            <w:r w:rsidR="00833DCB" w:rsidRPr="00F77964">
              <w:rPr>
                <w:rFonts w:eastAsia="SimSun"/>
                <w:sz w:val="18"/>
                <w:szCs w:val="18"/>
                <w:lang w:eastAsia="zh-CN"/>
              </w:rPr>
              <w:t> </w:t>
            </w:r>
            <w:r w:rsidRPr="00F77964">
              <w:rPr>
                <w:rFonts w:eastAsia="SimSun"/>
                <w:sz w:val="18"/>
                <w:szCs w:val="18"/>
                <w:lang w:eastAsia="zh-CN"/>
              </w:rPr>
              <w:t>500</w:t>
            </w:r>
          </w:p>
        </w:tc>
      </w:tr>
      <w:tr w:rsidR="00872096" w:rsidRPr="0061490E" w:rsidTr="000B13A8">
        <w:trPr>
          <w:trHeight w:val="471"/>
        </w:trPr>
        <w:tc>
          <w:tcPr>
            <w:tcW w:w="0" w:type="auto"/>
            <w:vMerge/>
            <w:tcBorders>
              <w:top w:val="single" w:sz="4" w:space="0" w:color="auto"/>
              <w:left w:val="single" w:sz="4" w:space="0" w:color="auto"/>
              <w:bottom w:val="single" w:sz="4" w:space="0" w:color="auto"/>
              <w:right w:val="single" w:sz="4" w:space="0" w:color="auto"/>
            </w:tcBorders>
            <w:hideMark/>
          </w:tcPr>
          <w:p w:rsidR="00872096" w:rsidRPr="0061490E" w:rsidRDefault="00872096" w:rsidP="000B13A8">
            <w:pPr>
              <w:rPr>
                <w:rFonts w:eastAsia="SimSun"/>
                <w:sz w:val="18"/>
                <w:szCs w:val="18"/>
                <w:lang w:eastAsia="zh-CN"/>
              </w:rPr>
            </w:pPr>
          </w:p>
        </w:tc>
        <w:tc>
          <w:tcPr>
            <w:tcW w:w="3282" w:type="dxa"/>
            <w:vMerge w:val="restart"/>
            <w:tcBorders>
              <w:top w:val="single" w:sz="4" w:space="0" w:color="auto"/>
              <w:left w:val="single" w:sz="4" w:space="0" w:color="auto"/>
              <w:bottom w:val="single" w:sz="4" w:space="0" w:color="auto"/>
              <w:right w:val="single" w:sz="4" w:space="0" w:color="auto"/>
            </w:tcBorders>
          </w:tcPr>
          <w:p w:rsidR="00872096" w:rsidRPr="00F77964" w:rsidRDefault="00EA0F6F" w:rsidP="000B13A8">
            <w:pPr>
              <w:pStyle w:val="Normal-pool"/>
              <w:spacing w:before="40" w:after="40"/>
              <w:rPr>
                <w:rFonts w:eastAsia="SimSun"/>
                <w:sz w:val="18"/>
                <w:szCs w:val="18"/>
                <w:lang w:eastAsia="zh-CN"/>
              </w:rPr>
            </w:pPr>
            <w:r w:rsidRPr="00F77964">
              <w:rPr>
                <w:rFonts w:eastAsia="SimSun"/>
                <w:sz w:val="18"/>
                <w:szCs w:val="18"/>
                <w:lang w:eastAsia="zh-CN"/>
              </w:rPr>
              <w:t xml:space="preserve">Réunion du </w:t>
            </w:r>
            <w:r w:rsidR="00833DCB" w:rsidRPr="00F77964">
              <w:rPr>
                <w:rFonts w:eastAsia="SimSun"/>
                <w:sz w:val="18"/>
                <w:szCs w:val="18"/>
                <w:lang w:eastAsia="zh-CN"/>
              </w:rPr>
              <w:t>g</w:t>
            </w:r>
            <w:r w:rsidRPr="00F77964">
              <w:rPr>
                <w:rFonts w:eastAsia="SimSun"/>
                <w:sz w:val="18"/>
                <w:szCs w:val="18"/>
                <w:lang w:eastAsia="zh-CN"/>
              </w:rPr>
              <w:t>roupe d’experts (5 membres du Groupe d’experts multidisciplinaire et du Bureau,</w:t>
            </w:r>
            <w:r w:rsidR="00D972E8">
              <w:rPr>
                <w:rFonts w:eastAsia="SimSun"/>
                <w:sz w:val="18"/>
                <w:szCs w:val="18"/>
                <w:lang w:eastAsia="zh-CN"/>
              </w:rPr>
              <w:t xml:space="preserve"> + </w:t>
            </w:r>
            <w:r w:rsidRPr="00F77964">
              <w:rPr>
                <w:rFonts w:eastAsia="SimSun"/>
                <w:sz w:val="18"/>
                <w:szCs w:val="18"/>
                <w:lang w:eastAsia="zh-CN"/>
              </w:rPr>
              <w:t>10 experts (2 par région</w:t>
            </w:r>
            <w:r w:rsidR="00872096" w:rsidRPr="00F77964">
              <w:rPr>
                <w:rFonts w:eastAsia="SimSun"/>
                <w:sz w:val="18"/>
                <w:szCs w:val="18"/>
                <w:lang w:eastAsia="zh-CN"/>
              </w:rPr>
              <w:t>))</w:t>
            </w:r>
          </w:p>
          <w:p w:rsidR="00872096" w:rsidRPr="00F77964" w:rsidRDefault="00872096" w:rsidP="000B13A8">
            <w:pPr>
              <w:pStyle w:val="Normal-pool"/>
              <w:spacing w:before="40" w:after="40"/>
              <w:rPr>
                <w:rFonts w:eastAsia="SimSun"/>
                <w:sz w:val="18"/>
                <w:szCs w:val="18"/>
                <w:lang w:eastAsia="zh-CN"/>
              </w:rPr>
            </w:pPr>
          </w:p>
        </w:tc>
        <w:tc>
          <w:tcPr>
            <w:tcW w:w="3828" w:type="dxa"/>
            <w:tcBorders>
              <w:top w:val="single" w:sz="4" w:space="0" w:color="auto"/>
              <w:left w:val="single" w:sz="4" w:space="0" w:color="auto"/>
              <w:bottom w:val="single" w:sz="4" w:space="0" w:color="auto"/>
              <w:right w:val="single" w:sz="4" w:space="0" w:color="auto"/>
            </w:tcBorders>
            <w:hideMark/>
          </w:tcPr>
          <w:p w:rsidR="00872096" w:rsidRPr="00F77964" w:rsidRDefault="00EA0F6F" w:rsidP="000B13A8">
            <w:pPr>
              <w:pStyle w:val="Normal-pool"/>
              <w:spacing w:before="40" w:after="40"/>
              <w:rPr>
                <w:rFonts w:eastAsia="SimSun"/>
                <w:sz w:val="18"/>
                <w:szCs w:val="18"/>
                <w:lang w:eastAsia="zh-CN"/>
              </w:rPr>
            </w:pPr>
            <w:r w:rsidRPr="00F77964">
              <w:rPr>
                <w:rFonts w:eastAsia="SimSun"/>
                <w:sz w:val="18"/>
                <w:szCs w:val="18"/>
                <w:lang w:eastAsia="zh-CN"/>
              </w:rPr>
              <w:t>Coûts des réunions</w:t>
            </w:r>
            <w:r w:rsidR="00872096" w:rsidRPr="00F77964">
              <w:rPr>
                <w:rFonts w:eastAsia="SimSun"/>
                <w:sz w:val="18"/>
                <w:szCs w:val="18"/>
                <w:lang w:eastAsia="zh-CN"/>
              </w:rPr>
              <w:t xml:space="preserve"> (1</w:t>
            </w:r>
            <w:r w:rsidRPr="00F77964">
              <w:rPr>
                <w:rFonts w:eastAsia="SimSun"/>
                <w:sz w:val="18"/>
                <w:szCs w:val="18"/>
                <w:lang w:eastAsia="zh-CN"/>
              </w:rPr>
              <w:t> réunion de 3 jours</w:t>
            </w:r>
            <w:r w:rsidR="00872096" w:rsidRPr="00F77964">
              <w:rPr>
                <w:rFonts w:eastAsia="SimSun"/>
                <w:sz w:val="18"/>
                <w:szCs w:val="18"/>
                <w:lang w:eastAsia="zh-CN"/>
              </w:rPr>
              <w:t xml:space="preserve"> x 15 participants) (25</w:t>
            </w:r>
            <w:r w:rsidRPr="00F77964">
              <w:rPr>
                <w:rFonts w:eastAsia="SimSun"/>
                <w:sz w:val="18"/>
                <w:szCs w:val="18"/>
                <w:lang w:eastAsia="zh-CN"/>
              </w:rPr>
              <w:t> % en nature</w:t>
            </w:r>
            <w:r w:rsidR="00872096" w:rsidRPr="00F77964">
              <w:rPr>
                <w:rFonts w:eastAsia="SimSun"/>
                <w:sz w:val="18"/>
                <w:szCs w:val="18"/>
                <w:lang w:eastAsia="zh-CN"/>
              </w:rPr>
              <w:t>)</w:t>
            </w:r>
          </w:p>
        </w:tc>
        <w:tc>
          <w:tcPr>
            <w:tcW w:w="992" w:type="dxa"/>
            <w:tcBorders>
              <w:top w:val="single" w:sz="4" w:space="0" w:color="auto"/>
              <w:left w:val="single" w:sz="4" w:space="0" w:color="auto"/>
              <w:bottom w:val="single" w:sz="4" w:space="0" w:color="auto"/>
              <w:right w:val="single" w:sz="4" w:space="0" w:color="auto"/>
            </w:tcBorders>
            <w:hideMark/>
          </w:tcPr>
          <w:p w:rsidR="00872096" w:rsidRPr="00F77964" w:rsidRDefault="00872096" w:rsidP="000B13A8">
            <w:pPr>
              <w:pStyle w:val="Normal-pool"/>
              <w:spacing w:before="40" w:after="40"/>
              <w:rPr>
                <w:rFonts w:eastAsia="SimSun"/>
                <w:sz w:val="18"/>
                <w:szCs w:val="18"/>
                <w:lang w:eastAsia="zh-CN"/>
              </w:rPr>
            </w:pPr>
            <w:r w:rsidRPr="00F77964">
              <w:rPr>
                <w:rFonts w:eastAsia="SimSun"/>
                <w:sz w:val="18"/>
                <w:szCs w:val="18"/>
                <w:lang w:eastAsia="zh-CN"/>
              </w:rPr>
              <w:t>4</w:t>
            </w:r>
            <w:r w:rsidR="00833DCB" w:rsidRPr="00F77964">
              <w:rPr>
                <w:rFonts w:eastAsia="SimSun"/>
                <w:sz w:val="18"/>
                <w:szCs w:val="18"/>
                <w:lang w:eastAsia="zh-CN"/>
              </w:rPr>
              <w:t> </w:t>
            </w:r>
            <w:r w:rsidRPr="00F77964">
              <w:rPr>
                <w:rFonts w:eastAsia="SimSun"/>
                <w:sz w:val="18"/>
                <w:szCs w:val="18"/>
                <w:lang w:eastAsia="zh-CN"/>
              </w:rPr>
              <w:t>500</w:t>
            </w:r>
          </w:p>
        </w:tc>
      </w:tr>
      <w:tr w:rsidR="00872096" w:rsidRPr="0061490E" w:rsidTr="000B13A8">
        <w:trPr>
          <w:trHeight w:val="291"/>
        </w:trPr>
        <w:tc>
          <w:tcPr>
            <w:tcW w:w="0" w:type="auto"/>
            <w:vMerge/>
            <w:tcBorders>
              <w:top w:val="single" w:sz="4" w:space="0" w:color="auto"/>
              <w:left w:val="single" w:sz="4" w:space="0" w:color="auto"/>
              <w:bottom w:val="single" w:sz="4" w:space="0" w:color="auto"/>
              <w:right w:val="single" w:sz="4" w:space="0" w:color="auto"/>
            </w:tcBorders>
            <w:hideMark/>
          </w:tcPr>
          <w:p w:rsidR="00872096" w:rsidRPr="0061490E" w:rsidRDefault="00872096" w:rsidP="000B13A8">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872096" w:rsidRPr="0061490E" w:rsidRDefault="00872096" w:rsidP="000B13A8">
            <w:pPr>
              <w:rPr>
                <w:rFonts w:eastAsia="SimSun"/>
                <w:sz w:val="18"/>
                <w:szCs w:val="18"/>
                <w:lang w:eastAsia="zh-CN"/>
              </w:rPr>
            </w:pPr>
          </w:p>
        </w:tc>
        <w:tc>
          <w:tcPr>
            <w:tcW w:w="3828" w:type="dxa"/>
            <w:tcBorders>
              <w:top w:val="single" w:sz="4" w:space="0" w:color="auto"/>
              <w:left w:val="single" w:sz="4" w:space="0" w:color="auto"/>
              <w:bottom w:val="single" w:sz="4" w:space="0" w:color="auto"/>
              <w:right w:val="single" w:sz="4" w:space="0" w:color="auto"/>
            </w:tcBorders>
            <w:hideMark/>
          </w:tcPr>
          <w:p w:rsidR="00872096" w:rsidRPr="00F77964" w:rsidRDefault="00D972E8" w:rsidP="000B13A8">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00EA0F6F" w:rsidRPr="00F77964">
              <w:rPr>
                <w:rFonts w:eastAsia="SimSun"/>
                <w:sz w:val="18"/>
                <w:szCs w:val="18"/>
                <w:lang w:eastAsia="zh-CN"/>
              </w:rPr>
              <w:t xml:space="preserve"> (12</w:t>
            </w:r>
            <w:r>
              <w:rPr>
                <w:rFonts w:eastAsia="SimSun"/>
                <w:sz w:val="18"/>
                <w:szCs w:val="18"/>
                <w:lang w:eastAsia="zh-CN"/>
              </w:rPr>
              <w:t xml:space="preserve"> </w:t>
            </w:r>
            <w:r w:rsidR="00EA0F6F" w:rsidRPr="00F77964">
              <w:rPr>
                <w:rFonts w:eastAsia="SimSun"/>
                <w:sz w:val="18"/>
                <w:szCs w:val="18"/>
                <w:lang w:eastAsia="zh-CN"/>
              </w:rPr>
              <w:t>x 3 000 </w:t>
            </w:r>
            <w:r w:rsidR="00833DCB" w:rsidRPr="00F77964">
              <w:rPr>
                <w:rFonts w:eastAsia="SimSun"/>
                <w:sz w:val="18"/>
                <w:szCs w:val="18"/>
                <w:lang w:eastAsia="zh-CN"/>
              </w:rPr>
              <w:t>dollars</w:t>
            </w:r>
            <w:r w:rsidR="00EA0F6F" w:rsidRPr="00F77964">
              <w:rPr>
                <w:rFonts w:eastAsia="SimSun"/>
                <w:sz w:val="18"/>
                <w:szCs w:val="18"/>
                <w:lang w:eastAsia="zh-CN"/>
              </w:rPr>
              <w:t>)</w:t>
            </w:r>
          </w:p>
        </w:tc>
        <w:tc>
          <w:tcPr>
            <w:tcW w:w="992" w:type="dxa"/>
            <w:tcBorders>
              <w:top w:val="single" w:sz="4" w:space="0" w:color="auto"/>
              <w:left w:val="single" w:sz="4" w:space="0" w:color="auto"/>
              <w:bottom w:val="single" w:sz="4" w:space="0" w:color="auto"/>
              <w:right w:val="single" w:sz="4" w:space="0" w:color="auto"/>
            </w:tcBorders>
            <w:hideMark/>
          </w:tcPr>
          <w:p w:rsidR="00872096" w:rsidRPr="00F77964" w:rsidRDefault="00872096" w:rsidP="000B13A8">
            <w:pPr>
              <w:pStyle w:val="Normal-pool"/>
              <w:spacing w:before="40" w:after="40"/>
              <w:rPr>
                <w:rFonts w:eastAsia="SimSun"/>
                <w:sz w:val="18"/>
                <w:szCs w:val="18"/>
                <w:lang w:eastAsia="zh-CN"/>
              </w:rPr>
            </w:pPr>
            <w:r w:rsidRPr="00F77964">
              <w:rPr>
                <w:rFonts w:eastAsia="SimSun"/>
                <w:sz w:val="18"/>
                <w:szCs w:val="18"/>
                <w:lang w:eastAsia="zh-CN"/>
              </w:rPr>
              <w:t>36</w:t>
            </w:r>
            <w:r w:rsidR="00833DCB" w:rsidRPr="00F77964">
              <w:rPr>
                <w:rFonts w:eastAsia="SimSun"/>
                <w:sz w:val="18"/>
                <w:szCs w:val="18"/>
                <w:lang w:eastAsia="zh-CN"/>
              </w:rPr>
              <w:t> </w:t>
            </w:r>
            <w:r w:rsidRPr="00F77964">
              <w:rPr>
                <w:rFonts w:eastAsia="SimSun"/>
                <w:sz w:val="18"/>
                <w:szCs w:val="18"/>
                <w:lang w:eastAsia="zh-CN"/>
              </w:rPr>
              <w:t>000</w:t>
            </w:r>
          </w:p>
        </w:tc>
      </w:tr>
      <w:tr w:rsidR="00872096" w:rsidRPr="0061490E" w:rsidTr="000B13A8">
        <w:trPr>
          <w:trHeight w:val="522"/>
        </w:trPr>
        <w:tc>
          <w:tcPr>
            <w:tcW w:w="0" w:type="auto"/>
            <w:vMerge/>
            <w:tcBorders>
              <w:top w:val="single" w:sz="4" w:space="0" w:color="auto"/>
              <w:left w:val="single" w:sz="4" w:space="0" w:color="auto"/>
              <w:bottom w:val="single" w:sz="4" w:space="0" w:color="auto"/>
              <w:right w:val="single" w:sz="4" w:space="0" w:color="auto"/>
            </w:tcBorders>
            <w:hideMark/>
          </w:tcPr>
          <w:p w:rsidR="00872096" w:rsidRPr="0061490E" w:rsidRDefault="00872096" w:rsidP="000B13A8">
            <w:pPr>
              <w:rPr>
                <w:rFonts w:eastAsia="SimSun"/>
                <w:sz w:val="18"/>
                <w:szCs w:val="18"/>
                <w:lang w:eastAsia="zh-CN"/>
              </w:rPr>
            </w:pPr>
          </w:p>
        </w:tc>
        <w:tc>
          <w:tcPr>
            <w:tcW w:w="3282" w:type="dxa"/>
            <w:tcBorders>
              <w:top w:val="single" w:sz="4" w:space="0" w:color="auto"/>
              <w:left w:val="single" w:sz="4" w:space="0" w:color="auto"/>
              <w:bottom w:val="single" w:sz="4" w:space="0" w:color="auto"/>
              <w:right w:val="single" w:sz="4" w:space="0" w:color="auto"/>
            </w:tcBorders>
          </w:tcPr>
          <w:p w:rsidR="00872096" w:rsidRPr="00F77964" w:rsidRDefault="00EA0F6F" w:rsidP="000B13A8">
            <w:pPr>
              <w:pStyle w:val="Normal-pool"/>
              <w:spacing w:before="40" w:after="40"/>
              <w:rPr>
                <w:rFonts w:eastAsia="SimSun"/>
                <w:sz w:val="18"/>
                <w:szCs w:val="18"/>
                <w:lang w:eastAsia="zh-CN"/>
              </w:rPr>
            </w:pPr>
            <w:r w:rsidRPr="00F77964">
              <w:rPr>
                <w:rFonts w:eastAsia="SimSun"/>
                <w:sz w:val="18"/>
                <w:szCs w:val="18"/>
                <w:lang w:eastAsia="zh-CN"/>
              </w:rPr>
              <w:t>Appui technique</w:t>
            </w:r>
          </w:p>
          <w:p w:rsidR="00872096" w:rsidRPr="00F77964" w:rsidRDefault="00872096" w:rsidP="000B13A8">
            <w:pPr>
              <w:pStyle w:val="Normal-pool"/>
              <w:spacing w:before="40" w:after="40"/>
              <w:rPr>
                <w:rFonts w:eastAsia="SimSun"/>
                <w:sz w:val="18"/>
                <w:szCs w:val="18"/>
                <w:lang w:eastAsia="zh-CN"/>
              </w:rPr>
            </w:pPr>
          </w:p>
        </w:tc>
        <w:tc>
          <w:tcPr>
            <w:tcW w:w="3828" w:type="dxa"/>
            <w:tcBorders>
              <w:top w:val="single" w:sz="4" w:space="0" w:color="auto"/>
              <w:left w:val="single" w:sz="4" w:space="0" w:color="auto"/>
              <w:bottom w:val="single" w:sz="4" w:space="0" w:color="auto"/>
              <w:right w:val="single" w:sz="4" w:space="0" w:color="auto"/>
            </w:tcBorders>
            <w:hideMark/>
          </w:tcPr>
          <w:p w:rsidR="00872096" w:rsidRPr="00F77964" w:rsidRDefault="00EA0F6F" w:rsidP="000B13A8">
            <w:pPr>
              <w:pStyle w:val="Normal-pool"/>
              <w:spacing w:before="40" w:after="40"/>
              <w:rPr>
                <w:rFonts w:eastAsia="SimSun"/>
                <w:sz w:val="18"/>
                <w:szCs w:val="18"/>
                <w:lang w:eastAsia="zh-CN"/>
              </w:rPr>
            </w:pPr>
            <w:r w:rsidRPr="00F77964">
              <w:rPr>
                <w:rFonts w:eastAsia="SimSun"/>
                <w:sz w:val="18"/>
                <w:szCs w:val="18"/>
                <w:lang w:eastAsia="zh-CN"/>
              </w:rPr>
              <w:t>1,5 poste d’administrateur équivalent plein temps (50 % en nature)</w:t>
            </w:r>
          </w:p>
        </w:tc>
        <w:tc>
          <w:tcPr>
            <w:tcW w:w="992" w:type="dxa"/>
            <w:tcBorders>
              <w:top w:val="single" w:sz="4" w:space="0" w:color="auto"/>
              <w:left w:val="single" w:sz="4" w:space="0" w:color="auto"/>
              <w:bottom w:val="single" w:sz="4" w:space="0" w:color="auto"/>
              <w:right w:val="single" w:sz="4" w:space="0" w:color="auto"/>
            </w:tcBorders>
            <w:hideMark/>
          </w:tcPr>
          <w:p w:rsidR="00872096" w:rsidRPr="00F77964" w:rsidRDefault="00872096" w:rsidP="000B13A8">
            <w:pPr>
              <w:pStyle w:val="Normal-pool"/>
              <w:spacing w:before="40" w:after="40"/>
              <w:rPr>
                <w:rFonts w:eastAsia="SimSun"/>
                <w:sz w:val="18"/>
                <w:szCs w:val="18"/>
                <w:lang w:eastAsia="zh-CN"/>
              </w:rPr>
            </w:pPr>
            <w:r w:rsidRPr="00F77964">
              <w:rPr>
                <w:rFonts w:eastAsia="SimSun"/>
                <w:sz w:val="18"/>
                <w:szCs w:val="18"/>
                <w:lang w:eastAsia="zh-CN"/>
              </w:rPr>
              <w:t>112</w:t>
            </w:r>
            <w:r w:rsidR="00833DCB" w:rsidRPr="00F77964">
              <w:rPr>
                <w:rFonts w:eastAsia="SimSun"/>
                <w:sz w:val="18"/>
                <w:szCs w:val="18"/>
                <w:lang w:eastAsia="zh-CN"/>
              </w:rPr>
              <w:t> </w:t>
            </w:r>
            <w:r w:rsidRPr="00F77964">
              <w:rPr>
                <w:rFonts w:eastAsia="SimSun"/>
                <w:sz w:val="18"/>
                <w:szCs w:val="18"/>
                <w:lang w:eastAsia="zh-CN"/>
              </w:rPr>
              <w:t>500</w:t>
            </w:r>
          </w:p>
        </w:tc>
      </w:tr>
      <w:tr w:rsidR="00872096" w:rsidRPr="0061490E" w:rsidTr="000B13A8">
        <w:trPr>
          <w:trHeight w:val="513"/>
        </w:trPr>
        <w:tc>
          <w:tcPr>
            <w:tcW w:w="0" w:type="auto"/>
            <w:vMerge/>
            <w:tcBorders>
              <w:top w:val="single" w:sz="4" w:space="0" w:color="auto"/>
              <w:left w:val="single" w:sz="4" w:space="0" w:color="auto"/>
              <w:bottom w:val="single" w:sz="4" w:space="0" w:color="auto"/>
              <w:right w:val="single" w:sz="4" w:space="0" w:color="auto"/>
            </w:tcBorders>
            <w:hideMark/>
          </w:tcPr>
          <w:p w:rsidR="00872096" w:rsidRPr="0061490E" w:rsidRDefault="00872096" w:rsidP="000B13A8">
            <w:pPr>
              <w:rPr>
                <w:rFonts w:eastAsia="SimSun"/>
                <w:sz w:val="18"/>
                <w:szCs w:val="18"/>
                <w:lang w:eastAsia="zh-CN"/>
              </w:rPr>
            </w:pPr>
          </w:p>
        </w:tc>
        <w:tc>
          <w:tcPr>
            <w:tcW w:w="3282" w:type="dxa"/>
            <w:tcBorders>
              <w:top w:val="single" w:sz="4" w:space="0" w:color="auto"/>
              <w:left w:val="single" w:sz="4" w:space="0" w:color="auto"/>
              <w:bottom w:val="single" w:sz="4" w:space="0" w:color="auto"/>
              <w:right w:val="single" w:sz="4" w:space="0" w:color="auto"/>
            </w:tcBorders>
            <w:hideMark/>
          </w:tcPr>
          <w:p w:rsidR="00872096" w:rsidRPr="00F77964" w:rsidRDefault="00894C3F" w:rsidP="000B13A8">
            <w:pPr>
              <w:pStyle w:val="Normal-pool"/>
              <w:spacing w:before="40" w:after="40"/>
              <w:rPr>
                <w:rFonts w:eastAsia="SimSun"/>
                <w:sz w:val="18"/>
                <w:szCs w:val="18"/>
                <w:lang w:eastAsia="zh-CN"/>
              </w:rPr>
            </w:pPr>
            <w:r w:rsidRPr="00F77964">
              <w:rPr>
                <w:rFonts w:eastAsia="SimSun"/>
                <w:sz w:val="18"/>
                <w:szCs w:val="18"/>
                <w:lang w:eastAsia="zh-CN"/>
              </w:rPr>
              <w:t xml:space="preserve">Traduction, publication, </w:t>
            </w:r>
            <w:r w:rsidR="00F23269">
              <w:rPr>
                <w:rFonts w:eastAsia="SimSun"/>
                <w:sz w:val="18"/>
                <w:szCs w:val="18"/>
                <w:lang w:eastAsia="zh-CN"/>
              </w:rPr>
              <w:t>animation</w:t>
            </w:r>
            <w:r w:rsidRPr="00F77964">
              <w:rPr>
                <w:rFonts w:eastAsia="SimSun"/>
                <w:sz w:val="18"/>
                <w:szCs w:val="18"/>
                <w:lang w:eastAsia="zh-CN"/>
              </w:rPr>
              <w:t xml:space="preserve"> et établissement d’un rapport à la Plénière à sa quatrième session</w:t>
            </w:r>
          </w:p>
        </w:tc>
        <w:tc>
          <w:tcPr>
            <w:tcW w:w="3828" w:type="dxa"/>
            <w:tcBorders>
              <w:top w:val="single" w:sz="4" w:space="0" w:color="auto"/>
              <w:left w:val="single" w:sz="4" w:space="0" w:color="auto"/>
              <w:bottom w:val="single" w:sz="4" w:space="0" w:color="auto"/>
              <w:right w:val="single" w:sz="4" w:space="0" w:color="auto"/>
            </w:tcBorders>
            <w:hideMark/>
          </w:tcPr>
          <w:p w:rsidR="00872096" w:rsidRPr="00F77964" w:rsidRDefault="00894C3F" w:rsidP="000B13A8">
            <w:pPr>
              <w:pStyle w:val="Normal-pool"/>
              <w:spacing w:before="40" w:after="40"/>
              <w:rPr>
                <w:rFonts w:eastAsia="SimSun"/>
                <w:sz w:val="18"/>
                <w:szCs w:val="18"/>
                <w:lang w:eastAsia="zh-CN"/>
              </w:rPr>
            </w:pPr>
            <w:r w:rsidRPr="00F77964">
              <w:rPr>
                <w:rFonts w:eastAsia="SimSun"/>
                <w:sz w:val="18"/>
                <w:szCs w:val="18"/>
                <w:lang w:eastAsia="zh-CN"/>
              </w:rPr>
              <w:t>Guide de 10 pages sur les procédures et approches pour la collaboration avec les détenteurs de connaissances autochtones et locales traduit dans toutes les langues de l’ONU</w:t>
            </w:r>
          </w:p>
        </w:tc>
        <w:tc>
          <w:tcPr>
            <w:tcW w:w="992" w:type="dxa"/>
            <w:tcBorders>
              <w:top w:val="single" w:sz="4" w:space="0" w:color="auto"/>
              <w:left w:val="single" w:sz="4" w:space="0" w:color="auto"/>
              <w:bottom w:val="single" w:sz="4" w:space="0" w:color="auto"/>
              <w:right w:val="single" w:sz="4" w:space="0" w:color="auto"/>
            </w:tcBorders>
            <w:hideMark/>
          </w:tcPr>
          <w:p w:rsidR="00872096" w:rsidRPr="00F77964" w:rsidRDefault="00872096" w:rsidP="000B13A8">
            <w:pPr>
              <w:pStyle w:val="Normal-pool"/>
              <w:spacing w:before="40" w:after="40"/>
              <w:rPr>
                <w:rFonts w:eastAsia="SimSun"/>
                <w:sz w:val="18"/>
                <w:szCs w:val="18"/>
                <w:lang w:eastAsia="zh-CN"/>
              </w:rPr>
            </w:pPr>
            <w:r w:rsidRPr="00F77964">
              <w:rPr>
                <w:rFonts w:eastAsia="SimSun"/>
                <w:sz w:val="18"/>
                <w:szCs w:val="18"/>
                <w:lang w:eastAsia="zh-CN"/>
              </w:rPr>
              <w:t>50</w:t>
            </w:r>
            <w:r w:rsidR="00833DCB" w:rsidRPr="00F77964">
              <w:rPr>
                <w:rFonts w:eastAsia="SimSun"/>
                <w:sz w:val="18"/>
                <w:szCs w:val="18"/>
                <w:lang w:eastAsia="zh-CN"/>
              </w:rPr>
              <w:t> </w:t>
            </w:r>
            <w:r w:rsidRPr="00F77964">
              <w:rPr>
                <w:rFonts w:eastAsia="SimSun"/>
                <w:sz w:val="18"/>
                <w:szCs w:val="18"/>
                <w:lang w:eastAsia="zh-CN"/>
              </w:rPr>
              <w:t>000</w:t>
            </w:r>
          </w:p>
        </w:tc>
      </w:tr>
      <w:tr w:rsidR="00872096" w:rsidRPr="0061490E" w:rsidTr="000B13A8">
        <w:tc>
          <w:tcPr>
            <w:tcW w:w="681" w:type="dxa"/>
            <w:tcBorders>
              <w:top w:val="single" w:sz="4" w:space="0" w:color="auto"/>
              <w:left w:val="single" w:sz="4" w:space="0" w:color="auto"/>
              <w:bottom w:val="single" w:sz="4" w:space="0" w:color="auto"/>
              <w:right w:val="single" w:sz="4" w:space="0" w:color="auto"/>
            </w:tcBorders>
          </w:tcPr>
          <w:p w:rsidR="00872096" w:rsidRPr="00F77964" w:rsidRDefault="00872096" w:rsidP="000B13A8">
            <w:pPr>
              <w:pStyle w:val="Normal-pool"/>
              <w:spacing w:before="40" w:after="40"/>
              <w:rPr>
                <w:rFonts w:eastAsia="SimSun"/>
                <w:sz w:val="18"/>
                <w:szCs w:val="18"/>
                <w:lang w:eastAsia="zh-CN"/>
              </w:rPr>
            </w:pPr>
          </w:p>
        </w:tc>
        <w:tc>
          <w:tcPr>
            <w:tcW w:w="3282" w:type="dxa"/>
            <w:tcBorders>
              <w:top w:val="single" w:sz="4" w:space="0" w:color="auto"/>
              <w:left w:val="single" w:sz="4" w:space="0" w:color="auto"/>
              <w:bottom w:val="single" w:sz="4" w:space="0" w:color="auto"/>
              <w:right w:val="single" w:sz="4" w:space="0" w:color="auto"/>
            </w:tcBorders>
            <w:hideMark/>
          </w:tcPr>
          <w:p w:rsidR="00872096" w:rsidRPr="00F77964" w:rsidRDefault="00872096" w:rsidP="000B13A8">
            <w:pPr>
              <w:pStyle w:val="Normal-pool"/>
              <w:spacing w:before="40" w:after="40"/>
              <w:rPr>
                <w:rFonts w:eastAsia="SimSun"/>
                <w:b/>
                <w:sz w:val="18"/>
                <w:szCs w:val="18"/>
                <w:lang w:eastAsia="zh-CN"/>
              </w:rPr>
            </w:pPr>
            <w:r w:rsidRPr="00F77964">
              <w:rPr>
                <w:rFonts w:eastAsia="SimSun"/>
                <w:b/>
                <w:sz w:val="18"/>
                <w:szCs w:val="18"/>
                <w:lang w:eastAsia="zh-CN"/>
              </w:rPr>
              <w:t>Total</w:t>
            </w:r>
          </w:p>
        </w:tc>
        <w:tc>
          <w:tcPr>
            <w:tcW w:w="3828" w:type="dxa"/>
            <w:tcBorders>
              <w:top w:val="single" w:sz="4" w:space="0" w:color="auto"/>
              <w:left w:val="single" w:sz="4" w:space="0" w:color="auto"/>
              <w:bottom w:val="single" w:sz="4" w:space="0" w:color="auto"/>
              <w:right w:val="single" w:sz="4" w:space="0" w:color="auto"/>
            </w:tcBorders>
          </w:tcPr>
          <w:p w:rsidR="00872096" w:rsidRPr="00F77964" w:rsidRDefault="00872096" w:rsidP="000B13A8">
            <w:pPr>
              <w:pStyle w:val="Normal-pool"/>
              <w:spacing w:before="40" w:after="40"/>
              <w:rPr>
                <w:rFonts w:eastAsia="SimSun"/>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rsidR="00872096" w:rsidRPr="00F77964" w:rsidRDefault="00872096" w:rsidP="000B13A8">
            <w:pPr>
              <w:pStyle w:val="Normal-pool"/>
              <w:spacing w:before="40" w:after="40"/>
              <w:rPr>
                <w:rFonts w:eastAsia="SimSun"/>
                <w:b/>
                <w:sz w:val="18"/>
                <w:szCs w:val="18"/>
                <w:lang w:eastAsia="zh-CN"/>
              </w:rPr>
            </w:pPr>
            <w:r w:rsidRPr="00F77964">
              <w:rPr>
                <w:rFonts w:eastAsia="SimSun"/>
                <w:b/>
                <w:sz w:val="18"/>
                <w:szCs w:val="18"/>
                <w:lang w:eastAsia="zh-CN"/>
              </w:rPr>
              <w:t>509</w:t>
            </w:r>
            <w:r w:rsidR="00833DCB" w:rsidRPr="00F77964">
              <w:rPr>
                <w:rFonts w:eastAsia="SimSun"/>
                <w:b/>
                <w:sz w:val="18"/>
                <w:szCs w:val="18"/>
                <w:lang w:eastAsia="zh-CN"/>
              </w:rPr>
              <w:t> </w:t>
            </w:r>
            <w:r w:rsidRPr="00F77964">
              <w:rPr>
                <w:rFonts w:eastAsia="SimSun"/>
                <w:b/>
                <w:sz w:val="18"/>
                <w:szCs w:val="18"/>
                <w:lang w:eastAsia="zh-CN"/>
              </w:rPr>
              <w:t>000</w:t>
            </w:r>
          </w:p>
        </w:tc>
      </w:tr>
    </w:tbl>
    <w:p w:rsidR="00D66005" w:rsidRPr="00F77964" w:rsidRDefault="00D66005" w:rsidP="00D66005">
      <w:pPr>
        <w:pStyle w:val="CH3"/>
        <w:keepNext w:val="0"/>
        <w:keepLines w:val="0"/>
        <w:spacing w:before="120" w:after="0"/>
        <w:rPr>
          <w:rFonts w:eastAsia="SimSun"/>
          <w:lang w:val="fr-FR" w:eastAsia="zh-CN"/>
        </w:rPr>
      </w:pPr>
      <w:r w:rsidRPr="00F77964">
        <w:rPr>
          <w:rFonts w:eastAsia="SimSun"/>
          <w:lang w:val="fr-FR" w:eastAsia="zh-CN"/>
        </w:rPr>
        <w:tab/>
      </w:r>
      <w:r w:rsidRPr="00F77964">
        <w:rPr>
          <w:rFonts w:eastAsia="SimSun"/>
          <w:lang w:val="fr-FR" w:eastAsia="zh-CN"/>
        </w:rPr>
        <w:tab/>
      </w:r>
      <w:r w:rsidR="00894C3F" w:rsidRPr="00F77964">
        <w:rPr>
          <w:rFonts w:eastAsia="SimSun"/>
          <w:lang w:val="fr-FR" w:eastAsia="zh-CN"/>
        </w:rPr>
        <w:t>Produit </w:t>
      </w:r>
      <w:r w:rsidRPr="00F77964">
        <w:rPr>
          <w:rFonts w:eastAsia="SimSun"/>
          <w:lang w:val="fr-FR" w:eastAsia="zh-CN"/>
        </w:rPr>
        <w:t>1</w:t>
      </w:r>
      <w:r w:rsidR="00833DCB" w:rsidRPr="00F77964">
        <w:rPr>
          <w:rFonts w:eastAsia="SimSun"/>
          <w:lang w:val="fr-FR" w:eastAsia="zh-CN"/>
        </w:rPr>
        <w:t> </w:t>
      </w:r>
      <w:r w:rsidRPr="00F77964">
        <w:rPr>
          <w:rFonts w:eastAsia="SimSun"/>
          <w:lang w:val="fr-FR" w:eastAsia="zh-CN"/>
        </w:rPr>
        <w:t>d)</w:t>
      </w:r>
    </w:p>
    <w:p w:rsidR="00D66005" w:rsidRPr="00F77964" w:rsidRDefault="00D66005" w:rsidP="00D66005">
      <w:pPr>
        <w:pStyle w:val="CH3"/>
        <w:keepNext w:val="0"/>
        <w:keepLines w:val="0"/>
        <w:rPr>
          <w:rFonts w:eastAsia="SimSun"/>
          <w:lang w:val="fr-FR" w:eastAsia="zh-CN"/>
        </w:rPr>
      </w:pPr>
      <w:r w:rsidRPr="00F77964">
        <w:rPr>
          <w:rFonts w:eastAsia="SimSun"/>
          <w:lang w:val="fr-FR" w:eastAsia="zh-CN"/>
        </w:rPr>
        <w:tab/>
      </w:r>
      <w:r w:rsidRPr="00F77964">
        <w:rPr>
          <w:rFonts w:eastAsia="SimSun"/>
          <w:lang w:val="fr-FR" w:eastAsia="zh-CN"/>
        </w:rPr>
        <w:tab/>
      </w:r>
      <w:r w:rsidR="00C362BD" w:rsidRPr="00C362BD">
        <w:rPr>
          <w:rFonts w:eastAsia="SimSun"/>
          <w:lang w:val="fr-FR" w:eastAsia="zh-CN"/>
        </w:rPr>
        <w:t xml:space="preserve">Répondre aux besoins prioritaires en matière de connaissances et de données aux fins de l’élaboration des politiques en catalysant les efforts visant à engendrer de nouvelles connaissances et </w:t>
      </w:r>
      <w:r w:rsidR="00C362BD">
        <w:rPr>
          <w:rFonts w:eastAsia="SimSun"/>
          <w:lang w:val="fr-FR" w:eastAsia="zh-CN"/>
        </w:rPr>
        <w:t xml:space="preserve">en travaillant </w:t>
      </w:r>
      <w:r w:rsidR="00C362BD" w:rsidRPr="00C362BD">
        <w:rPr>
          <w:rFonts w:eastAsia="SimSun"/>
          <w:lang w:val="fr-FR" w:eastAsia="zh-CN"/>
        </w:rPr>
        <w:t>e</w:t>
      </w:r>
      <w:r w:rsidR="00C362BD">
        <w:rPr>
          <w:rFonts w:eastAsia="SimSun"/>
          <w:lang w:val="fr-FR" w:eastAsia="zh-CN"/>
        </w:rPr>
        <w:t>n</w:t>
      </w:r>
      <w:r w:rsidR="00C362BD" w:rsidRPr="00C362BD">
        <w:rPr>
          <w:rFonts w:eastAsia="SimSun"/>
          <w:lang w:val="fr-FR" w:eastAsia="zh-CN"/>
        </w:rPr>
        <w:t xml:space="preserve"> réseau (</w:t>
      </w:r>
      <w:r w:rsidR="00C362BD" w:rsidRPr="00C362BD">
        <w:rPr>
          <w:rFonts w:eastAsia="SimSun"/>
          <w:i/>
          <w:lang w:val="fr-FR" w:eastAsia="zh-CN"/>
        </w:rPr>
        <w:t>activité continue</w:t>
      </w:r>
      <w:r w:rsidR="00C362BD" w:rsidRPr="00C362BD">
        <w:rPr>
          <w:rFonts w:eastAsia="SimSun"/>
          <w:lang w:val="fr-FR" w:eastAsia="zh-CN"/>
        </w:rPr>
        <w:t>)</w:t>
      </w:r>
    </w:p>
    <w:p w:rsidR="00D66005" w:rsidRPr="00F77964" w:rsidRDefault="00D66005" w:rsidP="00D66005">
      <w:pPr>
        <w:pStyle w:val="CH3"/>
        <w:rPr>
          <w:lang w:val="fr-FR"/>
        </w:rPr>
      </w:pPr>
      <w:r w:rsidRPr="00F77964">
        <w:rPr>
          <w:rFonts w:eastAsia="Calibri"/>
          <w:lang w:val="fr-FR"/>
        </w:rPr>
        <w:tab/>
      </w:r>
      <w:r w:rsidRPr="00F77964">
        <w:rPr>
          <w:rFonts w:eastAsia="Calibri"/>
          <w:lang w:val="fr-FR"/>
        </w:rPr>
        <w:tab/>
      </w:r>
      <w:r w:rsidR="00894C3F" w:rsidRPr="00F77964">
        <w:rPr>
          <w:rFonts w:eastAsia="Calibri"/>
          <w:lang w:val="fr-FR"/>
        </w:rPr>
        <w:t>Hypothèses</w:t>
      </w:r>
      <w:r w:rsidRPr="00F77964">
        <w:rPr>
          <w:lang w:val="fr-FR"/>
        </w:rPr>
        <w:t xml:space="preserve"> </w:t>
      </w:r>
    </w:p>
    <w:p w:rsidR="00D66005" w:rsidRPr="00F77964" w:rsidRDefault="00833DCB" w:rsidP="00D66005">
      <w:pPr>
        <w:pStyle w:val="Normalnumber"/>
        <w:numPr>
          <w:ilvl w:val="0"/>
          <w:numId w:val="6"/>
        </w:numPr>
        <w:tabs>
          <w:tab w:val="left" w:pos="624"/>
        </w:tabs>
        <w:ind w:left="1247" w:firstLine="0"/>
        <w:rPr>
          <w:lang w:val="fr-FR"/>
        </w:rPr>
      </w:pPr>
      <w:r w:rsidRPr="00F77964">
        <w:rPr>
          <w:lang w:val="fr-FR"/>
        </w:rPr>
        <w:t>Pour</w:t>
      </w:r>
      <w:r w:rsidR="009261C7" w:rsidRPr="00F77964">
        <w:rPr>
          <w:lang w:val="fr-FR"/>
        </w:rPr>
        <w:t xml:space="preserve"> que la </w:t>
      </w:r>
      <w:r w:rsidRPr="00F77964">
        <w:rPr>
          <w:lang w:val="fr-FR"/>
        </w:rPr>
        <w:t>P</w:t>
      </w:r>
      <w:r w:rsidR="009261C7" w:rsidRPr="00F77964">
        <w:rPr>
          <w:lang w:val="fr-FR"/>
        </w:rPr>
        <w:t xml:space="preserve">lateforme puisse respecter ses engagements concernant la </w:t>
      </w:r>
      <w:r w:rsidR="00A63755">
        <w:rPr>
          <w:lang w:val="fr-FR"/>
        </w:rPr>
        <w:t>produc</w:t>
      </w:r>
      <w:r w:rsidR="009261C7" w:rsidRPr="00F77964">
        <w:rPr>
          <w:lang w:val="fr-FR"/>
        </w:rPr>
        <w:t xml:space="preserve">tion et la gestion de connaissances et de données et l’accès à ces connaissances et données, la </w:t>
      </w:r>
      <w:r w:rsidR="00D203AC" w:rsidRPr="00F77964">
        <w:rPr>
          <w:lang w:val="fr-FR"/>
        </w:rPr>
        <w:t>P</w:t>
      </w:r>
      <w:r w:rsidR="009261C7" w:rsidRPr="00F77964">
        <w:rPr>
          <w:lang w:val="fr-FR"/>
        </w:rPr>
        <w:t xml:space="preserve">lénière </w:t>
      </w:r>
      <w:r w:rsidR="00A63755">
        <w:rPr>
          <w:lang w:val="fr-FR"/>
        </w:rPr>
        <w:t>étudiera la possibilité</w:t>
      </w:r>
      <w:r w:rsidR="000F67AA" w:rsidRPr="00F77964">
        <w:rPr>
          <w:lang w:val="fr-FR"/>
        </w:rPr>
        <w:t xml:space="preserve"> </w:t>
      </w:r>
      <w:r w:rsidR="00A63755">
        <w:rPr>
          <w:lang w:val="fr-FR"/>
        </w:rPr>
        <w:t>d’</w:t>
      </w:r>
      <w:r w:rsidR="009261C7" w:rsidRPr="00F77964">
        <w:rPr>
          <w:lang w:val="fr-FR"/>
        </w:rPr>
        <w:t xml:space="preserve">établir une équipe spéciale sur les connaissances et les données. </w:t>
      </w:r>
      <w:r w:rsidR="000F67AA" w:rsidRPr="00F77964">
        <w:rPr>
          <w:lang w:val="fr-FR"/>
        </w:rPr>
        <w:t xml:space="preserve">Cette </w:t>
      </w:r>
      <w:r w:rsidR="009261C7" w:rsidRPr="00F77964">
        <w:rPr>
          <w:lang w:val="fr-FR"/>
        </w:rPr>
        <w:t xml:space="preserve">équipe spéciale </w:t>
      </w:r>
      <w:r w:rsidR="000F67AA" w:rsidRPr="00F77964">
        <w:rPr>
          <w:lang w:val="fr-FR"/>
        </w:rPr>
        <w:t>serait</w:t>
      </w:r>
      <w:r w:rsidR="00D203AC" w:rsidRPr="00F77964">
        <w:rPr>
          <w:lang w:val="fr-FR"/>
        </w:rPr>
        <w:t xml:space="preserve"> dirigée par le</w:t>
      </w:r>
      <w:r w:rsidR="009261C7" w:rsidRPr="00F77964">
        <w:rPr>
          <w:lang w:val="fr-FR"/>
        </w:rPr>
        <w:t xml:space="preserve"> Bureau et le Groupe d’experts multidisciplinaire et </w:t>
      </w:r>
      <w:r w:rsidR="000F67AA" w:rsidRPr="00F77964">
        <w:rPr>
          <w:lang w:val="fr-FR"/>
        </w:rPr>
        <w:t>constituée de</w:t>
      </w:r>
      <w:r w:rsidR="009261C7" w:rsidRPr="00F77964">
        <w:rPr>
          <w:lang w:val="fr-FR"/>
        </w:rPr>
        <w:t xml:space="preserve"> représentants des institutions et initiatives existantes, comme le Groupe sur l</w:t>
      </w:r>
      <w:r w:rsidR="00BB4D91" w:rsidRPr="00F77964">
        <w:rPr>
          <w:lang w:val="fr-FR"/>
        </w:rPr>
        <w:t>’</w:t>
      </w:r>
      <w:r w:rsidR="009261C7" w:rsidRPr="00F77964">
        <w:rPr>
          <w:lang w:val="fr-FR"/>
        </w:rPr>
        <w:t>observation</w:t>
      </w:r>
      <w:r w:rsidR="00BB4D91" w:rsidRPr="00F77964">
        <w:rPr>
          <w:lang w:val="fr-FR"/>
        </w:rPr>
        <w:t xml:space="preserve"> d</w:t>
      </w:r>
      <w:r w:rsidR="00AF09A0" w:rsidRPr="00F77964">
        <w:rPr>
          <w:lang w:val="fr-FR"/>
        </w:rPr>
        <w:t>e la</w:t>
      </w:r>
      <w:r w:rsidR="00BB4D91" w:rsidRPr="00F77964">
        <w:rPr>
          <w:lang w:val="fr-FR"/>
        </w:rPr>
        <w:t xml:space="preserve"> Terre</w:t>
      </w:r>
      <w:r w:rsidR="009261C7" w:rsidRPr="00F77964">
        <w:rPr>
          <w:lang w:val="fr-FR"/>
        </w:rPr>
        <w:t>, l</w:t>
      </w:r>
      <w:r w:rsidR="00A63755">
        <w:rPr>
          <w:lang w:val="fr-FR"/>
        </w:rPr>
        <w:t>e Système</w:t>
      </w:r>
      <w:r w:rsidR="009261C7" w:rsidRPr="00F77964">
        <w:rPr>
          <w:lang w:val="fr-FR"/>
        </w:rPr>
        <w:t xml:space="preserve"> mondial d’information sur la biodiversité, </w:t>
      </w:r>
      <w:r w:rsidR="00BB4D91" w:rsidRPr="00F77964">
        <w:rPr>
          <w:lang w:val="fr-FR"/>
        </w:rPr>
        <w:t xml:space="preserve">l’initiative </w:t>
      </w:r>
      <w:r w:rsidR="00D66005" w:rsidRPr="00F77964">
        <w:rPr>
          <w:rFonts w:eastAsia="Calibri"/>
          <w:lang w:val="fr-FR"/>
        </w:rPr>
        <w:t>Future Earth,</w:t>
      </w:r>
      <w:r w:rsidR="00D66005" w:rsidRPr="00F77964">
        <w:rPr>
          <w:lang w:val="fr-FR"/>
        </w:rPr>
        <w:t xml:space="preserve"> </w:t>
      </w:r>
      <w:r w:rsidR="0026403C" w:rsidRPr="00F77964">
        <w:rPr>
          <w:lang w:val="fr-FR"/>
        </w:rPr>
        <w:t xml:space="preserve">les détenteurs de connaissances locales et autochtones et les initiatives scientifiques communautaires. </w:t>
      </w:r>
      <w:r w:rsidR="000F67AA" w:rsidRPr="00F77964">
        <w:rPr>
          <w:lang w:val="fr-FR"/>
        </w:rPr>
        <w:t>Elle</w:t>
      </w:r>
      <w:r w:rsidR="0026403C" w:rsidRPr="00F77964">
        <w:rPr>
          <w:lang w:val="fr-FR"/>
        </w:rPr>
        <w:t xml:space="preserve"> contribuera à l’établissement de réseaux entre les institutions existantes et recommandera </w:t>
      </w:r>
      <w:r w:rsidR="00AF09A0" w:rsidRPr="00F77964">
        <w:rPr>
          <w:lang w:val="fr-FR"/>
        </w:rPr>
        <w:t>d</w:t>
      </w:r>
      <w:r w:rsidR="0026403C" w:rsidRPr="00F77964">
        <w:rPr>
          <w:lang w:val="fr-FR"/>
        </w:rPr>
        <w:t xml:space="preserve">es pratiques et approches communes concernant la gestion et la </w:t>
      </w:r>
      <w:r w:rsidR="0095782A">
        <w:rPr>
          <w:lang w:val="fr-FR"/>
        </w:rPr>
        <w:t>production de</w:t>
      </w:r>
      <w:r w:rsidR="0026403C" w:rsidRPr="00F77964">
        <w:rPr>
          <w:lang w:val="fr-FR"/>
        </w:rPr>
        <w:t xml:space="preserve"> connaissances et de données pour appuyer les activités de la </w:t>
      </w:r>
      <w:r w:rsidR="00AF09A0" w:rsidRPr="00F77964">
        <w:rPr>
          <w:lang w:val="fr-FR"/>
        </w:rPr>
        <w:t>P</w:t>
      </w:r>
      <w:r w:rsidR="0026403C" w:rsidRPr="00F77964">
        <w:rPr>
          <w:lang w:val="fr-FR"/>
        </w:rPr>
        <w:t xml:space="preserve">lateforme </w:t>
      </w:r>
      <w:r w:rsidR="00D66005" w:rsidRPr="00F77964">
        <w:rPr>
          <w:lang w:val="fr-FR"/>
        </w:rPr>
        <w:t>(</w:t>
      </w:r>
      <w:r w:rsidR="0026403C" w:rsidRPr="00F77964">
        <w:rPr>
          <w:lang w:val="fr-FR"/>
        </w:rPr>
        <w:t xml:space="preserve">y compris celles </w:t>
      </w:r>
      <w:r w:rsidR="0095782A">
        <w:rPr>
          <w:lang w:val="fr-FR"/>
        </w:rPr>
        <w:t xml:space="preserve">mises au point </w:t>
      </w:r>
      <w:r w:rsidR="0026403C" w:rsidRPr="00F77964">
        <w:rPr>
          <w:lang w:val="fr-FR"/>
        </w:rPr>
        <w:t>au titre du produit </w:t>
      </w:r>
      <w:r w:rsidR="00D66005" w:rsidRPr="00F77964">
        <w:rPr>
          <w:lang w:val="fr-FR"/>
        </w:rPr>
        <w:t>1</w:t>
      </w:r>
      <w:r w:rsidR="00AF09A0" w:rsidRPr="00F77964">
        <w:rPr>
          <w:lang w:val="fr-FR"/>
        </w:rPr>
        <w:t> </w:t>
      </w:r>
      <w:r w:rsidR="00D66005" w:rsidRPr="00F77964">
        <w:rPr>
          <w:lang w:val="fr-FR"/>
        </w:rPr>
        <w:t xml:space="preserve">c)). </w:t>
      </w:r>
      <w:r w:rsidR="0095782A">
        <w:rPr>
          <w:lang w:val="fr-FR"/>
        </w:rPr>
        <w:t>D</w:t>
      </w:r>
      <w:r w:rsidR="0026403C" w:rsidRPr="00F77964">
        <w:rPr>
          <w:lang w:val="fr-FR"/>
        </w:rPr>
        <w:t xml:space="preserve">es moyens d’encourager des mesures et approches communes appliquées de façon cohérente </w:t>
      </w:r>
      <w:r w:rsidR="00C679CB">
        <w:rPr>
          <w:lang w:val="fr-FR"/>
        </w:rPr>
        <w:t xml:space="preserve">dans les domaines </w:t>
      </w:r>
      <w:r w:rsidR="00CB32DD" w:rsidRPr="00F77964">
        <w:rPr>
          <w:lang w:val="fr-FR"/>
        </w:rPr>
        <w:t>d</w:t>
      </w:r>
      <w:r w:rsidR="00C679CB">
        <w:rPr>
          <w:lang w:val="fr-FR"/>
        </w:rPr>
        <w:t>e l</w:t>
      </w:r>
      <w:r w:rsidR="00CB32DD" w:rsidRPr="00F77964">
        <w:rPr>
          <w:lang w:val="fr-FR"/>
        </w:rPr>
        <w:t>’</w:t>
      </w:r>
      <w:r w:rsidR="0026403C" w:rsidRPr="00F77964">
        <w:rPr>
          <w:lang w:val="fr-FR"/>
        </w:rPr>
        <w:t>observation</w:t>
      </w:r>
      <w:r w:rsidR="00CB32DD" w:rsidRPr="00F77964">
        <w:rPr>
          <w:lang w:val="fr-FR"/>
        </w:rPr>
        <w:t xml:space="preserve"> et</w:t>
      </w:r>
      <w:r w:rsidR="0026403C" w:rsidRPr="00F77964">
        <w:rPr>
          <w:lang w:val="fr-FR"/>
        </w:rPr>
        <w:t xml:space="preserve"> d</w:t>
      </w:r>
      <w:r w:rsidR="00C679CB">
        <w:rPr>
          <w:lang w:val="fr-FR"/>
        </w:rPr>
        <w:t>u</w:t>
      </w:r>
      <w:r w:rsidR="0026403C" w:rsidRPr="00F77964">
        <w:rPr>
          <w:lang w:val="fr-FR"/>
        </w:rPr>
        <w:t xml:space="preserve"> suivi de la biodiversité et des services écosystémiques seront </w:t>
      </w:r>
      <w:r w:rsidR="00CB32DD" w:rsidRPr="00F77964">
        <w:rPr>
          <w:lang w:val="fr-FR"/>
        </w:rPr>
        <w:t>étudiés</w:t>
      </w:r>
      <w:r w:rsidR="0026403C" w:rsidRPr="00F77964">
        <w:rPr>
          <w:lang w:val="fr-FR"/>
        </w:rPr>
        <w:t xml:space="preserve"> sur la base, entre autres, des résultats des évaluations méthodologiques et des évaluations thématiques menées au titre de l’objectif 3. </w:t>
      </w:r>
      <w:r w:rsidR="00CB32DD" w:rsidRPr="00F77964">
        <w:rPr>
          <w:lang w:val="fr-FR"/>
        </w:rPr>
        <w:t>L</w:t>
      </w:r>
      <w:r w:rsidR="0026403C" w:rsidRPr="00F77964">
        <w:rPr>
          <w:lang w:val="fr-FR"/>
        </w:rPr>
        <w:t xml:space="preserve">’équipe spéciale </w:t>
      </w:r>
      <w:r w:rsidR="00CB32DD" w:rsidRPr="00F77964">
        <w:rPr>
          <w:lang w:val="fr-FR"/>
        </w:rPr>
        <w:t xml:space="preserve">devrait aussi </w:t>
      </w:r>
      <w:r w:rsidR="0026403C" w:rsidRPr="00F77964">
        <w:rPr>
          <w:lang w:val="fr-FR"/>
        </w:rPr>
        <w:t xml:space="preserve">contribuer à l’actualisation régulière de la liste des besoins et lacunes prioritaires en matière de connaissances pour l’élaboration des décisions ainsi qu’à un dialogue régulier sur la façon de répondre à ces besoins, y compris en </w:t>
      </w:r>
      <w:r w:rsidR="00CB32DD" w:rsidRPr="00F77964">
        <w:rPr>
          <w:lang w:val="fr-FR"/>
        </w:rPr>
        <w:t>favorisant</w:t>
      </w:r>
      <w:r w:rsidR="0026403C" w:rsidRPr="00F77964">
        <w:rPr>
          <w:lang w:val="fr-FR"/>
        </w:rPr>
        <w:t xml:space="preserve"> la </w:t>
      </w:r>
      <w:r w:rsidR="0095782A">
        <w:rPr>
          <w:lang w:val="fr-FR"/>
        </w:rPr>
        <w:t>production de</w:t>
      </w:r>
      <w:r w:rsidR="0026403C" w:rsidRPr="00F77964">
        <w:rPr>
          <w:lang w:val="fr-FR"/>
        </w:rPr>
        <w:t xml:space="preserve"> nouvelles connaissances là où existent des lacunes. </w:t>
      </w:r>
      <w:r w:rsidR="00CB32DD" w:rsidRPr="00F77964">
        <w:rPr>
          <w:lang w:val="fr-FR"/>
        </w:rPr>
        <w:t>Ce</w:t>
      </w:r>
      <w:r w:rsidR="0026403C" w:rsidRPr="00F77964">
        <w:rPr>
          <w:lang w:val="fr-FR"/>
        </w:rPr>
        <w:t xml:space="preserve"> dialogue </w:t>
      </w:r>
      <w:r w:rsidR="00CB32DD" w:rsidRPr="00F77964">
        <w:rPr>
          <w:lang w:val="fr-FR"/>
        </w:rPr>
        <w:t>se déroulera notamment dans le cadre de</w:t>
      </w:r>
      <w:r w:rsidR="0026403C" w:rsidRPr="00F77964">
        <w:rPr>
          <w:lang w:val="fr-FR"/>
        </w:rPr>
        <w:t xml:space="preserve"> réunions</w:t>
      </w:r>
      <w:r w:rsidR="00CB32DD" w:rsidRPr="00F77964">
        <w:rPr>
          <w:lang w:val="fr-FR"/>
        </w:rPr>
        <w:t>,</w:t>
      </w:r>
      <w:r w:rsidR="0026403C" w:rsidRPr="00F77964">
        <w:rPr>
          <w:lang w:val="fr-FR"/>
        </w:rPr>
        <w:t xml:space="preserve"> précédées, le cas échéant, </w:t>
      </w:r>
      <w:r w:rsidR="00CB32DD" w:rsidRPr="00F77964">
        <w:rPr>
          <w:lang w:val="fr-FR"/>
        </w:rPr>
        <w:t>de</w:t>
      </w:r>
      <w:r w:rsidR="0026403C" w:rsidRPr="00F77964">
        <w:rPr>
          <w:lang w:val="fr-FR"/>
        </w:rPr>
        <w:t xml:space="preserve"> téléconférences afin de permettre une plus large implication des parties prenantes. L’équipe spéciale conseillera le Bureau, le Groupe d’experts multidisciplinaire et le </w:t>
      </w:r>
      <w:r w:rsidR="00CB32DD" w:rsidRPr="00F77964">
        <w:rPr>
          <w:lang w:val="fr-FR"/>
        </w:rPr>
        <w:t>s</w:t>
      </w:r>
      <w:r w:rsidR="0026403C" w:rsidRPr="00F77964">
        <w:rPr>
          <w:lang w:val="fr-FR"/>
        </w:rPr>
        <w:t>ecrétariat sur l</w:t>
      </w:r>
      <w:r w:rsidR="00CB32DD" w:rsidRPr="00F77964">
        <w:rPr>
          <w:lang w:val="fr-FR"/>
        </w:rPr>
        <w:t>a mise en place</w:t>
      </w:r>
      <w:r w:rsidR="0026403C" w:rsidRPr="00F77964">
        <w:rPr>
          <w:lang w:val="fr-FR"/>
        </w:rPr>
        <w:t xml:space="preserve"> d’un </w:t>
      </w:r>
      <w:r w:rsidR="004621EA">
        <w:rPr>
          <w:lang w:val="fr-FR"/>
        </w:rPr>
        <w:t>dispositif permettant de</w:t>
      </w:r>
      <w:r w:rsidR="0026403C" w:rsidRPr="00F77964">
        <w:rPr>
          <w:lang w:val="fr-FR"/>
        </w:rPr>
        <w:t xml:space="preserve"> suivr</w:t>
      </w:r>
      <w:r w:rsidR="00CB32DD" w:rsidRPr="00F77964">
        <w:rPr>
          <w:lang w:val="fr-FR"/>
        </w:rPr>
        <w:t>e</w:t>
      </w:r>
      <w:r w:rsidR="0026403C" w:rsidRPr="00F77964">
        <w:rPr>
          <w:lang w:val="fr-FR"/>
        </w:rPr>
        <w:t xml:space="preserve"> </w:t>
      </w:r>
      <w:r w:rsidR="004621EA">
        <w:rPr>
          <w:lang w:val="fr-FR"/>
        </w:rPr>
        <w:t xml:space="preserve">sur Internet </w:t>
      </w:r>
      <w:r w:rsidR="0026403C" w:rsidRPr="00F77964">
        <w:rPr>
          <w:lang w:val="fr-FR"/>
        </w:rPr>
        <w:t xml:space="preserve">la façon dont les besoins de connaissances sont couverts. </w:t>
      </w:r>
      <w:r w:rsidR="00CB32DD" w:rsidRPr="00F77964">
        <w:rPr>
          <w:lang w:val="fr-FR"/>
        </w:rPr>
        <w:t xml:space="preserve">Des interactions entre ses activités et les </w:t>
      </w:r>
      <w:r w:rsidR="00F77964" w:rsidRPr="00F77964">
        <w:rPr>
          <w:lang w:val="fr-FR"/>
        </w:rPr>
        <w:t>activités</w:t>
      </w:r>
      <w:r w:rsidR="00CB32DD" w:rsidRPr="00F77964">
        <w:rPr>
          <w:lang w:val="fr-FR"/>
        </w:rPr>
        <w:t xml:space="preserve"> d’</w:t>
      </w:r>
      <w:r w:rsidR="0026403C" w:rsidRPr="00F77964">
        <w:rPr>
          <w:lang w:val="fr-FR"/>
        </w:rPr>
        <w:t>évaluation</w:t>
      </w:r>
      <w:r w:rsidR="00CB32DD" w:rsidRPr="00F77964">
        <w:rPr>
          <w:lang w:val="fr-FR"/>
        </w:rPr>
        <w:t xml:space="preserve"> devraient avoir lieu</w:t>
      </w:r>
      <w:r w:rsidR="0026403C" w:rsidRPr="00F77964">
        <w:rPr>
          <w:lang w:val="fr-FR"/>
        </w:rPr>
        <w:t xml:space="preserve">, en particulier dans la phase de cadrage, et </w:t>
      </w:r>
      <w:r w:rsidR="00CB32DD" w:rsidRPr="00F77964">
        <w:rPr>
          <w:lang w:val="fr-FR"/>
        </w:rPr>
        <w:t>l’équipe se réunira cons</w:t>
      </w:r>
      <w:r w:rsidR="00592491" w:rsidRPr="00F77964">
        <w:rPr>
          <w:lang w:val="fr-FR"/>
        </w:rPr>
        <w:t>é</w:t>
      </w:r>
      <w:r w:rsidR="00CB32DD" w:rsidRPr="00F77964">
        <w:rPr>
          <w:lang w:val="fr-FR"/>
        </w:rPr>
        <w:t>cutivement ou</w:t>
      </w:r>
      <w:r w:rsidR="0026403C" w:rsidRPr="00F77964">
        <w:rPr>
          <w:lang w:val="fr-FR"/>
        </w:rPr>
        <w:t xml:space="preserve"> parallèlement aux réunions de cadrage.</w:t>
      </w:r>
    </w:p>
    <w:p w:rsidR="00D66005" w:rsidRPr="00F77964" w:rsidRDefault="000B13A8" w:rsidP="00D66005">
      <w:pPr>
        <w:pStyle w:val="CH3"/>
        <w:keepNext w:val="0"/>
        <w:keepLines w:val="0"/>
        <w:spacing w:before="240"/>
        <w:rPr>
          <w:rFonts w:eastAsia="SimSun"/>
          <w:lang w:val="fr-FR" w:eastAsia="zh-CN"/>
        </w:rPr>
      </w:pPr>
      <w:r>
        <w:rPr>
          <w:rFonts w:eastAsia="SimSun"/>
          <w:lang w:val="fr-FR" w:eastAsia="zh-CN"/>
        </w:rPr>
        <w:br w:type="page"/>
      </w:r>
      <w:r w:rsidR="00D66005" w:rsidRPr="00F77964">
        <w:rPr>
          <w:rFonts w:eastAsia="SimSun"/>
          <w:lang w:val="fr-FR" w:eastAsia="zh-CN"/>
        </w:rPr>
        <w:lastRenderedPageBreak/>
        <w:tab/>
      </w:r>
      <w:r w:rsidR="00D66005" w:rsidRPr="00F77964">
        <w:rPr>
          <w:rFonts w:eastAsia="SimSun"/>
          <w:lang w:val="fr-FR" w:eastAsia="zh-CN"/>
        </w:rPr>
        <w:tab/>
      </w:r>
      <w:r w:rsidR="0048412B" w:rsidRPr="00F77964">
        <w:rPr>
          <w:rFonts w:eastAsia="SimSun"/>
          <w:lang w:val="fr-FR" w:eastAsia="zh-CN"/>
        </w:rPr>
        <w:t xml:space="preserve">Actions, étapes intermédiaires et dispositions institutionnelles </w:t>
      </w:r>
    </w:p>
    <w:p w:rsidR="00D66005" w:rsidRPr="00F77964" w:rsidRDefault="00F4565D" w:rsidP="00D66005">
      <w:pPr>
        <w:pStyle w:val="Normalnumber"/>
        <w:numPr>
          <w:ilvl w:val="0"/>
          <w:numId w:val="6"/>
        </w:numPr>
        <w:tabs>
          <w:tab w:val="left" w:pos="624"/>
        </w:tabs>
        <w:ind w:left="1247" w:firstLine="0"/>
        <w:rPr>
          <w:rFonts w:eastAsia="Calibri"/>
          <w:lang w:val="fr-FR"/>
        </w:rPr>
      </w:pPr>
      <w:r w:rsidRPr="00F77964">
        <w:rPr>
          <w:lang w:val="fr-FR"/>
        </w:rPr>
        <w:t>Les actions à mener sont indiquées ci-après</w:t>
      </w:r>
      <w:r w:rsidR="0026403C" w:rsidRPr="00F77964">
        <w:rPr>
          <w:lang w:val="fr-FR"/>
        </w:rPr>
        <w:t> :</w:t>
      </w:r>
    </w:p>
    <w:tbl>
      <w:tblPr>
        <w:tblW w:w="8001" w:type="dxa"/>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1187"/>
        <w:gridCol w:w="6171"/>
      </w:tblGrid>
      <w:tr w:rsidR="00D66005" w:rsidRPr="0061490E" w:rsidTr="00E07D3A">
        <w:trPr>
          <w:trHeight w:val="153"/>
          <w:tblHeader/>
        </w:trPr>
        <w:tc>
          <w:tcPr>
            <w:tcW w:w="1830" w:type="dxa"/>
            <w:gridSpan w:val="2"/>
            <w:tcBorders>
              <w:top w:val="single" w:sz="4" w:space="0" w:color="auto"/>
              <w:left w:val="single" w:sz="4" w:space="0" w:color="auto"/>
              <w:bottom w:val="single" w:sz="4" w:space="0" w:color="auto"/>
              <w:right w:val="single" w:sz="4" w:space="0" w:color="auto"/>
            </w:tcBorders>
            <w:hideMark/>
          </w:tcPr>
          <w:p w:rsidR="00D66005" w:rsidRPr="00F77964" w:rsidRDefault="00E67396" w:rsidP="00E67396">
            <w:pPr>
              <w:pStyle w:val="Normal-pool"/>
              <w:spacing w:before="40" w:after="40"/>
              <w:rPr>
                <w:rFonts w:eastAsia="SimSun"/>
                <w:sz w:val="18"/>
                <w:szCs w:val="18"/>
                <w:lang w:eastAsia="zh-CN"/>
              </w:rPr>
            </w:pPr>
            <w:r w:rsidRPr="00F77964">
              <w:rPr>
                <w:rFonts w:eastAsia="SimSun"/>
                <w:i/>
                <w:sz w:val="18"/>
                <w:szCs w:val="18"/>
                <w:lang w:eastAsia="zh-CN"/>
              </w:rPr>
              <w:t>Calendrier</w:t>
            </w:r>
          </w:p>
        </w:tc>
        <w:tc>
          <w:tcPr>
            <w:tcW w:w="6171"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D66005" w:rsidP="00E67396">
            <w:pPr>
              <w:pStyle w:val="Normal-pool"/>
              <w:spacing w:before="40" w:after="40"/>
              <w:rPr>
                <w:rFonts w:eastAsia="SimSun"/>
                <w:sz w:val="18"/>
                <w:szCs w:val="18"/>
                <w:lang w:eastAsia="zh-CN"/>
              </w:rPr>
            </w:pPr>
            <w:r w:rsidRPr="00F77964">
              <w:rPr>
                <w:rFonts w:eastAsia="SimSun"/>
                <w:i/>
                <w:sz w:val="18"/>
                <w:szCs w:val="18"/>
                <w:lang w:eastAsia="zh-CN"/>
              </w:rPr>
              <w:t>Actions/</w:t>
            </w:r>
            <w:r w:rsidR="00E67396" w:rsidRPr="00F77964">
              <w:rPr>
                <w:rFonts w:eastAsia="SimSun"/>
                <w:i/>
                <w:sz w:val="18"/>
                <w:szCs w:val="18"/>
                <w:lang w:eastAsia="zh-CN"/>
              </w:rPr>
              <w:t>dispositions institutionnelles</w:t>
            </w:r>
          </w:p>
        </w:tc>
      </w:tr>
      <w:tr w:rsidR="00D66005" w:rsidRPr="0061490E" w:rsidTr="00E07D3A">
        <w:trPr>
          <w:trHeight w:val="252"/>
        </w:trPr>
        <w:tc>
          <w:tcPr>
            <w:tcW w:w="643"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3A51C6">
            <w:pPr>
              <w:pStyle w:val="Normal-pool"/>
              <w:spacing w:before="40" w:after="40"/>
              <w:rPr>
                <w:rFonts w:eastAsia="SimSun"/>
                <w:sz w:val="18"/>
                <w:szCs w:val="18"/>
                <w:lang w:eastAsia="zh-CN"/>
              </w:rPr>
            </w:pPr>
            <w:r w:rsidRPr="00F77964">
              <w:rPr>
                <w:rFonts w:eastAsia="SimSun"/>
                <w:sz w:val="18"/>
                <w:szCs w:val="18"/>
                <w:lang w:eastAsia="zh-CN"/>
              </w:rPr>
              <w:t>2013</w:t>
            </w:r>
          </w:p>
        </w:tc>
        <w:tc>
          <w:tcPr>
            <w:tcW w:w="1187"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E67396" w:rsidP="003A51C6">
            <w:pPr>
              <w:pStyle w:val="Normal-pool"/>
              <w:spacing w:before="40" w:after="40"/>
              <w:rPr>
                <w:rFonts w:eastAsia="SimSun"/>
                <w:sz w:val="18"/>
                <w:szCs w:val="18"/>
                <w:lang w:eastAsia="zh-CN"/>
              </w:rPr>
            </w:pPr>
            <w:r w:rsidRPr="00F77964">
              <w:rPr>
                <w:rFonts w:eastAsia="SimSun"/>
                <w:sz w:val="18"/>
                <w:szCs w:val="18"/>
                <w:lang w:eastAsia="zh-CN"/>
              </w:rPr>
              <w:t>Quatrième trimestre</w:t>
            </w:r>
          </w:p>
        </w:tc>
        <w:tc>
          <w:tcPr>
            <w:tcW w:w="6171" w:type="dxa"/>
            <w:tcBorders>
              <w:top w:val="single" w:sz="4" w:space="0" w:color="auto"/>
              <w:left w:val="single" w:sz="4" w:space="0" w:color="auto"/>
              <w:bottom w:val="single" w:sz="4" w:space="0" w:color="auto"/>
              <w:right w:val="single" w:sz="4" w:space="0" w:color="auto"/>
            </w:tcBorders>
            <w:hideMark/>
          </w:tcPr>
          <w:p w:rsidR="00D66005" w:rsidRPr="00F77964" w:rsidRDefault="00E67396" w:rsidP="003A51C6">
            <w:pPr>
              <w:pStyle w:val="Normal-pool"/>
              <w:spacing w:before="40" w:after="40"/>
              <w:rPr>
                <w:rFonts w:eastAsia="SimSun"/>
                <w:sz w:val="18"/>
                <w:szCs w:val="18"/>
                <w:lang w:eastAsia="zh-CN"/>
              </w:rPr>
            </w:pPr>
            <w:r w:rsidRPr="00F77964">
              <w:rPr>
                <w:rFonts w:eastAsia="SimSun"/>
                <w:sz w:val="18"/>
                <w:szCs w:val="18"/>
                <w:lang w:eastAsia="zh-CN"/>
              </w:rPr>
              <w:t>La Plénière</w:t>
            </w:r>
            <w:r w:rsidR="00D82DE4" w:rsidRPr="00F77964">
              <w:rPr>
                <w:rFonts w:eastAsia="SimSun"/>
                <w:sz w:val="18"/>
                <w:szCs w:val="18"/>
                <w:lang w:eastAsia="zh-CN"/>
              </w:rPr>
              <w:t>,</w:t>
            </w:r>
            <w:r w:rsidRPr="00F77964">
              <w:rPr>
                <w:rFonts w:eastAsia="SimSun"/>
                <w:sz w:val="18"/>
                <w:szCs w:val="18"/>
                <w:lang w:eastAsia="zh-CN"/>
              </w:rPr>
              <w:t xml:space="preserve"> à sa deuxième session, </w:t>
            </w:r>
            <w:r w:rsidR="004621EA">
              <w:rPr>
                <w:rFonts w:eastAsia="SimSun"/>
                <w:sz w:val="18"/>
                <w:szCs w:val="18"/>
                <w:lang w:eastAsia="zh-CN"/>
              </w:rPr>
              <w:t xml:space="preserve">étudie la possibilité de </w:t>
            </w:r>
            <w:r w:rsidR="00592491" w:rsidRPr="00F77964">
              <w:rPr>
                <w:rFonts w:eastAsia="SimSun"/>
                <w:sz w:val="18"/>
                <w:szCs w:val="18"/>
                <w:lang w:eastAsia="zh-CN"/>
              </w:rPr>
              <w:t xml:space="preserve">créer </w:t>
            </w:r>
            <w:r w:rsidRPr="00F77964">
              <w:rPr>
                <w:rFonts w:eastAsia="SimSun"/>
                <w:sz w:val="18"/>
                <w:szCs w:val="18"/>
                <w:lang w:eastAsia="zh-CN"/>
              </w:rPr>
              <w:t xml:space="preserve">une équipe spéciale </w:t>
            </w:r>
            <w:r w:rsidR="004621EA">
              <w:rPr>
                <w:rFonts w:eastAsia="SimSun"/>
                <w:sz w:val="18"/>
                <w:szCs w:val="18"/>
                <w:lang w:eastAsia="zh-CN"/>
              </w:rPr>
              <w:t>dotée d’un</w:t>
            </w:r>
            <w:r w:rsidRPr="00F77964">
              <w:rPr>
                <w:rFonts w:eastAsia="SimSun"/>
                <w:sz w:val="18"/>
                <w:szCs w:val="18"/>
                <w:lang w:eastAsia="zh-CN"/>
              </w:rPr>
              <w:t xml:space="preserve"> </w:t>
            </w:r>
            <w:r w:rsidR="004621EA">
              <w:rPr>
                <w:rFonts w:eastAsia="SimSun"/>
                <w:sz w:val="18"/>
                <w:szCs w:val="18"/>
                <w:lang w:eastAsia="zh-CN"/>
              </w:rPr>
              <w:t>mandat précis</w:t>
            </w:r>
            <w:r w:rsidRPr="00F77964">
              <w:rPr>
                <w:rFonts w:eastAsia="SimSun"/>
                <w:sz w:val="18"/>
                <w:szCs w:val="18"/>
                <w:lang w:eastAsia="zh-CN"/>
              </w:rPr>
              <w:t xml:space="preserve"> </w:t>
            </w:r>
            <w:r w:rsidR="004621EA">
              <w:rPr>
                <w:rFonts w:eastAsia="SimSun"/>
                <w:sz w:val="18"/>
                <w:szCs w:val="18"/>
                <w:lang w:eastAsia="zh-CN"/>
              </w:rPr>
              <w:t>à durée déterminée</w:t>
            </w:r>
            <w:r w:rsidRPr="00F77964">
              <w:rPr>
                <w:rFonts w:eastAsia="SimSun"/>
                <w:sz w:val="18"/>
                <w:szCs w:val="18"/>
                <w:lang w:eastAsia="zh-CN"/>
              </w:rPr>
              <w:t xml:space="preserve"> sur les connaissances et les données, </w:t>
            </w:r>
            <w:r w:rsidR="009A4DA7">
              <w:rPr>
                <w:rFonts w:eastAsia="SimSun"/>
                <w:sz w:val="18"/>
                <w:szCs w:val="18"/>
                <w:lang w:eastAsia="zh-CN"/>
              </w:rPr>
              <w:t xml:space="preserve">qui serait </w:t>
            </w:r>
            <w:r w:rsidRPr="00F77964">
              <w:rPr>
                <w:rFonts w:eastAsia="SimSun"/>
                <w:sz w:val="18"/>
                <w:szCs w:val="18"/>
                <w:lang w:eastAsia="zh-CN"/>
              </w:rPr>
              <w:t xml:space="preserve">dirigée par le Bureau et le Groupe d’experts multidisciplinaire, </w:t>
            </w:r>
            <w:r w:rsidR="00E52159" w:rsidRPr="00F77964">
              <w:rPr>
                <w:rFonts w:eastAsia="SimSun"/>
                <w:sz w:val="18"/>
                <w:szCs w:val="18"/>
                <w:lang w:eastAsia="zh-CN"/>
              </w:rPr>
              <w:t xml:space="preserve">notamment </w:t>
            </w:r>
            <w:r w:rsidR="009A4DA7">
              <w:rPr>
                <w:rFonts w:eastAsia="SimSun"/>
                <w:sz w:val="18"/>
                <w:szCs w:val="18"/>
                <w:lang w:eastAsia="zh-CN"/>
              </w:rPr>
              <w:t xml:space="preserve">en </w:t>
            </w:r>
            <w:r w:rsidR="00592491" w:rsidRPr="00F77964">
              <w:rPr>
                <w:rFonts w:eastAsia="SimSun"/>
                <w:sz w:val="18"/>
                <w:szCs w:val="18"/>
                <w:lang w:eastAsia="zh-CN"/>
              </w:rPr>
              <w:t>défini</w:t>
            </w:r>
            <w:r w:rsidR="009A4DA7">
              <w:rPr>
                <w:rFonts w:eastAsia="SimSun"/>
                <w:sz w:val="18"/>
                <w:szCs w:val="18"/>
                <w:lang w:eastAsia="zh-CN"/>
              </w:rPr>
              <w:t>ssant</w:t>
            </w:r>
            <w:r w:rsidR="00592491" w:rsidRPr="00F77964">
              <w:rPr>
                <w:rFonts w:eastAsia="SimSun"/>
                <w:sz w:val="18"/>
                <w:szCs w:val="18"/>
                <w:lang w:eastAsia="zh-CN"/>
              </w:rPr>
              <w:t xml:space="preserve"> la mission</w:t>
            </w:r>
            <w:r w:rsidRPr="00F77964">
              <w:rPr>
                <w:rFonts w:eastAsia="SimSun"/>
                <w:sz w:val="18"/>
                <w:szCs w:val="18"/>
                <w:lang w:eastAsia="zh-CN"/>
              </w:rPr>
              <w:t xml:space="preserve"> de cette équipe et </w:t>
            </w:r>
            <w:r w:rsidR="009A4DA7">
              <w:rPr>
                <w:rFonts w:eastAsia="SimSun"/>
                <w:sz w:val="18"/>
                <w:szCs w:val="18"/>
                <w:lang w:eastAsia="zh-CN"/>
              </w:rPr>
              <w:t xml:space="preserve">en </w:t>
            </w:r>
            <w:r w:rsidR="00F77964" w:rsidRPr="00F77964">
              <w:rPr>
                <w:rFonts w:eastAsia="SimSun"/>
                <w:sz w:val="18"/>
                <w:szCs w:val="18"/>
                <w:lang w:eastAsia="zh-CN"/>
              </w:rPr>
              <w:t>demand</w:t>
            </w:r>
            <w:r w:rsidR="009A4DA7">
              <w:rPr>
                <w:rFonts w:eastAsia="SimSun"/>
                <w:sz w:val="18"/>
                <w:szCs w:val="18"/>
                <w:lang w:eastAsia="zh-CN"/>
              </w:rPr>
              <w:t>ant</w:t>
            </w:r>
            <w:r w:rsidR="00592491" w:rsidRPr="00F77964">
              <w:rPr>
                <w:rFonts w:eastAsia="SimSun"/>
                <w:sz w:val="18"/>
                <w:szCs w:val="18"/>
                <w:lang w:eastAsia="zh-CN"/>
              </w:rPr>
              <w:t xml:space="preserve"> au</w:t>
            </w:r>
            <w:r w:rsidRPr="00F77964">
              <w:rPr>
                <w:rFonts w:eastAsia="SimSun"/>
                <w:sz w:val="18"/>
                <w:szCs w:val="18"/>
                <w:lang w:eastAsia="zh-CN"/>
              </w:rPr>
              <w:t xml:space="preserve"> Bureau et </w:t>
            </w:r>
            <w:r w:rsidR="00592491" w:rsidRPr="00F77964">
              <w:rPr>
                <w:rFonts w:eastAsia="SimSun"/>
                <w:sz w:val="18"/>
                <w:szCs w:val="18"/>
                <w:lang w:eastAsia="zh-CN"/>
              </w:rPr>
              <w:t>au</w:t>
            </w:r>
            <w:r w:rsidRPr="00F77964">
              <w:rPr>
                <w:rFonts w:eastAsia="SimSun"/>
                <w:sz w:val="18"/>
                <w:szCs w:val="18"/>
                <w:lang w:eastAsia="zh-CN"/>
              </w:rPr>
              <w:t xml:space="preserve"> Groupe</w:t>
            </w:r>
            <w:r w:rsidR="00592491" w:rsidRPr="00F77964">
              <w:rPr>
                <w:rFonts w:eastAsia="SimSun"/>
                <w:sz w:val="18"/>
                <w:szCs w:val="18"/>
                <w:lang w:eastAsia="zh-CN"/>
              </w:rPr>
              <w:t xml:space="preserve"> de la constituer</w:t>
            </w:r>
            <w:r w:rsidR="00E52159" w:rsidRPr="00F77964">
              <w:rPr>
                <w:rFonts w:eastAsia="SimSun"/>
                <w:sz w:val="18"/>
                <w:szCs w:val="18"/>
                <w:lang w:eastAsia="zh-CN"/>
              </w:rPr>
              <w:t xml:space="preserve">, </w:t>
            </w:r>
            <w:r w:rsidRPr="00F77964">
              <w:rPr>
                <w:rFonts w:eastAsia="SimSun"/>
                <w:sz w:val="18"/>
                <w:szCs w:val="18"/>
                <w:lang w:eastAsia="zh-CN"/>
              </w:rPr>
              <w:t xml:space="preserve">par le biais du Secrétariat, en </w:t>
            </w:r>
            <w:r w:rsidR="00E52159" w:rsidRPr="00F77964">
              <w:rPr>
                <w:rFonts w:eastAsia="SimSun"/>
                <w:sz w:val="18"/>
                <w:szCs w:val="18"/>
                <w:lang w:eastAsia="zh-CN"/>
              </w:rPr>
              <w:t>faisant appel à</w:t>
            </w:r>
            <w:r w:rsidRPr="00F77964">
              <w:rPr>
                <w:rFonts w:eastAsia="SimSun"/>
                <w:sz w:val="18"/>
                <w:szCs w:val="18"/>
                <w:lang w:eastAsia="zh-CN"/>
              </w:rPr>
              <w:t xml:space="preserve"> manifestations d’intérêt</w:t>
            </w:r>
          </w:p>
        </w:tc>
      </w:tr>
      <w:tr w:rsidR="00D66005" w:rsidRPr="0061490E" w:rsidTr="00E07D3A">
        <w:trPr>
          <w:trHeight w:val="425"/>
        </w:trPr>
        <w:tc>
          <w:tcPr>
            <w:tcW w:w="643" w:type="dxa"/>
            <w:vMerge/>
            <w:tcBorders>
              <w:top w:val="single" w:sz="4" w:space="0" w:color="auto"/>
              <w:left w:val="single" w:sz="4" w:space="0" w:color="auto"/>
              <w:bottom w:val="single" w:sz="4" w:space="0" w:color="auto"/>
              <w:right w:val="single" w:sz="4" w:space="0" w:color="auto"/>
            </w:tcBorders>
            <w:hideMark/>
          </w:tcPr>
          <w:p w:rsidR="00D66005" w:rsidRPr="0061490E" w:rsidRDefault="00D66005" w:rsidP="003A51C6">
            <w:pPr>
              <w:rPr>
                <w:rFonts w:eastAsia="SimSun"/>
                <w:sz w:val="18"/>
                <w:szCs w:val="18"/>
                <w:lang w:eastAsia="zh-CN"/>
              </w:rPr>
            </w:pPr>
          </w:p>
        </w:tc>
        <w:tc>
          <w:tcPr>
            <w:tcW w:w="1187" w:type="dxa"/>
            <w:vMerge/>
            <w:tcBorders>
              <w:top w:val="single" w:sz="4" w:space="0" w:color="auto"/>
              <w:left w:val="single" w:sz="4" w:space="0" w:color="auto"/>
              <w:bottom w:val="single" w:sz="4" w:space="0" w:color="auto"/>
              <w:right w:val="single" w:sz="4" w:space="0" w:color="auto"/>
            </w:tcBorders>
            <w:hideMark/>
          </w:tcPr>
          <w:p w:rsidR="00D66005" w:rsidRPr="0061490E" w:rsidRDefault="00D66005" w:rsidP="003A51C6">
            <w:pPr>
              <w:rPr>
                <w:rFonts w:eastAsia="SimSun"/>
                <w:sz w:val="18"/>
                <w:szCs w:val="18"/>
                <w:lang w:eastAsia="zh-CN"/>
              </w:rPr>
            </w:pPr>
          </w:p>
        </w:tc>
        <w:tc>
          <w:tcPr>
            <w:tcW w:w="6171" w:type="dxa"/>
            <w:tcBorders>
              <w:top w:val="single" w:sz="4" w:space="0" w:color="auto"/>
              <w:left w:val="single" w:sz="4" w:space="0" w:color="auto"/>
              <w:bottom w:val="single" w:sz="4" w:space="0" w:color="auto"/>
              <w:right w:val="single" w:sz="4" w:space="0" w:color="auto"/>
            </w:tcBorders>
            <w:hideMark/>
          </w:tcPr>
          <w:p w:rsidR="00D66005" w:rsidRPr="00F77964" w:rsidRDefault="00135E9C" w:rsidP="003A51C6">
            <w:pPr>
              <w:pStyle w:val="Normal-pool"/>
              <w:spacing w:before="40" w:after="40"/>
              <w:rPr>
                <w:rFonts w:eastAsia="SimSun"/>
                <w:sz w:val="18"/>
                <w:szCs w:val="18"/>
                <w:lang w:eastAsia="zh-CN"/>
              </w:rPr>
            </w:pPr>
            <w:r w:rsidRPr="00F77964">
              <w:rPr>
                <w:rFonts w:eastAsia="SimSun"/>
                <w:sz w:val="18"/>
                <w:szCs w:val="18"/>
                <w:lang w:eastAsia="zh-CN"/>
              </w:rPr>
              <w:t xml:space="preserve">La Plénière, à sa deuxième session, </w:t>
            </w:r>
            <w:r w:rsidR="00E52159" w:rsidRPr="00F77964">
              <w:rPr>
                <w:rFonts w:eastAsia="SimSun"/>
                <w:sz w:val="18"/>
                <w:szCs w:val="18"/>
                <w:lang w:eastAsia="zh-CN"/>
              </w:rPr>
              <w:t>étudie</w:t>
            </w:r>
            <w:r w:rsidRPr="00F77964">
              <w:rPr>
                <w:rFonts w:eastAsia="SimSun"/>
                <w:sz w:val="18"/>
                <w:szCs w:val="18"/>
                <w:lang w:eastAsia="zh-CN"/>
              </w:rPr>
              <w:t xml:space="preserve"> les </w:t>
            </w:r>
            <w:r w:rsidR="00E52159" w:rsidRPr="00F77964">
              <w:rPr>
                <w:rFonts w:eastAsia="SimSun"/>
                <w:sz w:val="18"/>
                <w:szCs w:val="18"/>
                <w:lang w:eastAsia="zh-CN"/>
              </w:rPr>
              <w:t>différentes offres</w:t>
            </w:r>
            <w:r w:rsidRPr="00F77964">
              <w:rPr>
                <w:rFonts w:eastAsia="SimSun"/>
                <w:sz w:val="18"/>
                <w:szCs w:val="18"/>
                <w:lang w:eastAsia="zh-CN"/>
              </w:rPr>
              <w:t xml:space="preserve"> potentielles </w:t>
            </w:r>
            <w:r w:rsidR="00E52159" w:rsidRPr="00F77964">
              <w:rPr>
                <w:rFonts w:eastAsia="SimSun"/>
                <w:sz w:val="18"/>
                <w:szCs w:val="18"/>
                <w:lang w:eastAsia="zh-CN"/>
              </w:rPr>
              <w:t>d’appui techniq</w:t>
            </w:r>
            <w:r w:rsidR="00757DBB" w:rsidRPr="00F77964">
              <w:rPr>
                <w:rFonts w:eastAsia="SimSun"/>
                <w:sz w:val="18"/>
                <w:szCs w:val="18"/>
                <w:lang w:eastAsia="zh-CN"/>
              </w:rPr>
              <w:t>ue en</w:t>
            </w:r>
            <w:r w:rsidRPr="00F77964">
              <w:rPr>
                <w:rFonts w:eastAsia="SimSun"/>
                <w:sz w:val="18"/>
                <w:szCs w:val="18"/>
                <w:lang w:eastAsia="zh-CN"/>
              </w:rPr>
              <w:t xml:space="preserve"> nature et demande au Bureau et au </w:t>
            </w:r>
            <w:r w:rsidR="00757DBB" w:rsidRPr="00F77964">
              <w:rPr>
                <w:rFonts w:eastAsia="SimSun"/>
                <w:sz w:val="18"/>
                <w:szCs w:val="18"/>
                <w:lang w:eastAsia="zh-CN"/>
              </w:rPr>
              <w:t>s</w:t>
            </w:r>
            <w:r w:rsidRPr="00F77964">
              <w:rPr>
                <w:rFonts w:eastAsia="SimSun"/>
                <w:sz w:val="18"/>
                <w:szCs w:val="18"/>
                <w:lang w:eastAsia="zh-CN"/>
              </w:rPr>
              <w:t xml:space="preserve">ecrétariat d’établir </w:t>
            </w:r>
            <w:r w:rsidR="00757DBB" w:rsidRPr="00F77964">
              <w:rPr>
                <w:rFonts w:eastAsia="SimSun"/>
                <w:sz w:val="18"/>
                <w:szCs w:val="18"/>
                <w:lang w:eastAsia="zh-CN"/>
              </w:rPr>
              <w:t>l</w:t>
            </w:r>
            <w:r w:rsidRPr="00F77964">
              <w:rPr>
                <w:rFonts w:eastAsia="SimSun"/>
                <w:sz w:val="18"/>
                <w:szCs w:val="18"/>
                <w:lang w:eastAsia="zh-CN"/>
              </w:rPr>
              <w:t xml:space="preserve">es dispositions institutionnelles nécessaires pour </w:t>
            </w:r>
            <w:r w:rsidR="00757DBB" w:rsidRPr="00F77964">
              <w:rPr>
                <w:rFonts w:eastAsia="SimSun"/>
                <w:sz w:val="18"/>
                <w:szCs w:val="18"/>
                <w:lang w:eastAsia="zh-CN"/>
              </w:rPr>
              <w:t xml:space="preserve">donner effet à </w:t>
            </w:r>
            <w:r w:rsidR="00026403" w:rsidRPr="00F77964">
              <w:rPr>
                <w:rFonts w:eastAsia="SimSun"/>
                <w:sz w:val="18"/>
                <w:szCs w:val="18"/>
                <w:lang w:eastAsia="zh-CN"/>
              </w:rPr>
              <w:t xml:space="preserve">cet </w:t>
            </w:r>
            <w:r w:rsidR="00757DBB" w:rsidRPr="00F77964">
              <w:rPr>
                <w:rFonts w:eastAsia="SimSun"/>
                <w:sz w:val="18"/>
                <w:szCs w:val="18"/>
                <w:lang w:eastAsia="zh-CN"/>
              </w:rPr>
              <w:t>appui</w:t>
            </w:r>
            <w:r w:rsidRPr="00F77964">
              <w:rPr>
                <w:rFonts w:eastAsia="SimSun"/>
                <w:sz w:val="18"/>
                <w:szCs w:val="18"/>
                <w:lang w:eastAsia="zh-CN"/>
              </w:rPr>
              <w:t xml:space="preserve"> technique</w:t>
            </w:r>
          </w:p>
        </w:tc>
      </w:tr>
      <w:tr w:rsidR="00D66005" w:rsidRPr="0061490E" w:rsidTr="00E07D3A">
        <w:trPr>
          <w:trHeight w:val="387"/>
        </w:trPr>
        <w:tc>
          <w:tcPr>
            <w:tcW w:w="643"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3A51C6">
            <w:pPr>
              <w:pStyle w:val="Normal-pool"/>
              <w:spacing w:before="40" w:after="40"/>
              <w:rPr>
                <w:rFonts w:eastAsia="SimSun"/>
                <w:sz w:val="18"/>
                <w:szCs w:val="18"/>
                <w:lang w:eastAsia="zh-CN"/>
              </w:rPr>
            </w:pPr>
            <w:r w:rsidRPr="00F77964">
              <w:rPr>
                <w:rFonts w:eastAsia="SimSun"/>
                <w:sz w:val="18"/>
                <w:szCs w:val="18"/>
                <w:lang w:eastAsia="zh-CN"/>
              </w:rPr>
              <w:t>2014</w:t>
            </w:r>
          </w:p>
        </w:tc>
        <w:tc>
          <w:tcPr>
            <w:tcW w:w="1187" w:type="dxa"/>
            <w:tcBorders>
              <w:top w:val="single" w:sz="4" w:space="0" w:color="auto"/>
              <w:left w:val="single" w:sz="4" w:space="0" w:color="auto"/>
              <w:bottom w:val="single" w:sz="4" w:space="0" w:color="auto"/>
              <w:right w:val="single" w:sz="4" w:space="0" w:color="auto"/>
            </w:tcBorders>
            <w:hideMark/>
          </w:tcPr>
          <w:p w:rsidR="00D66005" w:rsidRPr="00F77964" w:rsidRDefault="00135E9C" w:rsidP="003A51C6">
            <w:pPr>
              <w:pStyle w:val="Normal-pool"/>
              <w:spacing w:before="40" w:after="40"/>
              <w:rPr>
                <w:rFonts w:eastAsia="SimSun"/>
                <w:sz w:val="18"/>
                <w:szCs w:val="18"/>
                <w:lang w:eastAsia="zh-CN"/>
              </w:rPr>
            </w:pPr>
            <w:r w:rsidRPr="00F77964">
              <w:rPr>
                <w:rFonts w:eastAsia="SimSun"/>
                <w:sz w:val="18"/>
                <w:szCs w:val="18"/>
                <w:lang w:eastAsia="zh-CN"/>
              </w:rPr>
              <w:t>Premier trimestre</w:t>
            </w:r>
          </w:p>
        </w:tc>
        <w:tc>
          <w:tcPr>
            <w:tcW w:w="6171" w:type="dxa"/>
            <w:tcBorders>
              <w:top w:val="single" w:sz="4" w:space="0" w:color="auto"/>
              <w:left w:val="single" w:sz="4" w:space="0" w:color="auto"/>
              <w:bottom w:val="single" w:sz="4" w:space="0" w:color="auto"/>
              <w:right w:val="single" w:sz="4" w:space="0" w:color="auto"/>
            </w:tcBorders>
            <w:hideMark/>
          </w:tcPr>
          <w:p w:rsidR="00D66005" w:rsidRPr="00F77964" w:rsidRDefault="00135E9C" w:rsidP="003A51C6">
            <w:pPr>
              <w:pStyle w:val="Normal-pool"/>
              <w:spacing w:before="40" w:after="40"/>
              <w:rPr>
                <w:rFonts w:eastAsia="SimSun"/>
                <w:sz w:val="18"/>
                <w:szCs w:val="18"/>
                <w:lang w:eastAsia="zh-CN"/>
              </w:rPr>
            </w:pPr>
            <w:r w:rsidRPr="00F77964">
              <w:rPr>
                <w:rFonts w:eastAsia="SimSun"/>
                <w:sz w:val="18"/>
                <w:szCs w:val="18"/>
                <w:lang w:eastAsia="zh-CN"/>
              </w:rPr>
              <w:t xml:space="preserve">Le Bureau et le </w:t>
            </w:r>
            <w:r w:rsidR="00757DBB" w:rsidRPr="00F77964">
              <w:rPr>
                <w:rFonts w:eastAsia="SimSun"/>
                <w:sz w:val="18"/>
                <w:szCs w:val="18"/>
                <w:lang w:eastAsia="zh-CN"/>
              </w:rPr>
              <w:t>s</w:t>
            </w:r>
            <w:r w:rsidRPr="00F77964">
              <w:rPr>
                <w:rFonts w:eastAsia="SimSun"/>
                <w:sz w:val="18"/>
                <w:szCs w:val="18"/>
                <w:lang w:eastAsia="zh-CN"/>
              </w:rPr>
              <w:t xml:space="preserve">ecrétariat établissent des partenariats stratégiques et des dispositions institutionnelles pour </w:t>
            </w:r>
            <w:r w:rsidR="00757DBB" w:rsidRPr="00F77964">
              <w:rPr>
                <w:rFonts w:eastAsia="SimSun"/>
                <w:sz w:val="18"/>
                <w:szCs w:val="18"/>
                <w:lang w:eastAsia="zh-CN"/>
              </w:rPr>
              <w:t>donner effet à l’appui</w:t>
            </w:r>
            <w:r w:rsidRPr="00F77964">
              <w:rPr>
                <w:rFonts w:eastAsia="SimSun"/>
                <w:sz w:val="18"/>
                <w:szCs w:val="18"/>
                <w:lang w:eastAsia="zh-CN"/>
              </w:rPr>
              <w:t xml:space="preserve"> technique, selon que de besoin</w:t>
            </w:r>
          </w:p>
        </w:tc>
      </w:tr>
      <w:tr w:rsidR="00D66005" w:rsidRPr="0061490E" w:rsidTr="00E07D3A">
        <w:trPr>
          <w:trHeight w:val="430"/>
        </w:trPr>
        <w:tc>
          <w:tcPr>
            <w:tcW w:w="643" w:type="dxa"/>
            <w:vMerge/>
            <w:tcBorders>
              <w:top w:val="single" w:sz="4" w:space="0" w:color="auto"/>
              <w:left w:val="single" w:sz="4" w:space="0" w:color="auto"/>
              <w:bottom w:val="single" w:sz="4" w:space="0" w:color="auto"/>
              <w:right w:val="single" w:sz="4" w:space="0" w:color="auto"/>
            </w:tcBorders>
            <w:hideMark/>
          </w:tcPr>
          <w:p w:rsidR="00D66005" w:rsidRPr="0061490E" w:rsidRDefault="00D66005" w:rsidP="003A51C6">
            <w:pPr>
              <w:rPr>
                <w:rFonts w:eastAsia="SimSun"/>
                <w:sz w:val="18"/>
                <w:szCs w:val="18"/>
                <w:lang w:eastAsia="zh-CN"/>
              </w:rPr>
            </w:pPr>
          </w:p>
        </w:tc>
        <w:tc>
          <w:tcPr>
            <w:tcW w:w="1187" w:type="dxa"/>
            <w:tcBorders>
              <w:top w:val="single" w:sz="4" w:space="0" w:color="auto"/>
              <w:left w:val="single" w:sz="4" w:space="0" w:color="auto"/>
              <w:bottom w:val="single" w:sz="4" w:space="0" w:color="auto"/>
              <w:right w:val="single" w:sz="4" w:space="0" w:color="auto"/>
            </w:tcBorders>
            <w:hideMark/>
          </w:tcPr>
          <w:p w:rsidR="00D66005" w:rsidRPr="00F77964" w:rsidRDefault="00B1723E" w:rsidP="003A51C6">
            <w:pPr>
              <w:pStyle w:val="Normal-pool"/>
              <w:spacing w:before="40" w:after="40"/>
              <w:rPr>
                <w:rFonts w:eastAsia="SimSun"/>
                <w:sz w:val="18"/>
                <w:szCs w:val="18"/>
                <w:lang w:eastAsia="zh-CN"/>
              </w:rPr>
            </w:pPr>
            <w:r w:rsidRPr="00F77964">
              <w:rPr>
                <w:rFonts w:eastAsia="SimSun"/>
                <w:sz w:val="18"/>
                <w:szCs w:val="18"/>
                <w:lang w:eastAsia="zh-CN"/>
              </w:rPr>
              <w:t>Deuxième</w:t>
            </w:r>
            <w:r w:rsidR="00D66005" w:rsidRPr="00F77964">
              <w:rPr>
                <w:rFonts w:eastAsia="SimSun"/>
                <w:sz w:val="18"/>
                <w:szCs w:val="18"/>
                <w:lang w:eastAsia="zh-CN"/>
              </w:rPr>
              <w:t>/</w:t>
            </w:r>
            <w:r w:rsidR="00AD6AF7">
              <w:rPr>
                <w:rFonts w:eastAsia="SimSun"/>
                <w:sz w:val="18"/>
                <w:szCs w:val="18"/>
                <w:lang w:eastAsia="zh-CN"/>
              </w:rPr>
              <w:br/>
            </w:r>
            <w:r w:rsidRPr="00F77964">
              <w:rPr>
                <w:rFonts w:eastAsia="SimSun"/>
                <w:sz w:val="18"/>
                <w:szCs w:val="18"/>
                <w:lang w:eastAsia="zh-CN"/>
              </w:rPr>
              <w:t>troisième</w:t>
            </w:r>
            <w:r w:rsidR="00D66005" w:rsidRPr="00F77964">
              <w:rPr>
                <w:rFonts w:eastAsia="SimSun"/>
                <w:sz w:val="18"/>
                <w:szCs w:val="18"/>
                <w:lang w:eastAsia="zh-CN"/>
              </w:rPr>
              <w:t>/</w:t>
            </w:r>
            <w:r w:rsidRPr="00F77964">
              <w:rPr>
                <w:rFonts w:eastAsia="SimSun"/>
                <w:sz w:val="18"/>
                <w:szCs w:val="18"/>
                <w:lang w:eastAsia="zh-CN"/>
              </w:rPr>
              <w:t xml:space="preserve"> quatrième trimestres</w:t>
            </w:r>
          </w:p>
        </w:tc>
        <w:tc>
          <w:tcPr>
            <w:tcW w:w="6171" w:type="dxa"/>
            <w:tcBorders>
              <w:top w:val="single" w:sz="4" w:space="0" w:color="auto"/>
              <w:left w:val="single" w:sz="4" w:space="0" w:color="auto"/>
              <w:bottom w:val="single" w:sz="4" w:space="0" w:color="auto"/>
              <w:right w:val="single" w:sz="4" w:space="0" w:color="auto"/>
            </w:tcBorders>
            <w:hideMark/>
          </w:tcPr>
          <w:p w:rsidR="00D66005" w:rsidRPr="00F77964" w:rsidRDefault="00B1723E" w:rsidP="003A51C6">
            <w:pPr>
              <w:pStyle w:val="Normal-pool"/>
              <w:spacing w:before="40" w:after="40"/>
              <w:rPr>
                <w:rFonts w:eastAsia="SimSun"/>
                <w:sz w:val="18"/>
                <w:szCs w:val="18"/>
                <w:lang w:eastAsia="zh-CN"/>
              </w:rPr>
            </w:pPr>
            <w:r w:rsidRPr="00F77964">
              <w:rPr>
                <w:rFonts w:eastAsia="SimSun"/>
                <w:sz w:val="18"/>
                <w:szCs w:val="18"/>
                <w:lang w:eastAsia="zh-CN"/>
              </w:rPr>
              <w:t xml:space="preserve">L’équipe spéciale conseille le Bureau et le Groupe d’experts multidisciplinaire sur les approches </w:t>
            </w:r>
            <w:r w:rsidR="00C7765E" w:rsidRPr="00F77964">
              <w:rPr>
                <w:rFonts w:eastAsia="SimSun"/>
                <w:sz w:val="18"/>
                <w:szCs w:val="18"/>
                <w:lang w:eastAsia="zh-CN"/>
              </w:rPr>
              <w:t xml:space="preserve">suggérées </w:t>
            </w:r>
            <w:r w:rsidR="00F446CD">
              <w:rPr>
                <w:rFonts w:eastAsia="SimSun"/>
                <w:sz w:val="18"/>
                <w:szCs w:val="18"/>
                <w:lang w:eastAsia="zh-CN"/>
              </w:rPr>
              <w:t>en matière d’amélioration de l’accessibilité et de gestion</w:t>
            </w:r>
            <w:r w:rsidR="00AD6AF7">
              <w:rPr>
                <w:rFonts w:eastAsia="SimSun"/>
                <w:sz w:val="18"/>
                <w:szCs w:val="18"/>
                <w:lang w:eastAsia="zh-CN"/>
              </w:rPr>
              <w:t xml:space="preserve"> d</w:t>
            </w:r>
            <w:r w:rsidR="00757DBB" w:rsidRPr="00F77964">
              <w:rPr>
                <w:rFonts w:eastAsia="SimSun"/>
                <w:sz w:val="18"/>
                <w:szCs w:val="18"/>
                <w:lang w:eastAsia="zh-CN"/>
              </w:rPr>
              <w:t>es</w:t>
            </w:r>
            <w:r w:rsidRPr="00F77964">
              <w:rPr>
                <w:rFonts w:eastAsia="SimSun"/>
                <w:sz w:val="18"/>
                <w:szCs w:val="18"/>
                <w:lang w:eastAsia="zh-CN"/>
              </w:rPr>
              <w:t xml:space="preserve"> connaissances et données nécessaires pour </w:t>
            </w:r>
            <w:r w:rsidR="00C7765E" w:rsidRPr="00F77964">
              <w:rPr>
                <w:rFonts w:eastAsia="SimSun"/>
                <w:sz w:val="18"/>
                <w:szCs w:val="18"/>
                <w:lang w:eastAsia="zh-CN"/>
              </w:rPr>
              <w:t>appuyer</w:t>
            </w:r>
            <w:r w:rsidRPr="00F77964">
              <w:rPr>
                <w:rFonts w:eastAsia="SimSun"/>
                <w:sz w:val="18"/>
                <w:szCs w:val="18"/>
                <w:lang w:eastAsia="zh-CN"/>
              </w:rPr>
              <w:t xml:space="preserve"> la mise en œuvre du programme de travail et soumet les informations pertinentes à la Plénière à sa troisième session</w:t>
            </w:r>
          </w:p>
        </w:tc>
      </w:tr>
      <w:tr w:rsidR="00D66005" w:rsidRPr="0061490E" w:rsidTr="00E07D3A">
        <w:trPr>
          <w:trHeight w:val="387"/>
        </w:trPr>
        <w:tc>
          <w:tcPr>
            <w:tcW w:w="643"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F446CD" w:rsidP="003A51C6">
            <w:pPr>
              <w:pStyle w:val="Normal-pool"/>
              <w:spacing w:before="40" w:after="40"/>
              <w:rPr>
                <w:rFonts w:eastAsia="SimSun"/>
                <w:sz w:val="18"/>
                <w:szCs w:val="18"/>
                <w:lang w:eastAsia="zh-CN"/>
              </w:rPr>
            </w:pPr>
            <w:r>
              <w:rPr>
                <w:rFonts w:eastAsia="SimSun"/>
                <w:sz w:val="18"/>
                <w:szCs w:val="18"/>
                <w:lang w:eastAsia="zh-CN"/>
              </w:rPr>
              <w:t>2015</w:t>
            </w:r>
          </w:p>
        </w:tc>
        <w:tc>
          <w:tcPr>
            <w:tcW w:w="1187" w:type="dxa"/>
            <w:tcBorders>
              <w:top w:val="single" w:sz="4" w:space="0" w:color="auto"/>
              <w:left w:val="single" w:sz="4" w:space="0" w:color="auto"/>
              <w:bottom w:val="single" w:sz="4" w:space="0" w:color="auto"/>
              <w:right w:val="single" w:sz="4" w:space="0" w:color="auto"/>
            </w:tcBorders>
            <w:hideMark/>
          </w:tcPr>
          <w:p w:rsidR="00D66005" w:rsidRPr="00F77964" w:rsidRDefault="00B1723E" w:rsidP="003A51C6">
            <w:pPr>
              <w:pStyle w:val="Normal-pool"/>
              <w:keepNext/>
              <w:keepLines/>
              <w:spacing w:before="40" w:after="40"/>
              <w:rPr>
                <w:rFonts w:eastAsia="SimSun"/>
                <w:sz w:val="18"/>
                <w:szCs w:val="18"/>
                <w:lang w:eastAsia="zh-CN"/>
              </w:rPr>
            </w:pPr>
            <w:r w:rsidRPr="00F77964">
              <w:rPr>
                <w:rFonts w:eastAsia="SimSun"/>
                <w:sz w:val="18"/>
                <w:szCs w:val="18"/>
                <w:lang w:eastAsia="zh-CN"/>
              </w:rPr>
              <w:t>Premier trimestre</w:t>
            </w:r>
          </w:p>
        </w:tc>
        <w:tc>
          <w:tcPr>
            <w:tcW w:w="6171" w:type="dxa"/>
            <w:tcBorders>
              <w:top w:val="single" w:sz="4" w:space="0" w:color="auto"/>
              <w:left w:val="single" w:sz="4" w:space="0" w:color="auto"/>
              <w:bottom w:val="single" w:sz="4" w:space="0" w:color="auto"/>
              <w:right w:val="single" w:sz="4" w:space="0" w:color="auto"/>
            </w:tcBorders>
            <w:hideMark/>
          </w:tcPr>
          <w:p w:rsidR="00D66005" w:rsidRPr="00F77964" w:rsidRDefault="0079412B" w:rsidP="003A51C6">
            <w:pPr>
              <w:pStyle w:val="Normal-pool"/>
              <w:keepNext/>
              <w:keepLines/>
              <w:spacing w:before="40" w:after="40"/>
              <w:rPr>
                <w:rFonts w:eastAsia="SimSun"/>
                <w:sz w:val="18"/>
                <w:szCs w:val="18"/>
                <w:lang w:eastAsia="zh-CN"/>
              </w:rPr>
            </w:pPr>
            <w:r w:rsidRPr="00F77964">
              <w:rPr>
                <w:rFonts w:eastAsia="SimSun"/>
                <w:sz w:val="18"/>
                <w:szCs w:val="18"/>
                <w:lang w:eastAsia="zh-CN"/>
              </w:rPr>
              <w:t xml:space="preserve">La Plénière, à sa troisième session, </w:t>
            </w:r>
            <w:r w:rsidR="003B6254" w:rsidRPr="00F77964">
              <w:rPr>
                <w:rFonts w:eastAsia="SimSun"/>
                <w:sz w:val="18"/>
                <w:szCs w:val="18"/>
                <w:lang w:eastAsia="zh-CN"/>
              </w:rPr>
              <w:t>étudie</w:t>
            </w:r>
            <w:r w:rsidRPr="00F77964">
              <w:rPr>
                <w:rFonts w:eastAsia="SimSun"/>
                <w:sz w:val="18"/>
                <w:szCs w:val="18"/>
                <w:lang w:eastAsia="zh-CN"/>
              </w:rPr>
              <w:t xml:space="preserve"> les approches </w:t>
            </w:r>
            <w:r w:rsidR="00C7765E" w:rsidRPr="00F77964">
              <w:rPr>
                <w:rFonts w:eastAsia="SimSun"/>
                <w:sz w:val="18"/>
                <w:szCs w:val="18"/>
                <w:lang w:eastAsia="zh-CN"/>
              </w:rPr>
              <w:t xml:space="preserve">suggérées </w:t>
            </w:r>
            <w:r w:rsidR="00F446CD">
              <w:rPr>
                <w:rFonts w:eastAsia="SimSun"/>
                <w:sz w:val="18"/>
                <w:szCs w:val="18"/>
                <w:lang w:eastAsia="zh-CN"/>
              </w:rPr>
              <w:t>en matière d’amélioration de l’accessibilité et de gestion d</w:t>
            </w:r>
            <w:r w:rsidR="003B6254" w:rsidRPr="00F77964">
              <w:rPr>
                <w:rFonts w:eastAsia="SimSun"/>
                <w:sz w:val="18"/>
                <w:szCs w:val="18"/>
                <w:lang w:eastAsia="zh-CN"/>
              </w:rPr>
              <w:t>es</w:t>
            </w:r>
            <w:r w:rsidRPr="00F77964">
              <w:rPr>
                <w:rFonts w:eastAsia="SimSun"/>
                <w:sz w:val="18"/>
                <w:szCs w:val="18"/>
                <w:lang w:eastAsia="zh-CN"/>
              </w:rPr>
              <w:t xml:space="preserve"> données et connaissances nécessaires pour </w:t>
            </w:r>
            <w:r w:rsidR="00C7765E" w:rsidRPr="00F77964">
              <w:rPr>
                <w:rFonts w:eastAsia="SimSun"/>
                <w:sz w:val="18"/>
                <w:szCs w:val="18"/>
                <w:lang w:eastAsia="zh-CN"/>
              </w:rPr>
              <w:t>appuyer</w:t>
            </w:r>
            <w:r w:rsidRPr="00F77964">
              <w:rPr>
                <w:rFonts w:eastAsia="SimSun"/>
                <w:sz w:val="18"/>
                <w:szCs w:val="18"/>
                <w:lang w:eastAsia="zh-CN"/>
              </w:rPr>
              <w:t xml:space="preserve"> la mise en œuvre du programme de travail et envisage </w:t>
            </w:r>
            <w:r w:rsidR="00C7765E" w:rsidRPr="00F77964">
              <w:rPr>
                <w:rFonts w:eastAsia="SimSun"/>
                <w:sz w:val="18"/>
                <w:szCs w:val="18"/>
                <w:lang w:eastAsia="zh-CN"/>
              </w:rPr>
              <w:t xml:space="preserve">la possibilité </w:t>
            </w:r>
            <w:r w:rsidRPr="00F77964">
              <w:rPr>
                <w:rFonts w:eastAsia="SimSun"/>
                <w:sz w:val="18"/>
                <w:szCs w:val="18"/>
                <w:lang w:eastAsia="zh-CN"/>
              </w:rPr>
              <w:t>de demander à l’équipe spéciale de fournir des conseils sur l</w:t>
            </w:r>
            <w:r w:rsidR="00645C34" w:rsidRPr="00F77964">
              <w:rPr>
                <w:rFonts w:eastAsia="SimSun"/>
                <w:sz w:val="18"/>
                <w:szCs w:val="18"/>
                <w:lang w:eastAsia="zh-CN"/>
              </w:rPr>
              <w:t>’application</w:t>
            </w:r>
            <w:r w:rsidRPr="00F77964">
              <w:rPr>
                <w:rFonts w:eastAsia="SimSun"/>
                <w:sz w:val="18"/>
                <w:szCs w:val="18"/>
                <w:lang w:eastAsia="zh-CN"/>
              </w:rPr>
              <w:t xml:space="preserve"> de ces approches et d’</w:t>
            </w:r>
            <w:r w:rsidR="00645C34" w:rsidRPr="00F77964">
              <w:rPr>
                <w:rFonts w:eastAsia="SimSun"/>
                <w:sz w:val="18"/>
                <w:szCs w:val="18"/>
                <w:lang w:eastAsia="zh-CN"/>
              </w:rPr>
              <w:t>y contribuer</w:t>
            </w:r>
          </w:p>
        </w:tc>
      </w:tr>
      <w:tr w:rsidR="00D66005" w:rsidRPr="0061490E" w:rsidTr="00E07D3A">
        <w:trPr>
          <w:trHeight w:val="191"/>
        </w:trPr>
        <w:tc>
          <w:tcPr>
            <w:tcW w:w="643" w:type="dxa"/>
            <w:vMerge/>
            <w:tcBorders>
              <w:top w:val="single" w:sz="4" w:space="0" w:color="auto"/>
              <w:left w:val="single" w:sz="4" w:space="0" w:color="auto"/>
              <w:bottom w:val="single" w:sz="4" w:space="0" w:color="auto"/>
              <w:right w:val="single" w:sz="4" w:space="0" w:color="auto"/>
            </w:tcBorders>
            <w:hideMark/>
          </w:tcPr>
          <w:p w:rsidR="00D66005" w:rsidRPr="0061490E" w:rsidRDefault="00D66005" w:rsidP="003A51C6">
            <w:pPr>
              <w:rPr>
                <w:rFonts w:eastAsia="SimSun"/>
                <w:sz w:val="18"/>
                <w:szCs w:val="18"/>
                <w:lang w:eastAsia="zh-CN"/>
              </w:rPr>
            </w:pPr>
          </w:p>
        </w:tc>
        <w:tc>
          <w:tcPr>
            <w:tcW w:w="1187" w:type="dxa"/>
            <w:tcBorders>
              <w:top w:val="single" w:sz="4" w:space="0" w:color="auto"/>
              <w:left w:val="single" w:sz="4" w:space="0" w:color="auto"/>
              <w:bottom w:val="single" w:sz="4" w:space="0" w:color="auto"/>
              <w:right w:val="single" w:sz="4" w:space="0" w:color="auto"/>
            </w:tcBorders>
            <w:hideMark/>
          </w:tcPr>
          <w:p w:rsidR="00D66005" w:rsidRPr="00F77964" w:rsidRDefault="0079412B" w:rsidP="003A51C6">
            <w:pPr>
              <w:pStyle w:val="Normal-pool"/>
              <w:spacing w:before="40" w:after="40"/>
              <w:rPr>
                <w:rFonts w:eastAsia="SimSun"/>
                <w:sz w:val="18"/>
                <w:szCs w:val="18"/>
                <w:lang w:eastAsia="zh-CN"/>
              </w:rPr>
            </w:pPr>
            <w:r w:rsidRPr="00F77964">
              <w:rPr>
                <w:rFonts w:eastAsia="SimSun"/>
                <w:sz w:val="18"/>
                <w:szCs w:val="18"/>
                <w:lang w:eastAsia="zh-CN"/>
              </w:rPr>
              <w:t>Deuxième</w:t>
            </w:r>
            <w:r w:rsidR="00D66005" w:rsidRPr="00F77964">
              <w:rPr>
                <w:rFonts w:eastAsia="SimSun"/>
                <w:sz w:val="18"/>
                <w:szCs w:val="18"/>
                <w:lang w:eastAsia="zh-CN"/>
              </w:rPr>
              <w:t>/</w:t>
            </w:r>
            <w:r w:rsidR="00D972E8">
              <w:rPr>
                <w:rFonts w:eastAsia="SimSun"/>
                <w:sz w:val="18"/>
                <w:szCs w:val="18"/>
                <w:lang w:eastAsia="zh-CN"/>
              </w:rPr>
              <w:t xml:space="preserve"> </w:t>
            </w:r>
            <w:r w:rsidRPr="00F77964">
              <w:rPr>
                <w:rFonts w:eastAsia="SimSun"/>
                <w:sz w:val="18"/>
                <w:szCs w:val="18"/>
                <w:lang w:eastAsia="zh-CN"/>
              </w:rPr>
              <w:t>troisième</w:t>
            </w:r>
            <w:r w:rsidR="00D66005" w:rsidRPr="00F77964">
              <w:rPr>
                <w:rFonts w:eastAsia="SimSun"/>
                <w:sz w:val="18"/>
                <w:szCs w:val="18"/>
                <w:lang w:eastAsia="zh-CN"/>
              </w:rPr>
              <w:t xml:space="preserve">/ </w:t>
            </w:r>
            <w:r w:rsidRPr="00F77964">
              <w:rPr>
                <w:rFonts w:eastAsia="SimSun"/>
                <w:sz w:val="18"/>
                <w:szCs w:val="18"/>
                <w:lang w:eastAsia="zh-CN"/>
              </w:rPr>
              <w:t>quatrième</w:t>
            </w:r>
            <w:r w:rsidR="00D66005" w:rsidRPr="00F77964">
              <w:rPr>
                <w:rFonts w:eastAsia="SimSun"/>
                <w:sz w:val="18"/>
                <w:szCs w:val="18"/>
                <w:lang w:eastAsia="zh-CN"/>
              </w:rPr>
              <w:t xml:space="preserve"> </w:t>
            </w:r>
            <w:r w:rsidRPr="00F77964">
              <w:rPr>
                <w:rFonts w:eastAsia="SimSun"/>
                <w:sz w:val="18"/>
                <w:szCs w:val="18"/>
                <w:lang w:eastAsia="zh-CN"/>
              </w:rPr>
              <w:t>trimestres</w:t>
            </w:r>
          </w:p>
        </w:tc>
        <w:tc>
          <w:tcPr>
            <w:tcW w:w="6171" w:type="dxa"/>
            <w:tcBorders>
              <w:top w:val="single" w:sz="4" w:space="0" w:color="auto"/>
              <w:left w:val="single" w:sz="4" w:space="0" w:color="auto"/>
              <w:bottom w:val="single" w:sz="4" w:space="0" w:color="auto"/>
              <w:right w:val="single" w:sz="4" w:space="0" w:color="auto"/>
            </w:tcBorders>
            <w:hideMark/>
          </w:tcPr>
          <w:p w:rsidR="00D66005" w:rsidRPr="00F77964" w:rsidRDefault="0079412B" w:rsidP="003A51C6">
            <w:pPr>
              <w:pStyle w:val="Normal-pool"/>
              <w:spacing w:before="40" w:after="40"/>
              <w:rPr>
                <w:rFonts w:eastAsia="SimSun"/>
                <w:sz w:val="18"/>
                <w:szCs w:val="18"/>
                <w:lang w:eastAsia="zh-CN"/>
              </w:rPr>
            </w:pPr>
            <w:r w:rsidRPr="00F77964">
              <w:rPr>
                <w:rFonts w:eastAsia="SimSun"/>
                <w:sz w:val="18"/>
                <w:szCs w:val="18"/>
                <w:lang w:eastAsia="zh-CN"/>
              </w:rPr>
              <w:t>L’équipe spéciale fourni</w:t>
            </w:r>
            <w:r w:rsidR="00645C34" w:rsidRPr="00F77964">
              <w:rPr>
                <w:rFonts w:eastAsia="SimSun"/>
                <w:sz w:val="18"/>
                <w:szCs w:val="18"/>
                <w:lang w:eastAsia="zh-CN"/>
              </w:rPr>
              <w:t>t</w:t>
            </w:r>
            <w:r w:rsidRPr="00F77964">
              <w:rPr>
                <w:rFonts w:eastAsia="SimSun"/>
                <w:sz w:val="18"/>
                <w:szCs w:val="18"/>
                <w:lang w:eastAsia="zh-CN"/>
              </w:rPr>
              <w:t xml:space="preserve"> au Bureau et au Groupe d’experts multidisciplinaire </w:t>
            </w:r>
            <w:r w:rsidR="00F446CD" w:rsidRPr="00F77964">
              <w:rPr>
                <w:rFonts w:eastAsia="SimSun"/>
                <w:sz w:val="18"/>
                <w:szCs w:val="18"/>
                <w:lang w:eastAsia="zh-CN"/>
              </w:rPr>
              <w:t xml:space="preserve">des conseils et un appui </w:t>
            </w:r>
            <w:r w:rsidR="00BC330B">
              <w:rPr>
                <w:rFonts w:eastAsia="SimSun"/>
                <w:sz w:val="18"/>
                <w:szCs w:val="18"/>
                <w:lang w:eastAsia="zh-CN"/>
              </w:rPr>
              <w:t xml:space="preserve">aux plans de </w:t>
            </w:r>
            <w:r w:rsidRPr="00F77964">
              <w:rPr>
                <w:rFonts w:eastAsia="SimSun"/>
                <w:sz w:val="18"/>
                <w:szCs w:val="18"/>
                <w:lang w:eastAsia="zh-CN"/>
              </w:rPr>
              <w:t>l</w:t>
            </w:r>
            <w:r w:rsidR="00645C34" w:rsidRPr="00F77964">
              <w:rPr>
                <w:rFonts w:eastAsia="SimSun"/>
                <w:sz w:val="18"/>
                <w:szCs w:val="18"/>
                <w:lang w:eastAsia="zh-CN"/>
              </w:rPr>
              <w:t>’application</w:t>
            </w:r>
            <w:r w:rsidRPr="00F77964">
              <w:rPr>
                <w:rFonts w:eastAsia="SimSun"/>
                <w:sz w:val="18"/>
                <w:szCs w:val="18"/>
                <w:lang w:eastAsia="zh-CN"/>
              </w:rPr>
              <w:t xml:space="preserve"> des approches </w:t>
            </w:r>
            <w:r w:rsidR="00BC330B">
              <w:rPr>
                <w:rFonts w:eastAsia="SimSun"/>
                <w:sz w:val="18"/>
                <w:szCs w:val="18"/>
                <w:lang w:eastAsia="zh-CN"/>
              </w:rPr>
              <w:t>visant à</w:t>
            </w:r>
            <w:r w:rsidRPr="00F77964">
              <w:rPr>
                <w:rFonts w:eastAsia="SimSun"/>
                <w:sz w:val="18"/>
                <w:szCs w:val="18"/>
                <w:lang w:eastAsia="zh-CN"/>
              </w:rPr>
              <w:t xml:space="preserve"> </w:t>
            </w:r>
            <w:r w:rsidR="00645C34" w:rsidRPr="00F77964">
              <w:rPr>
                <w:rFonts w:eastAsia="SimSun"/>
                <w:sz w:val="18"/>
                <w:szCs w:val="18"/>
                <w:lang w:eastAsia="zh-CN"/>
              </w:rPr>
              <w:t xml:space="preserve">améliorer </w:t>
            </w:r>
            <w:r w:rsidRPr="00F77964">
              <w:rPr>
                <w:rFonts w:eastAsia="SimSun"/>
                <w:sz w:val="18"/>
                <w:szCs w:val="18"/>
                <w:lang w:eastAsia="zh-CN"/>
              </w:rPr>
              <w:t xml:space="preserve">l’accessibilité et </w:t>
            </w:r>
            <w:r w:rsidR="00BC330B">
              <w:rPr>
                <w:rFonts w:eastAsia="SimSun"/>
                <w:sz w:val="18"/>
                <w:szCs w:val="18"/>
                <w:lang w:eastAsia="zh-CN"/>
              </w:rPr>
              <w:t xml:space="preserve">de </w:t>
            </w:r>
            <w:r w:rsidRPr="00F77964">
              <w:rPr>
                <w:rFonts w:eastAsia="SimSun"/>
                <w:sz w:val="18"/>
                <w:szCs w:val="18"/>
                <w:lang w:eastAsia="zh-CN"/>
              </w:rPr>
              <w:t xml:space="preserve">la gestion des connaissances et données nécessaires pour soutenir les activités entreprises dans le cadre de la </w:t>
            </w:r>
            <w:r w:rsidR="00C7765E" w:rsidRPr="00F77964">
              <w:rPr>
                <w:rFonts w:eastAsia="SimSun"/>
                <w:sz w:val="18"/>
                <w:szCs w:val="18"/>
                <w:lang w:eastAsia="zh-CN"/>
              </w:rPr>
              <w:t>P</w:t>
            </w:r>
            <w:r w:rsidRPr="00F77964">
              <w:rPr>
                <w:rFonts w:eastAsia="SimSun"/>
                <w:sz w:val="18"/>
                <w:szCs w:val="18"/>
                <w:lang w:eastAsia="zh-CN"/>
              </w:rPr>
              <w:t>lateforme</w:t>
            </w:r>
            <w:r w:rsidR="00645C34" w:rsidRPr="00F77964">
              <w:rPr>
                <w:rFonts w:eastAsia="SimSun"/>
                <w:sz w:val="18"/>
                <w:szCs w:val="18"/>
                <w:lang w:eastAsia="zh-CN"/>
              </w:rPr>
              <w:t>, telles qu’</w:t>
            </w:r>
            <w:r w:rsidRPr="00F77964">
              <w:rPr>
                <w:rFonts w:eastAsia="SimSun"/>
                <w:sz w:val="18"/>
                <w:szCs w:val="18"/>
                <w:lang w:eastAsia="zh-CN"/>
              </w:rPr>
              <w:t>approuvées par la Plénière</w:t>
            </w:r>
          </w:p>
        </w:tc>
      </w:tr>
      <w:tr w:rsidR="00D66005" w:rsidRPr="0061490E" w:rsidTr="00E07D3A">
        <w:trPr>
          <w:trHeight w:val="387"/>
        </w:trPr>
        <w:tc>
          <w:tcPr>
            <w:tcW w:w="643" w:type="dxa"/>
            <w:vMerge/>
            <w:tcBorders>
              <w:top w:val="single" w:sz="4" w:space="0" w:color="auto"/>
              <w:left w:val="single" w:sz="4" w:space="0" w:color="auto"/>
              <w:bottom w:val="single" w:sz="4" w:space="0" w:color="auto"/>
              <w:right w:val="single" w:sz="4" w:space="0" w:color="auto"/>
            </w:tcBorders>
            <w:hideMark/>
          </w:tcPr>
          <w:p w:rsidR="00D66005" w:rsidRPr="0061490E" w:rsidRDefault="00D66005" w:rsidP="003A51C6">
            <w:pPr>
              <w:rPr>
                <w:rFonts w:eastAsia="SimSun"/>
                <w:sz w:val="18"/>
                <w:szCs w:val="18"/>
                <w:lang w:eastAsia="zh-CN"/>
              </w:rPr>
            </w:pPr>
          </w:p>
        </w:tc>
        <w:tc>
          <w:tcPr>
            <w:tcW w:w="1187" w:type="dxa"/>
            <w:tcBorders>
              <w:top w:val="single" w:sz="4" w:space="0" w:color="auto"/>
              <w:left w:val="single" w:sz="4" w:space="0" w:color="auto"/>
              <w:bottom w:val="single" w:sz="4" w:space="0" w:color="auto"/>
              <w:right w:val="single" w:sz="4" w:space="0" w:color="auto"/>
            </w:tcBorders>
            <w:hideMark/>
          </w:tcPr>
          <w:p w:rsidR="00D66005" w:rsidRPr="00F77964" w:rsidRDefault="0079412B" w:rsidP="003A51C6">
            <w:pPr>
              <w:pStyle w:val="Normal-pool"/>
              <w:spacing w:before="40" w:after="40"/>
              <w:rPr>
                <w:rFonts w:eastAsia="SimSun"/>
                <w:sz w:val="18"/>
                <w:szCs w:val="18"/>
                <w:lang w:eastAsia="zh-CN"/>
              </w:rPr>
            </w:pPr>
            <w:r w:rsidRPr="00F77964">
              <w:rPr>
                <w:rFonts w:eastAsia="SimSun"/>
                <w:sz w:val="18"/>
                <w:szCs w:val="18"/>
                <w:lang w:eastAsia="zh-CN"/>
              </w:rPr>
              <w:t>Deuxième trimestre</w:t>
            </w:r>
          </w:p>
        </w:tc>
        <w:tc>
          <w:tcPr>
            <w:tcW w:w="6171" w:type="dxa"/>
            <w:tcBorders>
              <w:top w:val="single" w:sz="4" w:space="0" w:color="auto"/>
              <w:left w:val="single" w:sz="4" w:space="0" w:color="auto"/>
              <w:bottom w:val="single" w:sz="4" w:space="0" w:color="auto"/>
              <w:right w:val="single" w:sz="4" w:space="0" w:color="auto"/>
            </w:tcBorders>
            <w:hideMark/>
          </w:tcPr>
          <w:p w:rsidR="00D66005" w:rsidRPr="00F77964" w:rsidRDefault="0079412B" w:rsidP="003A51C6">
            <w:pPr>
              <w:pStyle w:val="Normal-pool"/>
              <w:spacing w:before="40" w:after="40"/>
              <w:rPr>
                <w:rFonts w:eastAsia="SimSun"/>
                <w:sz w:val="18"/>
                <w:szCs w:val="18"/>
                <w:lang w:eastAsia="zh-CN"/>
              </w:rPr>
            </w:pPr>
            <w:r w:rsidRPr="00F77964">
              <w:rPr>
                <w:rFonts w:eastAsia="SimSun"/>
                <w:sz w:val="18"/>
                <w:szCs w:val="18"/>
                <w:lang w:eastAsia="zh-CN"/>
              </w:rPr>
              <w:t xml:space="preserve">L’équipe spéciale conseille le Bureau et le Groupe d’experts multidisciplinaire sur la définition des besoins prioritaires en matière de connaissances, en s’appuyant notamment sur les </w:t>
            </w:r>
            <w:r w:rsidR="006347B4" w:rsidRPr="00F77964">
              <w:rPr>
                <w:rFonts w:eastAsia="SimSun"/>
                <w:sz w:val="18"/>
                <w:szCs w:val="18"/>
                <w:lang w:eastAsia="zh-CN"/>
              </w:rPr>
              <w:t>études</w:t>
            </w:r>
            <w:r w:rsidRPr="00F77964">
              <w:rPr>
                <w:rFonts w:eastAsia="SimSun"/>
                <w:sz w:val="18"/>
                <w:szCs w:val="18"/>
                <w:lang w:eastAsia="zh-CN"/>
              </w:rPr>
              <w:t xml:space="preserve"> de cadrage</w:t>
            </w:r>
          </w:p>
        </w:tc>
      </w:tr>
      <w:tr w:rsidR="00D66005" w:rsidRPr="0061490E" w:rsidTr="00E07D3A">
        <w:trPr>
          <w:trHeight w:val="53"/>
        </w:trPr>
        <w:tc>
          <w:tcPr>
            <w:tcW w:w="643" w:type="dxa"/>
            <w:vMerge/>
            <w:tcBorders>
              <w:top w:val="single" w:sz="4" w:space="0" w:color="auto"/>
              <w:left w:val="single" w:sz="4" w:space="0" w:color="auto"/>
              <w:bottom w:val="single" w:sz="4" w:space="0" w:color="auto"/>
              <w:right w:val="single" w:sz="4" w:space="0" w:color="auto"/>
            </w:tcBorders>
            <w:hideMark/>
          </w:tcPr>
          <w:p w:rsidR="00D66005" w:rsidRPr="0061490E" w:rsidRDefault="00D66005" w:rsidP="003A51C6">
            <w:pPr>
              <w:rPr>
                <w:rFonts w:eastAsia="SimSun"/>
                <w:sz w:val="18"/>
                <w:szCs w:val="18"/>
                <w:lang w:eastAsia="zh-CN"/>
              </w:rPr>
            </w:pPr>
          </w:p>
        </w:tc>
        <w:tc>
          <w:tcPr>
            <w:tcW w:w="1187" w:type="dxa"/>
            <w:tcBorders>
              <w:top w:val="single" w:sz="4" w:space="0" w:color="auto"/>
              <w:left w:val="single" w:sz="4" w:space="0" w:color="auto"/>
              <w:bottom w:val="single" w:sz="4" w:space="0" w:color="auto"/>
              <w:right w:val="single" w:sz="4" w:space="0" w:color="auto"/>
            </w:tcBorders>
            <w:hideMark/>
          </w:tcPr>
          <w:p w:rsidR="00D66005" w:rsidRPr="00F77964" w:rsidRDefault="00D66005" w:rsidP="003A51C6">
            <w:pPr>
              <w:pStyle w:val="Normal-pool"/>
              <w:spacing w:before="40" w:after="40"/>
              <w:rPr>
                <w:rFonts w:eastAsia="SimSun"/>
                <w:sz w:val="18"/>
                <w:szCs w:val="18"/>
                <w:lang w:eastAsia="zh-CN"/>
              </w:rPr>
            </w:pPr>
            <w:r w:rsidRPr="00F77964">
              <w:rPr>
                <w:rFonts w:eastAsia="SimSun"/>
                <w:sz w:val="18"/>
                <w:szCs w:val="18"/>
                <w:lang w:eastAsia="zh-CN"/>
              </w:rPr>
              <w:t>T</w:t>
            </w:r>
            <w:r w:rsidR="0079412B" w:rsidRPr="00F77964">
              <w:rPr>
                <w:rFonts w:eastAsia="SimSun"/>
                <w:sz w:val="18"/>
                <w:szCs w:val="18"/>
                <w:lang w:eastAsia="zh-CN"/>
              </w:rPr>
              <w:t>roisième trimestre</w:t>
            </w:r>
          </w:p>
        </w:tc>
        <w:tc>
          <w:tcPr>
            <w:tcW w:w="6171" w:type="dxa"/>
            <w:tcBorders>
              <w:top w:val="single" w:sz="4" w:space="0" w:color="auto"/>
              <w:left w:val="single" w:sz="4" w:space="0" w:color="auto"/>
              <w:bottom w:val="single" w:sz="4" w:space="0" w:color="auto"/>
              <w:right w:val="single" w:sz="4" w:space="0" w:color="auto"/>
            </w:tcBorders>
            <w:hideMark/>
          </w:tcPr>
          <w:p w:rsidR="00D66005" w:rsidRPr="00F77964" w:rsidRDefault="0079412B" w:rsidP="003A51C6">
            <w:pPr>
              <w:pStyle w:val="Normal-pool"/>
              <w:spacing w:before="40" w:after="40"/>
              <w:rPr>
                <w:rFonts w:eastAsia="SimSun"/>
                <w:sz w:val="18"/>
                <w:szCs w:val="18"/>
                <w:lang w:eastAsia="zh-CN"/>
              </w:rPr>
            </w:pPr>
            <w:r w:rsidRPr="00F77964">
              <w:rPr>
                <w:rFonts w:eastAsia="SimSun"/>
                <w:sz w:val="18"/>
                <w:szCs w:val="18"/>
                <w:lang w:eastAsia="zh-CN"/>
              </w:rPr>
              <w:t xml:space="preserve">L’équipe spéciale </w:t>
            </w:r>
            <w:r w:rsidR="00BC330B">
              <w:rPr>
                <w:rFonts w:eastAsia="SimSun"/>
                <w:sz w:val="18"/>
                <w:szCs w:val="18"/>
                <w:lang w:eastAsia="zh-CN"/>
              </w:rPr>
              <w:t>aid</w:t>
            </w:r>
            <w:r w:rsidRPr="00F77964">
              <w:rPr>
                <w:rFonts w:eastAsia="SimSun"/>
                <w:sz w:val="18"/>
                <w:szCs w:val="18"/>
                <w:lang w:eastAsia="zh-CN"/>
              </w:rPr>
              <w:t xml:space="preserve">e le Bureau, le Groupe d’experts multidisciplinaire et le Secrétariat </w:t>
            </w:r>
            <w:r w:rsidR="00BC330B">
              <w:rPr>
                <w:rFonts w:eastAsia="SimSun"/>
                <w:sz w:val="18"/>
                <w:szCs w:val="18"/>
                <w:lang w:eastAsia="zh-CN"/>
              </w:rPr>
              <w:t xml:space="preserve">à </w:t>
            </w:r>
            <w:r w:rsidR="00592491" w:rsidRPr="00F77964">
              <w:rPr>
                <w:rFonts w:eastAsia="SimSun"/>
                <w:sz w:val="18"/>
                <w:szCs w:val="18"/>
                <w:lang w:eastAsia="zh-CN"/>
              </w:rPr>
              <w:t>organis</w:t>
            </w:r>
            <w:r w:rsidR="00BC330B">
              <w:rPr>
                <w:rFonts w:eastAsia="SimSun"/>
                <w:sz w:val="18"/>
                <w:szCs w:val="18"/>
                <w:lang w:eastAsia="zh-CN"/>
              </w:rPr>
              <w:t xml:space="preserve">er </w:t>
            </w:r>
            <w:r w:rsidRPr="00F77964">
              <w:rPr>
                <w:rFonts w:eastAsia="SimSun"/>
                <w:sz w:val="18"/>
                <w:szCs w:val="18"/>
                <w:lang w:eastAsia="zh-CN"/>
              </w:rPr>
              <w:t xml:space="preserve">un dialogue sur la hiérarchisation des besoins de connaissances et </w:t>
            </w:r>
            <w:r w:rsidR="00BC330B">
              <w:rPr>
                <w:rFonts w:eastAsia="SimSun"/>
                <w:sz w:val="18"/>
                <w:szCs w:val="18"/>
                <w:lang w:eastAsia="zh-CN"/>
              </w:rPr>
              <w:t xml:space="preserve">à stimuler </w:t>
            </w:r>
            <w:r w:rsidRPr="00F77964">
              <w:rPr>
                <w:rFonts w:eastAsia="SimSun"/>
                <w:sz w:val="18"/>
                <w:szCs w:val="18"/>
                <w:lang w:eastAsia="zh-CN"/>
              </w:rPr>
              <w:t xml:space="preserve">la </w:t>
            </w:r>
            <w:r w:rsidR="0095782A">
              <w:rPr>
                <w:rFonts w:eastAsia="SimSun"/>
                <w:sz w:val="18"/>
                <w:szCs w:val="18"/>
                <w:lang w:eastAsia="zh-CN"/>
              </w:rPr>
              <w:t>production de</w:t>
            </w:r>
            <w:r w:rsidRPr="00F77964">
              <w:rPr>
                <w:rFonts w:eastAsia="SimSun"/>
                <w:sz w:val="18"/>
                <w:szCs w:val="18"/>
                <w:lang w:eastAsia="zh-CN"/>
              </w:rPr>
              <w:t xml:space="preserve"> nouvelles connaissances là où des lacunes existent</w:t>
            </w:r>
          </w:p>
        </w:tc>
      </w:tr>
      <w:tr w:rsidR="00D66005" w:rsidRPr="0061490E" w:rsidTr="00E07D3A">
        <w:trPr>
          <w:trHeight w:val="165"/>
        </w:trPr>
        <w:tc>
          <w:tcPr>
            <w:tcW w:w="643"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3A51C6">
            <w:pPr>
              <w:pStyle w:val="Normal-pool"/>
              <w:spacing w:before="40" w:after="40"/>
              <w:rPr>
                <w:rFonts w:eastAsia="SimSun"/>
                <w:sz w:val="18"/>
                <w:szCs w:val="18"/>
                <w:lang w:eastAsia="zh-CN"/>
              </w:rPr>
            </w:pPr>
            <w:r w:rsidRPr="00F77964">
              <w:rPr>
                <w:rFonts w:eastAsia="SimSun"/>
                <w:sz w:val="18"/>
                <w:szCs w:val="18"/>
                <w:lang w:eastAsia="zh-CN"/>
              </w:rPr>
              <w:t>2016</w:t>
            </w:r>
          </w:p>
        </w:tc>
        <w:tc>
          <w:tcPr>
            <w:tcW w:w="1187"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79412B" w:rsidP="003A51C6">
            <w:pPr>
              <w:pStyle w:val="Normal-pool"/>
              <w:spacing w:before="40" w:after="40"/>
              <w:rPr>
                <w:rFonts w:eastAsia="SimSun"/>
                <w:sz w:val="18"/>
                <w:szCs w:val="18"/>
                <w:lang w:eastAsia="zh-CN"/>
              </w:rPr>
            </w:pPr>
            <w:r w:rsidRPr="00F77964">
              <w:rPr>
                <w:rFonts w:eastAsia="SimSun"/>
                <w:sz w:val="18"/>
                <w:szCs w:val="18"/>
                <w:lang w:eastAsia="zh-CN"/>
              </w:rPr>
              <w:t>Premier</w:t>
            </w:r>
            <w:r w:rsidR="00D66005" w:rsidRPr="00F77964">
              <w:rPr>
                <w:rFonts w:eastAsia="SimSun"/>
                <w:sz w:val="18"/>
                <w:szCs w:val="18"/>
                <w:lang w:eastAsia="zh-CN"/>
              </w:rPr>
              <w:t>/</w:t>
            </w:r>
            <w:r w:rsidR="00D972E8">
              <w:rPr>
                <w:rFonts w:eastAsia="SimSun"/>
                <w:sz w:val="18"/>
                <w:szCs w:val="18"/>
                <w:lang w:eastAsia="zh-CN"/>
              </w:rPr>
              <w:t xml:space="preserve"> </w:t>
            </w:r>
            <w:r w:rsidRPr="00F77964">
              <w:rPr>
                <w:rFonts w:eastAsia="SimSun"/>
                <w:sz w:val="18"/>
                <w:szCs w:val="18"/>
                <w:lang w:eastAsia="zh-CN"/>
              </w:rPr>
              <w:t>deuxième/</w:t>
            </w:r>
            <w:r w:rsidR="00D972E8">
              <w:rPr>
                <w:rFonts w:eastAsia="SimSun"/>
                <w:sz w:val="18"/>
                <w:szCs w:val="18"/>
                <w:lang w:eastAsia="zh-CN"/>
              </w:rPr>
              <w:t xml:space="preserve"> </w:t>
            </w:r>
            <w:r w:rsidRPr="00F77964">
              <w:rPr>
                <w:rFonts w:eastAsia="SimSun"/>
                <w:sz w:val="18"/>
                <w:szCs w:val="18"/>
                <w:lang w:eastAsia="zh-CN"/>
              </w:rPr>
              <w:t>troisième/</w:t>
            </w:r>
            <w:r w:rsidR="00D972E8">
              <w:rPr>
                <w:rFonts w:eastAsia="SimSun"/>
                <w:sz w:val="18"/>
                <w:szCs w:val="18"/>
                <w:lang w:eastAsia="zh-CN"/>
              </w:rPr>
              <w:t xml:space="preserve"> </w:t>
            </w:r>
            <w:r w:rsidRPr="00F77964">
              <w:rPr>
                <w:rFonts w:eastAsia="SimSun"/>
                <w:sz w:val="18"/>
                <w:szCs w:val="18"/>
                <w:lang w:eastAsia="zh-CN"/>
              </w:rPr>
              <w:t>quatrième trimestres</w:t>
            </w:r>
          </w:p>
        </w:tc>
        <w:tc>
          <w:tcPr>
            <w:tcW w:w="6171" w:type="dxa"/>
            <w:tcBorders>
              <w:top w:val="single" w:sz="4" w:space="0" w:color="auto"/>
              <w:left w:val="single" w:sz="4" w:space="0" w:color="auto"/>
              <w:bottom w:val="single" w:sz="4" w:space="0" w:color="auto"/>
              <w:right w:val="single" w:sz="4" w:space="0" w:color="auto"/>
            </w:tcBorders>
            <w:hideMark/>
          </w:tcPr>
          <w:p w:rsidR="00D66005" w:rsidRPr="00F77964" w:rsidRDefault="0079412B" w:rsidP="003A51C6">
            <w:pPr>
              <w:pStyle w:val="Normal-pool"/>
              <w:spacing w:before="40" w:after="40"/>
              <w:rPr>
                <w:rFonts w:eastAsia="SimSun"/>
                <w:sz w:val="18"/>
                <w:szCs w:val="18"/>
                <w:lang w:eastAsia="zh-CN"/>
              </w:rPr>
            </w:pPr>
            <w:r w:rsidRPr="00F77964">
              <w:rPr>
                <w:rFonts w:eastAsia="SimSun"/>
                <w:sz w:val="18"/>
                <w:szCs w:val="18"/>
                <w:lang w:eastAsia="zh-CN"/>
              </w:rPr>
              <w:t xml:space="preserve">L’équipe spéciale continue de fournir des conseils et un appui au Bureau et au Groupe d’experts multidisciplinaire sur la </w:t>
            </w:r>
            <w:r w:rsidR="00592491" w:rsidRPr="00F77964">
              <w:rPr>
                <w:rFonts w:eastAsia="SimSun"/>
                <w:sz w:val="18"/>
                <w:szCs w:val="18"/>
                <w:lang w:eastAsia="zh-CN"/>
              </w:rPr>
              <w:t>mise en</w:t>
            </w:r>
            <w:r w:rsidRPr="00F77964">
              <w:rPr>
                <w:rFonts w:eastAsia="SimSun"/>
                <w:sz w:val="18"/>
                <w:szCs w:val="18"/>
                <w:lang w:eastAsia="zh-CN"/>
              </w:rPr>
              <w:t xml:space="preserve"> œuvre des approches en matière de données et de connaissances</w:t>
            </w:r>
            <w:r w:rsidR="00592491" w:rsidRPr="00F77964">
              <w:rPr>
                <w:rFonts w:eastAsia="SimSun"/>
                <w:sz w:val="18"/>
                <w:szCs w:val="18"/>
                <w:lang w:eastAsia="zh-CN"/>
              </w:rPr>
              <w:t>, telles qu’</w:t>
            </w:r>
            <w:r w:rsidRPr="00F77964">
              <w:rPr>
                <w:rFonts w:eastAsia="SimSun"/>
                <w:sz w:val="18"/>
                <w:szCs w:val="18"/>
                <w:lang w:eastAsia="zh-CN"/>
              </w:rPr>
              <w:t xml:space="preserve">approuvées par la Plénière </w:t>
            </w:r>
          </w:p>
        </w:tc>
      </w:tr>
      <w:tr w:rsidR="00D66005" w:rsidRPr="0061490E" w:rsidTr="00E07D3A">
        <w:trPr>
          <w:trHeight w:val="53"/>
        </w:trPr>
        <w:tc>
          <w:tcPr>
            <w:tcW w:w="643" w:type="dxa"/>
            <w:vMerge/>
            <w:tcBorders>
              <w:top w:val="single" w:sz="4" w:space="0" w:color="auto"/>
              <w:left w:val="single" w:sz="4" w:space="0" w:color="auto"/>
              <w:bottom w:val="single" w:sz="4" w:space="0" w:color="auto"/>
              <w:right w:val="single" w:sz="4" w:space="0" w:color="auto"/>
            </w:tcBorders>
            <w:hideMark/>
          </w:tcPr>
          <w:p w:rsidR="00D66005" w:rsidRPr="0061490E" w:rsidRDefault="00D66005" w:rsidP="003A51C6">
            <w:pPr>
              <w:rPr>
                <w:rFonts w:eastAsia="SimSun"/>
                <w:sz w:val="18"/>
                <w:szCs w:val="18"/>
                <w:lang w:eastAsia="zh-CN"/>
              </w:rPr>
            </w:pPr>
          </w:p>
        </w:tc>
        <w:tc>
          <w:tcPr>
            <w:tcW w:w="1187" w:type="dxa"/>
            <w:vMerge/>
            <w:tcBorders>
              <w:top w:val="single" w:sz="4" w:space="0" w:color="auto"/>
              <w:left w:val="single" w:sz="4" w:space="0" w:color="auto"/>
              <w:bottom w:val="single" w:sz="4" w:space="0" w:color="auto"/>
              <w:right w:val="single" w:sz="4" w:space="0" w:color="auto"/>
            </w:tcBorders>
            <w:hideMark/>
          </w:tcPr>
          <w:p w:rsidR="00D66005" w:rsidRPr="0061490E" w:rsidRDefault="00D66005" w:rsidP="003A51C6">
            <w:pPr>
              <w:rPr>
                <w:rFonts w:eastAsia="SimSun"/>
                <w:sz w:val="18"/>
                <w:szCs w:val="18"/>
                <w:lang w:eastAsia="zh-CN"/>
              </w:rPr>
            </w:pPr>
          </w:p>
        </w:tc>
        <w:tc>
          <w:tcPr>
            <w:tcW w:w="6171" w:type="dxa"/>
            <w:tcBorders>
              <w:top w:val="single" w:sz="4" w:space="0" w:color="auto"/>
              <w:left w:val="single" w:sz="4" w:space="0" w:color="auto"/>
              <w:bottom w:val="single" w:sz="4" w:space="0" w:color="auto"/>
              <w:right w:val="single" w:sz="4" w:space="0" w:color="auto"/>
            </w:tcBorders>
            <w:hideMark/>
          </w:tcPr>
          <w:p w:rsidR="00D66005" w:rsidRPr="00F77964" w:rsidRDefault="0079412B" w:rsidP="003A51C6">
            <w:pPr>
              <w:pStyle w:val="Normal-pool"/>
              <w:spacing w:before="40" w:after="40"/>
              <w:rPr>
                <w:rFonts w:eastAsia="SimSun"/>
                <w:sz w:val="18"/>
                <w:szCs w:val="18"/>
                <w:lang w:eastAsia="zh-CN"/>
              </w:rPr>
            </w:pPr>
            <w:r w:rsidRPr="00F77964">
              <w:rPr>
                <w:rFonts w:eastAsia="SimSun"/>
                <w:sz w:val="18"/>
                <w:szCs w:val="18"/>
                <w:lang w:eastAsia="zh-CN"/>
              </w:rPr>
              <w:t xml:space="preserve">L’équipe spéciale </w:t>
            </w:r>
            <w:r w:rsidR="006347B4" w:rsidRPr="00F77964">
              <w:rPr>
                <w:rFonts w:eastAsia="SimSun"/>
                <w:sz w:val="18"/>
                <w:szCs w:val="18"/>
                <w:lang w:eastAsia="zh-CN"/>
              </w:rPr>
              <w:t>maint</w:t>
            </w:r>
            <w:r w:rsidR="00592491" w:rsidRPr="00F77964">
              <w:rPr>
                <w:rFonts w:eastAsia="SimSun"/>
                <w:sz w:val="18"/>
                <w:szCs w:val="18"/>
                <w:lang w:eastAsia="zh-CN"/>
              </w:rPr>
              <w:t>ient</w:t>
            </w:r>
            <w:r w:rsidRPr="00F77964">
              <w:rPr>
                <w:rFonts w:eastAsia="SimSun"/>
                <w:sz w:val="18"/>
                <w:szCs w:val="18"/>
                <w:lang w:eastAsia="zh-CN"/>
              </w:rPr>
              <w:t xml:space="preserve"> </w:t>
            </w:r>
            <w:r w:rsidR="00592491" w:rsidRPr="00F77964">
              <w:rPr>
                <w:rFonts w:eastAsia="SimSun"/>
                <w:sz w:val="18"/>
                <w:szCs w:val="18"/>
                <w:lang w:eastAsia="zh-CN"/>
              </w:rPr>
              <w:t xml:space="preserve">à jour </w:t>
            </w:r>
            <w:r w:rsidRPr="00F77964">
              <w:rPr>
                <w:rFonts w:eastAsia="SimSun"/>
                <w:sz w:val="18"/>
                <w:szCs w:val="18"/>
                <w:lang w:eastAsia="zh-CN"/>
              </w:rPr>
              <w:t>une liste des besoins prioritaires en matière de connaissances</w:t>
            </w:r>
          </w:p>
        </w:tc>
      </w:tr>
      <w:tr w:rsidR="00D66005" w:rsidRPr="0061490E" w:rsidTr="00E07D3A">
        <w:trPr>
          <w:trHeight w:val="387"/>
        </w:trPr>
        <w:tc>
          <w:tcPr>
            <w:tcW w:w="643"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3A51C6">
            <w:pPr>
              <w:pStyle w:val="Normal-pool"/>
              <w:spacing w:before="40" w:after="40"/>
              <w:rPr>
                <w:rFonts w:eastAsia="SimSun"/>
                <w:sz w:val="18"/>
                <w:szCs w:val="18"/>
                <w:lang w:eastAsia="zh-CN"/>
              </w:rPr>
            </w:pPr>
            <w:r w:rsidRPr="00F77964">
              <w:rPr>
                <w:rFonts w:eastAsia="SimSun"/>
                <w:sz w:val="18"/>
                <w:szCs w:val="18"/>
                <w:lang w:eastAsia="zh-CN"/>
              </w:rPr>
              <w:t>2017</w:t>
            </w:r>
          </w:p>
        </w:tc>
        <w:tc>
          <w:tcPr>
            <w:tcW w:w="1187" w:type="dxa"/>
            <w:tcBorders>
              <w:top w:val="single" w:sz="4" w:space="0" w:color="auto"/>
              <w:left w:val="single" w:sz="4" w:space="0" w:color="auto"/>
              <w:bottom w:val="single" w:sz="4" w:space="0" w:color="auto"/>
              <w:right w:val="single" w:sz="4" w:space="0" w:color="auto"/>
            </w:tcBorders>
            <w:hideMark/>
          </w:tcPr>
          <w:p w:rsidR="00D66005" w:rsidRPr="00F77964" w:rsidRDefault="0079412B" w:rsidP="003A51C6">
            <w:pPr>
              <w:pStyle w:val="Normal-pool"/>
              <w:spacing w:before="40" w:after="40"/>
              <w:rPr>
                <w:rFonts w:eastAsia="SimSun"/>
                <w:sz w:val="18"/>
                <w:szCs w:val="18"/>
                <w:lang w:eastAsia="zh-CN"/>
              </w:rPr>
            </w:pPr>
            <w:r w:rsidRPr="00F77964">
              <w:rPr>
                <w:rFonts w:eastAsia="SimSun"/>
                <w:sz w:val="18"/>
                <w:szCs w:val="18"/>
                <w:lang w:eastAsia="zh-CN"/>
              </w:rPr>
              <w:t>Premier</w:t>
            </w:r>
            <w:r w:rsidR="00D66005" w:rsidRPr="00F77964">
              <w:rPr>
                <w:rFonts w:eastAsia="SimSun"/>
                <w:sz w:val="18"/>
                <w:szCs w:val="18"/>
                <w:lang w:eastAsia="zh-CN"/>
              </w:rPr>
              <w:t>/</w:t>
            </w:r>
            <w:r w:rsidRPr="00F77964">
              <w:rPr>
                <w:rFonts w:eastAsia="SimSun"/>
                <w:sz w:val="18"/>
                <w:szCs w:val="18"/>
                <w:lang w:eastAsia="zh-CN"/>
              </w:rPr>
              <w:t xml:space="preserve"> deuxième</w:t>
            </w:r>
            <w:r w:rsidR="00D66005" w:rsidRPr="00F77964">
              <w:rPr>
                <w:rFonts w:eastAsia="SimSun"/>
                <w:sz w:val="18"/>
                <w:szCs w:val="18"/>
                <w:lang w:eastAsia="zh-CN"/>
              </w:rPr>
              <w:t xml:space="preserve">/ </w:t>
            </w:r>
            <w:r w:rsidRPr="00F77964">
              <w:rPr>
                <w:rFonts w:eastAsia="SimSun"/>
                <w:sz w:val="18"/>
                <w:szCs w:val="18"/>
                <w:lang w:eastAsia="zh-CN"/>
              </w:rPr>
              <w:t>troisième</w:t>
            </w:r>
            <w:r w:rsidR="00D66005" w:rsidRPr="00F77964">
              <w:rPr>
                <w:rFonts w:eastAsia="SimSun"/>
                <w:sz w:val="18"/>
                <w:szCs w:val="18"/>
                <w:lang w:eastAsia="zh-CN"/>
              </w:rPr>
              <w:t>/</w:t>
            </w:r>
            <w:r w:rsidRPr="00F77964">
              <w:rPr>
                <w:rFonts w:eastAsia="SimSun"/>
                <w:sz w:val="18"/>
                <w:szCs w:val="18"/>
                <w:lang w:eastAsia="zh-CN"/>
              </w:rPr>
              <w:t xml:space="preserve"> quatrième</w:t>
            </w:r>
            <w:r w:rsidR="00D66005" w:rsidRPr="00F77964">
              <w:rPr>
                <w:rFonts w:eastAsia="SimSun"/>
                <w:sz w:val="18"/>
                <w:szCs w:val="18"/>
                <w:lang w:eastAsia="zh-CN"/>
              </w:rPr>
              <w:t xml:space="preserve"> </w:t>
            </w:r>
            <w:r w:rsidRPr="00F77964">
              <w:rPr>
                <w:rFonts w:eastAsia="SimSun"/>
                <w:sz w:val="18"/>
                <w:szCs w:val="18"/>
                <w:lang w:eastAsia="zh-CN"/>
              </w:rPr>
              <w:t>trimestres</w:t>
            </w:r>
          </w:p>
        </w:tc>
        <w:tc>
          <w:tcPr>
            <w:tcW w:w="6171" w:type="dxa"/>
            <w:tcBorders>
              <w:top w:val="single" w:sz="4" w:space="0" w:color="auto"/>
              <w:left w:val="single" w:sz="4" w:space="0" w:color="auto"/>
              <w:bottom w:val="single" w:sz="4" w:space="0" w:color="auto"/>
              <w:right w:val="single" w:sz="4" w:space="0" w:color="auto"/>
            </w:tcBorders>
            <w:hideMark/>
          </w:tcPr>
          <w:p w:rsidR="00D66005" w:rsidRPr="00F77964" w:rsidRDefault="0079412B" w:rsidP="003A51C6">
            <w:pPr>
              <w:pStyle w:val="Normal-pool"/>
              <w:spacing w:before="40" w:after="40"/>
              <w:rPr>
                <w:rFonts w:eastAsia="SimSun"/>
                <w:sz w:val="18"/>
                <w:szCs w:val="18"/>
                <w:lang w:eastAsia="zh-CN"/>
              </w:rPr>
            </w:pPr>
            <w:r w:rsidRPr="00F77964">
              <w:rPr>
                <w:rFonts w:eastAsia="SimSun"/>
                <w:sz w:val="18"/>
                <w:szCs w:val="18"/>
                <w:lang w:eastAsia="zh-CN"/>
              </w:rPr>
              <w:t xml:space="preserve">L’équipe spéciale continue de fournir des conseils et un appui au Bureau et au Groupe d’experts </w:t>
            </w:r>
            <w:r w:rsidR="00200881" w:rsidRPr="00F77964">
              <w:rPr>
                <w:rFonts w:eastAsia="SimSun"/>
                <w:sz w:val="18"/>
                <w:szCs w:val="18"/>
                <w:lang w:eastAsia="zh-CN"/>
              </w:rPr>
              <w:t>multi</w:t>
            </w:r>
            <w:r w:rsidRPr="00F77964">
              <w:rPr>
                <w:rFonts w:eastAsia="SimSun"/>
                <w:sz w:val="18"/>
                <w:szCs w:val="18"/>
                <w:lang w:eastAsia="zh-CN"/>
              </w:rPr>
              <w:t>disciplinaire sur l</w:t>
            </w:r>
            <w:r w:rsidR="006347B4" w:rsidRPr="00F77964">
              <w:rPr>
                <w:rFonts w:eastAsia="SimSun"/>
                <w:sz w:val="18"/>
                <w:szCs w:val="18"/>
                <w:lang w:eastAsia="zh-CN"/>
              </w:rPr>
              <w:t>’ap</w:t>
            </w:r>
            <w:r w:rsidR="003E3AEE" w:rsidRPr="00F77964">
              <w:rPr>
                <w:rFonts w:eastAsia="SimSun"/>
                <w:sz w:val="18"/>
                <w:szCs w:val="18"/>
                <w:lang w:eastAsia="zh-CN"/>
              </w:rPr>
              <w:t>p</w:t>
            </w:r>
            <w:r w:rsidR="006347B4" w:rsidRPr="00F77964">
              <w:rPr>
                <w:rFonts w:eastAsia="SimSun"/>
                <w:sz w:val="18"/>
                <w:szCs w:val="18"/>
                <w:lang w:eastAsia="zh-CN"/>
              </w:rPr>
              <w:t>lication</w:t>
            </w:r>
            <w:r w:rsidRPr="00F77964">
              <w:rPr>
                <w:rFonts w:eastAsia="SimSun"/>
                <w:sz w:val="18"/>
                <w:szCs w:val="18"/>
                <w:lang w:eastAsia="zh-CN"/>
              </w:rPr>
              <w:t xml:space="preserve"> des approches en matière de connaissances et de données</w:t>
            </w:r>
            <w:r w:rsidR="003E3AEE" w:rsidRPr="00F77964">
              <w:rPr>
                <w:rFonts w:eastAsia="SimSun"/>
                <w:sz w:val="18"/>
                <w:szCs w:val="18"/>
                <w:lang w:eastAsia="zh-CN"/>
              </w:rPr>
              <w:t>, telles qu’</w:t>
            </w:r>
            <w:r w:rsidRPr="00F77964">
              <w:rPr>
                <w:rFonts w:eastAsia="SimSun"/>
                <w:sz w:val="18"/>
                <w:szCs w:val="18"/>
                <w:lang w:eastAsia="zh-CN"/>
              </w:rPr>
              <w:t>approuvées par la Plénière</w:t>
            </w:r>
          </w:p>
        </w:tc>
      </w:tr>
      <w:tr w:rsidR="00D66005" w:rsidRPr="0061490E" w:rsidTr="00E07D3A">
        <w:trPr>
          <w:trHeight w:val="274"/>
        </w:trPr>
        <w:tc>
          <w:tcPr>
            <w:tcW w:w="643" w:type="dxa"/>
            <w:vMerge/>
            <w:tcBorders>
              <w:top w:val="single" w:sz="4" w:space="0" w:color="auto"/>
              <w:left w:val="single" w:sz="4" w:space="0" w:color="auto"/>
              <w:bottom w:val="single" w:sz="4" w:space="0" w:color="auto"/>
              <w:right w:val="single" w:sz="4" w:space="0" w:color="auto"/>
            </w:tcBorders>
            <w:hideMark/>
          </w:tcPr>
          <w:p w:rsidR="00D66005" w:rsidRPr="0061490E" w:rsidRDefault="00D66005" w:rsidP="003A51C6">
            <w:pPr>
              <w:rPr>
                <w:rFonts w:eastAsia="SimSun"/>
                <w:sz w:val="18"/>
                <w:szCs w:val="18"/>
                <w:lang w:eastAsia="zh-CN"/>
              </w:rPr>
            </w:pPr>
          </w:p>
        </w:tc>
        <w:tc>
          <w:tcPr>
            <w:tcW w:w="1187" w:type="dxa"/>
            <w:tcBorders>
              <w:top w:val="single" w:sz="4" w:space="0" w:color="auto"/>
              <w:left w:val="single" w:sz="4" w:space="0" w:color="auto"/>
              <w:bottom w:val="single" w:sz="4" w:space="0" w:color="auto"/>
              <w:right w:val="single" w:sz="4" w:space="0" w:color="auto"/>
            </w:tcBorders>
            <w:hideMark/>
          </w:tcPr>
          <w:p w:rsidR="00D66005" w:rsidRPr="00F77964" w:rsidRDefault="0079412B" w:rsidP="003A51C6">
            <w:pPr>
              <w:pStyle w:val="Normal-pool"/>
              <w:spacing w:before="40" w:after="40"/>
              <w:rPr>
                <w:rFonts w:eastAsia="SimSun"/>
                <w:sz w:val="18"/>
                <w:szCs w:val="18"/>
                <w:lang w:eastAsia="zh-CN"/>
              </w:rPr>
            </w:pPr>
            <w:r w:rsidRPr="00F77964">
              <w:rPr>
                <w:rFonts w:eastAsia="SimSun"/>
                <w:sz w:val="18"/>
                <w:szCs w:val="18"/>
                <w:lang w:eastAsia="zh-CN"/>
              </w:rPr>
              <w:t>Deuxième trimestre</w:t>
            </w:r>
          </w:p>
        </w:tc>
        <w:tc>
          <w:tcPr>
            <w:tcW w:w="6171" w:type="dxa"/>
            <w:tcBorders>
              <w:top w:val="single" w:sz="4" w:space="0" w:color="auto"/>
              <w:left w:val="single" w:sz="4" w:space="0" w:color="auto"/>
              <w:bottom w:val="single" w:sz="4" w:space="0" w:color="auto"/>
              <w:right w:val="single" w:sz="4" w:space="0" w:color="auto"/>
            </w:tcBorders>
            <w:hideMark/>
          </w:tcPr>
          <w:p w:rsidR="00D66005" w:rsidRPr="00F77964" w:rsidRDefault="003E3AEE" w:rsidP="003A51C6">
            <w:pPr>
              <w:pStyle w:val="Normal-pool"/>
              <w:spacing w:before="40" w:after="40"/>
              <w:rPr>
                <w:rFonts w:eastAsia="SimSun"/>
                <w:sz w:val="18"/>
                <w:szCs w:val="18"/>
                <w:lang w:eastAsia="zh-CN"/>
              </w:rPr>
            </w:pPr>
            <w:r w:rsidRPr="00F77964">
              <w:rPr>
                <w:rFonts w:eastAsia="SimSun"/>
                <w:sz w:val="18"/>
                <w:szCs w:val="18"/>
                <w:lang w:eastAsia="zh-CN"/>
              </w:rPr>
              <w:t>L’équipe spéciale conseille le Bureau et le Groupe d’experts multidisciplinaire sur la définition des besoins prioritaires en matière de connaissances, en s’appuyant notamment sur les études de cadrage</w:t>
            </w:r>
          </w:p>
        </w:tc>
      </w:tr>
      <w:tr w:rsidR="00D66005" w:rsidRPr="0061490E" w:rsidTr="00E07D3A">
        <w:trPr>
          <w:trHeight w:val="132"/>
        </w:trPr>
        <w:tc>
          <w:tcPr>
            <w:tcW w:w="643" w:type="dxa"/>
            <w:vMerge/>
            <w:tcBorders>
              <w:top w:val="single" w:sz="4" w:space="0" w:color="auto"/>
              <w:left w:val="single" w:sz="4" w:space="0" w:color="auto"/>
              <w:bottom w:val="single" w:sz="4" w:space="0" w:color="auto"/>
              <w:right w:val="single" w:sz="4" w:space="0" w:color="auto"/>
            </w:tcBorders>
            <w:hideMark/>
          </w:tcPr>
          <w:p w:rsidR="00D66005" w:rsidRPr="0061490E" w:rsidRDefault="00D66005" w:rsidP="003A51C6">
            <w:pPr>
              <w:rPr>
                <w:rFonts w:eastAsia="SimSun"/>
                <w:sz w:val="18"/>
                <w:szCs w:val="18"/>
                <w:lang w:eastAsia="zh-CN"/>
              </w:rPr>
            </w:pPr>
          </w:p>
        </w:tc>
        <w:tc>
          <w:tcPr>
            <w:tcW w:w="1187" w:type="dxa"/>
            <w:tcBorders>
              <w:top w:val="single" w:sz="4" w:space="0" w:color="auto"/>
              <w:left w:val="single" w:sz="4" w:space="0" w:color="auto"/>
              <w:bottom w:val="single" w:sz="4" w:space="0" w:color="auto"/>
              <w:right w:val="single" w:sz="4" w:space="0" w:color="auto"/>
            </w:tcBorders>
            <w:hideMark/>
          </w:tcPr>
          <w:p w:rsidR="00D66005" w:rsidRPr="00F77964" w:rsidRDefault="00D66005" w:rsidP="003A51C6">
            <w:pPr>
              <w:pStyle w:val="Normal-pool"/>
              <w:spacing w:before="40" w:after="40"/>
              <w:rPr>
                <w:rFonts w:eastAsia="SimSun"/>
                <w:sz w:val="18"/>
                <w:szCs w:val="18"/>
                <w:lang w:eastAsia="zh-CN"/>
              </w:rPr>
            </w:pPr>
            <w:r w:rsidRPr="00F77964">
              <w:rPr>
                <w:rFonts w:eastAsia="SimSun"/>
                <w:sz w:val="18"/>
                <w:szCs w:val="18"/>
                <w:lang w:eastAsia="zh-CN"/>
              </w:rPr>
              <w:t>T</w:t>
            </w:r>
            <w:r w:rsidR="0079412B" w:rsidRPr="00F77964">
              <w:rPr>
                <w:rFonts w:eastAsia="SimSun"/>
                <w:sz w:val="18"/>
                <w:szCs w:val="18"/>
                <w:lang w:eastAsia="zh-CN"/>
              </w:rPr>
              <w:t>roisième trimestre</w:t>
            </w:r>
          </w:p>
        </w:tc>
        <w:tc>
          <w:tcPr>
            <w:tcW w:w="6171" w:type="dxa"/>
            <w:tcBorders>
              <w:top w:val="single" w:sz="4" w:space="0" w:color="auto"/>
              <w:left w:val="single" w:sz="4" w:space="0" w:color="auto"/>
              <w:bottom w:val="single" w:sz="4" w:space="0" w:color="auto"/>
              <w:right w:val="single" w:sz="4" w:space="0" w:color="auto"/>
            </w:tcBorders>
            <w:hideMark/>
          </w:tcPr>
          <w:p w:rsidR="00D66005" w:rsidRPr="00F77964" w:rsidRDefault="00BC330B" w:rsidP="003A51C6">
            <w:pPr>
              <w:pStyle w:val="Normal-pool"/>
              <w:spacing w:before="40" w:after="40"/>
              <w:rPr>
                <w:rFonts w:eastAsia="SimSun"/>
                <w:sz w:val="18"/>
                <w:szCs w:val="18"/>
                <w:lang w:eastAsia="zh-CN"/>
              </w:rPr>
            </w:pPr>
            <w:r w:rsidRPr="00F77964">
              <w:rPr>
                <w:rFonts w:eastAsia="SimSun"/>
                <w:sz w:val="18"/>
                <w:szCs w:val="18"/>
                <w:lang w:eastAsia="zh-CN"/>
              </w:rPr>
              <w:t xml:space="preserve">L’équipe spéciale </w:t>
            </w:r>
            <w:r>
              <w:rPr>
                <w:rFonts w:eastAsia="SimSun"/>
                <w:sz w:val="18"/>
                <w:szCs w:val="18"/>
                <w:lang w:eastAsia="zh-CN"/>
              </w:rPr>
              <w:t>aid</w:t>
            </w:r>
            <w:r w:rsidRPr="00F77964">
              <w:rPr>
                <w:rFonts w:eastAsia="SimSun"/>
                <w:sz w:val="18"/>
                <w:szCs w:val="18"/>
                <w:lang w:eastAsia="zh-CN"/>
              </w:rPr>
              <w:t xml:space="preserve">e le Bureau, le Groupe d’experts multidisciplinaire et le Secrétariat </w:t>
            </w:r>
            <w:r>
              <w:rPr>
                <w:rFonts w:eastAsia="SimSun"/>
                <w:sz w:val="18"/>
                <w:szCs w:val="18"/>
                <w:lang w:eastAsia="zh-CN"/>
              </w:rPr>
              <w:t xml:space="preserve">à </w:t>
            </w:r>
            <w:r w:rsidRPr="00F77964">
              <w:rPr>
                <w:rFonts w:eastAsia="SimSun"/>
                <w:sz w:val="18"/>
                <w:szCs w:val="18"/>
                <w:lang w:eastAsia="zh-CN"/>
              </w:rPr>
              <w:t>organis</w:t>
            </w:r>
            <w:r>
              <w:rPr>
                <w:rFonts w:eastAsia="SimSun"/>
                <w:sz w:val="18"/>
                <w:szCs w:val="18"/>
                <w:lang w:eastAsia="zh-CN"/>
              </w:rPr>
              <w:t xml:space="preserve">er </w:t>
            </w:r>
            <w:r w:rsidRPr="00F77964">
              <w:rPr>
                <w:rFonts w:eastAsia="SimSun"/>
                <w:sz w:val="18"/>
                <w:szCs w:val="18"/>
                <w:lang w:eastAsia="zh-CN"/>
              </w:rPr>
              <w:t xml:space="preserve">un dialogue sur la hiérarchisation des besoins de connaissances et </w:t>
            </w:r>
            <w:r>
              <w:rPr>
                <w:rFonts w:eastAsia="SimSun"/>
                <w:sz w:val="18"/>
                <w:szCs w:val="18"/>
                <w:lang w:eastAsia="zh-CN"/>
              </w:rPr>
              <w:t xml:space="preserve">à stimuler </w:t>
            </w:r>
            <w:r w:rsidRPr="00F77964">
              <w:rPr>
                <w:rFonts w:eastAsia="SimSun"/>
                <w:sz w:val="18"/>
                <w:szCs w:val="18"/>
                <w:lang w:eastAsia="zh-CN"/>
              </w:rPr>
              <w:t xml:space="preserve">la </w:t>
            </w:r>
            <w:r>
              <w:rPr>
                <w:rFonts w:eastAsia="SimSun"/>
                <w:sz w:val="18"/>
                <w:szCs w:val="18"/>
                <w:lang w:eastAsia="zh-CN"/>
              </w:rPr>
              <w:t>production de</w:t>
            </w:r>
            <w:r w:rsidRPr="00F77964">
              <w:rPr>
                <w:rFonts w:eastAsia="SimSun"/>
                <w:sz w:val="18"/>
                <w:szCs w:val="18"/>
                <w:lang w:eastAsia="zh-CN"/>
              </w:rPr>
              <w:t xml:space="preserve"> nouvelles connaissances là où des lacunes existent</w:t>
            </w:r>
          </w:p>
        </w:tc>
      </w:tr>
      <w:tr w:rsidR="00D66005" w:rsidRPr="0061490E" w:rsidTr="00E07D3A">
        <w:trPr>
          <w:trHeight w:val="165"/>
        </w:trPr>
        <w:tc>
          <w:tcPr>
            <w:tcW w:w="643"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3A51C6">
            <w:pPr>
              <w:pStyle w:val="Normal-pool"/>
              <w:spacing w:before="40" w:after="40"/>
              <w:rPr>
                <w:rFonts w:eastAsia="SimSun"/>
                <w:sz w:val="18"/>
                <w:szCs w:val="18"/>
                <w:lang w:eastAsia="zh-CN"/>
              </w:rPr>
            </w:pPr>
            <w:r w:rsidRPr="00F77964">
              <w:rPr>
                <w:rFonts w:eastAsia="SimSun"/>
                <w:sz w:val="18"/>
                <w:szCs w:val="18"/>
                <w:lang w:eastAsia="zh-CN"/>
              </w:rPr>
              <w:t>2018</w:t>
            </w:r>
          </w:p>
        </w:tc>
        <w:tc>
          <w:tcPr>
            <w:tcW w:w="1187"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79412B" w:rsidP="003A51C6">
            <w:pPr>
              <w:pStyle w:val="Normal-pool"/>
              <w:spacing w:before="40" w:after="40"/>
              <w:rPr>
                <w:rFonts w:eastAsia="SimSun"/>
                <w:sz w:val="18"/>
                <w:szCs w:val="18"/>
                <w:lang w:eastAsia="zh-CN"/>
              </w:rPr>
            </w:pPr>
            <w:r w:rsidRPr="00F77964">
              <w:rPr>
                <w:rFonts w:eastAsia="SimSun"/>
                <w:sz w:val="18"/>
                <w:szCs w:val="18"/>
                <w:lang w:eastAsia="zh-CN"/>
              </w:rPr>
              <w:t>Premier</w:t>
            </w:r>
            <w:r w:rsidR="00D66005" w:rsidRPr="00F77964">
              <w:rPr>
                <w:rFonts w:eastAsia="SimSun"/>
                <w:sz w:val="18"/>
                <w:szCs w:val="18"/>
                <w:lang w:eastAsia="zh-CN"/>
              </w:rPr>
              <w:t>/</w:t>
            </w:r>
            <w:r w:rsidRPr="00F77964">
              <w:rPr>
                <w:rFonts w:eastAsia="SimSun"/>
                <w:sz w:val="18"/>
                <w:szCs w:val="18"/>
                <w:lang w:eastAsia="zh-CN"/>
              </w:rPr>
              <w:t xml:space="preserve"> deuxième</w:t>
            </w:r>
            <w:r w:rsidR="00D66005" w:rsidRPr="00F77964">
              <w:rPr>
                <w:rFonts w:eastAsia="SimSun"/>
                <w:sz w:val="18"/>
                <w:szCs w:val="18"/>
                <w:lang w:eastAsia="zh-CN"/>
              </w:rPr>
              <w:t>/ t</w:t>
            </w:r>
            <w:r w:rsidRPr="00F77964">
              <w:rPr>
                <w:rFonts w:eastAsia="SimSun"/>
                <w:sz w:val="18"/>
                <w:szCs w:val="18"/>
                <w:lang w:eastAsia="zh-CN"/>
              </w:rPr>
              <w:t>roisième</w:t>
            </w:r>
            <w:r w:rsidR="00D66005" w:rsidRPr="00F77964">
              <w:rPr>
                <w:rFonts w:eastAsia="SimSun"/>
                <w:sz w:val="18"/>
                <w:szCs w:val="18"/>
                <w:lang w:eastAsia="zh-CN"/>
              </w:rPr>
              <w:t>/</w:t>
            </w:r>
            <w:r w:rsidRPr="00F77964">
              <w:rPr>
                <w:rFonts w:eastAsia="SimSun"/>
                <w:sz w:val="18"/>
                <w:szCs w:val="18"/>
                <w:lang w:eastAsia="zh-CN"/>
              </w:rPr>
              <w:t xml:space="preserve"> quatrième</w:t>
            </w:r>
            <w:r w:rsidR="00D66005" w:rsidRPr="00F77964">
              <w:rPr>
                <w:rFonts w:eastAsia="SimSun"/>
                <w:sz w:val="18"/>
                <w:szCs w:val="18"/>
                <w:lang w:eastAsia="zh-CN"/>
              </w:rPr>
              <w:t xml:space="preserve"> </w:t>
            </w:r>
            <w:r w:rsidRPr="00F77964">
              <w:rPr>
                <w:rFonts w:eastAsia="SimSun"/>
                <w:sz w:val="18"/>
                <w:szCs w:val="18"/>
                <w:lang w:eastAsia="zh-CN"/>
              </w:rPr>
              <w:t>trimestres</w:t>
            </w:r>
          </w:p>
        </w:tc>
        <w:tc>
          <w:tcPr>
            <w:tcW w:w="6171" w:type="dxa"/>
            <w:tcBorders>
              <w:top w:val="single" w:sz="4" w:space="0" w:color="auto"/>
              <w:left w:val="single" w:sz="4" w:space="0" w:color="auto"/>
              <w:bottom w:val="single" w:sz="4" w:space="0" w:color="auto"/>
              <w:right w:val="single" w:sz="4" w:space="0" w:color="auto"/>
            </w:tcBorders>
            <w:hideMark/>
          </w:tcPr>
          <w:p w:rsidR="00D66005" w:rsidRPr="00F77964" w:rsidRDefault="000C18BD" w:rsidP="003A51C6">
            <w:pPr>
              <w:pStyle w:val="Normal-pool"/>
              <w:spacing w:before="40" w:after="40"/>
              <w:rPr>
                <w:rFonts w:eastAsia="SimSun"/>
                <w:sz w:val="18"/>
                <w:szCs w:val="18"/>
                <w:lang w:eastAsia="zh-CN"/>
              </w:rPr>
            </w:pPr>
            <w:r w:rsidRPr="00F77964">
              <w:rPr>
                <w:rFonts w:eastAsia="SimSun"/>
                <w:sz w:val="18"/>
                <w:szCs w:val="18"/>
                <w:lang w:eastAsia="zh-CN"/>
              </w:rPr>
              <w:t xml:space="preserve">L’équipe spéciale continue de fournir des conseils et un appui au Bureau et au Groupe d’experts </w:t>
            </w:r>
            <w:r w:rsidR="00200881" w:rsidRPr="00F77964">
              <w:rPr>
                <w:rFonts w:eastAsia="SimSun"/>
                <w:sz w:val="18"/>
                <w:szCs w:val="18"/>
                <w:lang w:eastAsia="zh-CN"/>
              </w:rPr>
              <w:t>multi</w:t>
            </w:r>
            <w:r w:rsidRPr="00F77964">
              <w:rPr>
                <w:rFonts w:eastAsia="SimSun"/>
                <w:sz w:val="18"/>
                <w:szCs w:val="18"/>
                <w:lang w:eastAsia="zh-CN"/>
              </w:rPr>
              <w:t>disciplinaire sur l’application des approches en matière de connaissances et de données, telles qu’approuvées par la Plénière</w:t>
            </w:r>
          </w:p>
        </w:tc>
      </w:tr>
      <w:tr w:rsidR="00D66005" w:rsidRPr="0061490E" w:rsidTr="00E07D3A">
        <w:trPr>
          <w:trHeight w:val="53"/>
        </w:trPr>
        <w:tc>
          <w:tcPr>
            <w:tcW w:w="643" w:type="dxa"/>
            <w:vMerge/>
            <w:tcBorders>
              <w:top w:val="single" w:sz="4" w:space="0" w:color="auto"/>
              <w:left w:val="single" w:sz="4" w:space="0" w:color="auto"/>
              <w:bottom w:val="single" w:sz="4" w:space="0" w:color="auto"/>
              <w:right w:val="single" w:sz="4" w:space="0" w:color="auto"/>
            </w:tcBorders>
            <w:hideMark/>
          </w:tcPr>
          <w:p w:rsidR="00D66005" w:rsidRPr="0061490E" w:rsidRDefault="00D66005" w:rsidP="003A51C6">
            <w:pPr>
              <w:rPr>
                <w:rFonts w:eastAsia="SimSun"/>
                <w:sz w:val="18"/>
                <w:szCs w:val="18"/>
                <w:lang w:eastAsia="zh-CN"/>
              </w:rPr>
            </w:pPr>
          </w:p>
        </w:tc>
        <w:tc>
          <w:tcPr>
            <w:tcW w:w="1187" w:type="dxa"/>
            <w:vMerge/>
            <w:tcBorders>
              <w:top w:val="single" w:sz="4" w:space="0" w:color="auto"/>
              <w:left w:val="single" w:sz="4" w:space="0" w:color="auto"/>
              <w:bottom w:val="single" w:sz="4" w:space="0" w:color="auto"/>
              <w:right w:val="single" w:sz="4" w:space="0" w:color="auto"/>
            </w:tcBorders>
            <w:hideMark/>
          </w:tcPr>
          <w:p w:rsidR="00D66005" w:rsidRPr="0061490E" w:rsidRDefault="00D66005" w:rsidP="003A51C6">
            <w:pPr>
              <w:rPr>
                <w:rFonts w:eastAsia="SimSun"/>
                <w:sz w:val="18"/>
                <w:szCs w:val="18"/>
                <w:lang w:eastAsia="zh-CN"/>
              </w:rPr>
            </w:pPr>
          </w:p>
        </w:tc>
        <w:tc>
          <w:tcPr>
            <w:tcW w:w="6171" w:type="dxa"/>
            <w:tcBorders>
              <w:top w:val="single" w:sz="4" w:space="0" w:color="auto"/>
              <w:left w:val="single" w:sz="4" w:space="0" w:color="auto"/>
              <w:bottom w:val="single" w:sz="4" w:space="0" w:color="auto"/>
              <w:right w:val="single" w:sz="4" w:space="0" w:color="auto"/>
            </w:tcBorders>
            <w:hideMark/>
          </w:tcPr>
          <w:p w:rsidR="00D66005" w:rsidRPr="00F77964" w:rsidRDefault="000C18BD" w:rsidP="003A51C6">
            <w:pPr>
              <w:pStyle w:val="Normal-pool"/>
              <w:spacing w:before="40" w:after="40"/>
              <w:rPr>
                <w:rFonts w:eastAsia="SimSun"/>
                <w:sz w:val="18"/>
                <w:szCs w:val="18"/>
                <w:lang w:eastAsia="zh-CN"/>
              </w:rPr>
            </w:pPr>
            <w:r w:rsidRPr="00F77964">
              <w:rPr>
                <w:rFonts w:eastAsia="SimSun"/>
                <w:sz w:val="18"/>
                <w:szCs w:val="18"/>
                <w:lang w:eastAsia="zh-CN"/>
              </w:rPr>
              <w:t xml:space="preserve">L’équipe spéciale </w:t>
            </w:r>
            <w:r w:rsidR="00BC330B">
              <w:rPr>
                <w:rFonts w:eastAsia="SimSun"/>
                <w:sz w:val="18"/>
                <w:szCs w:val="18"/>
                <w:lang w:eastAsia="zh-CN"/>
              </w:rPr>
              <w:t>continue de tenir</w:t>
            </w:r>
            <w:r w:rsidR="00592491" w:rsidRPr="00F77964">
              <w:rPr>
                <w:rFonts w:eastAsia="SimSun"/>
                <w:sz w:val="18"/>
                <w:szCs w:val="18"/>
                <w:lang w:eastAsia="zh-CN"/>
              </w:rPr>
              <w:t xml:space="preserve"> à jour</w:t>
            </w:r>
            <w:r w:rsidRPr="00F77964">
              <w:rPr>
                <w:rFonts w:eastAsia="SimSun"/>
                <w:sz w:val="18"/>
                <w:szCs w:val="18"/>
                <w:lang w:eastAsia="zh-CN"/>
              </w:rPr>
              <w:t xml:space="preserve"> une liste des besoins prioritaires en matière de connaissances</w:t>
            </w:r>
          </w:p>
        </w:tc>
      </w:tr>
    </w:tbl>
    <w:p w:rsidR="00D66005" w:rsidRPr="00F77964" w:rsidRDefault="00D66005" w:rsidP="00933422">
      <w:pPr>
        <w:pStyle w:val="CH3"/>
        <w:spacing w:before="240"/>
        <w:rPr>
          <w:rFonts w:eastAsia="SimSun"/>
          <w:lang w:val="fr-FR" w:eastAsia="zh-CN"/>
        </w:rPr>
      </w:pPr>
      <w:r w:rsidRPr="00F77964">
        <w:rPr>
          <w:rFonts w:eastAsia="SimSun"/>
          <w:lang w:val="fr-FR" w:eastAsia="zh-CN"/>
        </w:rPr>
        <w:lastRenderedPageBreak/>
        <w:tab/>
      </w:r>
      <w:r w:rsidRPr="00F77964">
        <w:rPr>
          <w:rFonts w:eastAsia="SimSun"/>
          <w:lang w:val="fr-FR" w:eastAsia="zh-CN"/>
        </w:rPr>
        <w:tab/>
      </w:r>
      <w:r w:rsidR="0079412B" w:rsidRPr="00F77964">
        <w:rPr>
          <w:rFonts w:eastAsia="SimSun"/>
          <w:lang w:val="fr-FR" w:eastAsia="zh-CN"/>
        </w:rPr>
        <w:t>Prévisions de coûts</w:t>
      </w:r>
      <w:r w:rsidRPr="00F77964">
        <w:rPr>
          <w:rFonts w:eastAsia="SimSun"/>
          <w:lang w:val="fr-FR" w:eastAsia="zh-CN"/>
        </w:rPr>
        <w:t xml:space="preserve"> </w:t>
      </w:r>
    </w:p>
    <w:p w:rsidR="00D66005" w:rsidRPr="00F77964" w:rsidRDefault="0079412B" w:rsidP="00933422">
      <w:pPr>
        <w:pStyle w:val="Normalnumber"/>
        <w:keepNext/>
        <w:keepLines/>
        <w:numPr>
          <w:ilvl w:val="0"/>
          <w:numId w:val="6"/>
        </w:numPr>
        <w:tabs>
          <w:tab w:val="left" w:pos="624"/>
        </w:tabs>
        <w:ind w:left="1247" w:firstLine="0"/>
        <w:rPr>
          <w:rFonts w:eastAsia="Calibri"/>
          <w:lang w:val="fr-FR"/>
        </w:rPr>
      </w:pPr>
      <w:r w:rsidRPr="00F77964">
        <w:rPr>
          <w:lang w:val="fr-FR"/>
        </w:rPr>
        <w:t>Les prévisions de coûts sont les suivantes :</w:t>
      </w:r>
    </w:p>
    <w:p w:rsidR="00D66005" w:rsidRPr="00F77964" w:rsidRDefault="00D66005" w:rsidP="00933422">
      <w:pPr>
        <w:pStyle w:val="Normalnumber"/>
        <w:keepNext/>
        <w:keepLines/>
        <w:tabs>
          <w:tab w:val="left" w:pos="624"/>
        </w:tabs>
        <w:rPr>
          <w:rFonts w:eastAsia="SimSun"/>
          <w:i/>
          <w:sz w:val="18"/>
          <w:szCs w:val="18"/>
          <w:lang w:val="fr-FR" w:eastAsia="zh-CN"/>
        </w:rPr>
      </w:pPr>
      <w:r w:rsidRPr="00F77964">
        <w:rPr>
          <w:rFonts w:eastAsia="Calibri"/>
          <w:lang w:val="fr-FR"/>
        </w:rPr>
        <w:tab/>
      </w:r>
      <w:r w:rsidRPr="00F77964">
        <w:rPr>
          <w:rFonts w:eastAsia="Calibri"/>
          <w:lang w:val="fr-FR"/>
        </w:rPr>
        <w:tab/>
      </w:r>
      <w:r w:rsidRPr="00F77964">
        <w:rPr>
          <w:rFonts w:eastAsia="Calibri"/>
          <w:sz w:val="18"/>
          <w:szCs w:val="18"/>
          <w:lang w:val="fr-FR"/>
        </w:rPr>
        <w:t>(</w:t>
      </w:r>
      <w:r w:rsidR="000C18BD" w:rsidRPr="00F77964">
        <w:rPr>
          <w:rFonts w:eastAsia="Calibri"/>
          <w:sz w:val="18"/>
          <w:szCs w:val="18"/>
          <w:lang w:val="fr-FR"/>
        </w:rPr>
        <w:t>d</w:t>
      </w:r>
      <w:r w:rsidR="0079412B" w:rsidRPr="00F77964">
        <w:rPr>
          <w:rFonts w:eastAsia="Calibri"/>
          <w:sz w:val="18"/>
          <w:szCs w:val="18"/>
          <w:lang w:val="fr-FR"/>
        </w:rPr>
        <w:t xml:space="preserve">ollars des </w:t>
      </w:r>
      <w:r w:rsidR="00DB5889" w:rsidRPr="00F77964">
        <w:rPr>
          <w:rFonts w:eastAsia="Calibri"/>
          <w:sz w:val="18"/>
          <w:szCs w:val="18"/>
          <w:lang w:val="fr-FR"/>
        </w:rPr>
        <w:t>États-Unis</w:t>
      </w:r>
      <w:r w:rsidRPr="00F77964">
        <w:rPr>
          <w:rFonts w:eastAsia="Calibri"/>
          <w:sz w:val="18"/>
          <w:szCs w:val="18"/>
          <w:lang w:val="fr-FR"/>
        </w:rPr>
        <w:t>)</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3"/>
        <w:gridCol w:w="3142"/>
        <w:gridCol w:w="980"/>
      </w:tblGrid>
      <w:tr w:rsidR="00D66005" w:rsidRPr="0061490E" w:rsidTr="00D66005">
        <w:trPr>
          <w:tblHeader/>
        </w:trPr>
        <w:tc>
          <w:tcPr>
            <w:tcW w:w="720" w:type="dxa"/>
            <w:tcBorders>
              <w:top w:val="single" w:sz="4" w:space="0" w:color="auto"/>
              <w:left w:val="single" w:sz="4" w:space="0" w:color="auto"/>
              <w:bottom w:val="single" w:sz="4" w:space="0" w:color="auto"/>
              <w:right w:val="single" w:sz="4" w:space="0" w:color="auto"/>
            </w:tcBorders>
            <w:hideMark/>
          </w:tcPr>
          <w:p w:rsidR="00D66005" w:rsidRPr="00F77964" w:rsidRDefault="0079412B" w:rsidP="00933422">
            <w:pPr>
              <w:pStyle w:val="Normal-pool"/>
              <w:keepNext/>
              <w:keepLines/>
              <w:spacing w:before="40" w:after="40"/>
              <w:rPr>
                <w:rFonts w:eastAsia="SimSun"/>
                <w:i/>
                <w:sz w:val="18"/>
                <w:szCs w:val="18"/>
                <w:lang w:eastAsia="zh-CN"/>
              </w:rPr>
            </w:pPr>
            <w:r w:rsidRPr="00F77964">
              <w:rPr>
                <w:rFonts w:eastAsia="SimSun"/>
                <w:i/>
                <w:sz w:val="18"/>
                <w:szCs w:val="18"/>
                <w:lang w:eastAsia="zh-CN"/>
              </w:rPr>
              <w:t>Année</w:t>
            </w:r>
          </w:p>
        </w:tc>
        <w:tc>
          <w:tcPr>
            <w:tcW w:w="3527" w:type="dxa"/>
            <w:tcBorders>
              <w:top w:val="single" w:sz="4" w:space="0" w:color="auto"/>
              <w:left w:val="single" w:sz="4" w:space="0" w:color="auto"/>
              <w:bottom w:val="single" w:sz="4" w:space="0" w:color="auto"/>
              <w:right w:val="single" w:sz="4" w:space="0" w:color="auto"/>
            </w:tcBorders>
            <w:hideMark/>
          </w:tcPr>
          <w:p w:rsidR="00D66005" w:rsidRPr="00F77964" w:rsidRDefault="00D972E8" w:rsidP="00933422">
            <w:pPr>
              <w:pStyle w:val="Normal-pool"/>
              <w:keepNext/>
              <w:keepLines/>
              <w:spacing w:before="40" w:after="40"/>
              <w:rPr>
                <w:rFonts w:eastAsia="SimSun"/>
                <w:i/>
                <w:sz w:val="18"/>
                <w:szCs w:val="18"/>
                <w:lang w:eastAsia="zh-CN"/>
              </w:rPr>
            </w:pPr>
            <w:r>
              <w:rPr>
                <w:rFonts w:eastAsia="SimSun"/>
                <w:i/>
                <w:sz w:val="18"/>
                <w:szCs w:val="18"/>
                <w:lang w:eastAsia="zh-CN"/>
              </w:rPr>
              <w:t>Postes de dépense</w:t>
            </w:r>
          </w:p>
        </w:tc>
        <w:tc>
          <w:tcPr>
            <w:tcW w:w="3544" w:type="dxa"/>
            <w:tcBorders>
              <w:top w:val="single" w:sz="4" w:space="0" w:color="auto"/>
              <w:left w:val="single" w:sz="4" w:space="0" w:color="auto"/>
              <w:bottom w:val="single" w:sz="4" w:space="0" w:color="auto"/>
              <w:right w:val="single" w:sz="4" w:space="0" w:color="auto"/>
            </w:tcBorders>
            <w:hideMark/>
          </w:tcPr>
          <w:p w:rsidR="00D66005" w:rsidRPr="00F77964" w:rsidRDefault="00526A11" w:rsidP="00933422">
            <w:pPr>
              <w:pStyle w:val="Normal-pool"/>
              <w:keepNext/>
              <w:keepLines/>
              <w:spacing w:before="40" w:after="40"/>
              <w:rPr>
                <w:rFonts w:eastAsia="SimSun"/>
                <w:i/>
                <w:sz w:val="18"/>
                <w:szCs w:val="18"/>
                <w:lang w:eastAsia="zh-CN"/>
              </w:rPr>
            </w:pPr>
            <w:r w:rsidRPr="00F77964">
              <w:rPr>
                <w:rFonts w:eastAsia="SimSun"/>
                <w:i/>
                <w:sz w:val="18"/>
                <w:szCs w:val="18"/>
                <w:lang w:eastAsia="zh-CN"/>
              </w:rPr>
              <w:t>Hypothèses</w:t>
            </w:r>
          </w:p>
        </w:tc>
        <w:tc>
          <w:tcPr>
            <w:tcW w:w="992" w:type="dxa"/>
            <w:tcBorders>
              <w:top w:val="single" w:sz="4" w:space="0" w:color="auto"/>
              <w:left w:val="single" w:sz="4" w:space="0" w:color="auto"/>
              <w:bottom w:val="single" w:sz="4" w:space="0" w:color="auto"/>
              <w:right w:val="single" w:sz="4" w:space="0" w:color="auto"/>
            </w:tcBorders>
            <w:hideMark/>
          </w:tcPr>
          <w:p w:rsidR="00D66005" w:rsidRPr="00F77964" w:rsidRDefault="00526A11" w:rsidP="00933422">
            <w:pPr>
              <w:pStyle w:val="Normal-pool"/>
              <w:keepNext/>
              <w:keepLines/>
              <w:spacing w:before="40" w:after="40"/>
              <w:jc w:val="right"/>
              <w:rPr>
                <w:rFonts w:eastAsia="SimSun"/>
                <w:i/>
                <w:sz w:val="18"/>
                <w:szCs w:val="18"/>
                <w:lang w:eastAsia="zh-CN"/>
              </w:rPr>
            </w:pPr>
            <w:r w:rsidRPr="00F77964">
              <w:rPr>
                <w:rFonts w:eastAsia="SimSun"/>
                <w:i/>
                <w:sz w:val="18"/>
                <w:szCs w:val="18"/>
                <w:lang w:eastAsia="zh-CN"/>
              </w:rPr>
              <w:t>Coûts</w:t>
            </w:r>
          </w:p>
        </w:tc>
      </w:tr>
      <w:tr w:rsidR="00D66005" w:rsidRPr="0061490E" w:rsidTr="00933422">
        <w:tc>
          <w:tcPr>
            <w:tcW w:w="720"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933422">
            <w:pPr>
              <w:pStyle w:val="Normal-pool"/>
              <w:keepNext/>
              <w:keepLines/>
              <w:spacing w:before="40" w:after="40"/>
              <w:rPr>
                <w:rFonts w:eastAsia="SimSun"/>
                <w:sz w:val="18"/>
                <w:szCs w:val="18"/>
                <w:lang w:eastAsia="zh-CN"/>
              </w:rPr>
            </w:pPr>
            <w:r w:rsidRPr="00F77964">
              <w:rPr>
                <w:rFonts w:eastAsia="SimSun"/>
                <w:sz w:val="18"/>
                <w:szCs w:val="18"/>
                <w:lang w:eastAsia="zh-CN"/>
              </w:rPr>
              <w:t>2014</w:t>
            </w:r>
          </w:p>
        </w:tc>
        <w:tc>
          <w:tcPr>
            <w:tcW w:w="3527"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79412B" w:rsidP="00933422">
            <w:pPr>
              <w:pStyle w:val="Normal-pool"/>
              <w:keepNext/>
              <w:keepLines/>
              <w:spacing w:before="40" w:after="40"/>
              <w:rPr>
                <w:rFonts w:eastAsia="SimSun"/>
                <w:sz w:val="18"/>
                <w:szCs w:val="18"/>
                <w:lang w:eastAsia="zh-CN"/>
              </w:rPr>
            </w:pPr>
            <w:r w:rsidRPr="00F77964">
              <w:rPr>
                <w:rFonts w:eastAsia="SimSun"/>
                <w:sz w:val="18"/>
                <w:szCs w:val="18"/>
                <w:lang w:eastAsia="zh-CN"/>
              </w:rPr>
              <w:t>Réunion de l’équipe spéciale</w:t>
            </w:r>
            <w:r w:rsidR="00D66005" w:rsidRPr="00F77964">
              <w:rPr>
                <w:rFonts w:eastAsia="SimSun"/>
                <w:sz w:val="18"/>
                <w:szCs w:val="18"/>
                <w:lang w:eastAsia="zh-CN"/>
              </w:rPr>
              <w:t xml:space="preserve"> (5 </w:t>
            </w:r>
            <w:r w:rsidRPr="00F77964">
              <w:rPr>
                <w:rFonts w:eastAsia="SimSun"/>
                <w:sz w:val="18"/>
                <w:szCs w:val="18"/>
                <w:lang w:eastAsia="zh-CN"/>
              </w:rPr>
              <w:t>membres du Groupe d’experts multidisciplinaire et du Bureau</w:t>
            </w:r>
            <w:r w:rsidR="00BC330B">
              <w:rPr>
                <w:rFonts w:eastAsia="SimSun"/>
                <w:sz w:val="18"/>
                <w:szCs w:val="18"/>
                <w:lang w:eastAsia="zh-CN"/>
              </w:rPr>
              <w:t xml:space="preserve"> +</w:t>
            </w:r>
            <w:r w:rsidR="00A542D9">
              <w:rPr>
                <w:rFonts w:eastAsia="SimSun"/>
                <w:sz w:val="18"/>
                <w:szCs w:val="18"/>
                <w:lang w:eastAsia="zh-CN"/>
              </w:rPr>
              <w:t xml:space="preserve"> </w:t>
            </w:r>
            <w:r w:rsidR="00D66005" w:rsidRPr="00F77964">
              <w:rPr>
                <w:rFonts w:eastAsia="SimSun"/>
                <w:sz w:val="18"/>
                <w:szCs w:val="18"/>
                <w:lang w:eastAsia="zh-CN"/>
              </w:rPr>
              <w:t>20 experts/</w:t>
            </w:r>
            <w:r w:rsidRPr="00F77964">
              <w:rPr>
                <w:rFonts w:eastAsia="SimSun"/>
                <w:sz w:val="18"/>
                <w:szCs w:val="18"/>
                <w:lang w:eastAsia="zh-CN"/>
              </w:rPr>
              <w:t>partenaires stratégiques</w:t>
            </w:r>
            <w:r w:rsidR="00D66005" w:rsidRPr="00F77964">
              <w:rPr>
                <w:rFonts w:eastAsia="SimSun"/>
                <w:sz w:val="18"/>
                <w:szCs w:val="18"/>
                <w:lang w:eastAsia="zh-CN"/>
              </w:rPr>
              <w:t>)</w:t>
            </w:r>
          </w:p>
        </w:tc>
        <w:tc>
          <w:tcPr>
            <w:tcW w:w="3544" w:type="dxa"/>
            <w:tcBorders>
              <w:top w:val="single" w:sz="4" w:space="0" w:color="auto"/>
              <w:left w:val="single" w:sz="4" w:space="0" w:color="auto"/>
              <w:bottom w:val="single" w:sz="4" w:space="0" w:color="auto"/>
              <w:right w:val="single" w:sz="4" w:space="0" w:color="auto"/>
            </w:tcBorders>
            <w:hideMark/>
          </w:tcPr>
          <w:p w:rsidR="00D66005" w:rsidRPr="00F77964" w:rsidRDefault="00526A11" w:rsidP="00933422">
            <w:pPr>
              <w:pStyle w:val="Normal-pool"/>
              <w:keepNext/>
              <w:keepLines/>
              <w:spacing w:before="40" w:after="40"/>
              <w:rPr>
                <w:rFonts w:eastAsia="SimSun"/>
                <w:sz w:val="18"/>
                <w:szCs w:val="18"/>
                <w:lang w:eastAsia="zh-CN"/>
              </w:rPr>
            </w:pPr>
            <w:r w:rsidRPr="00F77964">
              <w:rPr>
                <w:rFonts w:eastAsia="SimSun"/>
                <w:sz w:val="18"/>
                <w:szCs w:val="18"/>
                <w:lang w:eastAsia="zh-CN"/>
              </w:rPr>
              <w:t>Coûts de la réunion</w:t>
            </w:r>
            <w:r w:rsidR="00D66005" w:rsidRPr="00F77964">
              <w:rPr>
                <w:rFonts w:eastAsia="SimSun"/>
                <w:sz w:val="18"/>
                <w:szCs w:val="18"/>
                <w:lang w:eastAsia="zh-CN"/>
              </w:rPr>
              <w:t xml:space="preserve"> (1</w:t>
            </w:r>
            <w:r w:rsidRPr="00F77964">
              <w:rPr>
                <w:rFonts w:eastAsia="SimSun"/>
                <w:sz w:val="18"/>
                <w:szCs w:val="18"/>
                <w:lang w:eastAsia="zh-CN"/>
              </w:rPr>
              <w:t> semaine</w:t>
            </w:r>
            <w:r w:rsidR="00D66005" w:rsidRPr="00F77964">
              <w:rPr>
                <w:rFonts w:eastAsia="SimSun"/>
                <w:sz w:val="18"/>
                <w:szCs w:val="18"/>
                <w:lang w:eastAsia="zh-CN"/>
              </w:rPr>
              <w:t>, 25</w:t>
            </w:r>
            <w:r w:rsidRPr="00F77964">
              <w:rPr>
                <w:rFonts w:eastAsia="SimSun"/>
                <w:sz w:val="18"/>
                <w:szCs w:val="18"/>
                <w:lang w:eastAsia="zh-CN"/>
              </w:rPr>
              <w:t> </w:t>
            </w:r>
            <w:r w:rsidR="00D66005" w:rsidRPr="00F77964">
              <w:rPr>
                <w:rFonts w:eastAsia="SimSun"/>
                <w:sz w:val="18"/>
                <w:szCs w:val="18"/>
                <w:lang w:eastAsia="zh-CN"/>
              </w:rPr>
              <w:t>participants) (25 </w:t>
            </w:r>
            <w:r w:rsidRPr="00F77964">
              <w:rPr>
                <w:rFonts w:eastAsia="SimSun"/>
                <w:sz w:val="18"/>
                <w:szCs w:val="18"/>
                <w:lang w:eastAsia="zh-CN"/>
              </w:rPr>
              <w:t>% en nature</w:t>
            </w:r>
            <w:r w:rsidR="00D66005" w:rsidRPr="00F77964">
              <w:rPr>
                <w:rFonts w:eastAsia="SimSun"/>
                <w:sz w:val="18"/>
                <w:szCs w:val="18"/>
                <w:lang w:eastAsia="zh-CN"/>
              </w:rPr>
              <w:t>)</w:t>
            </w:r>
          </w:p>
        </w:tc>
        <w:tc>
          <w:tcPr>
            <w:tcW w:w="99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933422">
            <w:pPr>
              <w:pStyle w:val="Normal-pool"/>
              <w:keepNext/>
              <w:keepLines/>
              <w:spacing w:before="40" w:after="40"/>
              <w:rPr>
                <w:rFonts w:eastAsia="SimSun"/>
                <w:sz w:val="18"/>
                <w:szCs w:val="18"/>
                <w:lang w:eastAsia="zh-CN"/>
              </w:rPr>
            </w:pPr>
            <w:r w:rsidRPr="00F77964">
              <w:rPr>
                <w:rFonts w:eastAsia="SimSun"/>
                <w:sz w:val="18"/>
                <w:szCs w:val="18"/>
                <w:lang w:eastAsia="zh-CN"/>
              </w:rPr>
              <w:t>7</w:t>
            </w:r>
            <w:r w:rsidR="000C18BD" w:rsidRPr="00F77964">
              <w:rPr>
                <w:rFonts w:eastAsia="SimSun"/>
                <w:sz w:val="18"/>
                <w:szCs w:val="18"/>
                <w:lang w:eastAsia="zh-CN"/>
              </w:rPr>
              <w:t> </w:t>
            </w:r>
            <w:r w:rsidRPr="00F77964">
              <w:rPr>
                <w:rFonts w:eastAsia="SimSun"/>
                <w:sz w:val="18"/>
                <w:szCs w:val="18"/>
                <w:lang w:eastAsia="zh-CN"/>
              </w:rPr>
              <w:t>500</w:t>
            </w:r>
          </w:p>
        </w:tc>
      </w:tr>
      <w:tr w:rsidR="00D66005" w:rsidRPr="0061490E" w:rsidTr="00933422">
        <w:trPr>
          <w:trHeight w:val="331"/>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933422">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933422">
            <w:pPr>
              <w:rPr>
                <w:rFonts w:eastAsia="SimSun"/>
                <w:sz w:val="18"/>
                <w:szCs w:val="18"/>
                <w:lang w:eastAsia="zh-CN"/>
              </w:rPr>
            </w:pPr>
          </w:p>
        </w:tc>
        <w:tc>
          <w:tcPr>
            <w:tcW w:w="3544" w:type="dxa"/>
            <w:tcBorders>
              <w:top w:val="single" w:sz="4" w:space="0" w:color="auto"/>
              <w:left w:val="single" w:sz="4" w:space="0" w:color="auto"/>
              <w:bottom w:val="single" w:sz="4" w:space="0" w:color="auto"/>
              <w:right w:val="single" w:sz="4" w:space="0" w:color="auto"/>
            </w:tcBorders>
            <w:hideMark/>
          </w:tcPr>
          <w:p w:rsidR="00D66005" w:rsidRPr="00F77964" w:rsidRDefault="00D972E8" w:rsidP="00933422">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00902989">
              <w:rPr>
                <w:rFonts w:eastAsia="SimSun"/>
                <w:sz w:val="18"/>
                <w:szCs w:val="18"/>
                <w:lang w:eastAsia="zh-CN"/>
              </w:rPr>
              <w:t xml:space="preserve"> (5 x </w:t>
            </w:r>
            <w:r w:rsidR="00D66005" w:rsidRPr="00F77964">
              <w:rPr>
                <w:rFonts w:eastAsia="SimSun"/>
                <w:sz w:val="18"/>
                <w:szCs w:val="18"/>
                <w:lang w:eastAsia="zh-CN"/>
              </w:rPr>
              <w:t>3</w:t>
            </w:r>
            <w:r w:rsidR="00526A11" w:rsidRPr="00F77964">
              <w:rPr>
                <w:rFonts w:eastAsia="SimSun"/>
                <w:sz w:val="18"/>
                <w:szCs w:val="18"/>
                <w:lang w:eastAsia="zh-CN"/>
              </w:rPr>
              <w:t> </w:t>
            </w:r>
            <w:r w:rsidR="00D66005" w:rsidRPr="00F77964">
              <w:rPr>
                <w:rFonts w:eastAsia="SimSun"/>
                <w:sz w:val="18"/>
                <w:szCs w:val="18"/>
                <w:lang w:eastAsia="zh-CN"/>
              </w:rPr>
              <w:t>000</w:t>
            </w:r>
            <w:r w:rsidR="00526A11" w:rsidRPr="00F77964">
              <w:rPr>
                <w:rFonts w:eastAsia="SimSun"/>
                <w:sz w:val="18"/>
                <w:szCs w:val="18"/>
                <w:lang w:eastAsia="zh-CN"/>
              </w:rPr>
              <w:t> </w:t>
            </w:r>
            <w:r w:rsidR="000C18BD" w:rsidRPr="00F77964">
              <w:rPr>
                <w:rFonts w:eastAsia="SimSun"/>
                <w:sz w:val="18"/>
                <w:szCs w:val="18"/>
                <w:lang w:eastAsia="zh-CN"/>
              </w:rPr>
              <w:t>dollars</w:t>
            </w:r>
            <w:r w:rsidR="00D66005" w:rsidRPr="00F77964">
              <w:rPr>
                <w:rFonts w:eastAsia="SimSun"/>
                <w:sz w:val="18"/>
                <w:szCs w:val="18"/>
                <w:lang w:eastAsia="zh-CN"/>
              </w:rPr>
              <w:t>)</w:t>
            </w:r>
          </w:p>
        </w:tc>
        <w:tc>
          <w:tcPr>
            <w:tcW w:w="99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933422">
            <w:pPr>
              <w:pStyle w:val="Normal-pool"/>
              <w:spacing w:before="40" w:after="40"/>
              <w:rPr>
                <w:rFonts w:eastAsia="SimSun"/>
                <w:sz w:val="18"/>
                <w:szCs w:val="18"/>
                <w:lang w:eastAsia="zh-CN"/>
              </w:rPr>
            </w:pPr>
            <w:r w:rsidRPr="00F77964">
              <w:rPr>
                <w:rFonts w:eastAsia="SimSun"/>
                <w:sz w:val="18"/>
                <w:szCs w:val="18"/>
                <w:lang w:eastAsia="zh-CN"/>
              </w:rPr>
              <w:t>15</w:t>
            </w:r>
            <w:r w:rsidR="000C18BD" w:rsidRPr="00F77964">
              <w:rPr>
                <w:rFonts w:eastAsia="SimSun"/>
                <w:sz w:val="18"/>
                <w:szCs w:val="18"/>
                <w:lang w:eastAsia="zh-CN"/>
              </w:rPr>
              <w:t> </w:t>
            </w:r>
            <w:r w:rsidRPr="00F77964">
              <w:rPr>
                <w:rFonts w:eastAsia="SimSun"/>
                <w:sz w:val="18"/>
                <w:szCs w:val="18"/>
                <w:lang w:eastAsia="zh-CN"/>
              </w:rPr>
              <w:t>000</w:t>
            </w:r>
          </w:p>
        </w:tc>
      </w:tr>
      <w:tr w:rsidR="00D66005" w:rsidRPr="0061490E" w:rsidTr="00933422">
        <w:trPr>
          <w:trHeight w:val="519"/>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933422">
            <w:pPr>
              <w:rPr>
                <w:rFonts w:eastAsia="SimSun"/>
                <w:sz w:val="18"/>
                <w:szCs w:val="18"/>
                <w:lang w:eastAsia="zh-CN"/>
              </w:rPr>
            </w:pPr>
          </w:p>
        </w:tc>
        <w:tc>
          <w:tcPr>
            <w:tcW w:w="3527" w:type="dxa"/>
            <w:tcBorders>
              <w:top w:val="single" w:sz="4" w:space="0" w:color="auto"/>
              <w:left w:val="single" w:sz="4" w:space="0" w:color="auto"/>
              <w:bottom w:val="single" w:sz="4" w:space="0" w:color="auto"/>
              <w:right w:val="single" w:sz="4" w:space="0" w:color="auto"/>
            </w:tcBorders>
          </w:tcPr>
          <w:p w:rsidR="00D66005" w:rsidRPr="00F77964" w:rsidRDefault="00526A11" w:rsidP="00933422">
            <w:pPr>
              <w:pStyle w:val="Normal-pool"/>
              <w:spacing w:before="40" w:after="40"/>
              <w:rPr>
                <w:rFonts w:eastAsia="SimSun"/>
                <w:sz w:val="18"/>
                <w:szCs w:val="18"/>
                <w:lang w:eastAsia="zh-CN"/>
              </w:rPr>
            </w:pPr>
            <w:r w:rsidRPr="00F77964">
              <w:rPr>
                <w:rFonts w:eastAsia="SimSun"/>
                <w:sz w:val="18"/>
                <w:szCs w:val="18"/>
                <w:lang w:eastAsia="zh-CN"/>
              </w:rPr>
              <w:t>Appui technique</w:t>
            </w:r>
          </w:p>
          <w:p w:rsidR="00D66005" w:rsidRPr="00F77964" w:rsidRDefault="00D66005" w:rsidP="00933422">
            <w:pPr>
              <w:pStyle w:val="Normal-pool"/>
              <w:spacing w:before="40" w:after="40"/>
              <w:rPr>
                <w:rFonts w:eastAsia="SimSun"/>
                <w:sz w:val="18"/>
                <w:szCs w:val="18"/>
                <w:lang w:eastAsia="zh-CN"/>
              </w:rPr>
            </w:pPr>
          </w:p>
        </w:tc>
        <w:tc>
          <w:tcPr>
            <w:tcW w:w="3544" w:type="dxa"/>
            <w:tcBorders>
              <w:top w:val="single" w:sz="4" w:space="0" w:color="auto"/>
              <w:left w:val="single" w:sz="4" w:space="0" w:color="auto"/>
              <w:bottom w:val="single" w:sz="4" w:space="0" w:color="auto"/>
              <w:right w:val="single" w:sz="4" w:space="0" w:color="auto"/>
            </w:tcBorders>
            <w:hideMark/>
          </w:tcPr>
          <w:p w:rsidR="00D66005" w:rsidRPr="00F77964" w:rsidRDefault="00D66005" w:rsidP="00933422">
            <w:pPr>
              <w:pStyle w:val="Normal-pool"/>
              <w:spacing w:before="40" w:after="40"/>
              <w:rPr>
                <w:rFonts w:eastAsia="SimSun"/>
                <w:sz w:val="18"/>
                <w:szCs w:val="18"/>
                <w:lang w:eastAsia="zh-CN"/>
              </w:rPr>
            </w:pPr>
            <w:r w:rsidRPr="00F77964">
              <w:rPr>
                <w:rFonts w:eastAsia="SimSun"/>
                <w:sz w:val="18"/>
                <w:szCs w:val="18"/>
                <w:lang w:eastAsia="zh-CN"/>
              </w:rPr>
              <w:t>2</w:t>
            </w:r>
            <w:r w:rsidR="00526A11" w:rsidRPr="00F77964">
              <w:rPr>
                <w:rFonts w:eastAsia="SimSun"/>
                <w:sz w:val="18"/>
                <w:szCs w:val="18"/>
                <w:lang w:eastAsia="zh-CN"/>
              </w:rPr>
              <w:t> postes d’administrateur équivalent plein temps</w:t>
            </w:r>
            <w:r w:rsidRPr="00F77964">
              <w:rPr>
                <w:rFonts w:eastAsia="SimSun"/>
                <w:sz w:val="18"/>
                <w:szCs w:val="18"/>
                <w:lang w:eastAsia="zh-CN"/>
              </w:rPr>
              <w:t xml:space="preserve"> (50 </w:t>
            </w:r>
            <w:r w:rsidR="00526A11" w:rsidRPr="00F77964">
              <w:rPr>
                <w:rFonts w:eastAsia="SimSun"/>
                <w:sz w:val="18"/>
                <w:szCs w:val="18"/>
                <w:lang w:eastAsia="zh-CN"/>
              </w:rPr>
              <w:t>% en nature</w:t>
            </w:r>
            <w:r w:rsidRPr="00F77964">
              <w:rPr>
                <w:rFonts w:eastAsia="SimSun"/>
                <w:sz w:val="18"/>
                <w:szCs w:val="18"/>
                <w:lang w:eastAsia="zh-CN"/>
              </w:rPr>
              <w:t>)</w:t>
            </w:r>
          </w:p>
        </w:tc>
        <w:tc>
          <w:tcPr>
            <w:tcW w:w="99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933422">
            <w:pPr>
              <w:pStyle w:val="Normal-pool"/>
              <w:spacing w:before="40" w:after="40"/>
              <w:rPr>
                <w:rFonts w:eastAsia="SimSun"/>
                <w:sz w:val="18"/>
                <w:szCs w:val="18"/>
                <w:lang w:eastAsia="zh-CN"/>
              </w:rPr>
            </w:pPr>
            <w:r w:rsidRPr="00F77964">
              <w:rPr>
                <w:rFonts w:eastAsia="SimSun"/>
                <w:sz w:val="18"/>
                <w:szCs w:val="18"/>
                <w:lang w:eastAsia="zh-CN"/>
              </w:rPr>
              <w:t>150</w:t>
            </w:r>
            <w:r w:rsidR="000C18BD" w:rsidRPr="00F77964">
              <w:rPr>
                <w:rFonts w:eastAsia="SimSun"/>
                <w:sz w:val="18"/>
                <w:szCs w:val="18"/>
                <w:lang w:eastAsia="zh-CN"/>
              </w:rPr>
              <w:t> </w:t>
            </w:r>
            <w:r w:rsidRPr="00F77964">
              <w:rPr>
                <w:rFonts w:eastAsia="SimSun"/>
                <w:sz w:val="18"/>
                <w:szCs w:val="18"/>
                <w:lang w:eastAsia="zh-CN"/>
              </w:rPr>
              <w:t>000</w:t>
            </w:r>
          </w:p>
        </w:tc>
      </w:tr>
      <w:tr w:rsidR="00D66005" w:rsidRPr="0061490E" w:rsidTr="00933422">
        <w:tc>
          <w:tcPr>
            <w:tcW w:w="720"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933422">
            <w:pPr>
              <w:pStyle w:val="Normal-pool"/>
              <w:spacing w:before="40" w:after="40"/>
              <w:rPr>
                <w:rFonts w:eastAsia="SimSun"/>
                <w:sz w:val="18"/>
                <w:szCs w:val="18"/>
                <w:lang w:eastAsia="zh-CN"/>
              </w:rPr>
            </w:pPr>
            <w:r w:rsidRPr="00F77964">
              <w:rPr>
                <w:rFonts w:eastAsia="SimSun"/>
                <w:sz w:val="18"/>
                <w:szCs w:val="18"/>
                <w:lang w:eastAsia="zh-CN"/>
              </w:rPr>
              <w:t>2015</w:t>
            </w:r>
          </w:p>
        </w:tc>
        <w:tc>
          <w:tcPr>
            <w:tcW w:w="3527"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526A11" w:rsidP="00933422">
            <w:pPr>
              <w:pStyle w:val="Normal-pool"/>
              <w:spacing w:before="40" w:after="40"/>
              <w:rPr>
                <w:rFonts w:eastAsia="SimSun"/>
                <w:sz w:val="18"/>
                <w:szCs w:val="18"/>
                <w:lang w:eastAsia="zh-CN"/>
              </w:rPr>
            </w:pPr>
            <w:r w:rsidRPr="00F77964">
              <w:rPr>
                <w:rFonts w:eastAsia="SimSun"/>
                <w:sz w:val="18"/>
                <w:szCs w:val="18"/>
                <w:lang w:eastAsia="zh-CN"/>
              </w:rPr>
              <w:t>Réunion de l’équipe spéciale</w:t>
            </w:r>
            <w:r w:rsidR="00D66005" w:rsidRPr="00F77964">
              <w:rPr>
                <w:rFonts w:eastAsia="SimSun"/>
                <w:sz w:val="18"/>
                <w:szCs w:val="18"/>
                <w:lang w:eastAsia="zh-CN"/>
              </w:rPr>
              <w:t xml:space="preserve"> (5</w:t>
            </w:r>
            <w:r w:rsidR="00D972E8">
              <w:rPr>
                <w:rFonts w:eastAsia="SimSun"/>
                <w:sz w:val="18"/>
                <w:szCs w:val="18"/>
                <w:lang w:eastAsia="zh-CN"/>
              </w:rPr>
              <w:t xml:space="preserve"> </w:t>
            </w:r>
            <w:r w:rsidRPr="00F77964">
              <w:rPr>
                <w:rFonts w:eastAsia="SimSun"/>
                <w:sz w:val="18"/>
                <w:szCs w:val="18"/>
                <w:lang w:eastAsia="zh-CN"/>
              </w:rPr>
              <w:t>membres du Groupe d’experts multidisciplinaire et du Bureau</w:t>
            </w:r>
            <w:r w:rsidR="00BC330B">
              <w:rPr>
                <w:rFonts w:eastAsia="SimSun"/>
                <w:sz w:val="18"/>
                <w:szCs w:val="18"/>
                <w:lang w:eastAsia="zh-CN"/>
              </w:rPr>
              <w:t xml:space="preserve"> +</w:t>
            </w:r>
            <w:r w:rsidR="00A542D9">
              <w:rPr>
                <w:rFonts w:eastAsia="SimSun"/>
                <w:sz w:val="18"/>
                <w:szCs w:val="18"/>
                <w:lang w:eastAsia="zh-CN"/>
              </w:rPr>
              <w:t xml:space="preserve"> </w:t>
            </w:r>
            <w:r w:rsidR="00D66005" w:rsidRPr="00F77964">
              <w:rPr>
                <w:rFonts w:eastAsia="SimSun"/>
                <w:sz w:val="18"/>
                <w:szCs w:val="18"/>
                <w:lang w:eastAsia="zh-CN"/>
              </w:rPr>
              <w:t>20 experts/</w:t>
            </w:r>
            <w:r w:rsidRPr="00F77964">
              <w:rPr>
                <w:rFonts w:eastAsia="SimSun"/>
                <w:sz w:val="18"/>
                <w:szCs w:val="18"/>
                <w:lang w:eastAsia="zh-CN"/>
              </w:rPr>
              <w:t>partenaires stratégiques</w:t>
            </w:r>
            <w:r w:rsidR="00D66005" w:rsidRPr="00F77964">
              <w:rPr>
                <w:rFonts w:eastAsia="SimSun"/>
                <w:sz w:val="18"/>
                <w:szCs w:val="18"/>
                <w:lang w:eastAsia="zh-CN"/>
              </w:rPr>
              <w:t>)</w:t>
            </w:r>
          </w:p>
        </w:tc>
        <w:tc>
          <w:tcPr>
            <w:tcW w:w="3544" w:type="dxa"/>
            <w:tcBorders>
              <w:top w:val="single" w:sz="4" w:space="0" w:color="auto"/>
              <w:left w:val="single" w:sz="4" w:space="0" w:color="auto"/>
              <w:bottom w:val="single" w:sz="4" w:space="0" w:color="auto"/>
              <w:right w:val="single" w:sz="4" w:space="0" w:color="auto"/>
            </w:tcBorders>
            <w:hideMark/>
          </w:tcPr>
          <w:p w:rsidR="00D66005" w:rsidRPr="00F77964" w:rsidRDefault="00526A11" w:rsidP="00933422">
            <w:pPr>
              <w:pStyle w:val="Normal-pool"/>
              <w:spacing w:before="40" w:after="40"/>
              <w:rPr>
                <w:rFonts w:eastAsia="SimSun"/>
                <w:sz w:val="18"/>
                <w:szCs w:val="18"/>
                <w:lang w:eastAsia="zh-CN"/>
              </w:rPr>
            </w:pPr>
            <w:r w:rsidRPr="00F77964">
              <w:rPr>
                <w:rFonts w:eastAsia="SimSun"/>
                <w:sz w:val="18"/>
                <w:szCs w:val="18"/>
                <w:lang w:eastAsia="zh-CN"/>
              </w:rPr>
              <w:t>Coûts de la réunion</w:t>
            </w:r>
            <w:r w:rsidR="00D66005" w:rsidRPr="00F77964">
              <w:rPr>
                <w:rFonts w:eastAsia="SimSun"/>
                <w:sz w:val="18"/>
                <w:szCs w:val="18"/>
                <w:lang w:eastAsia="zh-CN"/>
              </w:rPr>
              <w:t xml:space="preserve"> (1</w:t>
            </w:r>
            <w:r w:rsidRPr="00F77964">
              <w:rPr>
                <w:rFonts w:eastAsia="SimSun"/>
                <w:sz w:val="18"/>
                <w:szCs w:val="18"/>
                <w:lang w:eastAsia="zh-CN"/>
              </w:rPr>
              <w:t> semaine</w:t>
            </w:r>
            <w:r w:rsidR="00D66005" w:rsidRPr="00F77964">
              <w:rPr>
                <w:rFonts w:eastAsia="SimSun"/>
                <w:sz w:val="18"/>
                <w:szCs w:val="18"/>
                <w:lang w:eastAsia="zh-CN"/>
              </w:rPr>
              <w:t>, 25</w:t>
            </w:r>
            <w:r w:rsidRPr="00F77964">
              <w:rPr>
                <w:rFonts w:eastAsia="SimSun"/>
                <w:sz w:val="18"/>
                <w:szCs w:val="18"/>
                <w:lang w:eastAsia="zh-CN"/>
              </w:rPr>
              <w:t> </w:t>
            </w:r>
            <w:r w:rsidR="00D66005" w:rsidRPr="00F77964">
              <w:rPr>
                <w:rFonts w:eastAsia="SimSun"/>
                <w:sz w:val="18"/>
                <w:szCs w:val="18"/>
                <w:lang w:eastAsia="zh-CN"/>
              </w:rPr>
              <w:t>participants) (25 </w:t>
            </w:r>
            <w:r w:rsidRPr="00F77964">
              <w:rPr>
                <w:rFonts w:eastAsia="SimSun"/>
                <w:sz w:val="18"/>
                <w:szCs w:val="18"/>
                <w:lang w:eastAsia="zh-CN"/>
              </w:rPr>
              <w:t>% en nature</w:t>
            </w:r>
            <w:r w:rsidR="00D66005" w:rsidRPr="00F77964">
              <w:rPr>
                <w:rFonts w:eastAsia="SimSun"/>
                <w:sz w:val="18"/>
                <w:szCs w:val="18"/>
                <w:lang w:eastAsia="zh-CN"/>
              </w:rPr>
              <w:t>)</w:t>
            </w:r>
          </w:p>
        </w:tc>
        <w:tc>
          <w:tcPr>
            <w:tcW w:w="99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933422">
            <w:pPr>
              <w:pStyle w:val="Normal-pool"/>
              <w:spacing w:before="40" w:after="40"/>
              <w:rPr>
                <w:rFonts w:eastAsia="SimSun"/>
                <w:sz w:val="18"/>
                <w:szCs w:val="18"/>
                <w:lang w:eastAsia="zh-CN"/>
              </w:rPr>
            </w:pPr>
            <w:r w:rsidRPr="00F77964">
              <w:rPr>
                <w:rFonts w:eastAsia="SimSun"/>
                <w:sz w:val="18"/>
                <w:szCs w:val="18"/>
                <w:lang w:eastAsia="zh-CN"/>
              </w:rPr>
              <w:t>7</w:t>
            </w:r>
            <w:r w:rsidR="000C18BD" w:rsidRPr="00F77964">
              <w:rPr>
                <w:rFonts w:eastAsia="SimSun"/>
                <w:sz w:val="18"/>
                <w:szCs w:val="18"/>
                <w:lang w:eastAsia="zh-CN"/>
              </w:rPr>
              <w:t> </w:t>
            </w:r>
            <w:r w:rsidRPr="00F77964">
              <w:rPr>
                <w:rFonts w:eastAsia="SimSun"/>
                <w:sz w:val="18"/>
                <w:szCs w:val="18"/>
                <w:lang w:eastAsia="zh-CN"/>
              </w:rPr>
              <w:t>500</w:t>
            </w:r>
          </w:p>
        </w:tc>
      </w:tr>
      <w:tr w:rsidR="00D66005" w:rsidRPr="0061490E" w:rsidTr="00933422">
        <w:trPr>
          <w:trHeight w:val="339"/>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933422">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933422">
            <w:pPr>
              <w:rPr>
                <w:rFonts w:eastAsia="SimSun"/>
                <w:sz w:val="18"/>
                <w:szCs w:val="18"/>
                <w:lang w:eastAsia="zh-CN"/>
              </w:rPr>
            </w:pPr>
          </w:p>
        </w:tc>
        <w:tc>
          <w:tcPr>
            <w:tcW w:w="3544" w:type="dxa"/>
            <w:tcBorders>
              <w:top w:val="single" w:sz="4" w:space="0" w:color="auto"/>
              <w:left w:val="single" w:sz="4" w:space="0" w:color="auto"/>
              <w:bottom w:val="single" w:sz="4" w:space="0" w:color="auto"/>
              <w:right w:val="single" w:sz="4" w:space="0" w:color="auto"/>
            </w:tcBorders>
            <w:hideMark/>
          </w:tcPr>
          <w:p w:rsidR="00D66005" w:rsidRPr="00F77964" w:rsidRDefault="00526A11" w:rsidP="00933422">
            <w:pPr>
              <w:pStyle w:val="Normal-pool"/>
              <w:spacing w:before="40" w:after="40"/>
              <w:rPr>
                <w:rFonts w:eastAsia="SimSun"/>
                <w:sz w:val="18"/>
                <w:szCs w:val="18"/>
                <w:lang w:eastAsia="zh-CN"/>
              </w:rPr>
            </w:pPr>
            <w:r w:rsidRPr="00F77964">
              <w:rPr>
                <w:rFonts w:eastAsia="SimSun"/>
                <w:sz w:val="18"/>
                <w:szCs w:val="18"/>
                <w:lang w:eastAsia="zh-CN"/>
              </w:rPr>
              <w:t xml:space="preserve">Voyages et indemnité </w:t>
            </w:r>
            <w:r w:rsidR="0055317B" w:rsidRPr="00F77964">
              <w:rPr>
                <w:rFonts w:eastAsia="SimSun"/>
                <w:sz w:val="18"/>
                <w:szCs w:val="18"/>
                <w:lang w:eastAsia="zh-CN"/>
              </w:rPr>
              <w:t xml:space="preserve">journalière </w:t>
            </w:r>
            <w:r w:rsidRPr="00F77964">
              <w:rPr>
                <w:rFonts w:eastAsia="SimSun"/>
                <w:sz w:val="18"/>
                <w:szCs w:val="18"/>
                <w:lang w:eastAsia="zh-CN"/>
              </w:rPr>
              <w:t xml:space="preserve">de subsistance </w:t>
            </w:r>
            <w:r w:rsidR="00D66005" w:rsidRPr="00F77964">
              <w:rPr>
                <w:rFonts w:eastAsia="SimSun"/>
                <w:sz w:val="18"/>
                <w:szCs w:val="18"/>
                <w:lang w:eastAsia="zh-CN"/>
              </w:rPr>
              <w:t>(5 x</w:t>
            </w:r>
            <w:r w:rsidR="00D972E8">
              <w:rPr>
                <w:rFonts w:eastAsia="SimSun"/>
                <w:sz w:val="18"/>
                <w:szCs w:val="18"/>
                <w:lang w:eastAsia="zh-CN"/>
              </w:rPr>
              <w:t xml:space="preserve"> </w:t>
            </w:r>
            <w:r w:rsidR="00D66005" w:rsidRPr="00F77964">
              <w:rPr>
                <w:rFonts w:eastAsia="SimSun"/>
                <w:sz w:val="18"/>
                <w:szCs w:val="18"/>
                <w:lang w:eastAsia="zh-CN"/>
              </w:rPr>
              <w:t>3</w:t>
            </w:r>
            <w:r w:rsidRPr="00F77964">
              <w:rPr>
                <w:rFonts w:eastAsia="SimSun"/>
                <w:sz w:val="18"/>
                <w:szCs w:val="18"/>
                <w:lang w:eastAsia="zh-CN"/>
              </w:rPr>
              <w:t> </w:t>
            </w:r>
            <w:r w:rsidR="00D66005" w:rsidRPr="00F77964">
              <w:rPr>
                <w:rFonts w:eastAsia="SimSun"/>
                <w:sz w:val="18"/>
                <w:szCs w:val="18"/>
                <w:lang w:eastAsia="zh-CN"/>
              </w:rPr>
              <w:t>000</w:t>
            </w:r>
            <w:r w:rsidRPr="00F77964">
              <w:rPr>
                <w:rFonts w:eastAsia="SimSun"/>
                <w:sz w:val="18"/>
                <w:szCs w:val="18"/>
                <w:lang w:eastAsia="zh-CN"/>
              </w:rPr>
              <w:t> </w:t>
            </w:r>
            <w:r w:rsidR="0055317B" w:rsidRPr="00F77964">
              <w:rPr>
                <w:rFonts w:eastAsia="SimSun"/>
                <w:sz w:val="18"/>
                <w:szCs w:val="18"/>
                <w:lang w:eastAsia="zh-CN"/>
              </w:rPr>
              <w:t>dollars</w:t>
            </w:r>
            <w:r w:rsidR="00D66005" w:rsidRPr="00F77964">
              <w:rPr>
                <w:rFonts w:eastAsia="SimSun"/>
                <w:sz w:val="18"/>
                <w:szCs w:val="18"/>
                <w:lang w:eastAsia="zh-CN"/>
              </w:rPr>
              <w:t>)</w:t>
            </w:r>
          </w:p>
        </w:tc>
        <w:tc>
          <w:tcPr>
            <w:tcW w:w="99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933422">
            <w:pPr>
              <w:pStyle w:val="Normal-pool"/>
              <w:spacing w:before="40" w:after="40"/>
              <w:rPr>
                <w:rFonts w:eastAsia="SimSun"/>
                <w:sz w:val="18"/>
                <w:szCs w:val="18"/>
                <w:lang w:eastAsia="zh-CN"/>
              </w:rPr>
            </w:pPr>
            <w:r w:rsidRPr="00F77964">
              <w:rPr>
                <w:rFonts w:eastAsia="SimSun"/>
                <w:sz w:val="18"/>
                <w:szCs w:val="18"/>
                <w:lang w:eastAsia="zh-CN"/>
              </w:rPr>
              <w:t>15</w:t>
            </w:r>
            <w:r w:rsidR="000C18BD" w:rsidRPr="00F77964">
              <w:rPr>
                <w:rFonts w:eastAsia="SimSun"/>
                <w:sz w:val="18"/>
                <w:szCs w:val="18"/>
                <w:lang w:eastAsia="zh-CN"/>
              </w:rPr>
              <w:t> </w:t>
            </w:r>
            <w:r w:rsidRPr="00F77964">
              <w:rPr>
                <w:rFonts w:eastAsia="SimSun"/>
                <w:sz w:val="18"/>
                <w:szCs w:val="18"/>
                <w:lang w:eastAsia="zh-CN"/>
              </w:rPr>
              <w:t>000</w:t>
            </w:r>
          </w:p>
        </w:tc>
      </w:tr>
      <w:tr w:rsidR="00D66005" w:rsidRPr="0061490E" w:rsidTr="00933422">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933422">
            <w:pPr>
              <w:rPr>
                <w:rFonts w:eastAsia="SimSun"/>
                <w:sz w:val="18"/>
                <w:szCs w:val="18"/>
                <w:lang w:eastAsia="zh-CN"/>
              </w:rPr>
            </w:pPr>
          </w:p>
        </w:tc>
        <w:tc>
          <w:tcPr>
            <w:tcW w:w="3527"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7E16F6" w:rsidP="00933422">
            <w:pPr>
              <w:pStyle w:val="Normal-pool"/>
              <w:spacing w:before="40" w:after="40"/>
              <w:rPr>
                <w:rFonts w:eastAsia="SimSun"/>
                <w:sz w:val="18"/>
                <w:szCs w:val="18"/>
                <w:lang w:eastAsia="zh-CN"/>
              </w:rPr>
            </w:pPr>
            <w:r w:rsidRPr="00F77964">
              <w:rPr>
                <w:rFonts w:eastAsia="SimSun"/>
                <w:sz w:val="18"/>
                <w:szCs w:val="18"/>
                <w:lang w:eastAsia="zh-CN"/>
              </w:rPr>
              <w:t>Réunion de dialogue</w:t>
            </w:r>
            <w:r w:rsidR="00D66005" w:rsidRPr="00F77964">
              <w:rPr>
                <w:rFonts w:eastAsia="SimSun"/>
                <w:sz w:val="18"/>
                <w:szCs w:val="18"/>
                <w:lang w:eastAsia="zh-CN"/>
              </w:rPr>
              <w:t xml:space="preserve"> (50</w:t>
            </w:r>
            <w:r w:rsidRPr="00F77964">
              <w:rPr>
                <w:rFonts w:eastAsia="SimSun"/>
                <w:sz w:val="18"/>
                <w:szCs w:val="18"/>
                <w:lang w:eastAsia="zh-CN"/>
              </w:rPr>
              <w:t> </w:t>
            </w:r>
            <w:r w:rsidR="00D66005" w:rsidRPr="00F77964">
              <w:rPr>
                <w:rFonts w:eastAsia="SimSun"/>
                <w:sz w:val="18"/>
                <w:szCs w:val="18"/>
                <w:lang w:eastAsia="zh-CN"/>
              </w:rPr>
              <w:t>participants, 25 f</w:t>
            </w:r>
            <w:r w:rsidRPr="00F77964">
              <w:rPr>
                <w:rFonts w:eastAsia="SimSun"/>
                <w:sz w:val="18"/>
                <w:szCs w:val="18"/>
                <w:lang w:eastAsia="zh-CN"/>
              </w:rPr>
              <w:t>inancés</w:t>
            </w:r>
            <w:r w:rsidR="00D66005" w:rsidRPr="00F77964">
              <w:rPr>
                <w:rFonts w:eastAsia="SimSun"/>
                <w:sz w:val="18"/>
                <w:szCs w:val="18"/>
                <w:lang w:eastAsia="zh-CN"/>
              </w:rPr>
              <w:t>)</w:t>
            </w:r>
          </w:p>
        </w:tc>
        <w:tc>
          <w:tcPr>
            <w:tcW w:w="3544" w:type="dxa"/>
            <w:tcBorders>
              <w:top w:val="single" w:sz="4" w:space="0" w:color="auto"/>
              <w:left w:val="single" w:sz="4" w:space="0" w:color="auto"/>
              <w:bottom w:val="single" w:sz="4" w:space="0" w:color="auto"/>
              <w:right w:val="single" w:sz="4" w:space="0" w:color="auto"/>
            </w:tcBorders>
            <w:hideMark/>
          </w:tcPr>
          <w:p w:rsidR="00D66005" w:rsidRPr="00F77964" w:rsidRDefault="007E16F6" w:rsidP="00933422">
            <w:pPr>
              <w:pStyle w:val="Normal-pool"/>
              <w:spacing w:before="40" w:after="40"/>
              <w:rPr>
                <w:rFonts w:eastAsia="SimSun"/>
                <w:sz w:val="18"/>
                <w:szCs w:val="18"/>
                <w:lang w:eastAsia="zh-CN"/>
              </w:rPr>
            </w:pPr>
            <w:r w:rsidRPr="00F77964">
              <w:rPr>
                <w:rFonts w:eastAsia="SimSun"/>
                <w:sz w:val="18"/>
                <w:szCs w:val="18"/>
                <w:lang w:eastAsia="zh-CN"/>
              </w:rPr>
              <w:t>Coûts de la réunion</w:t>
            </w:r>
            <w:r w:rsidR="00D66005" w:rsidRPr="00F77964">
              <w:rPr>
                <w:rFonts w:eastAsia="SimSun"/>
                <w:sz w:val="18"/>
                <w:szCs w:val="18"/>
                <w:lang w:eastAsia="zh-CN"/>
              </w:rPr>
              <w:t xml:space="preserve"> (1</w:t>
            </w:r>
            <w:r w:rsidRPr="00F77964">
              <w:rPr>
                <w:rFonts w:eastAsia="SimSun"/>
                <w:sz w:val="18"/>
                <w:szCs w:val="18"/>
                <w:lang w:eastAsia="zh-CN"/>
              </w:rPr>
              <w:t> semaine</w:t>
            </w:r>
            <w:r w:rsidR="00D66005" w:rsidRPr="00F77964">
              <w:rPr>
                <w:rFonts w:eastAsia="SimSun"/>
                <w:sz w:val="18"/>
                <w:szCs w:val="18"/>
                <w:lang w:eastAsia="zh-CN"/>
              </w:rPr>
              <w:t>, 50</w:t>
            </w:r>
            <w:r w:rsidRPr="00F77964">
              <w:rPr>
                <w:rFonts w:eastAsia="SimSun"/>
                <w:sz w:val="18"/>
                <w:szCs w:val="18"/>
                <w:lang w:eastAsia="zh-CN"/>
              </w:rPr>
              <w:t> </w:t>
            </w:r>
            <w:r w:rsidR="00D66005" w:rsidRPr="00F77964">
              <w:rPr>
                <w:rFonts w:eastAsia="SimSun"/>
                <w:sz w:val="18"/>
                <w:szCs w:val="18"/>
                <w:lang w:eastAsia="zh-CN"/>
              </w:rPr>
              <w:t>participants) (25 </w:t>
            </w:r>
            <w:r w:rsidRPr="00F77964">
              <w:rPr>
                <w:rFonts w:eastAsia="SimSun"/>
                <w:sz w:val="18"/>
                <w:szCs w:val="18"/>
                <w:lang w:eastAsia="zh-CN"/>
              </w:rPr>
              <w:t>% en nature</w:t>
            </w:r>
            <w:r w:rsidR="00D66005" w:rsidRPr="00F77964">
              <w:rPr>
                <w:rFonts w:eastAsia="SimSun"/>
                <w:sz w:val="18"/>
                <w:szCs w:val="18"/>
                <w:lang w:eastAsia="zh-CN"/>
              </w:rPr>
              <w:t>)</w:t>
            </w:r>
          </w:p>
        </w:tc>
        <w:tc>
          <w:tcPr>
            <w:tcW w:w="99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933422">
            <w:pPr>
              <w:pStyle w:val="Normal-pool"/>
              <w:spacing w:before="40" w:after="40"/>
              <w:rPr>
                <w:rFonts w:eastAsia="SimSun"/>
                <w:sz w:val="18"/>
                <w:szCs w:val="18"/>
                <w:lang w:eastAsia="zh-CN"/>
              </w:rPr>
            </w:pPr>
            <w:r w:rsidRPr="00F77964">
              <w:rPr>
                <w:rFonts w:eastAsia="SimSun"/>
                <w:sz w:val="18"/>
                <w:szCs w:val="18"/>
                <w:lang w:eastAsia="zh-CN"/>
              </w:rPr>
              <w:t>11</w:t>
            </w:r>
            <w:r w:rsidR="000C18BD" w:rsidRPr="00F77964">
              <w:rPr>
                <w:rFonts w:eastAsia="SimSun"/>
                <w:sz w:val="18"/>
                <w:szCs w:val="18"/>
                <w:lang w:eastAsia="zh-CN"/>
              </w:rPr>
              <w:t> </w:t>
            </w:r>
            <w:r w:rsidRPr="00F77964">
              <w:rPr>
                <w:rFonts w:eastAsia="SimSun"/>
                <w:sz w:val="18"/>
                <w:szCs w:val="18"/>
                <w:lang w:eastAsia="zh-CN"/>
              </w:rPr>
              <w:t>250</w:t>
            </w:r>
          </w:p>
        </w:tc>
      </w:tr>
      <w:tr w:rsidR="00D66005" w:rsidRPr="0061490E" w:rsidTr="00933422">
        <w:trPr>
          <w:trHeight w:val="109"/>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933422">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933422">
            <w:pPr>
              <w:rPr>
                <w:rFonts w:eastAsia="SimSun"/>
                <w:sz w:val="18"/>
                <w:szCs w:val="18"/>
                <w:lang w:eastAsia="zh-CN"/>
              </w:rPr>
            </w:pPr>
          </w:p>
        </w:tc>
        <w:tc>
          <w:tcPr>
            <w:tcW w:w="3544" w:type="dxa"/>
            <w:tcBorders>
              <w:top w:val="single" w:sz="4" w:space="0" w:color="auto"/>
              <w:left w:val="single" w:sz="4" w:space="0" w:color="auto"/>
              <w:bottom w:val="single" w:sz="4" w:space="0" w:color="auto"/>
              <w:right w:val="single" w:sz="4" w:space="0" w:color="auto"/>
            </w:tcBorders>
            <w:hideMark/>
          </w:tcPr>
          <w:p w:rsidR="00D66005" w:rsidRPr="00F77964" w:rsidRDefault="00D972E8" w:rsidP="00933422">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00902989">
              <w:rPr>
                <w:rFonts w:eastAsia="SimSun"/>
                <w:sz w:val="18"/>
                <w:szCs w:val="18"/>
                <w:lang w:eastAsia="zh-CN"/>
              </w:rPr>
              <w:t xml:space="preserve"> (25 x </w:t>
            </w:r>
            <w:r w:rsidR="007E16F6" w:rsidRPr="00F77964">
              <w:rPr>
                <w:rFonts w:eastAsia="SimSun"/>
                <w:sz w:val="18"/>
                <w:szCs w:val="18"/>
                <w:lang w:eastAsia="zh-CN"/>
              </w:rPr>
              <w:t>3 000 </w:t>
            </w:r>
            <w:r w:rsidR="0055317B" w:rsidRPr="00F77964">
              <w:rPr>
                <w:rFonts w:eastAsia="SimSun"/>
                <w:sz w:val="18"/>
                <w:szCs w:val="18"/>
                <w:lang w:eastAsia="zh-CN"/>
              </w:rPr>
              <w:t>dollars</w:t>
            </w:r>
            <w:r w:rsidR="00D66005" w:rsidRPr="00F77964">
              <w:rPr>
                <w:rFonts w:eastAsia="SimSun"/>
                <w:sz w:val="18"/>
                <w:szCs w:val="18"/>
                <w:lang w:eastAsia="zh-CN"/>
              </w:rPr>
              <w:t>)</w:t>
            </w:r>
          </w:p>
        </w:tc>
        <w:tc>
          <w:tcPr>
            <w:tcW w:w="99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933422">
            <w:pPr>
              <w:pStyle w:val="Normal-pool"/>
              <w:spacing w:before="40" w:after="40"/>
              <w:rPr>
                <w:rFonts w:eastAsia="SimSun"/>
                <w:sz w:val="18"/>
                <w:szCs w:val="18"/>
                <w:lang w:eastAsia="zh-CN"/>
              </w:rPr>
            </w:pPr>
            <w:r w:rsidRPr="00F77964">
              <w:rPr>
                <w:rFonts w:eastAsia="SimSun"/>
                <w:sz w:val="18"/>
                <w:szCs w:val="18"/>
                <w:lang w:eastAsia="zh-CN"/>
              </w:rPr>
              <w:t>75</w:t>
            </w:r>
            <w:r w:rsidR="000C18BD" w:rsidRPr="00F77964">
              <w:rPr>
                <w:rFonts w:eastAsia="SimSun"/>
                <w:sz w:val="18"/>
                <w:szCs w:val="18"/>
                <w:lang w:eastAsia="zh-CN"/>
              </w:rPr>
              <w:t> </w:t>
            </w:r>
            <w:r w:rsidRPr="00F77964">
              <w:rPr>
                <w:rFonts w:eastAsia="SimSun"/>
                <w:sz w:val="18"/>
                <w:szCs w:val="18"/>
                <w:lang w:eastAsia="zh-CN"/>
              </w:rPr>
              <w:t>000</w:t>
            </w:r>
          </w:p>
        </w:tc>
      </w:tr>
      <w:tr w:rsidR="00D66005" w:rsidRPr="0061490E" w:rsidTr="00933422">
        <w:trPr>
          <w:trHeight w:val="419"/>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933422">
            <w:pPr>
              <w:rPr>
                <w:rFonts w:eastAsia="SimSun"/>
                <w:sz w:val="18"/>
                <w:szCs w:val="18"/>
                <w:lang w:eastAsia="zh-CN"/>
              </w:rPr>
            </w:pPr>
          </w:p>
        </w:tc>
        <w:tc>
          <w:tcPr>
            <w:tcW w:w="3527" w:type="dxa"/>
            <w:tcBorders>
              <w:top w:val="single" w:sz="4" w:space="0" w:color="auto"/>
              <w:left w:val="single" w:sz="4" w:space="0" w:color="auto"/>
              <w:bottom w:val="single" w:sz="4" w:space="0" w:color="auto"/>
              <w:right w:val="single" w:sz="4" w:space="0" w:color="auto"/>
            </w:tcBorders>
          </w:tcPr>
          <w:p w:rsidR="00D66005" w:rsidRPr="00F77964" w:rsidRDefault="007E16F6" w:rsidP="00933422">
            <w:pPr>
              <w:pStyle w:val="Normal-pool"/>
              <w:spacing w:before="40" w:after="40"/>
              <w:rPr>
                <w:rFonts w:eastAsia="SimSun"/>
                <w:sz w:val="18"/>
                <w:szCs w:val="18"/>
                <w:lang w:eastAsia="zh-CN"/>
              </w:rPr>
            </w:pPr>
            <w:r w:rsidRPr="00F77964">
              <w:rPr>
                <w:rFonts w:eastAsia="SimSun"/>
                <w:sz w:val="18"/>
                <w:szCs w:val="18"/>
                <w:lang w:eastAsia="zh-CN"/>
              </w:rPr>
              <w:t>Appui technique</w:t>
            </w:r>
          </w:p>
          <w:p w:rsidR="00D66005" w:rsidRPr="00F77964" w:rsidRDefault="00D66005" w:rsidP="00933422">
            <w:pPr>
              <w:pStyle w:val="Normal-pool"/>
              <w:spacing w:before="40" w:after="40"/>
              <w:rPr>
                <w:rFonts w:eastAsia="SimSun"/>
                <w:sz w:val="18"/>
                <w:szCs w:val="18"/>
                <w:lang w:eastAsia="zh-CN"/>
              </w:rPr>
            </w:pPr>
          </w:p>
        </w:tc>
        <w:tc>
          <w:tcPr>
            <w:tcW w:w="3544" w:type="dxa"/>
            <w:tcBorders>
              <w:top w:val="single" w:sz="4" w:space="0" w:color="auto"/>
              <w:left w:val="single" w:sz="4" w:space="0" w:color="auto"/>
              <w:bottom w:val="single" w:sz="4" w:space="0" w:color="auto"/>
              <w:right w:val="single" w:sz="4" w:space="0" w:color="auto"/>
            </w:tcBorders>
            <w:hideMark/>
          </w:tcPr>
          <w:p w:rsidR="00D66005" w:rsidRPr="00F77964" w:rsidRDefault="007E16F6" w:rsidP="00933422">
            <w:pPr>
              <w:pStyle w:val="Normal-pool"/>
              <w:spacing w:before="40" w:after="40"/>
              <w:rPr>
                <w:rFonts w:eastAsia="SimSun"/>
                <w:sz w:val="18"/>
                <w:szCs w:val="18"/>
                <w:lang w:eastAsia="zh-CN"/>
              </w:rPr>
            </w:pPr>
            <w:r w:rsidRPr="00F77964">
              <w:rPr>
                <w:rFonts w:eastAsia="SimSun"/>
                <w:sz w:val="18"/>
                <w:szCs w:val="18"/>
                <w:lang w:eastAsia="zh-CN"/>
              </w:rPr>
              <w:t xml:space="preserve">2 postes d’administrateur équivalent plein temps </w:t>
            </w:r>
            <w:r w:rsidR="00D66005" w:rsidRPr="00F77964">
              <w:rPr>
                <w:rFonts w:eastAsia="SimSun"/>
                <w:sz w:val="18"/>
                <w:szCs w:val="18"/>
                <w:lang w:eastAsia="zh-CN"/>
              </w:rPr>
              <w:t>(50</w:t>
            </w:r>
            <w:r w:rsidRPr="00F77964">
              <w:rPr>
                <w:rFonts w:eastAsia="SimSun"/>
                <w:sz w:val="18"/>
                <w:szCs w:val="18"/>
                <w:lang w:eastAsia="zh-CN"/>
              </w:rPr>
              <w:t> % en nature</w:t>
            </w:r>
            <w:r w:rsidR="00D66005" w:rsidRPr="00F77964">
              <w:rPr>
                <w:rFonts w:eastAsia="SimSun"/>
                <w:sz w:val="18"/>
                <w:szCs w:val="18"/>
                <w:lang w:eastAsia="zh-CN"/>
              </w:rPr>
              <w:t>)</w:t>
            </w:r>
          </w:p>
        </w:tc>
        <w:tc>
          <w:tcPr>
            <w:tcW w:w="99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933422">
            <w:pPr>
              <w:pStyle w:val="Normal-pool"/>
              <w:spacing w:before="40" w:after="40"/>
              <w:rPr>
                <w:rFonts w:eastAsia="SimSun"/>
                <w:sz w:val="18"/>
                <w:szCs w:val="18"/>
                <w:lang w:eastAsia="zh-CN"/>
              </w:rPr>
            </w:pPr>
            <w:r w:rsidRPr="00F77964">
              <w:rPr>
                <w:rFonts w:eastAsia="SimSun"/>
                <w:sz w:val="18"/>
                <w:szCs w:val="18"/>
                <w:lang w:eastAsia="zh-CN"/>
              </w:rPr>
              <w:t>150</w:t>
            </w:r>
            <w:r w:rsidR="000C18BD" w:rsidRPr="00F77964">
              <w:rPr>
                <w:rFonts w:eastAsia="SimSun"/>
                <w:sz w:val="18"/>
                <w:szCs w:val="18"/>
                <w:lang w:eastAsia="zh-CN"/>
              </w:rPr>
              <w:t> </w:t>
            </w:r>
            <w:r w:rsidRPr="00F77964">
              <w:rPr>
                <w:rFonts w:eastAsia="SimSun"/>
                <w:sz w:val="18"/>
                <w:szCs w:val="18"/>
                <w:lang w:eastAsia="zh-CN"/>
              </w:rPr>
              <w:t>000</w:t>
            </w:r>
          </w:p>
        </w:tc>
      </w:tr>
      <w:tr w:rsidR="00D66005" w:rsidRPr="0061490E" w:rsidTr="00933422">
        <w:tc>
          <w:tcPr>
            <w:tcW w:w="720"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933422">
            <w:pPr>
              <w:pStyle w:val="Normal-pool"/>
              <w:spacing w:before="40" w:after="40"/>
              <w:rPr>
                <w:rFonts w:eastAsia="SimSun"/>
                <w:sz w:val="18"/>
                <w:szCs w:val="18"/>
                <w:lang w:eastAsia="zh-CN"/>
              </w:rPr>
            </w:pPr>
            <w:r w:rsidRPr="00F77964">
              <w:rPr>
                <w:rFonts w:eastAsia="SimSun"/>
                <w:sz w:val="18"/>
                <w:szCs w:val="18"/>
                <w:lang w:eastAsia="zh-CN"/>
              </w:rPr>
              <w:t>2016</w:t>
            </w:r>
          </w:p>
        </w:tc>
        <w:tc>
          <w:tcPr>
            <w:tcW w:w="3527"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7E16F6" w:rsidP="00933422">
            <w:pPr>
              <w:pStyle w:val="Normal-pool"/>
              <w:spacing w:before="40" w:after="40"/>
              <w:rPr>
                <w:rFonts w:eastAsia="SimSun"/>
                <w:sz w:val="18"/>
                <w:szCs w:val="18"/>
                <w:lang w:eastAsia="zh-CN"/>
              </w:rPr>
            </w:pPr>
            <w:r w:rsidRPr="00F77964">
              <w:rPr>
                <w:rFonts w:eastAsia="SimSun"/>
                <w:sz w:val="18"/>
                <w:szCs w:val="18"/>
                <w:lang w:eastAsia="zh-CN"/>
              </w:rPr>
              <w:t>Réunion de l’équipe spéciale</w:t>
            </w:r>
            <w:r w:rsidR="00D66005" w:rsidRPr="00F77964">
              <w:rPr>
                <w:rFonts w:eastAsia="SimSun"/>
                <w:sz w:val="18"/>
                <w:szCs w:val="18"/>
                <w:lang w:eastAsia="zh-CN"/>
              </w:rPr>
              <w:t xml:space="preserve"> (5</w:t>
            </w:r>
            <w:r w:rsidR="00902989">
              <w:rPr>
                <w:rFonts w:eastAsia="SimSun"/>
                <w:sz w:val="18"/>
                <w:szCs w:val="18"/>
                <w:lang w:eastAsia="zh-CN"/>
              </w:rPr>
              <w:t> </w:t>
            </w:r>
            <w:r w:rsidRPr="00F77964">
              <w:rPr>
                <w:rFonts w:eastAsia="SimSun"/>
                <w:sz w:val="18"/>
                <w:szCs w:val="18"/>
                <w:lang w:eastAsia="zh-CN"/>
              </w:rPr>
              <w:t>membres du Groupe d’experts multidisciplinaire et du Bureau</w:t>
            </w:r>
            <w:r w:rsidR="00BC330B">
              <w:rPr>
                <w:rFonts w:eastAsia="SimSun"/>
                <w:sz w:val="18"/>
                <w:szCs w:val="18"/>
                <w:lang w:eastAsia="zh-CN"/>
              </w:rPr>
              <w:t xml:space="preserve"> +</w:t>
            </w:r>
            <w:r w:rsidR="00A542D9">
              <w:rPr>
                <w:rFonts w:eastAsia="SimSun"/>
                <w:sz w:val="18"/>
                <w:szCs w:val="18"/>
                <w:lang w:eastAsia="zh-CN"/>
              </w:rPr>
              <w:t xml:space="preserve"> </w:t>
            </w:r>
            <w:r w:rsidR="00D66005" w:rsidRPr="00F77964">
              <w:rPr>
                <w:rFonts w:eastAsia="SimSun"/>
                <w:sz w:val="18"/>
                <w:szCs w:val="18"/>
                <w:lang w:eastAsia="zh-CN"/>
              </w:rPr>
              <w:t>20 experts/</w:t>
            </w:r>
            <w:r w:rsidRPr="00F77964">
              <w:rPr>
                <w:rFonts w:eastAsia="SimSun"/>
                <w:sz w:val="18"/>
                <w:szCs w:val="18"/>
                <w:lang w:eastAsia="zh-CN"/>
              </w:rPr>
              <w:t>partenaires stratégiques</w:t>
            </w:r>
            <w:r w:rsidR="00D66005" w:rsidRPr="00F77964">
              <w:rPr>
                <w:rFonts w:eastAsia="SimSun"/>
                <w:sz w:val="18"/>
                <w:szCs w:val="18"/>
                <w:lang w:eastAsia="zh-CN"/>
              </w:rPr>
              <w:t>)</w:t>
            </w:r>
          </w:p>
        </w:tc>
        <w:tc>
          <w:tcPr>
            <w:tcW w:w="3544" w:type="dxa"/>
            <w:tcBorders>
              <w:top w:val="single" w:sz="4" w:space="0" w:color="auto"/>
              <w:left w:val="single" w:sz="4" w:space="0" w:color="auto"/>
              <w:bottom w:val="single" w:sz="4" w:space="0" w:color="auto"/>
              <w:right w:val="single" w:sz="4" w:space="0" w:color="auto"/>
            </w:tcBorders>
            <w:hideMark/>
          </w:tcPr>
          <w:p w:rsidR="00D66005" w:rsidRPr="00F77964" w:rsidRDefault="007E16F6" w:rsidP="00933422">
            <w:pPr>
              <w:pStyle w:val="Normal-pool"/>
              <w:spacing w:before="40" w:after="40"/>
              <w:rPr>
                <w:rFonts w:eastAsia="SimSun"/>
                <w:sz w:val="18"/>
                <w:szCs w:val="18"/>
                <w:lang w:eastAsia="zh-CN"/>
              </w:rPr>
            </w:pPr>
            <w:r w:rsidRPr="00F77964">
              <w:rPr>
                <w:rFonts w:eastAsia="SimSun"/>
                <w:sz w:val="18"/>
                <w:szCs w:val="18"/>
                <w:lang w:eastAsia="zh-CN"/>
              </w:rPr>
              <w:t>Coûts de la réunion</w:t>
            </w:r>
            <w:r w:rsidR="00D66005" w:rsidRPr="00F77964">
              <w:rPr>
                <w:rFonts w:eastAsia="SimSun"/>
                <w:sz w:val="18"/>
                <w:szCs w:val="18"/>
                <w:lang w:eastAsia="zh-CN"/>
              </w:rPr>
              <w:t xml:space="preserve"> (1</w:t>
            </w:r>
            <w:r w:rsidRPr="00F77964">
              <w:rPr>
                <w:rFonts w:eastAsia="SimSun"/>
                <w:sz w:val="18"/>
                <w:szCs w:val="18"/>
                <w:lang w:eastAsia="zh-CN"/>
              </w:rPr>
              <w:t> semaine</w:t>
            </w:r>
            <w:r w:rsidR="00D66005" w:rsidRPr="00F77964">
              <w:rPr>
                <w:rFonts w:eastAsia="SimSun"/>
                <w:sz w:val="18"/>
                <w:szCs w:val="18"/>
                <w:lang w:eastAsia="zh-CN"/>
              </w:rPr>
              <w:t>, 25</w:t>
            </w:r>
            <w:r w:rsidRPr="00F77964">
              <w:rPr>
                <w:rFonts w:eastAsia="SimSun"/>
                <w:sz w:val="18"/>
                <w:szCs w:val="18"/>
                <w:lang w:eastAsia="zh-CN"/>
              </w:rPr>
              <w:t> </w:t>
            </w:r>
            <w:r w:rsidR="00D66005" w:rsidRPr="00F77964">
              <w:rPr>
                <w:rFonts w:eastAsia="SimSun"/>
                <w:sz w:val="18"/>
                <w:szCs w:val="18"/>
                <w:lang w:eastAsia="zh-CN"/>
              </w:rPr>
              <w:t>participants) (25 </w:t>
            </w:r>
            <w:r w:rsidRPr="00F77964">
              <w:rPr>
                <w:rFonts w:eastAsia="SimSun"/>
                <w:sz w:val="18"/>
                <w:szCs w:val="18"/>
                <w:lang w:eastAsia="zh-CN"/>
              </w:rPr>
              <w:t>% en nature</w:t>
            </w:r>
            <w:r w:rsidR="00D66005" w:rsidRPr="00F77964">
              <w:rPr>
                <w:rFonts w:eastAsia="SimSun"/>
                <w:sz w:val="18"/>
                <w:szCs w:val="18"/>
                <w:lang w:eastAsia="zh-CN"/>
              </w:rPr>
              <w:t>)</w:t>
            </w:r>
          </w:p>
        </w:tc>
        <w:tc>
          <w:tcPr>
            <w:tcW w:w="99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933422">
            <w:pPr>
              <w:pStyle w:val="Normal-pool"/>
              <w:spacing w:before="40" w:after="40"/>
              <w:rPr>
                <w:rFonts w:eastAsia="SimSun"/>
                <w:sz w:val="18"/>
                <w:szCs w:val="18"/>
                <w:lang w:eastAsia="zh-CN"/>
              </w:rPr>
            </w:pPr>
            <w:r w:rsidRPr="00F77964">
              <w:rPr>
                <w:rFonts w:eastAsia="SimSun"/>
                <w:sz w:val="18"/>
                <w:szCs w:val="18"/>
                <w:lang w:eastAsia="zh-CN"/>
              </w:rPr>
              <w:t>7</w:t>
            </w:r>
            <w:r w:rsidR="000C18BD" w:rsidRPr="00F77964">
              <w:rPr>
                <w:rFonts w:eastAsia="SimSun"/>
                <w:sz w:val="18"/>
                <w:szCs w:val="18"/>
                <w:lang w:eastAsia="zh-CN"/>
              </w:rPr>
              <w:t> </w:t>
            </w:r>
            <w:r w:rsidRPr="00F77964">
              <w:rPr>
                <w:rFonts w:eastAsia="SimSun"/>
                <w:sz w:val="18"/>
                <w:szCs w:val="18"/>
                <w:lang w:eastAsia="zh-CN"/>
              </w:rPr>
              <w:t>500</w:t>
            </w:r>
          </w:p>
        </w:tc>
      </w:tr>
      <w:tr w:rsidR="00D66005" w:rsidRPr="0061490E" w:rsidTr="00933422">
        <w:trPr>
          <w:trHeight w:val="331"/>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933422">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933422">
            <w:pPr>
              <w:rPr>
                <w:rFonts w:eastAsia="SimSun"/>
                <w:sz w:val="18"/>
                <w:szCs w:val="18"/>
                <w:lang w:eastAsia="zh-CN"/>
              </w:rPr>
            </w:pPr>
          </w:p>
        </w:tc>
        <w:tc>
          <w:tcPr>
            <w:tcW w:w="3544" w:type="dxa"/>
            <w:tcBorders>
              <w:top w:val="single" w:sz="4" w:space="0" w:color="auto"/>
              <w:left w:val="single" w:sz="4" w:space="0" w:color="auto"/>
              <w:bottom w:val="single" w:sz="4" w:space="0" w:color="auto"/>
              <w:right w:val="single" w:sz="4" w:space="0" w:color="auto"/>
            </w:tcBorders>
            <w:hideMark/>
          </w:tcPr>
          <w:p w:rsidR="00D66005" w:rsidRPr="00F77964" w:rsidRDefault="00D972E8" w:rsidP="00933422">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00902989">
              <w:rPr>
                <w:rFonts w:eastAsia="SimSun"/>
                <w:sz w:val="18"/>
                <w:szCs w:val="18"/>
                <w:lang w:eastAsia="zh-CN"/>
              </w:rPr>
              <w:t xml:space="preserve"> (5 x </w:t>
            </w:r>
            <w:r w:rsidR="00D66005" w:rsidRPr="00F77964">
              <w:rPr>
                <w:rFonts w:eastAsia="SimSun"/>
                <w:sz w:val="18"/>
                <w:szCs w:val="18"/>
                <w:lang w:eastAsia="zh-CN"/>
              </w:rPr>
              <w:t>3</w:t>
            </w:r>
            <w:r w:rsidR="007E16F6" w:rsidRPr="00F77964">
              <w:rPr>
                <w:rFonts w:eastAsia="SimSun"/>
                <w:sz w:val="18"/>
                <w:szCs w:val="18"/>
                <w:lang w:eastAsia="zh-CN"/>
              </w:rPr>
              <w:t> </w:t>
            </w:r>
            <w:r w:rsidR="00D66005" w:rsidRPr="00F77964">
              <w:rPr>
                <w:rFonts w:eastAsia="SimSun"/>
                <w:sz w:val="18"/>
                <w:szCs w:val="18"/>
                <w:lang w:eastAsia="zh-CN"/>
              </w:rPr>
              <w:t>000</w:t>
            </w:r>
            <w:r w:rsidR="007E16F6" w:rsidRPr="00F77964">
              <w:rPr>
                <w:rFonts w:eastAsia="SimSun"/>
                <w:sz w:val="18"/>
                <w:szCs w:val="18"/>
                <w:lang w:eastAsia="zh-CN"/>
              </w:rPr>
              <w:t> </w:t>
            </w:r>
            <w:r w:rsidR="0055317B" w:rsidRPr="00F77964">
              <w:rPr>
                <w:rFonts w:eastAsia="SimSun"/>
                <w:sz w:val="18"/>
                <w:szCs w:val="18"/>
                <w:lang w:eastAsia="zh-CN"/>
              </w:rPr>
              <w:t>dollars</w:t>
            </w:r>
            <w:r w:rsidR="00D66005" w:rsidRPr="00F77964">
              <w:rPr>
                <w:rFonts w:eastAsia="SimSun"/>
                <w:sz w:val="18"/>
                <w:szCs w:val="18"/>
                <w:lang w:eastAsia="zh-CN"/>
              </w:rPr>
              <w:t>)</w:t>
            </w:r>
          </w:p>
        </w:tc>
        <w:tc>
          <w:tcPr>
            <w:tcW w:w="99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933422">
            <w:pPr>
              <w:pStyle w:val="Normal-pool"/>
              <w:spacing w:before="40" w:after="40"/>
              <w:rPr>
                <w:rFonts w:eastAsia="SimSun"/>
                <w:sz w:val="18"/>
                <w:szCs w:val="18"/>
                <w:lang w:eastAsia="zh-CN"/>
              </w:rPr>
            </w:pPr>
            <w:r w:rsidRPr="00F77964">
              <w:rPr>
                <w:rFonts w:eastAsia="SimSun"/>
                <w:sz w:val="18"/>
                <w:szCs w:val="18"/>
                <w:lang w:eastAsia="zh-CN"/>
              </w:rPr>
              <w:t>15</w:t>
            </w:r>
            <w:r w:rsidR="000C18BD" w:rsidRPr="00F77964">
              <w:rPr>
                <w:rFonts w:eastAsia="SimSun"/>
                <w:sz w:val="18"/>
                <w:szCs w:val="18"/>
                <w:lang w:eastAsia="zh-CN"/>
              </w:rPr>
              <w:t> </w:t>
            </w:r>
            <w:r w:rsidRPr="00F77964">
              <w:rPr>
                <w:rFonts w:eastAsia="SimSun"/>
                <w:sz w:val="18"/>
                <w:szCs w:val="18"/>
                <w:lang w:eastAsia="zh-CN"/>
              </w:rPr>
              <w:t>000</w:t>
            </w:r>
          </w:p>
        </w:tc>
      </w:tr>
      <w:tr w:rsidR="00D66005" w:rsidRPr="0061490E" w:rsidTr="00933422">
        <w:trPr>
          <w:trHeight w:val="437"/>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933422">
            <w:pPr>
              <w:rPr>
                <w:rFonts w:eastAsia="SimSun"/>
                <w:sz w:val="18"/>
                <w:szCs w:val="18"/>
                <w:lang w:eastAsia="zh-CN"/>
              </w:rPr>
            </w:pPr>
          </w:p>
        </w:tc>
        <w:tc>
          <w:tcPr>
            <w:tcW w:w="3527" w:type="dxa"/>
            <w:tcBorders>
              <w:top w:val="single" w:sz="4" w:space="0" w:color="auto"/>
              <w:left w:val="single" w:sz="4" w:space="0" w:color="auto"/>
              <w:bottom w:val="single" w:sz="4" w:space="0" w:color="auto"/>
              <w:right w:val="single" w:sz="4" w:space="0" w:color="auto"/>
            </w:tcBorders>
            <w:hideMark/>
          </w:tcPr>
          <w:p w:rsidR="00D66005" w:rsidRPr="00F77964" w:rsidRDefault="007E16F6" w:rsidP="00933422">
            <w:pPr>
              <w:pStyle w:val="MediumGrid1-Accent21"/>
              <w:tabs>
                <w:tab w:val="left" w:pos="426"/>
              </w:tabs>
              <w:autoSpaceDE w:val="0"/>
              <w:autoSpaceDN w:val="0"/>
              <w:adjustRightInd w:val="0"/>
              <w:spacing w:before="60" w:after="60"/>
              <w:ind w:left="0"/>
              <w:rPr>
                <w:rFonts w:ascii="Times New Roman" w:eastAsia="SimSun" w:hAnsi="Times New Roman"/>
                <w:sz w:val="18"/>
                <w:szCs w:val="18"/>
                <w:lang w:val="fr-FR" w:eastAsia="zh-CN"/>
              </w:rPr>
            </w:pPr>
            <w:r w:rsidRPr="00F77964">
              <w:rPr>
                <w:rFonts w:ascii="Times New Roman" w:eastAsia="SimSun" w:hAnsi="Times New Roman"/>
                <w:sz w:val="18"/>
                <w:szCs w:val="18"/>
                <w:lang w:val="fr-FR" w:eastAsia="zh-CN"/>
              </w:rPr>
              <w:t>Appui technique</w:t>
            </w:r>
          </w:p>
        </w:tc>
        <w:tc>
          <w:tcPr>
            <w:tcW w:w="3544" w:type="dxa"/>
            <w:tcBorders>
              <w:top w:val="single" w:sz="4" w:space="0" w:color="auto"/>
              <w:left w:val="single" w:sz="4" w:space="0" w:color="auto"/>
              <w:bottom w:val="single" w:sz="4" w:space="0" w:color="auto"/>
              <w:right w:val="single" w:sz="4" w:space="0" w:color="auto"/>
            </w:tcBorders>
            <w:hideMark/>
          </w:tcPr>
          <w:p w:rsidR="00D66005" w:rsidRPr="00F77964" w:rsidRDefault="007E16F6" w:rsidP="00933422">
            <w:pPr>
              <w:pStyle w:val="Normal-pool"/>
              <w:spacing w:before="40" w:after="40"/>
              <w:rPr>
                <w:rFonts w:eastAsia="SimSun"/>
                <w:sz w:val="18"/>
                <w:szCs w:val="18"/>
                <w:lang w:eastAsia="zh-CN"/>
              </w:rPr>
            </w:pPr>
            <w:r w:rsidRPr="00F77964">
              <w:rPr>
                <w:rFonts w:eastAsia="SimSun"/>
                <w:sz w:val="18"/>
                <w:szCs w:val="18"/>
                <w:lang w:eastAsia="zh-CN"/>
              </w:rPr>
              <w:t>2 postes d’administrateur équivalent plein temps</w:t>
            </w:r>
            <w:r w:rsidR="00D66005" w:rsidRPr="00F77964">
              <w:rPr>
                <w:rFonts w:eastAsia="SimSun"/>
                <w:sz w:val="18"/>
                <w:szCs w:val="18"/>
                <w:lang w:eastAsia="zh-CN"/>
              </w:rPr>
              <w:t xml:space="preserve"> (50</w:t>
            </w:r>
            <w:r w:rsidRPr="00F77964">
              <w:rPr>
                <w:rFonts w:eastAsia="SimSun"/>
                <w:sz w:val="18"/>
                <w:szCs w:val="18"/>
                <w:lang w:eastAsia="zh-CN"/>
              </w:rPr>
              <w:t> </w:t>
            </w:r>
            <w:r w:rsidR="0055317B" w:rsidRPr="00F77964">
              <w:rPr>
                <w:rFonts w:eastAsia="SimSun"/>
                <w:sz w:val="18"/>
                <w:szCs w:val="18"/>
                <w:lang w:eastAsia="zh-CN"/>
              </w:rPr>
              <w:t>%</w:t>
            </w:r>
            <w:r w:rsidRPr="00F77964">
              <w:rPr>
                <w:rFonts w:eastAsia="SimSun"/>
                <w:sz w:val="18"/>
                <w:szCs w:val="18"/>
                <w:lang w:eastAsia="zh-CN"/>
              </w:rPr>
              <w:t xml:space="preserve"> en nature</w:t>
            </w:r>
            <w:r w:rsidR="00D66005" w:rsidRPr="00F77964">
              <w:rPr>
                <w:rFonts w:eastAsia="SimSun"/>
                <w:sz w:val="18"/>
                <w:szCs w:val="18"/>
                <w:lang w:eastAsia="zh-CN"/>
              </w:rPr>
              <w:t>)</w:t>
            </w:r>
          </w:p>
        </w:tc>
        <w:tc>
          <w:tcPr>
            <w:tcW w:w="99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933422">
            <w:pPr>
              <w:pStyle w:val="Normal-pool"/>
              <w:spacing w:before="40" w:after="40"/>
              <w:rPr>
                <w:rFonts w:eastAsia="SimSun"/>
                <w:sz w:val="18"/>
                <w:szCs w:val="18"/>
                <w:lang w:eastAsia="zh-CN"/>
              </w:rPr>
            </w:pPr>
            <w:r w:rsidRPr="00F77964">
              <w:rPr>
                <w:rFonts w:eastAsia="SimSun"/>
                <w:sz w:val="18"/>
                <w:szCs w:val="18"/>
                <w:lang w:eastAsia="zh-CN"/>
              </w:rPr>
              <w:t>150</w:t>
            </w:r>
            <w:r w:rsidR="000C18BD" w:rsidRPr="00F77964">
              <w:rPr>
                <w:rFonts w:eastAsia="SimSun"/>
                <w:sz w:val="18"/>
                <w:szCs w:val="18"/>
                <w:lang w:eastAsia="zh-CN"/>
              </w:rPr>
              <w:t> </w:t>
            </w:r>
            <w:r w:rsidRPr="00F77964">
              <w:rPr>
                <w:rFonts w:eastAsia="SimSun"/>
                <w:sz w:val="18"/>
                <w:szCs w:val="18"/>
                <w:lang w:eastAsia="zh-CN"/>
              </w:rPr>
              <w:t>000</w:t>
            </w:r>
          </w:p>
        </w:tc>
      </w:tr>
      <w:tr w:rsidR="00D66005" w:rsidRPr="0061490E" w:rsidTr="00933422">
        <w:tc>
          <w:tcPr>
            <w:tcW w:w="720"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933422">
            <w:pPr>
              <w:pStyle w:val="Normal-pool"/>
              <w:spacing w:before="40" w:after="40"/>
              <w:rPr>
                <w:rFonts w:eastAsia="SimSun"/>
                <w:sz w:val="18"/>
                <w:szCs w:val="18"/>
                <w:lang w:eastAsia="zh-CN"/>
              </w:rPr>
            </w:pPr>
            <w:r w:rsidRPr="00F77964">
              <w:rPr>
                <w:rFonts w:eastAsia="SimSun"/>
                <w:sz w:val="18"/>
                <w:szCs w:val="18"/>
                <w:lang w:eastAsia="zh-CN"/>
              </w:rPr>
              <w:t>2017</w:t>
            </w:r>
          </w:p>
        </w:tc>
        <w:tc>
          <w:tcPr>
            <w:tcW w:w="3527"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7E16F6" w:rsidP="00933422">
            <w:pPr>
              <w:pStyle w:val="Normal-pool"/>
              <w:spacing w:before="40" w:after="40"/>
              <w:rPr>
                <w:rFonts w:eastAsia="SimSun"/>
                <w:sz w:val="18"/>
                <w:szCs w:val="18"/>
                <w:lang w:eastAsia="zh-CN"/>
              </w:rPr>
            </w:pPr>
            <w:r w:rsidRPr="00F77964">
              <w:rPr>
                <w:rFonts w:eastAsia="SimSun"/>
                <w:sz w:val="18"/>
                <w:szCs w:val="18"/>
                <w:lang w:eastAsia="zh-CN"/>
              </w:rPr>
              <w:t xml:space="preserve">Réunion de l’équipe spéciale (5 membres du Groupe d’experts </w:t>
            </w:r>
            <w:r w:rsidR="0055317B" w:rsidRPr="00F77964">
              <w:rPr>
                <w:rFonts w:eastAsia="SimSun"/>
                <w:sz w:val="18"/>
                <w:szCs w:val="18"/>
                <w:lang w:eastAsia="zh-CN"/>
              </w:rPr>
              <w:t>multidisciplinaire</w:t>
            </w:r>
            <w:r w:rsidRPr="00F77964">
              <w:rPr>
                <w:rFonts w:eastAsia="SimSun"/>
                <w:sz w:val="18"/>
                <w:szCs w:val="18"/>
                <w:lang w:eastAsia="zh-CN"/>
              </w:rPr>
              <w:t xml:space="preserve"> et du Bureau</w:t>
            </w:r>
            <w:r w:rsidR="00BC330B">
              <w:rPr>
                <w:rFonts w:eastAsia="SimSun"/>
                <w:sz w:val="18"/>
                <w:szCs w:val="18"/>
                <w:lang w:eastAsia="zh-CN"/>
              </w:rPr>
              <w:t xml:space="preserve"> +</w:t>
            </w:r>
            <w:r w:rsidR="00A542D9">
              <w:rPr>
                <w:rFonts w:eastAsia="SimSun"/>
                <w:sz w:val="18"/>
                <w:szCs w:val="18"/>
                <w:lang w:eastAsia="zh-CN"/>
              </w:rPr>
              <w:t xml:space="preserve"> </w:t>
            </w:r>
            <w:r w:rsidR="00D66005" w:rsidRPr="00F77964">
              <w:rPr>
                <w:rFonts w:eastAsia="SimSun"/>
                <w:sz w:val="18"/>
                <w:szCs w:val="18"/>
                <w:lang w:eastAsia="zh-CN"/>
              </w:rPr>
              <w:t>20 experts/</w:t>
            </w:r>
            <w:r w:rsidRPr="00F77964">
              <w:rPr>
                <w:rFonts w:eastAsia="SimSun"/>
                <w:sz w:val="18"/>
                <w:szCs w:val="18"/>
                <w:lang w:eastAsia="zh-CN"/>
              </w:rPr>
              <w:t>partenaires stratégiques</w:t>
            </w:r>
            <w:r w:rsidR="00D66005" w:rsidRPr="00F77964">
              <w:rPr>
                <w:rFonts w:eastAsia="SimSun"/>
                <w:sz w:val="18"/>
                <w:szCs w:val="18"/>
                <w:lang w:eastAsia="zh-CN"/>
              </w:rPr>
              <w:t>)</w:t>
            </w:r>
          </w:p>
        </w:tc>
        <w:tc>
          <w:tcPr>
            <w:tcW w:w="3544" w:type="dxa"/>
            <w:tcBorders>
              <w:top w:val="single" w:sz="4" w:space="0" w:color="auto"/>
              <w:left w:val="single" w:sz="4" w:space="0" w:color="auto"/>
              <w:bottom w:val="single" w:sz="4" w:space="0" w:color="auto"/>
              <w:right w:val="single" w:sz="4" w:space="0" w:color="auto"/>
            </w:tcBorders>
            <w:hideMark/>
          </w:tcPr>
          <w:p w:rsidR="00D66005" w:rsidRPr="00F77964" w:rsidRDefault="00C42E06" w:rsidP="00933422">
            <w:pPr>
              <w:pStyle w:val="Normal-pool"/>
              <w:spacing w:before="40" w:after="40"/>
              <w:rPr>
                <w:rFonts w:eastAsia="SimSun"/>
                <w:sz w:val="18"/>
                <w:szCs w:val="18"/>
                <w:lang w:eastAsia="zh-CN"/>
              </w:rPr>
            </w:pPr>
            <w:r w:rsidRPr="00F77964">
              <w:rPr>
                <w:rFonts w:eastAsia="SimSun"/>
                <w:sz w:val="18"/>
                <w:szCs w:val="18"/>
                <w:lang w:eastAsia="zh-CN"/>
              </w:rPr>
              <w:t>Coûts de la réunion</w:t>
            </w:r>
            <w:r w:rsidR="00D66005" w:rsidRPr="00F77964">
              <w:rPr>
                <w:rFonts w:eastAsia="SimSun"/>
                <w:sz w:val="18"/>
                <w:szCs w:val="18"/>
                <w:lang w:eastAsia="zh-CN"/>
              </w:rPr>
              <w:t xml:space="preserve"> (1</w:t>
            </w:r>
            <w:r w:rsidRPr="00F77964">
              <w:rPr>
                <w:rFonts w:eastAsia="SimSun"/>
                <w:sz w:val="18"/>
                <w:szCs w:val="18"/>
                <w:lang w:eastAsia="zh-CN"/>
              </w:rPr>
              <w:t> semaine</w:t>
            </w:r>
            <w:r w:rsidR="00D66005" w:rsidRPr="00F77964">
              <w:rPr>
                <w:rFonts w:eastAsia="SimSun"/>
                <w:sz w:val="18"/>
                <w:szCs w:val="18"/>
                <w:lang w:eastAsia="zh-CN"/>
              </w:rPr>
              <w:t>, 25</w:t>
            </w:r>
            <w:r w:rsidRPr="00F77964">
              <w:rPr>
                <w:rFonts w:eastAsia="SimSun"/>
                <w:sz w:val="18"/>
                <w:szCs w:val="18"/>
                <w:lang w:eastAsia="zh-CN"/>
              </w:rPr>
              <w:t> </w:t>
            </w:r>
            <w:r w:rsidR="00D66005" w:rsidRPr="00F77964">
              <w:rPr>
                <w:rFonts w:eastAsia="SimSun"/>
                <w:sz w:val="18"/>
                <w:szCs w:val="18"/>
                <w:lang w:eastAsia="zh-CN"/>
              </w:rPr>
              <w:t>participants) (25 </w:t>
            </w:r>
            <w:r w:rsidRPr="00F77964">
              <w:rPr>
                <w:rFonts w:eastAsia="SimSun"/>
                <w:sz w:val="18"/>
                <w:szCs w:val="18"/>
                <w:lang w:eastAsia="zh-CN"/>
              </w:rPr>
              <w:t>% en nature</w:t>
            </w:r>
            <w:r w:rsidR="00D66005" w:rsidRPr="00F77964">
              <w:rPr>
                <w:rFonts w:eastAsia="SimSun"/>
                <w:sz w:val="18"/>
                <w:szCs w:val="18"/>
                <w:lang w:eastAsia="zh-CN"/>
              </w:rPr>
              <w:t>)</w:t>
            </w:r>
          </w:p>
        </w:tc>
        <w:tc>
          <w:tcPr>
            <w:tcW w:w="99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933422">
            <w:pPr>
              <w:pStyle w:val="Normal-pool"/>
              <w:spacing w:before="40" w:after="40"/>
              <w:rPr>
                <w:rFonts w:eastAsia="SimSun"/>
                <w:sz w:val="18"/>
                <w:szCs w:val="18"/>
                <w:lang w:eastAsia="zh-CN"/>
              </w:rPr>
            </w:pPr>
            <w:r w:rsidRPr="00F77964">
              <w:rPr>
                <w:rFonts w:eastAsia="SimSun"/>
                <w:sz w:val="18"/>
                <w:szCs w:val="18"/>
                <w:lang w:eastAsia="zh-CN"/>
              </w:rPr>
              <w:t>7</w:t>
            </w:r>
            <w:r w:rsidR="000C18BD" w:rsidRPr="00F77964">
              <w:rPr>
                <w:rFonts w:eastAsia="SimSun"/>
                <w:sz w:val="18"/>
                <w:szCs w:val="18"/>
                <w:lang w:eastAsia="zh-CN"/>
              </w:rPr>
              <w:t> </w:t>
            </w:r>
            <w:r w:rsidRPr="00F77964">
              <w:rPr>
                <w:rFonts w:eastAsia="SimSun"/>
                <w:sz w:val="18"/>
                <w:szCs w:val="18"/>
                <w:lang w:eastAsia="zh-CN"/>
              </w:rPr>
              <w:t>500</w:t>
            </w:r>
          </w:p>
        </w:tc>
      </w:tr>
      <w:tr w:rsidR="00D66005" w:rsidRPr="0061490E" w:rsidTr="00933422">
        <w:trPr>
          <w:trHeight w:val="339"/>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933422">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933422">
            <w:pPr>
              <w:rPr>
                <w:rFonts w:eastAsia="SimSun"/>
                <w:sz w:val="18"/>
                <w:szCs w:val="18"/>
                <w:lang w:eastAsia="zh-CN"/>
              </w:rPr>
            </w:pPr>
          </w:p>
        </w:tc>
        <w:tc>
          <w:tcPr>
            <w:tcW w:w="3544" w:type="dxa"/>
            <w:tcBorders>
              <w:top w:val="single" w:sz="4" w:space="0" w:color="auto"/>
              <w:left w:val="single" w:sz="4" w:space="0" w:color="auto"/>
              <w:bottom w:val="single" w:sz="4" w:space="0" w:color="auto"/>
              <w:right w:val="single" w:sz="4" w:space="0" w:color="auto"/>
            </w:tcBorders>
            <w:hideMark/>
          </w:tcPr>
          <w:p w:rsidR="00D66005" w:rsidRPr="00F77964" w:rsidRDefault="00D972E8" w:rsidP="00933422">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00902989">
              <w:rPr>
                <w:rFonts w:eastAsia="SimSun"/>
                <w:sz w:val="18"/>
                <w:szCs w:val="18"/>
                <w:lang w:eastAsia="zh-CN"/>
              </w:rPr>
              <w:t xml:space="preserve"> (5 x </w:t>
            </w:r>
            <w:r w:rsidR="00C42E06" w:rsidRPr="00F77964">
              <w:rPr>
                <w:rFonts w:eastAsia="SimSun"/>
                <w:sz w:val="18"/>
                <w:szCs w:val="18"/>
                <w:lang w:eastAsia="zh-CN"/>
              </w:rPr>
              <w:t>3 000 </w:t>
            </w:r>
            <w:r w:rsidR="0055317B" w:rsidRPr="00F77964">
              <w:rPr>
                <w:rFonts w:eastAsia="SimSun"/>
                <w:sz w:val="18"/>
                <w:szCs w:val="18"/>
                <w:lang w:eastAsia="zh-CN"/>
              </w:rPr>
              <w:t>dollars</w:t>
            </w:r>
            <w:r w:rsidR="00C42E06" w:rsidRPr="00F77964">
              <w:rPr>
                <w:rFonts w:eastAsia="SimSun"/>
                <w:sz w:val="18"/>
                <w:szCs w:val="18"/>
                <w:lang w:eastAsia="zh-CN"/>
              </w:rPr>
              <w:t>)</w:t>
            </w:r>
          </w:p>
        </w:tc>
        <w:tc>
          <w:tcPr>
            <w:tcW w:w="99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933422">
            <w:pPr>
              <w:pStyle w:val="Normal-pool"/>
              <w:spacing w:before="40" w:after="40"/>
              <w:rPr>
                <w:rFonts w:eastAsia="SimSun"/>
                <w:sz w:val="18"/>
                <w:szCs w:val="18"/>
                <w:lang w:eastAsia="zh-CN"/>
              </w:rPr>
            </w:pPr>
            <w:r w:rsidRPr="00F77964">
              <w:rPr>
                <w:rFonts w:eastAsia="SimSun"/>
                <w:sz w:val="18"/>
                <w:szCs w:val="18"/>
                <w:lang w:eastAsia="zh-CN"/>
              </w:rPr>
              <w:t>15</w:t>
            </w:r>
            <w:r w:rsidR="000C18BD" w:rsidRPr="00F77964">
              <w:rPr>
                <w:rFonts w:eastAsia="SimSun"/>
                <w:sz w:val="18"/>
                <w:szCs w:val="18"/>
                <w:lang w:eastAsia="zh-CN"/>
              </w:rPr>
              <w:t> </w:t>
            </w:r>
            <w:r w:rsidRPr="00F77964">
              <w:rPr>
                <w:rFonts w:eastAsia="SimSun"/>
                <w:sz w:val="18"/>
                <w:szCs w:val="18"/>
                <w:lang w:eastAsia="zh-CN"/>
              </w:rPr>
              <w:t>000</w:t>
            </w:r>
          </w:p>
        </w:tc>
      </w:tr>
      <w:tr w:rsidR="00D66005" w:rsidRPr="0061490E" w:rsidTr="00933422">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933422">
            <w:pPr>
              <w:rPr>
                <w:rFonts w:eastAsia="SimSun"/>
                <w:sz w:val="18"/>
                <w:szCs w:val="18"/>
                <w:lang w:eastAsia="zh-CN"/>
              </w:rPr>
            </w:pPr>
          </w:p>
        </w:tc>
        <w:tc>
          <w:tcPr>
            <w:tcW w:w="3527"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C42E06" w:rsidP="00933422">
            <w:pPr>
              <w:pStyle w:val="Normal-pool"/>
              <w:spacing w:before="40" w:after="40"/>
              <w:rPr>
                <w:rFonts w:eastAsia="SimSun"/>
                <w:sz w:val="18"/>
                <w:szCs w:val="18"/>
                <w:lang w:eastAsia="zh-CN"/>
              </w:rPr>
            </w:pPr>
            <w:r w:rsidRPr="00F77964">
              <w:rPr>
                <w:rFonts w:eastAsia="SimSun"/>
                <w:sz w:val="18"/>
                <w:szCs w:val="18"/>
                <w:lang w:eastAsia="zh-CN"/>
              </w:rPr>
              <w:t>Réunion de dialogue</w:t>
            </w:r>
            <w:r w:rsidR="00D66005" w:rsidRPr="00F77964">
              <w:rPr>
                <w:rFonts w:eastAsia="SimSun"/>
                <w:sz w:val="18"/>
                <w:szCs w:val="18"/>
                <w:lang w:eastAsia="zh-CN"/>
              </w:rPr>
              <w:t xml:space="preserve"> (50</w:t>
            </w:r>
            <w:r w:rsidRPr="00F77964">
              <w:rPr>
                <w:rFonts w:eastAsia="SimSun"/>
                <w:sz w:val="18"/>
                <w:szCs w:val="18"/>
                <w:lang w:eastAsia="zh-CN"/>
              </w:rPr>
              <w:t> </w:t>
            </w:r>
            <w:r w:rsidR="00D66005" w:rsidRPr="00F77964">
              <w:rPr>
                <w:rFonts w:eastAsia="SimSun"/>
                <w:sz w:val="18"/>
                <w:szCs w:val="18"/>
                <w:lang w:eastAsia="zh-CN"/>
              </w:rPr>
              <w:t>participants, 25 f</w:t>
            </w:r>
            <w:r w:rsidRPr="00F77964">
              <w:rPr>
                <w:rFonts w:eastAsia="SimSun"/>
                <w:sz w:val="18"/>
                <w:szCs w:val="18"/>
                <w:lang w:eastAsia="zh-CN"/>
              </w:rPr>
              <w:t>inancés</w:t>
            </w:r>
            <w:r w:rsidR="00D66005" w:rsidRPr="00F77964">
              <w:rPr>
                <w:rFonts w:eastAsia="SimSun"/>
                <w:sz w:val="18"/>
                <w:szCs w:val="18"/>
                <w:lang w:eastAsia="zh-CN"/>
              </w:rPr>
              <w:t>)</w:t>
            </w:r>
          </w:p>
        </w:tc>
        <w:tc>
          <w:tcPr>
            <w:tcW w:w="3544" w:type="dxa"/>
            <w:tcBorders>
              <w:top w:val="single" w:sz="4" w:space="0" w:color="auto"/>
              <w:left w:val="single" w:sz="4" w:space="0" w:color="auto"/>
              <w:bottom w:val="single" w:sz="4" w:space="0" w:color="auto"/>
              <w:right w:val="single" w:sz="4" w:space="0" w:color="auto"/>
            </w:tcBorders>
            <w:hideMark/>
          </w:tcPr>
          <w:p w:rsidR="00D66005" w:rsidRPr="00F77964" w:rsidRDefault="00C42E06" w:rsidP="00933422">
            <w:pPr>
              <w:pStyle w:val="Normal-pool"/>
              <w:spacing w:before="40" w:after="40"/>
              <w:rPr>
                <w:rFonts w:eastAsia="SimSun"/>
                <w:sz w:val="18"/>
                <w:szCs w:val="18"/>
                <w:lang w:eastAsia="zh-CN"/>
              </w:rPr>
            </w:pPr>
            <w:r w:rsidRPr="00F77964">
              <w:rPr>
                <w:rFonts w:eastAsia="SimSun"/>
                <w:sz w:val="18"/>
                <w:szCs w:val="18"/>
                <w:lang w:eastAsia="zh-CN"/>
              </w:rPr>
              <w:t>Coûts de la réunion</w:t>
            </w:r>
            <w:r w:rsidR="00D66005" w:rsidRPr="00F77964">
              <w:rPr>
                <w:rFonts w:eastAsia="SimSun"/>
                <w:sz w:val="18"/>
                <w:szCs w:val="18"/>
                <w:lang w:eastAsia="zh-CN"/>
              </w:rPr>
              <w:t xml:space="preserve"> (1</w:t>
            </w:r>
            <w:r w:rsidRPr="00F77964">
              <w:rPr>
                <w:rFonts w:eastAsia="SimSun"/>
                <w:sz w:val="18"/>
                <w:szCs w:val="18"/>
                <w:lang w:eastAsia="zh-CN"/>
              </w:rPr>
              <w:t> semaine</w:t>
            </w:r>
            <w:r w:rsidR="00D66005" w:rsidRPr="00F77964">
              <w:rPr>
                <w:rFonts w:eastAsia="SimSun"/>
                <w:sz w:val="18"/>
                <w:szCs w:val="18"/>
                <w:lang w:eastAsia="zh-CN"/>
              </w:rPr>
              <w:t>, 50</w:t>
            </w:r>
            <w:r w:rsidRPr="00F77964">
              <w:rPr>
                <w:rFonts w:eastAsia="SimSun"/>
                <w:sz w:val="18"/>
                <w:szCs w:val="18"/>
                <w:lang w:eastAsia="zh-CN"/>
              </w:rPr>
              <w:t> </w:t>
            </w:r>
            <w:r w:rsidR="00D66005" w:rsidRPr="00F77964">
              <w:rPr>
                <w:rFonts w:eastAsia="SimSun"/>
                <w:sz w:val="18"/>
                <w:szCs w:val="18"/>
                <w:lang w:eastAsia="zh-CN"/>
              </w:rPr>
              <w:t>participants) (25 </w:t>
            </w:r>
            <w:r w:rsidRPr="00F77964">
              <w:rPr>
                <w:rFonts w:eastAsia="SimSun"/>
                <w:sz w:val="18"/>
                <w:szCs w:val="18"/>
                <w:lang w:eastAsia="zh-CN"/>
              </w:rPr>
              <w:t>% en nature</w:t>
            </w:r>
            <w:r w:rsidR="00D66005" w:rsidRPr="00F77964">
              <w:rPr>
                <w:rFonts w:eastAsia="SimSun"/>
                <w:sz w:val="18"/>
                <w:szCs w:val="18"/>
                <w:lang w:eastAsia="zh-CN"/>
              </w:rPr>
              <w:t>)</w:t>
            </w:r>
          </w:p>
        </w:tc>
        <w:tc>
          <w:tcPr>
            <w:tcW w:w="99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933422">
            <w:pPr>
              <w:pStyle w:val="Normal-pool"/>
              <w:spacing w:before="40" w:after="40"/>
              <w:rPr>
                <w:rFonts w:eastAsia="SimSun"/>
                <w:sz w:val="18"/>
                <w:szCs w:val="18"/>
                <w:lang w:eastAsia="zh-CN"/>
              </w:rPr>
            </w:pPr>
            <w:r w:rsidRPr="00F77964">
              <w:rPr>
                <w:rFonts w:eastAsia="SimSun"/>
                <w:sz w:val="18"/>
                <w:szCs w:val="18"/>
                <w:lang w:eastAsia="zh-CN"/>
              </w:rPr>
              <w:t>11</w:t>
            </w:r>
            <w:r w:rsidR="000C18BD" w:rsidRPr="00F77964">
              <w:rPr>
                <w:rFonts w:eastAsia="SimSun"/>
                <w:sz w:val="18"/>
                <w:szCs w:val="18"/>
                <w:lang w:eastAsia="zh-CN"/>
              </w:rPr>
              <w:t> </w:t>
            </w:r>
            <w:r w:rsidRPr="00F77964">
              <w:rPr>
                <w:rFonts w:eastAsia="SimSun"/>
                <w:sz w:val="18"/>
                <w:szCs w:val="18"/>
                <w:lang w:eastAsia="zh-CN"/>
              </w:rPr>
              <w:t>250</w:t>
            </w:r>
          </w:p>
        </w:tc>
      </w:tr>
      <w:tr w:rsidR="00D66005" w:rsidRPr="0061490E" w:rsidTr="00933422">
        <w:trPr>
          <w:trHeight w:val="109"/>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933422">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933422">
            <w:pPr>
              <w:rPr>
                <w:rFonts w:eastAsia="SimSun"/>
                <w:sz w:val="18"/>
                <w:szCs w:val="18"/>
                <w:lang w:eastAsia="zh-CN"/>
              </w:rPr>
            </w:pPr>
          </w:p>
        </w:tc>
        <w:tc>
          <w:tcPr>
            <w:tcW w:w="3544" w:type="dxa"/>
            <w:tcBorders>
              <w:top w:val="single" w:sz="4" w:space="0" w:color="auto"/>
              <w:left w:val="single" w:sz="4" w:space="0" w:color="auto"/>
              <w:bottom w:val="single" w:sz="4" w:space="0" w:color="auto"/>
              <w:right w:val="single" w:sz="4" w:space="0" w:color="auto"/>
            </w:tcBorders>
            <w:hideMark/>
          </w:tcPr>
          <w:p w:rsidR="00D66005" w:rsidRPr="00F77964" w:rsidRDefault="00D972E8" w:rsidP="00933422">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00902989">
              <w:rPr>
                <w:rFonts w:eastAsia="SimSun"/>
                <w:sz w:val="18"/>
                <w:szCs w:val="18"/>
                <w:lang w:eastAsia="zh-CN"/>
              </w:rPr>
              <w:t xml:space="preserve"> (25 x </w:t>
            </w:r>
            <w:r w:rsidR="00C42E06" w:rsidRPr="00F77964">
              <w:rPr>
                <w:rFonts w:eastAsia="SimSun"/>
                <w:sz w:val="18"/>
                <w:szCs w:val="18"/>
                <w:lang w:eastAsia="zh-CN"/>
              </w:rPr>
              <w:t>3 000 </w:t>
            </w:r>
            <w:r w:rsidR="0055317B" w:rsidRPr="00F77964">
              <w:rPr>
                <w:rFonts w:eastAsia="SimSun"/>
                <w:sz w:val="18"/>
                <w:szCs w:val="18"/>
                <w:lang w:eastAsia="zh-CN"/>
              </w:rPr>
              <w:t>dollars</w:t>
            </w:r>
            <w:r w:rsidR="00C42E06" w:rsidRPr="00F77964">
              <w:rPr>
                <w:rFonts w:eastAsia="SimSun"/>
                <w:sz w:val="18"/>
                <w:szCs w:val="18"/>
                <w:lang w:eastAsia="zh-CN"/>
              </w:rPr>
              <w:t>)</w:t>
            </w:r>
          </w:p>
        </w:tc>
        <w:tc>
          <w:tcPr>
            <w:tcW w:w="99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933422">
            <w:pPr>
              <w:pStyle w:val="Normal-pool"/>
              <w:spacing w:before="40" w:after="40"/>
              <w:rPr>
                <w:rFonts w:eastAsia="SimSun"/>
                <w:sz w:val="18"/>
                <w:szCs w:val="18"/>
                <w:lang w:eastAsia="zh-CN"/>
              </w:rPr>
            </w:pPr>
            <w:r w:rsidRPr="00F77964">
              <w:rPr>
                <w:rFonts w:eastAsia="SimSun"/>
                <w:sz w:val="18"/>
                <w:szCs w:val="18"/>
                <w:lang w:eastAsia="zh-CN"/>
              </w:rPr>
              <w:t>75</w:t>
            </w:r>
            <w:r w:rsidR="000C18BD" w:rsidRPr="00F77964">
              <w:rPr>
                <w:rFonts w:eastAsia="SimSun"/>
                <w:sz w:val="18"/>
                <w:szCs w:val="18"/>
                <w:lang w:eastAsia="zh-CN"/>
              </w:rPr>
              <w:t> </w:t>
            </w:r>
            <w:r w:rsidRPr="00F77964">
              <w:rPr>
                <w:rFonts w:eastAsia="SimSun"/>
                <w:sz w:val="18"/>
                <w:szCs w:val="18"/>
                <w:lang w:eastAsia="zh-CN"/>
              </w:rPr>
              <w:t>000</w:t>
            </w:r>
          </w:p>
        </w:tc>
      </w:tr>
      <w:tr w:rsidR="00D66005" w:rsidRPr="0061490E" w:rsidTr="00933422">
        <w:trPr>
          <w:trHeight w:val="381"/>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933422">
            <w:pPr>
              <w:rPr>
                <w:rFonts w:eastAsia="SimSun"/>
                <w:sz w:val="18"/>
                <w:szCs w:val="18"/>
                <w:lang w:eastAsia="zh-CN"/>
              </w:rPr>
            </w:pPr>
          </w:p>
        </w:tc>
        <w:tc>
          <w:tcPr>
            <w:tcW w:w="3527" w:type="dxa"/>
            <w:tcBorders>
              <w:top w:val="single" w:sz="4" w:space="0" w:color="auto"/>
              <w:left w:val="single" w:sz="4" w:space="0" w:color="auto"/>
              <w:bottom w:val="single" w:sz="4" w:space="0" w:color="auto"/>
              <w:right w:val="single" w:sz="4" w:space="0" w:color="auto"/>
            </w:tcBorders>
            <w:hideMark/>
          </w:tcPr>
          <w:p w:rsidR="00D66005" w:rsidRPr="00F77964" w:rsidRDefault="00C42E06" w:rsidP="00933422">
            <w:pPr>
              <w:pStyle w:val="Normal-pool"/>
              <w:spacing w:before="40" w:after="40"/>
              <w:rPr>
                <w:rFonts w:eastAsia="SimSun"/>
                <w:sz w:val="18"/>
                <w:szCs w:val="18"/>
                <w:lang w:eastAsia="zh-CN"/>
              </w:rPr>
            </w:pPr>
            <w:r w:rsidRPr="00F77964">
              <w:rPr>
                <w:rFonts w:eastAsia="SimSun"/>
                <w:sz w:val="18"/>
                <w:szCs w:val="18"/>
                <w:lang w:eastAsia="zh-CN"/>
              </w:rPr>
              <w:t>Appui technique</w:t>
            </w:r>
          </w:p>
        </w:tc>
        <w:tc>
          <w:tcPr>
            <w:tcW w:w="3544" w:type="dxa"/>
            <w:tcBorders>
              <w:top w:val="single" w:sz="4" w:space="0" w:color="auto"/>
              <w:left w:val="single" w:sz="4" w:space="0" w:color="auto"/>
              <w:bottom w:val="single" w:sz="4" w:space="0" w:color="auto"/>
              <w:right w:val="single" w:sz="4" w:space="0" w:color="auto"/>
            </w:tcBorders>
            <w:hideMark/>
          </w:tcPr>
          <w:p w:rsidR="00D66005" w:rsidRPr="00F77964" w:rsidRDefault="00C42E06" w:rsidP="00933422">
            <w:pPr>
              <w:pStyle w:val="Normal-pool"/>
              <w:spacing w:before="40" w:after="40"/>
              <w:rPr>
                <w:rFonts w:eastAsia="SimSun"/>
                <w:sz w:val="18"/>
                <w:szCs w:val="18"/>
                <w:lang w:eastAsia="zh-CN"/>
              </w:rPr>
            </w:pPr>
            <w:r w:rsidRPr="00F77964">
              <w:rPr>
                <w:rFonts w:eastAsia="SimSun"/>
                <w:sz w:val="18"/>
                <w:szCs w:val="18"/>
                <w:lang w:eastAsia="zh-CN"/>
              </w:rPr>
              <w:t xml:space="preserve">2 postes d’administrateur équivalent plein temps </w:t>
            </w:r>
            <w:r w:rsidR="00D66005" w:rsidRPr="00F77964">
              <w:rPr>
                <w:rFonts w:eastAsia="SimSun"/>
                <w:sz w:val="18"/>
                <w:szCs w:val="18"/>
                <w:lang w:eastAsia="zh-CN"/>
              </w:rPr>
              <w:t>(50</w:t>
            </w:r>
            <w:r w:rsidRPr="00F77964">
              <w:rPr>
                <w:rFonts w:eastAsia="SimSun"/>
                <w:sz w:val="18"/>
                <w:szCs w:val="18"/>
                <w:lang w:eastAsia="zh-CN"/>
              </w:rPr>
              <w:t> </w:t>
            </w:r>
            <w:r w:rsidR="0055317B" w:rsidRPr="00F77964">
              <w:rPr>
                <w:rFonts w:eastAsia="SimSun"/>
                <w:sz w:val="18"/>
                <w:szCs w:val="18"/>
                <w:lang w:eastAsia="zh-CN"/>
              </w:rPr>
              <w:t>%</w:t>
            </w:r>
            <w:r w:rsidRPr="00F77964">
              <w:rPr>
                <w:rFonts w:eastAsia="SimSun"/>
                <w:sz w:val="18"/>
                <w:szCs w:val="18"/>
                <w:lang w:eastAsia="zh-CN"/>
              </w:rPr>
              <w:t xml:space="preserve"> en nature</w:t>
            </w:r>
            <w:r w:rsidR="00D66005" w:rsidRPr="00F77964">
              <w:rPr>
                <w:rFonts w:eastAsia="SimSun"/>
                <w:sz w:val="18"/>
                <w:szCs w:val="18"/>
                <w:lang w:eastAsia="zh-CN"/>
              </w:rPr>
              <w:t>)</w:t>
            </w:r>
          </w:p>
        </w:tc>
        <w:tc>
          <w:tcPr>
            <w:tcW w:w="99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933422">
            <w:pPr>
              <w:pStyle w:val="Normal-pool"/>
              <w:spacing w:before="40" w:after="40"/>
              <w:rPr>
                <w:rFonts w:eastAsia="SimSun"/>
                <w:sz w:val="18"/>
                <w:szCs w:val="18"/>
                <w:lang w:eastAsia="zh-CN"/>
              </w:rPr>
            </w:pPr>
            <w:r w:rsidRPr="00F77964">
              <w:rPr>
                <w:rFonts w:eastAsia="SimSun"/>
                <w:sz w:val="18"/>
                <w:szCs w:val="18"/>
                <w:lang w:eastAsia="zh-CN"/>
              </w:rPr>
              <w:t>150</w:t>
            </w:r>
            <w:r w:rsidR="000C18BD" w:rsidRPr="00F77964">
              <w:rPr>
                <w:rFonts w:eastAsia="SimSun"/>
                <w:sz w:val="18"/>
                <w:szCs w:val="18"/>
                <w:lang w:eastAsia="zh-CN"/>
              </w:rPr>
              <w:t> </w:t>
            </w:r>
            <w:r w:rsidRPr="00F77964">
              <w:rPr>
                <w:rFonts w:eastAsia="SimSun"/>
                <w:sz w:val="18"/>
                <w:szCs w:val="18"/>
                <w:lang w:eastAsia="zh-CN"/>
              </w:rPr>
              <w:t>000</w:t>
            </w:r>
          </w:p>
        </w:tc>
      </w:tr>
      <w:tr w:rsidR="00D66005" w:rsidRPr="0061490E" w:rsidTr="00933422">
        <w:tc>
          <w:tcPr>
            <w:tcW w:w="720"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933422">
            <w:pPr>
              <w:pStyle w:val="Normal-pool"/>
              <w:spacing w:before="40" w:after="40"/>
              <w:rPr>
                <w:rFonts w:eastAsia="SimSun"/>
                <w:sz w:val="18"/>
                <w:szCs w:val="18"/>
                <w:lang w:eastAsia="zh-CN"/>
              </w:rPr>
            </w:pPr>
            <w:r w:rsidRPr="00F77964">
              <w:rPr>
                <w:rFonts w:eastAsia="SimSun"/>
                <w:sz w:val="18"/>
                <w:szCs w:val="18"/>
                <w:lang w:eastAsia="zh-CN"/>
              </w:rPr>
              <w:t>2018</w:t>
            </w:r>
          </w:p>
        </w:tc>
        <w:tc>
          <w:tcPr>
            <w:tcW w:w="3527"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C42E06" w:rsidP="00933422">
            <w:pPr>
              <w:pStyle w:val="Normal-pool"/>
              <w:spacing w:before="40" w:after="40"/>
              <w:rPr>
                <w:rFonts w:eastAsia="SimSun"/>
                <w:sz w:val="18"/>
                <w:szCs w:val="18"/>
                <w:lang w:eastAsia="zh-CN"/>
              </w:rPr>
            </w:pPr>
            <w:r w:rsidRPr="00F77964">
              <w:rPr>
                <w:rFonts w:eastAsia="SimSun"/>
                <w:sz w:val="18"/>
                <w:szCs w:val="18"/>
                <w:lang w:eastAsia="zh-CN"/>
              </w:rPr>
              <w:t>Réunion de l’équipe spéciale</w:t>
            </w:r>
            <w:r w:rsidR="00D66005" w:rsidRPr="00F77964">
              <w:rPr>
                <w:rFonts w:eastAsia="SimSun"/>
                <w:sz w:val="18"/>
                <w:szCs w:val="18"/>
                <w:lang w:eastAsia="zh-CN"/>
              </w:rPr>
              <w:t xml:space="preserve"> (5</w:t>
            </w:r>
            <w:r w:rsidRPr="00F77964">
              <w:rPr>
                <w:rFonts w:eastAsia="SimSun"/>
                <w:sz w:val="18"/>
                <w:szCs w:val="18"/>
                <w:lang w:eastAsia="zh-CN"/>
              </w:rPr>
              <w:t> membres du Groupe d’experts multidisciplinaire et du Bureau</w:t>
            </w:r>
            <w:r w:rsidR="00D66005" w:rsidRPr="00F77964">
              <w:rPr>
                <w:rFonts w:eastAsia="SimSun"/>
                <w:sz w:val="18"/>
                <w:szCs w:val="18"/>
                <w:lang w:eastAsia="zh-CN"/>
              </w:rPr>
              <w:t xml:space="preserve"> plus 20 experts/</w:t>
            </w:r>
            <w:r w:rsidRPr="00F77964">
              <w:rPr>
                <w:rFonts w:eastAsia="SimSun"/>
                <w:sz w:val="18"/>
                <w:szCs w:val="18"/>
                <w:lang w:eastAsia="zh-CN"/>
              </w:rPr>
              <w:t>partenaires stratégiques</w:t>
            </w:r>
            <w:r w:rsidR="00D66005" w:rsidRPr="00F77964">
              <w:rPr>
                <w:rFonts w:eastAsia="SimSun"/>
                <w:sz w:val="18"/>
                <w:szCs w:val="18"/>
                <w:lang w:eastAsia="zh-CN"/>
              </w:rPr>
              <w:t>)</w:t>
            </w:r>
          </w:p>
        </w:tc>
        <w:tc>
          <w:tcPr>
            <w:tcW w:w="3544" w:type="dxa"/>
            <w:tcBorders>
              <w:top w:val="single" w:sz="4" w:space="0" w:color="auto"/>
              <w:left w:val="single" w:sz="4" w:space="0" w:color="auto"/>
              <w:bottom w:val="single" w:sz="4" w:space="0" w:color="auto"/>
              <w:right w:val="single" w:sz="4" w:space="0" w:color="auto"/>
            </w:tcBorders>
            <w:hideMark/>
          </w:tcPr>
          <w:p w:rsidR="00D66005" w:rsidRPr="00F77964" w:rsidRDefault="00C42E06" w:rsidP="00933422">
            <w:pPr>
              <w:pStyle w:val="Normal-pool"/>
              <w:spacing w:before="40" w:after="40"/>
              <w:rPr>
                <w:rFonts w:eastAsia="SimSun"/>
                <w:sz w:val="18"/>
                <w:szCs w:val="18"/>
                <w:lang w:eastAsia="zh-CN"/>
              </w:rPr>
            </w:pPr>
            <w:r w:rsidRPr="00F77964">
              <w:rPr>
                <w:rFonts w:eastAsia="SimSun"/>
                <w:sz w:val="18"/>
                <w:szCs w:val="18"/>
                <w:lang w:eastAsia="zh-CN"/>
              </w:rPr>
              <w:t>Coûts de la réunion</w:t>
            </w:r>
            <w:r w:rsidR="00D66005" w:rsidRPr="00F77964">
              <w:rPr>
                <w:rFonts w:eastAsia="SimSun"/>
                <w:sz w:val="18"/>
                <w:szCs w:val="18"/>
                <w:lang w:eastAsia="zh-CN"/>
              </w:rPr>
              <w:t xml:space="preserve"> (1</w:t>
            </w:r>
            <w:r w:rsidRPr="00F77964">
              <w:rPr>
                <w:rFonts w:eastAsia="SimSun"/>
                <w:sz w:val="18"/>
                <w:szCs w:val="18"/>
                <w:lang w:eastAsia="zh-CN"/>
              </w:rPr>
              <w:t> semaine,</w:t>
            </w:r>
            <w:r w:rsidR="00D972E8">
              <w:rPr>
                <w:rFonts w:eastAsia="SimSun"/>
                <w:sz w:val="18"/>
                <w:szCs w:val="18"/>
                <w:lang w:eastAsia="zh-CN"/>
              </w:rPr>
              <w:t xml:space="preserve"> </w:t>
            </w:r>
            <w:r w:rsidR="00D66005" w:rsidRPr="00F77964">
              <w:rPr>
                <w:rFonts w:eastAsia="SimSun"/>
                <w:sz w:val="18"/>
                <w:szCs w:val="18"/>
                <w:lang w:eastAsia="zh-CN"/>
              </w:rPr>
              <w:t>25</w:t>
            </w:r>
            <w:r w:rsidRPr="00F77964">
              <w:rPr>
                <w:rFonts w:eastAsia="SimSun"/>
                <w:sz w:val="18"/>
                <w:szCs w:val="18"/>
                <w:lang w:eastAsia="zh-CN"/>
              </w:rPr>
              <w:t> </w:t>
            </w:r>
            <w:r w:rsidR="00D66005" w:rsidRPr="00F77964">
              <w:rPr>
                <w:rFonts w:eastAsia="SimSun"/>
                <w:sz w:val="18"/>
                <w:szCs w:val="18"/>
                <w:lang w:eastAsia="zh-CN"/>
              </w:rPr>
              <w:t>participants) (25 </w:t>
            </w:r>
            <w:r w:rsidRPr="00F77964">
              <w:rPr>
                <w:rFonts w:eastAsia="SimSun"/>
                <w:sz w:val="18"/>
                <w:szCs w:val="18"/>
                <w:lang w:eastAsia="zh-CN"/>
              </w:rPr>
              <w:t>% en nature</w:t>
            </w:r>
            <w:r w:rsidR="00D66005" w:rsidRPr="00F77964">
              <w:rPr>
                <w:rFonts w:eastAsia="SimSun"/>
                <w:sz w:val="18"/>
                <w:szCs w:val="18"/>
                <w:lang w:eastAsia="zh-CN"/>
              </w:rPr>
              <w:t>)</w:t>
            </w:r>
          </w:p>
        </w:tc>
        <w:tc>
          <w:tcPr>
            <w:tcW w:w="99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933422">
            <w:pPr>
              <w:pStyle w:val="Normal-pool"/>
              <w:spacing w:before="40" w:after="40"/>
              <w:rPr>
                <w:rFonts w:eastAsia="SimSun"/>
                <w:sz w:val="18"/>
                <w:szCs w:val="18"/>
                <w:lang w:eastAsia="zh-CN"/>
              </w:rPr>
            </w:pPr>
            <w:r w:rsidRPr="00F77964">
              <w:rPr>
                <w:rFonts w:eastAsia="SimSun"/>
                <w:sz w:val="18"/>
                <w:szCs w:val="18"/>
                <w:lang w:eastAsia="zh-CN"/>
              </w:rPr>
              <w:t>7</w:t>
            </w:r>
            <w:r w:rsidR="000C18BD" w:rsidRPr="00F77964">
              <w:rPr>
                <w:rFonts w:eastAsia="SimSun"/>
                <w:sz w:val="18"/>
                <w:szCs w:val="18"/>
                <w:lang w:eastAsia="zh-CN"/>
              </w:rPr>
              <w:t> </w:t>
            </w:r>
            <w:r w:rsidRPr="00F77964">
              <w:rPr>
                <w:rFonts w:eastAsia="SimSun"/>
                <w:sz w:val="18"/>
                <w:szCs w:val="18"/>
                <w:lang w:eastAsia="zh-CN"/>
              </w:rPr>
              <w:t>500</w:t>
            </w:r>
          </w:p>
        </w:tc>
      </w:tr>
      <w:tr w:rsidR="00D66005" w:rsidRPr="0061490E" w:rsidTr="00933422">
        <w:trPr>
          <w:trHeight w:val="331"/>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933422">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933422">
            <w:pPr>
              <w:rPr>
                <w:rFonts w:eastAsia="SimSun"/>
                <w:sz w:val="18"/>
                <w:szCs w:val="18"/>
                <w:lang w:eastAsia="zh-CN"/>
              </w:rPr>
            </w:pPr>
          </w:p>
        </w:tc>
        <w:tc>
          <w:tcPr>
            <w:tcW w:w="3544" w:type="dxa"/>
            <w:tcBorders>
              <w:top w:val="single" w:sz="4" w:space="0" w:color="auto"/>
              <w:left w:val="single" w:sz="4" w:space="0" w:color="auto"/>
              <w:bottom w:val="single" w:sz="4" w:space="0" w:color="auto"/>
              <w:right w:val="single" w:sz="4" w:space="0" w:color="auto"/>
            </w:tcBorders>
            <w:hideMark/>
          </w:tcPr>
          <w:p w:rsidR="00D66005" w:rsidRPr="00F77964" w:rsidRDefault="00D972E8" w:rsidP="00933422">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007203AE">
              <w:rPr>
                <w:rFonts w:eastAsia="SimSun"/>
                <w:sz w:val="18"/>
                <w:szCs w:val="18"/>
                <w:lang w:eastAsia="zh-CN"/>
              </w:rPr>
              <w:t xml:space="preserve"> (5 x </w:t>
            </w:r>
            <w:r w:rsidR="00C42E06" w:rsidRPr="00F77964">
              <w:rPr>
                <w:rFonts w:eastAsia="SimSun"/>
                <w:sz w:val="18"/>
                <w:szCs w:val="18"/>
                <w:lang w:eastAsia="zh-CN"/>
              </w:rPr>
              <w:t>3 000 </w:t>
            </w:r>
            <w:r w:rsidR="000C18BD" w:rsidRPr="00F77964">
              <w:rPr>
                <w:rFonts w:eastAsia="SimSun"/>
                <w:sz w:val="18"/>
                <w:szCs w:val="18"/>
                <w:lang w:eastAsia="zh-CN"/>
              </w:rPr>
              <w:t>dollars</w:t>
            </w:r>
            <w:r w:rsidR="00C42E06" w:rsidRPr="00F77964">
              <w:rPr>
                <w:rFonts w:eastAsia="SimSun"/>
                <w:sz w:val="18"/>
                <w:szCs w:val="18"/>
                <w:lang w:eastAsia="zh-CN"/>
              </w:rPr>
              <w:t>)</w:t>
            </w:r>
          </w:p>
        </w:tc>
        <w:tc>
          <w:tcPr>
            <w:tcW w:w="99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933422">
            <w:pPr>
              <w:pStyle w:val="Normal-pool"/>
              <w:spacing w:before="40" w:after="40"/>
              <w:rPr>
                <w:rFonts w:eastAsia="SimSun"/>
                <w:sz w:val="18"/>
                <w:szCs w:val="18"/>
                <w:lang w:eastAsia="zh-CN"/>
              </w:rPr>
            </w:pPr>
            <w:r w:rsidRPr="00F77964">
              <w:rPr>
                <w:rFonts w:eastAsia="SimSun"/>
                <w:sz w:val="18"/>
                <w:szCs w:val="18"/>
                <w:lang w:eastAsia="zh-CN"/>
              </w:rPr>
              <w:t>15</w:t>
            </w:r>
            <w:r w:rsidR="000C18BD" w:rsidRPr="00F77964">
              <w:rPr>
                <w:rFonts w:eastAsia="SimSun"/>
                <w:sz w:val="18"/>
                <w:szCs w:val="18"/>
                <w:lang w:eastAsia="zh-CN"/>
              </w:rPr>
              <w:t> </w:t>
            </w:r>
            <w:r w:rsidRPr="00F77964">
              <w:rPr>
                <w:rFonts w:eastAsia="SimSun"/>
                <w:sz w:val="18"/>
                <w:szCs w:val="18"/>
                <w:lang w:eastAsia="zh-CN"/>
              </w:rPr>
              <w:t>000</w:t>
            </w:r>
          </w:p>
        </w:tc>
      </w:tr>
      <w:tr w:rsidR="00D66005" w:rsidRPr="0061490E" w:rsidTr="00933422">
        <w:trPr>
          <w:trHeight w:val="431"/>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933422">
            <w:pPr>
              <w:rPr>
                <w:rFonts w:eastAsia="SimSun"/>
                <w:sz w:val="18"/>
                <w:szCs w:val="18"/>
                <w:lang w:eastAsia="zh-CN"/>
              </w:rPr>
            </w:pPr>
          </w:p>
        </w:tc>
        <w:tc>
          <w:tcPr>
            <w:tcW w:w="3527" w:type="dxa"/>
            <w:tcBorders>
              <w:top w:val="single" w:sz="4" w:space="0" w:color="auto"/>
              <w:left w:val="single" w:sz="4" w:space="0" w:color="auto"/>
              <w:bottom w:val="single" w:sz="4" w:space="0" w:color="auto"/>
              <w:right w:val="single" w:sz="4" w:space="0" w:color="auto"/>
            </w:tcBorders>
            <w:hideMark/>
          </w:tcPr>
          <w:p w:rsidR="00D66005" w:rsidRPr="00F77964" w:rsidRDefault="00C42E06" w:rsidP="00933422">
            <w:pPr>
              <w:pStyle w:val="Normal-pool"/>
              <w:spacing w:before="40" w:after="40"/>
              <w:rPr>
                <w:rFonts w:eastAsia="SimSun"/>
                <w:sz w:val="18"/>
                <w:szCs w:val="18"/>
                <w:lang w:eastAsia="zh-CN"/>
              </w:rPr>
            </w:pPr>
            <w:r w:rsidRPr="00F77964">
              <w:rPr>
                <w:rFonts w:eastAsia="SimSun"/>
                <w:sz w:val="18"/>
                <w:szCs w:val="18"/>
                <w:lang w:eastAsia="zh-CN"/>
              </w:rPr>
              <w:t>Appui technique</w:t>
            </w:r>
          </w:p>
        </w:tc>
        <w:tc>
          <w:tcPr>
            <w:tcW w:w="3544" w:type="dxa"/>
            <w:tcBorders>
              <w:top w:val="single" w:sz="4" w:space="0" w:color="auto"/>
              <w:left w:val="single" w:sz="4" w:space="0" w:color="auto"/>
              <w:bottom w:val="single" w:sz="4" w:space="0" w:color="auto"/>
              <w:right w:val="single" w:sz="4" w:space="0" w:color="auto"/>
            </w:tcBorders>
            <w:hideMark/>
          </w:tcPr>
          <w:p w:rsidR="00D66005" w:rsidRPr="00F77964" w:rsidRDefault="00D66005" w:rsidP="00933422">
            <w:pPr>
              <w:pStyle w:val="Normal-pool"/>
              <w:spacing w:before="40" w:after="40"/>
              <w:rPr>
                <w:rFonts w:eastAsia="SimSun"/>
                <w:sz w:val="18"/>
                <w:szCs w:val="18"/>
                <w:lang w:eastAsia="zh-CN"/>
              </w:rPr>
            </w:pPr>
            <w:r w:rsidRPr="00F77964">
              <w:rPr>
                <w:rFonts w:eastAsia="SimSun"/>
                <w:sz w:val="18"/>
                <w:szCs w:val="18"/>
                <w:lang w:eastAsia="zh-CN"/>
              </w:rPr>
              <w:t>2</w:t>
            </w:r>
            <w:r w:rsidR="00184F09" w:rsidRPr="00F77964">
              <w:rPr>
                <w:rFonts w:eastAsia="SimSun"/>
                <w:sz w:val="18"/>
                <w:szCs w:val="18"/>
                <w:lang w:eastAsia="zh-CN"/>
              </w:rPr>
              <w:t> postes d’administrateur équivalent plein temps</w:t>
            </w:r>
            <w:r w:rsidRPr="00F77964">
              <w:rPr>
                <w:rFonts w:eastAsia="SimSun"/>
                <w:sz w:val="18"/>
                <w:szCs w:val="18"/>
                <w:lang w:eastAsia="zh-CN"/>
              </w:rPr>
              <w:t xml:space="preserve"> (50</w:t>
            </w:r>
            <w:r w:rsidR="00184F09" w:rsidRPr="00F77964">
              <w:rPr>
                <w:rFonts w:eastAsia="SimSun"/>
                <w:sz w:val="18"/>
                <w:szCs w:val="18"/>
                <w:lang w:eastAsia="zh-CN"/>
              </w:rPr>
              <w:t> % en nature</w:t>
            </w:r>
            <w:r w:rsidRPr="00F77964">
              <w:rPr>
                <w:rFonts w:eastAsia="SimSun"/>
                <w:sz w:val="18"/>
                <w:szCs w:val="18"/>
                <w:lang w:eastAsia="zh-CN"/>
              </w:rPr>
              <w:t>)</w:t>
            </w:r>
          </w:p>
        </w:tc>
        <w:tc>
          <w:tcPr>
            <w:tcW w:w="99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933422">
            <w:pPr>
              <w:pStyle w:val="Normal-pool"/>
              <w:spacing w:before="40" w:after="40"/>
              <w:rPr>
                <w:rFonts w:eastAsia="SimSun"/>
                <w:sz w:val="18"/>
                <w:szCs w:val="18"/>
                <w:lang w:eastAsia="zh-CN"/>
              </w:rPr>
            </w:pPr>
            <w:r w:rsidRPr="00F77964">
              <w:rPr>
                <w:rFonts w:eastAsia="SimSun"/>
                <w:sz w:val="18"/>
                <w:szCs w:val="18"/>
                <w:lang w:eastAsia="zh-CN"/>
              </w:rPr>
              <w:t>150</w:t>
            </w:r>
            <w:r w:rsidR="000C18BD" w:rsidRPr="00F77964">
              <w:rPr>
                <w:rFonts w:eastAsia="SimSun"/>
                <w:sz w:val="18"/>
                <w:szCs w:val="18"/>
                <w:lang w:eastAsia="zh-CN"/>
              </w:rPr>
              <w:t> </w:t>
            </w:r>
            <w:r w:rsidRPr="00F77964">
              <w:rPr>
                <w:rFonts w:eastAsia="SimSun"/>
                <w:sz w:val="18"/>
                <w:szCs w:val="18"/>
                <w:lang w:eastAsia="zh-CN"/>
              </w:rPr>
              <w:t>000</w:t>
            </w:r>
          </w:p>
        </w:tc>
      </w:tr>
      <w:tr w:rsidR="00D66005" w:rsidRPr="0061490E" w:rsidTr="00933422">
        <w:tc>
          <w:tcPr>
            <w:tcW w:w="720" w:type="dxa"/>
            <w:tcBorders>
              <w:top w:val="single" w:sz="4" w:space="0" w:color="auto"/>
              <w:left w:val="single" w:sz="4" w:space="0" w:color="auto"/>
              <w:bottom w:val="single" w:sz="4" w:space="0" w:color="auto"/>
              <w:right w:val="single" w:sz="4" w:space="0" w:color="auto"/>
            </w:tcBorders>
            <w:hideMark/>
          </w:tcPr>
          <w:p w:rsidR="00D66005" w:rsidRPr="00F77964" w:rsidRDefault="00D66005" w:rsidP="00933422">
            <w:pPr>
              <w:pStyle w:val="Normal-pool"/>
              <w:spacing w:before="40" w:after="40"/>
              <w:rPr>
                <w:rFonts w:eastAsia="SimSun"/>
                <w:b/>
                <w:sz w:val="18"/>
                <w:szCs w:val="18"/>
                <w:lang w:eastAsia="zh-CN"/>
              </w:rPr>
            </w:pPr>
            <w:r w:rsidRPr="00F77964">
              <w:rPr>
                <w:rFonts w:eastAsia="SimSun"/>
                <w:b/>
                <w:sz w:val="18"/>
                <w:szCs w:val="18"/>
                <w:lang w:eastAsia="zh-CN"/>
              </w:rPr>
              <w:t>Total</w:t>
            </w:r>
          </w:p>
        </w:tc>
        <w:tc>
          <w:tcPr>
            <w:tcW w:w="3527" w:type="dxa"/>
            <w:tcBorders>
              <w:top w:val="single" w:sz="4" w:space="0" w:color="auto"/>
              <w:left w:val="single" w:sz="4" w:space="0" w:color="auto"/>
              <w:bottom w:val="single" w:sz="4" w:space="0" w:color="auto"/>
              <w:right w:val="single" w:sz="4" w:space="0" w:color="auto"/>
            </w:tcBorders>
          </w:tcPr>
          <w:p w:rsidR="00D66005" w:rsidRPr="00F77964" w:rsidRDefault="00D66005" w:rsidP="00933422">
            <w:pPr>
              <w:pStyle w:val="Normal-pool"/>
              <w:spacing w:before="40" w:after="40"/>
              <w:rPr>
                <w:rFonts w:eastAsia="SimSun"/>
                <w:b/>
                <w:sz w:val="18"/>
                <w:szCs w:val="18"/>
                <w:lang w:eastAsia="zh-CN"/>
              </w:rPr>
            </w:pPr>
          </w:p>
        </w:tc>
        <w:tc>
          <w:tcPr>
            <w:tcW w:w="3544" w:type="dxa"/>
            <w:tcBorders>
              <w:top w:val="single" w:sz="4" w:space="0" w:color="auto"/>
              <w:left w:val="single" w:sz="4" w:space="0" w:color="auto"/>
              <w:bottom w:val="single" w:sz="4" w:space="0" w:color="auto"/>
              <w:right w:val="single" w:sz="4" w:space="0" w:color="auto"/>
            </w:tcBorders>
          </w:tcPr>
          <w:p w:rsidR="00D66005" w:rsidRPr="00F77964" w:rsidRDefault="00D66005" w:rsidP="00933422">
            <w:pPr>
              <w:pStyle w:val="Normal-pool"/>
              <w:spacing w:before="40" w:after="40"/>
              <w:rPr>
                <w:rFonts w:eastAsia="SimSun"/>
                <w:b/>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933422">
            <w:pPr>
              <w:pStyle w:val="Normal-pool"/>
              <w:spacing w:before="40" w:after="40"/>
              <w:rPr>
                <w:rFonts w:eastAsia="SimSun"/>
                <w:b/>
                <w:sz w:val="18"/>
                <w:szCs w:val="18"/>
                <w:lang w:eastAsia="zh-CN"/>
              </w:rPr>
            </w:pPr>
            <w:r w:rsidRPr="00F77964">
              <w:rPr>
                <w:rFonts w:eastAsia="SimSun"/>
                <w:b/>
                <w:sz w:val="18"/>
                <w:szCs w:val="18"/>
                <w:lang w:eastAsia="zh-CN"/>
              </w:rPr>
              <w:t>1</w:t>
            </w:r>
            <w:r w:rsidR="000C18BD" w:rsidRPr="00F77964">
              <w:rPr>
                <w:rFonts w:eastAsia="SimSun"/>
                <w:b/>
                <w:sz w:val="18"/>
                <w:szCs w:val="18"/>
                <w:lang w:eastAsia="zh-CN"/>
              </w:rPr>
              <w:t> </w:t>
            </w:r>
            <w:r w:rsidRPr="00F77964">
              <w:rPr>
                <w:rFonts w:eastAsia="SimSun"/>
                <w:b/>
                <w:sz w:val="18"/>
                <w:szCs w:val="18"/>
                <w:lang w:eastAsia="zh-CN"/>
              </w:rPr>
              <w:t>035</w:t>
            </w:r>
            <w:r w:rsidR="000C18BD" w:rsidRPr="00F77964">
              <w:rPr>
                <w:rFonts w:eastAsia="SimSun"/>
                <w:b/>
                <w:sz w:val="18"/>
                <w:szCs w:val="18"/>
                <w:lang w:eastAsia="zh-CN"/>
              </w:rPr>
              <w:t> </w:t>
            </w:r>
            <w:r w:rsidRPr="00F77964">
              <w:rPr>
                <w:rFonts w:eastAsia="SimSun"/>
                <w:b/>
                <w:sz w:val="18"/>
                <w:szCs w:val="18"/>
                <w:lang w:eastAsia="zh-CN"/>
              </w:rPr>
              <w:t>000</w:t>
            </w:r>
          </w:p>
        </w:tc>
      </w:tr>
    </w:tbl>
    <w:p w:rsidR="00D66005" w:rsidRPr="00F77964" w:rsidRDefault="00D66005" w:rsidP="00D82F3D">
      <w:pPr>
        <w:pStyle w:val="CH3"/>
        <w:spacing w:before="120" w:after="0"/>
        <w:rPr>
          <w:rFonts w:eastAsia="SimSun"/>
          <w:lang w:val="fr-FR" w:eastAsia="zh-CN"/>
        </w:rPr>
      </w:pPr>
      <w:r w:rsidRPr="00F77964">
        <w:rPr>
          <w:rFonts w:eastAsia="SimSun"/>
          <w:lang w:val="fr-FR" w:eastAsia="zh-CN"/>
        </w:rPr>
        <w:lastRenderedPageBreak/>
        <w:tab/>
      </w:r>
      <w:r w:rsidRPr="00F77964">
        <w:rPr>
          <w:rFonts w:eastAsia="SimSun"/>
          <w:lang w:val="fr-FR" w:eastAsia="zh-CN"/>
        </w:rPr>
        <w:tab/>
      </w:r>
      <w:r w:rsidR="00184F09" w:rsidRPr="00F77964">
        <w:rPr>
          <w:rFonts w:eastAsia="SimSun"/>
          <w:lang w:val="fr-FR" w:eastAsia="zh-CN"/>
        </w:rPr>
        <w:t>Objectif </w:t>
      </w:r>
      <w:r w:rsidRPr="00F77964">
        <w:rPr>
          <w:rFonts w:eastAsia="SimSun"/>
          <w:lang w:val="fr-FR" w:eastAsia="zh-CN"/>
        </w:rPr>
        <w:t>2</w:t>
      </w:r>
    </w:p>
    <w:p w:rsidR="00D66005" w:rsidRPr="00F77964" w:rsidRDefault="00D66005" w:rsidP="00D82F3D">
      <w:pPr>
        <w:pStyle w:val="CH3"/>
        <w:rPr>
          <w:lang w:val="fr-FR"/>
        </w:rPr>
      </w:pPr>
      <w:r w:rsidRPr="00F77964">
        <w:rPr>
          <w:rFonts w:eastAsia="SimSun"/>
          <w:lang w:val="fr-FR" w:eastAsia="zh-CN"/>
        </w:rPr>
        <w:tab/>
      </w:r>
      <w:r w:rsidRPr="00F77964">
        <w:rPr>
          <w:rFonts w:eastAsia="SimSun"/>
          <w:lang w:val="fr-FR" w:eastAsia="zh-CN"/>
        </w:rPr>
        <w:tab/>
      </w:r>
      <w:r w:rsidR="00184F09" w:rsidRPr="00F77964">
        <w:rPr>
          <w:rFonts w:eastAsia="SimSun"/>
          <w:lang w:val="fr-FR" w:eastAsia="zh-CN"/>
        </w:rPr>
        <w:t>Renforcer l’interface scien</w:t>
      </w:r>
      <w:r w:rsidR="0055317B" w:rsidRPr="00F77964">
        <w:rPr>
          <w:rFonts w:eastAsia="SimSun"/>
          <w:lang w:val="fr-FR" w:eastAsia="zh-CN"/>
        </w:rPr>
        <w:t xml:space="preserve">tifique et </w:t>
      </w:r>
      <w:r w:rsidR="00184F09" w:rsidRPr="00F77964">
        <w:rPr>
          <w:rFonts w:eastAsia="SimSun"/>
          <w:lang w:val="fr-FR" w:eastAsia="zh-CN"/>
        </w:rPr>
        <w:t>politique sur la biodiversité</w:t>
      </w:r>
      <w:r w:rsidR="00592491" w:rsidRPr="00F77964">
        <w:rPr>
          <w:rFonts w:eastAsia="SimSun"/>
          <w:lang w:val="fr-FR" w:eastAsia="zh-CN"/>
        </w:rPr>
        <w:t xml:space="preserve"> et</w:t>
      </w:r>
      <w:r w:rsidR="00184F09" w:rsidRPr="00F77964">
        <w:rPr>
          <w:rFonts w:eastAsia="SimSun"/>
          <w:lang w:val="fr-FR" w:eastAsia="zh-CN"/>
        </w:rPr>
        <w:t xml:space="preserve"> les services écosystémiques aux niveaux sous-régional, régional et mondial</w:t>
      </w:r>
    </w:p>
    <w:p w:rsidR="00D66005" w:rsidRPr="00F77964" w:rsidRDefault="00D66005" w:rsidP="00D82F3D">
      <w:pPr>
        <w:pStyle w:val="CH3"/>
        <w:spacing w:before="120" w:after="0"/>
        <w:rPr>
          <w:rFonts w:eastAsia="SimSun"/>
          <w:lang w:val="fr-FR" w:eastAsia="zh-CN"/>
        </w:rPr>
      </w:pPr>
      <w:r w:rsidRPr="00F77964">
        <w:rPr>
          <w:rFonts w:eastAsia="SimSun"/>
          <w:lang w:val="fr-FR" w:eastAsia="zh-CN"/>
        </w:rPr>
        <w:tab/>
      </w:r>
      <w:r w:rsidRPr="00F77964">
        <w:rPr>
          <w:rFonts w:eastAsia="SimSun"/>
          <w:lang w:val="fr-FR" w:eastAsia="zh-CN"/>
        </w:rPr>
        <w:tab/>
      </w:r>
      <w:r w:rsidR="00184F09" w:rsidRPr="00F77964">
        <w:rPr>
          <w:rFonts w:eastAsia="SimSun"/>
          <w:lang w:val="fr-FR" w:eastAsia="zh-CN"/>
        </w:rPr>
        <w:t>Produit </w:t>
      </w:r>
      <w:r w:rsidRPr="00F77964">
        <w:rPr>
          <w:rFonts w:eastAsia="SimSun"/>
          <w:lang w:val="fr-FR" w:eastAsia="zh-CN"/>
        </w:rPr>
        <w:t>2</w:t>
      </w:r>
      <w:r w:rsidR="0055317B" w:rsidRPr="00F77964">
        <w:rPr>
          <w:rFonts w:eastAsia="SimSun"/>
          <w:lang w:val="fr-FR" w:eastAsia="zh-CN"/>
        </w:rPr>
        <w:t> </w:t>
      </w:r>
      <w:r w:rsidRPr="00F77964">
        <w:rPr>
          <w:rFonts w:eastAsia="SimSun"/>
          <w:lang w:val="fr-FR" w:eastAsia="zh-CN"/>
        </w:rPr>
        <w:t>a)</w:t>
      </w:r>
    </w:p>
    <w:p w:rsidR="00D66005" w:rsidRPr="00F77964" w:rsidRDefault="00D66005" w:rsidP="00D82F3D">
      <w:pPr>
        <w:pStyle w:val="CH3"/>
        <w:rPr>
          <w:lang w:val="fr-FR"/>
        </w:rPr>
      </w:pPr>
      <w:r w:rsidRPr="00F77964">
        <w:rPr>
          <w:lang w:val="fr-FR"/>
        </w:rPr>
        <w:tab/>
      </w:r>
      <w:r w:rsidRPr="00F77964">
        <w:rPr>
          <w:lang w:val="fr-FR"/>
        </w:rPr>
        <w:tab/>
        <w:t xml:space="preserve">Guide </w:t>
      </w:r>
      <w:r w:rsidR="00184F09" w:rsidRPr="00F77964">
        <w:rPr>
          <w:lang w:val="fr-FR"/>
        </w:rPr>
        <w:t>sur l</w:t>
      </w:r>
      <w:r w:rsidR="00592491" w:rsidRPr="00F77964">
        <w:rPr>
          <w:lang w:val="fr-FR"/>
        </w:rPr>
        <w:t xml:space="preserve">a réalisation </w:t>
      </w:r>
      <w:r w:rsidR="00184F09" w:rsidRPr="00F77964">
        <w:rPr>
          <w:lang w:val="fr-FR"/>
        </w:rPr>
        <w:t>et l’intégration d</w:t>
      </w:r>
      <w:r w:rsidR="00592491" w:rsidRPr="00F77964">
        <w:rPr>
          <w:lang w:val="fr-FR"/>
        </w:rPr>
        <w:t xml:space="preserve">es </w:t>
      </w:r>
      <w:r w:rsidR="00184F09" w:rsidRPr="00F77964">
        <w:rPr>
          <w:lang w:val="fr-FR"/>
        </w:rPr>
        <w:t xml:space="preserve">évaluations </w:t>
      </w:r>
      <w:r w:rsidR="00BC330B">
        <w:rPr>
          <w:lang w:val="fr-FR"/>
        </w:rPr>
        <w:t>à</w:t>
      </w:r>
      <w:r w:rsidR="00184F09" w:rsidRPr="00F77964">
        <w:rPr>
          <w:lang w:val="fr-FR"/>
        </w:rPr>
        <w:t xml:space="preserve"> tous </w:t>
      </w:r>
      <w:r w:rsidR="00BC330B">
        <w:rPr>
          <w:lang w:val="fr-FR"/>
        </w:rPr>
        <w:t xml:space="preserve">les </w:t>
      </w:r>
      <w:r w:rsidR="00184F09" w:rsidRPr="00F77964">
        <w:rPr>
          <w:lang w:val="fr-FR"/>
        </w:rPr>
        <w:t>niveaux</w:t>
      </w:r>
      <w:r w:rsidRPr="00F77964">
        <w:rPr>
          <w:lang w:val="fr-FR"/>
        </w:rPr>
        <w:t xml:space="preserve"> (</w:t>
      </w:r>
      <w:r w:rsidR="0055317B" w:rsidRPr="00F77964">
        <w:rPr>
          <w:i/>
          <w:lang w:val="fr-FR"/>
        </w:rPr>
        <w:t xml:space="preserve">à </w:t>
      </w:r>
      <w:r w:rsidR="00C3181C" w:rsidRPr="00F77964">
        <w:rPr>
          <w:i/>
          <w:lang w:val="fr-FR"/>
        </w:rPr>
        <w:t>présenter</w:t>
      </w:r>
      <w:r w:rsidR="0055317B" w:rsidRPr="00F77964">
        <w:rPr>
          <w:i/>
          <w:lang w:val="fr-FR"/>
        </w:rPr>
        <w:t xml:space="preserve"> </w:t>
      </w:r>
      <w:r w:rsidR="00184F09" w:rsidRPr="00F77964">
        <w:rPr>
          <w:i/>
          <w:lang w:val="fr-FR"/>
        </w:rPr>
        <w:t>d’ici à juin </w:t>
      </w:r>
      <w:r w:rsidRPr="00F77964">
        <w:rPr>
          <w:i/>
          <w:lang w:val="fr-FR"/>
        </w:rPr>
        <w:t>2014</w:t>
      </w:r>
      <w:r w:rsidRPr="00F77964">
        <w:rPr>
          <w:lang w:val="fr-FR"/>
        </w:rPr>
        <w:t>)</w:t>
      </w:r>
    </w:p>
    <w:p w:rsidR="00D66005" w:rsidRPr="00F77964" w:rsidRDefault="00D66005" w:rsidP="00D82F3D">
      <w:pPr>
        <w:pStyle w:val="CH3"/>
        <w:rPr>
          <w:lang w:val="fr-FR"/>
        </w:rPr>
      </w:pPr>
      <w:r w:rsidRPr="00F77964">
        <w:rPr>
          <w:rFonts w:eastAsia="Calibri"/>
          <w:lang w:val="fr-FR"/>
        </w:rPr>
        <w:tab/>
      </w:r>
      <w:r w:rsidRPr="00F77964">
        <w:rPr>
          <w:rFonts w:eastAsia="Calibri"/>
          <w:lang w:val="fr-FR"/>
        </w:rPr>
        <w:tab/>
      </w:r>
      <w:r w:rsidR="00184F09" w:rsidRPr="00F77964">
        <w:rPr>
          <w:rFonts w:eastAsia="Calibri"/>
          <w:lang w:val="fr-FR"/>
        </w:rPr>
        <w:t>Hypothèses</w:t>
      </w:r>
    </w:p>
    <w:p w:rsidR="00D66005" w:rsidRPr="00F77964" w:rsidRDefault="00184F09" w:rsidP="00D82F3D">
      <w:pPr>
        <w:pStyle w:val="Normalnumber"/>
        <w:keepNext/>
        <w:keepLines/>
        <w:numPr>
          <w:ilvl w:val="0"/>
          <w:numId w:val="6"/>
        </w:numPr>
        <w:tabs>
          <w:tab w:val="left" w:pos="624"/>
        </w:tabs>
        <w:ind w:left="1247" w:firstLine="0"/>
        <w:rPr>
          <w:lang w:val="fr-FR"/>
        </w:rPr>
      </w:pPr>
      <w:r w:rsidRPr="00F77964">
        <w:rPr>
          <w:lang w:val="fr-FR"/>
        </w:rPr>
        <w:t>Les membres du Groupe d’experts multidisciplinaire et du Bureau su</w:t>
      </w:r>
      <w:r w:rsidR="000A7AAD" w:rsidRPr="00F77964">
        <w:rPr>
          <w:lang w:val="fr-FR"/>
        </w:rPr>
        <w:t>perviseront</w:t>
      </w:r>
      <w:r w:rsidRPr="00F77964">
        <w:rPr>
          <w:lang w:val="fr-FR"/>
        </w:rPr>
        <w:t xml:space="preserve"> l</w:t>
      </w:r>
      <w:r w:rsidR="00E56873">
        <w:rPr>
          <w:lang w:val="fr-FR"/>
        </w:rPr>
        <w:t xml:space="preserve">a mise en place </w:t>
      </w:r>
      <w:r w:rsidRPr="00F77964">
        <w:rPr>
          <w:lang w:val="fr-FR"/>
        </w:rPr>
        <w:t xml:space="preserve">d’un </w:t>
      </w:r>
      <w:r w:rsidR="000A7AAD" w:rsidRPr="00F77964">
        <w:rPr>
          <w:lang w:val="fr-FR"/>
        </w:rPr>
        <w:t>g</w:t>
      </w:r>
      <w:r w:rsidRPr="00F77964">
        <w:rPr>
          <w:lang w:val="fr-FR"/>
        </w:rPr>
        <w:t xml:space="preserve">roupe d’experts mondial </w:t>
      </w:r>
      <w:r w:rsidR="00E56873">
        <w:rPr>
          <w:lang w:val="fr-FR"/>
        </w:rPr>
        <w:t xml:space="preserve">doté d’un </w:t>
      </w:r>
      <w:r w:rsidR="004621EA">
        <w:rPr>
          <w:lang w:val="fr-FR"/>
        </w:rPr>
        <w:t>mandat précis</w:t>
      </w:r>
      <w:r w:rsidRPr="00F77964">
        <w:rPr>
          <w:lang w:val="fr-FR"/>
        </w:rPr>
        <w:t xml:space="preserve"> </w:t>
      </w:r>
      <w:r w:rsidR="004621EA">
        <w:rPr>
          <w:lang w:val="fr-FR"/>
        </w:rPr>
        <w:t>à durée déterminée</w:t>
      </w:r>
      <w:r w:rsidRPr="00F77964">
        <w:rPr>
          <w:lang w:val="fr-FR"/>
        </w:rPr>
        <w:t xml:space="preserve"> </w:t>
      </w:r>
      <w:r w:rsidR="00E56873">
        <w:rPr>
          <w:lang w:val="fr-FR"/>
        </w:rPr>
        <w:t xml:space="preserve">pour </w:t>
      </w:r>
      <w:r w:rsidRPr="00F77964">
        <w:rPr>
          <w:lang w:val="fr-FR"/>
        </w:rPr>
        <w:t>élabor</w:t>
      </w:r>
      <w:r w:rsidR="00E56873">
        <w:rPr>
          <w:lang w:val="fr-FR"/>
        </w:rPr>
        <w:t>er le</w:t>
      </w:r>
      <w:r w:rsidRPr="00F77964">
        <w:rPr>
          <w:lang w:val="fr-FR"/>
        </w:rPr>
        <w:t xml:space="preserve"> </w:t>
      </w:r>
      <w:r w:rsidR="000A7AAD" w:rsidRPr="00F77964">
        <w:rPr>
          <w:lang w:val="fr-FR"/>
        </w:rPr>
        <w:t>g</w:t>
      </w:r>
      <w:r w:rsidRPr="00F77964">
        <w:rPr>
          <w:lang w:val="fr-FR"/>
        </w:rPr>
        <w:t>uide sur l</w:t>
      </w:r>
      <w:r w:rsidR="00592491" w:rsidRPr="00F77964">
        <w:rPr>
          <w:lang w:val="fr-FR"/>
        </w:rPr>
        <w:t>a réalisation</w:t>
      </w:r>
      <w:r w:rsidR="000A7AAD" w:rsidRPr="00F77964">
        <w:rPr>
          <w:lang w:val="fr-FR"/>
        </w:rPr>
        <w:t xml:space="preserve"> </w:t>
      </w:r>
      <w:r w:rsidRPr="00F77964">
        <w:rPr>
          <w:lang w:val="fr-FR"/>
        </w:rPr>
        <w:t xml:space="preserve">et l’intégration des évaluations </w:t>
      </w:r>
      <w:r w:rsidR="00E56873">
        <w:rPr>
          <w:lang w:val="fr-FR"/>
        </w:rPr>
        <w:t xml:space="preserve">à </w:t>
      </w:r>
      <w:r w:rsidRPr="00F77964">
        <w:rPr>
          <w:lang w:val="fr-FR"/>
        </w:rPr>
        <w:t xml:space="preserve">tous </w:t>
      </w:r>
      <w:r w:rsidR="00E56873">
        <w:rPr>
          <w:lang w:val="fr-FR"/>
        </w:rPr>
        <w:t xml:space="preserve">les </w:t>
      </w:r>
      <w:r w:rsidRPr="00F77964">
        <w:rPr>
          <w:lang w:val="fr-FR"/>
        </w:rPr>
        <w:t xml:space="preserve">niveaux, </w:t>
      </w:r>
      <w:r w:rsidR="00E56873">
        <w:rPr>
          <w:lang w:val="fr-FR"/>
        </w:rPr>
        <w:t>comme indiqué dans les</w:t>
      </w:r>
      <w:r w:rsidR="000A7AAD" w:rsidRPr="00F77964">
        <w:rPr>
          <w:lang w:val="fr-FR"/>
        </w:rPr>
        <w:t xml:space="preserve"> actions </w:t>
      </w:r>
      <w:r w:rsidR="002B7064" w:rsidRPr="00F77964">
        <w:rPr>
          <w:lang w:val="fr-FR"/>
        </w:rPr>
        <w:t xml:space="preserve">et </w:t>
      </w:r>
      <w:r w:rsidRPr="00F77964">
        <w:rPr>
          <w:lang w:val="fr-FR"/>
        </w:rPr>
        <w:t xml:space="preserve">étapes </w:t>
      </w:r>
      <w:r w:rsidR="002B7064" w:rsidRPr="00F77964">
        <w:rPr>
          <w:lang w:val="fr-FR"/>
        </w:rPr>
        <w:t>intermédiaires dé</w:t>
      </w:r>
      <w:r w:rsidR="005B2B67">
        <w:rPr>
          <w:lang w:val="fr-FR"/>
        </w:rPr>
        <w:t>crit</w:t>
      </w:r>
      <w:r w:rsidR="002B7064" w:rsidRPr="00F77964">
        <w:rPr>
          <w:lang w:val="fr-FR"/>
        </w:rPr>
        <w:t>es</w:t>
      </w:r>
      <w:r w:rsidR="005B2B67">
        <w:rPr>
          <w:lang w:val="fr-FR"/>
        </w:rPr>
        <w:t>au</w:t>
      </w:r>
      <w:r w:rsidR="00D66005" w:rsidRPr="00F77964">
        <w:rPr>
          <w:lang w:val="fr-FR"/>
        </w:rPr>
        <w:t xml:space="preserve"> par</w:t>
      </w:r>
      <w:r w:rsidR="005B2B67">
        <w:rPr>
          <w:lang w:val="fr-FR"/>
        </w:rPr>
        <w:t>agraphe</w:t>
      </w:r>
      <w:r w:rsidRPr="00F77964">
        <w:rPr>
          <w:lang w:val="fr-FR"/>
        </w:rPr>
        <w:t> </w:t>
      </w:r>
      <w:r w:rsidR="00D66005" w:rsidRPr="00F77964">
        <w:rPr>
          <w:lang w:val="fr-FR"/>
        </w:rPr>
        <w:t>16</w:t>
      </w:r>
      <w:r w:rsidR="005B2B67">
        <w:rPr>
          <w:lang w:val="fr-FR"/>
        </w:rPr>
        <w:t xml:space="preserve"> ci-dessous</w:t>
      </w:r>
      <w:r w:rsidR="00D66005" w:rsidRPr="00F77964">
        <w:rPr>
          <w:lang w:val="fr-FR"/>
        </w:rPr>
        <w:t xml:space="preserve">. </w:t>
      </w:r>
      <w:r w:rsidRPr="00F77964">
        <w:rPr>
          <w:lang w:val="fr-FR"/>
        </w:rPr>
        <w:t xml:space="preserve">Le </w:t>
      </w:r>
      <w:r w:rsidR="002B7064" w:rsidRPr="00F77964">
        <w:rPr>
          <w:lang w:val="fr-FR"/>
        </w:rPr>
        <w:t>g</w:t>
      </w:r>
      <w:r w:rsidRPr="00F77964">
        <w:rPr>
          <w:lang w:val="fr-FR"/>
        </w:rPr>
        <w:t xml:space="preserve">roupe sera composé de 50 experts et comprendra des membres du Bureau, du Groupe d’experts multidisciplinaire, de l’équipe spéciale sur le renforcement des capacités, de l’équipe spéciale sur les connaissances et les données et d’experts supplémentaires désignés. Le Groupe d’experts recevra le soutien du </w:t>
      </w:r>
      <w:r w:rsidR="002B7064" w:rsidRPr="00F77964">
        <w:rPr>
          <w:lang w:val="fr-FR"/>
        </w:rPr>
        <w:t>s</w:t>
      </w:r>
      <w:r w:rsidRPr="00F77964">
        <w:rPr>
          <w:lang w:val="fr-FR"/>
        </w:rPr>
        <w:t>ecrétariat.</w:t>
      </w:r>
      <w:r w:rsidR="00D66005" w:rsidRPr="00F77964">
        <w:rPr>
          <w:lang w:val="fr-FR"/>
        </w:rPr>
        <w:t xml:space="preserve"> </w:t>
      </w:r>
    </w:p>
    <w:p w:rsidR="00D66005" w:rsidRPr="00F77964" w:rsidRDefault="00D66005" w:rsidP="00D66005">
      <w:pPr>
        <w:pStyle w:val="CH3"/>
        <w:spacing w:before="240"/>
        <w:rPr>
          <w:rFonts w:eastAsia="SimSun"/>
          <w:lang w:val="fr-FR" w:eastAsia="zh-CN"/>
        </w:rPr>
      </w:pPr>
      <w:r w:rsidRPr="00F77964">
        <w:rPr>
          <w:rFonts w:eastAsia="SimSun"/>
          <w:lang w:val="fr-FR" w:eastAsia="zh-CN"/>
        </w:rPr>
        <w:tab/>
      </w:r>
      <w:r w:rsidRPr="00F77964">
        <w:rPr>
          <w:rFonts w:eastAsia="SimSun"/>
          <w:lang w:val="fr-FR" w:eastAsia="zh-CN"/>
        </w:rPr>
        <w:tab/>
      </w:r>
      <w:r w:rsidR="0048412B" w:rsidRPr="00F77964">
        <w:rPr>
          <w:rFonts w:eastAsia="SimSun"/>
          <w:lang w:val="fr-FR" w:eastAsia="zh-CN"/>
        </w:rPr>
        <w:t xml:space="preserve">Actions, étapes intermédiaires et dispositions institutionnelles </w:t>
      </w:r>
    </w:p>
    <w:p w:rsidR="00D66005" w:rsidRPr="00F77964" w:rsidRDefault="00F4565D" w:rsidP="00D66005">
      <w:pPr>
        <w:pStyle w:val="Normalnumber"/>
        <w:numPr>
          <w:ilvl w:val="0"/>
          <w:numId w:val="6"/>
        </w:numPr>
        <w:tabs>
          <w:tab w:val="left" w:pos="624"/>
        </w:tabs>
        <w:ind w:left="1247" w:firstLine="0"/>
        <w:rPr>
          <w:lang w:val="fr-FR"/>
        </w:rPr>
      </w:pPr>
      <w:r w:rsidRPr="00F77964">
        <w:rPr>
          <w:lang w:val="fr-FR"/>
        </w:rPr>
        <w:t>Les actions à mener sont indiquées ci-après</w:t>
      </w:r>
      <w:r w:rsidR="004B2AAE" w:rsidRPr="00F77964">
        <w:rPr>
          <w:lang w:val="fr-FR"/>
        </w:rPr>
        <w:t> :</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976"/>
        <w:gridCol w:w="6407"/>
      </w:tblGrid>
      <w:tr w:rsidR="00D66005" w:rsidRPr="0061490E" w:rsidTr="00D66005">
        <w:trPr>
          <w:trHeight w:val="144"/>
        </w:trPr>
        <w:tc>
          <w:tcPr>
            <w:tcW w:w="1533" w:type="dxa"/>
            <w:gridSpan w:val="2"/>
            <w:tcBorders>
              <w:top w:val="single" w:sz="4" w:space="0" w:color="auto"/>
              <w:left w:val="single" w:sz="4" w:space="0" w:color="auto"/>
              <w:bottom w:val="single" w:sz="4" w:space="0" w:color="auto"/>
              <w:right w:val="single" w:sz="4" w:space="0" w:color="auto"/>
            </w:tcBorders>
            <w:hideMark/>
          </w:tcPr>
          <w:p w:rsidR="00D66005" w:rsidRPr="00F77964" w:rsidRDefault="004B2AAE" w:rsidP="004B2AAE">
            <w:pPr>
              <w:pStyle w:val="Normal-pool"/>
              <w:keepNext/>
              <w:keepLines/>
              <w:spacing w:before="40" w:after="40"/>
              <w:rPr>
                <w:rFonts w:eastAsia="SimSun"/>
                <w:sz w:val="18"/>
                <w:szCs w:val="18"/>
                <w:lang w:eastAsia="zh-CN"/>
              </w:rPr>
            </w:pPr>
            <w:r w:rsidRPr="00F77964">
              <w:rPr>
                <w:rFonts w:eastAsia="SimSun"/>
                <w:i/>
                <w:sz w:val="18"/>
                <w:szCs w:val="18"/>
                <w:lang w:eastAsia="zh-CN"/>
              </w:rPr>
              <w:t>Calendrier</w:t>
            </w:r>
          </w:p>
        </w:tc>
        <w:tc>
          <w:tcPr>
            <w:tcW w:w="7132"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D66005" w:rsidP="004B2AAE">
            <w:pPr>
              <w:pStyle w:val="Normal-pool"/>
              <w:keepNext/>
              <w:keepLines/>
              <w:spacing w:before="40" w:after="40"/>
              <w:rPr>
                <w:rFonts w:eastAsia="SimSun"/>
                <w:sz w:val="18"/>
                <w:szCs w:val="18"/>
                <w:lang w:eastAsia="zh-CN"/>
              </w:rPr>
            </w:pPr>
            <w:r w:rsidRPr="00F77964">
              <w:rPr>
                <w:rFonts w:eastAsia="SimSun"/>
                <w:i/>
                <w:sz w:val="18"/>
                <w:szCs w:val="18"/>
                <w:lang w:eastAsia="zh-CN"/>
              </w:rPr>
              <w:t>Actions/</w:t>
            </w:r>
            <w:r w:rsidR="004B2AAE" w:rsidRPr="00F77964">
              <w:rPr>
                <w:rFonts w:eastAsia="SimSun"/>
                <w:i/>
                <w:sz w:val="18"/>
                <w:szCs w:val="18"/>
                <w:lang w:eastAsia="zh-CN"/>
              </w:rPr>
              <w:t>dispositions institutionnelles</w:t>
            </w:r>
          </w:p>
        </w:tc>
      </w:tr>
      <w:tr w:rsidR="00D66005" w:rsidRPr="0061490E" w:rsidTr="00D66005">
        <w:trPr>
          <w:trHeight w:val="608"/>
        </w:trPr>
        <w:tc>
          <w:tcPr>
            <w:tcW w:w="616" w:type="dxa"/>
            <w:tcBorders>
              <w:top w:val="single" w:sz="4" w:space="0" w:color="auto"/>
              <w:left w:val="single" w:sz="4" w:space="0" w:color="auto"/>
              <w:bottom w:val="single" w:sz="4" w:space="0" w:color="auto"/>
              <w:right w:val="single" w:sz="4" w:space="0" w:color="auto"/>
            </w:tcBorders>
            <w:hideMark/>
          </w:tcPr>
          <w:p w:rsidR="00D66005" w:rsidRPr="00F77964" w:rsidRDefault="00D66005">
            <w:pPr>
              <w:pStyle w:val="Normal-pool"/>
              <w:keepNext/>
              <w:keepLines/>
              <w:spacing w:before="40" w:after="40"/>
              <w:rPr>
                <w:rFonts w:eastAsia="SimSun"/>
                <w:sz w:val="18"/>
                <w:szCs w:val="18"/>
                <w:lang w:eastAsia="zh-CN"/>
              </w:rPr>
            </w:pPr>
            <w:r w:rsidRPr="00F77964">
              <w:rPr>
                <w:rFonts w:eastAsia="SimSun"/>
                <w:sz w:val="18"/>
                <w:szCs w:val="18"/>
                <w:lang w:eastAsia="zh-CN"/>
              </w:rPr>
              <w:t>2013</w:t>
            </w:r>
          </w:p>
        </w:tc>
        <w:tc>
          <w:tcPr>
            <w:tcW w:w="917" w:type="dxa"/>
            <w:tcBorders>
              <w:top w:val="single" w:sz="4" w:space="0" w:color="auto"/>
              <w:left w:val="single" w:sz="4" w:space="0" w:color="auto"/>
              <w:bottom w:val="single" w:sz="4" w:space="0" w:color="auto"/>
              <w:right w:val="single" w:sz="4" w:space="0" w:color="auto"/>
            </w:tcBorders>
            <w:hideMark/>
          </w:tcPr>
          <w:p w:rsidR="00D66005" w:rsidRPr="00F77964" w:rsidRDefault="00532828" w:rsidP="00532828">
            <w:pPr>
              <w:pStyle w:val="Normal-pool"/>
              <w:keepNext/>
              <w:keepLines/>
              <w:spacing w:before="40" w:after="40"/>
              <w:rPr>
                <w:rFonts w:eastAsia="SimSun"/>
                <w:sz w:val="18"/>
                <w:szCs w:val="18"/>
                <w:lang w:eastAsia="zh-CN"/>
              </w:rPr>
            </w:pPr>
            <w:r w:rsidRPr="00F77964">
              <w:rPr>
                <w:rFonts w:eastAsia="SimSun"/>
                <w:sz w:val="18"/>
                <w:szCs w:val="18"/>
                <w:lang w:eastAsia="zh-CN"/>
              </w:rPr>
              <w:t>Quatrième trimestre</w:t>
            </w:r>
          </w:p>
        </w:tc>
        <w:tc>
          <w:tcPr>
            <w:tcW w:w="7132"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CD3674" w:rsidP="005B2B67">
            <w:pPr>
              <w:pStyle w:val="Normal-pool"/>
              <w:keepNext/>
              <w:keepLines/>
              <w:spacing w:before="40" w:after="40"/>
              <w:rPr>
                <w:rFonts w:eastAsia="SimSun"/>
                <w:sz w:val="18"/>
                <w:szCs w:val="18"/>
                <w:lang w:eastAsia="zh-CN"/>
              </w:rPr>
            </w:pPr>
            <w:r w:rsidRPr="00F77964">
              <w:rPr>
                <w:rFonts w:eastAsia="SimSun"/>
                <w:sz w:val="18"/>
                <w:szCs w:val="18"/>
                <w:lang w:eastAsia="zh-CN"/>
              </w:rPr>
              <w:t xml:space="preserve">La Plénière, à sa deuxième session, demande au Groupe d’experts </w:t>
            </w:r>
            <w:r w:rsidR="00200881" w:rsidRPr="00F77964">
              <w:rPr>
                <w:rFonts w:eastAsia="SimSun"/>
                <w:sz w:val="18"/>
                <w:szCs w:val="18"/>
                <w:lang w:eastAsia="zh-CN"/>
              </w:rPr>
              <w:t>multi</w:t>
            </w:r>
            <w:r w:rsidRPr="00F77964">
              <w:rPr>
                <w:rFonts w:eastAsia="SimSun"/>
                <w:sz w:val="18"/>
                <w:szCs w:val="18"/>
                <w:lang w:eastAsia="zh-CN"/>
              </w:rPr>
              <w:t xml:space="preserve">disciplinaire et au Bureau, avec le concours d’un </w:t>
            </w:r>
            <w:r w:rsidR="002B7064" w:rsidRPr="00F77964">
              <w:rPr>
                <w:rFonts w:eastAsia="SimSun"/>
                <w:sz w:val="18"/>
                <w:szCs w:val="18"/>
                <w:lang w:eastAsia="zh-CN"/>
              </w:rPr>
              <w:t>g</w:t>
            </w:r>
            <w:r w:rsidRPr="00F77964">
              <w:rPr>
                <w:rFonts w:eastAsia="SimSun"/>
                <w:sz w:val="18"/>
                <w:szCs w:val="18"/>
                <w:lang w:eastAsia="zh-CN"/>
              </w:rPr>
              <w:t xml:space="preserve">roupe d’experts </w:t>
            </w:r>
            <w:r w:rsidR="005B2B67">
              <w:rPr>
                <w:rFonts w:eastAsia="SimSun"/>
                <w:sz w:val="18"/>
                <w:szCs w:val="18"/>
                <w:lang w:eastAsia="zh-CN"/>
              </w:rPr>
              <w:t xml:space="preserve">doté d’un </w:t>
            </w:r>
            <w:r w:rsidR="004621EA">
              <w:rPr>
                <w:rFonts w:eastAsia="SimSun"/>
                <w:sz w:val="18"/>
                <w:szCs w:val="18"/>
                <w:lang w:eastAsia="zh-CN"/>
              </w:rPr>
              <w:t>mandat précis</w:t>
            </w:r>
            <w:r w:rsidRPr="00F77964">
              <w:rPr>
                <w:rFonts w:eastAsia="SimSun"/>
                <w:sz w:val="18"/>
                <w:szCs w:val="18"/>
                <w:lang w:eastAsia="zh-CN"/>
              </w:rPr>
              <w:t xml:space="preserve"> </w:t>
            </w:r>
            <w:r w:rsidR="004621EA">
              <w:rPr>
                <w:rFonts w:eastAsia="SimSun"/>
                <w:sz w:val="18"/>
                <w:szCs w:val="18"/>
                <w:lang w:eastAsia="zh-CN"/>
              </w:rPr>
              <w:t>à durée déterminée</w:t>
            </w:r>
            <w:r w:rsidRPr="00F77964">
              <w:rPr>
                <w:rFonts w:eastAsia="SimSun"/>
                <w:sz w:val="18"/>
                <w:szCs w:val="18"/>
                <w:lang w:eastAsia="zh-CN"/>
              </w:rPr>
              <w:t>, d</w:t>
            </w:r>
            <w:r w:rsidR="002B7064" w:rsidRPr="00F77964">
              <w:rPr>
                <w:rFonts w:eastAsia="SimSun"/>
                <w:sz w:val="18"/>
                <w:szCs w:val="18"/>
                <w:lang w:eastAsia="zh-CN"/>
              </w:rPr>
              <w:t>’élaborer le g</w:t>
            </w:r>
            <w:r w:rsidRPr="00F77964">
              <w:rPr>
                <w:rFonts w:eastAsia="SimSun"/>
                <w:sz w:val="18"/>
                <w:szCs w:val="18"/>
                <w:lang w:eastAsia="zh-CN"/>
              </w:rPr>
              <w:t>uide sur l</w:t>
            </w:r>
            <w:r w:rsidR="00592491" w:rsidRPr="00F77964">
              <w:rPr>
                <w:rFonts w:eastAsia="SimSun"/>
                <w:sz w:val="18"/>
                <w:szCs w:val="18"/>
                <w:lang w:eastAsia="zh-CN"/>
              </w:rPr>
              <w:t>a réalisation</w:t>
            </w:r>
            <w:r w:rsidR="00D972E8">
              <w:rPr>
                <w:rFonts w:eastAsia="SimSun"/>
                <w:sz w:val="18"/>
                <w:szCs w:val="18"/>
                <w:lang w:eastAsia="zh-CN"/>
              </w:rPr>
              <w:t xml:space="preserve"> </w:t>
            </w:r>
            <w:r w:rsidRPr="00F77964">
              <w:rPr>
                <w:rFonts w:eastAsia="SimSun"/>
                <w:sz w:val="18"/>
                <w:szCs w:val="18"/>
                <w:lang w:eastAsia="zh-CN"/>
              </w:rPr>
              <w:t xml:space="preserve">et l’intégration des évaluations </w:t>
            </w:r>
            <w:r w:rsidR="005B2B67">
              <w:rPr>
                <w:rFonts w:eastAsia="SimSun"/>
                <w:sz w:val="18"/>
                <w:szCs w:val="18"/>
                <w:lang w:eastAsia="zh-CN"/>
              </w:rPr>
              <w:t>à</w:t>
            </w:r>
            <w:r w:rsidRPr="00F77964">
              <w:rPr>
                <w:rFonts w:eastAsia="SimSun"/>
                <w:sz w:val="18"/>
                <w:szCs w:val="18"/>
                <w:lang w:eastAsia="zh-CN"/>
              </w:rPr>
              <w:t xml:space="preserve"> tous </w:t>
            </w:r>
            <w:r w:rsidR="005B2B67">
              <w:rPr>
                <w:rFonts w:eastAsia="SimSun"/>
                <w:sz w:val="18"/>
                <w:szCs w:val="18"/>
                <w:lang w:eastAsia="zh-CN"/>
              </w:rPr>
              <w:t xml:space="preserve">les </w:t>
            </w:r>
            <w:r w:rsidRPr="00F77964">
              <w:rPr>
                <w:rFonts w:eastAsia="SimSun"/>
                <w:sz w:val="18"/>
                <w:szCs w:val="18"/>
                <w:lang w:eastAsia="zh-CN"/>
              </w:rPr>
              <w:t>niveaux</w:t>
            </w:r>
          </w:p>
        </w:tc>
      </w:tr>
      <w:tr w:rsidR="00D66005" w:rsidRPr="0061490E" w:rsidTr="00D66005">
        <w:trPr>
          <w:trHeight w:val="416"/>
        </w:trPr>
        <w:tc>
          <w:tcPr>
            <w:tcW w:w="616"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pPr>
              <w:pStyle w:val="Normal-pool"/>
              <w:spacing w:before="40" w:after="40"/>
              <w:rPr>
                <w:rFonts w:eastAsia="SimSun"/>
                <w:sz w:val="18"/>
                <w:szCs w:val="18"/>
                <w:lang w:eastAsia="zh-CN"/>
              </w:rPr>
            </w:pPr>
            <w:r w:rsidRPr="00F77964">
              <w:rPr>
                <w:rFonts w:eastAsia="SimSun"/>
                <w:sz w:val="18"/>
                <w:szCs w:val="18"/>
                <w:lang w:eastAsia="zh-CN"/>
              </w:rPr>
              <w:t>2014</w:t>
            </w:r>
          </w:p>
        </w:tc>
        <w:tc>
          <w:tcPr>
            <w:tcW w:w="917"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532828" w:rsidP="00532828">
            <w:pPr>
              <w:pStyle w:val="Normal-pool"/>
              <w:spacing w:before="40" w:after="40"/>
              <w:rPr>
                <w:rFonts w:eastAsia="SimSun"/>
                <w:sz w:val="18"/>
                <w:szCs w:val="18"/>
                <w:lang w:eastAsia="zh-CN"/>
              </w:rPr>
            </w:pPr>
            <w:r w:rsidRPr="00F77964">
              <w:rPr>
                <w:rFonts w:eastAsia="SimSun"/>
                <w:sz w:val="18"/>
                <w:szCs w:val="18"/>
                <w:lang w:eastAsia="zh-CN"/>
              </w:rPr>
              <w:t>Premier trimestre</w:t>
            </w:r>
          </w:p>
        </w:tc>
        <w:tc>
          <w:tcPr>
            <w:tcW w:w="7132"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CD3674" w:rsidP="00592491">
            <w:pPr>
              <w:pStyle w:val="Normal-pool"/>
              <w:spacing w:before="40" w:after="40"/>
              <w:rPr>
                <w:rFonts w:eastAsia="SimSun"/>
                <w:sz w:val="18"/>
                <w:szCs w:val="18"/>
                <w:lang w:eastAsia="zh-CN"/>
              </w:rPr>
            </w:pPr>
            <w:r w:rsidRPr="00F77964">
              <w:rPr>
                <w:rFonts w:eastAsia="SimSun"/>
                <w:sz w:val="18"/>
                <w:szCs w:val="18"/>
                <w:lang w:eastAsia="zh-CN"/>
              </w:rPr>
              <w:t xml:space="preserve">Le Groupe d’experts multidisciplinaire et le Bureau lancent un appel </w:t>
            </w:r>
            <w:r w:rsidR="00592491" w:rsidRPr="00F77964">
              <w:rPr>
                <w:rFonts w:eastAsia="SimSun"/>
                <w:sz w:val="18"/>
                <w:szCs w:val="18"/>
                <w:lang w:eastAsia="zh-CN"/>
              </w:rPr>
              <w:t>pour que des</w:t>
            </w:r>
            <w:r w:rsidRPr="00F77964">
              <w:rPr>
                <w:rFonts w:eastAsia="SimSun"/>
                <w:sz w:val="18"/>
                <w:szCs w:val="18"/>
                <w:lang w:eastAsia="zh-CN"/>
              </w:rPr>
              <w:t xml:space="preserve"> candidatures</w:t>
            </w:r>
            <w:r w:rsidR="00592491" w:rsidRPr="00F77964">
              <w:rPr>
                <w:rFonts w:eastAsia="SimSun"/>
                <w:sz w:val="18"/>
                <w:szCs w:val="18"/>
                <w:lang w:eastAsia="zh-CN"/>
              </w:rPr>
              <w:t xml:space="preserve"> d’experts soient présentées</w:t>
            </w:r>
            <w:r w:rsidR="00456973" w:rsidRPr="00F77964">
              <w:rPr>
                <w:rFonts w:eastAsia="SimSun"/>
                <w:sz w:val="18"/>
                <w:szCs w:val="18"/>
                <w:lang w:eastAsia="zh-CN"/>
              </w:rPr>
              <w:t xml:space="preserve"> et font un choix</w:t>
            </w:r>
            <w:r w:rsidRPr="00F77964">
              <w:rPr>
                <w:rFonts w:eastAsia="SimSun"/>
                <w:sz w:val="18"/>
                <w:szCs w:val="18"/>
                <w:lang w:eastAsia="zh-CN"/>
              </w:rPr>
              <w:t xml:space="preserve"> conformément aux règles de la </w:t>
            </w:r>
            <w:r w:rsidR="00456973" w:rsidRPr="00F77964">
              <w:rPr>
                <w:rFonts w:eastAsia="SimSun"/>
                <w:sz w:val="18"/>
                <w:szCs w:val="18"/>
                <w:lang w:eastAsia="zh-CN"/>
              </w:rPr>
              <w:t>P</w:t>
            </w:r>
            <w:r w:rsidRPr="00F77964">
              <w:rPr>
                <w:rFonts w:eastAsia="SimSun"/>
                <w:sz w:val="18"/>
                <w:szCs w:val="18"/>
                <w:lang w:eastAsia="zh-CN"/>
              </w:rPr>
              <w:t>lateforme</w:t>
            </w:r>
          </w:p>
        </w:tc>
      </w:tr>
      <w:tr w:rsidR="00D66005" w:rsidRPr="0061490E" w:rsidTr="00D66005">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sz w:val="18"/>
                <w:szCs w:val="18"/>
                <w:lang w:eastAsia="zh-CN"/>
              </w:rPr>
            </w:pPr>
          </w:p>
        </w:tc>
        <w:tc>
          <w:tcPr>
            <w:tcW w:w="7132"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CD3674" w:rsidP="00456973">
            <w:pPr>
              <w:pStyle w:val="Normal-pool"/>
              <w:spacing w:before="40" w:after="40"/>
              <w:rPr>
                <w:rFonts w:eastAsia="SimSun"/>
                <w:sz w:val="18"/>
                <w:szCs w:val="18"/>
                <w:lang w:eastAsia="zh-CN"/>
              </w:rPr>
            </w:pPr>
            <w:r w:rsidRPr="00F77964">
              <w:rPr>
                <w:rFonts w:eastAsia="SimSun"/>
                <w:sz w:val="18"/>
                <w:szCs w:val="18"/>
                <w:lang w:eastAsia="zh-CN"/>
              </w:rPr>
              <w:t xml:space="preserve">Le </w:t>
            </w:r>
            <w:r w:rsidR="00456973" w:rsidRPr="00F77964">
              <w:rPr>
                <w:rFonts w:eastAsia="SimSun"/>
                <w:sz w:val="18"/>
                <w:szCs w:val="18"/>
                <w:lang w:eastAsia="zh-CN"/>
              </w:rPr>
              <w:t>g</w:t>
            </w:r>
            <w:r w:rsidRPr="00F77964">
              <w:rPr>
                <w:rFonts w:eastAsia="SimSun"/>
                <w:sz w:val="18"/>
                <w:szCs w:val="18"/>
                <w:lang w:eastAsia="zh-CN"/>
              </w:rPr>
              <w:t>roupe d’experts se réuni</w:t>
            </w:r>
            <w:r w:rsidR="00456973" w:rsidRPr="00F77964">
              <w:rPr>
                <w:rFonts w:eastAsia="SimSun"/>
                <w:sz w:val="18"/>
                <w:szCs w:val="18"/>
                <w:lang w:eastAsia="zh-CN"/>
              </w:rPr>
              <w:t>t</w:t>
            </w:r>
            <w:r w:rsidRPr="00F77964">
              <w:rPr>
                <w:rFonts w:eastAsia="SimSun"/>
                <w:sz w:val="18"/>
                <w:szCs w:val="18"/>
                <w:lang w:eastAsia="zh-CN"/>
              </w:rPr>
              <w:t xml:space="preserve"> afin d</w:t>
            </w:r>
            <w:r w:rsidR="00456973" w:rsidRPr="00F77964">
              <w:rPr>
                <w:rFonts w:eastAsia="SimSun"/>
                <w:sz w:val="18"/>
                <w:szCs w:val="18"/>
                <w:lang w:eastAsia="zh-CN"/>
              </w:rPr>
              <w:t>’élaborer le g</w:t>
            </w:r>
            <w:r w:rsidRPr="00F77964">
              <w:rPr>
                <w:rFonts w:eastAsia="SimSun"/>
                <w:sz w:val="18"/>
                <w:szCs w:val="18"/>
                <w:lang w:eastAsia="zh-CN"/>
              </w:rPr>
              <w:t>uide (compte tenu du rapport sur la hiérarchisation des demandes), avec l</w:t>
            </w:r>
            <w:r w:rsidR="00456973" w:rsidRPr="00F77964">
              <w:rPr>
                <w:rFonts w:eastAsia="SimSun"/>
                <w:sz w:val="18"/>
                <w:szCs w:val="18"/>
                <w:lang w:eastAsia="zh-CN"/>
              </w:rPr>
              <w:t>’aide du s</w:t>
            </w:r>
            <w:r w:rsidRPr="00F77964">
              <w:rPr>
                <w:rFonts w:eastAsia="SimSun"/>
                <w:sz w:val="18"/>
                <w:szCs w:val="18"/>
                <w:lang w:eastAsia="zh-CN"/>
              </w:rPr>
              <w:t>ecrétariat</w:t>
            </w:r>
          </w:p>
        </w:tc>
      </w:tr>
      <w:tr w:rsidR="00D66005" w:rsidRPr="0061490E" w:rsidTr="00D66005">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sz w:val="18"/>
                <w:szCs w:val="18"/>
                <w:lang w:eastAsia="zh-CN"/>
              </w:rPr>
            </w:pPr>
          </w:p>
        </w:tc>
        <w:tc>
          <w:tcPr>
            <w:tcW w:w="917"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532828" w:rsidP="00532828">
            <w:pPr>
              <w:pStyle w:val="Normal-pool"/>
              <w:spacing w:before="40" w:after="40"/>
              <w:rPr>
                <w:rFonts w:eastAsia="SimSun"/>
                <w:sz w:val="18"/>
                <w:szCs w:val="18"/>
                <w:lang w:eastAsia="zh-CN"/>
              </w:rPr>
            </w:pPr>
            <w:r w:rsidRPr="00F77964">
              <w:rPr>
                <w:rFonts w:eastAsia="SimSun"/>
                <w:sz w:val="18"/>
                <w:szCs w:val="18"/>
                <w:lang w:eastAsia="zh-CN"/>
              </w:rPr>
              <w:t>Deuxième trimestre</w:t>
            </w:r>
          </w:p>
        </w:tc>
        <w:tc>
          <w:tcPr>
            <w:tcW w:w="7132"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CD3674" w:rsidP="005B2B67">
            <w:pPr>
              <w:pStyle w:val="Normal-pool"/>
              <w:spacing w:before="40" w:after="40"/>
              <w:rPr>
                <w:rFonts w:eastAsia="SimSun"/>
                <w:sz w:val="18"/>
                <w:szCs w:val="18"/>
                <w:lang w:eastAsia="zh-CN"/>
              </w:rPr>
            </w:pPr>
            <w:r w:rsidRPr="00F77964">
              <w:rPr>
                <w:rFonts w:eastAsia="SimSun"/>
                <w:sz w:val="18"/>
                <w:szCs w:val="18"/>
                <w:lang w:eastAsia="zh-CN"/>
              </w:rPr>
              <w:t>Le projet d</w:t>
            </w:r>
            <w:r w:rsidR="005B2B67">
              <w:rPr>
                <w:rFonts w:eastAsia="SimSun"/>
                <w:sz w:val="18"/>
                <w:szCs w:val="18"/>
                <w:lang w:eastAsia="zh-CN"/>
              </w:rPr>
              <w:t>e</w:t>
            </w:r>
            <w:r w:rsidRPr="00F77964">
              <w:rPr>
                <w:rFonts w:eastAsia="SimSun"/>
                <w:sz w:val="18"/>
                <w:szCs w:val="18"/>
                <w:lang w:eastAsia="zh-CN"/>
              </w:rPr>
              <w:t xml:space="preserve"> guide </w:t>
            </w:r>
            <w:r w:rsidR="00456973" w:rsidRPr="00F77964">
              <w:rPr>
                <w:rFonts w:eastAsia="SimSun"/>
                <w:sz w:val="18"/>
                <w:szCs w:val="18"/>
                <w:lang w:eastAsia="zh-CN"/>
              </w:rPr>
              <w:t>est</w:t>
            </w:r>
            <w:r w:rsidRPr="00F77964">
              <w:rPr>
                <w:rFonts w:eastAsia="SimSun"/>
                <w:sz w:val="18"/>
                <w:szCs w:val="18"/>
                <w:lang w:eastAsia="zh-CN"/>
              </w:rPr>
              <w:t xml:space="preserve"> envoyé pour examen aux experts, aux membres de la </w:t>
            </w:r>
            <w:r w:rsidR="00456973" w:rsidRPr="00F77964">
              <w:rPr>
                <w:rFonts w:eastAsia="SimSun"/>
                <w:sz w:val="18"/>
                <w:szCs w:val="18"/>
                <w:lang w:eastAsia="zh-CN"/>
              </w:rPr>
              <w:t>P</w:t>
            </w:r>
            <w:r w:rsidRPr="00F77964">
              <w:rPr>
                <w:rFonts w:eastAsia="SimSun"/>
                <w:sz w:val="18"/>
                <w:szCs w:val="18"/>
                <w:lang w:eastAsia="zh-CN"/>
              </w:rPr>
              <w:t>lateforme et aux parties prenantes</w:t>
            </w:r>
          </w:p>
        </w:tc>
      </w:tr>
      <w:tr w:rsidR="00D66005" w:rsidRPr="0061490E" w:rsidTr="00D6600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sz w:val="18"/>
                <w:szCs w:val="18"/>
                <w:lang w:eastAsia="zh-CN"/>
              </w:rPr>
            </w:pPr>
          </w:p>
        </w:tc>
        <w:tc>
          <w:tcPr>
            <w:tcW w:w="7132"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CD3674" w:rsidP="00026403">
            <w:pPr>
              <w:pStyle w:val="Normal-pool"/>
              <w:spacing w:before="40" w:after="40"/>
              <w:rPr>
                <w:rFonts w:eastAsia="SimSun"/>
                <w:sz w:val="18"/>
                <w:szCs w:val="18"/>
                <w:lang w:eastAsia="zh-CN"/>
              </w:rPr>
            </w:pPr>
            <w:r w:rsidRPr="00F77964">
              <w:rPr>
                <w:rFonts w:eastAsia="SimSun"/>
                <w:sz w:val="18"/>
                <w:szCs w:val="18"/>
                <w:lang w:eastAsia="zh-CN"/>
              </w:rPr>
              <w:t xml:space="preserve">Le guide </w:t>
            </w:r>
            <w:r w:rsidR="00456973" w:rsidRPr="00F77964">
              <w:rPr>
                <w:rFonts w:eastAsia="SimSun"/>
                <w:sz w:val="18"/>
                <w:szCs w:val="18"/>
                <w:lang w:eastAsia="zh-CN"/>
              </w:rPr>
              <w:t>est</w:t>
            </w:r>
            <w:r w:rsidRPr="00F77964">
              <w:rPr>
                <w:rFonts w:eastAsia="SimSun"/>
                <w:sz w:val="18"/>
                <w:szCs w:val="18"/>
                <w:lang w:eastAsia="zh-CN"/>
              </w:rPr>
              <w:t xml:space="preserve"> finalisé pour approbation par le Bureau et le Groupe d’experts </w:t>
            </w:r>
            <w:r w:rsidR="00026403" w:rsidRPr="00F77964">
              <w:rPr>
                <w:rFonts w:eastAsia="SimSun"/>
                <w:sz w:val="18"/>
                <w:szCs w:val="18"/>
                <w:lang w:eastAsia="zh-CN"/>
              </w:rPr>
              <w:t>multi</w:t>
            </w:r>
            <w:r w:rsidRPr="00F77964">
              <w:rPr>
                <w:rFonts w:eastAsia="SimSun"/>
                <w:sz w:val="18"/>
                <w:szCs w:val="18"/>
                <w:lang w:eastAsia="zh-CN"/>
              </w:rPr>
              <w:t>disciplinaire</w:t>
            </w:r>
          </w:p>
        </w:tc>
      </w:tr>
    </w:tbl>
    <w:p w:rsidR="00D66005" w:rsidRPr="00F77964" w:rsidRDefault="00D66005" w:rsidP="00D66005">
      <w:pPr>
        <w:pStyle w:val="CH3"/>
        <w:spacing w:before="240"/>
        <w:rPr>
          <w:rFonts w:eastAsia="SimSun"/>
          <w:lang w:val="fr-FR" w:eastAsia="zh-CN"/>
        </w:rPr>
      </w:pPr>
      <w:r w:rsidRPr="00F77964">
        <w:rPr>
          <w:rFonts w:eastAsia="SimSun"/>
          <w:lang w:val="fr-FR" w:eastAsia="zh-CN"/>
        </w:rPr>
        <w:tab/>
      </w:r>
      <w:r w:rsidRPr="00F77964">
        <w:rPr>
          <w:rFonts w:eastAsia="SimSun"/>
          <w:lang w:val="fr-FR" w:eastAsia="zh-CN"/>
        </w:rPr>
        <w:tab/>
      </w:r>
      <w:r w:rsidR="00CD3674" w:rsidRPr="00F77964">
        <w:rPr>
          <w:rFonts w:eastAsia="SimSun"/>
          <w:lang w:val="fr-FR" w:eastAsia="zh-CN"/>
        </w:rPr>
        <w:t>Prévisions de coûts</w:t>
      </w:r>
      <w:r w:rsidRPr="00F77964">
        <w:rPr>
          <w:rFonts w:eastAsia="SimSun"/>
          <w:lang w:val="fr-FR" w:eastAsia="zh-CN"/>
        </w:rPr>
        <w:t xml:space="preserve"> </w:t>
      </w:r>
    </w:p>
    <w:p w:rsidR="00D66005" w:rsidRPr="00F77964" w:rsidRDefault="00CD3674" w:rsidP="00D66005">
      <w:pPr>
        <w:pStyle w:val="Normalnumber"/>
        <w:keepNext/>
        <w:keepLines/>
        <w:numPr>
          <w:ilvl w:val="0"/>
          <w:numId w:val="6"/>
        </w:numPr>
        <w:tabs>
          <w:tab w:val="left" w:pos="624"/>
        </w:tabs>
        <w:ind w:left="1247" w:firstLine="0"/>
        <w:rPr>
          <w:lang w:val="fr-FR"/>
        </w:rPr>
      </w:pPr>
      <w:r w:rsidRPr="00F77964">
        <w:rPr>
          <w:lang w:val="fr-FR"/>
        </w:rPr>
        <w:t xml:space="preserve">Les prévisions de coûts sont </w:t>
      </w:r>
      <w:r w:rsidR="00F4565D" w:rsidRPr="00F77964">
        <w:rPr>
          <w:lang w:val="fr-FR"/>
        </w:rPr>
        <w:t>les suivantes</w:t>
      </w:r>
      <w:r w:rsidRPr="00F77964">
        <w:rPr>
          <w:lang w:val="fr-FR"/>
        </w:rPr>
        <w:t> :</w:t>
      </w:r>
    </w:p>
    <w:p w:rsidR="00D66005" w:rsidRPr="00F77964" w:rsidRDefault="00D66005" w:rsidP="00D66005">
      <w:pPr>
        <w:pStyle w:val="Normalnumber"/>
        <w:tabs>
          <w:tab w:val="left" w:pos="624"/>
        </w:tabs>
        <w:spacing w:before="120" w:after="0"/>
        <w:ind w:left="1247"/>
        <w:rPr>
          <w:sz w:val="18"/>
          <w:szCs w:val="18"/>
          <w:lang w:val="fr-FR"/>
        </w:rPr>
      </w:pPr>
      <w:r w:rsidRPr="00F77964">
        <w:rPr>
          <w:sz w:val="18"/>
          <w:szCs w:val="18"/>
          <w:lang w:val="fr-FR"/>
        </w:rPr>
        <w:t>(</w:t>
      </w:r>
      <w:r w:rsidR="00CE4336" w:rsidRPr="00F77964">
        <w:rPr>
          <w:sz w:val="18"/>
          <w:szCs w:val="18"/>
          <w:lang w:val="fr-FR"/>
        </w:rPr>
        <w:t>d</w:t>
      </w:r>
      <w:r w:rsidR="00CD3674" w:rsidRPr="00F77964">
        <w:rPr>
          <w:sz w:val="18"/>
          <w:szCs w:val="18"/>
          <w:lang w:val="fr-FR"/>
        </w:rPr>
        <w:t xml:space="preserve">ollars des </w:t>
      </w:r>
      <w:r w:rsidR="00C56F76" w:rsidRPr="00F77964">
        <w:rPr>
          <w:sz w:val="18"/>
          <w:szCs w:val="18"/>
          <w:lang w:val="fr-FR"/>
        </w:rPr>
        <w:t>États-Unis</w:t>
      </w:r>
      <w:r w:rsidRPr="00F77964">
        <w:rPr>
          <w:sz w:val="18"/>
          <w:szCs w:val="18"/>
          <w:lang w:val="fr-FR"/>
        </w:rPr>
        <w:t>)</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391"/>
        <w:gridCol w:w="2969"/>
        <w:gridCol w:w="963"/>
      </w:tblGrid>
      <w:tr w:rsidR="00D66005" w:rsidRPr="0061490E" w:rsidTr="00D66005">
        <w:tc>
          <w:tcPr>
            <w:tcW w:w="672" w:type="dxa"/>
            <w:tcBorders>
              <w:top w:val="single" w:sz="4" w:space="0" w:color="auto"/>
              <w:left w:val="single" w:sz="4" w:space="0" w:color="auto"/>
              <w:bottom w:val="single" w:sz="4" w:space="0" w:color="auto"/>
              <w:right w:val="single" w:sz="4" w:space="0" w:color="auto"/>
            </w:tcBorders>
            <w:hideMark/>
          </w:tcPr>
          <w:p w:rsidR="00D66005" w:rsidRPr="00F77964" w:rsidRDefault="00CD3674" w:rsidP="00CD3674">
            <w:pPr>
              <w:pStyle w:val="Normal-pool"/>
              <w:keepNext/>
              <w:keepLines/>
              <w:spacing w:before="40" w:after="40"/>
              <w:rPr>
                <w:rFonts w:eastAsia="SimSun"/>
                <w:i/>
                <w:sz w:val="18"/>
                <w:szCs w:val="18"/>
                <w:lang w:eastAsia="zh-CN"/>
              </w:rPr>
            </w:pPr>
            <w:r w:rsidRPr="00F77964">
              <w:rPr>
                <w:rFonts w:eastAsia="SimSun"/>
                <w:i/>
                <w:sz w:val="18"/>
                <w:szCs w:val="18"/>
                <w:lang w:eastAsia="zh-CN"/>
              </w:rPr>
              <w:t>Année</w:t>
            </w:r>
          </w:p>
        </w:tc>
        <w:tc>
          <w:tcPr>
            <w:tcW w:w="3717" w:type="dxa"/>
            <w:tcBorders>
              <w:top w:val="single" w:sz="4" w:space="0" w:color="auto"/>
              <w:left w:val="single" w:sz="4" w:space="0" w:color="auto"/>
              <w:bottom w:val="single" w:sz="4" w:space="0" w:color="auto"/>
              <w:right w:val="single" w:sz="4" w:space="0" w:color="auto"/>
            </w:tcBorders>
            <w:hideMark/>
          </w:tcPr>
          <w:p w:rsidR="00D66005" w:rsidRPr="00F77964" w:rsidRDefault="00D972E8" w:rsidP="00CE4336">
            <w:pPr>
              <w:pStyle w:val="Normal-pool"/>
              <w:keepNext/>
              <w:keepLines/>
              <w:spacing w:before="40" w:after="40"/>
              <w:rPr>
                <w:rFonts w:eastAsia="SimSun"/>
                <w:i/>
                <w:sz w:val="18"/>
                <w:szCs w:val="18"/>
                <w:lang w:eastAsia="zh-CN"/>
              </w:rPr>
            </w:pPr>
            <w:r>
              <w:rPr>
                <w:rFonts w:eastAsia="SimSun"/>
                <w:i/>
                <w:sz w:val="18"/>
                <w:szCs w:val="18"/>
                <w:lang w:eastAsia="zh-CN"/>
              </w:rPr>
              <w:t>Postes de dépense</w:t>
            </w:r>
          </w:p>
        </w:tc>
        <w:tc>
          <w:tcPr>
            <w:tcW w:w="3261" w:type="dxa"/>
            <w:tcBorders>
              <w:top w:val="single" w:sz="4" w:space="0" w:color="auto"/>
              <w:left w:val="single" w:sz="4" w:space="0" w:color="auto"/>
              <w:bottom w:val="single" w:sz="4" w:space="0" w:color="auto"/>
              <w:right w:val="single" w:sz="4" w:space="0" w:color="auto"/>
            </w:tcBorders>
            <w:hideMark/>
          </w:tcPr>
          <w:p w:rsidR="00D66005" w:rsidRPr="00F77964" w:rsidRDefault="00CD3674" w:rsidP="00CD3674">
            <w:pPr>
              <w:pStyle w:val="Normal-pool"/>
              <w:keepNext/>
              <w:keepLines/>
              <w:spacing w:before="40" w:after="40"/>
              <w:rPr>
                <w:rFonts w:eastAsia="SimSun"/>
                <w:i/>
                <w:sz w:val="18"/>
                <w:szCs w:val="18"/>
                <w:lang w:eastAsia="zh-CN"/>
              </w:rPr>
            </w:pPr>
            <w:r w:rsidRPr="00F77964">
              <w:rPr>
                <w:rFonts w:eastAsia="SimSun"/>
                <w:i/>
                <w:sz w:val="18"/>
                <w:szCs w:val="18"/>
                <w:lang w:eastAsia="zh-CN"/>
              </w:rPr>
              <w:t>Hypothèses</w:t>
            </w:r>
          </w:p>
        </w:tc>
        <w:tc>
          <w:tcPr>
            <w:tcW w:w="992" w:type="dxa"/>
            <w:tcBorders>
              <w:top w:val="single" w:sz="4" w:space="0" w:color="auto"/>
              <w:left w:val="single" w:sz="4" w:space="0" w:color="auto"/>
              <w:bottom w:val="single" w:sz="4" w:space="0" w:color="auto"/>
              <w:right w:val="single" w:sz="4" w:space="0" w:color="auto"/>
            </w:tcBorders>
            <w:hideMark/>
          </w:tcPr>
          <w:p w:rsidR="00D66005" w:rsidRPr="00F77964" w:rsidRDefault="00CD3674" w:rsidP="00CD3674">
            <w:pPr>
              <w:pStyle w:val="Normal-pool"/>
              <w:keepNext/>
              <w:keepLines/>
              <w:spacing w:before="40" w:after="40"/>
              <w:jc w:val="right"/>
              <w:rPr>
                <w:rFonts w:eastAsia="SimSun"/>
                <w:i/>
                <w:sz w:val="18"/>
                <w:szCs w:val="18"/>
                <w:lang w:eastAsia="zh-CN"/>
              </w:rPr>
            </w:pPr>
            <w:r w:rsidRPr="00F77964">
              <w:rPr>
                <w:rFonts w:eastAsia="SimSun"/>
                <w:i/>
                <w:sz w:val="18"/>
                <w:szCs w:val="18"/>
                <w:lang w:eastAsia="zh-CN"/>
              </w:rPr>
              <w:t>Coût</w:t>
            </w:r>
            <w:r w:rsidR="00D66005" w:rsidRPr="00F77964">
              <w:rPr>
                <w:rFonts w:eastAsia="SimSun"/>
                <w:i/>
                <w:sz w:val="18"/>
                <w:szCs w:val="18"/>
                <w:lang w:eastAsia="zh-CN"/>
              </w:rPr>
              <w:t xml:space="preserve"> </w:t>
            </w:r>
          </w:p>
        </w:tc>
      </w:tr>
      <w:tr w:rsidR="00D66005" w:rsidRPr="0061490E" w:rsidTr="005F66D3">
        <w:tc>
          <w:tcPr>
            <w:tcW w:w="672"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5F66D3">
            <w:pPr>
              <w:pStyle w:val="Normal-pool"/>
              <w:keepNext/>
              <w:keepLines/>
              <w:spacing w:before="40" w:after="40"/>
              <w:rPr>
                <w:rFonts w:eastAsia="SimSun"/>
                <w:sz w:val="18"/>
                <w:szCs w:val="18"/>
                <w:lang w:eastAsia="zh-CN"/>
              </w:rPr>
            </w:pPr>
            <w:r w:rsidRPr="00F77964">
              <w:rPr>
                <w:rFonts w:eastAsia="SimSun"/>
                <w:sz w:val="18"/>
                <w:szCs w:val="18"/>
                <w:lang w:eastAsia="zh-CN"/>
              </w:rPr>
              <w:t>2014</w:t>
            </w:r>
          </w:p>
        </w:tc>
        <w:tc>
          <w:tcPr>
            <w:tcW w:w="3717"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CD3674" w:rsidP="005F66D3">
            <w:pPr>
              <w:pStyle w:val="Normal-pool"/>
              <w:keepNext/>
              <w:keepLines/>
              <w:spacing w:before="40" w:after="40"/>
              <w:rPr>
                <w:rFonts w:eastAsia="SimSun"/>
                <w:sz w:val="18"/>
                <w:szCs w:val="18"/>
                <w:lang w:eastAsia="zh-CN"/>
              </w:rPr>
            </w:pPr>
            <w:r w:rsidRPr="00F77964">
              <w:rPr>
                <w:rFonts w:eastAsia="SimSun"/>
                <w:sz w:val="18"/>
                <w:szCs w:val="18"/>
                <w:lang w:eastAsia="zh-CN"/>
              </w:rPr>
              <w:t xml:space="preserve">Réunion du </w:t>
            </w:r>
            <w:r w:rsidR="00CE4336" w:rsidRPr="00F77964">
              <w:rPr>
                <w:rFonts w:eastAsia="SimSun"/>
                <w:sz w:val="18"/>
                <w:szCs w:val="18"/>
                <w:lang w:eastAsia="zh-CN"/>
              </w:rPr>
              <w:t>g</w:t>
            </w:r>
            <w:r w:rsidRPr="00F77964">
              <w:rPr>
                <w:rFonts w:eastAsia="SimSun"/>
                <w:sz w:val="18"/>
                <w:szCs w:val="18"/>
                <w:lang w:eastAsia="zh-CN"/>
              </w:rPr>
              <w:t>roupe d’experts</w:t>
            </w:r>
            <w:r w:rsidR="00D66005" w:rsidRPr="00F77964">
              <w:rPr>
                <w:rFonts w:eastAsia="SimSun"/>
                <w:sz w:val="18"/>
                <w:szCs w:val="18"/>
                <w:lang w:eastAsia="zh-CN"/>
              </w:rPr>
              <w:t xml:space="preserve"> (10</w:t>
            </w:r>
            <w:r w:rsidRPr="00F77964">
              <w:rPr>
                <w:rFonts w:eastAsia="SimSun"/>
                <w:sz w:val="18"/>
                <w:szCs w:val="18"/>
                <w:lang w:eastAsia="zh-CN"/>
              </w:rPr>
              <w:t> membre</w:t>
            </w:r>
            <w:r w:rsidR="00CE4336" w:rsidRPr="00F77964">
              <w:rPr>
                <w:rFonts w:eastAsia="SimSun"/>
                <w:sz w:val="18"/>
                <w:szCs w:val="18"/>
                <w:lang w:eastAsia="zh-CN"/>
              </w:rPr>
              <w:t>s</w:t>
            </w:r>
            <w:r w:rsidRPr="00F77964">
              <w:rPr>
                <w:rFonts w:eastAsia="SimSun"/>
                <w:sz w:val="18"/>
                <w:szCs w:val="18"/>
                <w:lang w:eastAsia="zh-CN"/>
              </w:rPr>
              <w:t xml:space="preserve"> du Groupe d’experts </w:t>
            </w:r>
            <w:r w:rsidR="00CE4336" w:rsidRPr="00F77964">
              <w:rPr>
                <w:rFonts w:eastAsia="SimSun"/>
                <w:sz w:val="18"/>
                <w:szCs w:val="18"/>
                <w:lang w:eastAsia="zh-CN"/>
              </w:rPr>
              <w:t>multid</w:t>
            </w:r>
            <w:r w:rsidRPr="00F77964">
              <w:rPr>
                <w:rFonts w:eastAsia="SimSun"/>
                <w:sz w:val="18"/>
                <w:szCs w:val="18"/>
                <w:lang w:eastAsia="zh-CN"/>
              </w:rPr>
              <w:t>isciplinaire et du Bureau</w:t>
            </w:r>
            <w:r w:rsidR="00C673C7">
              <w:rPr>
                <w:rFonts w:eastAsia="SimSun"/>
                <w:sz w:val="18"/>
                <w:szCs w:val="18"/>
                <w:lang w:eastAsia="zh-CN"/>
              </w:rPr>
              <w:t xml:space="preserve"> + </w:t>
            </w:r>
            <w:r w:rsidR="00D66005" w:rsidRPr="00F77964">
              <w:rPr>
                <w:rFonts w:eastAsia="SimSun"/>
                <w:sz w:val="18"/>
                <w:szCs w:val="18"/>
                <w:lang w:eastAsia="zh-CN"/>
              </w:rPr>
              <w:t>40 experts/</w:t>
            </w:r>
            <w:r w:rsidRPr="00F77964">
              <w:rPr>
                <w:rFonts w:eastAsia="SimSun"/>
                <w:sz w:val="18"/>
                <w:szCs w:val="18"/>
                <w:lang w:eastAsia="zh-CN"/>
              </w:rPr>
              <w:t>partenaires stratégiques</w:t>
            </w:r>
            <w:r w:rsidR="00D66005" w:rsidRPr="00F77964">
              <w:rPr>
                <w:rFonts w:eastAsia="SimSun"/>
                <w:sz w:val="18"/>
                <w:szCs w:val="18"/>
                <w:lang w:eastAsia="zh-CN"/>
              </w:rPr>
              <w:t>)</w:t>
            </w:r>
          </w:p>
        </w:tc>
        <w:tc>
          <w:tcPr>
            <w:tcW w:w="3261" w:type="dxa"/>
            <w:tcBorders>
              <w:top w:val="single" w:sz="4" w:space="0" w:color="auto"/>
              <w:left w:val="single" w:sz="4" w:space="0" w:color="auto"/>
              <w:bottom w:val="single" w:sz="4" w:space="0" w:color="auto"/>
              <w:right w:val="single" w:sz="4" w:space="0" w:color="auto"/>
            </w:tcBorders>
            <w:hideMark/>
          </w:tcPr>
          <w:p w:rsidR="00D66005" w:rsidRPr="00F77964" w:rsidRDefault="00CD3674" w:rsidP="005F66D3">
            <w:pPr>
              <w:pStyle w:val="Normal-pool"/>
              <w:keepNext/>
              <w:keepLines/>
              <w:spacing w:before="40" w:after="40"/>
              <w:rPr>
                <w:rFonts w:eastAsia="SimSun"/>
                <w:sz w:val="18"/>
                <w:szCs w:val="18"/>
                <w:lang w:eastAsia="zh-CN"/>
              </w:rPr>
            </w:pPr>
            <w:r w:rsidRPr="00F77964">
              <w:rPr>
                <w:rFonts w:eastAsia="SimSun"/>
                <w:sz w:val="18"/>
                <w:szCs w:val="18"/>
                <w:lang w:eastAsia="zh-CN"/>
              </w:rPr>
              <w:t>Coûts de la réunion</w:t>
            </w:r>
            <w:r w:rsidR="00D66005" w:rsidRPr="00F77964">
              <w:rPr>
                <w:rFonts w:eastAsia="SimSun"/>
                <w:sz w:val="18"/>
                <w:szCs w:val="18"/>
                <w:lang w:eastAsia="zh-CN"/>
              </w:rPr>
              <w:t xml:space="preserve"> (1</w:t>
            </w:r>
            <w:r w:rsidRPr="00F77964">
              <w:rPr>
                <w:rFonts w:eastAsia="SimSun"/>
                <w:sz w:val="18"/>
                <w:szCs w:val="18"/>
                <w:lang w:eastAsia="zh-CN"/>
              </w:rPr>
              <w:t> semaine, 50 participants</w:t>
            </w:r>
            <w:r w:rsidR="00D66005" w:rsidRPr="00F77964">
              <w:rPr>
                <w:rFonts w:eastAsia="SimSun"/>
                <w:sz w:val="18"/>
                <w:szCs w:val="18"/>
                <w:lang w:eastAsia="zh-CN"/>
              </w:rPr>
              <w:t>) (25</w:t>
            </w:r>
            <w:r w:rsidRPr="00F77964">
              <w:rPr>
                <w:rFonts w:eastAsia="SimSun"/>
                <w:sz w:val="18"/>
                <w:szCs w:val="18"/>
                <w:lang w:eastAsia="zh-CN"/>
              </w:rPr>
              <w:t> % en nature</w:t>
            </w:r>
            <w:r w:rsidR="00D66005" w:rsidRPr="00F77964">
              <w:rPr>
                <w:rFonts w:eastAsia="SimSun"/>
                <w:sz w:val="18"/>
                <w:szCs w:val="18"/>
                <w:lang w:eastAsia="zh-CN"/>
              </w:rPr>
              <w:t>)</w:t>
            </w:r>
          </w:p>
        </w:tc>
        <w:tc>
          <w:tcPr>
            <w:tcW w:w="99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5F66D3">
            <w:pPr>
              <w:pStyle w:val="Normal-pool"/>
              <w:keepNext/>
              <w:keepLines/>
              <w:spacing w:before="40" w:after="40"/>
              <w:rPr>
                <w:rFonts w:eastAsia="SimSun"/>
                <w:sz w:val="18"/>
                <w:szCs w:val="18"/>
                <w:lang w:eastAsia="zh-CN"/>
              </w:rPr>
            </w:pPr>
            <w:r w:rsidRPr="00F77964">
              <w:rPr>
                <w:rFonts w:eastAsia="SimSun"/>
                <w:sz w:val="18"/>
                <w:szCs w:val="18"/>
                <w:lang w:eastAsia="zh-CN"/>
              </w:rPr>
              <w:t>11</w:t>
            </w:r>
            <w:r w:rsidR="005B25DE" w:rsidRPr="00F77964">
              <w:rPr>
                <w:rFonts w:eastAsia="SimSun"/>
                <w:sz w:val="18"/>
                <w:szCs w:val="18"/>
                <w:lang w:eastAsia="zh-CN"/>
              </w:rPr>
              <w:t> </w:t>
            </w:r>
            <w:r w:rsidRPr="00F77964">
              <w:rPr>
                <w:rFonts w:eastAsia="SimSun"/>
                <w:sz w:val="18"/>
                <w:szCs w:val="18"/>
                <w:lang w:eastAsia="zh-CN"/>
              </w:rPr>
              <w:t>250</w:t>
            </w:r>
          </w:p>
        </w:tc>
      </w:tr>
      <w:tr w:rsidR="00D66005" w:rsidRPr="0061490E" w:rsidTr="005F66D3">
        <w:trPr>
          <w:trHeight w:val="163"/>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5F66D3">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5F66D3">
            <w:pPr>
              <w:rPr>
                <w:rFonts w:eastAsia="SimSun"/>
                <w:sz w:val="18"/>
                <w:szCs w:val="18"/>
                <w:lang w:eastAsia="zh-CN"/>
              </w:rPr>
            </w:pPr>
          </w:p>
        </w:tc>
        <w:tc>
          <w:tcPr>
            <w:tcW w:w="3261" w:type="dxa"/>
            <w:tcBorders>
              <w:top w:val="single" w:sz="4" w:space="0" w:color="auto"/>
              <w:left w:val="single" w:sz="4" w:space="0" w:color="auto"/>
              <w:bottom w:val="single" w:sz="4" w:space="0" w:color="auto"/>
              <w:right w:val="single" w:sz="4" w:space="0" w:color="auto"/>
            </w:tcBorders>
            <w:hideMark/>
          </w:tcPr>
          <w:p w:rsidR="00D66005" w:rsidRPr="00F77964" w:rsidRDefault="00D972E8" w:rsidP="005F66D3">
            <w:pPr>
              <w:pStyle w:val="Normal-pool"/>
              <w:keepNext/>
              <w:keepLines/>
              <w:spacing w:before="40" w:after="40"/>
              <w:rPr>
                <w:rFonts w:eastAsia="SimSun"/>
                <w:sz w:val="18"/>
                <w:szCs w:val="18"/>
                <w:lang w:eastAsia="zh-CN"/>
              </w:rPr>
            </w:pPr>
            <w:r>
              <w:rPr>
                <w:rFonts w:eastAsia="SimSun"/>
                <w:sz w:val="18"/>
                <w:szCs w:val="18"/>
                <w:lang w:eastAsia="zh-CN"/>
              </w:rPr>
              <w:t>Frais de voyage et indemnités journalières de subsistance</w:t>
            </w:r>
            <w:r w:rsidR="00D66005" w:rsidRPr="00F77964">
              <w:rPr>
                <w:rFonts w:eastAsia="SimSun"/>
                <w:sz w:val="18"/>
                <w:szCs w:val="18"/>
                <w:lang w:eastAsia="zh-CN"/>
              </w:rPr>
              <w:t xml:space="preserve"> (25 x 3</w:t>
            </w:r>
            <w:r w:rsidR="00CD3674" w:rsidRPr="00F77964">
              <w:rPr>
                <w:rFonts w:eastAsia="SimSun"/>
                <w:sz w:val="18"/>
                <w:szCs w:val="18"/>
                <w:lang w:eastAsia="zh-CN"/>
              </w:rPr>
              <w:t> </w:t>
            </w:r>
            <w:r w:rsidR="00D66005" w:rsidRPr="00F77964">
              <w:rPr>
                <w:rFonts w:eastAsia="SimSun"/>
                <w:sz w:val="18"/>
                <w:szCs w:val="18"/>
                <w:lang w:eastAsia="zh-CN"/>
              </w:rPr>
              <w:t>000</w:t>
            </w:r>
            <w:r w:rsidR="00CD3674" w:rsidRPr="00F77964">
              <w:rPr>
                <w:rFonts w:eastAsia="SimSun"/>
                <w:sz w:val="18"/>
                <w:szCs w:val="18"/>
                <w:lang w:eastAsia="zh-CN"/>
              </w:rPr>
              <w:t> </w:t>
            </w:r>
            <w:r w:rsidR="005B25DE" w:rsidRPr="00F77964">
              <w:rPr>
                <w:rFonts w:eastAsia="SimSun"/>
                <w:sz w:val="18"/>
                <w:szCs w:val="18"/>
                <w:lang w:eastAsia="zh-CN"/>
              </w:rPr>
              <w:t>dollars</w:t>
            </w:r>
            <w:r w:rsidR="00D66005" w:rsidRPr="00F77964">
              <w:rPr>
                <w:rFonts w:eastAsia="SimSun"/>
                <w:sz w:val="18"/>
                <w:szCs w:val="18"/>
                <w:lang w:eastAsia="zh-CN"/>
              </w:rPr>
              <w:t>)</w:t>
            </w:r>
          </w:p>
        </w:tc>
        <w:tc>
          <w:tcPr>
            <w:tcW w:w="99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5F66D3">
            <w:pPr>
              <w:pStyle w:val="Normal-pool"/>
              <w:keepNext/>
              <w:keepLines/>
              <w:spacing w:before="40" w:after="40"/>
              <w:rPr>
                <w:rFonts w:eastAsia="SimSun"/>
                <w:sz w:val="18"/>
                <w:szCs w:val="18"/>
                <w:lang w:eastAsia="zh-CN"/>
              </w:rPr>
            </w:pPr>
            <w:r w:rsidRPr="00F77964">
              <w:rPr>
                <w:rFonts w:eastAsia="SimSun"/>
                <w:sz w:val="18"/>
                <w:szCs w:val="18"/>
                <w:lang w:eastAsia="zh-CN"/>
              </w:rPr>
              <w:t>75</w:t>
            </w:r>
            <w:r w:rsidR="005B25DE" w:rsidRPr="00F77964">
              <w:rPr>
                <w:rFonts w:eastAsia="SimSun"/>
                <w:sz w:val="18"/>
                <w:szCs w:val="18"/>
                <w:lang w:eastAsia="zh-CN"/>
              </w:rPr>
              <w:t> </w:t>
            </w:r>
            <w:r w:rsidRPr="00F77964">
              <w:rPr>
                <w:rFonts w:eastAsia="SimSun"/>
                <w:sz w:val="18"/>
                <w:szCs w:val="18"/>
                <w:lang w:eastAsia="zh-CN"/>
              </w:rPr>
              <w:t>000</w:t>
            </w:r>
          </w:p>
        </w:tc>
      </w:tr>
      <w:tr w:rsidR="00D66005" w:rsidRPr="0061490E" w:rsidTr="005F66D3">
        <w:tc>
          <w:tcPr>
            <w:tcW w:w="67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5F66D3">
            <w:pPr>
              <w:pStyle w:val="Normal-pool"/>
              <w:spacing w:before="40" w:after="40"/>
              <w:rPr>
                <w:rFonts w:eastAsia="SimSun"/>
                <w:sz w:val="18"/>
                <w:szCs w:val="18"/>
                <w:lang w:eastAsia="zh-CN"/>
              </w:rPr>
            </w:pPr>
            <w:r w:rsidRPr="00F77964">
              <w:rPr>
                <w:rFonts w:eastAsia="SimSun"/>
                <w:sz w:val="18"/>
                <w:szCs w:val="18"/>
                <w:lang w:eastAsia="zh-CN"/>
              </w:rPr>
              <w:t>2015</w:t>
            </w:r>
          </w:p>
        </w:tc>
        <w:tc>
          <w:tcPr>
            <w:tcW w:w="3717" w:type="dxa"/>
            <w:tcBorders>
              <w:top w:val="single" w:sz="4" w:space="0" w:color="auto"/>
              <w:left w:val="single" w:sz="4" w:space="0" w:color="auto"/>
              <w:bottom w:val="single" w:sz="4" w:space="0" w:color="auto"/>
              <w:right w:val="single" w:sz="4" w:space="0" w:color="auto"/>
            </w:tcBorders>
            <w:hideMark/>
          </w:tcPr>
          <w:p w:rsidR="00D66005" w:rsidRPr="00F77964" w:rsidRDefault="00CD3674" w:rsidP="005F66D3">
            <w:pPr>
              <w:pStyle w:val="Normal-pool"/>
              <w:spacing w:before="40" w:after="40"/>
              <w:rPr>
                <w:rFonts w:eastAsia="SimSun"/>
                <w:sz w:val="18"/>
                <w:szCs w:val="18"/>
                <w:lang w:eastAsia="zh-CN"/>
              </w:rPr>
            </w:pPr>
            <w:r w:rsidRPr="00F77964">
              <w:rPr>
                <w:rFonts w:eastAsia="SimSun"/>
                <w:sz w:val="18"/>
                <w:szCs w:val="18"/>
                <w:lang w:eastAsia="zh-CN"/>
              </w:rPr>
              <w:t>Diffusion du guide</w:t>
            </w:r>
          </w:p>
        </w:tc>
        <w:tc>
          <w:tcPr>
            <w:tcW w:w="3261" w:type="dxa"/>
            <w:tcBorders>
              <w:top w:val="single" w:sz="4" w:space="0" w:color="auto"/>
              <w:left w:val="single" w:sz="4" w:space="0" w:color="auto"/>
              <w:bottom w:val="single" w:sz="4" w:space="0" w:color="auto"/>
              <w:right w:val="single" w:sz="4" w:space="0" w:color="auto"/>
            </w:tcBorders>
            <w:hideMark/>
          </w:tcPr>
          <w:p w:rsidR="00D66005" w:rsidRPr="00F77964" w:rsidRDefault="00CD3674" w:rsidP="005F66D3">
            <w:pPr>
              <w:pStyle w:val="Normal-pool"/>
              <w:spacing w:before="40" w:after="40"/>
              <w:rPr>
                <w:rFonts w:eastAsia="SimSun"/>
                <w:sz w:val="18"/>
                <w:szCs w:val="18"/>
                <w:lang w:eastAsia="zh-CN"/>
              </w:rPr>
            </w:pPr>
            <w:r w:rsidRPr="00F77964">
              <w:rPr>
                <w:rFonts w:eastAsia="SimSun"/>
                <w:sz w:val="18"/>
                <w:szCs w:val="18"/>
                <w:lang w:eastAsia="zh-CN"/>
              </w:rPr>
              <w:t xml:space="preserve">Traduction du guide dans toutes les langues de travail de l’ONU, publication, </w:t>
            </w:r>
            <w:r w:rsidR="00F23269">
              <w:rPr>
                <w:rFonts w:eastAsia="SimSun"/>
                <w:sz w:val="18"/>
                <w:szCs w:val="18"/>
                <w:lang w:eastAsia="zh-CN"/>
              </w:rPr>
              <w:t>animation</w:t>
            </w:r>
          </w:p>
        </w:tc>
        <w:tc>
          <w:tcPr>
            <w:tcW w:w="99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5F66D3">
            <w:pPr>
              <w:pStyle w:val="Normal-pool"/>
              <w:spacing w:before="40" w:after="40"/>
              <w:rPr>
                <w:rFonts w:eastAsia="SimSun"/>
                <w:sz w:val="18"/>
                <w:szCs w:val="18"/>
                <w:lang w:eastAsia="zh-CN"/>
              </w:rPr>
            </w:pPr>
            <w:r w:rsidRPr="00F77964">
              <w:rPr>
                <w:rFonts w:eastAsia="SimSun"/>
                <w:sz w:val="18"/>
                <w:szCs w:val="18"/>
                <w:lang w:eastAsia="zh-CN"/>
              </w:rPr>
              <w:t>50</w:t>
            </w:r>
            <w:r w:rsidR="005B25DE" w:rsidRPr="00F77964">
              <w:rPr>
                <w:rFonts w:eastAsia="SimSun"/>
                <w:sz w:val="18"/>
                <w:szCs w:val="18"/>
                <w:lang w:eastAsia="zh-CN"/>
              </w:rPr>
              <w:t> </w:t>
            </w:r>
            <w:r w:rsidRPr="00F77964">
              <w:rPr>
                <w:rFonts w:eastAsia="SimSun"/>
                <w:sz w:val="18"/>
                <w:szCs w:val="18"/>
                <w:lang w:eastAsia="zh-CN"/>
              </w:rPr>
              <w:t>000</w:t>
            </w:r>
          </w:p>
        </w:tc>
      </w:tr>
      <w:tr w:rsidR="00D66005" w:rsidRPr="0061490E" w:rsidTr="005F66D3">
        <w:tc>
          <w:tcPr>
            <w:tcW w:w="67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5F66D3">
            <w:pPr>
              <w:pStyle w:val="Normal-pool"/>
              <w:spacing w:before="40" w:after="40"/>
              <w:rPr>
                <w:rFonts w:eastAsia="SimSun"/>
                <w:b/>
                <w:sz w:val="18"/>
                <w:szCs w:val="18"/>
                <w:lang w:eastAsia="zh-CN"/>
              </w:rPr>
            </w:pPr>
            <w:r w:rsidRPr="00F77964">
              <w:rPr>
                <w:rFonts w:eastAsia="SimSun"/>
                <w:b/>
                <w:sz w:val="18"/>
                <w:szCs w:val="18"/>
                <w:lang w:eastAsia="zh-CN"/>
              </w:rPr>
              <w:t>Total</w:t>
            </w:r>
          </w:p>
        </w:tc>
        <w:tc>
          <w:tcPr>
            <w:tcW w:w="3717" w:type="dxa"/>
            <w:tcBorders>
              <w:top w:val="single" w:sz="4" w:space="0" w:color="auto"/>
              <w:left w:val="single" w:sz="4" w:space="0" w:color="auto"/>
              <w:bottom w:val="single" w:sz="4" w:space="0" w:color="auto"/>
              <w:right w:val="single" w:sz="4" w:space="0" w:color="auto"/>
            </w:tcBorders>
          </w:tcPr>
          <w:p w:rsidR="00D66005" w:rsidRPr="00F77964" w:rsidRDefault="00D66005" w:rsidP="005F66D3">
            <w:pPr>
              <w:pStyle w:val="Normal-pool"/>
              <w:spacing w:before="40" w:after="40"/>
              <w:rPr>
                <w:rFonts w:eastAsia="SimSun"/>
                <w:b/>
                <w:sz w:val="18"/>
                <w:szCs w:val="18"/>
                <w:lang w:eastAsia="zh-CN"/>
              </w:rPr>
            </w:pPr>
          </w:p>
        </w:tc>
        <w:tc>
          <w:tcPr>
            <w:tcW w:w="3261" w:type="dxa"/>
            <w:tcBorders>
              <w:top w:val="single" w:sz="4" w:space="0" w:color="auto"/>
              <w:left w:val="single" w:sz="4" w:space="0" w:color="auto"/>
              <w:bottom w:val="single" w:sz="4" w:space="0" w:color="auto"/>
              <w:right w:val="single" w:sz="4" w:space="0" w:color="auto"/>
            </w:tcBorders>
          </w:tcPr>
          <w:p w:rsidR="00D66005" w:rsidRPr="00F77964" w:rsidRDefault="00D66005" w:rsidP="005F66D3">
            <w:pPr>
              <w:pStyle w:val="Normal-pool"/>
              <w:spacing w:before="40" w:after="40"/>
              <w:rPr>
                <w:rFonts w:eastAsia="SimSun"/>
                <w:b/>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5F66D3">
            <w:pPr>
              <w:pStyle w:val="Normal-pool"/>
              <w:spacing w:before="40" w:after="40"/>
              <w:rPr>
                <w:rFonts w:eastAsia="SimSun"/>
                <w:b/>
                <w:sz w:val="18"/>
                <w:szCs w:val="18"/>
                <w:lang w:eastAsia="zh-CN"/>
              </w:rPr>
            </w:pPr>
            <w:r w:rsidRPr="00F77964">
              <w:rPr>
                <w:rFonts w:eastAsia="SimSun"/>
                <w:b/>
                <w:sz w:val="18"/>
                <w:szCs w:val="18"/>
                <w:lang w:eastAsia="zh-CN"/>
              </w:rPr>
              <w:t>136</w:t>
            </w:r>
            <w:r w:rsidR="005B25DE" w:rsidRPr="00F77964">
              <w:rPr>
                <w:rFonts w:eastAsia="SimSun"/>
                <w:b/>
                <w:sz w:val="18"/>
                <w:szCs w:val="18"/>
                <w:lang w:eastAsia="zh-CN"/>
              </w:rPr>
              <w:t> </w:t>
            </w:r>
            <w:r w:rsidRPr="00F77964">
              <w:rPr>
                <w:rFonts w:eastAsia="SimSun"/>
                <w:b/>
                <w:sz w:val="18"/>
                <w:szCs w:val="18"/>
                <w:lang w:eastAsia="zh-CN"/>
              </w:rPr>
              <w:t>250</w:t>
            </w:r>
          </w:p>
        </w:tc>
      </w:tr>
    </w:tbl>
    <w:p w:rsidR="00D66005" w:rsidRPr="00F77964" w:rsidRDefault="00D66005" w:rsidP="00D66005">
      <w:pPr>
        <w:pStyle w:val="CH3"/>
        <w:keepNext w:val="0"/>
        <w:keepLines w:val="0"/>
        <w:spacing w:before="120" w:after="0"/>
        <w:rPr>
          <w:rFonts w:eastAsia="SimSun"/>
          <w:lang w:val="fr-FR" w:eastAsia="zh-CN"/>
        </w:rPr>
      </w:pPr>
      <w:r w:rsidRPr="00F77964">
        <w:rPr>
          <w:rFonts w:eastAsia="SimSun"/>
          <w:lang w:val="fr-FR" w:eastAsia="zh-CN"/>
        </w:rPr>
        <w:tab/>
      </w:r>
      <w:r w:rsidRPr="00F77964">
        <w:rPr>
          <w:rFonts w:eastAsia="SimSun"/>
          <w:lang w:val="fr-FR" w:eastAsia="zh-CN"/>
        </w:rPr>
        <w:tab/>
      </w:r>
      <w:r w:rsidR="00CD3674" w:rsidRPr="00F77964">
        <w:rPr>
          <w:rFonts w:eastAsia="SimSun"/>
          <w:lang w:val="fr-FR" w:eastAsia="zh-CN"/>
        </w:rPr>
        <w:t>Produit </w:t>
      </w:r>
      <w:r w:rsidRPr="00F77964">
        <w:rPr>
          <w:rFonts w:eastAsia="SimSun"/>
          <w:lang w:val="fr-FR" w:eastAsia="zh-CN"/>
        </w:rPr>
        <w:t>2</w:t>
      </w:r>
      <w:r w:rsidR="005B25DE" w:rsidRPr="00F77964">
        <w:rPr>
          <w:rFonts w:eastAsia="SimSun"/>
          <w:lang w:val="fr-FR" w:eastAsia="zh-CN"/>
        </w:rPr>
        <w:t> </w:t>
      </w:r>
      <w:r w:rsidRPr="00F77964">
        <w:rPr>
          <w:rFonts w:eastAsia="SimSun"/>
          <w:lang w:val="fr-FR" w:eastAsia="zh-CN"/>
        </w:rPr>
        <w:t>b)</w:t>
      </w:r>
    </w:p>
    <w:p w:rsidR="00D66005" w:rsidRPr="00F77964" w:rsidRDefault="00D66005" w:rsidP="00D66005">
      <w:pPr>
        <w:pStyle w:val="CH3"/>
        <w:keepNext w:val="0"/>
        <w:keepLines w:val="0"/>
        <w:rPr>
          <w:rFonts w:eastAsia="SimSun"/>
          <w:i/>
          <w:lang w:val="fr-FR" w:eastAsia="zh-CN"/>
        </w:rPr>
      </w:pPr>
      <w:r w:rsidRPr="00F77964">
        <w:rPr>
          <w:rFonts w:eastAsia="SimSun"/>
          <w:lang w:val="fr-FR" w:eastAsia="zh-CN"/>
        </w:rPr>
        <w:tab/>
      </w:r>
      <w:r w:rsidRPr="00F77964">
        <w:rPr>
          <w:rFonts w:eastAsia="SimSun"/>
          <w:lang w:val="fr-FR" w:eastAsia="zh-CN"/>
        </w:rPr>
        <w:tab/>
      </w:r>
      <w:r w:rsidR="00C56F76" w:rsidRPr="00F77964">
        <w:rPr>
          <w:rFonts w:eastAsia="SimSun"/>
          <w:lang w:val="fr-FR" w:eastAsia="zh-CN"/>
        </w:rPr>
        <w:t>Évaluations</w:t>
      </w:r>
      <w:r w:rsidR="00CD3674" w:rsidRPr="00F77964">
        <w:rPr>
          <w:rFonts w:eastAsia="SimSun"/>
          <w:lang w:val="fr-FR" w:eastAsia="zh-CN"/>
        </w:rPr>
        <w:t xml:space="preserve"> régionales/sous-régionales </w:t>
      </w:r>
      <w:r w:rsidR="00435D19">
        <w:rPr>
          <w:rFonts w:eastAsia="SimSun"/>
          <w:lang w:val="fr-FR" w:eastAsia="zh-CN"/>
        </w:rPr>
        <w:t>de</w:t>
      </w:r>
      <w:r w:rsidR="00CD3674" w:rsidRPr="00F77964">
        <w:rPr>
          <w:rFonts w:eastAsia="SimSun"/>
          <w:lang w:val="fr-FR" w:eastAsia="zh-CN"/>
        </w:rPr>
        <w:t xml:space="preserve"> la biodiversité et </w:t>
      </w:r>
      <w:r w:rsidR="00435D19">
        <w:rPr>
          <w:rFonts w:eastAsia="SimSun"/>
          <w:lang w:val="fr-FR" w:eastAsia="zh-CN"/>
        </w:rPr>
        <w:t>d</w:t>
      </w:r>
      <w:r w:rsidR="00CD3674" w:rsidRPr="00F77964">
        <w:rPr>
          <w:rFonts w:eastAsia="SimSun"/>
          <w:lang w:val="fr-FR" w:eastAsia="zh-CN"/>
        </w:rPr>
        <w:t>es services écosystémiques</w:t>
      </w:r>
      <w:r w:rsidRPr="00F77964">
        <w:rPr>
          <w:rFonts w:eastAsia="SimSun"/>
          <w:lang w:val="fr-FR" w:eastAsia="zh-CN"/>
        </w:rPr>
        <w:t xml:space="preserve"> (</w:t>
      </w:r>
      <w:r w:rsidR="00960E6C">
        <w:rPr>
          <w:rFonts w:eastAsia="SimSun"/>
          <w:i/>
          <w:lang w:val="fr-FR" w:eastAsia="zh-CN"/>
        </w:rPr>
        <w:t>d’ici</w:t>
      </w:r>
      <w:r w:rsidR="00CD3674" w:rsidRPr="00F77964">
        <w:rPr>
          <w:rFonts w:eastAsia="SimSun"/>
          <w:i/>
          <w:lang w:val="fr-FR" w:eastAsia="zh-CN"/>
        </w:rPr>
        <w:t xml:space="preserve"> à mars </w:t>
      </w:r>
      <w:r w:rsidRPr="00F77964">
        <w:rPr>
          <w:rFonts w:eastAsia="SimSun"/>
          <w:i/>
          <w:lang w:val="fr-FR" w:eastAsia="zh-CN"/>
        </w:rPr>
        <w:t>2017</w:t>
      </w:r>
      <w:r w:rsidRPr="00F77964">
        <w:rPr>
          <w:rFonts w:eastAsia="SimSun"/>
          <w:lang w:val="fr-FR" w:eastAsia="zh-CN"/>
        </w:rPr>
        <w:t xml:space="preserve">) </w:t>
      </w:r>
    </w:p>
    <w:p w:rsidR="00D66005" w:rsidRPr="00F77964" w:rsidRDefault="00D66005" w:rsidP="00D970B7">
      <w:pPr>
        <w:pStyle w:val="CH3"/>
        <w:rPr>
          <w:lang w:val="fr-FR"/>
        </w:rPr>
      </w:pPr>
      <w:r w:rsidRPr="00F77964">
        <w:rPr>
          <w:rFonts w:eastAsia="Calibri"/>
          <w:lang w:val="fr-FR"/>
        </w:rPr>
        <w:lastRenderedPageBreak/>
        <w:tab/>
      </w:r>
      <w:r w:rsidRPr="00F77964">
        <w:rPr>
          <w:rFonts w:eastAsia="Calibri"/>
          <w:lang w:val="fr-FR"/>
        </w:rPr>
        <w:tab/>
      </w:r>
      <w:r w:rsidR="00CD3674" w:rsidRPr="00F77964">
        <w:rPr>
          <w:rFonts w:eastAsia="Calibri"/>
          <w:lang w:val="fr-FR"/>
        </w:rPr>
        <w:t>Hypothèses</w:t>
      </w:r>
    </w:p>
    <w:p w:rsidR="00D66005" w:rsidRPr="00F77964" w:rsidRDefault="00CD3674" w:rsidP="00D970B7">
      <w:pPr>
        <w:pStyle w:val="Normalnumber"/>
        <w:keepNext/>
        <w:keepLines/>
        <w:numPr>
          <w:ilvl w:val="0"/>
          <w:numId w:val="6"/>
        </w:numPr>
        <w:tabs>
          <w:tab w:val="left" w:pos="624"/>
        </w:tabs>
        <w:ind w:left="1247" w:firstLine="0"/>
        <w:rPr>
          <w:lang w:val="fr-FR"/>
        </w:rPr>
      </w:pPr>
      <w:r w:rsidRPr="00F77964">
        <w:rPr>
          <w:lang w:val="fr-FR"/>
        </w:rPr>
        <w:t>Le</w:t>
      </w:r>
      <w:r w:rsidR="005B25DE" w:rsidRPr="00F77964">
        <w:rPr>
          <w:lang w:val="fr-FR"/>
        </w:rPr>
        <w:t>s activités d’</w:t>
      </w:r>
      <w:r w:rsidR="00F77964" w:rsidRPr="00F77964">
        <w:rPr>
          <w:lang w:val="fr-FR"/>
        </w:rPr>
        <w:t>évaluation</w:t>
      </w:r>
      <w:r w:rsidR="005B25DE" w:rsidRPr="00F77964">
        <w:rPr>
          <w:lang w:val="fr-FR"/>
        </w:rPr>
        <w:t xml:space="preserve"> s’articuleront autour de </w:t>
      </w:r>
      <w:r w:rsidRPr="00F77964">
        <w:rPr>
          <w:lang w:val="fr-FR"/>
        </w:rPr>
        <w:t>la structure régionale et sous-régionale suivante :</w:t>
      </w:r>
      <w:r w:rsidR="00D66005" w:rsidRPr="00F77964">
        <w:rPr>
          <w:lang w:val="fr-FR"/>
        </w:rPr>
        <w:t xml:space="preserve"> </w:t>
      </w:r>
    </w:p>
    <w:p w:rsidR="00D66005" w:rsidRPr="00F77964" w:rsidRDefault="005B25DE" w:rsidP="00D970B7">
      <w:pPr>
        <w:pStyle w:val="Normalnumber"/>
        <w:keepNext/>
        <w:keepLines/>
        <w:tabs>
          <w:tab w:val="left" w:pos="624"/>
        </w:tabs>
        <w:ind w:left="2155"/>
        <w:rPr>
          <w:b/>
          <w:lang w:val="fr-FR"/>
        </w:rPr>
      </w:pPr>
      <w:r w:rsidRPr="00F77964">
        <w:rPr>
          <w:b/>
          <w:lang w:val="fr-FR"/>
        </w:rPr>
        <w:t>a)</w:t>
      </w:r>
      <w:r w:rsidR="006F6944" w:rsidRPr="00F77964">
        <w:rPr>
          <w:b/>
          <w:lang w:val="fr-FR"/>
        </w:rPr>
        <w:tab/>
      </w:r>
      <w:r w:rsidR="00D66005" w:rsidRPr="00F77964">
        <w:rPr>
          <w:b/>
          <w:lang w:val="fr-FR"/>
        </w:rPr>
        <w:t>Afri</w:t>
      </w:r>
      <w:r w:rsidR="00CD3674" w:rsidRPr="00F77964">
        <w:rPr>
          <w:b/>
          <w:lang w:val="fr-FR"/>
        </w:rPr>
        <w:t>que et Asie occidentale </w:t>
      </w:r>
      <w:r w:rsidR="00D66005" w:rsidRPr="00F77964">
        <w:rPr>
          <w:b/>
          <w:lang w:val="fr-FR"/>
        </w:rPr>
        <w:t xml:space="preserve">: </w:t>
      </w:r>
    </w:p>
    <w:p w:rsidR="00D66005" w:rsidRPr="00F77964" w:rsidRDefault="00EE049A" w:rsidP="00D970B7">
      <w:pPr>
        <w:pStyle w:val="Normalnumber"/>
        <w:keepNext/>
        <w:keepLines/>
        <w:ind w:left="3204" w:hanging="708"/>
        <w:rPr>
          <w:lang w:val="fr-FR"/>
        </w:rPr>
      </w:pPr>
      <w:r w:rsidRPr="00F77964">
        <w:rPr>
          <w:rFonts w:eastAsia="Calibri"/>
          <w:lang w:val="fr-FR"/>
        </w:rPr>
        <w:t>i)</w:t>
      </w:r>
      <w:r w:rsidR="00D66005" w:rsidRPr="00F77964">
        <w:rPr>
          <w:rFonts w:eastAsia="Calibri"/>
          <w:lang w:val="fr-FR"/>
        </w:rPr>
        <w:tab/>
      </w:r>
      <w:r w:rsidR="00CD3674" w:rsidRPr="00F77964">
        <w:rPr>
          <w:rFonts w:eastAsia="Calibri"/>
          <w:lang w:val="fr-FR"/>
        </w:rPr>
        <w:t>Afrique centrale et Afrique de l’Ouest</w:t>
      </w:r>
      <w:r w:rsidR="00D66005" w:rsidRPr="00F77964">
        <w:rPr>
          <w:lang w:val="fr-FR"/>
        </w:rPr>
        <w:t xml:space="preserve"> (</w:t>
      </w:r>
      <w:r w:rsidR="00C56F76" w:rsidRPr="00F77964">
        <w:rPr>
          <w:lang w:val="fr-FR"/>
        </w:rPr>
        <w:t>Cameroun</w:t>
      </w:r>
      <w:r w:rsidR="00CD3674" w:rsidRPr="00F77964">
        <w:rPr>
          <w:lang w:val="fr-FR"/>
        </w:rPr>
        <w:t>, Congo, Gabon, Guinée équatoriale, République centrafricaine, Ré</w:t>
      </w:r>
      <w:r w:rsidRPr="00F77964">
        <w:rPr>
          <w:lang w:val="fr-FR"/>
        </w:rPr>
        <w:t xml:space="preserve">publique démocratique du Congo, </w:t>
      </w:r>
      <w:r w:rsidR="00CD3674" w:rsidRPr="00F77964">
        <w:rPr>
          <w:lang w:val="fr-FR"/>
        </w:rPr>
        <w:t>Tchad et Sao</w:t>
      </w:r>
      <w:r w:rsidR="00F77964">
        <w:rPr>
          <w:lang w:val="fr-FR"/>
        </w:rPr>
        <w:t xml:space="preserve"> T</w:t>
      </w:r>
      <w:r w:rsidR="00CD3674" w:rsidRPr="00F77964">
        <w:rPr>
          <w:lang w:val="fr-FR"/>
        </w:rPr>
        <w:t>omé</w:t>
      </w:r>
      <w:r w:rsidR="009D1253" w:rsidRPr="00F77964">
        <w:rPr>
          <w:lang w:val="fr-FR"/>
        </w:rPr>
        <w:t>-</w:t>
      </w:r>
      <w:r w:rsidR="00CD3674" w:rsidRPr="00F77964">
        <w:rPr>
          <w:lang w:val="fr-FR"/>
        </w:rPr>
        <w:t>et</w:t>
      </w:r>
      <w:r w:rsidR="009D1253" w:rsidRPr="00F77964">
        <w:rPr>
          <w:lang w:val="fr-FR"/>
        </w:rPr>
        <w:t>-</w:t>
      </w:r>
      <w:r w:rsidR="00CD3674" w:rsidRPr="00F77964">
        <w:rPr>
          <w:lang w:val="fr-FR"/>
        </w:rPr>
        <w:t>Princip</w:t>
      </w:r>
      <w:r w:rsidR="009D1253" w:rsidRPr="00F77964">
        <w:rPr>
          <w:lang w:val="fr-FR"/>
        </w:rPr>
        <w:t>e</w:t>
      </w:r>
      <w:r w:rsidR="00CD3674" w:rsidRPr="00F77964">
        <w:rPr>
          <w:lang w:val="fr-FR"/>
        </w:rPr>
        <w:t xml:space="preserve">; Bénin, </w:t>
      </w:r>
      <w:r w:rsidR="00C56F76" w:rsidRPr="00F77964">
        <w:rPr>
          <w:lang w:val="fr-FR"/>
        </w:rPr>
        <w:t>Burkina</w:t>
      </w:r>
      <w:r w:rsidR="00CD3674" w:rsidRPr="00F77964">
        <w:rPr>
          <w:lang w:val="fr-FR"/>
        </w:rPr>
        <w:t xml:space="preserve"> Faso, Cap</w:t>
      </w:r>
      <w:r w:rsidR="009D1253" w:rsidRPr="00F77964">
        <w:rPr>
          <w:lang w:val="fr-FR"/>
        </w:rPr>
        <w:t>-</w:t>
      </w:r>
      <w:r w:rsidR="00CD3674" w:rsidRPr="00F77964">
        <w:rPr>
          <w:lang w:val="fr-FR"/>
        </w:rPr>
        <w:t>Vert, Côte d’Ivoire, Gambie, Ghana, Guinée, Guinée-Bissau, Libéria, Mali, Mauritanie; Niger, Nigéria, Sénégal, Sierra Leone et Togo);</w:t>
      </w:r>
    </w:p>
    <w:p w:rsidR="00D66005" w:rsidRPr="00F77964" w:rsidRDefault="00EE049A" w:rsidP="007C5D1F">
      <w:pPr>
        <w:pStyle w:val="Normalnumber"/>
        <w:ind w:left="3204" w:hanging="708"/>
        <w:rPr>
          <w:rFonts w:eastAsia="Calibri"/>
          <w:lang w:val="fr-FR"/>
        </w:rPr>
      </w:pPr>
      <w:r w:rsidRPr="00F77964">
        <w:rPr>
          <w:lang w:val="fr-FR"/>
        </w:rPr>
        <w:t>ii)</w:t>
      </w:r>
      <w:r w:rsidR="00D66005" w:rsidRPr="00F77964">
        <w:rPr>
          <w:lang w:val="fr-FR"/>
        </w:rPr>
        <w:tab/>
      </w:r>
      <w:r w:rsidR="001534CE">
        <w:rPr>
          <w:lang w:val="fr-FR"/>
        </w:rPr>
        <w:t>Afrique de l’Est et océan I</w:t>
      </w:r>
      <w:r w:rsidR="00CD3674" w:rsidRPr="00F77964">
        <w:rPr>
          <w:lang w:val="fr-FR"/>
        </w:rPr>
        <w:t>ndien occidental</w:t>
      </w:r>
      <w:r w:rsidR="00CD3674" w:rsidRPr="00F77964">
        <w:rPr>
          <w:rFonts w:eastAsia="Calibri"/>
          <w:lang w:val="fr-FR"/>
        </w:rPr>
        <w:t xml:space="preserve"> (Burundi, Djibouti, </w:t>
      </w:r>
      <w:r w:rsidR="00C56F76" w:rsidRPr="00F77964">
        <w:rPr>
          <w:rFonts w:eastAsia="Calibri"/>
          <w:lang w:val="fr-FR"/>
        </w:rPr>
        <w:t>Érythrée</w:t>
      </w:r>
      <w:r w:rsidR="00D66005" w:rsidRPr="00F77964">
        <w:rPr>
          <w:rFonts w:eastAsia="Calibri"/>
          <w:lang w:val="fr-FR"/>
        </w:rPr>
        <w:t xml:space="preserve">, </w:t>
      </w:r>
      <w:r w:rsidR="00C56F76" w:rsidRPr="00F77964">
        <w:rPr>
          <w:rFonts w:eastAsia="Calibri"/>
          <w:lang w:val="fr-FR"/>
        </w:rPr>
        <w:t>Éthiopie</w:t>
      </w:r>
      <w:r w:rsidR="00D66005" w:rsidRPr="00F77964">
        <w:rPr>
          <w:rFonts w:eastAsia="Calibri"/>
          <w:lang w:val="fr-FR"/>
        </w:rPr>
        <w:t xml:space="preserve">, Kenya, </w:t>
      </w:r>
      <w:r w:rsidR="005B2B67">
        <w:rPr>
          <w:rFonts w:eastAsia="Calibri"/>
          <w:lang w:val="fr-FR"/>
        </w:rPr>
        <w:t xml:space="preserve">Ouganda, République-Unie de Tanzanie, </w:t>
      </w:r>
      <w:r w:rsidR="00D66005" w:rsidRPr="00F77964">
        <w:rPr>
          <w:rFonts w:eastAsia="Calibri"/>
          <w:lang w:val="fr-FR"/>
        </w:rPr>
        <w:t>Rwanda</w:t>
      </w:r>
      <w:r w:rsidR="00CD3674" w:rsidRPr="00F77964">
        <w:rPr>
          <w:rFonts w:eastAsia="Calibri"/>
          <w:lang w:val="fr-FR"/>
        </w:rPr>
        <w:t xml:space="preserve"> et Somalie; Comores,</w:t>
      </w:r>
      <w:r w:rsidR="00D66005" w:rsidRPr="00F77964">
        <w:rPr>
          <w:rFonts w:eastAsia="Calibri"/>
          <w:lang w:val="fr-FR"/>
        </w:rPr>
        <w:t xml:space="preserve"> Madagascar, Mauri</w:t>
      </w:r>
      <w:r w:rsidR="00CD3674" w:rsidRPr="00F77964">
        <w:rPr>
          <w:rFonts w:eastAsia="Calibri"/>
          <w:lang w:val="fr-FR"/>
        </w:rPr>
        <w:t>ce</w:t>
      </w:r>
      <w:r w:rsidR="00D66005" w:rsidRPr="00F77964">
        <w:rPr>
          <w:rFonts w:eastAsia="Calibri"/>
          <w:lang w:val="fr-FR"/>
        </w:rPr>
        <w:t>, Mayotte, R</w:t>
      </w:r>
      <w:r w:rsidR="00CD3674" w:rsidRPr="00F77964">
        <w:rPr>
          <w:rFonts w:eastAsia="Calibri"/>
          <w:lang w:val="fr-FR"/>
        </w:rPr>
        <w:t>é</w:t>
      </w:r>
      <w:r w:rsidR="00D66005" w:rsidRPr="00F77964">
        <w:rPr>
          <w:rFonts w:eastAsia="Calibri"/>
          <w:lang w:val="fr-FR"/>
        </w:rPr>
        <w:t xml:space="preserve">union </w:t>
      </w:r>
      <w:r w:rsidR="00CD3674" w:rsidRPr="00F77964">
        <w:rPr>
          <w:rFonts w:eastAsia="Calibri"/>
          <w:lang w:val="fr-FR"/>
        </w:rPr>
        <w:t>et</w:t>
      </w:r>
      <w:r w:rsidR="00D66005" w:rsidRPr="00F77964">
        <w:rPr>
          <w:rFonts w:eastAsia="Calibri"/>
          <w:lang w:val="fr-FR"/>
        </w:rPr>
        <w:t xml:space="preserve"> Seychelles);</w:t>
      </w:r>
    </w:p>
    <w:p w:rsidR="00D66005" w:rsidRPr="00F77964" w:rsidRDefault="00EE049A" w:rsidP="007C5D1F">
      <w:pPr>
        <w:pStyle w:val="Normalnumber"/>
        <w:ind w:left="3204" w:hanging="708"/>
        <w:rPr>
          <w:rFonts w:eastAsia="Calibri"/>
          <w:lang w:val="fr-FR"/>
        </w:rPr>
      </w:pPr>
      <w:r w:rsidRPr="00F77964">
        <w:rPr>
          <w:rFonts w:eastAsia="Calibri"/>
          <w:lang w:val="fr-FR"/>
        </w:rPr>
        <w:t>iii)</w:t>
      </w:r>
      <w:r w:rsidR="00D66005" w:rsidRPr="00F77964">
        <w:rPr>
          <w:rFonts w:eastAsia="Calibri"/>
          <w:lang w:val="fr-FR"/>
        </w:rPr>
        <w:tab/>
      </w:r>
      <w:r w:rsidR="00CD3674" w:rsidRPr="00F77964">
        <w:rPr>
          <w:rFonts w:eastAsia="Calibri"/>
          <w:lang w:val="fr-FR"/>
        </w:rPr>
        <w:t xml:space="preserve">Afrique du Nord et Asie </w:t>
      </w:r>
      <w:r w:rsidR="009D1253" w:rsidRPr="00F77964">
        <w:rPr>
          <w:rFonts w:eastAsia="Calibri"/>
          <w:lang w:val="fr-FR"/>
        </w:rPr>
        <w:t>occidentale</w:t>
      </w:r>
      <w:r w:rsidR="00D66005" w:rsidRPr="00F77964">
        <w:rPr>
          <w:rFonts w:eastAsia="Calibri"/>
          <w:lang w:val="fr-FR"/>
        </w:rPr>
        <w:t xml:space="preserve"> (Alg</w:t>
      </w:r>
      <w:r w:rsidR="00CD3674" w:rsidRPr="00F77964">
        <w:rPr>
          <w:rFonts w:eastAsia="Calibri"/>
          <w:lang w:val="fr-FR"/>
        </w:rPr>
        <w:t xml:space="preserve">érie, </w:t>
      </w:r>
      <w:r w:rsidR="00C56F76" w:rsidRPr="00F77964">
        <w:rPr>
          <w:rFonts w:eastAsia="Calibri"/>
          <w:lang w:val="fr-FR"/>
        </w:rPr>
        <w:t>Égypte</w:t>
      </w:r>
      <w:r w:rsidR="00CD3674" w:rsidRPr="00F77964">
        <w:rPr>
          <w:rFonts w:eastAsia="Calibri"/>
          <w:lang w:val="fr-FR"/>
        </w:rPr>
        <w:t xml:space="preserve">, Lybie, </w:t>
      </w:r>
      <w:r w:rsidR="00E347A8" w:rsidRPr="00F77964">
        <w:rPr>
          <w:rFonts w:eastAsia="Calibri"/>
          <w:lang w:val="fr-FR"/>
        </w:rPr>
        <w:t xml:space="preserve">Maroc, Soudan, Sahara occidental et Tunisie; Arabie </w:t>
      </w:r>
      <w:r w:rsidR="009D1253" w:rsidRPr="00F77964">
        <w:rPr>
          <w:rFonts w:eastAsia="Calibri"/>
          <w:lang w:val="fr-FR"/>
        </w:rPr>
        <w:t>s</w:t>
      </w:r>
      <w:r w:rsidR="00E347A8" w:rsidRPr="00F77964">
        <w:rPr>
          <w:rFonts w:eastAsia="Calibri"/>
          <w:lang w:val="fr-FR"/>
        </w:rPr>
        <w:t xml:space="preserve">aoudite, </w:t>
      </w:r>
      <w:r w:rsidR="00C56F76" w:rsidRPr="00F77964">
        <w:rPr>
          <w:rFonts w:eastAsia="Calibri"/>
          <w:lang w:val="fr-FR"/>
        </w:rPr>
        <w:t>Bahreïn</w:t>
      </w:r>
      <w:r w:rsidR="00E347A8" w:rsidRPr="00F77964">
        <w:rPr>
          <w:rFonts w:eastAsia="Calibri"/>
          <w:lang w:val="fr-FR"/>
        </w:rPr>
        <w:t xml:space="preserve">, </w:t>
      </w:r>
      <w:r w:rsidR="00C56F76" w:rsidRPr="00F77964">
        <w:rPr>
          <w:rFonts w:eastAsia="Calibri"/>
          <w:lang w:val="fr-FR"/>
        </w:rPr>
        <w:t>Émirats</w:t>
      </w:r>
      <w:r w:rsidR="00E347A8" w:rsidRPr="00F77964">
        <w:rPr>
          <w:rFonts w:eastAsia="Calibri"/>
          <w:lang w:val="fr-FR"/>
        </w:rPr>
        <w:t xml:space="preserve"> </w:t>
      </w:r>
      <w:r w:rsidR="009D1253" w:rsidRPr="00F77964">
        <w:rPr>
          <w:rFonts w:eastAsia="Calibri"/>
          <w:lang w:val="fr-FR"/>
        </w:rPr>
        <w:t>a</w:t>
      </w:r>
      <w:r w:rsidR="00E347A8" w:rsidRPr="00F77964">
        <w:rPr>
          <w:rFonts w:eastAsia="Calibri"/>
          <w:lang w:val="fr-FR"/>
        </w:rPr>
        <w:t xml:space="preserve">rabes </w:t>
      </w:r>
      <w:r w:rsidR="009D1253" w:rsidRPr="00F77964">
        <w:rPr>
          <w:rFonts w:eastAsia="Calibri"/>
          <w:lang w:val="fr-FR"/>
        </w:rPr>
        <w:t>u</w:t>
      </w:r>
      <w:r w:rsidR="00E347A8" w:rsidRPr="00F77964">
        <w:rPr>
          <w:rFonts w:eastAsia="Calibri"/>
          <w:lang w:val="fr-FR"/>
        </w:rPr>
        <w:t xml:space="preserve">nis, </w:t>
      </w:r>
      <w:r w:rsidR="00C56F76" w:rsidRPr="00F77964">
        <w:rPr>
          <w:rFonts w:eastAsia="Calibri"/>
          <w:lang w:val="fr-FR"/>
        </w:rPr>
        <w:t>Koweït</w:t>
      </w:r>
      <w:r w:rsidR="00E347A8" w:rsidRPr="00F77964">
        <w:rPr>
          <w:rFonts w:eastAsia="Calibri"/>
          <w:lang w:val="fr-FR"/>
        </w:rPr>
        <w:t>, Oman, Qatar et Yémen (Péninsule ara</w:t>
      </w:r>
      <w:r w:rsidR="005B2B67">
        <w:rPr>
          <w:rFonts w:eastAsia="Calibri"/>
          <w:lang w:val="fr-FR"/>
        </w:rPr>
        <w:t xml:space="preserve">bique); </w:t>
      </w:r>
      <w:r w:rsidR="001534CE">
        <w:rPr>
          <w:rFonts w:eastAsia="Calibri"/>
          <w:lang w:val="fr-FR"/>
        </w:rPr>
        <w:t>État de P</w:t>
      </w:r>
      <w:r w:rsidR="001534CE" w:rsidRPr="00F77964">
        <w:rPr>
          <w:rFonts w:eastAsia="Calibri"/>
          <w:lang w:val="fr-FR"/>
        </w:rPr>
        <w:t>alestin</w:t>
      </w:r>
      <w:r w:rsidR="001534CE">
        <w:rPr>
          <w:rFonts w:eastAsia="Calibri"/>
          <w:lang w:val="fr-FR"/>
        </w:rPr>
        <w:t xml:space="preserve">e, </w:t>
      </w:r>
      <w:r w:rsidR="005B2B67">
        <w:rPr>
          <w:rFonts w:eastAsia="Calibri"/>
          <w:lang w:val="fr-FR"/>
        </w:rPr>
        <w:t>Iraq, Jordanie, Liban</w:t>
      </w:r>
      <w:r w:rsidR="007C5D1F">
        <w:rPr>
          <w:rFonts w:eastAsia="Calibri"/>
          <w:lang w:val="fr-FR"/>
        </w:rPr>
        <w:t xml:space="preserve"> et</w:t>
      </w:r>
      <w:r w:rsidR="005B2B67">
        <w:rPr>
          <w:rFonts w:eastAsia="Calibri"/>
          <w:lang w:val="fr-FR"/>
        </w:rPr>
        <w:t xml:space="preserve"> </w:t>
      </w:r>
      <w:r w:rsidR="00E347A8" w:rsidRPr="00F77964">
        <w:rPr>
          <w:rFonts w:eastAsia="Calibri"/>
          <w:lang w:val="fr-FR"/>
        </w:rPr>
        <w:t xml:space="preserve">République arabe syrienne </w:t>
      </w:r>
      <w:r w:rsidR="00D66005" w:rsidRPr="00F77964">
        <w:rPr>
          <w:rFonts w:eastAsia="Calibri"/>
          <w:lang w:val="fr-FR"/>
        </w:rPr>
        <w:t>(Mashriq));</w:t>
      </w:r>
    </w:p>
    <w:p w:rsidR="00D66005" w:rsidRPr="00F77964" w:rsidRDefault="00EE049A" w:rsidP="007C5D1F">
      <w:pPr>
        <w:pStyle w:val="Normalnumber"/>
        <w:ind w:left="3204" w:hanging="708"/>
        <w:rPr>
          <w:rFonts w:eastAsia="Calibri"/>
          <w:lang w:val="fr-FR"/>
        </w:rPr>
      </w:pPr>
      <w:r w:rsidRPr="00F77964">
        <w:rPr>
          <w:rFonts w:eastAsia="Calibri"/>
          <w:lang w:val="fr-FR"/>
        </w:rPr>
        <w:t>iv)</w:t>
      </w:r>
      <w:r w:rsidR="00D66005" w:rsidRPr="00F77964">
        <w:rPr>
          <w:rFonts w:eastAsia="Calibri"/>
          <w:lang w:val="fr-FR"/>
        </w:rPr>
        <w:tab/>
      </w:r>
      <w:r w:rsidR="00E347A8" w:rsidRPr="00F77964">
        <w:rPr>
          <w:rFonts w:eastAsia="Calibri"/>
          <w:lang w:val="fr-FR"/>
        </w:rPr>
        <w:t xml:space="preserve">Afrique </w:t>
      </w:r>
      <w:r w:rsidR="001B63BF" w:rsidRPr="00F77964">
        <w:rPr>
          <w:rFonts w:eastAsia="Calibri"/>
          <w:lang w:val="fr-FR"/>
        </w:rPr>
        <w:t>australe</w:t>
      </w:r>
      <w:r w:rsidR="00D66005" w:rsidRPr="00F77964">
        <w:rPr>
          <w:rFonts w:eastAsia="Calibri"/>
          <w:lang w:val="fr-FR"/>
        </w:rPr>
        <w:t xml:space="preserve"> (</w:t>
      </w:r>
      <w:r w:rsidR="00351357">
        <w:rPr>
          <w:rFonts w:eastAsia="Calibri"/>
          <w:lang w:val="fr-FR"/>
        </w:rPr>
        <w:t xml:space="preserve">Afrique du Sud, </w:t>
      </w:r>
      <w:r w:rsidR="00D66005" w:rsidRPr="00F77964">
        <w:rPr>
          <w:rFonts w:eastAsia="Calibri"/>
          <w:lang w:val="fr-FR"/>
        </w:rPr>
        <w:t>Botswana, Lesotho, Malawi, Mozambique, Namibi</w:t>
      </w:r>
      <w:r w:rsidR="00E347A8" w:rsidRPr="00F77964">
        <w:rPr>
          <w:rFonts w:eastAsia="Calibri"/>
          <w:lang w:val="fr-FR"/>
        </w:rPr>
        <w:t>e</w:t>
      </w:r>
      <w:r w:rsidR="00D66005" w:rsidRPr="00F77964">
        <w:rPr>
          <w:rFonts w:eastAsia="Calibri"/>
          <w:lang w:val="fr-FR"/>
        </w:rPr>
        <w:t>, Saint</w:t>
      </w:r>
      <w:r w:rsidR="00E347A8" w:rsidRPr="00F77964">
        <w:rPr>
          <w:rFonts w:eastAsia="Calibri"/>
          <w:lang w:val="fr-FR"/>
        </w:rPr>
        <w:t>e</w:t>
      </w:r>
      <w:r w:rsidR="006F6944" w:rsidRPr="00F77964">
        <w:rPr>
          <w:rFonts w:eastAsia="Calibri"/>
          <w:lang w:val="fr-FR"/>
        </w:rPr>
        <w:t>-</w:t>
      </w:r>
      <w:r w:rsidR="00D66005" w:rsidRPr="00F77964">
        <w:rPr>
          <w:rFonts w:eastAsia="Calibri"/>
          <w:lang w:val="fr-FR"/>
        </w:rPr>
        <w:t>H</w:t>
      </w:r>
      <w:r w:rsidR="00E347A8" w:rsidRPr="00F77964">
        <w:rPr>
          <w:rFonts w:eastAsia="Calibri"/>
          <w:lang w:val="fr-FR"/>
        </w:rPr>
        <w:t>é</w:t>
      </w:r>
      <w:r w:rsidR="00D66005" w:rsidRPr="00F77964">
        <w:rPr>
          <w:rFonts w:eastAsia="Calibri"/>
          <w:lang w:val="fr-FR"/>
        </w:rPr>
        <w:t>l</w:t>
      </w:r>
      <w:r w:rsidR="006F6944" w:rsidRPr="00F77964">
        <w:rPr>
          <w:rFonts w:eastAsia="Calibri"/>
          <w:lang w:val="fr-FR"/>
        </w:rPr>
        <w:t>ène</w:t>
      </w:r>
      <w:r w:rsidR="00D66005" w:rsidRPr="00F77964">
        <w:rPr>
          <w:rFonts w:eastAsia="Calibri"/>
          <w:lang w:val="fr-FR"/>
        </w:rPr>
        <w:t xml:space="preserve">, Swaziland, </w:t>
      </w:r>
      <w:r w:rsidR="00E347A8" w:rsidRPr="00F77964">
        <w:rPr>
          <w:rFonts w:eastAsia="Calibri"/>
          <w:lang w:val="fr-FR"/>
        </w:rPr>
        <w:t xml:space="preserve">Zambie </w:t>
      </w:r>
      <w:r w:rsidR="00C56F76" w:rsidRPr="00F77964">
        <w:rPr>
          <w:rFonts w:eastAsia="Calibri"/>
          <w:lang w:val="fr-FR"/>
        </w:rPr>
        <w:t>et Zimbabwe</w:t>
      </w:r>
      <w:r w:rsidR="00D66005" w:rsidRPr="00F77964">
        <w:rPr>
          <w:rFonts w:eastAsia="Calibri"/>
          <w:lang w:val="fr-FR"/>
        </w:rPr>
        <w:t>);</w:t>
      </w:r>
    </w:p>
    <w:p w:rsidR="00D66005" w:rsidRPr="00F77964" w:rsidRDefault="006F6944" w:rsidP="006F6944">
      <w:pPr>
        <w:pStyle w:val="Normalnumber"/>
        <w:tabs>
          <w:tab w:val="left" w:pos="624"/>
        </w:tabs>
        <w:ind w:left="2155"/>
        <w:rPr>
          <w:b/>
          <w:lang w:val="fr-FR"/>
        </w:rPr>
      </w:pPr>
      <w:r w:rsidRPr="00F77964">
        <w:rPr>
          <w:b/>
          <w:lang w:val="fr-FR"/>
        </w:rPr>
        <w:t>b)</w:t>
      </w:r>
      <w:r w:rsidRPr="00F77964">
        <w:rPr>
          <w:b/>
          <w:lang w:val="fr-FR"/>
        </w:rPr>
        <w:tab/>
      </w:r>
      <w:r w:rsidR="00D66005" w:rsidRPr="00F77964">
        <w:rPr>
          <w:b/>
          <w:lang w:val="fr-FR"/>
        </w:rPr>
        <w:t>Am</w:t>
      </w:r>
      <w:r w:rsidR="00D80789" w:rsidRPr="00F77964">
        <w:rPr>
          <w:b/>
          <w:lang w:val="fr-FR"/>
        </w:rPr>
        <w:t>érique et Caraïbes </w:t>
      </w:r>
      <w:r w:rsidR="00D66005" w:rsidRPr="00F77964">
        <w:rPr>
          <w:b/>
          <w:lang w:val="fr-FR"/>
        </w:rPr>
        <w:t>:</w:t>
      </w:r>
    </w:p>
    <w:p w:rsidR="00D66005" w:rsidRPr="007C5D1F" w:rsidRDefault="007C5D1F" w:rsidP="007C5D1F">
      <w:pPr>
        <w:pStyle w:val="Normalnumber"/>
        <w:ind w:left="3204" w:hanging="708"/>
        <w:rPr>
          <w:rFonts w:eastAsia="Calibri"/>
          <w:lang w:val="fr-FR"/>
        </w:rPr>
      </w:pPr>
      <w:r>
        <w:rPr>
          <w:rFonts w:eastAsia="Calibri"/>
          <w:lang w:val="fr-FR"/>
        </w:rPr>
        <w:t>i)</w:t>
      </w:r>
      <w:r>
        <w:rPr>
          <w:rFonts w:eastAsia="Calibri"/>
          <w:lang w:val="fr-FR"/>
        </w:rPr>
        <w:tab/>
      </w:r>
      <w:r w:rsidR="00D80789" w:rsidRPr="00F77964">
        <w:rPr>
          <w:rFonts w:eastAsia="Calibri"/>
          <w:lang w:val="fr-FR"/>
        </w:rPr>
        <w:t>Caraïbes</w:t>
      </w:r>
      <w:r w:rsidR="00D66005" w:rsidRPr="007C5D1F">
        <w:rPr>
          <w:rFonts w:eastAsia="Calibri"/>
          <w:lang w:val="fr-FR"/>
        </w:rPr>
        <w:t xml:space="preserve"> (Antigua</w:t>
      </w:r>
      <w:r w:rsidR="006F6944" w:rsidRPr="007C5D1F">
        <w:rPr>
          <w:rFonts w:eastAsia="Calibri"/>
          <w:lang w:val="fr-FR"/>
        </w:rPr>
        <w:t>-</w:t>
      </w:r>
      <w:r w:rsidR="00D80789" w:rsidRPr="007C5D1F">
        <w:rPr>
          <w:rFonts w:eastAsia="Calibri"/>
          <w:lang w:val="fr-FR"/>
        </w:rPr>
        <w:t>et</w:t>
      </w:r>
      <w:r w:rsidR="006F6944" w:rsidRPr="007C5D1F">
        <w:rPr>
          <w:rFonts w:eastAsia="Calibri"/>
          <w:lang w:val="fr-FR"/>
        </w:rPr>
        <w:t>-</w:t>
      </w:r>
      <w:r w:rsidR="00D80789" w:rsidRPr="007C5D1F">
        <w:rPr>
          <w:rFonts w:eastAsia="Calibri"/>
          <w:lang w:val="fr-FR"/>
        </w:rPr>
        <w:t>Barb</w:t>
      </w:r>
      <w:r w:rsidR="006F6944" w:rsidRPr="007C5D1F">
        <w:rPr>
          <w:rFonts w:eastAsia="Calibri"/>
          <w:lang w:val="fr-FR"/>
        </w:rPr>
        <w:t>u</w:t>
      </w:r>
      <w:r w:rsidR="00D80789" w:rsidRPr="007C5D1F">
        <w:rPr>
          <w:rFonts w:eastAsia="Calibri"/>
          <w:lang w:val="fr-FR"/>
        </w:rPr>
        <w:t>da</w:t>
      </w:r>
      <w:r w:rsidR="00D66005" w:rsidRPr="007C5D1F">
        <w:rPr>
          <w:rFonts w:eastAsia="Calibri"/>
          <w:lang w:val="fr-FR"/>
        </w:rPr>
        <w:t xml:space="preserve">, Bahamas, </w:t>
      </w:r>
      <w:r w:rsidR="00C56F76" w:rsidRPr="007C5D1F">
        <w:rPr>
          <w:rFonts w:eastAsia="Calibri"/>
          <w:lang w:val="fr-FR"/>
        </w:rPr>
        <w:t>Barbade</w:t>
      </w:r>
      <w:r w:rsidR="00D66005" w:rsidRPr="007C5D1F">
        <w:rPr>
          <w:rFonts w:eastAsia="Calibri"/>
          <w:lang w:val="fr-FR"/>
        </w:rPr>
        <w:t>, Cuba, Domini</w:t>
      </w:r>
      <w:r w:rsidR="00D80789" w:rsidRPr="007C5D1F">
        <w:rPr>
          <w:rFonts w:eastAsia="Calibri"/>
          <w:lang w:val="fr-FR"/>
        </w:rPr>
        <w:t xml:space="preserve">que, Grenade, Haïti, Jamaïque, </w:t>
      </w:r>
      <w:r w:rsidR="006F6944" w:rsidRPr="007C5D1F">
        <w:rPr>
          <w:rFonts w:eastAsia="Calibri"/>
          <w:lang w:val="fr-FR"/>
        </w:rPr>
        <w:t xml:space="preserve">République dominicaine, </w:t>
      </w:r>
      <w:r w:rsidR="00D66005" w:rsidRPr="007C5D1F">
        <w:rPr>
          <w:rFonts w:eastAsia="Calibri"/>
          <w:lang w:val="fr-FR"/>
        </w:rPr>
        <w:t>Saint</w:t>
      </w:r>
      <w:r w:rsidR="00D80789" w:rsidRPr="007C5D1F">
        <w:rPr>
          <w:rFonts w:eastAsia="Calibri"/>
          <w:lang w:val="fr-FR"/>
        </w:rPr>
        <w:t>-</w:t>
      </w:r>
      <w:r w:rsidR="00D66005" w:rsidRPr="007C5D1F">
        <w:rPr>
          <w:rFonts w:eastAsia="Calibri"/>
          <w:lang w:val="fr-FR"/>
        </w:rPr>
        <w:t>Kitts</w:t>
      </w:r>
      <w:r w:rsidR="00D80789" w:rsidRPr="007C5D1F">
        <w:rPr>
          <w:rFonts w:eastAsia="Calibri"/>
          <w:lang w:val="fr-FR"/>
        </w:rPr>
        <w:t>-et-</w:t>
      </w:r>
      <w:r w:rsidR="00D66005" w:rsidRPr="007C5D1F">
        <w:rPr>
          <w:rFonts w:eastAsia="Calibri"/>
          <w:lang w:val="fr-FR"/>
        </w:rPr>
        <w:t>Nevis, Saint</w:t>
      </w:r>
      <w:r w:rsidR="006F6944" w:rsidRPr="007C5D1F">
        <w:rPr>
          <w:rFonts w:eastAsia="Calibri"/>
          <w:lang w:val="fr-FR"/>
        </w:rPr>
        <w:t>e-</w:t>
      </w:r>
      <w:r w:rsidR="00D66005" w:rsidRPr="007C5D1F">
        <w:rPr>
          <w:rFonts w:eastAsia="Calibri"/>
          <w:lang w:val="fr-FR"/>
        </w:rPr>
        <w:t>Luci</w:t>
      </w:r>
      <w:r w:rsidR="00D80789" w:rsidRPr="007C5D1F">
        <w:rPr>
          <w:rFonts w:eastAsia="Calibri"/>
          <w:lang w:val="fr-FR"/>
        </w:rPr>
        <w:t>e</w:t>
      </w:r>
      <w:r w:rsidR="00D66005" w:rsidRPr="007C5D1F">
        <w:rPr>
          <w:rFonts w:eastAsia="Calibri"/>
          <w:lang w:val="fr-FR"/>
        </w:rPr>
        <w:t>, Saint</w:t>
      </w:r>
      <w:r w:rsidR="00D80789" w:rsidRPr="007C5D1F">
        <w:rPr>
          <w:rFonts w:eastAsia="Calibri"/>
          <w:lang w:val="fr-FR"/>
        </w:rPr>
        <w:t>-</w:t>
      </w:r>
      <w:r w:rsidR="00D66005" w:rsidRPr="007C5D1F">
        <w:rPr>
          <w:rFonts w:eastAsia="Calibri"/>
          <w:lang w:val="fr-FR"/>
        </w:rPr>
        <w:t>Vincent</w:t>
      </w:r>
      <w:r w:rsidR="006F6944" w:rsidRPr="007C5D1F">
        <w:rPr>
          <w:rFonts w:eastAsia="Calibri"/>
          <w:lang w:val="fr-FR"/>
        </w:rPr>
        <w:t>-</w:t>
      </w:r>
      <w:r w:rsidR="00D80789" w:rsidRPr="007C5D1F">
        <w:rPr>
          <w:rFonts w:eastAsia="Calibri"/>
          <w:lang w:val="fr-FR"/>
        </w:rPr>
        <w:t>et</w:t>
      </w:r>
      <w:r w:rsidR="006F6944" w:rsidRPr="007C5D1F">
        <w:rPr>
          <w:rFonts w:eastAsia="Calibri"/>
          <w:lang w:val="fr-FR"/>
        </w:rPr>
        <w:t>-</w:t>
      </w:r>
      <w:r w:rsidR="00D80789" w:rsidRPr="007C5D1F">
        <w:rPr>
          <w:rFonts w:eastAsia="Calibri"/>
          <w:lang w:val="fr-FR"/>
        </w:rPr>
        <w:t xml:space="preserve">les </w:t>
      </w:r>
      <w:r w:rsidR="00D66005" w:rsidRPr="007C5D1F">
        <w:rPr>
          <w:rFonts w:eastAsia="Calibri"/>
          <w:lang w:val="fr-FR"/>
        </w:rPr>
        <w:t xml:space="preserve">Grenadines </w:t>
      </w:r>
      <w:r w:rsidR="00D80789" w:rsidRPr="007C5D1F">
        <w:rPr>
          <w:rFonts w:eastAsia="Calibri"/>
          <w:lang w:val="fr-FR"/>
        </w:rPr>
        <w:t>et Trinité-et-Tobago);</w:t>
      </w:r>
    </w:p>
    <w:p w:rsidR="00D66005" w:rsidRPr="007C5D1F" w:rsidRDefault="006F6944" w:rsidP="007C5D1F">
      <w:pPr>
        <w:pStyle w:val="Normalnumber"/>
        <w:ind w:left="3204" w:hanging="708"/>
        <w:rPr>
          <w:rFonts w:eastAsia="Calibri"/>
          <w:lang w:val="fr-FR"/>
        </w:rPr>
      </w:pPr>
      <w:r w:rsidRPr="00F77964">
        <w:rPr>
          <w:rFonts w:eastAsia="Calibri"/>
          <w:lang w:val="fr-FR"/>
        </w:rPr>
        <w:t>ii)</w:t>
      </w:r>
      <w:r w:rsidRPr="00F77964">
        <w:rPr>
          <w:rFonts w:eastAsia="Calibri"/>
          <w:lang w:val="fr-FR"/>
        </w:rPr>
        <w:tab/>
      </w:r>
      <w:r w:rsidR="00D66005" w:rsidRPr="00F77964">
        <w:rPr>
          <w:rFonts w:eastAsia="Calibri"/>
          <w:lang w:val="fr-FR"/>
        </w:rPr>
        <w:t>M</w:t>
      </w:r>
      <w:r w:rsidR="00D80789" w:rsidRPr="00F77964">
        <w:rPr>
          <w:rFonts w:eastAsia="Calibri"/>
          <w:lang w:val="fr-FR"/>
        </w:rPr>
        <w:t>é</w:t>
      </w:r>
      <w:r w:rsidR="00D66005" w:rsidRPr="00F77964">
        <w:rPr>
          <w:rFonts w:eastAsia="Calibri"/>
          <w:lang w:val="fr-FR"/>
        </w:rPr>
        <w:t>soam</w:t>
      </w:r>
      <w:r w:rsidRPr="00F77964">
        <w:rPr>
          <w:rFonts w:eastAsia="Calibri"/>
          <w:lang w:val="fr-FR"/>
        </w:rPr>
        <w:t>é</w:t>
      </w:r>
      <w:r w:rsidR="00D66005" w:rsidRPr="00F77964">
        <w:rPr>
          <w:rFonts w:eastAsia="Calibri"/>
          <w:lang w:val="fr-FR"/>
        </w:rPr>
        <w:t>ri</w:t>
      </w:r>
      <w:r w:rsidRPr="00F77964">
        <w:rPr>
          <w:rFonts w:eastAsia="Calibri"/>
          <w:lang w:val="fr-FR"/>
        </w:rPr>
        <w:t>que</w:t>
      </w:r>
      <w:r w:rsidR="00D66005" w:rsidRPr="007C5D1F">
        <w:rPr>
          <w:rFonts w:eastAsia="Calibri"/>
          <w:lang w:val="fr-FR"/>
        </w:rPr>
        <w:t xml:space="preserve"> (</w:t>
      </w:r>
      <w:r w:rsidR="00C56F76" w:rsidRPr="007C5D1F">
        <w:rPr>
          <w:rFonts w:eastAsia="Calibri"/>
          <w:lang w:val="fr-FR"/>
        </w:rPr>
        <w:t>Belize</w:t>
      </w:r>
      <w:r w:rsidR="00D80789" w:rsidRPr="007C5D1F">
        <w:rPr>
          <w:rFonts w:eastAsia="Calibri"/>
          <w:lang w:val="fr-FR"/>
        </w:rPr>
        <w:t>,</w:t>
      </w:r>
      <w:r w:rsidR="00D66005" w:rsidRPr="007C5D1F">
        <w:rPr>
          <w:rFonts w:eastAsia="Calibri"/>
          <w:lang w:val="fr-FR"/>
        </w:rPr>
        <w:t xml:space="preserve"> Costa Rica, El Salvador, Guatemala, Honduras, Mexi</w:t>
      </w:r>
      <w:r w:rsidR="00D80789" w:rsidRPr="007C5D1F">
        <w:rPr>
          <w:rFonts w:eastAsia="Calibri"/>
          <w:lang w:val="fr-FR"/>
        </w:rPr>
        <w:t>que</w:t>
      </w:r>
      <w:r w:rsidR="00D66005" w:rsidRPr="007C5D1F">
        <w:rPr>
          <w:rFonts w:eastAsia="Calibri"/>
          <w:lang w:val="fr-FR"/>
        </w:rPr>
        <w:t xml:space="preserve">, Nicaragua </w:t>
      </w:r>
      <w:r w:rsidR="00D80789" w:rsidRPr="007C5D1F">
        <w:rPr>
          <w:rFonts w:eastAsia="Calibri"/>
          <w:lang w:val="fr-FR"/>
        </w:rPr>
        <w:t>et</w:t>
      </w:r>
      <w:r w:rsidR="00D66005" w:rsidRPr="007C5D1F">
        <w:rPr>
          <w:rFonts w:eastAsia="Calibri"/>
          <w:lang w:val="fr-FR"/>
        </w:rPr>
        <w:t xml:space="preserve"> Panama);</w:t>
      </w:r>
    </w:p>
    <w:p w:rsidR="00D66005" w:rsidRPr="007C5D1F" w:rsidRDefault="006F6944" w:rsidP="007C5D1F">
      <w:pPr>
        <w:pStyle w:val="Normalnumber"/>
        <w:ind w:left="3204" w:hanging="708"/>
        <w:rPr>
          <w:rFonts w:eastAsia="Calibri"/>
          <w:lang w:val="fr-FR"/>
        </w:rPr>
      </w:pPr>
      <w:r w:rsidRPr="007C5D1F">
        <w:rPr>
          <w:rFonts w:eastAsia="Calibri"/>
          <w:lang w:val="fr-FR"/>
        </w:rPr>
        <w:t>iii)</w:t>
      </w:r>
      <w:r w:rsidRPr="007C5D1F">
        <w:rPr>
          <w:rFonts w:eastAsia="Calibri"/>
          <w:lang w:val="fr-FR"/>
        </w:rPr>
        <w:tab/>
      </w:r>
      <w:r w:rsidR="00D80789" w:rsidRPr="007C5D1F">
        <w:rPr>
          <w:rFonts w:eastAsia="Calibri"/>
          <w:lang w:val="fr-FR"/>
        </w:rPr>
        <w:t>Amérique du Sud</w:t>
      </w:r>
      <w:r w:rsidR="00D66005" w:rsidRPr="007C5D1F">
        <w:rPr>
          <w:rFonts w:eastAsia="Calibri"/>
          <w:lang w:val="fr-FR"/>
        </w:rPr>
        <w:t xml:space="preserve"> (Argentin</w:t>
      </w:r>
      <w:r w:rsidR="00D80789" w:rsidRPr="007C5D1F">
        <w:rPr>
          <w:rFonts w:eastAsia="Calibri"/>
          <w:lang w:val="fr-FR"/>
        </w:rPr>
        <w:t>e</w:t>
      </w:r>
      <w:r w:rsidR="00D66005" w:rsidRPr="007C5D1F">
        <w:rPr>
          <w:rFonts w:eastAsia="Calibri"/>
          <w:lang w:val="fr-FR"/>
        </w:rPr>
        <w:t>, Bolivi</w:t>
      </w:r>
      <w:r w:rsidR="00D80789" w:rsidRPr="007C5D1F">
        <w:rPr>
          <w:rFonts w:eastAsia="Calibri"/>
          <w:lang w:val="fr-FR"/>
        </w:rPr>
        <w:t>e</w:t>
      </w:r>
      <w:r w:rsidR="00D66005" w:rsidRPr="007C5D1F">
        <w:rPr>
          <w:rFonts w:eastAsia="Calibri"/>
          <w:lang w:val="fr-FR"/>
        </w:rPr>
        <w:t xml:space="preserve"> (</w:t>
      </w:r>
      <w:r w:rsidR="00C56F76" w:rsidRPr="007C5D1F">
        <w:rPr>
          <w:rFonts w:eastAsia="Calibri"/>
          <w:lang w:val="fr-FR"/>
        </w:rPr>
        <w:t>État</w:t>
      </w:r>
      <w:r w:rsidR="00D80789" w:rsidRPr="007C5D1F">
        <w:rPr>
          <w:rFonts w:eastAsia="Calibri"/>
          <w:lang w:val="fr-FR"/>
        </w:rPr>
        <w:t xml:space="preserve"> </w:t>
      </w:r>
      <w:r w:rsidR="00D66005" w:rsidRPr="007C5D1F">
        <w:rPr>
          <w:rFonts w:eastAsia="Calibri"/>
          <w:lang w:val="fr-FR"/>
        </w:rPr>
        <w:t xml:space="preserve">Plurinational </w:t>
      </w:r>
      <w:r w:rsidR="00D80789" w:rsidRPr="007C5D1F">
        <w:rPr>
          <w:rFonts w:eastAsia="Calibri"/>
          <w:lang w:val="fr-FR"/>
        </w:rPr>
        <w:t>de</w:t>
      </w:r>
      <w:r w:rsidR="00D66005" w:rsidRPr="007C5D1F">
        <w:rPr>
          <w:rFonts w:eastAsia="Calibri"/>
          <w:lang w:val="fr-FR"/>
        </w:rPr>
        <w:t>), Br</w:t>
      </w:r>
      <w:r w:rsidR="00D80789" w:rsidRPr="007C5D1F">
        <w:rPr>
          <w:rFonts w:eastAsia="Calibri"/>
          <w:lang w:val="fr-FR"/>
        </w:rPr>
        <w:t xml:space="preserve">ésil, Chili, Colombie, </w:t>
      </w:r>
      <w:r w:rsidR="00C56F76" w:rsidRPr="007C5D1F">
        <w:rPr>
          <w:rFonts w:eastAsia="Calibri"/>
          <w:lang w:val="fr-FR"/>
        </w:rPr>
        <w:t>Équateur</w:t>
      </w:r>
      <w:r w:rsidR="00D80789" w:rsidRPr="007C5D1F">
        <w:rPr>
          <w:rFonts w:eastAsia="Calibri"/>
          <w:lang w:val="fr-FR"/>
        </w:rPr>
        <w:t xml:space="preserve">, Guyana, Paraguay, Pérou, </w:t>
      </w:r>
      <w:r w:rsidR="00D66005" w:rsidRPr="007C5D1F">
        <w:rPr>
          <w:rFonts w:eastAsia="Calibri"/>
          <w:lang w:val="fr-FR"/>
        </w:rPr>
        <w:t xml:space="preserve">Suriname, Uruguay </w:t>
      </w:r>
      <w:r w:rsidR="00D80789" w:rsidRPr="007C5D1F">
        <w:rPr>
          <w:rFonts w:eastAsia="Calibri"/>
          <w:lang w:val="fr-FR"/>
        </w:rPr>
        <w:t>et</w:t>
      </w:r>
      <w:r w:rsidR="00D66005" w:rsidRPr="007C5D1F">
        <w:rPr>
          <w:rFonts w:eastAsia="Calibri"/>
          <w:lang w:val="fr-FR"/>
        </w:rPr>
        <w:t xml:space="preserve"> </w:t>
      </w:r>
      <w:r w:rsidR="00C56F76" w:rsidRPr="007C5D1F">
        <w:rPr>
          <w:rFonts w:eastAsia="Calibri"/>
          <w:lang w:val="fr-FR"/>
        </w:rPr>
        <w:t>Venezuela</w:t>
      </w:r>
      <w:r w:rsidR="00D66005" w:rsidRPr="007C5D1F">
        <w:rPr>
          <w:rFonts w:eastAsia="Calibri"/>
          <w:lang w:val="fr-FR"/>
        </w:rPr>
        <w:t xml:space="preserve"> (</w:t>
      </w:r>
      <w:r w:rsidR="00C56F76" w:rsidRPr="007C5D1F">
        <w:rPr>
          <w:rFonts w:eastAsia="Calibri"/>
          <w:lang w:val="fr-FR"/>
        </w:rPr>
        <w:t>République</w:t>
      </w:r>
      <w:r w:rsidR="00D80789" w:rsidRPr="007C5D1F">
        <w:rPr>
          <w:rFonts w:eastAsia="Calibri"/>
          <w:lang w:val="fr-FR"/>
        </w:rPr>
        <w:t xml:space="preserve"> bolivarienne de</w:t>
      </w:r>
      <w:r w:rsidR="00D66005" w:rsidRPr="007C5D1F">
        <w:rPr>
          <w:rFonts w:eastAsia="Calibri"/>
          <w:lang w:val="fr-FR"/>
        </w:rPr>
        <w:t>));</w:t>
      </w:r>
    </w:p>
    <w:p w:rsidR="00D66005" w:rsidRPr="007C5D1F" w:rsidRDefault="006F6944" w:rsidP="007C5D1F">
      <w:pPr>
        <w:pStyle w:val="Normalnumber"/>
        <w:ind w:left="3204" w:hanging="708"/>
        <w:rPr>
          <w:rFonts w:eastAsia="Calibri"/>
          <w:lang w:val="fr-FR"/>
        </w:rPr>
      </w:pPr>
      <w:r w:rsidRPr="007C5D1F">
        <w:rPr>
          <w:rFonts w:eastAsia="Calibri"/>
          <w:lang w:val="fr-FR"/>
        </w:rPr>
        <w:t>iv)</w:t>
      </w:r>
      <w:r w:rsidRPr="007C5D1F">
        <w:rPr>
          <w:rFonts w:eastAsia="Calibri"/>
          <w:lang w:val="fr-FR"/>
        </w:rPr>
        <w:tab/>
      </w:r>
      <w:r w:rsidR="00D80789" w:rsidRPr="007C5D1F">
        <w:rPr>
          <w:rFonts w:eastAsia="Calibri"/>
          <w:lang w:val="fr-FR"/>
        </w:rPr>
        <w:t>Amérique du Nord</w:t>
      </w:r>
      <w:r w:rsidR="00D66005" w:rsidRPr="007C5D1F">
        <w:rPr>
          <w:rFonts w:eastAsia="Calibri"/>
          <w:lang w:val="fr-FR"/>
        </w:rPr>
        <w:t xml:space="preserve"> (Canada </w:t>
      </w:r>
      <w:r w:rsidR="00D80789" w:rsidRPr="007C5D1F">
        <w:rPr>
          <w:rFonts w:eastAsia="Calibri"/>
          <w:lang w:val="fr-FR"/>
        </w:rPr>
        <w:t xml:space="preserve">et </w:t>
      </w:r>
      <w:r w:rsidR="00C56F76" w:rsidRPr="007C5D1F">
        <w:rPr>
          <w:rFonts w:eastAsia="Calibri"/>
          <w:lang w:val="fr-FR"/>
        </w:rPr>
        <w:t>États-Unis</w:t>
      </w:r>
      <w:r w:rsidR="00D80789" w:rsidRPr="007C5D1F">
        <w:rPr>
          <w:rFonts w:eastAsia="Calibri"/>
          <w:lang w:val="fr-FR"/>
        </w:rPr>
        <w:t xml:space="preserve"> d’Amérique</w:t>
      </w:r>
      <w:r w:rsidR="00D66005" w:rsidRPr="007C5D1F">
        <w:rPr>
          <w:rFonts w:eastAsia="Calibri"/>
          <w:lang w:val="fr-FR"/>
        </w:rPr>
        <w:t>)</w:t>
      </w:r>
      <w:r w:rsidR="00D80789" w:rsidRPr="007C5D1F">
        <w:rPr>
          <w:rFonts w:eastAsia="Calibri"/>
          <w:lang w:val="fr-FR"/>
        </w:rPr>
        <w:t> </w:t>
      </w:r>
      <w:r w:rsidR="00D66005" w:rsidRPr="007C5D1F">
        <w:rPr>
          <w:rFonts w:eastAsia="Calibri"/>
          <w:lang w:val="fr-FR"/>
        </w:rPr>
        <w:t>;</w:t>
      </w:r>
    </w:p>
    <w:p w:rsidR="00D66005" w:rsidRPr="00F77964" w:rsidRDefault="006F6944" w:rsidP="006F6944">
      <w:pPr>
        <w:pStyle w:val="Normalnumber"/>
        <w:tabs>
          <w:tab w:val="left" w:pos="624"/>
        </w:tabs>
        <w:ind w:left="2155"/>
        <w:rPr>
          <w:b/>
          <w:lang w:val="fr-FR"/>
        </w:rPr>
      </w:pPr>
      <w:r w:rsidRPr="00F77964">
        <w:rPr>
          <w:b/>
          <w:lang w:val="fr-FR"/>
        </w:rPr>
        <w:t>c)</w:t>
      </w:r>
      <w:r w:rsidRPr="00F77964">
        <w:rPr>
          <w:b/>
          <w:lang w:val="fr-FR"/>
        </w:rPr>
        <w:tab/>
      </w:r>
      <w:r w:rsidR="00D66005" w:rsidRPr="00F77964">
        <w:rPr>
          <w:b/>
          <w:lang w:val="fr-FR"/>
        </w:rPr>
        <w:t>Asi</w:t>
      </w:r>
      <w:r w:rsidR="00D80789" w:rsidRPr="00F77964">
        <w:rPr>
          <w:b/>
          <w:lang w:val="fr-FR"/>
        </w:rPr>
        <w:t>e et Pacifique </w:t>
      </w:r>
      <w:r w:rsidR="00D66005" w:rsidRPr="00F77964">
        <w:rPr>
          <w:b/>
          <w:lang w:val="fr-FR"/>
        </w:rPr>
        <w:t>:</w:t>
      </w:r>
    </w:p>
    <w:p w:rsidR="00D66005" w:rsidRPr="007C5D1F" w:rsidRDefault="00E45E89" w:rsidP="007C5D1F">
      <w:pPr>
        <w:pStyle w:val="Normalnumber"/>
        <w:ind w:left="3204" w:hanging="708"/>
        <w:rPr>
          <w:rFonts w:eastAsia="Calibri"/>
          <w:lang w:val="fr-FR"/>
        </w:rPr>
      </w:pPr>
      <w:r w:rsidRPr="00F77964">
        <w:rPr>
          <w:lang w:val="fr-FR"/>
        </w:rPr>
        <w:t>i)</w:t>
      </w:r>
      <w:r w:rsidRPr="00F77964">
        <w:rPr>
          <w:lang w:val="fr-FR"/>
        </w:rPr>
        <w:tab/>
      </w:r>
      <w:r w:rsidR="00D66005" w:rsidRPr="007C5D1F">
        <w:rPr>
          <w:rFonts w:eastAsia="Calibri"/>
          <w:lang w:val="fr-FR"/>
        </w:rPr>
        <w:t>Australasi</w:t>
      </w:r>
      <w:r w:rsidR="00F17490" w:rsidRPr="007C5D1F">
        <w:rPr>
          <w:rFonts w:eastAsia="Calibri"/>
          <w:lang w:val="fr-FR"/>
        </w:rPr>
        <w:t>e</w:t>
      </w:r>
      <w:r w:rsidR="00F17490" w:rsidRPr="00F77964">
        <w:rPr>
          <w:rFonts w:eastAsia="Calibri"/>
          <w:lang w:val="fr-FR"/>
        </w:rPr>
        <w:t xml:space="preserve"> et Pacifique Sud</w:t>
      </w:r>
      <w:r w:rsidR="00D66005" w:rsidRPr="007C5D1F">
        <w:rPr>
          <w:rFonts w:eastAsia="Calibri"/>
          <w:lang w:val="fr-FR"/>
        </w:rPr>
        <w:t xml:space="preserve"> (Australi</w:t>
      </w:r>
      <w:r w:rsidR="00F17490" w:rsidRPr="007C5D1F">
        <w:rPr>
          <w:rFonts w:eastAsia="Calibri"/>
          <w:lang w:val="fr-FR"/>
        </w:rPr>
        <w:t>e, Nouvelle-Zélande; Fidji</w:t>
      </w:r>
      <w:r w:rsidR="00D66005" w:rsidRPr="007C5D1F">
        <w:rPr>
          <w:rFonts w:eastAsia="Calibri"/>
          <w:lang w:val="fr-FR"/>
        </w:rPr>
        <w:t xml:space="preserve">, </w:t>
      </w:r>
      <w:r w:rsidR="0012462C">
        <w:rPr>
          <w:rFonts w:eastAsia="Calibri"/>
          <w:lang w:val="fr-FR"/>
        </w:rPr>
        <w:t>Îles Marshall, Î</w:t>
      </w:r>
      <w:r w:rsidR="00F17490" w:rsidRPr="007C5D1F">
        <w:rPr>
          <w:rFonts w:eastAsia="Calibri"/>
          <w:lang w:val="fr-FR"/>
        </w:rPr>
        <w:t xml:space="preserve">les Salomon, </w:t>
      </w:r>
      <w:r w:rsidR="00D66005" w:rsidRPr="007C5D1F">
        <w:rPr>
          <w:rFonts w:eastAsia="Calibri"/>
          <w:lang w:val="fr-FR"/>
        </w:rPr>
        <w:t>Kiribati, Micron</w:t>
      </w:r>
      <w:r w:rsidR="00F17490" w:rsidRPr="007C5D1F">
        <w:rPr>
          <w:rFonts w:eastAsia="Calibri"/>
          <w:lang w:val="fr-FR"/>
        </w:rPr>
        <w:t>ésie</w:t>
      </w:r>
      <w:r w:rsidR="00D66005" w:rsidRPr="007C5D1F">
        <w:rPr>
          <w:rFonts w:eastAsia="Calibri"/>
          <w:lang w:val="fr-FR"/>
        </w:rPr>
        <w:t xml:space="preserve"> (</w:t>
      </w:r>
      <w:r w:rsidR="00C56F76" w:rsidRPr="007C5D1F">
        <w:rPr>
          <w:rFonts w:eastAsia="Calibri"/>
          <w:lang w:val="fr-FR"/>
        </w:rPr>
        <w:t>États</w:t>
      </w:r>
      <w:r w:rsidR="00F17490" w:rsidRPr="007C5D1F">
        <w:rPr>
          <w:rFonts w:eastAsia="Calibri"/>
          <w:lang w:val="fr-FR"/>
        </w:rPr>
        <w:t xml:space="preserve"> fédérés de</w:t>
      </w:r>
      <w:r w:rsidR="00D66005" w:rsidRPr="007C5D1F">
        <w:rPr>
          <w:rFonts w:eastAsia="Calibri"/>
          <w:lang w:val="fr-FR"/>
        </w:rPr>
        <w:t>), Nauru, Pala</w:t>
      </w:r>
      <w:r w:rsidRPr="007C5D1F">
        <w:rPr>
          <w:rFonts w:eastAsia="Calibri"/>
          <w:lang w:val="fr-FR"/>
        </w:rPr>
        <w:t>os</w:t>
      </w:r>
      <w:r w:rsidR="00D66005" w:rsidRPr="007C5D1F">
        <w:rPr>
          <w:rFonts w:eastAsia="Calibri"/>
          <w:lang w:val="fr-FR"/>
        </w:rPr>
        <w:t xml:space="preserve">, </w:t>
      </w:r>
      <w:r w:rsidR="00F17490" w:rsidRPr="007C5D1F">
        <w:rPr>
          <w:rFonts w:eastAsia="Calibri"/>
          <w:lang w:val="fr-FR"/>
        </w:rPr>
        <w:t xml:space="preserve">Papouasie-Nouvelle-Guinée, </w:t>
      </w:r>
      <w:r w:rsidR="00D66005" w:rsidRPr="007C5D1F">
        <w:rPr>
          <w:rFonts w:eastAsia="Calibri"/>
          <w:lang w:val="fr-FR"/>
        </w:rPr>
        <w:t xml:space="preserve">Samoa, Tonga, Tuvalu </w:t>
      </w:r>
      <w:r w:rsidR="00F17490" w:rsidRPr="007C5D1F">
        <w:rPr>
          <w:rFonts w:eastAsia="Calibri"/>
          <w:lang w:val="fr-FR"/>
        </w:rPr>
        <w:t>et</w:t>
      </w:r>
      <w:r w:rsidR="00D66005" w:rsidRPr="007C5D1F">
        <w:rPr>
          <w:rFonts w:eastAsia="Calibri"/>
          <w:lang w:val="fr-FR"/>
        </w:rPr>
        <w:t xml:space="preserve"> Vanuatu);</w:t>
      </w:r>
    </w:p>
    <w:p w:rsidR="00D66005" w:rsidRPr="007C5D1F" w:rsidRDefault="00E45E89" w:rsidP="007C5D1F">
      <w:pPr>
        <w:pStyle w:val="Normalnumber"/>
        <w:ind w:left="3204" w:hanging="708"/>
        <w:rPr>
          <w:rFonts w:eastAsia="Calibri"/>
          <w:lang w:val="fr-FR"/>
        </w:rPr>
      </w:pPr>
      <w:r w:rsidRPr="007C5D1F">
        <w:rPr>
          <w:rFonts w:eastAsia="Calibri"/>
          <w:lang w:val="fr-FR"/>
        </w:rPr>
        <w:t>ii)</w:t>
      </w:r>
      <w:r w:rsidR="00D66005" w:rsidRPr="007C5D1F">
        <w:rPr>
          <w:rFonts w:eastAsia="Calibri"/>
          <w:lang w:val="fr-FR"/>
        </w:rPr>
        <w:tab/>
      </w:r>
      <w:r w:rsidR="00F17490" w:rsidRPr="007C5D1F">
        <w:rPr>
          <w:rFonts w:eastAsia="Calibri"/>
          <w:lang w:val="fr-FR"/>
        </w:rPr>
        <w:t>Asie du Nord-Est</w:t>
      </w:r>
      <w:r w:rsidR="00D66005" w:rsidRPr="007C5D1F">
        <w:rPr>
          <w:rFonts w:eastAsia="Calibri"/>
          <w:lang w:val="fr-FR"/>
        </w:rPr>
        <w:t xml:space="preserve"> (Chin</w:t>
      </w:r>
      <w:r w:rsidR="00F17490" w:rsidRPr="007C5D1F">
        <w:rPr>
          <w:rFonts w:eastAsia="Calibri"/>
          <w:lang w:val="fr-FR"/>
        </w:rPr>
        <w:t>e</w:t>
      </w:r>
      <w:r w:rsidR="00D66005" w:rsidRPr="007C5D1F">
        <w:rPr>
          <w:rFonts w:eastAsia="Calibri"/>
          <w:lang w:val="fr-FR"/>
        </w:rPr>
        <w:t xml:space="preserve">, </w:t>
      </w:r>
      <w:r w:rsidR="00F17490" w:rsidRPr="007C5D1F">
        <w:rPr>
          <w:rFonts w:eastAsia="Calibri"/>
          <w:lang w:val="fr-FR"/>
        </w:rPr>
        <w:t>Japon, Mongolie, République de Corée</w:t>
      </w:r>
      <w:r w:rsidR="007C5D1F">
        <w:rPr>
          <w:rFonts w:eastAsia="Calibri"/>
          <w:lang w:val="fr-FR"/>
        </w:rPr>
        <w:t xml:space="preserve"> et</w:t>
      </w:r>
      <w:r w:rsidR="00F17490" w:rsidRPr="007C5D1F">
        <w:rPr>
          <w:rFonts w:eastAsia="Calibri"/>
          <w:lang w:val="fr-FR"/>
        </w:rPr>
        <w:t xml:space="preserve"> République démocratique populaire de Corée) ;</w:t>
      </w:r>
    </w:p>
    <w:p w:rsidR="00D66005" w:rsidRPr="00F77964" w:rsidRDefault="00E45E89" w:rsidP="007C5D1F">
      <w:pPr>
        <w:pStyle w:val="Normalnumber"/>
        <w:ind w:left="3204" w:hanging="708"/>
        <w:rPr>
          <w:rFonts w:eastAsia="Calibri"/>
          <w:lang w:val="fr-FR"/>
        </w:rPr>
      </w:pPr>
      <w:r w:rsidRPr="00F77964">
        <w:rPr>
          <w:rFonts w:eastAsia="Calibri"/>
          <w:lang w:val="fr-FR"/>
        </w:rPr>
        <w:t>iii)</w:t>
      </w:r>
      <w:r w:rsidR="00D66005" w:rsidRPr="00F77964">
        <w:rPr>
          <w:rFonts w:eastAsia="Calibri"/>
          <w:lang w:val="fr-FR"/>
        </w:rPr>
        <w:tab/>
      </w:r>
      <w:r w:rsidR="00F17490" w:rsidRPr="00F77964">
        <w:rPr>
          <w:rFonts w:eastAsia="Calibri"/>
          <w:lang w:val="fr-FR"/>
        </w:rPr>
        <w:t>Asie du Sud</w:t>
      </w:r>
      <w:r w:rsidR="00D66005" w:rsidRPr="00F77964">
        <w:rPr>
          <w:rFonts w:eastAsia="Calibri"/>
          <w:lang w:val="fr-FR"/>
        </w:rPr>
        <w:t xml:space="preserve"> (Afghanistan, Bangladesh, Bh</w:t>
      </w:r>
      <w:r w:rsidR="00F17490" w:rsidRPr="00F77964">
        <w:rPr>
          <w:rFonts w:eastAsia="Calibri"/>
          <w:lang w:val="fr-FR"/>
        </w:rPr>
        <w:t>ou</w:t>
      </w:r>
      <w:r w:rsidR="00D66005" w:rsidRPr="00F77964">
        <w:rPr>
          <w:rFonts w:eastAsia="Calibri"/>
          <w:lang w:val="fr-FR"/>
        </w:rPr>
        <w:t>tan, Ind</w:t>
      </w:r>
      <w:r w:rsidR="00F17490" w:rsidRPr="00F77964">
        <w:rPr>
          <w:rFonts w:eastAsia="Calibri"/>
          <w:lang w:val="fr-FR"/>
        </w:rPr>
        <w:t>e</w:t>
      </w:r>
      <w:r w:rsidR="00D66005" w:rsidRPr="00F77964">
        <w:rPr>
          <w:rFonts w:eastAsia="Calibri"/>
          <w:lang w:val="fr-FR"/>
        </w:rPr>
        <w:t>, Iran (</w:t>
      </w:r>
      <w:r w:rsidR="00F17490" w:rsidRPr="00F77964">
        <w:rPr>
          <w:rFonts w:eastAsia="Calibri"/>
          <w:lang w:val="fr-FR"/>
        </w:rPr>
        <w:t>République islamique de</w:t>
      </w:r>
      <w:r w:rsidR="00D66005" w:rsidRPr="00F77964">
        <w:rPr>
          <w:rFonts w:eastAsia="Calibri"/>
          <w:lang w:val="fr-FR"/>
        </w:rPr>
        <w:t>), Maldives, N</w:t>
      </w:r>
      <w:r w:rsidR="00F17490" w:rsidRPr="00F77964">
        <w:rPr>
          <w:rFonts w:eastAsia="Calibri"/>
          <w:lang w:val="fr-FR"/>
        </w:rPr>
        <w:t>é</w:t>
      </w:r>
      <w:r w:rsidR="00D66005" w:rsidRPr="00F77964">
        <w:rPr>
          <w:rFonts w:eastAsia="Calibri"/>
          <w:lang w:val="fr-FR"/>
        </w:rPr>
        <w:t xml:space="preserve">pal, Pakistan </w:t>
      </w:r>
      <w:r w:rsidR="00F17490" w:rsidRPr="00F77964">
        <w:rPr>
          <w:rFonts w:eastAsia="Calibri"/>
          <w:lang w:val="fr-FR"/>
        </w:rPr>
        <w:t>et</w:t>
      </w:r>
      <w:r w:rsidR="00D66005" w:rsidRPr="00F77964">
        <w:rPr>
          <w:rFonts w:eastAsia="Calibri"/>
          <w:lang w:val="fr-FR"/>
        </w:rPr>
        <w:t xml:space="preserve"> Sri Lanka);</w:t>
      </w:r>
    </w:p>
    <w:p w:rsidR="00D66005" w:rsidRPr="00F77964" w:rsidRDefault="00E45E89" w:rsidP="007C5D1F">
      <w:pPr>
        <w:pStyle w:val="Normalnumber"/>
        <w:ind w:left="3204" w:hanging="708"/>
        <w:rPr>
          <w:rFonts w:eastAsia="Calibri"/>
          <w:lang w:val="fr-FR"/>
        </w:rPr>
      </w:pPr>
      <w:r w:rsidRPr="00F77964">
        <w:rPr>
          <w:rFonts w:eastAsia="Calibri"/>
          <w:lang w:val="fr-FR"/>
        </w:rPr>
        <w:t>iv)</w:t>
      </w:r>
      <w:r w:rsidR="00D66005" w:rsidRPr="00F77964">
        <w:rPr>
          <w:rFonts w:eastAsia="Calibri"/>
          <w:lang w:val="fr-FR"/>
        </w:rPr>
        <w:tab/>
      </w:r>
      <w:r w:rsidR="00A969EB" w:rsidRPr="00F77964">
        <w:rPr>
          <w:rFonts w:eastAsia="Calibri"/>
          <w:lang w:val="fr-FR"/>
        </w:rPr>
        <w:t>Asie du Sud-Est</w:t>
      </w:r>
      <w:r w:rsidR="00D66005" w:rsidRPr="00F77964">
        <w:rPr>
          <w:rFonts w:eastAsia="Calibri"/>
          <w:lang w:val="fr-FR"/>
        </w:rPr>
        <w:t xml:space="preserve"> (Brunei Darussalam, </w:t>
      </w:r>
      <w:r w:rsidR="00A969EB" w:rsidRPr="00F77964">
        <w:rPr>
          <w:rFonts w:eastAsia="Calibri"/>
          <w:lang w:val="fr-FR"/>
        </w:rPr>
        <w:t xml:space="preserve">Cambodge, Indonésie, </w:t>
      </w:r>
      <w:r w:rsidR="007C5D1F">
        <w:rPr>
          <w:rFonts w:eastAsia="Calibri"/>
          <w:lang w:val="fr-FR"/>
        </w:rPr>
        <w:t>Î</w:t>
      </w:r>
      <w:r w:rsidR="00A969EB" w:rsidRPr="00F77964">
        <w:rPr>
          <w:rFonts w:eastAsia="Calibri"/>
          <w:lang w:val="fr-FR"/>
        </w:rPr>
        <w:t xml:space="preserve">le </w:t>
      </w:r>
      <w:r w:rsidR="00D66005" w:rsidRPr="00F77964">
        <w:rPr>
          <w:rFonts w:eastAsia="Calibri"/>
          <w:lang w:val="fr-FR"/>
        </w:rPr>
        <w:t>Christmas</w:t>
      </w:r>
      <w:r w:rsidR="00A969EB" w:rsidRPr="00F77964">
        <w:rPr>
          <w:rFonts w:eastAsia="Calibri"/>
          <w:lang w:val="fr-FR"/>
        </w:rPr>
        <w:t xml:space="preserve">, Malaisie, </w:t>
      </w:r>
      <w:r w:rsidR="00D66005" w:rsidRPr="00F77964">
        <w:rPr>
          <w:rFonts w:eastAsia="Calibri"/>
          <w:lang w:val="fr-FR"/>
        </w:rPr>
        <w:t xml:space="preserve">Myanmar, Philippines, </w:t>
      </w:r>
      <w:r w:rsidR="00A969EB" w:rsidRPr="00F77964">
        <w:rPr>
          <w:rFonts w:eastAsia="Calibri"/>
          <w:lang w:val="fr-FR"/>
        </w:rPr>
        <w:t xml:space="preserve">République démocratique populaire </w:t>
      </w:r>
      <w:r w:rsidRPr="00F77964">
        <w:rPr>
          <w:rFonts w:eastAsia="Calibri"/>
          <w:lang w:val="fr-FR"/>
        </w:rPr>
        <w:t>l</w:t>
      </w:r>
      <w:r w:rsidR="00A969EB" w:rsidRPr="00F77964">
        <w:rPr>
          <w:rFonts w:eastAsia="Calibri"/>
          <w:lang w:val="fr-FR"/>
        </w:rPr>
        <w:t xml:space="preserve">ao, Singapour, Thaïlande, </w:t>
      </w:r>
      <w:r w:rsidR="00D66005" w:rsidRPr="00F77964">
        <w:rPr>
          <w:rFonts w:eastAsia="Calibri"/>
          <w:lang w:val="fr-FR"/>
        </w:rPr>
        <w:t xml:space="preserve">Timor-Leste </w:t>
      </w:r>
      <w:r w:rsidR="00A969EB" w:rsidRPr="00F77964">
        <w:rPr>
          <w:rFonts w:eastAsia="Calibri"/>
          <w:lang w:val="fr-FR"/>
        </w:rPr>
        <w:t>et</w:t>
      </w:r>
      <w:r w:rsidR="00D66005" w:rsidRPr="00F77964">
        <w:rPr>
          <w:rFonts w:eastAsia="Calibri"/>
          <w:lang w:val="fr-FR"/>
        </w:rPr>
        <w:t xml:space="preserve"> Viet Nam);</w:t>
      </w:r>
    </w:p>
    <w:p w:rsidR="00D66005" w:rsidRPr="00F77964" w:rsidRDefault="00E45E89" w:rsidP="00E45E89">
      <w:pPr>
        <w:pStyle w:val="Normalnumber"/>
        <w:tabs>
          <w:tab w:val="left" w:pos="624"/>
        </w:tabs>
        <w:ind w:left="2155"/>
        <w:rPr>
          <w:b/>
          <w:lang w:val="fr-FR"/>
        </w:rPr>
      </w:pPr>
      <w:r w:rsidRPr="00F77964">
        <w:rPr>
          <w:b/>
          <w:lang w:val="fr-FR"/>
        </w:rPr>
        <w:t>d)</w:t>
      </w:r>
      <w:r w:rsidRPr="00F77964">
        <w:rPr>
          <w:b/>
          <w:lang w:val="fr-FR"/>
        </w:rPr>
        <w:tab/>
      </w:r>
      <w:r w:rsidR="00D66005" w:rsidRPr="00F77964">
        <w:rPr>
          <w:b/>
          <w:lang w:val="fr-FR"/>
        </w:rPr>
        <w:t xml:space="preserve">Europe </w:t>
      </w:r>
      <w:r w:rsidR="00A969EB" w:rsidRPr="00F77964">
        <w:rPr>
          <w:b/>
          <w:lang w:val="fr-FR"/>
        </w:rPr>
        <w:t>et Asie centrale :</w:t>
      </w:r>
      <w:r w:rsidR="00D66005" w:rsidRPr="00F77964">
        <w:rPr>
          <w:b/>
          <w:lang w:val="fr-FR"/>
        </w:rPr>
        <w:t xml:space="preserve"> </w:t>
      </w:r>
    </w:p>
    <w:p w:rsidR="00D66005" w:rsidRPr="00F77964" w:rsidRDefault="00E45E89" w:rsidP="007C5D1F">
      <w:pPr>
        <w:pStyle w:val="Normalnumber"/>
        <w:ind w:left="3204" w:hanging="708"/>
        <w:rPr>
          <w:rFonts w:eastAsia="Calibri"/>
          <w:lang w:val="fr-FR"/>
        </w:rPr>
      </w:pPr>
      <w:r w:rsidRPr="00F77964">
        <w:rPr>
          <w:rFonts w:eastAsia="Calibri"/>
          <w:lang w:val="fr-FR"/>
        </w:rPr>
        <w:t>i)</w:t>
      </w:r>
      <w:r w:rsidR="00D66005" w:rsidRPr="00F77964">
        <w:rPr>
          <w:rFonts w:eastAsia="Calibri"/>
          <w:lang w:val="fr-FR"/>
        </w:rPr>
        <w:tab/>
      </w:r>
      <w:r w:rsidR="00A969EB" w:rsidRPr="00F77964">
        <w:rPr>
          <w:rFonts w:eastAsia="Calibri"/>
          <w:lang w:val="fr-FR"/>
        </w:rPr>
        <w:t>Asie centrale et Europe de l’Est</w:t>
      </w:r>
      <w:r w:rsidR="00D66005" w:rsidRPr="00F77964">
        <w:rPr>
          <w:rFonts w:eastAsia="Calibri"/>
          <w:lang w:val="fr-FR"/>
        </w:rPr>
        <w:t xml:space="preserve"> (Kazakhstan, </w:t>
      </w:r>
      <w:r w:rsidR="00A969EB" w:rsidRPr="00F77964">
        <w:rPr>
          <w:rFonts w:eastAsia="Calibri"/>
          <w:lang w:val="fr-FR"/>
        </w:rPr>
        <w:t xml:space="preserve">Kirghizistan, </w:t>
      </w:r>
      <w:r w:rsidR="00C56F76" w:rsidRPr="00F77964">
        <w:rPr>
          <w:rFonts w:eastAsia="Calibri"/>
          <w:lang w:val="fr-FR"/>
        </w:rPr>
        <w:t>Ouzbékistan</w:t>
      </w:r>
      <w:r w:rsidR="00A969EB" w:rsidRPr="00F77964">
        <w:rPr>
          <w:rFonts w:eastAsia="Calibri"/>
          <w:lang w:val="fr-FR"/>
        </w:rPr>
        <w:t xml:space="preserve">, </w:t>
      </w:r>
      <w:r w:rsidR="00C56F76" w:rsidRPr="00F77964">
        <w:rPr>
          <w:rFonts w:eastAsia="Calibri"/>
          <w:lang w:val="fr-FR"/>
        </w:rPr>
        <w:t>Tadjikistan</w:t>
      </w:r>
      <w:r w:rsidR="00A969EB" w:rsidRPr="00F77964">
        <w:rPr>
          <w:rFonts w:eastAsia="Calibri"/>
          <w:lang w:val="fr-FR"/>
        </w:rPr>
        <w:t xml:space="preserve"> et</w:t>
      </w:r>
      <w:r w:rsidR="00D66005" w:rsidRPr="00F77964">
        <w:rPr>
          <w:rFonts w:eastAsia="Calibri"/>
          <w:lang w:val="fr-FR"/>
        </w:rPr>
        <w:t xml:space="preserve"> </w:t>
      </w:r>
      <w:r w:rsidR="00C56F76" w:rsidRPr="00F77964">
        <w:rPr>
          <w:rFonts w:eastAsia="Calibri"/>
          <w:lang w:val="fr-FR"/>
        </w:rPr>
        <w:t>Turkménistan</w:t>
      </w:r>
      <w:r w:rsidR="00A969EB" w:rsidRPr="00F77964">
        <w:rPr>
          <w:rFonts w:eastAsia="Calibri"/>
          <w:lang w:val="fr-FR"/>
        </w:rPr>
        <w:t xml:space="preserve">; Arménie, </w:t>
      </w:r>
      <w:r w:rsidR="00C56F76" w:rsidRPr="00F77964">
        <w:rPr>
          <w:rFonts w:eastAsia="Calibri"/>
          <w:lang w:val="fr-FR"/>
        </w:rPr>
        <w:t>Azerbaïdjan</w:t>
      </w:r>
      <w:r w:rsidR="00D66005" w:rsidRPr="00F77964">
        <w:rPr>
          <w:rFonts w:eastAsia="Calibri"/>
          <w:lang w:val="fr-FR"/>
        </w:rPr>
        <w:t xml:space="preserve">, </w:t>
      </w:r>
      <w:r w:rsidR="00C56F76" w:rsidRPr="00F77964">
        <w:rPr>
          <w:rFonts w:eastAsia="Calibri"/>
          <w:lang w:val="fr-FR"/>
        </w:rPr>
        <w:t>B</w:t>
      </w:r>
      <w:r w:rsidRPr="00F77964">
        <w:rPr>
          <w:rFonts w:eastAsia="Calibri"/>
          <w:lang w:val="fr-FR"/>
        </w:rPr>
        <w:t>é</w:t>
      </w:r>
      <w:r w:rsidR="00C56F76" w:rsidRPr="00F77964">
        <w:rPr>
          <w:rFonts w:eastAsia="Calibri"/>
          <w:lang w:val="fr-FR"/>
        </w:rPr>
        <w:t>larus</w:t>
      </w:r>
      <w:r w:rsidR="00D66005" w:rsidRPr="00F77964">
        <w:rPr>
          <w:rFonts w:eastAsia="Calibri"/>
          <w:lang w:val="fr-FR"/>
        </w:rPr>
        <w:t xml:space="preserve">, </w:t>
      </w:r>
      <w:r w:rsidR="00A969EB" w:rsidRPr="00F77964">
        <w:rPr>
          <w:rFonts w:eastAsia="Calibri"/>
          <w:lang w:val="fr-FR"/>
        </w:rPr>
        <w:t xml:space="preserve">Fédération de Russie, </w:t>
      </w:r>
      <w:r w:rsidR="00C56F76" w:rsidRPr="00F77964">
        <w:rPr>
          <w:rFonts w:eastAsia="Calibri"/>
          <w:lang w:val="fr-FR"/>
        </w:rPr>
        <w:t>Géorgie</w:t>
      </w:r>
      <w:r w:rsidR="00D66005" w:rsidRPr="00F77964">
        <w:rPr>
          <w:rFonts w:eastAsia="Calibri"/>
          <w:lang w:val="fr-FR"/>
        </w:rPr>
        <w:t xml:space="preserve">, </w:t>
      </w:r>
      <w:r w:rsidR="00A969EB" w:rsidRPr="00F77964">
        <w:rPr>
          <w:rFonts w:eastAsia="Calibri"/>
          <w:lang w:val="fr-FR"/>
        </w:rPr>
        <w:t>République de Moldova et</w:t>
      </w:r>
      <w:r w:rsidR="00D66005" w:rsidRPr="00F77964">
        <w:rPr>
          <w:rFonts w:eastAsia="Calibri"/>
          <w:lang w:val="fr-FR"/>
        </w:rPr>
        <w:t xml:space="preserve"> Ukraine);</w:t>
      </w:r>
    </w:p>
    <w:p w:rsidR="00D66005" w:rsidRPr="00F77964" w:rsidRDefault="00E45E89" w:rsidP="007C5D1F">
      <w:pPr>
        <w:pStyle w:val="Normalnumber"/>
        <w:ind w:left="3204" w:hanging="708"/>
        <w:rPr>
          <w:rFonts w:eastAsia="Calibri"/>
          <w:lang w:val="fr-FR"/>
        </w:rPr>
      </w:pPr>
      <w:r w:rsidRPr="00F77964">
        <w:rPr>
          <w:rFonts w:eastAsia="Calibri"/>
          <w:lang w:val="fr-FR"/>
        </w:rPr>
        <w:lastRenderedPageBreak/>
        <w:t>ii)</w:t>
      </w:r>
      <w:r w:rsidR="00D66005" w:rsidRPr="00F77964">
        <w:rPr>
          <w:rFonts w:eastAsia="Calibri"/>
          <w:lang w:val="fr-FR"/>
        </w:rPr>
        <w:tab/>
      </w:r>
      <w:r w:rsidR="00C275FB" w:rsidRPr="00F77964">
        <w:rPr>
          <w:rFonts w:eastAsia="Calibri"/>
          <w:lang w:val="fr-FR"/>
        </w:rPr>
        <w:t>Europe centrale et Europe de l’Ouest</w:t>
      </w:r>
      <w:r w:rsidR="00D66005" w:rsidRPr="00F77964">
        <w:rPr>
          <w:rFonts w:eastAsia="Calibri"/>
          <w:lang w:val="fr-FR"/>
        </w:rPr>
        <w:t xml:space="preserve"> (Albani</w:t>
      </w:r>
      <w:r w:rsidR="00C275FB" w:rsidRPr="00F77964">
        <w:rPr>
          <w:rFonts w:eastAsia="Calibri"/>
          <w:lang w:val="fr-FR"/>
        </w:rPr>
        <w:t>e</w:t>
      </w:r>
      <w:r w:rsidR="00D66005" w:rsidRPr="00F77964">
        <w:rPr>
          <w:rFonts w:eastAsia="Calibri"/>
          <w:lang w:val="fr-FR"/>
        </w:rPr>
        <w:t>, Bosni</w:t>
      </w:r>
      <w:r w:rsidR="00C275FB" w:rsidRPr="00F77964">
        <w:rPr>
          <w:rFonts w:eastAsia="Calibri"/>
          <w:lang w:val="fr-FR"/>
        </w:rPr>
        <w:t>e-Herzégovine, Bulgarie, Chypre, Croatie, Estonie, Hongrie, Lettonie, Lituanie, Monténégro, Pologne, Roumanie, Serbie, Slovaquie, Slovénie, République tchèque, ex</w:t>
      </w:r>
      <w:r w:rsidRPr="00F77964">
        <w:rPr>
          <w:rFonts w:eastAsia="Calibri"/>
          <w:lang w:val="fr-FR"/>
        </w:rPr>
        <w:t>-</w:t>
      </w:r>
      <w:r w:rsidR="00C275FB" w:rsidRPr="00F77964">
        <w:rPr>
          <w:rFonts w:eastAsia="Calibri"/>
          <w:lang w:val="fr-FR"/>
        </w:rPr>
        <w:t xml:space="preserve">République Yougoslave de Macédoine et Turquie ; Allemagne, Andorre, Autriche, Belgique, Danemark, Espagne, Finlande, </w:t>
      </w:r>
      <w:r w:rsidR="005627E0" w:rsidRPr="00F77964">
        <w:rPr>
          <w:rFonts w:eastAsia="Calibri"/>
          <w:lang w:val="fr-FR"/>
        </w:rPr>
        <w:t>France,</w:t>
      </w:r>
      <w:r w:rsidR="00C275FB" w:rsidRPr="00F77964">
        <w:rPr>
          <w:rFonts w:eastAsia="Calibri"/>
          <w:lang w:val="fr-FR"/>
        </w:rPr>
        <w:t xml:space="preserve"> Grèce, Irlande, Islande, Israël, Italie, </w:t>
      </w:r>
      <w:r w:rsidR="00D66005" w:rsidRPr="00F77964">
        <w:rPr>
          <w:rFonts w:eastAsia="Calibri"/>
          <w:lang w:val="fr-FR"/>
        </w:rPr>
        <w:t>Liechtenstein, Luxembourg, Malt</w:t>
      </w:r>
      <w:r w:rsidR="00C275FB" w:rsidRPr="00F77964">
        <w:rPr>
          <w:rFonts w:eastAsia="Calibri"/>
          <w:lang w:val="fr-FR"/>
        </w:rPr>
        <w:t xml:space="preserve">e, Monaco, Norvège, Pays-Bas, Portugal, Royaume-Uni de Grande-Bretagne et d’Irlande du Nord, </w:t>
      </w:r>
      <w:r w:rsidR="00E04F77" w:rsidRPr="00F77964">
        <w:rPr>
          <w:rFonts w:eastAsia="Calibri"/>
          <w:lang w:val="fr-FR"/>
        </w:rPr>
        <w:t xml:space="preserve">Saint-Marin, </w:t>
      </w:r>
      <w:r w:rsidR="007C5D1F">
        <w:rPr>
          <w:rFonts w:eastAsia="Calibri"/>
          <w:lang w:val="fr-FR"/>
        </w:rPr>
        <w:t>Suède et Suisse)</w:t>
      </w:r>
    </w:p>
    <w:p w:rsidR="00D66005" w:rsidRPr="00F77964" w:rsidRDefault="00E04F77" w:rsidP="00E04F77">
      <w:pPr>
        <w:pStyle w:val="Normalnumber"/>
        <w:tabs>
          <w:tab w:val="left" w:pos="624"/>
        </w:tabs>
        <w:ind w:left="2155"/>
        <w:rPr>
          <w:b/>
          <w:lang w:val="fr-FR"/>
        </w:rPr>
      </w:pPr>
      <w:r w:rsidRPr="00F77964">
        <w:rPr>
          <w:b/>
          <w:lang w:val="fr-FR"/>
        </w:rPr>
        <w:t>e)</w:t>
      </w:r>
      <w:r w:rsidRPr="00F77964">
        <w:rPr>
          <w:b/>
          <w:lang w:val="fr-FR"/>
        </w:rPr>
        <w:tab/>
        <w:t>Régions</w:t>
      </w:r>
      <w:r w:rsidR="00C275FB" w:rsidRPr="00F77964">
        <w:rPr>
          <w:b/>
          <w:lang w:val="fr-FR"/>
        </w:rPr>
        <w:t xml:space="preserve"> polaire</w:t>
      </w:r>
      <w:r w:rsidRPr="00F77964">
        <w:rPr>
          <w:b/>
          <w:lang w:val="fr-FR"/>
        </w:rPr>
        <w:t>s</w:t>
      </w:r>
      <w:r w:rsidR="00C275FB" w:rsidRPr="00F77964">
        <w:rPr>
          <w:b/>
          <w:lang w:val="fr-FR"/>
        </w:rPr>
        <w:t> :</w:t>
      </w:r>
    </w:p>
    <w:p w:rsidR="00D66005" w:rsidRPr="007C5D1F" w:rsidRDefault="00F77964" w:rsidP="007C5D1F">
      <w:pPr>
        <w:pStyle w:val="Normalnumber"/>
        <w:ind w:left="2496"/>
        <w:rPr>
          <w:rFonts w:eastAsia="Calibri"/>
          <w:lang w:val="fr-FR"/>
        </w:rPr>
      </w:pPr>
      <w:r w:rsidRPr="007C5D1F">
        <w:rPr>
          <w:rFonts w:eastAsia="Calibri"/>
          <w:lang w:val="fr-FR"/>
        </w:rPr>
        <w:t>Arctique</w:t>
      </w:r>
      <w:r w:rsidR="00C275FB" w:rsidRPr="007C5D1F">
        <w:rPr>
          <w:rFonts w:eastAsia="Calibri"/>
          <w:lang w:val="fr-FR"/>
        </w:rPr>
        <w:t xml:space="preserve"> et Antarctique</w:t>
      </w:r>
      <w:r w:rsidR="00D66005" w:rsidRPr="007C5D1F">
        <w:rPr>
          <w:rFonts w:eastAsia="Calibri"/>
          <w:lang w:val="fr-FR"/>
        </w:rPr>
        <w:t xml:space="preserve"> (</w:t>
      </w:r>
      <w:r w:rsidR="00C275FB" w:rsidRPr="007C5D1F">
        <w:rPr>
          <w:rFonts w:eastAsia="Calibri"/>
          <w:lang w:val="fr-FR"/>
        </w:rPr>
        <w:t xml:space="preserve">en coopération avec </w:t>
      </w:r>
      <w:r w:rsidR="00E04F77" w:rsidRPr="007C5D1F">
        <w:rPr>
          <w:rFonts w:eastAsia="Calibri"/>
          <w:lang w:val="fr-FR"/>
        </w:rPr>
        <w:t>l</w:t>
      </w:r>
      <w:r w:rsidR="00C275FB" w:rsidRPr="007C5D1F">
        <w:rPr>
          <w:rFonts w:eastAsia="Calibri"/>
          <w:lang w:val="fr-FR"/>
        </w:rPr>
        <w:t xml:space="preserve">es organisations </w:t>
      </w:r>
      <w:r w:rsidRPr="007C5D1F">
        <w:rPr>
          <w:rFonts w:eastAsia="Calibri"/>
          <w:lang w:val="fr-FR"/>
        </w:rPr>
        <w:t>concernées</w:t>
      </w:r>
      <w:r w:rsidR="00C275FB" w:rsidRPr="007C5D1F">
        <w:rPr>
          <w:rFonts w:eastAsia="Calibri"/>
          <w:lang w:val="fr-FR"/>
        </w:rPr>
        <w:t xml:space="preserve"> comme le Conseil </w:t>
      </w:r>
      <w:r w:rsidR="00E04F77" w:rsidRPr="007C5D1F">
        <w:rPr>
          <w:rFonts w:eastAsia="Calibri"/>
          <w:lang w:val="fr-FR"/>
        </w:rPr>
        <w:t>de l’</w:t>
      </w:r>
      <w:r w:rsidR="00C275FB" w:rsidRPr="007C5D1F">
        <w:rPr>
          <w:rFonts w:eastAsia="Calibri"/>
          <w:lang w:val="fr-FR"/>
        </w:rPr>
        <w:t xml:space="preserve">Arctique, le Comité scientifique </w:t>
      </w:r>
      <w:r w:rsidR="00E04F77" w:rsidRPr="007C5D1F">
        <w:rPr>
          <w:rFonts w:eastAsia="Calibri"/>
          <w:lang w:val="fr-FR"/>
        </w:rPr>
        <w:t>pour</w:t>
      </w:r>
      <w:r w:rsidR="00C275FB" w:rsidRPr="007C5D1F">
        <w:rPr>
          <w:rFonts w:eastAsia="Calibri"/>
          <w:lang w:val="fr-FR"/>
        </w:rPr>
        <w:t xml:space="preserve"> la recherche antarctique et les pays du Traité </w:t>
      </w:r>
      <w:r w:rsidR="00E04F77" w:rsidRPr="007C5D1F">
        <w:rPr>
          <w:rFonts w:eastAsia="Calibri"/>
          <w:lang w:val="fr-FR"/>
        </w:rPr>
        <w:t>sur</w:t>
      </w:r>
      <w:r w:rsidR="00C275FB" w:rsidRPr="007C5D1F">
        <w:rPr>
          <w:rFonts w:eastAsia="Calibri"/>
          <w:lang w:val="fr-FR"/>
        </w:rPr>
        <w:t xml:space="preserve"> l’Antarctique</w:t>
      </w:r>
      <w:r w:rsidR="00D66005" w:rsidRPr="007C5D1F">
        <w:rPr>
          <w:rFonts w:eastAsia="Calibri"/>
          <w:lang w:val="fr-FR"/>
        </w:rPr>
        <w:t>).</w:t>
      </w:r>
    </w:p>
    <w:p w:rsidR="00D66005" w:rsidRPr="00F77964" w:rsidRDefault="00805C5A" w:rsidP="00D66005">
      <w:pPr>
        <w:pStyle w:val="Normalnumber"/>
        <w:tabs>
          <w:tab w:val="left" w:pos="624"/>
        </w:tabs>
        <w:ind w:left="1247"/>
        <w:rPr>
          <w:lang w:val="fr-FR"/>
        </w:rPr>
      </w:pPr>
      <w:r w:rsidRPr="00F77964">
        <w:rPr>
          <w:lang w:val="fr-FR"/>
        </w:rPr>
        <w:t>Les membres du Groupe d’experts multidisciplinaire et du Bureau su</w:t>
      </w:r>
      <w:r w:rsidR="00E04F77" w:rsidRPr="00F77964">
        <w:rPr>
          <w:lang w:val="fr-FR"/>
        </w:rPr>
        <w:t>perviseront</w:t>
      </w:r>
      <w:r w:rsidRPr="00F77964">
        <w:rPr>
          <w:lang w:val="fr-FR"/>
        </w:rPr>
        <w:t xml:space="preserve"> les contributions </w:t>
      </w:r>
      <w:r w:rsidR="00C97219" w:rsidRPr="00F77964">
        <w:rPr>
          <w:lang w:val="fr-FR"/>
        </w:rPr>
        <w:t>apportées à la Plénière pour l’exercice de</w:t>
      </w:r>
      <w:r w:rsidRPr="00F77964">
        <w:rPr>
          <w:lang w:val="fr-FR"/>
        </w:rPr>
        <w:t xml:space="preserve"> cadrage, </w:t>
      </w:r>
      <w:r w:rsidR="00E04F77" w:rsidRPr="00F77964">
        <w:rPr>
          <w:lang w:val="fr-FR"/>
        </w:rPr>
        <w:t xml:space="preserve">comme </w:t>
      </w:r>
      <w:r w:rsidRPr="00F77964">
        <w:rPr>
          <w:lang w:val="fr-FR"/>
        </w:rPr>
        <w:t xml:space="preserve">indiqué au paragraphe 19 ci-dessous. </w:t>
      </w:r>
      <w:r w:rsidR="00C97219" w:rsidRPr="00F77964">
        <w:rPr>
          <w:lang w:val="fr-FR"/>
        </w:rPr>
        <w:t xml:space="preserve">Des experts sous-régionaux réaliseront des études de cadrage de la plupart </w:t>
      </w:r>
      <w:r w:rsidRPr="00F77964">
        <w:rPr>
          <w:lang w:val="fr-FR"/>
        </w:rPr>
        <w:t xml:space="preserve">des évaluations sous-régionales parallèlement aux réunions régionales. </w:t>
      </w:r>
      <w:r w:rsidR="00C97219" w:rsidRPr="00F77964">
        <w:rPr>
          <w:lang w:val="fr-FR"/>
        </w:rPr>
        <w:t>Pour c</w:t>
      </w:r>
      <w:r w:rsidRPr="00F77964">
        <w:rPr>
          <w:lang w:val="fr-FR"/>
        </w:rPr>
        <w:t>ertaines évaluations sous-régionales</w:t>
      </w:r>
      <w:r w:rsidR="00C97219" w:rsidRPr="00F77964">
        <w:rPr>
          <w:lang w:val="fr-FR"/>
        </w:rPr>
        <w:t>, des réunions de cadrage spécifiques pourront être organisées</w:t>
      </w:r>
      <w:r w:rsidRPr="00F77964">
        <w:rPr>
          <w:lang w:val="fr-FR"/>
        </w:rPr>
        <w:t xml:space="preserve">. Les membres du Groupe d’experts </w:t>
      </w:r>
      <w:r w:rsidR="00200881" w:rsidRPr="00F77964">
        <w:rPr>
          <w:lang w:val="fr-FR"/>
        </w:rPr>
        <w:t>multi</w:t>
      </w:r>
      <w:r w:rsidRPr="00F77964">
        <w:rPr>
          <w:lang w:val="fr-FR"/>
        </w:rPr>
        <w:t>disciplinaire et du Bureau su</w:t>
      </w:r>
      <w:r w:rsidR="00E04F77" w:rsidRPr="00F77964">
        <w:rPr>
          <w:lang w:val="fr-FR"/>
        </w:rPr>
        <w:t>perviseront</w:t>
      </w:r>
      <w:r w:rsidRPr="00F77964">
        <w:rPr>
          <w:lang w:val="fr-FR"/>
        </w:rPr>
        <w:t xml:space="preserve"> l’établissement de groupes d’experts dotés d’un </w:t>
      </w:r>
      <w:r w:rsidR="004621EA">
        <w:rPr>
          <w:lang w:val="fr-FR"/>
        </w:rPr>
        <w:t>mandat précis</w:t>
      </w:r>
      <w:r w:rsidRPr="00F77964">
        <w:rPr>
          <w:lang w:val="fr-FR"/>
        </w:rPr>
        <w:t xml:space="preserve"> </w:t>
      </w:r>
      <w:r w:rsidR="004621EA">
        <w:rPr>
          <w:lang w:val="fr-FR"/>
        </w:rPr>
        <w:t>à durée déterminée</w:t>
      </w:r>
      <w:r w:rsidRPr="00F77964">
        <w:rPr>
          <w:lang w:val="fr-FR"/>
        </w:rPr>
        <w:t xml:space="preserve"> pour chaque évaluation sous-régionale, dans lesquels siègeront </w:t>
      </w:r>
      <w:r w:rsidR="00E04F77" w:rsidRPr="00F77964">
        <w:rPr>
          <w:lang w:val="fr-FR"/>
        </w:rPr>
        <w:t>d</w:t>
      </w:r>
      <w:r w:rsidRPr="00F77964">
        <w:rPr>
          <w:lang w:val="fr-FR"/>
        </w:rPr>
        <w:t xml:space="preserve">es </w:t>
      </w:r>
      <w:r w:rsidR="006E337B">
        <w:rPr>
          <w:lang w:val="fr-FR"/>
        </w:rPr>
        <w:t>coprésidents</w:t>
      </w:r>
      <w:r w:rsidR="00E04F77" w:rsidRPr="00F77964">
        <w:rPr>
          <w:lang w:val="fr-FR"/>
        </w:rPr>
        <w:t xml:space="preserve"> des équipes chargés des rapports</w:t>
      </w:r>
      <w:r w:rsidRPr="00F77964">
        <w:rPr>
          <w:lang w:val="fr-FR"/>
        </w:rPr>
        <w:t xml:space="preserve">, </w:t>
      </w:r>
      <w:r w:rsidR="00E04F77" w:rsidRPr="00F77964">
        <w:rPr>
          <w:lang w:val="fr-FR"/>
        </w:rPr>
        <w:t>d</w:t>
      </w:r>
      <w:r w:rsidRPr="00F77964">
        <w:rPr>
          <w:lang w:val="fr-FR"/>
        </w:rPr>
        <w:t xml:space="preserve">es auteurs coordonnateurs principaux, </w:t>
      </w:r>
      <w:r w:rsidR="00E04F77" w:rsidRPr="00F77964">
        <w:rPr>
          <w:lang w:val="fr-FR"/>
        </w:rPr>
        <w:t>d</w:t>
      </w:r>
      <w:r w:rsidRPr="00F77964">
        <w:rPr>
          <w:lang w:val="fr-FR"/>
        </w:rPr>
        <w:t xml:space="preserve">es auteurs principaux (60 experts) et </w:t>
      </w:r>
      <w:r w:rsidR="00E04F77" w:rsidRPr="00F77964">
        <w:rPr>
          <w:lang w:val="fr-FR"/>
        </w:rPr>
        <w:t>d</w:t>
      </w:r>
      <w:r w:rsidRPr="00F77964">
        <w:rPr>
          <w:lang w:val="fr-FR"/>
        </w:rPr>
        <w:t xml:space="preserve">es éditeurs-réviseurs (10 experts). Le </w:t>
      </w:r>
      <w:r w:rsidR="00E04F77" w:rsidRPr="00F77964">
        <w:rPr>
          <w:lang w:val="fr-FR"/>
        </w:rPr>
        <w:t>g</w:t>
      </w:r>
      <w:r w:rsidRPr="00F77964">
        <w:rPr>
          <w:lang w:val="fr-FR"/>
        </w:rPr>
        <w:t xml:space="preserve">roupe d’experts sera choisi conformément </w:t>
      </w:r>
      <w:r w:rsidR="00E702C7" w:rsidRPr="00F77964">
        <w:rPr>
          <w:lang w:val="fr-FR"/>
        </w:rPr>
        <w:t xml:space="preserve">aux procédures pour l’établissement, l’examen, l’acceptation, l’adoption, l’approbation et la publication des rapports d’évaluation et d’autres produits de la Plateforme </w:t>
      </w:r>
      <w:r w:rsidR="00880207" w:rsidRPr="00F77964">
        <w:rPr>
          <w:lang w:val="fr-FR"/>
        </w:rPr>
        <w:t xml:space="preserve">(voir </w:t>
      </w:r>
      <w:r w:rsidR="00D66005" w:rsidRPr="00F77964">
        <w:rPr>
          <w:lang w:val="fr-FR"/>
        </w:rPr>
        <w:t xml:space="preserve">IPBES/2/9) </w:t>
      </w:r>
      <w:r w:rsidR="00880207" w:rsidRPr="00F77964">
        <w:rPr>
          <w:lang w:val="fr-FR"/>
        </w:rPr>
        <w:t xml:space="preserve">et travaillera </w:t>
      </w:r>
      <w:r w:rsidR="008E0096" w:rsidRPr="00F77964">
        <w:rPr>
          <w:lang w:val="fr-FR"/>
        </w:rPr>
        <w:t xml:space="preserve">sur la base des </w:t>
      </w:r>
      <w:r w:rsidR="00880207" w:rsidRPr="00F77964">
        <w:rPr>
          <w:lang w:val="fr-FR"/>
        </w:rPr>
        <w:t xml:space="preserve">mêmes procédures. On part de l’hypothèse que les évaluations seront élaborées en étroite coopération avec les institutions existantes concernées aux niveaux régional et sous-régional, comme indiqué dans la procédure de cadrage. Le </w:t>
      </w:r>
      <w:r w:rsidR="008E0096" w:rsidRPr="00F77964">
        <w:rPr>
          <w:lang w:val="fr-FR"/>
        </w:rPr>
        <w:t>s</w:t>
      </w:r>
      <w:r w:rsidR="00880207" w:rsidRPr="00F77964">
        <w:rPr>
          <w:lang w:val="fr-FR"/>
        </w:rPr>
        <w:t xml:space="preserve">ecrétariat </w:t>
      </w:r>
      <w:r w:rsidR="00F77964" w:rsidRPr="00F77964">
        <w:rPr>
          <w:lang w:val="fr-FR"/>
        </w:rPr>
        <w:t>conclura</w:t>
      </w:r>
      <w:r w:rsidR="00880207" w:rsidRPr="00F77964">
        <w:rPr>
          <w:lang w:val="fr-FR"/>
        </w:rPr>
        <w:t xml:space="preserve"> des accords avec des institutions partenaires pour la fourniture d’un </w:t>
      </w:r>
      <w:r w:rsidR="00F16D98">
        <w:rPr>
          <w:lang w:val="fr-FR"/>
        </w:rPr>
        <w:t>appui technique approuvé</w:t>
      </w:r>
      <w:r w:rsidR="00880207" w:rsidRPr="00F77964">
        <w:rPr>
          <w:lang w:val="fr-FR"/>
        </w:rPr>
        <w:t xml:space="preserve"> par le Bureau. L’appui technique sera financé en partie par la </w:t>
      </w:r>
      <w:r w:rsidR="008E0096" w:rsidRPr="00F77964">
        <w:rPr>
          <w:lang w:val="fr-FR"/>
        </w:rPr>
        <w:t>P</w:t>
      </w:r>
      <w:r w:rsidR="00880207" w:rsidRPr="00F77964">
        <w:rPr>
          <w:lang w:val="fr-FR"/>
        </w:rPr>
        <w:t xml:space="preserve">lateforme et en partie par </w:t>
      </w:r>
      <w:r w:rsidR="008E0096" w:rsidRPr="00F77964">
        <w:rPr>
          <w:lang w:val="fr-FR"/>
        </w:rPr>
        <w:t>l</w:t>
      </w:r>
      <w:r w:rsidR="00880207" w:rsidRPr="00F77964">
        <w:rPr>
          <w:lang w:val="fr-FR"/>
        </w:rPr>
        <w:t>es contributions en nature approu</w:t>
      </w:r>
      <w:r w:rsidR="007A1CDF">
        <w:rPr>
          <w:lang w:val="fr-FR"/>
        </w:rPr>
        <w:t>vées par la Plénière (voir paragraphe</w:t>
      </w:r>
      <w:r w:rsidR="00880207" w:rsidRPr="00F77964">
        <w:rPr>
          <w:lang w:val="fr-FR"/>
        </w:rPr>
        <w:t> 20 ci-après).</w:t>
      </w:r>
    </w:p>
    <w:p w:rsidR="00D66005" w:rsidRPr="00F77964" w:rsidRDefault="00D66005" w:rsidP="00D66005">
      <w:pPr>
        <w:pStyle w:val="CH3"/>
        <w:spacing w:before="240"/>
        <w:rPr>
          <w:rFonts w:eastAsia="SimSun"/>
          <w:lang w:val="fr-FR" w:eastAsia="zh-CN"/>
        </w:rPr>
      </w:pPr>
      <w:r w:rsidRPr="00F77964">
        <w:rPr>
          <w:rFonts w:eastAsia="SimSun"/>
          <w:lang w:val="fr-FR" w:eastAsia="zh-CN"/>
        </w:rPr>
        <w:tab/>
      </w:r>
      <w:r w:rsidRPr="00F77964">
        <w:rPr>
          <w:rFonts w:eastAsia="SimSun"/>
          <w:lang w:val="fr-FR" w:eastAsia="zh-CN"/>
        </w:rPr>
        <w:tab/>
      </w:r>
      <w:r w:rsidR="0048412B" w:rsidRPr="00F77964">
        <w:rPr>
          <w:rFonts w:eastAsia="SimSun"/>
          <w:lang w:val="fr-FR" w:eastAsia="zh-CN"/>
        </w:rPr>
        <w:t xml:space="preserve">Actions, étapes intermédiaires et dispositions institutionnelles </w:t>
      </w:r>
    </w:p>
    <w:p w:rsidR="00D66005" w:rsidRPr="00F77964" w:rsidRDefault="00F4565D" w:rsidP="00D66005">
      <w:pPr>
        <w:pStyle w:val="Normalnumber"/>
        <w:numPr>
          <w:ilvl w:val="0"/>
          <w:numId w:val="6"/>
        </w:numPr>
        <w:tabs>
          <w:tab w:val="left" w:pos="624"/>
        </w:tabs>
        <w:ind w:left="1247" w:firstLine="0"/>
        <w:rPr>
          <w:lang w:val="fr-FR"/>
        </w:rPr>
      </w:pPr>
      <w:r w:rsidRPr="00F77964">
        <w:rPr>
          <w:lang w:val="fr-FR"/>
        </w:rPr>
        <w:t>Les actions à mener sont indiquées ci-après</w:t>
      </w:r>
      <w:r w:rsidR="005E035A" w:rsidRPr="00F77964">
        <w:rPr>
          <w:lang w:val="fr-FR"/>
        </w:rPr>
        <w:t> :</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395"/>
        <w:gridCol w:w="5951"/>
      </w:tblGrid>
      <w:tr w:rsidR="00D66005" w:rsidRPr="0061490E" w:rsidTr="00D66005">
        <w:trPr>
          <w:trHeight w:val="267"/>
          <w:tblHeader/>
        </w:trPr>
        <w:tc>
          <w:tcPr>
            <w:tcW w:w="2121" w:type="dxa"/>
            <w:gridSpan w:val="2"/>
            <w:tcBorders>
              <w:top w:val="single" w:sz="4" w:space="0" w:color="auto"/>
              <w:left w:val="single" w:sz="4" w:space="0" w:color="auto"/>
              <w:bottom w:val="single" w:sz="4" w:space="0" w:color="auto"/>
              <w:right w:val="single" w:sz="4" w:space="0" w:color="auto"/>
            </w:tcBorders>
            <w:hideMark/>
          </w:tcPr>
          <w:p w:rsidR="00D66005" w:rsidRPr="00F77964" w:rsidRDefault="005E035A" w:rsidP="005E035A">
            <w:pPr>
              <w:pStyle w:val="Normal-pool"/>
              <w:keepNext/>
              <w:keepLines/>
              <w:spacing w:before="40" w:after="40"/>
              <w:rPr>
                <w:rFonts w:eastAsia="SimSun"/>
                <w:sz w:val="18"/>
                <w:szCs w:val="18"/>
                <w:lang w:eastAsia="zh-CN"/>
              </w:rPr>
            </w:pPr>
            <w:r w:rsidRPr="00F77964">
              <w:rPr>
                <w:rFonts w:eastAsia="SimSun"/>
                <w:i/>
                <w:sz w:val="18"/>
                <w:szCs w:val="18"/>
                <w:lang w:eastAsia="zh-CN"/>
              </w:rPr>
              <w:t>Calendrier</w:t>
            </w:r>
          </w:p>
        </w:tc>
        <w:tc>
          <w:tcPr>
            <w:tcW w:w="6636"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5E035A" w:rsidP="005E035A">
            <w:pPr>
              <w:pStyle w:val="Normal-pool"/>
              <w:keepNext/>
              <w:keepLines/>
              <w:spacing w:before="40" w:after="40"/>
              <w:rPr>
                <w:rFonts w:eastAsia="SimSun"/>
                <w:sz w:val="18"/>
                <w:szCs w:val="18"/>
                <w:lang w:eastAsia="zh-CN"/>
              </w:rPr>
            </w:pPr>
            <w:r w:rsidRPr="00F77964">
              <w:rPr>
                <w:rFonts w:eastAsia="SimSun"/>
                <w:i/>
                <w:sz w:val="18"/>
                <w:szCs w:val="18"/>
                <w:lang w:eastAsia="zh-CN"/>
              </w:rPr>
              <w:t>Actions/dispositions institutionnelles</w:t>
            </w:r>
          </w:p>
        </w:tc>
      </w:tr>
      <w:tr w:rsidR="00D66005" w:rsidRPr="0061490E" w:rsidTr="00933E80">
        <w:trPr>
          <w:trHeight w:val="584"/>
        </w:trPr>
        <w:tc>
          <w:tcPr>
            <w:tcW w:w="659" w:type="dxa"/>
            <w:tcBorders>
              <w:top w:val="single" w:sz="4" w:space="0" w:color="auto"/>
              <w:left w:val="single" w:sz="4" w:space="0" w:color="auto"/>
              <w:bottom w:val="single" w:sz="4" w:space="0" w:color="auto"/>
              <w:right w:val="single" w:sz="4" w:space="0" w:color="auto"/>
            </w:tcBorders>
            <w:hideMark/>
          </w:tcPr>
          <w:p w:rsidR="00D66005" w:rsidRPr="00F77964" w:rsidRDefault="00D66005" w:rsidP="00933E80">
            <w:pPr>
              <w:pStyle w:val="Normal-pool"/>
              <w:keepNext/>
              <w:keepLines/>
              <w:spacing w:before="40" w:after="40"/>
              <w:rPr>
                <w:rFonts w:eastAsia="SimSun"/>
                <w:sz w:val="18"/>
                <w:szCs w:val="18"/>
                <w:lang w:eastAsia="zh-CN"/>
              </w:rPr>
            </w:pPr>
            <w:r w:rsidRPr="00F77964">
              <w:rPr>
                <w:rFonts w:eastAsia="SimSun"/>
                <w:sz w:val="18"/>
                <w:szCs w:val="18"/>
                <w:lang w:eastAsia="zh-CN"/>
              </w:rPr>
              <w:t>2013</w:t>
            </w:r>
          </w:p>
        </w:tc>
        <w:tc>
          <w:tcPr>
            <w:tcW w:w="1462" w:type="dxa"/>
            <w:tcBorders>
              <w:top w:val="single" w:sz="4" w:space="0" w:color="auto"/>
              <w:left w:val="single" w:sz="4" w:space="0" w:color="auto"/>
              <w:bottom w:val="single" w:sz="4" w:space="0" w:color="auto"/>
              <w:right w:val="single" w:sz="4" w:space="0" w:color="auto"/>
            </w:tcBorders>
            <w:hideMark/>
          </w:tcPr>
          <w:p w:rsidR="00D66005" w:rsidRPr="00F77964" w:rsidRDefault="005E035A" w:rsidP="00933E80">
            <w:pPr>
              <w:pStyle w:val="Normal-pool"/>
              <w:keepNext/>
              <w:keepLines/>
              <w:spacing w:before="40" w:after="40"/>
              <w:rPr>
                <w:rFonts w:eastAsia="SimSun"/>
                <w:sz w:val="18"/>
                <w:szCs w:val="18"/>
                <w:lang w:eastAsia="zh-CN"/>
              </w:rPr>
            </w:pPr>
            <w:r w:rsidRPr="00F77964">
              <w:rPr>
                <w:rFonts w:eastAsia="SimSun"/>
                <w:sz w:val="18"/>
                <w:szCs w:val="18"/>
                <w:lang w:eastAsia="zh-CN"/>
              </w:rPr>
              <w:t>Quatrième trimestre</w:t>
            </w:r>
          </w:p>
        </w:tc>
        <w:tc>
          <w:tcPr>
            <w:tcW w:w="6636" w:type="dxa"/>
            <w:tcBorders>
              <w:top w:val="single" w:sz="4" w:space="0" w:color="auto"/>
              <w:left w:val="single" w:sz="4" w:space="0" w:color="auto"/>
              <w:bottom w:val="single" w:sz="4" w:space="0" w:color="auto"/>
              <w:right w:val="single" w:sz="4" w:space="0" w:color="auto"/>
            </w:tcBorders>
            <w:hideMark/>
          </w:tcPr>
          <w:p w:rsidR="00D66005" w:rsidRPr="00F77964" w:rsidRDefault="005E035A" w:rsidP="00933E80">
            <w:pPr>
              <w:pStyle w:val="Normal-pool"/>
              <w:keepNext/>
              <w:keepLines/>
              <w:spacing w:before="40" w:after="40"/>
              <w:rPr>
                <w:rFonts w:eastAsia="SimSun"/>
                <w:sz w:val="18"/>
                <w:szCs w:val="18"/>
                <w:lang w:eastAsia="zh-CN"/>
              </w:rPr>
            </w:pPr>
            <w:r w:rsidRPr="00F77964">
              <w:rPr>
                <w:rFonts w:eastAsia="SimSun"/>
                <w:sz w:val="18"/>
                <w:szCs w:val="18"/>
                <w:lang w:eastAsia="zh-CN"/>
              </w:rPr>
              <w:t xml:space="preserve">La Plénière, à sa deuxième session, sur la base d’un examen du produit </w:t>
            </w:r>
            <w:r w:rsidR="00C97219" w:rsidRPr="00F77964">
              <w:rPr>
                <w:rFonts w:eastAsia="SimSun"/>
                <w:sz w:val="18"/>
                <w:szCs w:val="18"/>
                <w:lang w:eastAsia="zh-CN"/>
              </w:rPr>
              <w:t>tel que présenté dans le programme de travail suite à l’étude de cadrage initiale et à l’</w:t>
            </w:r>
            <w:r w:rsidR="00F77964" w:rsidRPr="00F77964">
              <w:rPr>
                <w:rFonts w:eastAsia="SimSun"/>
                <w:sz w:val="18"/>
                <w:szCs w:val="18"/>
                <w:lang w:eastAsia="zh-CN"/>
              </w:rPr>
              <w:t>établissement</w:t>
            </w:r>
            <w:r w:rsidR="00C97219" w:rsidRPr="00F77964">
              <w:rPr>
                <w:rFonts w:eastAsia="SimSun"/>
                <w:sz w:val="18"/>
                <w:szCs w:val="18"/>
                <w:lang w:eastAsia="zh-CN"/>
              </w:rPr>
              <w:t xml:space="preserve"> d</w:t>
            </w:r>
            <w:r w:rsidR="00635412" w:rsidRPr="00F77964">
              <w:rPr>
                <w:rFonts w:eastAsia="SimSun"/>
                <w:sz w:val="18"/>
                <w:szCs w:val="18"/>
                <w:lang w:eastAsia="zh-CN"/>
              </w:rPr>
              <w:t>es</w:t>
            </w:r>
            <w:r w:rsidR="00C97219" w:rsidRPr="00F77964">
              <w:rPr>
                <w:rFonts w:eastAsia="SimSun"/>
                <w:sz w:val="18"/>
                <w:szCs w:val="18"/>
                <w:lang w:eastAsia="zh-CN"/>
              </w:rPr>
              <w:t xml:space="preserve"> prévisions</w:t>
            </w:r>
            <w:r w:rsidRPr="00F77964">
              <w:rPr>
                <w:rFonts w:eastAsia="SimSun"/>
                <w:sz w:val="18"/>
                <w:szCs w:val="18"/>
                <w:lang w:eastAsia="zh-CN"/>
              </w:rPr>
              <w:t xml:space="preserve"> de coût</w:t>
            </w:r>
            <w:r w:rsidR="00C97219" w:rsidRPr="00F77964">
              <w:rPr>
                <w:rFonts w:eastAsia="SimSun"/>
                <w:sz w:val="18"/>
                <w:szCs w:val="18"/>
                <w:lang w:eastAsia="zh-CN"/>
              </w:rPr>
              <w:t>s</w:t>
            </w:r>
            <w:r w:rsidR="00635412" w:rsidRPr="00F77964">
              <w:rPr>
                <w:rFonts w:eastAsia="SimSun"/>
                <w:sz w:val="18"/>
                <w:szCs w:val="18"/>
                <w:lang w:eastAsia="zh-CN"/>
              </w:rPr>
              <w:t>,</w:t>
            </w:r>
            <w:r w:rsidRPr="00F77964">
              <w:rPr>
                <w:rFonts w:eastAsia="SimSun"/>
                <w:sz w:val="18"/>
                <w:szCs w:val="18"/>
                <w:lang w:eastAsia="zh-CN"/>
              </w:rPr>
              <w:t xml:space="preserve"> </w:t>
            </w:r>
            <w:r w:rsidR="004621EA">
              <w:rPr>
                <w:rFonts w:eastAsia="SimSun"/>
                <w:sz w:val="18"/>
                <w:szCs w:val="18"/>
                <w:lang w:eastAsia="zh-CN"/>
              </w:rPr>
              <w:t xml:space="preserve">étudie la possibilité de </w:t>
            </w:r>
            <w:r w:rsidRPr="00F77964">
              <w:rPr>
                <w:rFonts w:eastAsia="SimSun"/>
                <w:sz w:val="18"/>
                <w:szCs w:val="18"/>
                <w:lang w:eastAsia="zh-CN"/>
              </w:rPr>
              <w:t xml:space="preserve">demander au Groupe d’experts </w:t>
            </w:r>
            <w:r w:rsidR="00C97219" w:rsidRPr="00F77964">
              <w:rPr>
                <w:rFonts w:eastAsia="SimSun"/>
                <w:sz w:val="18"/>
                <w:szCs w:val="18"/>
                <w:lang w:eastAsia="zh-CN"/>
              </w:rPr>
              <w:t>multi</w:t>
            </w:r>
            <w:r w:rsidRPr="00F77964">
              <w:rPr>
                <w:rFonts w:eastAsia="SimSun"/>
                <w:sz w:val="18"/>
                <w:szCs w:val="18"/>
                <w:lang w:eastAsia="zh-CN"/>
              </w:rPr>
              <w:t xml:space="preserve">disciplinaire et au Bureau d’entreprendre une étude de cadrage </w:t>
            </w:r>
            <w:r w:rsidR="007A1CDF">
              <w:rPr>
                <w:rFonts w:eastAsia="SimSun"/>
                <w:sz w:val="18"/>
                <w:szCs w:val="18"/>
                <w:lang w:eastAsia="zh-CN"/>
              </w:rPr>
              <w:t>complète</w:t>
            </w:r>
            <w:r w:rsidRPr="00F77964">
              <w:rPr>
                <w:rFonts w:eastAsia="SimSun"/>
                <w:sz w:val="18"/>
                <w:szCs w:val="18"/>
                <w:lang w:eastAsia="zh-CN"/>
              </w:rPr>
              <w:t xml:space="preserve"> conformément aux procédures de la </w:t>
            </w:r>
            <w:r w:rsidR="00C97219" w:rsidRPr="00F77964">
              <w:rPr>
                <w:rFonts w:eastAsia="SimSun"/>
                <w:sz w:val="18"/>
                <w:szCs w:val="18"/>
                <w:lang w:eastAsia="zh-CN"/>
              </w:rPr>
              <w:t>P</w:t>
            </w:r>
            <w:r w:rsidRPr="00F77964">
              <w:rPr>
                <w:rFonts w:eastAsia="SimSun"/>
                <w:sz w:val="18"/>
                <w:szCs w:val="18"/>
                <w:lang w:eastAsia="zh-CN"/>
              </w:rPr>
              <w:t>lateforme</w:t>
            </w:r>
          </w:p>
        </w:tc>
      </w:tr>
      <w:tr w:rsidR="00D66005" w:rsidRPr="0061490E" w:rsidTr="00933E80">
        <w:trPr>
          <w:trHeight w:val="503"/>
        </w:trPr>
        <w:tc>
          <w:tcPr>
            <w:tcW w:w="659"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933E80">
            <w:pPr>
              <w:pStyle w:val="Normal-pool"/>
              <w:keepNext/>
              <w:keepLines/>
              <w:spacing w:before="40" w:after="40"/>
              <w:rPr>
                <w:rFonts w:eastAsia="SimSun"/>
                <w:sz w:val="18"/>
                <w:szCs w:val="18"/>
                <w:lang w:eastAsia="zh-CN"/>
              </w:rPr>
            </w:pPr>
            <w:r w:rsidRPr="00F77964">
              <w:rPr>
                <w:rFonts w:eastAsia="SimSun"/>
                <w:sz w:val="18"/>
                <w:szCs w:val="18"/>
                <w:lang w:eastAsia="zh-CN"/>
              </w:rPr>
              <w:t>2014</w:t>
            </w:r>
          </w:p>
        </w:tc>
        <w:tc>
          <w:tcPr>
            <w:tcW w:w="1462" w:type="dxa"/>
            <w:tcBorders>
              <w:top w:val="single" w:sz="4" w:space="0" w:color="auto"/>
              <w:left w:val="single" w:sz="4" w:space="0" w:color="auto"/>
              <w:bottom w:val="single" w:sz="4" w:space="0" w:color="auto"/>
              <w:right w:val="single" w:sz="4" w:space="0" w:color="auto"/>
            </w:tcBorders>
            <w:hideMark/>
          </w:tcPr>
          <w:p w:rsidR="00D66005" w:rsidRPr="00F77964" w:rsidRDefault="005E035A" w:rsidP="00933E80">
            <w:pPr>
              <w:pStyle w:val="Normal-pool"/>
              <w:keepNext/>
              <w:keepLines/>
              <w:spacing w:before="40" w:after="40"/>
              <w:rPr>
                <w:rFonts w:eastAsia="SimSun"/>
                <w:sz w:val="18"/>
                <w:szCs w:val="18"/>
                <w:lang w:eastAsia="zh-CN"/>
              </w:rPr>
            </w:pPr>
            <w:r w:rsidRPr="00F77964">
              <w:rPr>
                <w:rFonts w:eastAsia="SimSun"/>
                <w:sz w:val="18"/>
                <w:szCs w:val="18"/>
                <w:lang w:eastAsia="zh-CN"/>
              </w:rPr>
              <w:t>Premier trimestre</w:t>
            </w:r>
          </w:p>
        </w:tc>
        <w:tc>
          <w:tcPr>
            <w:tcW w:w="6636" w:type="dxa"/>
            <w:tcBorders>
              <w:top w:val="single" w:sz="4" w:space="0" w:color="auto"/>
              <w:left w:val="single" w:sz="4" w:space="0" w:color="auto"/>
              <w:bottom w:val="single" w:sz="4" w:space="0" w:color="auto"/>
              <w:right w:val="single" w:sz="4" w:space="0" w:color="auto"/>
            </w:tcBorders>
            <w:hideMark/>
          </w:tcPr>
          <w:p w:rsidR="00D66005" w:rsidRPr="00F77964" w:rsidRDefault="005E035A" w:rsidP="00933E80">
            <w:pPr>
              <w:pStyle w:val="Normal-pool"/>
              <w:keepNext/>
              <w:keepLines/>
              <w:spacing w:before="40" w:after="40"/>
              <w:rPr>
                <w:rFonts w:eastAsia="SimSun"/>
                <w:sz w:val="18"/>
                <w:szCs w:val="18"/>
                <w:lang w:eastAsia="zh-CN"/>
              </w:rPr>
            </w:pPr>
            <w:r w:rsidRPr="00F77964">
              <w:rPr>
                <w:rFonts w:eastAsia="SimSun"/>
                <w:sz w:val="18"/>
                <w:szCs w:val="18"/>
                <w:lang w:eastAsia="zh-CN"/>
              </w:rPr>
              <w:t xml:space="preserve">Le Groupe d’experts </w:t>
            </w:r>
            <w:r w:rsidR="00635412" w:rsidRPr="00F77964">
              <w:rPr>
                <w:rFonts w:eastAsia="SimSun"/>
                <w:sz w:val="18"/>
                <w:szCs w:val="18"/>
                <w:lang w:eastAsia="zh-CN"/>
              </w:rPr>
              <w:t>multi</w:t>
            </w:r>
            <w:r w:rsidRPr="00F77964">
              <w:rPr>
                <w:rFonts w:eastAsia="SimSun"/>
                <w:sz w:val="18"/>
                <w:szCs w:val="18"/>
                <w:lang w:eastAsia="zh-CN"/>
              </w:rPr>
              <w:t>disciplinaire demande</w:t>
            </w:r>
            <w:r w:rsidR="00635412" w:rsidRPr="00F77964">
              <w:rPr>
                <w:rFonts w:eastAsia="SimSun"/>
                <w:sz w:val="18"/>
                <w:szCs w:val="18"/>
                <w:lang w:eastAsia="zh-CN"/>
              </w:rPr>
              <w:t xml:space="preserve"> ensuite</w:t>
            </w:r>
            <w:r w:rsidRPr="00F77964">
              <w:rPr>
                <w:rFonts w:eastAsia="SimSun"/>
                <w:sz w:val="18"/>
                <w:szCs w:val="18"/>
                <w:lang w:eastAsia="zh-CN"/>
              </w:rPr>
              <w:t xml:space="preserve"> aux gouvernements et </w:t>
            </w:r>
            <w:r w:rsidR="00635412" w:rsidRPr="00F77964">
              <w:rPr>
                <w:rFonts w:eastAsia="SimSun"/>
                <w:sz w:val="18"/>
                <w:szCs w:val="18"/>
                <w:lang w:eastAsia="zh-CN"/>
              </w:rPr>
              <w:t xml:space="preserve">aux </w:t>
            </w:r>
            <w:r w:rsidRPr="00F77964">
              <w:rPr>
                <w:rFonts w:eastAsia="SimSun"/>
                <w:sz w:val="18"/>
                <w:szCs w:val="18"/>
                <w:lang w:eastAsia="zh-CN"/>
              </w:rPr>
              <w:t xml:space="preserve">autres parties prenantes </w:t>
            </w:r>
            <w:r w:rsidR="00635412" w:rsidRPr="00F77964">
              <w:rPr>
                <w:rFonts w:eastAsia="SimSun"/>
                <w:sz w:val="18"/>
                <w:szCs w:val="18"/>
                <w:lang w:eastAsia="zh-CN"/>
              </w:rPr>
              <w:t>de présenter des candidatures d’</w:t>
            </w:r>
            <w:r w:rsidRPr="00F77964">
              <w:rPr>
                <w:rFonts w:eastAsia="SimSun"/>
                <w:sz w:val="18"/>
                <w:szCs w:val="18"/>
                <w:lang w:eastAsia="zh-CN"/>
              </w:rPr>
              <w:t xml:space="preserve">experts </w:t>
            </w:r>
            <w:r w:rsidR="007A1CDF">
              <w:rPr>
                <w:rFonts w:eastAsia="SimSun"/>
                <w:sz w:val="18"/>
                <w:szCs w:val="18"/>
                <w:lang w:eastAsia="zh-CN"/>
              </w:rPr>
              <w:t xml:space="preserve">susceptibles de </w:t>
            </w:r>
            <w:r w:rsidR="00635412" w:rsidRPr="00F77964">
              <w:rPr>
                <w:rFonts w:eastAsia="SimSun"/>
                <w:sz w:val="18"/>
                <w:szCs w:val="18"/>
                <w:lang w:eastAsia="zh-CN"/>
              </w:rPr>
              <w:t xml:space="preserve">participer à l’exercice de </w:t>
            </w:r>
            <w:r w:rsidRPr="00F77964">
              <w:rPr>
                <w:rFonts w:eastAsia="SimSun"/>
                <w:sz w:val="18"/>
                <w:szCs w:val="18"/>
                <w:lang w:eastAsia="zh-CN"/>
              </w:rPr>
              <w:t>cadrage des différentes évaluations régionales/sous-régionales</w:t>
            </w:r>
          </w:p>
        </w:tc>
      </w:tr>
      <w:tr w:rsidR="00D66005" w:rsidRPr="0061490E" w:rsidTr="00933E80">
        <w:trPr>
          <w:trHeight w:val="329"/>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933E80">
            <w:pPr>
              <w:rPr>
                <w:rFonts w:eastAsia="SimSun"/>
                <w:sz w:val="18"/>
                <w:szCs w:val="18"/>
                <w:lang w:eastAsia="zh-CN"/>
              </w:rPr>
            </w:pPr>
          </w:p>
        </w:tc>
        <w:tc>
          <w:tcPr>
            <w:tcW w:w="1462" w:type="dxa"/>
            <w:tcBorders>
              <w:top w:val="single" w:sz="4" w:space="0" w:color="auto"/>
              <w:left w:val="single" w:sz="4" w:space="0" w:color="auto"/>
              <w:bottom w:val="single" w:sz="4" w:space="0" w:color="auto"/>
              <w:right w:val="single" w:sz="4" w:space="0" w:color="auto"/>
            </w:tcBorders>
            <w:hideMark/>
          </w:tcPr>
          <w:p w:rsidR="00D66005" w:rsidRPr="00F77964" w:rsidRDefault="005E035A" w:rsidP="00933E80">
            <w:pPr>
              <w:pStyle w:val="Normal-pool"/>
              <w:spacing w:before="40" w:after="40"/>
              <w:rPr>
                <w:rFonts w:eastAsia="SimSun"/>
                <w:sz w:val="18"/>
                <w:szCs w:val="18"/>
                <w:lang w:eastAsia="zh-CN"/>
              </w:rPr>
            </w:pPr>
            <w:r w:rsidRPr="00F77964">
              <w:rPr>
                <w:rFonts w:eastAsia="SimSun"/>
                <w:sz w:val="18"/>
                <w:szCs w:val="18"/>
                <w:lang w:eastAsia="zh-CN"/>
              </w:rPr>
              <w:t>Deuxième trimestre</w:t>
            </w:r>
          </w:p>
        </w:tc>
        <w:tc>
          <w:tcPr>
            <w:tcW w:w="6636" w:type="dxa"/>
            <w:tcBorders>
              <w:top w:val="single" w:sz="4" w:space="0" w:color="auto"/>
              <w:left w:val="single" w:sz="4" w:space="0" w:color="auto"/>
              <w:bottom w:val="single" w:sz="4" w:space="0" w:color="auto"/>
              <w:right w:val="single" w:sz="4" w:space="0" w:color="auto"/>
            </w:tcBorders>
            <w:hideMark/>
          </w:tcPr>
          <w:p w:rsidR="00D66005" w:rsidRPr="00F77964" w:rsidRDefault="005E035A" w:rsidP="00933E80">
            <w:pPr>
              <w:pStyle w:val="Normal-pool"/>
              <w:spacing w:before="40" w:after="40"/>
              <w:rPr>
                <w:rFonts w:eastAsia="SimSun"/>
                <w:sz w:val="18"/>
                <w:szCs w:val="18"/>
                <w:lang w:eastAsia="zh-CN"/>
              </w:rPr>
            </w:pPr>
            <w:r w:rsidRPr="00F77964">
              <w:rPr>
                <w:rFonts w:eastAsia="SimSun"/>
                <w:sz w:val="18"/>
                <w:szCs w:val="18"/>
                <w:lang w:eastAsia="zh-CN"/>
              </w:rPr>
              <w:t xml:space="preserve">Le Groupe d’experts </w:t>
            </w:r>
            <w:r w:rsidR="00635412" w:rsidRPr="00F77964">
              <w:rPr>
                <w:rFonts w:eastAsia="SimSun"/>
                <w:sz w:val="18"/>
                <w:szCs w:val="18"/>
                <w:lang w:eastAsia="zh-CN"/>
              </w:rPr>
              <w:t>multi</w:t>
            </w:r>
            <w:r w:rsidRPr="00F77964">
              <w:rPr>
                <w:rFonts w:eastAsia="SimSun"/>
                <w:sz w:val="18"/>
                <w:szCs w:val="18"/>
                <w:lang w:eastAsia="zh-CN"/>
              </w:rPr>
              <w:t xml:space="preserve">disciplinaire </w:t>
            </w:r>
            <w:r w:rsidR="00635412" w:rsidRPr="00F77964">
              <w:rPr>
                <w:rFonts w:eastAsia="SimSun"/>
                <w:sz w:val="18"/>
                <w:szCs w:val="18"/>
                <w:lang w:eastAsia="zh-CN"/>
              </w:rPr>
              <w:t>sélectionne</w:t>
            </w:r>
            <w:r w:rsidRPr="00F77964">
              <w:rPr>
                <w:rFonts w:eastAsia="SimSun"/>
                <w:sz w:val="18"/>
                <w:szCs w:val="18"/>
                <w:lang w:eastAsia="zh-CN"/>
              </w:rPr>
              <w:t xml:space="preserve"> les experts </w:t>
            </w:r>
            <w:r w:rsidR="003D0B59">
              <w:rPr>
                <w:rFonts w:eastAsia="SimSun"/>
                <w:sz w:val="18"/>
                <w:szCs w:val="18"/>
                <w:lang w:eastAsia="zh-CN"/>
              </w:rPr>
              <w:t>chargés de réaliser</w:t>
            </w:r>
            <w:r w:rsidRPr="00F77964">
              <w:rPr>
                <w:rFonts w:eastAsia="SimSun"/>
                <w:sz w:val="18"/>
                <w:szCs w:val="18"/>
                <w:lang w:eastAsia="zh-CN"/>
              </w:rPr>
              <w:t xml:space="preserve"> l’étude de cadrage</w:t>
            </w:r>
          </w:p>
        </w:tc>
      </w:tr>
      <w:tr w:rsidR="00D66005" w:rsidRPr="0061490E" w:rsidTr="00933E80">
        <w:trPr>
          <w:trHeight w:val="251"/>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933E80">
            <w:pPr>
              <w:rPr>
                <w:rFonts w:eastAsia="SimSun"/>
                <w:sz w:val="18"/>
                <w:szCs w:val="18"/>
                <w:lang w:eastAsia="zh-CN"/>
              </w:rPr>
            </w:pPr>
          </w:p>
        </w:tc>
        <w:tc>
          <w:tcPr>
            <w:tcW w:w="146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933E80">
            <w:pPr>
              <w:pStyle w:val="Normal-pool"/>
              <w:spacing w:before="40" w:after="40"/>
              <w:rPr>
                <w:rFonts w:eastAsia="SimSun"/>
                <w:sz w:val="18"/>
                <w:szCs w:val="18"/>
                <w:lang w:eastAsia="zh-CN"/>
              </w:rPr>
            </w:pPr>
            <w:r w:rsidRPr="00F77964">
              <w:rPr>
                <w:rFonts w:eastAsia="SimSun"/>
                <w:sz w:val="18"/>
                <w:szCs w:val="18"/>
                <w:lang w:eastAsia="zh-CN"/>
              </w:rPr>
              <w:t>T</w:t>
            </w:r>
            <w:r w:rsidR="005E035A" w:rsidRPr="00F77964">
              <w:rPr>
                <w:rFonts w:eastAsia="SimSun"/>
                <w:sz w:val="18"/>
                <w:szCs w:val="18"/>
                <w:lang w:eastAsia="zh-CN"/>
              </w:rPr>
              <w:t>roisième trimestre</w:t>
            </w:r>
          </w:p>
        </w:tc>
        <w:tc>
          <w:tcPr>
            <w:tcW w:w="6636" w:type="dxa"/>
            <w:tcBorders>
              <w:top w:val="single" w:sz="4" w:space="0" w:color="auto"/>
              <w:left w:val="single" w:sz="4" w:space="0" w:color="auto"/>
              <w:bottom w:val="single" w:sz="4" w:space="0" w:color="auto"/>
              <w:right w:val="single" w:sz="4" w:space="0" w:color="auto"/>
            </w:tcBorders>
            <w:hideMark/>
          </w:tcPr>
          <w:p w:rsidR="00D66005" w:rsidRPr="00F77964" w:rsidRDefault="005E035A" w:rsidP="00933E80">
            <w:pPr>
              <w:pStyle w:val="Normal-pool"/>
              <w:spacing w:before="40" w:after="40"/>
              <w:rPr>
                <w:rFonts w:eastAsia="SimSun"/>
                <w:sz w:val="18"/>
                <w:szCs w:val="18"/>
                <w:lang w:eastAsia="zh-CN"/>
              </w:rPr>
            </w:pPr>
            <w:r w:rsidRPr="00F77964">
              <w:rPr>
                <w:rFonts w:eastAsia="SimSun"/>
                <w:sz w:val="18"/>
                <w:szCs w:val="18"/>
                <w:lang w:eastAsia="zh-CN"/>
              </w:rPr>
              <w:t xml:space="preserve">Le Groupe d’experts </w:t>
            </w:r>
            <w:r w:rsidR="00635412" w:rsidRPr="00F77964">
              <w:rPr>
                <w:rFonts w:eastAsia="SimSun"/>
                <w:sz w:val="18"/>
                <w:szCs w:val="18"/>
                <w:lang w:eastAsia="zh-CN"/>
              </w:rPr>
              <w:t>multi</w:t>
            </w:r>
            <w:r w:rsidRPr="00F77964">
              <w:rPr>
                <w:rFonts w:eastAsia="SimSun"/>
                <w:sz w:val="18"/>
                <w:szCs w:val="18"/>
                <w:lang w:eastAsia="zh-CN"/>
              </w:rPr>
              <w:t xml:space="preserve">disciplinaire et le Bureau supervisent un exercice de cadrage détaillé, </w:t>
            </w:r>
            <w:r w:rsidR="00635412" w:rsidRPr="00F77964">
              <w:rPr>
                <w:rFonts w:eastAsia="SimSun"/>
                <w:sz w:val="18"/>
                <w:szCs w:val="18"/>
                <w:lang w:eastAsia="zh-CN"/>
              </w:rPr>
              <w:t xml:space="preserve">qui doit permettre de préciser le </w:t>
            </w:r>
            <w:r w:rsidRPr="00F77964">
              <w:rPr>
                <w:rFonts w:eastAsia="SimSun"/>
                <w:sz w:val="18"/>
                <w:szCs w:val="18"/>
                <w:lang w:eastAsia="zh-CN"/>
              </w:rPr>
              <w:t>plan</w:t>
            </w:r>
            <w:r w:rsidR="00635412" w:rsidRPr="00F77964">
              <w:rPr>
                <w:rFonts w:eastAsia="SimSun"/>
                <w:sz w:val="18"/>
                <w:szCs w:val="18"/>
                <w:lang w:eastAsia="zh-CN"/>
              </w:rPr>
              <w:t>,</w:t>
            </w:r>
            <w:r w:rsidRPr="00F77964">
              <w:rPr>
                <w:rFonts w:eastAsia="SimSun"/>
                <w:sz w:val="18"/>
                <w:szCs w:val="18"/>
                <w:lang w:eastAsia="zh-CN"/>
              </w:rPr>
              <w:t xml:space="preserve"> les coûts et la faisabilité, notamment en organisant </w:t>
            </w:r>
            <w:r w:rsidR="00635412" w:rsidRPr="00F77964">
              <w:rPr>
                <w:rFonts w:eastAsia="SimSun"/>
                <w:sz w:val="18"/>
                <w:szCs w:val="18"/>
                <w:lang w:eastAsia="zh-CN"/>
              </w:rPr>
              <w:t xml:space="preserve">au moins </w:t>
            </w:r>
            <w:r w:rsidRPr="00F77964">
              <w:rPr>
                <w:rFonts w:eastAsia="SimSun"/>
                <w:sz w:val="18"/>
                <w:szCs w:val="18"/>
                <w:lang w:eastAsia="zh-CN"/>
              </w:rPr>
              <w:t>cinq réunions de cadrage aux niveaux régional/sous-régional au cours desquelles 15 évaluations sous-régionales seront examinées par des experts sous-régionaux (en tenant compte des rapports sur la hiérarchisation des demandes</w:t>
            </w:r>
            <w:r w:rsidR="00D66005" w:rsidRPr="00F77964">
              <w:rPr>
                <w:rFonts w:eastAsia="SimSun"/>
                <w:sz w:val="18"/>
                <w:szCs w:val="18"/>
                <w:lang w:eastAsia="zh-CN"/>
              </w:rPr>
              <w:t xml:space="preserve"> (IPBES/2/3)</w:t>
            </w:r>
            <w:r w:rsidRPr="00F77964">
              <w:rPr>
                <w:rFonts w:eastAsia="SimSun"/>
                <w:sz w:val="18"/>
                <w:szCs w:val="18"/>
                <w:lang w:eastAsia="zh-CN"/>
              </w:rPr>
              <w:t xml:space="preserve"> et du guide établi au titre du produit</w:t>
            </w:r>
            <w:r w:rsidR="00D972E8">
              <w:rPr>
                <w:rFonts w:eastAsia="SimSun"/>
                <w:sz w:val="18"/>
                <w:szCs w:val="18"/>
                <w:lang w:eastAsia="zh-CN"/>
              </w:rPr>
              <w:t xml:space="preserve"> </w:t>
            </w:r>
            <w:r w:rsidR="00D66005" w:rsidRPr="00F77964">
              <w:rPr>
                <w:rFonts w:eastAsia="SimSun"/>
                <w:sz w:val="18"/>
                <w:szCs w:val="18"/>
                <w:lang w:eastAsia="zh-CN"/>
              </w:rPr>
              <w:t>2 a))</w:t>
            </w:r>
          </w:p>
        </w:tc>
      </w:tr>
      <w:tr w:rsidR="00D66005" w:rsidRPr="0061490E" w:rsidTr="00933E80">
        <w:trPr>
          <w:trHeight w:val="64"/>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933E80">
            <w:pPr>
              <w:rPr>
                <w:rFonts w:eastAsia="SimSun"/>
                <w:sz w:val="18"/>
                <w:szCs w:val="18"/>
                <w:lang w:eastAsia="zh-CN"/>
              </w:rPr>
            </w:pPr>
          </w:p>
        </w:tc>
        <w:tc>
          <w:tcPr>
            <w:tcW w:w="1462" w:type="dxa"/>
            <w:tcBorders>
              <w:top w:val="single" w:sz="4" w:space="0" w:color="auto"/>
              <w:left w:val="single" w:sz="4" w:space="0" w:color="auto"/>
              <w:bottom w:val="single" w:sz="4" w:space="0" w:color="auto"/>
              <w:right w:val="single" w:sz="4" w:space="0" w:color="auto"/>
            </w:tcBorders>
            <w:hideMark/>
          </w:tcPr>
          <w:p w:rsidR="00D66005" w:rsidRPr="00F77964" w:rsidRDefault="005E035A" w:rsidP="00933E80">
            <w:pPr>
              <w:pStyle w:val="Normal-pool"/>
              <w:spacing w:before="40" w:after="40"/>
              <w:rPr>
                <w:rFonts w:eastAsia="SimSun"/>
                <w:sz w:val="18"/>
                <w:szCs w:val="18"/>
                <w:lang w:eastAsia="zh-CN"/>
              </w:rPr>
            </w:pPr>
            <w:r w:rsidRPr="00F77964">
              <w:rPr>
                <w:rFonts w:eastAsia="SimSun"/>
                <w:sz w:val="18"/>
                <w:szCs w:val="18"/>
                <w:lang w:eastAsia="zh-CN"/>
              </w:rPr>
              <w:t>Quatrième trimestre</w:t>
            </w:r>
          </w:p>
        </w:tc>
        <w:tc>
          <w:tcPr>
            <w:tcW w:w="6636" w:type="dxa"/>
            <w:tcBorders>
              <w:top w:val="single" w:sz="4" w:space="0" w:color="auto"/>
              <w:left w:val="single" w:sz="4" w:space="0" w:color="auto"/>
              <w:bottom w:val="single" w:sz="4" w:space="0" w:color="auto"/>
              <w:right w:val="single" w:sz="4" w:space="0" w:color="auto"/>
            </w:tcBorders>
            <w:hideMark/>
          </w:tcPr>
          <w:p w:rsidR="00D66005" w:rsidRPr="00F77964" w:rsidRDefault="005E035A" w:rsidP="00933E80">
            <w:pPr>
              <w:pStyle w:val="Normal-pool"/>
              <w:spacing w:before="40" w:after="40"/>
              <w:rPr>
                <w:rFonts w:eastAsia="SimSun"/>
                <w:sz w:val="18"/>
                <w:szCs w:val="18"/>
                <w:lang w:eastAsia="zh-CN"/>
              </w:rPr>
            </w:pPr>
            <w:r w:rsidRPr="00F77964">
              <w:rPr>
                <w:rFonts w:eastAsia="SimSun"/>
                <w:sz w:val="18"/>
                <w:szCs w:val="18"/>
                <w:lang w:eastAsia="zh-CN"/>
              </w:rPr>
              <w:t xml:space="preserve">Le rapport de cadrage </w:t>
            </w:r>
            <w:r w:rsidR="003D0B59" w:rsidRPr="00F77964">
              <w:rPr>
                <w:rFonts w:eastAsia="SimSun"/>
                <w:sz w:val="18"/>
                <w:szCs w:val="18"/>
                <w:lang w:eastAsia="zh-CN"/>
              </w:rPr>
              <w:t xml:space="preserve">détaillé </w:t>
            </w:r>
            <w:r w:rsidRPr="00F77964">
              <w:rPr>
                <w:rFonts w:eastAsia="SimSun"/>
                <w:sz w:val="18"/>
                <w:szCs w:val="18"/>
                <w:lang w:eastAsia="zh-CN"/>
              </w:rPr>
              <w:t>est</w:t>
            </w:r>
            <w:r w:rsidR="00635412" w:rsidRPr="00F77964">
              <w:rPr>
                <w:rFonts w:eastAsia="SimSun"/>
                <w:sz w:val="18"/>
                <w:szCs w:val="18"/>
                <w:lang w:eastAsia="zh-CN"/>
              </w:rPr>
              <w:t xml:space="preserve"> adressé</w:t>
            </w:r>
            <w:r w:rsidRPr="00F77964">
              <w:rPr>
                <w:rFonts w:eastAsia="SimSun"/>
                <w:sz w:val="18"/>
                <w:szCs w:val="18"/>
                <w:lang w:eastAsia="zh-CN"/>
              </w:rPr>
              <w:t xml:space="preserve"> au </w:t>
            </w:r>
            <w:r w:rsidR="00635412" w:rsidRPr="00F77964">
              <w:rPr>
                <w:rFonts w:eastAsia="SimSun"/>
                <w:sz w:val="18"/>
                <w:szCs w:val="18"/>
                <w:lang w:eastAsia="zh-CN"/>
              </w:rPr>
              <w:t>s</w:t>
            </w:r>
            <w:r w:rsidRPr="00F77964">
              <w:rPr>
                <w:rFonts w:eastAsia="SimSun"/>
                <w:sz w:val="18"/>
                <w:szCs w:val="18"/>
                <w:lang w:eastAsia="zh-CN"/>
              </w:rPr>
              <w:t xml:space="preserve">ecrétariat pour distribution aux gouvernements et </w:t>
            </w:r>
            <w:r w:rsidR="00635412" w:rsidRPr="00F77964">
              <w:rPr>
                <w:rFonts w:eastAsia="SimSun"/>
                <w:sz w:val="18"/>
                <w:szCs w:val="18"/>
                <w:lang w:eastAsia="zh-CN"/>
              </w:rPr>
              <w:t xml:space="preserve">aux </w:t>
            </w:r>
            <w:r w:rsidRPr="00F77964">
              <w:rPr>
                <w:rFonts w:eastAsia="SimSun"/>
                <w:sz w:val="18"/>
                <w:szCs w:val="18"/>
                <w:lang w:eastAsia="zh-CN"/>
              </w:rPr>
              <w:t>autres parties prenantes aux fins de son examen par la Plénière à sa troisième session</w:t>
            </w:r>
          </w:p>
        </w:tc>
      </w:tr>
      <w:tr w:rsidR="00D66005" w:rsidRPr="0061490E" w:rsidTr="00933E80">
        <w:trPr>
          <w:trHeight w:val="323"/>
        </w:trPr>
        <w:tc>
          <w:tcPr>
            <w:tcW w:w="659"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933E80">
            <w:pPr>
              <w:pStyle w:val="Normal-pool"/>
              <w:keepNext/>
              <w:keepLines/>
              <w:spacing w:before="40" w:after="40"/>
              <w:rPr>
                <w:rFonts w:eastAsia="SimSun"/>
                <w:sz w:val="18"/>
                <w:szCs w:val="18"/>
                <w:lang w:eastAsia="zh-CN"/>
              </w:rPr>
            </w:pPr>
            <w:r w:rsidRPr="00F77964">
              <w:rPr>
                <w:rFonts w:eastAsia="SimSun"/>
                <w:sz w:val="18"/>
                <w:szCs w:val="18"/>
                <w:lang w:eastAsia="zh-CN"/>
              </w:rPr>
              <w:lastRenderedPageBreak/>
              <w:t>2015</w:t>
            </w:r>
          </w:p>
        </w:tc>
        <w:tc>
          <w:tcPr>
            <w:tcW w:w="1462"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200881" w:rsidP="00933E80">
            <w:pPr>
              <w:pStyle w:val="Normal-pool"/>
              <w:keepNext/>
              <w:keepLines/>
              <w:spacing w:before="40" w:after="40"/>
              <w:rPr>
                <w:rFonts w:eastAsia="SimSun"/>
                <w:sz w:val="18"/>
                <w:szCs w:val="18"/>
                <w:lang w:eastAsia="zh-CN"/>
              </w:rPr>
            </w:pPr>
            <w:r w:rsidRPr="00F77964">
              <w:rPr>
                <w:rFonts w:eastAsia="SimSun"/>
                <w:sz w:val="18"/>
                <w:szCs w:val="18"/>
                <w:lang w:eastAsia="zh-CN"/>
              </w:rPr>
              <w:t>Premier</w:t>
            </w:r>
            <w:r w:rsidR="00171A83" w:rsidRPr="00F77964">
              <w:rPr>
                <w:rFonts w:eastAsia="SimSun"/>
                <w:sz w:val="18"/>
                <w:szCs w:val="18"/>
                <w:lang w:eastAsia="zh-CN"/>
              </w:rPr>
              <w:t xml:space="preserve"> trimestre</w:t>
            </w:r>
          </w:p>
        </w:tc>
        <w:tc>
          <w:tcPr>
            <w:tcW w:w="6636" w:type="dxa"/>
            <w:tcBorders>
              <w:top w:val="single" w:sz="4" w:space="0" w:color="auto"/>
              <w:left w:val="single" w:sz="4" w:space="0" w:color="auto"/>
              <w:bottom w:val="single" w:sz="4" w:space="0" w:color="auto"/>
              <w:right w:val="single" w:sz="4" w:space="0" w:color="auto"/>
            </w:tcBorders>
            <w:hideMark/>
          </w:tcPr>
          <w:p w:rsidR="00D66005" w:rsidRPr="00F77964" w:rsidRDefault="00171A83" w:rsidP="00933E80">
            <w:pPr>
              <w:pStyle w:val="Normal-pool"/>
              <w:keepNext/>
              <w:keepLines/>
              <w:spacing w:before="40" w:after="40"/>
              <w:rPr>
                <w:rFonts w:eastAsia="SimSun"/>
                <w:sz w:val="18"/>
                <w:szCs w:val="18"/>
                <w:lang w:eastAsia="zh-CN"/>
              </w:rPr>
            </w:pPr>
            <w:r w:rsidRPr="00F77964">
              <w:rPr>
                <w:rFonts w:eastAsia="SimSun"/>
                <w:sz w:val="18"/>
                <w:szCs w:val="18"/>
                <w:lang w:eastAsia="zh-CN"/>
              </w:rPr>
              <w:t>La Plénière</w:t>
            </w:r>
            <w:r w:rsidR="00635412" w:rsidRPr="00F77964">
              <w:rPr>
                <w:rFonts w:eastAsia="SimSun"/>
                <w:sz w:val="18"/>
                <w:szCs w:val="18"/>
                <w:lang w:eastAsia="zh-CN"/>
              </w:rPr>
              <w:t>,</w:t>
            </w:r>
            <w:r w:rsidRPr="00F77964">
              <w:rPr>
                <w:rFonts w:eastAsia="SimSun"/>
                <w:sz w:val="18"/>
                <w:szCs w:val="18"/>
                <w:lang w:eastAsia="zh-CN"/>
              </w:rPr>
              <w:t xml:space="preserve"> à sa troisième session</w:t>
            </w:r>
            <w:r w:rsidR="00635412" w:rsidRPr="00F77964">
              <w:rPr>
                <w:rFonts w:eastAsia="SimSun"/>
                <w:sz w:val="18"/>
                <w:szCs w:val="18"/>
                <w:lang w:eastAsia="zh-CN"/>
              </w:rPr>
              <w:t>,</w:t>
            </w:r>
            <w:r w:rsidRPr="00F77964">
              <w:rPr>
                <w:rFonts w:eastAsia="SimSun"/>
                <w:sz w:val="18"/>
                <w:szCs w:val="18"/>
                <w:lang w:eastAsia="zh-CN"/>
              </w:rPr>
              <w:t xml:space="preserve"> examine la portée de la série</w:t>
            </w:r>
            <w:r w:rsidR="00635412" w:rsidRPr="00F77964">
              <w:rPr>
                <w:rFonts w:eastAsia="SimSun"/>
                <w:sz w:val="18"/>
                <w:szCs w:val="18"/>
                <w:lang w:eastAsia="zh-CN"/>
              </w:rPr>
              <w:t xml:space="preserve"> d’</w:t>
            </w:r>
            <w:r w:rsidRPr="00F77964">
              <w:rPr>
                <w:rFonts w:eastAsia="SimSun"/>
                <w:sz w:val="18"/>
                <w:szCs w:val="18"/>
                <w:lang w:eastAsia="zh-CN"/>
              </w:rPr>
              <w:t xml:space="preserve">évaluations régionales ou sous-régionales pour adoption </w:t>
            </w:r>
          </w:p>
        </w:tc>
      </w:tr>
      <w:tr w:rsidR="00D66005" w:rsidRPr="0061490E" w:rsidTr="00933E80">
        <w:trPr>
          <w:trHeight w:val="323"/>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933E80">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933E80">
            <w:pPr>
              <w:rPr>
                <w:rFonts w:eastAsia="SimSun"/>
                <w:sz w:val="18"/>
                <w:szCs w:val="18"/>
                <w:lang w:eastAsia="zh-CN"/>
              </w:rPr>
            </w:pPr>
          </w:p>
        </w:tc>
        <w:tc>
          <w:tcPr>
            <w:tcW w:w="6636" w:type="dxa"/>
            <w:tcBorders>
              <w:top w:val="single" w:sz="4" w:space="0" w:color="auto"/>
              <w:left w:val="single" w:sz="4" w:space="0" w:color="auto"/>
              <w:bottom w:val="single" w:sz="4" w:space="0" w:color="auto"/>
              <w:right w:val="single" w:sz="4" w:space="0" w:color="auto"/>
            </w:tcBorders>
            <w:hideMark/>
          </w:tcPr>
          <w:p w:rsidR="00D66005" w:rsidRPr="00F77964" w:rsidRDefault="00171A83" w:rsidP="00933E80">
            <w:pPr>
              <w:pStyle w:val="Normal-pool"/>
              <w:keepNext/>
              <w:keepLines/>
              <w:spacing w:before="40" w:after="40"/>
              <w:rPr>
                <w:rFonts w:eastAsia="SimSun"/>
                <w:sz w:val="18"/>
                <w:szCs w:val="18"/>
                <w:lang w:eastAsia="zh-CN"/>
              </w:rPr>
            </w:pPr>
            <w:r w:rsidRPr="00F77964">
              <w:rPr>
                <w:rFonts w:eastAsia="SimSun"/>
                <w:sz w:val="18"/>
                <w:szCs w:val="18"/>
                <w:lang w:eastAsia="zh-CN"/>
              </w:rPr>
              <w:t xml:space="preserve">La Plénière, à sa troisième session, examine les différentes offres potentielles d’appui technique en nature et demande au Bureau et au </w:t>
            </w:r>
            <w:r w:rsidR="00D93613" w:rsidRPr="00F77964">
              <w:rPr>
                <w:rFonts w:eastAsia="SimSun"/>
                <w:sz w:val="18"/>
                <w:szCs w:val="18"/>
                <w:lang w:eastAsia="zh-CN"/>
              </w:rPr>
              <w:t>s</w:t>
            </w:r>
            <w:r w:rsidRPr="00F77964">
              <w:rPr>
                <w:rFonts w:eastAsia="SimSun"/>
                <w:sz w:val="18"/>
                <w:szCs w:val="18"/>
                <w:lang w:eastAsia="zh-CN"/>
              </w:rPr>
              <w:t xml:space="preserve">ecrétariat d’établir les dispositions institutionnelles nécessaires pour </w:t>
            </w:r>
            <w:r w:rsidR="00635412" w:rsidRPr="00F77964">
              <w:rPr>
                <w:rFonts w:eastAsia="SimSun"/>
                <w:sz w:val="18"/>
                <w:szCs w:val="18"/>
                <w:lang w:eastAsia="zh-CN"/>
              </w:rPr>
              <w:t>donner effet à</w:t>
            </w:r>
            <w:r w:rsidRPr="00F77964">
              <w:rPr>
                <w:rFonts w:eastAsia="SimSun"/>
                <w:sz w:val="18"/>
                <w:szCs w:val="18"/>
                <w:lang w:eastAsia="zh-CN"/>
              </w:rPr>
              <w:t xml:space="preserve"> cet appui technique</w:t>
            </w:r>
          </w:p>
        </w:tc>
      </w:tr>
      <w:tr w:rsidR="00D66005" w:rsidRPr="0061490E" w:rsidTr="00933E80">
        <w:trPr>
          <w:trHeight w:val="323"/>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933E80">
            <w:pPr>
              <w:rPr>
                <w:rFonts w:eastAsia="SimSun"/>
                <w:sz w:val="18"/>
                <w:szCs w:val="18"/>
                <w:lang w:eastAsia="zh-CN"/>
              </w:rPr>
            </w:pPr>
          </w:p>
        </w:tc>
        <w:tc>
          <w:tcPr>
            <w:tcW w:w="1462" w:type="dxa"/>
            <w:tcBorders>
              <w:top w:val="single" w:sz="4" w:space="0" w:color="auto"/>
              <w:left w:val="single" w:sz="4" w:space="0" w:color="auto"/>
              <w:bottom w:val="single" w:sz="4" w:space="0" w:color="auto"/>
              <w:right w:val="single" w:sz="4" w:space="0" w:color="auto"/>
            </w:tcBorders>
            <w:hideMark/>
          </w:tcPr>
          <w:p w:rsidR="00D66005" w:rsidRPr="00F77964" w:rsidRDefault="00171A83" w:rsidP="00933E80">
            <w:pPr>
              <w:pStyle w:val="Normal-pool"/>
              <w:spacing w:before="40" w:after="40"/>
              <w:rPr>
                <w:rFonts w:eastAsia="SimSun"/>
                <w:sz w:val="18"/>
                <w:szCs w:val="18"/>
                <w:lang w:eastAsia="zh-CN"/>
              </w:rPr>
            </w:pPr>
            <w:r w:rsidRPr="00F77964">
              <w:rPr>
                <w:rFonts w:eastAsia="SimSun"/>
                <w:sz w:val="18"/>
                <w:szCs w:val="18"/>
                <w:lang w:eastAsia="zh-CN"/>
              </w:rPr>
              <w:t>Premier trimestre</w:t>
            </w:r>
          </w:p>
        </w:tc>
        <w:tc>
          <w:tcPr>
            <w:tcW w:w="6636" w:type="dxa"/>
            <w:tcBorders>
              <w:top w:val="single" w:sz="4" w:space="0" w:color="auto"/>
              <w:left w:val="single" w:sz="4" w:space="0" w:color="auto"/>
              <w:bottom w:val="single" w:sz="4" w:space="0" w:color="auto"/>
              <w:right w:val="single" w:sz="4" w:space="0" w:color="auto"/>
            </w:tcBorders>
            <w:hideMark/>
          </w:tcPr>
          <w:p w:rsidR="00D66005" w:rsidRPr="00F77964" w:rsidRDefault="00171A83" w:rsidP="00933E80">
            <w:pPr>
              <w:pStyle w:val="Normal-pool"/>
              <w:spacing w:before="40" w:after="40"/>
              <w:rPr>
                <w:rFonts w:eastAsia="SimSun"/>
                <w:sz w:val="18"/>
                <w:szCs w:val="18"/>
                <w:lang w:eastAsia="zh-CN"/>
              </w:rPr>
            </w:pPr>
            <w:r w:rsidRPr="00F77964">
              <w:rPr>
                <w:rFonts w:eastAsia="SimSun"/>
                <w:sz w:val="18"/>
                <w:szCs w:val="18"/>
                <w:lang w:eastAsia="zh-CN"/>
              </w:rPr>
              <w:t xml:space="preserve">Si la Plénière, sur la base du rapport de cadrage détaillé, décide d’approuver l’établissement du rapport, le Groupe d’experts </w:t>
            </w:r>
            <w:r w:rsidR="00D93613" w:rsidRPr="00F77964">
              <w:rPr>
                <w:rFonts w:eastAsia="SimSun"/>
                <w:sz w:val="18"/>
                <w:szCs w:val="18"/>
                <w:lang w:eastAsia="zh-CN"/>
              </w:rPr>
              <w:t>multi</w:t>
            </w:r>
            <w:r w:rsidRPr="00F77964">
              <w:rPr>
                <w:rFonts w:eastAsia="SimSun"/>
                <w:sz w:val="18"/>
                <w:szCs w:val="18"/>
                <w:lang w:eastAsia="zh-CN"/>
              </w:rPr>
              <w:t xml:space="preserve">disciplinaire demande aux gouvernements et </w:t>
            </w:r>
            <w:r w:rsidR="00D93613" w:rsidRPr="00F77964">
              <w:rPr>
                <w:rFonts w:eastAsia="SimSun"/>
                <w:sz w:val="18"/>
                <w:szCs w:val="18"/>
                <w:lang w:eastAsia="zh-CN"/>
              </w:rPr>
              <w:t xml:space="preserve">aux </w:t>
            </w:r>
            <w:r w:rsidRPr="00F77964">
              <w:rPr>
                <w:rFonts w:eastAsia="SimSun"/>
                <w:sz w:val="18"/>
                <w:szCs w:val="18"/>
                <w:lang w:eastAsia="zh-CN"/>
              </w:rPr>
              <w:t xml:space="preserve">autres parties prenantes </w:t>
            </w:r>
            <w:r w:rsidR="00D93613" w:rsidRPr="00F77964">
              <w:rPr>
                <w:rFonts w:eastAsia="SimSun"/>
                <w:sz w:val="18"/>
                <w:szCs w:val="18"/>
                <w:lang w:eastAsia="zh-CN"/>
              </w:rPr>
              <w:t>de</w:t>
            </w:r>
            <w:r w:rsidRPr="00F77964">
              <w:rPr>
                <w:rFonts w:eastAsia="SimSun"/>
                <w:sz w:val="18"/>
                <w:szCs w:val="18"/>
                <w:lang w:eastAsia="zh-CN"/>
              </w:rPr>
              <w:t xml:space="preserve"> désign</w:t>
            </w:r>
            <w:r w:rsidR="00D93613" w:rsidRPr="00F77964">
              <w:rPr>
                <w:rFonts w:eastAsia="SimSun"/>
                <w:sz w:val="18"/>
                <w:szCs w:val="18"/>
                <w:lang w:eastAsia="zh-CN"/>
              </w:rPr>
              <w:t xml:space="preserve">er des </w:t>
            </w:r>
            <w:r w:rsidRPr="00F77964">
              <w:rPr>
                <w:rFonts w:eastAsia="SimSun"/>
                <w:sz w:val="18"/>
                <w:szCs w:val="18"/>
                <w:lang w:eastAsia="zh-CN"/>
              </w:rPr>
              <w:t>experts pour établir le rapport</w:t>
            </w:r>
            <w:r w:rsidR="00D66005" w:rsidRPr="00F77964">
              <w:rPr>
                <w:rFonts w:eastAsia="SimSun"/>
                <w:sz w:val="18"/>
                <w:szCs w:val="18"/>
                <w:lang w:eastAsia="zh-CN"/>
              </w:rPr>
              <w:t xml:space="preserve"> </w:t>
            </w:r>
          </w:p>
        </w:tc>
      </w:tr>
      <w:tr w:rsidR="00D66005" w:rsidRPr="0061490E" w:rsidTr="00933E80">
        <w:trPr>
          <w:trHeight w:val="305"/>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933E80">
            <w:pPr>
              <w:rPr>
                <w:rFonts w:eastAsia="SimSun"/>
                <w:sz w:val="18"/>
                <w:szCs w:val="18"/>
                <w:lang w:eastAsia="zh-CN"/>
              </w:rPr>
            </w:pPr>
          </w:p>
        </w:tc>
        <w:tc>
          <w:tcPr>
            <w:tcW w:w="1462" w:type="dxa"/>
            <w:tcBorders>
              <w:top w:val="single" w:sz="4" w:space="0" w:color="auto"/>
              <w:left w:val="single" w:sz="4" w:space="0" w:color="auto"/>
              <w:bottom w:val="single" w:sz="4" w:space="0" w:color="auto"/>
              <w:right w:val="single" w:sz="4" w:space="0" w:color="auto"/>
            </w:tcBorders>
            <w:hideMark/>
          </w:tcPr>
          <w:p w:rsidR="00D66005" w:rsidRPr="00F77964" w:rsidRDefault="001F0130" w:rsidP="00933E80">
            <w:pPr>
              <w:pStyle w:val="Normal-pool"/>
              <w:spacing w:before="40" w:after="40"/>
              <w:rPr>
                <w:rFonts w:eastAsia="SimSun"/>
                <w:sz w:val="18"/>
                <w:szCs w:val="18"/>
                <w:lang w:eastAsia="zh-CN"/>
              </w:rPr>
            </w:pPr>
            <w:r w:rsidRPr="00F77964">
              <w:rPr>
                <w:rFonts w:eastAsia="SimSun"/>
                <w:sz w:val="18"/>
                <w:szCs w:val="18"/>
                <w:lang w:eastAsia="zh-CN"/>
              </w:rPr>
              <w:t>Deuxième trimestre</w:t>
            </w:r>
          </w:p>
        </w:tc>
        <w:tc>
          <w:tcPr>
            <w:tcW w:w="6636" w:type="dxa"/>
            <w:tcBorders>
              <w:top w:val="single" w:sz="4" w:space="0" w:color="auto"/>
              <w:left w:val="single" w:sz="4" w:space="0" w:color="auto"/>
              <w:bottom w:val="single" w:sz="4" w:space="0" w:color="auto"/>
              <w:right w:val="single" w:sz="4" w:space="0" w:color="auto"/>
            </w:tcBorders>
            <w:hideMark/>
          </w:tcPr>
          <w:p w:rsidR="00D66005" w:rsidRPr="00F77964" w:rsidRDefault="001F0130" w:rsidP="00933E80">
            <w:pPr>
              <w:pStyle w:val="Normal-pool"/>
              <w:spacing w:before="40" w:after="40"/>
              <w:rPr>
                <w:rFonts w:eastAsia="SimSun"/>
                <w:sz w:val="18"/>
                <w:szCs w:val="18"/>
                <w:lang w:eastAsia="zh-CN"/>
              </w:rPr>
            </w:pPr>
            <w:r w:rsidRPr="00F77964">
              <w:rPr>
                <w:rFonts w:eastAsia="SimSun"/>
                <w:sz w:val="18"/>
                <w:szCs w:val="18"/>
                <w:lang w:eastAsia="zh-CN"/>
              </w:rPr>
              <w:t xml:space="preserve">Le Groupe d’experts multidisciplinaire choisit les </w:t>
            </w:r>
            <w:r w:rsidR="006E337B">
              <w:rPr>
                <w:rFonts w:eastAsia="SimSun"/>
                <w:sz w:val="18"/>
                <w:szCs w:val="18"/>
                <w:lang w:eastAsia="zh-CN"/>
              </w:rPr>
              <w:t>coprésidents</w:t>
            </w:r>
            <w:r w:rsidRPr="00F77964">
              <w:rPr>
                <w:rFonts w:eastAsia="SimSun"/>
                <w:sz w:val="18"/>
                <w:szCs w:val="18"/>
                <w:lang w:eastAsia="zh-CN"/>
              </w:rPr>
              <w:t xml:space="preserve"> de l’équipe chargée des rapports, les auteurs </w:t>
            </w:r>
            <w:r w:rsidR="00C56F76" w:rsidRPr="00F77964">
              <w:rPr>
                <w:rFonts w:eastAsia="SimSun"/>
                <w:sz w:val="18"/>
                <w:szCs w:val="18"/>
                <w:lang w:eastAsia="zh-CN"/>
              </w:rPr>
              <w:t>coordonnateurs</w:t>
            </w:r>
            <w:r w:rsidRPr="00F77964">
              <w:rPr>
                <w:rFonts w:eastAsia="SimSun"/>
                <w:sz w:val="18"/>
                <w:szCs w:val="18"/>
                <w:lang w:eastAsia="zh-CN"/>
              </w:rPr>
              <w:t xml:space="preserve"> principaux, les auteurs principaux et les éditeurs-réviseurs</w:t>
            </w:r>
            <w:r w:rsidR="00D93613" w:rsidRPr="00F77964">
              <w:rPr>
                <w:rFonts w:eastAsia="SimSun"/>
                <w:sz w:val="18"/>
                <w:szCs w:val="18"/>
                <w:lang w:eastAsia="zh-CN"/>
              </w:rPr>
              <w:t>,</w:t>
            </w:r>
            <w:r w:rsidRPr="00F77964">
              <w:rPr>
                <w:rFonts w:eastAsia="SimSun"/>
                <w:sz w:val="18"/>
                <w:szCs w:val="18"/>
                <w:lang w:eastAsia="zh-CN"/>
              </w:rPr>
              <w:t xml:space="preserve"> en </w:t>
            </w:r>
            <w:r w:rsidR="00D93613" w:rsidRPr="00F77964">
              <w:rPr>
                <w:rFonts w:eastAsia="SimSun"/>
                <w:sz w:val="18"/>
                <w:szCs w:val="18"/>
                <w:lang w:eastAsia="zh-CN"/>
              </w:rPr>
              <w:t>se fondant sur</w:t>
            </w:r>
            <w:r w:rsidRPr="00F77964">
              <w:rPr>
                <w:rFonts w:eastAsia="SimSun"/>
                <w:sz w:val="18"/>
                <w:szCs w:val="18"/>
                <w:lang w:eastAsia="zh-CN"/>
              </w:rPr>
              <w:t xml:space="preserve"> les critères de sélection</w:t>
            </w:r>
            <w:r w:rsidR="00435D19">
              <w:rPr>
                <w:rFonts w:eastAsia="SimSun"/>
                <w:sz w:val="18"/>
                <w:szCs w:val="18"/>
                <w:lang w:eastAsia="zh-CN"/>
              </w:rPr>
              <w:t xml:space="preserve"> (voir IPBES/2/9)</w:t>
            </w:r>
            <w:r w:rsidRPr="00F77964">
              <w:rPr>
                <w:rFonts w:eastAsia="SimSun"/>
                <w:sz w:val="18"/>
                <w:szCs w:val="18"/>
                <w:lang w:eastAsia="zh-CN"/>
              </w:rPr>
              <w:t xml:space="preserve">. </w:t>
            </w:r>
            <w:r w:rsidR="00D93613" w:rsidRPr="00F77964">
              <w:rPr>
                <w:rFonts w:eastAsia="SimSun"/>
                <w:sz w:val="18"/>
                <w:szCs w:val="18"/>
                <w:lang w:eastAsia="zh-CN"/>
              </w:rPr>
              <w:t>Il</w:t>
            </w:r>
            <w:r w:rsidRPr="00F77964">
              <w:rPr>
                <w:rFonts w:eastAsia="SimSun"/>
                <w:sz w:val="18"/>
                <w:szCs w:val="18"/>
                <w:lang w:eastAsia="zh-CN"/>
              </w:rPr>
              <w:t xml:space="preserve"> tient compte, en particulier, des vues de </w:t>
            </w:r>
            <w:r w:rsidR="00D3747E">
              <w:rPr>
                <w:rFonts w:eastAsia="SimSun"/>
                <w:sz w:val="18"/>
                <w:szCs w:val="18"/>
                <w:lang w:eastAsia="zh-CN"/>
              </w:rPr>
              <w:t>ses membres régionaux concernés</w:t>
            </w:r>
          </w:p>
        </w:tc>
      </w:tr>
      <w:tr w:rsidR="00D66005" w:rsidRPr="0061490E" w:rsidTr="00933E80">
        <w:trPr>
          <w:trHeight w:val="274"/>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933E80">
            <w:pPr>
              <w:rPr>
                <w:rFonts w:eastAsia="SimSun"/>
                <w:sz w:val="18"/>
                <w:szCs w:val="18"/>
                <w:lang w:eastAsia="zh-CN"/>
              </w:rPr>
            </w:pPr>
          </w:p>
        </w:tc>
        <w:tc>
          <w:tcPr>
            <w:tcW w:w="146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933E80">
            <w:pPr>
              <w:pStyle w:val="Normal-pool"/>
              <w:spacing w:before="40" w:after="40"/>
              <w:rPr>
                <w:rFonts w:eastAsia="SimSun"/>
                <w:sz w:val="18"/>
                <w:szCs w:val="18"/>
                <w:lang w:eastAsia="zh-CN"/>
              </w:rPr>
            </w:pPr>
            <w:r w:rsidRPr="00F77964">
              <w:rPr>
                <w:rFonts w:eastAsia="SimSun"/>
                <w:sz w:val="18"/>
                <w:szCs w:val="18"/>
                <w:lang w:eastAsia="zh-CN"/>
              </w:rPr>
              <w:t>T</w:t>
            </w:r>
            <w:r w:rsidR="001F0130" w:rsidRPr="00F77964">
              <w:rPr>
                <w:rFonts w:eastAsia="SimSun"/>
                <w:sz w:val="18"/>
                <w:szCs w:val="18"/>
                <w:lang w:eastAsia="zh-CN"/>
              </w:rPr>
              <w:t>roisième trimestre</w:t>
            </w:r>
          </w:p>
        </w:tc>
        <w:tc>
          <w:tcPr>
            <w:tcW w:w="6636" w:type="dxa"/>
            <w:tcBorders>
              <w:top w:val="single" w:sz="4" w:space="0" w:color="auto"/>
              <w:left w:val="single" w:sz="4" w:space="0" w:color="auto"/>
              <w:bottom w:val="single" w:sz="4" w:space="0" w:color="auto"/>
              <w:right w:val="single" w:sz="4" w:space="0" w:color="auto"/>
            </w:tcBorders>
            <w:hideMark/>
          </w:tcPr>
          <w:p w:rsidR="00D66005" w:rsidRPr="00F77964" w:rsidRDefault="001F0130" w:rsidP="00933E80">
            <w:pPr>
              <w:pStyle w:val="Normal-pool"/>
              <w:spacing w:before="40" w:after="40"/>
              <w:rPr>
                <w:rFonts w:eastAsia="SimSun"/>
                <w:sz w:val="18"/>
                <w:szCs w:val="18"/>
                <w:lang w:eastAsia="zh-CN"/>
              </w:rPr>
            </w:pPr>
            <w:r w:rsidRPr="00F77964">
              <w:rPr>
                <w:rFonts w:eastAsia="SimSun"/>
                <w:sz w:val="18"/>
                <w:szCs w:val="18"/>
                <w:lang w:eastAsia="zh-CN"/>
              </w:rPr>
              <w:t xml:space="preserve">Les </w:t>
            </w:r>
            <w:r w:rsidR="006E337B">
              <w:rPr>
                <w:rFonts w:eastAsia="SimSun"/>
                <w:sz w:val="18"/>
                <w:szCs w:val="18"/>
                <w:lang w:eastAsia="zh-CN"/>
              </w:rPr>
              <w:t>coprésidents</w:t>
            </w:r>
            <w:r w:rsidRPr="00F77964">
              <w:rPr>
                <w:rFonts w:eastAsia="SimSun"/>
                <w:sz w:val="18"/>
                <w:szCs w:val="18"/>
                <w:lang w:eastAsia="zh-CN"/>
              </w:rPr>
              <w:t xml:space="preserve">, les auteurs </w:t>
            </w:r>
            <w:r w:rsidR="00C56F76" w:rsidRPr="00F77964">
              <w:rPr>
                <w:rFonts w:eastAsia="SimSun"/>
                <w:sz w:val="18"/>
                <w:szCs w:val="18"/>
                <w:lang w:eastAsia="zh-CN"/>
              </w:rPr>
              <w:t>coordonnateurs</w:t>
            </w:r>
            <w:r w:rsidRPr="00F77964">
              <w:rPr>
                <w:rFonts w:eastAsia="SimSun"/>
                <w:sz w:val="18"/>
                <w:szCs w:val="18"/>
                <w:lang w:eastAsia="zh-CN"/>
              </w:rPr>
              <w:t xml:space="preserve"> principaux et les auteurs principaux se réunissent pour établir l’avant-projet des différents rapports d’évaluation </w:t>
            </w:r>
            <w:r w:rsidR="00C56F76" w:rsidRPr="00F77964">
              <w:rPr>
                <w:rFonts w:eastAsia="SimSun"/>
                <w:sz w:val="18"/>
                <w:szCs w:val="18"/>
                <w:lang w:eastAsia="zh-CN"/>
              </w:rPr>
              <w:t>régionaux</w:t>
            </w:r>
            <w:r w:rsidRPr="00F77964">
              <w:rPr>
                <w:rFonts w:eastAsia="SimSun"/>
                <w:sz w:val="18"/>
                <w:szCs w:val="18"/>
                <w:lang w:eastAsia="zh-CN"/>
              </w:rPr>
              <w:t>/sous-régionaux</w:t>
            </w:r>
            <w:r w:rsidR="00D93613" w:rsidRPr="00F77964">
              <w:rPr>
                <w:rFonts w:eastAsia="SimSun"/>
                <w:sz w:val="18"/>
                <w:szCs w:val="18"/>
                <w:lang w:eastAsia="zh-CN"/>
              </w:rPr>
              <w:t>.</w:t>
            </w:r>
          </w:p>
        </w:tc>
      </w:tr>
      <w:tr w:rsidR="00D66005" w:rsidRPr="0061490E" w:rsidTr="00933E80">
        <w:trPr>
          <w:trHeight w:val="141"/>
        </w:trPr>
        <w:tc>
          <w:tcPr>
            <w:tcW w:w="659"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933E80">
            <w:pPr>
              <w:pStyle w:val="Normal-pool"/>
              <w:spacing w:before="40" w:after="40"/>
              <w:rPr>
                <w:rFonts w:eastAsia="SimSun"/>
                <w:sz w:val="18"/>
                <w:szCs w:val="18"/>
                <w:lang w:eastAsia="zh-CN"/>
              </w:rPr>
            </w:pPr>
            <w:r w:rsidRPr="00F77964">
              <w:rPr>
                <w:rFonts w:eastAsia="SimSun"/>
                <w:sz w:val="18"/>
                <w:szCs w:val="18"/>
                <w:lang w:eastAsia="zh-CN"/>
              </w:rPr>
              <w:t>2016</w:t>
            </w:r>
          </w:p>
        </w:tc>
        <w:tc>
          <w:tcPr>
            <w:tcW w:w="1462" w:type="dxa"/>
            <w:tcBorders>
              <w:top w:val="single" w:sz="4" w:space="0" w:color="auto"/>
              <w:left w:val="single" w:sz="4" w:space="0" w:color="auto"/>
              <w:bottom w:val="single" w:sz="4" w:space="0" w:color="auto"/>
              <w:right w:val="single" w:sz="4" w:space="0" w:color="auto"/>
            </w:tcBorders>
            <w:hideMark/>
          </w:tcPr>
          <w:p w:rsidR="00D66005" w:rsidRPr="00F77964" w:rsidRDefault="001F0130" w:rsidP="00933E80">
            <w:pPr>
              <w:pStyle w:val="Normal-pool"/>
              <w:spacing w:before="40" w:after="40"/>
              <w:rPr>
                <w:rFonts w:eastAsia="SimSun"/>
                <w:sz w:val="18"/>
                <w:szCs w:val="18"/>
                <w:lang w:eastAsia="zh-CN"/>
              </w:rPr>
            </w:pPr>
            <w:r w:rsidRPr="00F77964">
              <w:rPr>
                <w:rFonts w:eastAsia="SimSun"/>
                <w:sz w:val="18"/>
                <w:szCs w:val="18"/>
                <w:lang w:eastAsia="zh-CN"/>
              </w:rPr>
              <w:t>Premier trimestre</w:t>
            </w:r>
          </w:p>
        </w:tc>
        <w:tc>
          <w:tcPr>
            <w:tcW w:w="6636" w:type="dxa"/>
            <w:tcBorders>
              <w:top w:val="single" w:sz="4" w:space="0" w:color="auto"/>
              <w:left w:val="single" w:sz="4" w:space="0" w:color="auto"/>
              <w:bottom w:val="single" w:sz="4" w:space="0" w:color="auto"/>
              <w:right w:val="single" w:sz="4" w:space="0" w:color="auto"/>
            </w:tcBorders>
            <w:hideMark/>
          </w:tcPr>
          <w:p w:rsidR="00D66005" w:rsidRPr="00F77964" w:rsidRDefault="001F0130" w:rsidP="00933E80">
            <w:pPr>
              <w:pStyle w:val="Normal-pool"/>
              <w:spacing w:before="40" w:after="40"/>
              <w:rPr>
                <w:rFonts w:eastAsia="SimSun"/>
                <w:sz w:val="18"/>
                <w:szCs w:val="18"/>
                <w:lang w:eastAsia="zh-CN"/>
              </w:rPr>
            </w:pPr>
            <w:r w:rsidRPr="00F77964">
              <w:rPr>
                <w:rFonts w:eastAsia="SimSun"/>
                <w:sz w:val="18"/>
                <w:szCs w:val="18"/>
                <w:lang w:eastAsia="zh-CN"/>
              </w:rPr>
              <w:t>L’avant-projet de rapport est examiné par les experts concernés,</w:t>
            </w:r>
            <w:r w:rsidR="00D93613" w:rsidRPr="00F77964">
              <w:rPr>
                <w:rFonts w:eastAsia="SimSun"/>
                <w:sz w:val="18"/>
                <w:szCs w:val="18"/>
                <w:lang w:eastAsia="zh-CN"/>
              </w:rPr>
              <w:t xml:space="preserve"> le recours à l’expertise locale étant privilégié dans</w:t>
            </w:r>
            <w:r w:rsidRPr="00F77964">
              <w:rPr>
                <w:rFonts w:eastAsia="SimSun"/>
                <w:sz w:val="18"/>
                <w:szCs w:val="18"/>
                <w:lang w:eastAsia="zh-CN"/>
              </w:rPr>
              <w:t xml:space="preserve"> l’examen des rapports régionaux et sous-régionaux</w:t>
            </w:r>
          </w:p>
        </w:tc>
      </w:tr>
      <w:tr w:rsidR="00D66005" w:rsidRPr="0061490E" w:rsidTr="00933E80">
        <w:trPr>
          <w:trHeight w:val="64"/>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933E80">
            <w:pPr>
              <w:rPr>
                <w:rFonts w:eastAsia="SimSun"/>
                <w:sz w:val="18"/>
                <w:szCs w:val="18"/>
                <w:lang w:eastAsia="zh-CN"/>
              </w:rPr>
            </w:pPr>
          </w:p>
        </w:tc>
        <w:tc>
          <w:tcPr>
            <w:tcW w:w="1462" w:type="dxa"/>
            <w:tcBorders>
              <w:top w:val="single" w:sz="4" w:space="0" w:color="auto"/>
              <w:left w:val="single" w:sz="4" w:space="0" w:color="auto"/>
              <w:bottom w:val="single" w:sz="4" w:space="0" w:color="auto"/>
              <w:right w:val="single" w:sz="4" w:space="0" w:color="auto"/>
            </w:tcBorders>
            <w:hideMark/>
          </w:tcPr>
          <w:p w:rsidR="00D66005" w:rsidRPr="00F77964" w:rsidRDefault="001F0130" w:rsidP="00933E80">
            <w:pPr>
              <w:pStyle w:val="Normal-pool"/>
              <w:spacing w:before="40" w:after="40"/>
              <w:rPr>
                <w:rFonts w:eastAsia="SimSun"/>
                <w:sz w:val="18"/>
                <w:szCs w:val="18"/>
                <w:lang w:eastAsia="zh-CN"/>
              </w:rPr>
            </w:pPr>
            <w:r w:rsidRPr="00F77964">
              <w:rPr>
                <w:rFonts w:eastAsia="SimSun"/>
                <w:sz w:val="18"/>
                <w:szCs w:val="18"/>
                <w:lang w:eastAsia="zh-CN"/>
              </w:rPr>
              <w:t>Deuxième trimestre</w:t>
            </w:r>
          </w:p>
        </w:tc>
        <w:tc>
          <w:tcPr>
            <w:tcW w:w="6636" w:type="dxa"/>
            <w:tcBorders>
              <w:top w:val="single" w:sz="4" w:space="0" w:color="auto"/>
              <w:left w:val="single" w:sz="4" w:space="0" w:color="auto"/>
              <w:bottom w:val="single" w:sz="4" w:space="0" w:color="auto"/>
              <w:right w:val="single" w:sz="4" w:space="0" w:color="auto"/>
            </w:tcBorders>
            <w:hideMark/>
          </w:tcPr>
          <w:p w:rsidR="00D66005" w:rsidRPr="00F77964" w:rsidRDefault="001F0130" w:rsidP="00933E80">
            <w:pPr>
              <w:pStyle w:val="Normal-pool"/>
              <w:spacing w:before="40" w:after="40"/>
              <w:rPr>
                <w:rFonts w:eastAsia="SimSun"/>
                <w:sz w:val="18"/>
                <w:szCs w:val="18"/>
                <w:lang w:eastAsia="zh-CN"/>
              </w:rPr>
            </w:pPr>
            <w:r w:rsidRPr="00F77964">
              <w:rPr>
                <w:rFonts w:eastAsia="SimSun"/>
                <w:sz w:val="18"/>
                <w:szCs w:val="18"/>
                <w:lang w:eastAsia="zh-CN"/>
              </w:rPr>
              <w:t xml:space="preserve">Les </w:t>
            </w:r>
            <w:r w:rsidR="006E337B">
              <w:rPr>
                <w:rFonts w:eastAsia="SimSun"/>
                <w:sz w:val="18"/>
                <w:szCs w:val="18"/>
                <w:lang w:eastAsia="zh-CN"/>
              </w:rPr>
              <w:t>coprésidents</w:t>
            </w:r>
            <w:r w:rsidRPr="00F77964">
              <w:rPr>
                <w:rFonts w:eastAsia="SimSun"/>
                <w:sz w:val="18"/>
                <w:szCs w:val="18"/>
                <w:lang w:eastAsia="zh-CN"/>
              </w:rPr>
              <w:t xml:space="preserve">, les auteurs coordonnateurs principaux et les auteurs principaux établissent le deuxième projet de rapport et </w:t>
            </w:r>
            <w:r w:rsidR="00C56F76" w:rsidRPr="00F77964">
              <w:rPr>
                <w:rFonts w:eastAsia="SimSun"/>
                <w:sz w:val="18"/>
                <w:szCs w:val="18"/>
                <w:lang w:eastAsia="zh-CN"/>
              </w:rPr>
              <w:t>l’avant-projet</w:t>
            </w:r>
            <w:r w:rsidRPr="00F77964">
              <w:rPr>
                <w:rFonts w:eastAsia="SimSun"/>
                <w:sz w:val="18"/>
                <w:szCs w:val="18"/>
                <w:lang w:eastAsia="zh-CN"/>
              </w:rPr>
              <w:t xml:space="preserve"> de résumé à l’intention des décideurs</w:t>
            </w:r>
            <w:r w:rsidR="00D93613" w:rsidRPr="00F77964">
              <w:rPr>
                <w:rFonts w:eastAsia="SimSun"/>
                <w:sz w:val="18"/>
                <w:szCs w:val="18"/>
                <w:lang w:eastAsia="zh-CN"/>
              </w:rPr>
              <w:t>,</w:t>
            </w:r>
            <w:r w:rsidRPr="00F77964">
              <w:rPr>
                <w:rFonts w:eastAsia="SimSun"/>
                <w:sz w:val="18"/>
                <w:szCs w:val="18"/>
                <w:lang w:eastAsia="zh-CN"/>
              </w:rPr>
              <w:t xml:space="preserve"> sous la direction des éditeurs-réviseurs et du Groupe d’experts multidisciplinaire</w:t>
            </w:r>
            <w:r w:rsidR="00D66005" w:rsidRPr="00F77964">
              <w:rPr>
                <w:rFonts w:eastAsia="SimSun"/>
                <w:sz w:val="18"/>
                <w:szCs w:val="18"/>
                <w:lang w:eastAsia="zh-CN"/>
              </w:rPr>
              <w:t xml:space="preserve"> </w:t>
            </w:r>
          </w:p>
        </w:tc>
      </w:tr>
      <w:tr w:rsidR="00D66005" w:rsidRPr="0061490E" w:rsidTr="00933E80">
        <w:trPr>
          <w:trHeight w:val="88"/>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933E80">
            <w:pPr>
              <w:rPr>
                <w:rFonts w:eastAsia="SimSun"/>
                <w:sz w:val="18"/>
                <w:szCs w:val="18"/>
                <w:lang w:eastAsia="zh-CN"/>
              </w:rPr>
            </w:pPr>
          </w:p>
        </w:tc>
        <w:tc>
          <w:tcPr>
            <w:tcW w:w="146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933E80">
            <w:pPr>
              <w:pStyle w:val="Normal-pool"/>
              <w:spacing w:before="40" w:after="40"/>
              <w:rPr>
                <w:rFonts w:eastAsia="SimSun"/>
                <w:sz w:val="18"/>
                <w:szCs w:val="18"/>
                <w:lang w:eastAsia="zh-CN"/>
              </w:rPr>
            </w:pPr>
            <w:r w:rsidRPr="00F77964">
              <w:rPr>
                <w:rFonts w:eastAsia="SimSun"/>
                <w:sz w:val="18"/>
                <w:szCs w:val="18"/>
                <w:lang w:eastAsia="zh-CN"/>
              </w:rPr>
              <w:t>T</w:t>
            </w:r>
            <w:r w:rsidR="001F0130" w:rsidRPr="00F77964">
              <w:rPr>
                <w:rFonts w:eastAsia="SimSun"/>
                <w:sz w:val="18"/>
                <w:szCs w:val="18"/>
                <w:lang w:eastAsia="zh-CN"/>
              </w:rPr>
              <w:t>roisième trimestre</w:t>
            </w:r>
          </w:p>
        </w:tc>
        <w:tc>
          <w:tcPr>
            <w:tcW w:w="6636" w:type="dxa"/>
            <w:tcBorders>
              <w:top w:val="single" w:sz="4" w:space="0" w:color="auto"/>
              <w:left w:val="single" w:sz="4" w:space="0" w:color="auto"/>
              <w:bottom w:val="single" w:sz="4" w:space="0" w:color="auto"/>
              <w:right w:val="single" w:sz="4" w:space="0" w:color="auto"/>
            </w:tcBorders>
            <w:hideMark/>
          </w:tcPr>
          <w:p w:rsidR="00D66005" w:rsidRPr="00F77964" w:rsidRDefault="00435D19" w:rsidP="00933E80">
            <w:pPr>
              <w:pStyle w:val="Normal-pool"/>
              <w:spacing w:before="40" w:after="40"/>
              <w:rPr>
                <w:rFonts w:eastAsia="SimSun"/>
                <w:sz w:val="18"/>
                <w:szCs w:val="18"/>
                <w:lang w:eastAsia="zh-CN"/>
              </w:rPr>
            </w:pPr>
            <w:r>
              <w:rPr>
                <w:rFonts w:eastAsia="SimSun"/>
                <w:sz w:val="18"/>
                <w:szCs w:val="18"/>
                <w:lang w:eastAsia="zh-CN"/>
              </w:rPr>
              <w:t>L</w:t>
            </w:r>
            <w:r w:rsidR="008B1145">
              <w:rPr>
                <w:rFonts w:eastAsia="SimSun"/>
                <w:sz w:val="18"/>
                <w:szCs w:val="18"/>
                <w:lang w:eastAsia="zh-CN"/>
              </w:rPr>
              <w:t>e</w:t>
            </w:r>
            <w:r w:rsidR="00150DE4" w:rsidRPr="00F77964">
              <w:rPr>
                <w:rFonts w:eastAsia="SimSun"/>
                <w:sz w:val="18"/>
                <w:szCs w:val="18"/>
                <w:lang w:eastAsia="zh-CN"/>
              </w:rPr>
              <w:t xml:space="preserve"> deuxième projet de rapport et l</w:t>
            </w:r>
            <w:r w:rsidR="00D93613" w:rsidRPr="00F77964">
              <w:rPr>
                <w:rFonts w:eastAsia="SimSun"/>
                <w:sz w:val="18"/>
                <w:szCs w:val="18"/>
                <w:lang w:eastAsia="zh-CN"/>
              </w:rPr>
              <w:t>’avant-projet de</w:t>
            </w:r>
            <w:r w:rsidR="00150DE4" w:rsidRPr="00F77964">
              <w:rPr>
                <w:rFonts w:eastAsia="SimSun"/>
                <w:sz w:val="18"/>
                <w:szCs w:val="18"/>
                <w:lang w:eastAsia="zh-CN"/>
              </w:rPr>
              <w:t xml:space="preserve"> résumé à l’intention des décideurs sont examinés par les experts, les gouvernements et les autres parties prenantes</w:t>
            </w:r>
            <w:r w:rsidR="00D66005" w:rsidRPr="00F77964">
              <w:rPr>
                <w:rFonts w:eastAsia="SimSun"/>
                <w:sz w:val="18"/>
                <w:szCs w:val="18"/>
                <w:lang w:eastAsia="zh-CN"/>
              </w:rPr>
              <w:t xml:space="preserve"> </w:t>
            </w:r>
          </w:p>
        </w:tc>
      </w:tr>
      <w:tr w:rsidR="00D66005" w:rsidRPr="0061490E" w:rsidTr="00933E80">
        <w:trPr>
          <w:trHeight w:val="351"/>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933E80">
            <w:pPr>
              <w:rPr>
                <w:rFonts w:eastAsia="SimSun"/>
                <w:sz w:val="18"/>
                <w:szCs w:val="18"/>
                <w:lang w:eastAsia="zh-CN"/>
              </w:rPr>
            </w:pPr>
          </w:p>
        </w:tc>
        <w:tc>
          <w:tcPr>
            <w:tcW w:w="1462"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150DE4" w:rsidP="00933E80">
            <w:pPr>
              <w:pStyle w:val="Normal-pool"/>
              <w:spacing w:before="40" w:after="40"/>
              <w:rPr>
                <w:rFonts w:eastAsia="SimSun"/>
                <w:sz w:val="18"/>
                <w:szCs w:val="18"/>
                <w:lang w:eastAsia="zh-CN"/>
              </w:rPr>
            </w:pPr>
            <w:r w:rsidRPr="00F77964">
              <w:rPr>
                <w:rFonts w:eastAsia="SimSun"/>
                <w:sz w:val="18"/>
                <w:szCs w:val="18"/>
                <w:lang w:eastAsia="zh-CN"/>
              </w:rPr>
              <w:t>Quatrième trimestre</w:t>
            </w:r>
          </w:p>
        </w:tc>
        <w:tc>
          <w:tcPr>
            <w:tcW w:w="6636" w:type="dxa"/>
            <w:tcBorders>
              <w:top w:val="single" w:sz="4" w:space="0" w:color="auto"/>
              <w:left w:val="single" w:sz="4" w:space="0" w:color="auto"/>
              <w:bottom w:val="single" w:sz="4" w:space="0" w:color="auto"/>
              <w:right w:val="single" w:sz="4" w:space="0" w:color="auto"/>
            </w:tcBorders>
            <w:hideMark/>
          </w:tcPr>
          <w:p w:rsidR="00D66005" w:rsidRPr="00F77964" w:rsidRDefault="00150DE4" w:rsidP="00933E80">
            <w:pPr>
              <w:pStyle w:val="Normal-pool"/>
              <w:spacing w:before="40" w:after="40"/>
              <w:rPr>
                <w:rFonts w:eastAsia="SimSun"/>
                <w:sz w:val="18"/>
                <w:szCs w:val="18"/>
                <w:lang w:eastAsia="zh-CN"/>
              </w:rPr>
            </w:pPr>
            <w:r w:rsidRPr="00F77964">
              <w:rPr>
                <w:rFonts w:eastAsia="SimSun"/>
                <w:sz w:val="18"/>
                <w:szCs w:val="18"/>
                <w:lang w:eastAsia="zh-CN"/>
              </w:rPr>
              <w:t xml:space="preserve">Les </w:t>
            </w:r>
            <w:r w:rsidR="006E337B">
              <w:rPr>
                <w:rFonts w:eastAsia="SimSun"/>
                <w:sz w:val="18"/>
                <w:szCs w:val="18"/>
                <w:lang w:eastAsia="zh-CN"/>
              </w:rPr>
              <w:t>coprésidents</w:t>
            </w:r>
            <w:r w:rsidRPr="00F77964">
              <w:rPr>
                <w:rFonts w:eastAsia="SimSun"/>
                <w:sz w:val="18"/>
                <w:szCs w:val="18"/>
                <w:lang w:eastAsia="zh-CN"/>
              </w:rPr>
              <w:t>, les auteurs coordonnateurs principaux et les auteurs principaux établissent l</w:t>
            </w:r>
            <w:r w:rsidR="004762CF" w:rsidRPr="00F77964">
              <w:rPr>
                <w:rFonts w:eastAsia="SimSun"/>
                <w:sz w:val="18"/>
                <w:szCs w:val="18"/>
                <w:lang w:eastAsia="zh-CN"/>
              </w:rPr>
              <w:t>a version</w:t>
            </w:r>
            <w:r w:rsidRPr="00F77964">
              <w:rPr>
                <w:rFonts w:eastAsia="SimSun"/>
                <w:sz w:val="18"/>
                <w:szCs w:val="18"/>
                <w:lang w:eastAsia="zh-CN"/>
              </w:rPr>
              <w:t xml:space="preserve"> final</w:t>
            </w:r>
            <w:r w:rsidR="004762CF" w:rsidRPr="00F77964">
              <w:rPr>
                <w:rFonts w:eastAsia="SimSun"/>
                <w:sz w:val="18"/>
                <w:szCs w:val="18"/>
                <w:lang w:eastAsia="zh-CN"/>
              </w:rPr>
              <w:t>e</w:t>
            </w:r>
            <w:r w:rsidRPr="00F77964">
              <w:rPr>
                <w:rFonts w:eastAsia="SimSun"/>
                <w:sz w:val="18"/>
                <w:szCs w:val="18"/>
                <w:lang w:eastAsia="zh-CN"/>
              </w:rPr>
              <w:t xml:space="preserve"> d</w:t>
            </w:r>
            <w:r w:rsidR="004762CF" w:rsidRPr="00F77964">
              <w:rPr>
                <w:rFonts w:eastAsia="SimSun"/>
                <w:sz w:val="18"/>
                <w:szCs w:val="18"/>
                <w:lang w:eastAsia="zh-CN"/>
              </w:rPr>
              <w:t>u</w:t>
            </w:r>
            <w:r w:rsidRPr="00F77964">
              <w:rPr>
                <w:rFonts w:eastAsia="SimSun"/>
                <w:sz w:val="18"/>
                <w:szCs w:val="18"/>
                <w:lang w:eastAsia="zh-CN"/>
              </w:rPr>
              <w:t xml:space="preserve"> rapport et </w:t>
            </w:r>
            <w:r w:rsidR="004762CF" w:rsidRPr="00F77964">
              <w:rPr>
                <w:rFonts w:eastAsia="SimSun"/>
                <w:sz w:val="18"/>
                <w:szCs w:val="18"/>
                <w:lang w:eastAsia="zh-CN"/>
              </w:rPr>
              <w:t>du</w:t>
            </w:r>
            <w:r w:rsidRPr="00F77964">
              <w:rPr>
                <w:rFonts w:eastAsia="SimSun"/>
                <w:sz w:val="18"/>
                <w:szCs w:val="18"/>
                <w:lang w:eastAsia="zh-CN"/>
              </w:rPr>
              <w:t xml:space="preserve"> résumé à l’intention des décideurs</w:t>
            </w:r>
            <w:r w:rsidR="00D93613" w:rsidRPr="00F77964">
              <w:rPr>
                <w:rFonts w:eastAsia="SimSun"/>
                <w:sz w:val="18"/>
                <w:szCs w:val="18"/>
                <w:lang w:eastAsia="zh-CN"/>
              </w:rPr>
              <w:t>,</w:t>
            </w:r>
            <w:r w:rsidRPr="00F77964">
              <w:rPr>
                <w:rFonts w:eastAsia="SimSun"/>
                <w:sz w:val="18"/>
                <w:szCs w:val="18"/>
                <w:lang w:eastAsia="zh-CN"/>
              </w:rPr>
              <w:t xml:space="preserve"> sous la direction des éditeurs-réviseurs et du Groupe d’experts </w:t>
            </w:r>
            <w:r w:rsidR="00D93613" w:rsidRPr="00F77964">
              <w:rPr>
                <w:rFonts w:eastAsia="SimSun"/>
                <w:sz w:val="18"/>
                <w:szCs w:val="18"/>
                <w:lang w:eastAsia="zh-CN"/>
              </w:rPr>
              <w:t>multi</w:t>
            </w:r>
            <w:r w:rsidRPr="00F77964">
              <w:rPr>
                <w:rFonts w:eastAsia="SimSun"/>
                <w:sz w:val="18"/>
                <w:szCs w:val="18"/>
                <w:lang w:eastAsia="zh-CN"/>
              </w:rPr>
              <w:t>disciplinaire</w:t>
            </w:r>
            <w:r w:rsidR="00D66005" w:rsidRPr="00F77964">
              <w:rPr>
                <w:rFonts w:eastAsia="SimSun"/>
                <w:sz w:val="18"/>
                <w:szCs w:val="18"/>
                <w:lang w:eastAsia="zh-CN"/>
              </w:rPr>
              <w:t xml:space="preserve"> </w:t>
            </w:r>
          </w:p>
        </w:tc>
      </w:tr>
      <w:tr w:rsidR="00D66005" w:rsidRPr="0061490E" w:rsidTr="00933E80">
        <w:trPr>
          <w:trHeight w:val="90"/>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933E80">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933E80">
            <w:pPr>
              <w:rPr>
                <w:rFonts w:eastAsia="SimSun"/>
                <w:sz w:val="18"/>
                <w:szCs w:val="18"/>
                <w:lang w:eastAsia="zh-CN"/>
              </w:rPr>
            </w:pPr>
          </w:p>
        </w:tc>
        <w:tc>
          <w:tcPr>
            <w:tcW w:w="6636" w:type="dxa"/>
            <w:tcBorders>
              <w:top w:val="single" w:sz="4" w:space="0" w:color="auto"/>
              <w:left w:val="single" w:sz="4" w:space="0" w:color="auto"/>
              <w:bottom w:val="single" w:sz="4" w:space="0" w:color="auto"/>
              <w:right w:val="single" w:sz="4" w:space="0" w:color="auto"/>
            </w:tcBorders>
            <w:hideMark/>
          </w:tcPr>
          <w:p w:rsidR="00D66005" w:rsidRPr="00F77964" w:rsidRDefault="00150DE4" w:rsidP="00933E80">
            <w:pPr>
              <w:pStyle w:val="Normal-pool"/>
              <w:spacing w:before="40" w:after="40"/>
              <w:rPr>
                <w:rFonts w:eastAsia="SimSun"/>
                <w:sz w:val="18"/>
                <w:szCs w:val="18"/>
                <w:lang w:eastAsia="zh-CN"/>
              </w:rPr>
            </w:pPr>
            <w:r w:rsidRPr="00F77964">
              <w:rPr>
                <w:rFonts w:eastAsia="SimSun"/>
                <w:sz w:val="18"/>
                <w:szCs w:val="18"/>
                <w:lang w:eastAsia="zh-CN"/>
              </w:rPr>
              <w:t xml:space="preserve">Le résumé </w:t>
            </w:r>
            <w:r w:rsidR="00D93613" w:rsidRPr="00F77964">
              <w:rPr>
                <w:rFonts w:eastAsia="SimSun"/>
                <w:sz w:val="18"/>
                <w:szCs w:val="18"/>
                <w:lang w:eastAsia="zh-CN"/>
              </w:rPr>
              <w:t>à l’intention des</w:t>
            </w:r>
            <w:r w:rsidRPr="00F77964">
              <w:rPr>
                <w:rFonts w:eastAsia="SimSun"/>
                <w:sz w:val="18"/>
                <w:szCs w:val="18"/>
                <w:lang w:eastAsia="zh-CN"/>
              </w:rPr>
              <w:t xml:space="preserve"> décideurs est traduit dans toutes les langues officielles de</w:t>
            </w:r>
            <w:r w:rsidR="00D93613" w:rsidRPr="00F77964">
              <w:rPr>
                <w:rFonts w:eastAsia="SimSun"/>
                <w:sz w:val="18"/>
                <w:szCs w:val="18"/>
                <w:lang w:eastAsia="zh-CN"/>
              </w:rPr>
              <w:t xml:space="preserve"> l’ONU</w:t>
            </w:r>
            <w:r w:rsidR="00D66005" w:rsidRPr="00F77964">
              <w:rPr>
                <w:rFonts w:eastAsia="SimSun"/>
                <w:sz w:val="18"/>
                <w:szCs w:val="18"/>
                <w:lang w:eastAsia="zh-CN"/>
              </w:rPr>
              <w:t xml:space="preserve"> (2 mo</w:t>
            </w:r>
            <w:r w:rsidRPr="00F77964">
              <w:rPr>
                <w:rFonts w:eastAsia="SimSun"/>
                <w:sz w:val="18"/>
                <w:szCs w:val="18"/>
                <w:lang w:eastAsia="zh-CN"/>
              </w:rPr>
              <w:t>is</w:t>
            </w:r>
            <w:r w:rsidR="00D66005" w:rsidRPr="00F77964">
              <w:rPr>
                <w:rFonts w:eastAsia="SimSun"/>
                <w:sz w:val="18"/>
                <w:szCs w:val="18"/>
                <w:lang w:eastAsia="zh-CN"/>
              </w:rPr>
              <w:t>)</w:t>
            </w:r>
          </w:p>
        </w:tc>
      </w:tr>
      <w:tr w:rsidR="00D66005" w:rsidRPr="0061490E" w:rsidTr="00933E80">
        <w:trPr>
          <w:trHeight w:val="64"/>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933E80">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933E80">
            <w:pPr>
              <w:rPr>
                <w:rFonts w:eastAsia="SimSun"/>
                <w:sz w:val="18"/>
                <w:szCs w:val="18"/>
                <w:lang w:eastAsia="zh-CN"/>
              </w:rPr>
            </w:pPr>
          </w:p>
        </w:tc>
        <w:tc>
          <w:tcPr>
            <w:tcW w:w="6636" w:type="dxa"/>
            <w:tcBorders>
              <w:top w:val="single" w:sz="4" w:space="0" w:color="auto"/>
              <w:left w:val="single" w:sz="4" w:space="0" w:color="auto"/>
              <w:bottom w:val="single" w:sz="4" w:space="0" w:color="auto"/>
              <w:right w:val="single" w:sz="4" w:space="0" w:color="auto"/>
            </w:tcBorders>
            <w:hideMark/>
          </w:tcPr>
          <w:p w:rsidR="00D66005" w:rsidRPr="00F77964" w:rsidRDefault="00150DE4" w:rsidP="00933E80">
            <w:pPr>
              <w:pStyle w:val="Normal-pool"/>
              <w:spacing w:before="40" w:after="40"/>
              <w:rPr>
                <w:rFonts w:eastAsia="SimSun"/>
                <w:sz w:val="18"/>
                <w:szCs w:val="18"/>
                <w:lang w:eastAsia="zh-CN"/>
              </w:rPr>
            </w:pPr>
            <w:r w:rsidRPr="00F77964">
              <w:rPr>
                <w:rFonts w:eastAsia="SimSun"/>
                <w:sz w:val="18"/>
                <w:szCs w:val="18"/>
                <w:lang w:eastAsia="zh-CN"/>
              </w:rPr>
              <w:t>L</w:t>
            </w:r>
            <w:r w:rsidR="004762CF" w:rsidRPr="00F77964">
              <w:rPr>
                <w:rFonts w:eastAsia="SimSun"/>
                <w:sz w:val="18"/>
                <w:szCs w:val="18"/>
                <w:lang w:eastAsia="zh-CN"/>
              </w:rPr>
              <w:t>a version</w:t>
            </w:r>
            <w:r w:rsidR="00D93613" w:rsidRPr="00F77964">
              <w:rPr>
                <w:rFonts w:eastAsia="SimSun"/>
                <w:sz w:val="18"/>
                <w:szCs w:val="18"/>
                <w:lang w:eastAsia="zh-CN"/>
              </w:rPr>
              <w:t xml:space="preserve"> </w:t>
            </w:r>
            <w:r w:rsidRPr="00F77964">
              <w:rPr>
                <w:rFonts w:eastAsia="SimSun"/>
                <w:sz w:val="18"/>
                <w:szCs w:val="18"/>
                <w:lang w:eastAsia="zh-CN"/>
              </w:rPr>
              <w:t>final</w:t>
            </w:r>
            <w:r w:rsidR="004762CF" w:rsidRPr="00F77964">
              <w:rPr>
                <w:rFonts w:eastAsia="SimSun"/>
                <w:sz w:val="18"/>
                <w:szCs w:val="18"/>
                <w:lang w:eastAsia="zh-CN"/>
              </w:rPr>
              <w:t>e du</w:t>
            </w:r>
            <w:r w:rsidR="00D93613" w:rsidRPr="00F77964">
              <w:rPr>
                <w:rFonts w:eastAsia="SimSun"/>
                <w:sz w:val="18"/>
                <w:szCs w:val="18"/>
                <w:lang w:eastAsia="zh-CN"/>
              </w:rPr>
              <w:t xml:space="preserve"> rapport et </w:t>
            </w:r>
            <w:r w:rsidR="004762CF" w:rsidRPr="00F77964">
              <w:rPr>
                <w:rFonts w:eastAsia="SimSun"/>
                <w:sz w:val="18"/>
                <w:szCs w:val="18"/>
                <w:lang w:eastAsia="zh-CN"/>
              </w:rPr>
              <w:t>du</w:t>
            </w:r>
            <w:r w:rsidRPr="00F77964">
              <w:rPr>
                <w:rFonts w:eastAsia="SimSun"/>
                <w:sz w:val="18"/>
                <w:szCs w:val="18"/>
                <w:lang w:eastAsia="zh-CN"/>
              </w:rPr>
              <w:t xml:space="preserve"> résumé pour les décideurs </w:t>
            </w:r>
            <w:r w:rsidR="004762CF" w:rsidRPr="00F77964">
              <w:rPr>
                <w:rFonts w:eastAsia="SimSun"/>
                <w:sz w:val="18"/>
                <w:szCs w:val="18"/>
                <w:lang w:eastAsia="zh-CN"/>
              </w:rPr>
              <w:t>est</w:t>
            </w:r>
            <w:r w:rsidRPr="00F77964">
              <w:rPr>
                <w:rFonts w:eastAsia="SimSun"/>
                <w:sz w:val="18"/>
                <w:szCs w:val="18"/>
                <w:lang w:eastAsia="zh-CN"/>
              </w:rPr>
              <w:t xml:space="preserve"> adressé</w:t>
            </w:r>
            <w:r w:rsidR="004762CF" w:rsidRPr="00F77964">
              <w:rPr>
                <w:rFonts w:eastAsia="SimSun"/>
                <w:sz w:val="18"/>
                <w:szCs w:val="18"/>
                <w:lang w:eastAsia="zh-CN"/>
              </w:rPr>
              <w:t>e</w:t>
            </w:r>
            <w:r w:rsidRPr="00F77964">
              <w:rPr>
                <w:rFonts w:eastAsia="SimSun"/>
                <w:sz w:val="18"/>
                <w:szCs w:val="18"/>
                <w:lang w:eastAsia="zh-CN"/>
              </w:rPr>
              <w:t xml:space="preserve"> aux gouvernements et aux autres parties prenantes pour examen final (</w:t>
            </w:r>
            <w:r w:rsidR="00D66005" w:rsidRPr="00F77964">
              <w:rPr>
                <w:rFonts w:eastAsia="SimSun"/>
                <w:sz w:val="18"/>
                <w:szCs w:val="18"/>
                <w:lang w:eastAsia="zh-CN"/>
              </w:rPr>
              <w:t>1</w:t>
            </w:r>
            <w:r w:rsidRPr="00F77964">
              <w:rPr>
                <w:rFonts w:eastAsia="SimSun"/>
                <w:sz w:val="18"/>
                <w:szCs w:val="18"/>
                <w:lang w:eastAsia="zh-CN"/>
              </w:rPr>
              <w:t>,</w:t>
            </w:r>
            <w:r w:rsidR="00D66005" w:rsidRPr="00F77964">
              <w:rPr>
                <w:rFonts w:eastAsia="SimSun"/>
                <w:sz w:val="18"/>
                <w:szCs w:val="18"/>
                <w:lang w:eastAsia="zh-CN"/>
              </w:rPr>
              <w:t xml:space="preserve">5 </w:t>
            </w:r>
            <w:r w:rsidRPr="00F77964">
              <w:rPr>
                <w:rFonts w:eastAsia="SimSun"/>
                <w:sz w:val="18"/>
                <w:szCs w:val="18"/>
                <w:lang w:eastAsia="zh-CN"/>
              </w:rPr>
              <w:t>à 2 mois</w:t>
            </w:r>
            <w:r w:rsidR="00D66005" w:rsidRPr="00F77964">
              <w:rPr>
                <w:rFonts w:eastAsia="SimSun"/>
                <w:sz w:val="18"/>
                <w:szCs w:val="18"/>
                <w:lang w:eastAsia="zh-CN"/>
              </w:rPr>
              <w:t>)</w:t>
            </w:r>
          </w:p>
        </w:tc>
      </w:tr>
      <w:tr w:rsidR="00D66005" w:rsidRPr="0061490E" w:rsidTr="00933E80">
        <w:trPr>
          <w:trHeight w:val="440"/>
        </w:trPr>
        <w:tc>
          <w:tcPr>
            <w:tcW w:w="659"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933E80">
            <w:pPr>
              <w:pStyle w:val="Normal-pool"/>
              <w:spacing w:before="40" w:after="40"/>
              <w:rPr>
                <w:rFonts w:eastAsia="SimSun"/>
                <w:sz w:val="18"/>
                <w:szCs w:val="18"/>
                <w:lang w:eastAsia="zh-CN"/>
              </w:rPr>
            </w:pPr>
            <w:r w:rsidRPr="00F77964">
              <w:rPr>
                <w:rFonts w:eastAsia="SimSun"/>
                <w:sz w:val="18"/>
                <w:szCs w:val="18"/>
                <w:lang w:eastAsia="zh-CN"/>
              </w:rPr>
              <w:t>2017</w:t>
            </w:r>
          </w:p>
        </w:tc>
        <w:tc>
          <w:tcPr>
            <w:tcW w:w="1462"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150DE4" w:rsidP="00933E80">
            <w:pPr>
              <w:pStyle w:val="Normal-pool"/>
              <w:spacing w:before="40" w:after="40"/>
              <w:rPr>
                <w:rFonts w:eastAsia="SimSun"/>
                <w:sz w:val="18"/>
                <w:szCs w:val="18"/>
                <w:lang w:eastAsia="zh-CN"/>
              </w:rPr>
            </w:pPr>
            <w:r w:rsidRPr="00F77964">
              <w:rPr>
                <w:rFonts w:eastAsia="SimSun"/>
                <w:sz w:val="18"/>
                <w:szCs w:val="18"/>
                <w:lang w:eastAsia="zh-CN"/>
              </w:rPr>
              <w:t>Premier trimestre</w:t>
            </w:r>
          </w:p>
        </w:tc>
        <w:tc>
          <w:tcPr>
            <w:tcW w:w="6636" w:type="dxa"/>
            <w:tcBorders>
              <w:top w:val="single" w:sz="4" w:space="0" w:color="auto"/>
              <w:left w:val="single" w:sz="4" w:space="0" w:color="auto"/>
              <w:bottom w:val="single" w:sz="4" w:space="0" w:color="auto"/>
              <w:right w:val="single" w:sz="4" w:space="0" w:color="auto"/>
            </w:tcBorders>
            <w:hideMark/>
          </w:tcPr>
          <w:p w:rsidR="00D66005" w:rsidRPr="00F77964" w:rsidRDefault="00026403" w:rsidP="00933E80">
            <w:pPr>
              <w:pStyle w:val="Normal-pool"/>
              <w:spacing w:before="40" w:after="40"/>
              <w:rPr>
                <w:rFonts w:eastAsia="SimSun"/>
                <w:sz w:val="18"/>
                <w:szCs w:val="18"/>
                <w:lang w:eastAsia="zh-CN"/>
              </w:rPr>
            </w:pPr>
            <w:r w:rsidRPr="00F77964">
              <w:rPr>
                <w:rFonts w:eastAsia="SimSun"/>
                <w:sz w:val="18"/>
                <w:szCs w:val="18"/>
                <w:lang w:eastAsia="zh-CN"/>
              </w:rPr>
              <w:t xml:space="preserve">Les gouvernements sont </w:t>
            </w:r>
            <w:r w:rsidR="00773D3D">
              <w:rPr>
                <w:rFonts w:eastAsia="SimSun"/>
                <w:sz w:val="18"/>
                <w:szCs w:val="18"/>
                <w:lang w:eastAsia="zh-CN"/>
              </w:rPr>
              <w:t>vivement encouragé</w:t>
            </w:r>
            <w:r w:rsidRPr="00F77964">
              <w:rPr>
                <w:rFonts w:eastAsia="SimSun"/>
                <w:sz w:val="18"/>
                <w:szCs w:val="18"/>
                <w:lang w:eastAsia="zh-CN"/>
              </w:rPr>
              <w:t>s à communiquer d</w:t>
            </w:r>
            <w:r w:rsidR="00150DE4" w:rsidRPr="00F77964">
              <w:rPr>
                <w:rFonts w:eastAsia="SimSun"/>
                <w:sz w:val="18"/>
                <w:szCs w:val="18"/>
                <w:lang w:eastAsia="zh-CN"/>
              </w:rPr>
              <w:t xml:space="preserve">es commentaires écrits </w:t>
            </w:r>
            <w:r w:rsidRPr="00F77964">
              <w:rPr>
                <w:rFonts w:eastAsia="SimSun"/>
                <w:sz w:val="18"/>
                <w:szCs w:val="18"/>
                <w:lang w:eastAsia="zh-CN"/>
              </w:rPr>
              <w:t>sur le</w:t>
            </w:r>
            <w:r w:rsidR="00150DE4" w:rsidRPr="00F77964">
              <w:rPr>
                <w:rFonts w:eastAsia="SimSun"/>
                <w:sz w:val="18"/>
                <w:szCs w:val="18"/>
                <w:lang w:eastAsia="zh-CN"/>
              </w:rPr>
              <w:t xml:space="preserve"> projet de résumé à l’intention des décideurs une semaine avant la cinquième session de la Plénière</w:t>
            </w:r>
          </w:p>
        </w:tc>
      </w:tr>
      <w:tr w:rsidR="00D66005" w:rsidRPr="0061490E" w:rsidTr="00933E80">
        <w:trPr>
          <w:trHeight w:val="440"/>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933E80">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933E80">
            <w:pPr>
              <w:rPr>
                <w:rFonts w:eastAsia="SimSun"/>
                <w:sz w:val="18"/>
                <w:szCs w:val="18"/>
                <w:lang w:eastAsia="zh-CN"/>
              </w:rPr>
            </w:pPr>
          </w:p>
        </w:tc>
        <w:tc>
          <w:tcPr>
            <w:tcW w:w="6636" w:type="dxa"/>
            <w:tcBorders>
              <w:top w:val="single" w:sz="4" w:space="0" w:color="auto"/>
              <w:left w:val="single" w:sz="4" w:space="0" w:color="auto"/>
              <w:bottom w:val="single" w:sz="4" w:space="0" w:color="auto"/>
              <w:right w:val="single" w:sz="4" w:space="0" w:color="auto"/>
            </w:tcBorders>
            <w:hideMark/>
          </w:tcPr>
          <w:p w:rsidR="00D66005" w:rsidRPr="00F77964" w:rsidRDefault="00150DE4" w:rsidP="00933E80">
            <w:pPr>
              <w:pStyle w:val="Normal-pool"/>
              <w:spacing w:before="40" w:after="40"/>
              <w:rPr>
                <w:rFonts w:eastAsia="SimSun"/>
                <w:sz w:val="18"/>
                <w:szCs w:val="18"/>
                <w:lang w:eastAsia="zh-CN"/>
              </w:rPr>
            </w:pPr>
            <w:r w:rsidRPr="00F77964">
              <w:rPr>
                <w:rFonts w:eastAsia="SimSun"/>
                <w:sz w:val="18"/>
                <w:szCs w:val="18"/>
                <w:lang w:eastAsia="zh-CN"/>
              </w:rPr>
              <w:t>La Plénière</w:t>
            </w:r>
            <w:r w:rsidR="00026403" w:rsidRPr="00F77964">
              <w:rPr>
                <w:rFonts w:eastAsia="SimSun"/>
                <w:sz w:val="18"/>
                <w:szCs w:val="18"/>
                <w:lang w:eastAsia="zh-CN"/>
              </w:rPr>
              <w:t>,</w:t>
            </w:r>
            <w:r w:rsidRPr="00F77964">
              <w:rPr>
                <w:rFonts w:eastAsia="SimSun"/>
                <w:sz w:val="18"/>
                <w:szCs w:val="18"/>
                <w:lang w:eastAsia="zh-CN"/>
              </w:rPr>
              <w:t xml:space="preserve"> à sa cinquième session</w:t>
            </w:r>
            <w:r w:rsidR="00026403" w:rsidRPr="00F77964">
              <w:rPr>
                <w:rFonts w:eastAsia="SimSun"/>
                <w:sz w:val="18"/>
                <w:szCs w:val="18"/>
                <w:lang w:eastAsia="zh-CN"/>
              </w:rPr>
              <w:t>,</w:t>
            </w:r>
            <w:r w:rsidRPr="00F77964">
              <w:rPr>
                <w:rFonts w:eastAsia="SimSun"/>
                <w:sz w:val="18"/>
                <w:szCs w:val="18"/>
                <w:lang w:eastAsia="zh-CN"/>
              </w:rPr>
              <w:t xml:space="preserve"> examine et accept</w:t>
            </w:r>
            <w:r w:rsidR="00026403" w:rsidRPr="00F77964">
              <w:rPr>
                <w:rFonts w:eastAsia="SimSun"/>
                <w:sz w:val="18"/>
                <w:szCs w:val="18"/>
                <w:lang w:eastAsia="zh-CN"/>
              </w:rPr>
              <w:t>e</w:t>
            </w:r>
            <w:r w:rsidRPr="00F77964">
              <w:rPr>
                <w:rFonts w:eastAsia="SimSun"/>
                <w:sz w:val="18"/>
                <w:szCs w:val="18"/>
                <w:lang w:eastAsia="zh-CN"/>
              </w:rPr>
              <w:t xml:space="preserve"> les </w:t>
            </w:r>
            <w:r w:rsidR="00026403" w:rsidRPr="00F77964">
              <w:rPr>
                <w:rFonts w:eastAsia="SimSun"/>
                <w:sz w:val="18"/>
                <w:szCs w:val="18"/>
                <w:lang w:eastAsia="zh-CN"/>
              </w:rPr>
              <w:t xml:space="preserve">différents </w:t>
            </w:r>
            <w:r w:rsidRPr="00F77964">
              <w:rPr>
                <w:rFonts w:eastAsia="SimSun"/>
                <w:sz w:val="18"/>
                <w:szCs w:val="18"/>
                <w:lang w:eastAsia="zh-CN"/>
              </w:rPr>
              <w:t xml:space="preserve">rapports d’évaluation régionaux/sous-régionaux et approuve les résumés régionaux </w:t>
            </w:r>
            <w:r w:rsidR="00026403" w:rsidRPr="00F77964">
              <w:rPr>
                <w:rFonts w:eastAsia="SimSun"/>
                <w:sz w:val="18"/>
                <w:szCs w:val="18"/>
                <w:lang w:eastAsia="zh-CN"/>
              </w:rPr>
              <w:t>à l’intention des</w:t>
            </w:r>
            <w:r w:rsidRPr="00F77964">
              <w:rPr>
                <w:rFonts w:eastAsia="SimSun"/>
                <w:sz w:val="18"/>
                <w:szCs w:val="18"/>
                <w:lang w:eastAsia="zh-CN"/>
              </w:rPr>
              <w:t xml:space="preserve"> décideurs sur la base de l’approbation préliminaire préalable des membres régionaux concernés de la </w:t>
            </w:r>
            <w:r w:rsidR="00026403" w:rsidRPr="00F77964">
              <w:rPr>
                <w:rFonts w:eastAsia="SimSun"/>
                <w:sz w:val="18"/>
                <w:szCs w:val="18"/>
                <w:lang w:eastAsia="zh-CN"/>
              </w:rPr>
              <w:t>P</w:t>
            </w:r>
            <w:r w:rsidRPr="00F77964">
              <w:rPr>
                <w:rFonts w:eastAsia="SimSun"/>
                <w:sz w:val="18"/>
                <w:szCs w:val="18"/>
                <w:lang w:eastAsia="zh-CN"/>
              </w:rPr>
              <w:t>lateforme</w:t>
            </w:r>
          </w:p>
        </w:tc>
      </w:tr>
    </w:tbl>
    <w:p w:rsidR="00D66005" w:rsidRPr="00F77964" w:rsidRDefault="00D66005" w:rsidP="00D66005">
      <w:pPr>
        <w:pStyle w:val="CH3"/>
        <w:spacing w:before="240"/>
        <w:rPr>
          <w:rFonts w:eastAsia="SimSun"/>
          <w:lang w:val="fr-FR" w:eastAsia="zh-CN"/>
        </w:rPr>
      </w:pPr>
      <w:r w:rsidRPr="00F77964">
        <w:rPr>
          <w:rFonts w:eastAsia="SimSun"/>
          <w:lang w:val="fr-FR" w:eastAsia="zh-CN"/>
        </w:rPr>
        <w:tab/>
      </w:r>
      <w:r w:rsidRPr="00F77964">
        <w:rPr>
          <w:rFonts w:eastAsia="SimSun"/>
          <w:lang w:val="fr-FR" w:eastAsia="zh-CN"/>
        </w:rPr>
        <w:tab/>
      </w:r>
      <w:r w:rsidR="00150DE4" w:rsidRPr="00F77964">
        <w:rPr>
          <w:rFonts w:eastAsia="SimSun"/>
          <w:lang w:val="fr-FR" w:eastAsia="zh-CN"/>
        </w:rPr>
        <w:t>Prévisions de coûts</w:t>
      </w:r>
    </w:p>
    <w:p w:rsidR="00D66005" w:rsidRPr="00F77964" w:rsidRDefault="00150DE4" w:rsidP="00D66005">
      <w:pPr>
        <w:pStyle w:val="Normalnumber"/>
        <w:numPr>
          <w:ilvl w:val="0"/>
          <w:numId w:val="6"/>
        </w:numPr>
        <w:tabs>
          <w:tab w:val="left" w:pos="624"/>
        </w:tabs>
        <w:ind w:left="1247" w:firstLine="0"/>
        <w:rPr>
          <w:lang w:val="fr-FR"/>
        </w:rPr>
      </w:pPr>
      <w:r w:rsidRPr="00F77964">
        <w:rPr>
          <w:lang w:val="fr-FR"/>
        </w:rPr>
        <w:t xml:space="preserve">Les prévisions de coûts sont </w:t>
      </w:r>
      <w:r w:rsidR="00F4565D" w:rsidRPr="00F77964">
        <w:rPr>
          <w:lang w:val="fr-FR"/>
        </w:rPr>
        <w:t>les suivantes</w:t>
      </w:r>
      <w:r w:rsidRPr="00F77964">
        <w:rPr>
          <w:lang w:val="fr-FR"/>
        </w:rPr>
        <w:t> </w:t>
      </w:r>
      <w:r w:rsidR="00D66005" w:rsidRPr="00F77964">
        <w:rPr>
          <w:lang w:val="fr-FR"/>
        </w:rPr>
        <w:t>:</w:t>
      </w:r>
    </w:p>
    <w:p w:rsidR="00D66005" w:rsidRPr="00F77964" w:rsidRDefault="00D66005" w:rsidP="00D66005">
      <w:pPr>
        <w:pStyle w:val="Normalnumber"/>
        <w:tabs>
          <w:tab w:val="left" w:pos="624"/>
        </w:tabs>
        <w:spacing w:before="120" w:after="0"/>
        <w:rPr>
          <w:sz w:val="18"/>
          <w:szCs w:val="18"/>
          <w:lang w:val="fr-FR"/>
        </w:rPr>
      </w:pPr>
      <w:r w:rsidRPr="00F77964">
        <w:rPr>
          <w:lang w:val="fr-FR"/>
        </w:rPr>
        <w:tab/>
      </w:r>
      <w:r w:rsidRPr="00F77964">
        <w:rPr>
          <w:sz w:val="18"/>
          <w:szCs w:val="18"/>
          <w:lang w:val="fr-FR"/>
        </w:rPr>
        <w:tab/>
        <w:t>(</w:t>
      </w:r>
      <w:r w:rsidR="00026403" w:rsidRPr="00F77964">
        <w:rPr>
          <w:sz w:val="18"/>
          <w:szCs w:val="18"/>
          <w:lang w:val="fr-FR"/>
        </w:rPr>
        <w:t>d</w:t>
      </w:r>
      <w:r w:rsidR="00150DE4" w:rsidRPr="00F77964">
        <w:rPr>
          <w:sz w:val="18"/>
          <w:szCs w:val="18"/>
          <w:lang w:val="fr-FR"/>
        </w:rPr>
        <w:t xml:space="preserve">ollars des </w:t>
      </w:r>
      <w:r w:rsidR="00933E80">
        <w:rPr>
          <w:sz w:val="18"/>
          <w:szCs w:val="18"/>
          <w:lang w:val="fr-FR"/>
        </w:rPr>
        <w:t>É</w:t>
      </w:r>
      <w:r w:rsidR="00150DE4" w:rsidRPr="00F77964">
        <w:rPr>
          <w:sz w:val="18"/>
          <w:szCs w:val="18"/>
          <w:lang w:val="fr-FR"/>
        </w:rPr>
        <w:t>tats-Unis</w:t>
      </w:r>
      <w:r w:rsidRPr="00F77964">
        <w:rPr>
          <w:sz w:val="18"/>
          <w:szCs w:val="18"/>
          <w:lang w:val="fr-FR"/>
        </w:rPr>
        <w:t>)</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38"/>
        <w:gridCol w:w="3266"/>
        <w:gridCol w:w="982"/>
      </w:tblGrid>
      <w:tr w:rsidR="00D66005" w:rsidRPr="0061490E" w:rsidTr="008039AF">
        <w:trPr>
          <w:tblHeader/>
        </w:trPr>
        <w:tc>
          <w:tcPr>
            <w:tcW w:w="718" w:type="dxa"/>
            <w:tcBorders>
              <w:top w:val="single" w:sz="4" w:space="0" w:color="auto"/>
              <w:left w:val="single" w:sz="4" w:space="0" w:color="auto"/>
              <w:bottom w:val="single" w:sz="4" w:space="0" w:color="auto"/>
              <w:right w:val="single" w:sz="4" w:space="0" w:color="auto"/>
            </w:tcBorders>
            <w:hideMark/>
          </w:tcPr>
          <w:p w:rsidR="00D66005" w:rsidRPr="00F77964" w:rsidRDefault="00150DE4" w:rsidP="008039AF">
            <w:pPr>
              <w:pStyle w:val="Normal-pool"/>
              <w:keepNext/>
              <w:keepLines/>
              <w:spacing w:before="40" w:after="40"/>
              <w:rPr>
                <w:rFonts w:eastAsia="SimSun"/>
                <w:i/>
                <w:sz w:val="18"/>
                <w:szCs w:val="18"/>
                <w:lang w:eastAsia="zh-CN"/>
              </w:rPr>
            </w:pPr>
            <w:r w:rsidRPr="00F77964">
              <w:rPr>
                <w:rFonts w:eastAsia="SimSun"/>
                <w:i/>
                <w:sz w:val="18"/>
                <w:szCs w:val="18"/>
                <w:lang w:eastAsia="zh-CN"/>
              </w:rPr>
              <w:t>Année</w:t>
            </w:r>
          </w:p>
        </w:tc>
        <w:tc>
          <w:tcPr>
            <w:tcW w:w="3388" w:type="dxa"/>
            <w:tcBorders>
              <w:top w:val="single" w:sz="4" w:space="0" w:color="auto"/>
              <w:left w:val="single" w:sz="4" w:space="0" w:color="auto"/>
              <w:bottom w:val="single" w:sz="4" w:space="0" w:color="auto"/>
              <w:right w:val="single" w:sz="4" w:space="0" w:color="auto"/>
            </w:tcBorders>
            <w:hideMark/>
          </w:tcPr>
          <w:p w:rsidR="00D66005" w:rsidRPr="00F77964" w:rsidRDefault="00D972E8" w:rsidP="008039AF">
            <w:pPr>
              <w:pStyle w:val="Normal-pool"/>
              <w:keepNext/>
              <w:keepLines/>
              <w:spacing w:before="40" w:after="40"/>
              <w:rPr>
                <w:rFonts w:eastAsia="SimSun"/>
                <w:i/>
                <w:sz w:val="18"/>
                <w:szCs w:val="18"/>
                <w:lang w:eastAsia="zh-CN"/>
              </w:rPr>
            </w:pPr>
            <w:r>
              <w:rPr>
                <w:rFonts w:eastAsia="SimSun"/>
                <w:i/>
                <w:sz w:val="18"/>
                <w:szCs w:val="18"/>
                <w:lang w:eastAsia="zh-CN"/>
              </w:rPr>
              <w:t>Postes de dépense</w:t>
            </w:r>
          </w:p>
        </w:tc>
        <w:tc>
          <w:tcPr>
            <w:tcW w:w="3685" w:type="dxa"/>
            <w:tcBorders>
              <w:top w:val="single" w:sz="4" w:space="0" w:color="auto"/>
              <w:left w:val="single" w:sz="4" w:space="0" w:color="auto"/>
              <w:bottom w:val="single" w:sz="4" w:space="0" w:color="auto"/>
              <w:right w:val="single" w:sz="4" w:space="0" w:color="auto"/>
            </w:tcBorders>
            <w:hideMark/>
          </w:tcPr>
          <w:p w:rsidR="00D66005" w:rsidRPr="00F77964" w:rsidRDefault="00150DE4" w:rsidP="008039AF">
            <w:pPr>
              <w:pStyle w:val="Normal-pool"/>
              <w:keepNext/>
              <w:keepLines/>
              <w:spacing w:before="40" w:after="40"/>
              <w:rPr>
                <w:rFonts w:eastAsia="SimSun"/>
                <w:i/>
                <w:sz w:val="18"/>
                <w:szCs w:val="18"/>
                <w:lang w:eastAsia="zh-CN"/>
              </w:rPr>
            </w:pPr>
            <w:r w:rsidRPr="00F77964">
              <w:rPr>
                <w:rFonts w:eastAsia="SimSun"/>
                <w:i/>
                <w:sz w:val="18"/>
                <w:szCs w:val="18"/>
                <w:lang w:eastAsia="zh-CN"/>
              </w:rPr>
              <w:t>Hypothèses</w:t>
            </w:r>
          </w:p>
        </w:tc>
        <w:tc>
          <w:tcPr>
            <w:tcW w:w="992" w:type="dxa"/>
            <w:tcBorders>
              <w:top w:val="single" w:sz="4" w:space="0" w:color="auto"/>
              <w:left w:val="single" w:sz="4" w:space="0" w:color="auto"/>
              <w:bottom w:val="single" w:sz="4" w:space="0" w:color="auto"/>
              <w:right w:val="single" w:sz="4" w:space="0" w:color="auto"/>
            </w:tcBorders>
            <w:hideMark/>
          </w:tcPr>
          <w:p w:rsidR="00D66005" w:rsidRPr="00F77964" w:rsidRDefault="00150DE4" w:rsidP="008039AF">
            <w:pPr>
              <w:pStyle w:val="Normal-pool"/>
              <w:keepNext/>
              <w:keepLines/>
              <w:spacing w:before="40" w:after="40"/>
              <w:rPr>
                <w:rFonts w:eastAsia="SimSun"/>
                <w:i/>
                <w:sz w:val="18"/>
                <w:szCs w:val="18"/>
                <w:lang w:eastAsia="zh-CN"/>
              </w:rPr>
            </w:pPr>
            <w:r w:rsidRPr="00F77964">
              <w:rPr>
                <w:rFonts w:eastAsia="SimSun"/>
                <w:i/>
                <w:sz w:val="18"/>
                <w:szCs w:val="18"/>
                <w:lang w:eastAsia="zh-CN"/>
              </w:rPr>
              <w:t>Coûts</w:t>
            </w:r>
          </w:p>
        </w:tc>
      </w:tr>
      <w:tr w:rsidR="00D66005" w:rsidRPr="0061490E" w:rsidTr="008039AF">
        <w:tc>
          <w:tcPr>
            <w:tcW w:w="718"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8039AF">
            <w:pPr>
              <w:pStyle w:val="Normal-pool"/>
              <w:keepNext/>
              <w:keepLines/>
              <w:spacing w:before="40" w:after="40"/>
              <w:rPr>
                <w:rFonts w:eastAsia="SimSun"/>
                <w:sz w:val="18"/>
                <w:szCs w:val="18"/>
                <w:lang w:eastAsia="zh-CN"/>
              </w:rPr>
            </w:pPr>
            <w:r w:rsidRPr="00F77964">
              <w:rPr>
                <w:rFonts w:eastAsia="SimSun"/>
                <w:sz w:val="18"/>
                <w:szCs w:val="18"/>
                <w:lang w:eastAsia="zh-CN"/>
              </w:rPr>
              <w:t>2014</w:t>
            </w:r>
          </w:p>
        </w:tc>
        <w:tc>
          <w:tcPr>
            <w:tcW w:w="3388"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8039AF">
            <w:pPr>
              <w:pStyle w:val="Normal-pool"/>
              <w:keepNext/>
              <w:keepLines/>
              <w:spacing w:before="40" w:after="40"/>
              <w:rPr>
                <w:rFonts w:eastAsia="SimSun"/>
                <w:sz w:val="18"/>
                <w:szCs w:val="18"/>
                <w:lang w:eastAsia="zh-CN"/>
              </w:rPr>
            </w:pPr>
            <w:r w:rsidRPr="00F77964">
              <w:rPr>
                <w:rFonts w:eastAsia="SimSun"/>
                <w:sz w:val="18"/>
                <w:szCs w:val="18"/>
                <w:lang w:eastAsia="zh-CN"/>
              </w:rPr>
              <w:t>5</w:t>
            </w:r>
            <w:r w:rsidR="00150DE4" w:rsidRPr="00F77964">
              <w:rPr>
                <w:rFonts w:eastAsia="SimSun"/>
                <w:sz w:val="18"/>
                <w:szCs w:val="18"/>
                <w:lang w:eastAsia="zh-CN"/>
              </w:rPr>
              <w:t xml:space="preserve"> réunions régionales de cadrage </w:t>
            </w:r>
            <w:r w:rsidRPr="00F77964">
              <w:rPr>
                <w:rFonts w:eastAsia="SimSun"/>
                <w:sz w:val="18"/>
                <w:szCs w:val="18"/>
                <w:lang w:eastAsia="zh-CN"/>
              </w:rPr>
              <w:t>(5</w:t>
            </w:r>
            <w:r w:rsidR="00150DE4" w:rsidRPr="00F77964">
              <w:rPr>
                <w:rFonts w:eastAsia="SimSun"/>
                <w:sz w:val="18"/>
                <w:szCs w:val="18"/>
                <w:lang w:eastAsia="zh-CN"/>
              </w:rPr>
              <w:t> membres du Groupe d’experts multidisciplinaire et du Bureau</w:t>
            </w:r>
            <w:r w:rsidR="00435D19">
              <w:rPr>
                <w:rFonts w:eastAsia="SimSun"/>
                <w:sz w:val="18"/>
                <w:szCs w:val="18"/>
                <w:lang w:eastAsia="zh-CN"/>
              </w:rPr>
              <w:t xml:space="preserve"> +</w:t>
            </w:r>
            <w:r w:rsidR="00A542D9">
              <w:rPr>
                <w:rFonts w:eastAsia="SimSun"/>
                <w:sz w:val="18"/>
                <w:szCs w:val="18"/>
                <w:lang w:eastAsia="zh-CN"/>
              </w:rPr>
              <w:t xml:space="preserve"> </w:t>
            </w:r>
            <w:r w:rsidRPr="00F77964">
              <w:rPr>
                <w:rFonts w:eastAsia="SimSun"/>
                <w:sz w:val="18"/>
                <w:szCs w:val="18"/>
                <w:lang w:eastAsia="zh-CN"/>
              </w:rPr>
              <w:t>45</w:t>
            </w:r>
            <w:r w:rsidR="00150DE4" w:rsidRPr="00F77964">
              <w:rPr>
                <w:rFonts w:eastAsia="SimSun"/>
                <w:sz w:val="18"/>
                <w:szCs w:val="18"/>
                <w:lang w:eastAsia="zh-CN"/>
              </w:rPr>
              <w:t> </w:t>
            </w:r>
            <w:r w:rsidRPr="00F77964">
              <w:rPr>
                <w:rFonts w:eastAsia="SimSun"/>
                <w:sz w:val="18"/>
                <w:szCs w:val="18"/>
                <w:lang w:eastAsia="zh-CN"/>
              </w:rPr>
              <w:t>experts)</w:t>
            </w:r>
          </w:p>
        </w:tc>
        <w:tc>
          <w:tcPr>
            <w:tcW w:w="3685" w:type="dxa"/>
            <w:tcBorders>
              <w:top w:val="single" w:sz="4" w:space="0" w:color="auto"/>
              <w:left w:val="single" w:sz="4" w:space="0" w:color="auto"/>
              <w:bottom w:val="single" w:sz="4" w:space="0" w:color="auto"/>
              <w:right w:val="single" w:sz="4" w:space="0" w:color="auto"/>
            </w:tcBorders>
            <w:hideMark/>
          </w:tcPr>
          <w:p w:rsidR="00D66005" w:rsidRPr="00F77964" w:rsidRDefault="00026403" w:rsidP="008039AF">
            <w:pPr>
              <w:pStyle w:val="Normal-pool"/>
              <w:keepNext/>
              <w:keepLines/>
              <w:spacing w:before="40" w:after="40"/>
              <w:rPr>
                <w:rFonts w:eastAsia="SimSun"/>
                <w:sz w:val="18"/>
                <w:szCs w:val="18"/>
                <w:lang w:eastAsia="zh-CN"/>
              </w:rPr>
            </w:pPr>
            <w:r w:rsidRPr="00F77964">
              <w:rPr>
                <w:rFonts w:eastAsia="SimSun"/>
                <w:sz w:val="18"/>
                <w:szCs w:val="18"/>
                <w:lang w:eastAsia="zh-CN"/>
              </w:rPr>
              <w:t>Coûts des réunions (5</w:t>
            </w:r>
            <w:r w:rsidR="008A7A1A" w:rsidRPr="00F77964">
              <w:rPr>
                <w:rFonts w:eastAsia="SimSun"/>
                <w:sz w:val="18"/>
                <w:szCs w:val="18"/>
                <w:lang w:eastAsia="zh-CN"/>
              </w:rPr>
              <w:t xml:space="preserve"> </w:t>
            </w:r>
            <w:r w:rsidRPr="00F77964">
              <w:rPr>
                <w:rFonts w:eastAsia="SimSun"/>
                <w:sz w:val="18"/>
                <w:szCs w:val="18"/>
                <w:lang w:eastAsia="zh-CN"/>
              </w:rPr>
              <w:t>x</w:t>
            </w:r>
            <w:r w:rsidR="008A7A1A" w:rsidRPr="00F77964">
              <w:rPr>
                <w:rFonts w:eastAsia="SimSun"/>
                <w:sz w:val="18"/>
                <w:szCs w:val="18"/>
                <w:lang w:eastAsia="zh-CN"/>
              </w:rPr>
              <w:t xml:space="preserve"> </w:t>
            </w:r>
            <w:r w:rsidRPr="00F77964">
              <w:rPr>
                <w:rFonts w:eastAsia="SimSun"/>
                <w:sz w:val="18"/>
                <w:szCs w:val="18"/>
                <w:lang w:eastAsia="zh-CN"/>
              </w:rPr>
              <w:t>1 semaine, 50 participants) (25 % en nature)</w:t>
            </w:r>
          </w:p>
        </w:tc>
        <w:tc>
          <w:tcPr>
            <w:tcW w:w="99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8039AF">
            <w:pPr>
              <w:pStyle w:val="Normal-pool"/>
              <w:keepNext/>
              <w:keepLines/>
              <w:spacing w:before="40" w:after="40"/>
              <w:rPr>
                <w:rFonts w:eastAsia="SimSun"/>
                <w:sz w:val="18"/>
                <w:szCs w:val="18"/>
                <w:lang w:eastAsia="zh-CN"/>
              </w:rPr>
            </w:pPr>
            <w:r w:rsidRPr="00F77964">
              <w:rPr>
                <w:rFonts w:eastAsia="SimSun"/>
                <w:sz w:val="18"/>
                <w:szCs w:val="18"/>
                <w:lang w:eastAsia="zh-CN"/>
              </w:rPr>
              <w:t>56</w:t>
            </w:r>
            <w:r w:rsidR="00026403" w:rsidRPr="00F77964">
              <w:rPr>
                <w:rFonts w:eastAsia="SimSun"/>
                <w:sz w:val="18"/>
                <w:szCs w:val="18"/>
                <w:lang w:eastAsia="zh-CN"/>
              </w:rPr>
              <w:t> </w:t>
            </w:r>
            <w:r w:rsidRPr="00F77964">
              <w:rPr>
                <w:rFonts w:eastAsia="SimSun"/>
                <w:sz w:val="18"/>
                <w:szCs w:val="18"/>
                <w:lang w:eastAsia="zh-CN"/>
              </w:rPr>
              <w:t>250</w:t>
            </w:r>
          </w:p>
        </w:tc>
      </w:tr>
      <w:tr w:rsidR="00D66005" w:rsidRPr="0061490E" w:rsidTr="008039AF">
        <w:trPr>
          <w:trHeight w:val="187"/>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8039AF">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8039AF">
            <w:pPr>
              <w:rPr>
                <w:rFonts w:eastAsia="SimSun"/>
                <w:sz w:val="18"/>
                <w:szCs w:val="18"/>
                <w:lang w:eastAsia="zh-CN"/>
              </w:rPr>
            </w:pPr>
          </w:p>
        </w:tc>
        <w:tc>
          <w:tcPr>
            <w:tcW w:w="3685" w:type="dxa"/>
            <w:tcBorders>
              <w:top w:val="single" w:sz="4" w:space="0" w:color="auto"/>
              <w:left w:val="single" w:sz="4" w:space="0" w:color="auto"/>
              <w:bottom w:val="single" w:sz="4" w:space="0" w:color="auto"/>
              <w:right w:val="single" w:sz="4" w:space="0" w:color="auto"/>
            </w:tcBorders>
            <w:hideMark/>
          </w:tcPr>
          <w:p w:rsidR="00D66005" w:rsidRPr="00F77964" w:rsidRDefault="00D972E8" w:rsidP="008039AF">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00026403" w:rsidRPr="00F77964">
              <w:rPr>
                <w:rFonts w:eastAsia="SimSun"/>
                <w:sz w:val="18"/>
                <w:szCs w:val="18"/>
                <w:lang w:eastAsia="zh-CN"/>
              </w:rPr>
              <w:t xml:space="preserve"> (5 x 3</w:t>
            </w:r>
            <w:r w:rsidR="008A7A1A" w:rsidRPr="00F77964">
              <w:rPr>
                <w:rFonts w:eastAsia="SimSun"/>
                <w:sz w:val="18"/>
                <w:szCs w:val="18"/>
                <w:lang w:eastAsia="zh-CN"/>
              </w:rPr>
              <w:t>4 x 2</w:t>
            </w:r>
            <w:r w:rsidR="008039AF">
              <w:rPr>
                <w:rFonts w:eastAsia="SimSun"/>
                <w:sz w:val="18"/>
                <w:szCs w:val="18"/>
                <w:lang w:eastAsia="zh-CN"/>
              </w:rPr>
              <w:t> </w:t>
            </w:r>
            <w:r w:rsidR="00026403" w:rsidRPr="00F77964">
              <w:rPr>
                <w:rFonts w:eastAsia="SimSun"/>
                <w:sz w:val="18"/>
                <w:szCs w:val="18"/>
                <w:lang w:eastAsia="zh-CN"/>
              </w:rPr>
              <w:t>000 dollars)</w:t>
            </w:r>
          </w:p>
        </w:tc>
        <w:tc>
          <w:tcPr>
            <w:tcW w:w="99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8039AF">
            <w:pPr>
              <w:pStyle w:val="Normal-pool"/>
              <w:spacing w:before="40" w:after="40"/>
              <w:rPr>
                <w:rFonts w:eastAsia="SimSun"/>
                <w:sz w:val="18"/>
                <w:szCs w:val="18"/>
                <w:lang w:eastAsia="zh-CN"/>
              </w:rPr>
            </w:pPr>
            <w:r w:rsidRPr="00F77964">
              <w:rPr>
                <w:rFonts w:eastAsia="SimSun"/>
                <w:sz w:val="18"/>
                <w:szCs w:val="18"/>
                <w:lang w:eastAsia="zh-CN"/>
              </w:rPr>
              <w:t>340</w:t>
            </w:r>
            <w:r w:rsidR="00026403" w:rsidRPr="00F77964">
              <w:rPr>
                <w:rFonts w:eastAsia="SimSun"/>
                <w:sz w:val="18"/>
                <w:szCs w:val="18"/>
                <w:lang w:eastAsia="zh-CN"/>
              </w:rPr>
              <w:t> </w:t>
            </w:r>
            <w:r w:rsidRPr="00F77964">
              <w:rPr>
                <w:rFonts w:eastAsia="SimSun"/>
                <w:sz w:val="18"/>
                <w:szCs w:val="18"/>
                <w:lang w:eastAsia="zh-CN"/>
              </w:rPr>
              <w:t>000</w:t>
            </w:r>
          </w:p>
        </w:tc>
      </w:tr>
      <w:tr w:rsidR="00D66005" w:rsidRPr="0061490E" w:rsidTr="008039AF">
        <w:tc>
          <w:tcPr>
            <w:tcW w:w="718"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8039AF">
            <w:pPr>
              <w:pStyle w:val="Normal-pool"/>
              <w:spacing w:before="40" w:after="40"/>
              <w:rPr>
                <w:rFonts w:eastAsia="SimSun"/>
                <w:sz w:val="18"/>
                <w:szCs w:val="18"/>
                <w:lang w:eastAsia="zh-CN"/>
              </w:rPr>
            </w:pPr>
            <w:r w:rsidRPr="00F77964">
              <w:rPr>
                <w:rFonts w:eastAsia="SimSun"/>
                <w:sz w:val="18"/>
                <w:szCs w:val="18"/>
                <w:lang w:eastAsia="zh-CN"/>
              </w:rPr>
              <w:t>2015</w:t>
            </w:r>
          </w:p>
        </w:tc>
        <w:tc>
          <w:tcPr>
            <w:tcW w:w="3388"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150DE4" w:rsidP="008039AF">
            <w:pPr>
              <w:pStyle w:val="Normal-pool"/>
              <w:spacing w:before="40" w:after="40"/>
              <w:rPr>
                <w:rFonts w:eastAsia="SimSun"/>
                <w:sz w:val="18"/>
                <w:szCs w:val="18"/>
                <w:lang w:eastAsia="zh-CN"/>
              </w:rPr>
            </w:pPr>
            <w:r w:rsidRPr="00F77964">
              <w:rPr>
                <w:rFonts w:eastAsia="SimSun"/>
                <w:sz w:val="18"/>
                <w:szCs w:val="18"/>
                <w:lang w:eastAsia="zh-CN"/>
              </w:rPr>
              <w:t>15 </w:t>
            </w:r>
            <w:r w:rsidR="00200881" w:rsidRPr="00F77964">
              <w:rPr>
                <w:rFonts w:eastAsia="SimSun"/>
                <w:sz w:val="18"/>
                <w:szCs w:val="18"/>
                <w:lang w:eastAsia="zh-CN"/>
              </w:rPr>
              <w:t xml:space="preserve">premières </w:t>
            </w:r>
            <w:r w:rsidRPr="00F77964">
              <w:rPr>
                <w:rFonts w:eastAsia="SimSun"/>
                <w:sz w:val="18"/>
                <w:szCs w:val="18"/>
                <w:lang w:eastAsia="zh-CN"/>
              </w:rPr>
              <w:t>réunions des auteurs</w:t>
            </w:r>
            <w:r w:rsidR="00D66005" w:rsidRPr="00F77964">
              <w:rPr>
                <w:rFonts w:eastAsia="SimSun"/>
                <w:sz w:val="18"/>
                <w:szCs w:val="18"/>
                <w:lang w:eastAsia="zh-CN"/>
              </w:rPr>
              <w:t xml:space="preserve"> (60 </w:t>
            </w:r>
            <w:r w:rsidR="006E337B">
              <w:rPr>
                <w:rFonts w:eastAsia="SimSun"/>
                <w:sz w:val="18"/>
                <w:szCs w:val="18"/>
                <w:lang w:eastAsia="zh-CN"/>
              </w:rPr>
              <w:t>coprésidents</w:t>
            </w:r>
            <w:r w:rsidRPr="00F77964">
              <w:rPr>
                <w:rFonts w:eastAsia="SimSun"/>
                <w:sz w:val="18"/>
                <w:szCs w:val="18"/>
                <w:lang w:eastAsia="zh-CN"/>
              </w:rPr>
              <w:t xml:space="preserve">, auteurs </w:t>
            </w:r>
            <w:r w:rsidR="00C56F76" w:rsidRPr="00F77964">
              <w:rPr>
                <w:rFonts w:eastAsia="SimSun"/>
                <w:sz w:val="18"/>
                <w:szCs w:val="18"/>
                <w:lang w:eastAsia="zh-CN"/>
              </w:rPr>
              <w:t>coordonnateurs</w:t>
            </w:r>
            <w:r w:rsidRPr="00F77964">
              <w:rPr>
                <w:rFonts w:eastAsia="SimSun"/>
                <w:sz w:val="18"/>
                <w:szCs w:val="18"/>
                <w:lang w:eastAsia="zh-CN"/>
              </w:rPr>
              <w:t xml:space="preserve"> principaux, auteurs principaux</w:t>
            </w:r>
            <w:r w:rsidR="00D66005" w:rsidRPr="00F77964">
              <w:rPr>
                <w:rFonts w:eastAsia="SimSun"/>
                <w:sz w:val="18"/>
                <w:szCs w:val="18"/>
                <w:lang w:eastAsia="zh-CN"/>
              </w:rPr>
              <w:t>)</w:t>
            </w:r>
          </w:p>
        </w:tc>
        <w:tc>
          <w:tcPr>
            <w:tcW w:w="3685" w:type="dxa"/>
            <w:tcBorders>
              <w:top w:val="single" w:sz="4" w:space="0" w:color="auto"/>
              <w:left w:val="single" w:sz="4" w:space="0" w:color="auto"/>
              <w:bottom w:val="single" w:sz="4" w:space="0" w:color="auto"/>
              <w:right w:val="single" w:sz="4" w:space="0" w:color="auto"/>
            </w:tcBorders>
            <w:hideMark/>
          </w:tcPr>
          <w:p w:rsidR="00D66005" w:rsidRPr="00F77964" w:rsidRDefault="00026403" w:rsidP="008039AF">
            <w:pPr>
              <w:pStyle w:val="Normal-pool"/>
              <w:spacing w:before="40" w:after="40"/>
              <w:rPr>
                <w:rFonts w:eastAsia="SimSun"/>
                <w:sz w:val="18"/>
                <w:szCs w:val="18"/>
                <w:lang w:eastAsia="zh-CN"/>
              </w:rPr>
            </w:pPr>
            <w:r w:rsidRPr="00F77964">
              <w:rPr>
                <w:rFonts w:eastAsia="SimSun"/>
                <w:sz w:val="18"/>
                <w:szCs w:val="18"/>
                <w:lang w:eastAsia="zh-CN"/>
              </w:rPr>
              <w:t>Coûts de</w:t>
            </w:r>
            <w:r w:rsidR="008A7A1A" w:rsidRPr="00F77964">
              <w:rPr>
                <w:rFonts w:eastAsia="SimSun"/>
                <w:sz w:val="18"/>
                <w:szCs w:val="18"/>
                <w:lang w:eastAsia="zh-CN"/>
              </w:rPr>
              <w:t>s</w:t>
            </w:r>
            <w:r w:rsidRPr="00F77964">
              <w:rPr>
                <w:rFonts w:eastAsia="SimSun"/>
                <w:sz w:val="18"/>
                <w:szCs w:val="18"/>
                <w:lang w:eastAsia="zh-CN"/>
              </w:rPr>
              <w:t xml:space="preserve"> réunion</w:t>
            </w:r>
            <w:r w:rsidR="008A7A1A" w:rsidRPr="00F77964">
              <w:rPr>
                <w:rFonts w:eastAsia="SimSun"/>
                <w:sz w:val="18"/>
                <w:szCs w:val="18"/>
                <w:lang w:eastAsia="zh-CN"/>
              </w:rPr>
              <w:t>s</w:t>
            </w:r>
            <w:r w:rsidRPr="00F77964">
              <w:rPr>
                <w:rFonts w:eastAsia="SimSun"/>
                <w:sz w:val="18"/>
                <w:szCs w:val="18"/>
                <w:lang w:eastAsia="zh-CN"/>
              </w:rPr>
              <w:t xml:space="preserve"> (</w:t>
            </w:r>
            <w:r w:rsidR="008A7A1A" w:rsidRPr="00F77964">
              <w:rPr>
                <w:rFonts w:eastAsia="SimSun"/>
                <w:sz w:val="18"/>
                <w:szCs w:val="18"/>
                <w:lang w:eastAsia="zh-CN"/>
              </w:rPr>
              <w:t xml:space="preserve">15 x </w:t>
            </w:r>
            <w:r w:rsidRPr="00F77964">
              <w:rPr>
                <w:rFonts w:eastAsia="SimSun"/>
                <w:sz w:val="18"/>
                <w:szCs w:val="18"/>
                <w:lang w:eastAsia="zh-CN"/>
              </w:rPr>
              <w:t xml:space="preserve">1 semaine, </w:t>
            </w:r>
            <w:r w:rsidR="008A7A1A" w:rsidRPr="00F77964">
              <w:rPr>
                <w:rFonts w:eastAsia="SimSun"/>
                <w:sz w:val="18"/>
                <w:szCs w:val="18"/>
                <w:lang w:eastAsia="zh-CN"/>
              </w:rPr>
              <w:t>6</w:t>
            </w:r>
            <w:r w:rsidRPr="00F77964">
              <w:rPr>
                <w:rFonts w:eastAsia="SimSun"/>
                <w:sz w:val="18"/>
                <w:szCs w:val="18"/>
                <w:lang w:eastAsia="zh-CN"/>
              </w:rPr>
              <w:t>0 participants) (25 % en nature)</w:t>
            </w:r>
          </w:p>
        </w:tc>
        <w:tc>
          <w:tcPr>
            <w:tcW w:w="99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8039AF">
            <w:pPr>
              <w:pStyle w:val="Normal-pool"/>
              <w:spacing w:before="40" w:after="40"/>
              <w:rPr>
                <w:rFonts w:eastAsia="SimSun"/>
                <w:sz w:val="18"/>
                <w:szCs w:val="18"/>
                <w:lang w:eastAsia="zh-CN"/>
              </w:rPr>
            </w:pPr>
            <w:r w:rsidRPr="00F77964">
              <w:rPr>
                <w:rFonts w:eastAsia="SimSun"/>
                <w:sz w:val="18"/>
                <w:szCs w:val="18"/>
                <w:lang w:eastAsia="zh-CN"/>
              </w:rPr>
              <w:t>168</w:t>
            </w:r>
            <w:r w:rsidR="00026403" w:rsidRPr="00F77964">
              <w:rPr>
                <w:rFonts w:eastAsia="SimSun"/>
                <w:sz w:val="18"/>
                <w:szCs w:val="18"/>
                <w:lang w:eastAsia="zh-CN"/>
              </w:rPr>
              <w:t> </w:t>
            </w:r>
            <w:r w:rsidRPr="00F77964">
              <w:rPr>
                <w:rFonts w:eastAsia="SimSun"/>
                <w:sz w:val="18"/>
                <w:szCs w:val="18"/>
                <w:lang w:eastAsia="zh-CN"/>
              </w:rPr>
              <w:t>750</w:t>
            </w:r>
          </w:p>
        </w:tc>
      </w:tr>
      <w:tr w:rsidR="00D66005" w:rsidRPr="0061490E" w:rsidTr="008039AF">
        <w:trPr>
          <w:trHeight w:val="339"/>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8039AF">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8039AF">
            <w:pPr>
              <w:rPr>
                <w:rFonts w:eastAsia="SimSun"/>
                <w:sz w:val="18"/>
                <w:szCs w:val="18"/>
                <w:lang w:eastAsia="zh-CN"/>
              </w:rPr>
            </w:pPr>
          </w:p>
        </w:tc>
        <w:tc>
          <w:tcPr>
            <w:tcW w:w="3685" w:type="dxa"/>
            <w:tcBorders>
              <w:top w:val="single" w:sz="4" w:space="0" w:color="auto"/>
              <w:left w:val="single" w:sz="4" w:space="0" w:color="auto"/>
              <w:bottom w:val="single" w:sz="4" w:space="0" w:color="auto"/>
              <w:right w:val="single" w:sz="4" w:space="0" w:color="auto"/>
            </w:tcBorders>
            <w:hideMark/>
          </w:tcPr>
          <w:p w:rsidR="00D66005" w:rsidRPr="00F77964" w:rsidRDefault="00D972E8" w:rsidP="008039AF">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00026403" w:rsidRPr="00F77964">
              <w:rPr>
                <w:rFonts w:eastAsia="SimSun"/>
                <w:sz w:val="18"/>
                <w:szCs w:val="18"/>
                <w:lang w:eastAsia="zh-CN"/>
              </w:rPr>
              <w:t xml:space="preserve"> (</w:t>
            </w:r>
            <w:r w:rsidR="008A7A1A" w:rsidRPr="00F77964">
              <w:rPr>
                <w:rFonts w:eastAsia="SimSun"/>
                <w:sz w:val="18"/>
                <w:szCs w:val="18"/>
                <w:lang w:eastAsia="zh-CN"/>
              </w:rPr>
              <w:t>1</w:t>
            </w:r>
            <w:r w:rsidR="00026403" w:rsidRPr="00F77964">
              <w:rPr>
                <w:rFonts w:eastAsia="SimSun"/>
                <w:sz w:val="18"/>
                <w:szCs w:val="18"/>
                <w:lang w:eastAsia="zh-CN"/>
              </w:rPr>
              <w:t xml:space="preserve">5 x </w:t>
            </w:r>
            <w:r w:rsidR="008A7A1A" w:rsidRPr="00F77964">
              <w:rPr>
                <w:rFonts w:eastAsia="SimSun"/>
                <w:sz w:val="18"/>
                <w:szCs w:val="18"/>
                <w:lang w:eastAsia="zh-CN"/>
              </w:rPr>
              <w:t>35 x 1 500</w:t>
            </w:r>
            <w:r w:rsidR="00026403" w:rsidRPr="00F77964">
              <w:rPr>
                <w:rFonts w:eastAsia="SimSun"/>
                <w:sz w:val="18"/>
                <w:szCs w:val="18"/>
                <w:lang w:eastAsia="zh-CN"/>
              </w:rPr>
              <w:t> dollars)</w:t>
            </w:r>
          </w:p>
        </w:tc>
        <w:tc>
          <w:tcPr>
            <w:tcW w:w="99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8039AF">
            <w:pPr>
              <w:pStyle w:val="Normal-pool"/>
              <w:spacing w:before="40" w:after="40"/>
              <w:rPr>
                <w:rFonts w:eastAsia="SimSun"/>
                <w:sz w:val="18"/>
                <w:szCs w:val="18"/>
                <w:lang w:eastAsia="zh-CN"/>
              </w:rPr>
            </w:pPr>
            <w:r w:rsidRPr="00F77964">
              <w:rPr>
                <w:rFonts w:eastAsia="SimSun"/>
                <w:sz w:val="18"/>
                <w:szCs w:val="18"/>
                <w:lang w:eastAsia="zh-CN"/>
              </w:rPr>
              <w:t>1</w:t>
            </w:r>
            <w:r w:rsidR="00026403" w:rsidRPr="00F77964">
              <w:rPr>
                <w:rFonts w:eastAsia="SimSun"/>
                <w:sz w:val="18"/>
                <w:szCs w:val="18"/>
                <w:lang w:eastAsia="zh-CN"/>
              </w:rPr>
              <w:t> </w:t>
            </w:r>
            <w:r w:rsidRPr="00F77964">
              <w:rPr>
                <w:rFonts w:eastAsia="SimSun"/>
                <w:sz w:val="18"/>
                <w:szCs w:val="18"/>
                <w:lang w:eastAsia="zh-CN"/>
              </w:rPr>
              <w:t>012</w:t>
            </w:r>
            <w:r w:rsidR="00026403" w:rsidRPr="00F77964">
              <w:rPr>
                <w:rFonts w:eastAsia="SimSun"/>
                <w:sz w:val="18"/>
                <w:szCs w:val="18"/>
                <w:lang w:eastAsia="zh-CN"/>
              </w:rPr>
              <w:t> </w:t>
            </w:r>
            <w:r w:rsidRPr="00F77964">
              <w:rPr>
                <w:rFonts w:eastAsia="SimSun"/>
                <w:sz w:val="18"/>
                <w:szCs w:val="18"/>
                <w:lang w:eastAsia="zh-CN"/>
              </w:rPr>
              <w:t>500</w:t>
            </w:r>
          </w:p>
        </w:tc>
      </w:tr>
      <w:tr w:rsidR="00D66005" w:rsidRPr="0061490E" w:rsidTr="008039AF">
        <w:trPr>
          <w:trHeight w:val="361"/>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8039AF">
            <w:pPr>
              <w:rPr>
                <w:rFonts w:eastAsia="SimSun"/>
                <w:sz w:val="18"/>
                <w:szCs w:val="18"/>
                <w:lang w:eastAsia="zh-CN"/>
              </w:rPr>
            </w:pPr>
          </w:p>
        </w:tc>
        <w:tc>
          <w:tcPr>
            <w:tcW w:w="3388" w:type="dxa"/>
            <w:tcBorders>
              <w:top w:val="single" w:sz="4" w:space="0" w:color="auto"/>
              <w:left w:val="single" w:sz="4" w:space="0" w:color="auto"/>
              <w:bottom w:val="single" w:sz="4" w:space="0" w:color="auto"/>
              <w:right w:val="single" w:sz="4" w:space="0" w:color="auto"/>
            </w:tcBorders>
            <w:hideMark/>
          </w:tcPr>
          <w:p w:rsidR="00D66005" w:rsidRPr="00F77964" w:rsidRDefault="00150DE4" w:rsidP="008039AF">
            <w:pPr>
              <w:pStyle w:val="Normal-pool"/>
              <w:spacing w:before="40" w:after="40"/>
              <w:rPr>
                <w:rFonts w:eastAsia="SimSun"/>
                <w:sz w:val="18"/>
                <w:szCs w:val="18"/>
                <w:lang w:eastAsia="zh-CN"/>
              </w:rPr>
            </w:pPr>
            <w:r w:rsidRPr="00F77964">
              <w:rPr>
                <w:rFonts w:eastAsia="SimSun"/>
                <w:sz w:val="18"/>
                <w:szCs w:val="18"/>
                <w:lang w:eastAsia="zh-CN"/>
              </w:rPr>
              <w:t>Appui technique</w:t>
            </w:r>
          </w:p>
        </w:tc>
        <w:tc>
          <w:tcPr>
            <w:tcW w:w="3685" w:type="dxa"/>
            <w:tcBorders>
              <w:top w:val="single" w:sz="4" w:space="0" w:color="auto"/>
              <w:left w:val="single" w:sz="4" w:space="0" w:color="auto"/>
              <w:bottom w:val="single" w:sz="4" w:space="0" w:color="auto"/>
              <w:right w:val="single" w:sz="4" w:space="0" w:color="auto"/>
            </w:tcBorders>
            <w:hideMark/>
          </w:tcPr>
          <w:p w:rsidR="00D66005" w:rsidRPr="00F77964" w:rsidRDefault="00D66005" w:rsidP="008039AF">
            <w:pPr>
              <w:pStyle w:val="Normal-pool"/>
              <w:spacing w:before="40" w:after="40"/>
              <w:rPr>
                <w:rFonts w:eastAsia="SimSun"/>
                <w:sz w:val="18"/>
                <w:szCs w:val="18"/>
                <w:lang w:eastAsia="zh-CN"/>
              </w:rPr>
            </w:pPr>
            <w:r w:rsidRPr="00F77964">
              <w:rPr>
                <w:rFonts w:eastAsia="SimSun"/>
                <w:sz w:val="18"/>
                <w:szCs w:val="18"/>
                <w:lang w:eastAsia="zh-CN"/>
              </w:rPr>
              <w:t>10</w:t>
            </w:r>
            <w:r w:rsidR="008A7A1A" w:rsidRPr="00F77964">
              <w:rPr>
                <w:rFonts w:eastAsia="SimSun"/>
                <w:sz w:val="18"/>
                <w:szCs w:val="18"/>
                <w:lang w:eastAsia="zh-CN"/>
              </w:rPr>
              <w:t> postes d’administrateur équivalent plein temps</w:t>
            </w:r>
            <w:r w:rsidRPr="00F77964">
              <w:rPr>
                <w:rFonts w:eastAsia="SimSun"/>
                <w:sz w:val="18"/>
                <w:szCs w:val="18"/>
                <w:lang w:eastAsia="zh-CN"/>
              </w:rPr>
              <w:t xml:space="preserve"> (50</w:t>
            </w:r>
            <w:r w:rsidR="008A7A1A" w:rsidRPr="00F77964">
              <w:rPr>
                <w:rFonts w:eastAsia="SimSun"/>
                <w:sz w:val="18"/>
                <w:szCs w:val="18"/>
                <w:lang w:eastAsia="zh-CN"/>
              </w:rPr>
              <w:t> % en nature</w:t>
            </w:r>
            <w:r w:rsidRPr="00F77964">
              <w:rPr>
                <w:rFonts w:eastAsia="SimSun"/>
                <w:sz w:val="18"/>
                <w:szCs w:val="18"/>
                <w:lang w:eastAsia="zh-CN"/>
              </w:rPr>
              <w:t>)</w:t>
            </w:r>
          </w:p>
        </w:tc>
        <w:tc>
          <w:tcPr>
            <w:tcW w:w="99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8039AF">
            <w:pPr>
              <w:pStyle w:val="Normal-pool"/>
              <w:spacing w:before="40" w:after="40"/>
              <w:rPr>
                <w:rFonts w:eastAsia="SimSun"/>
                <w:sz w:val="18"/>
                <w:szCs w:val="18"/>
                <w:lang w:eastAsia="zh-CN"/>
              </w:rPr>
            </w:pPr>
            <w:r w:rsidRPr="00F77964">
              <w:rPr>
                <w:rFonts w:eastAsia="SimSun"/>
                <w:sz w:val="18"/>
                <w:szCs w:val="18"/>
                <w:lang w:eastAsia="zh-CN"/>
              </w:rPr>
              <w:t>750</w:t>
            </w:r>
            <w:r w:rsidR="008A7A1A" w:rsidRPr="00F77964">
              <w:rPr>
                <w:rFonts w:eastAsia="SimSun"/>
                <w:sz w:val="18"/>
                <w:szCs w:val="18"/>
                <w:lang w:eastAsia="zh-CN"/>
              </w:rPr>
              <w:t> </w:t>
            </w:r>
            <w:r w:rsidRPr="00F77964">
              <w:rPr>
                <w:rFonts w:eastAsia="SimSun"/>
                <w:sz w:val="18"/>
                <w:szCs w:val="18"/>
                <w:lang w:eastAsia="zh-CN"/>
              </w:rPr>
              <w:t>000</w:t>
            </w:r>
          </w:p>
        </w:tc>
      </w:tr>
      <w:tr w:rsidR="00D66005" w:rsidRPr="0061490E" w:rsidTr="008039AF">
        <w:tc>
          <w:tcPr>
            <w:tcW w:w="718"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8039AF">
            <w:pPr>
              <w:pStyle w:val="Normal-pool"/>
              <w:spacing w:before="40" w:after="40"/>
              <w:rPr>
                <w:rFonts w:eastAsia="SimSun"/>
                <w:sz w:val="18"/>
                <w:szCs w:val="18"/>
                <w:lang w:eastAsia="zh-CN"/>
              </w:rPr>
            </w:pPr>
            <w:r w:rsidRPr="00F77964">
              <w:rPr>
                <w:rFonts w:eastAsia="SimSun"/>
                <w:sz w:val="18"/>
                <w:szCs w:val="18"/>
                <w:lang w:eastAsia="zh-CN"/>
              </w:rPr>
              <w:t>2016</w:t>
            </w:r>
          </w:p>
        </w:tc>
        <w:tc>
          <w:tcPr>
            <w:tcW w:w="3388"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8039AF">
            <w:pPr>
              <w:pStyle w:val="Normal-pool"/>
              <w:spacing w:before="40" w:after="40"/>
              <w:rPr>
                <w:rFonts w:eastAsia="SimSun"/>
                <w:sz w:val="18"/>
                <w:szCs w:val="18"/>
                <w:lang w:eastAsia="zh-CN"/>
              </w:rPr>
            </w:pPr>
            <w:r w:rsidRPr="00F77964">
              <w:rPr>
                <w:rFonts w:eastAsia="SimSun"/>
                <w:sz w:val="18"/>
                <w:szCs w:val="18"/>
                <w:lang w:eastAsia="zh-CN"/>
              </w:rPr>
              <w:t>15</w:t>
            </w:r>
            <w:r w:rsidR="00150DE4" w:rsidRPr="00F77964">
              <w:rPr>
                <w:rFonts w:eastAsia="SimSun"/>
                <w:sz w:val="18"/>
                <w:szCs w:val="18"/>
                <w:lang w:eastAsia="zh-CN"/>
              </w:rPr>
              <w:t> </w:t>
            </w:r>
            <w:r w:rsidR="00200881" w:rsidRPr="00F77964">
              <w:rPr>
                <w:rFonts w:eastAsia="SimSun"/>
                <w:sz w:val="18"/>
                <w:szCs w:val="18"/>
                <w:lang w:eastAsia="zh-CN"/>
              </w:rPr>
              <w:t xml:space="preserve">deuxièmes </w:t>
            </w:r>
            <w:r w:rsidR="00150DE4" w:rsidRPr="00F77964">
              <w:rPr>
                <w:rFonts w:eastAsia="SimSun"/>
                <w:sz w:val="18"/>
                <w:szCs w:val="18"/>
                <w:lang w:eastAsia="zh-CN"/>
              </w:rPr>
              <w:t>réunions d</w:t>
            </w:r>
            <w:r w:rsidR="00200881" w:rsidRPr="00F77964">
              <w:rPr>
                <w:rFonts w:eastAsia="SimSun"/>
                <w:sz w:val="18"/>
                <w:szCs w:val="18"/>
                <w:lang w:eastAsia="zh-CN"/>
              </w:rPr>
              <w:t xml:space="preserve">es </w:t>
            </w:r>
            <w:r w:rsidR="00150DE4" w:rsidRPr="00F77964">
              <w:rPr>
                <w:rFonts w:eastAsia="SimSun"/>
                <w:sz w:val="18"/>
                <w:szCs w:val="18"/>
                <w:lang w:eastAsia="zh-CN"/>
              </w:rPr>
              <w:t>auteurs</w:t>
            </w:r>
            <w:r w:rsidRPr="00F77964">
              <w:rPr>
                <w:rFonts w:eastAsia="SimSun"/>
                <w:sz w:val="18"/>
                <w:szCs w:val="18"/>
                <w:lang w:eastAsia="zh-CN"/>
              </w:rPr>
              <w:t xml:space="preserve"> (60</w:t>
            </w:r>
            <w:r w:rsidR="00966B49">
              <w:rPr>
                <w:rFonts w:eastAsia="SimSun"/>
                <w:sz w:val="18"/>
                <w:szCs w:val="18"/>
                <w:lang w:eastAsia="zh-CN"/>
              </w:rPr>
              <w:t> </w:t>
            </w:r>
            <w:r w:rsidR="006E337B">
              <w:rPr>
                <w:rFonts w:eastAsia="SimSun"/>
                <w:sz w:val="18"/>
                <w:szCs w:val="18"/>
                <w:lang w:eastAsia="zh-CN"/>
              </w:rPr>
              <w:t>coprésidents</w:t>
            </w:r>
            <w:r w:rsidR="00150DE4" w:rsidRPr="00F77964">
              <w:rPr>
                <w:rFonts w:eastAsia="SimSun"/>
                <w:sz w:val="18"/>
                <w:szCs w:val="18"/>
                <w:lang w:eastAsia="zh-CN"/>
              </w:rPr>
              <w:t xml:space="preserve"> auteurs </w:t>
            </w:r>
            <w:r w:rsidR="00C56F76" w:rsidRPr="00F77964">
              <w:rPr>
                <w:rFonts w:eastAsia="SimSun"/>
                <w:sz w:val="18"/>
                <w:szCs w:val="18"/>
                <w:lang w:eastAsia="zh-CN"/>
              </w:rPr>
              <w:t>coordonnateurs</w:t>
            </w:r>
            <w:r w:rsidR="00150DE4" w:rsidRPr="00F77964">
              <w:rPr>
                <w:rFonts w:eastAsia="SimSun"/>
                <w:sz w:val="18"/>
                <w:szCs w:val="18"/>
                <w:lang w:eastAsia="zh-CN"/>
              </w:rPr>
              <w:t xml:space="preserve"> principaux et auteurs principaux</w:t>
            </w:r>
            <w:r w:rsidR="00435D19">
              <w:rPr>
                <w:rFonts w:eastAsia="SimSun"/>
                <w:sz w:val="18"/>
                <w:szCs w:val="18"/>
                <w:lang w:eastAsia="zh-CN"/>
              </w:rPr>
              <w:t xml:space="preserve"> +</w:t>
            </w:r>
            <w:r w:rsidR="00A542D9">
              <w:rPr>
                <w:rFonts w:eastAsia="SimSun"/>
                <w:sz w:val="18"/>
                <w:szCs w:val="18"/>
                <w:lang w:eastAsia="zh-CN"/>
              </w:rPr>
              <w:t xml:space="preserve"> </w:t>
            </w:r>
            <w:r w:rsidR="00150DE4" w:rsidRPr="00F77964">
              <w:rPr>
                <w:rFonts w:eastAsia="SimSun"/>
                <w:sz w:val="18"/>
                <w:szCs w:val="18"/>
                <w:lang w:eastAsia="zh-CN"/>
              </w:rPr>
              <w:t>10 éditeurs réviseurs</w:t>
            </w:r>
            <w:r w:rsidRPr="00F77964">
              <w:rPr>
                <w:rFonts w:eastAsia="SimSun"/>
                <w:sz w:val="18"/>
                <w:szCs w:val="18"/>
                <w:lang w:eastAsia="zh-CN"/>
              </w:rPr>
              <w:t>)</w:t>
            </w:r>
          </w:p>
        </w:tc>
        <w:tc>
          <w:tcPr>
            <w:tcW w:w="3685" w:type="dxa"/>
            <w:tcBorders>
              <w:top w:val="single" w:sz="4" w:space="0" w:color="auto"/>
              <w:left w:val="single" w:sz="4" w:space="0" w:color="auto"/>
              <w:bottom w:val="single" w:sz="4" w:space="0" w:color="auto"/>
              <w:right w:val="single" w:sz="4" w:space="0" w:color="auto"/>
            </w:tcBorders>
            <w:hideMark/>
          </w:tcPr>
          <w:p w:rsidR="00D66005" w:rsidRPr="00F77964" w:rsidRDefault="00026403" w:rsidP="008039AF">
            <w:pPr>
              <w:pStyle w:val="Normal-pool"/>
              <w:spacing w:before="40" w:after="40"/>
              <w:rPr>
                <w:rFonts w:eastAsia="SimSun"/>
                <w:sz w:val="18"/>
                <w:szCs w:val="18"/>
                <w:lang w:eastAsia="zh-CN"/>
              </w:rPr>
            </w:pPr>
            <w:r w:rsidRPr="00F77964">
              <w:rPr>
                <w:rFonts w:eastAsia="SimSun"/>
                <w:sz w:val="18"/>
                <w:szCs w:val="18"/>
                <w:lang w:eastAsia="zh-CN"/>
              </w:rPr>
              <w:t>Coûts de</w:t>
            </w:r>
            <w:r w:rsidR="008A7A1A" w:rsidRPr="00F77964">
              <w:rPr>
                <w:rFonts w:eastAsia="SimSun"/>
                <w:sz w:val="18"/>
                <w:szCs w:val="18"/>
                <w:lang w:eastAsia="zh-CN"/>
              </w:rPr>
              <w:t>s</w:t>
            </w:r>
            <w:r w:rsidRPr="00F77964">
              <w:rPr>
                <w:rFonts w:eastAsia="SimSun"/>
                <w:sz w:val="18"/>
                <w:szCs w:val="18"/>
                <w:lang w:eastAsia="zh-CN"/>
              </w:rPr>
              <w:t xml:space="preserve"> réunion</w:t>
            </w:r>
            <w:r w:rsidR="008A7A1A" w:rsidRPr="00F77964">
              <w:rPr>
                <w:rFonts w:eastAsia="SimSun"/>
                <w:sz w:val="18"/>
                <w:szCs w:val="18"/>
                <w:lang w:eastAsia="zh-CN"/>
              </w:rPr>
              <w:t>s</w:t>
            </w:r>
            <w:r w:rsidRPr="00F77964">
              <w:rPr>
                <w:rFonts w:eastAsia="SimSun"/>
                <w:sz w:val="18"/>
                <w:szCs w:val="18"/>
                <w:lang w:eastAsia="zh-CN"/>
              </w:rPr>
              <w:t xml:space="preserve"> (</w:t>
            </w:r>
            <w:r w:rsidR="008A7A1A" w:rsidRPr="00F77964">
              <w:rPr>
                <w:rFonts w:eastAsia="SimSun"/>
                <w:sz w:val="18"/>
                <w:szCs w:val="18"/>
                <w:lang w:eastAsia="zh-CN"/>
              </w:rPr>
              <w:t xml:space="preserve">15 x </w:t>
            </w:r>
            <w:r w:rsidRPr="00F77964">
              <w:rPr>
                <w:rFonts w:eastAsia="SimSun"/>
                <w:sz w:val="18"/>
                <w:szCs w:val="18"/>
                <w:lang w:eastAsia="zh-CN"/>
              </w:rPr>
              <w:t xml:space="preserve">1 semaine, </w:t>
            </w:r>
            <w:r w:rsidR="008A7A1A" w:rsidRPr="00F77964">
              <w:rPr>
                <w:rFonts w:eastAsia="SimSun"/>
                <w:sz w:val="18"/>
                <w:szCs w:val="18"/>
                <w:lang w:eastAsia="zh-CN"/>
              </w:rPr>
              <w:t>70</w:t>
            </w:r>
            <w:r w:rsidRPr="00F77964">
              <w:rPr>
                <w:rFonts w:eastAsia="SimSun"/>
                <w:sz w:val="18"/>
                <w:szCs w:val="18"/>
                <w:lang w:eastAsia="zh-CN"/>
              </w:rPr>
              <w:t> participants) (25 % en nature)</w:t>
            </w:r>
          </w:p>
        </w:tc>
        <w:tc>
          <w:tcPr>
            <w:tcW w:w="99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8039AF">
            <w:pPr>
              <w:pStyle w:val="Normal-pool"/>
              <w:spacing w:before="40" w:after="40"/>
              <w:rPr>
                <w:rFonts w:eastAsia="SimSun"/>
                <w:sz w:val="18"/>
                <w:szCs w:val="18"/>
                <w:lang w:eastAsia="zh-CN"/>
              </w:rPr>
            </w:pPr>
            <w:r w:rsidRPr="00F77964">
              <w:rPr>
                <w:rFonts w:eastAsia="SimSun"/>
                <w:sz w:val="18"/>
                <w:szCs w:val="18"/>
                <w:lang w:eastAsia="zh-CN"/>
              </w:rPr>
              <w:t>225</w:t>
            </w:r>
            <w:r w:rsidR="00026403" w:rsidRPr="00F77964">
              <w:rPr>
                <w:rFonts w:eastAsia="SimSun"/>
                <w:sz w:val="18"/>
                <w:szCs w:val="18"/>
                <w:lang w:eastAsia="zh-CN"/>
              </w:rPr>
              <w:t> </w:t>
            </w:r>
            <w:r w:rsidRPr="00F77964">
              <w:rPr>
                <w:rFonts w:eastAsia="SimSun"/>
                <w:sz w:val="18"/>
                <w:szCs w:val="18"/>
                <w:lang w:eastAsia="zh-CN"/>
              </w:rPr>
              <w:t>000</w:t>
            </w:r>
          </w:p>
        </w:tc>
      </w:tr>
      <w:tr w:rsidR="00D66005" w:rsidRPr="0061490E" w:rsidTr="008039AF">
        <w:trPr>
          <w:trHeight w:val="361"/>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8039AF">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8039AF">
            <w:pPr>
              <w:rPr>
                <w:rFonts w:eastAsia="SimSun"/>
                <w:sz w:val="18"/>
                <w:szCs w:val="18"/>
                <w:lang w:eastAsia="zh-CN"/>
              </w:rPr>
            </w:pPr>
          </w:p>
        </w:tc>
        <w:tc>
          <w:tcPr>
            <w:tcW w:w="3685" w:type="dxa"/>
            <w:tcBorders>
              <w:top w:val="single" w:sz="4" w:space="0" w:color="auto"/>
              <w:left w:val="single" w:sz="4" w:space="0" w:color="auto"/>
              <w:bottom w:val="single" w:sz="4" w:space="0" w:color="auto"/>
              <w:right w:val="single" w:sz="4" w:space="0" w:color="auto"/>
            </w:tcBorders>
            <w:hideMark/>
          </w:tcPr>
          <w:p w:rsidR="00D66005" w:rsidRPr="00F77964" w:rsidRDefault="00D972E8" w:rsidP="008039AF">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00026403" w:rsidRPr="00F77964">
              <w:rPr>
                <w:rFonts w:eastAsia="SimSun"/>
                <w:sz w:val="18"/>
                <w:szCs w:val="18"/>
                <w:lang w:eastAsia="zh-CN"/>
              </w:rPr>
              <w:t xml:space="preserve"> (</w:t>
            </w:r>
            <w:r w:rsidR="008A7A1A" w:rsidRPr="00F77964">
              <w:rPr>
                <w:rFonts w:eastAsia="SimSun"/>
                <w:sz w:val="18"/>
                <w:szCs w:val="18"/>
                <w:lang w:eastAsia="zh-CN"/>
              </w:rPr>
              <w:t>1</w:t>
            </w:r>
            <w:r w:rsidR="00026403" w:rsidRPr="00F77964">
              <w:rPr>
                <w:rFonts w:eastAsia="SimSun"/>
                <w:sz w:val="18"/>
                <w:szCs w:val="18"/>
                <w:lang w:eastAsia="zh-CN"/>
              </w:rPr>
              <w:t xml:space="preserve">5 x </w:t>
            </w:r>
            <w:r w:rsidR="008A7A1A" w:rsidRPr="00F77964">
              <w:rPr>
                <w:rFonts w:eastAsia="SimSun"/>
                <w:sz w:val="18"/>
                <w:szCs w:val="18"/>
                <w:lang w:eastAsia="zh-CN"/>
              </w:rPr>
              <w:t>53 x 1 500</w:t>
            </w:r>
            <w:r w:rsidR="00026403" w:rsidRPr="00F77964">
              <w:rPr>
                <w:rFonts w:eastAsia="SimSun"/>
                <w:sz w:val="18"/>
                <w:szCs w:val="18"/>
                <w:lang w:eastAsia="zh-CN"/>
              </w:rPr>
              <w:t> dollars)</w:t>
            </w:r>
          </w:p>
        </w:tc>
        <w:tc>
          <w:tcPr>
            <w:tcW w:w="99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8039AF">
            <w:pPr>
              <w:pStyle w:val="Normal-pool"/>
              <w:spacing w:before="40" w:after="40"/>
              <w:rPr>
                <w:rFonts w:eastAsia="SimSun"/>
                <w:sz w:val="18"/>
                <w:szCs w:val="18"/>
                <w:lang w:eastAsia="zh-CN"/>
              </w:rPr>
            </w:pPr>
            <w:r w:rsidRPr="00F77964">
              <w:rPr>
                <w:rFonts w:eastAsia="SimSun"/>
                <w:sz w:val="18"/>
                <w:szCs w:val="18"/>
                <w:lang w:eastAsia="zh-CN"/>
              </w:rPr>
              <w:t>1</w:t>
            </w:r>
            <w:r w:rsidR="00026403" w:rsidRPr="00F77964">
              <w:rPr>
                <w:rFonts w:eastAsia="SimSun"/>
                <w:sz w:val="18"/>
                <w:szCs w:val="18"/>
                <w:lang w:eastAsia="zh-CN"/>
              </w:rPr>
              <w:t> </w:t>
            </w:r>
            <w:r w:rsidRPr="00F77964">
              <w:rPr>
                <w:rFonts w:eastAsia="SimSun"/>
                <w:sz w:val="18"/>
                <w:szCs w:val="18"/>
                <w:lang w:eastAsia="zh-CN"/>
              </w:rPr>
              <w:t>192</w:t>
            </w:r>
            <w:r w:rsidR="00026403" w:rsidRPr="00F77964">
              <w:rPr>
                <w:rFonts w:eastAsia="SimSun"/>
                <w:sz w:val="18"/>
                <w:szCs w:val="18"/>
                <w:lang w:eastAsia="zh-CN"/>
              </w:rPr>
              <w:t> </w:t>
            </w:r>
            <w:r w:rsidRPr="00F77964">
              <w:rPr>
                <w:rFonts w:eastAsia="SimSun"/>
                <w:sz w:val="18"/>
                <w:szCs w:val="18"/>
                <w:lang w:eastAsia="zh-CN"/>
              </w:rPr>
              <w:t>500</w:t>
            </w:r>
          </w:p>
        </w:tc>
      </w:tr>
      <w:tr w:rsidR="00D66005" w:rsidRPr="0061490E" w:rsidTr="008039AF">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8039AF">
            <w:pPr>
              <w:rPr>
                <w:rFonts w:eastAsia="SimSun"/>
                <w:sz w:val="18"/>
                <w:szCs w:val="18"/>
                <w:lang w:eastAsia="zh-CN"/>
              </w:rPr>
            </w:pPr>
          </w:p>
        </w:tc>
        <w:tc>
          <w:tcPr>
            <w:tcW w:w="3388"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291E3F" w:rsidP="008039AF">
            <w:pPr>
              <w:pStyle w:val="Normal-pool"/>
              <w:spacing w:before="40" w:after="40"/>
              <w:rPr>
                <w:rFonts w:eastAsia="SimSun"/>
                <w:sz w:val="18"/>
                <w:szCs w:val="18"/>
                <w:lang w:eastAsia="zh-CN"/>
              </w:rPr>
            </w:pPr>
            <w:r w:rsidRPr="00F77964">
              <w:rPr>
                <w:rFonts w:eastAsia="SimSun"/>
                <w:sz w:val="18"/>
                <w:szCs w:val="18"/>
                <w:lang w:eastAsia="zh-CN"/>
              </w:rPr>
              <w:t>15 </w:t>
            </w:r>
            <w:r w:rsidR="00200881" w:rsidRPr="00F77964">
              <w:rPr>
                <w:rFonts w:eastAsia="SimSun"/>
                <w:sz w:val="18"/>
                <w:szCs w:val="18"/>
                <w:lang w:eastAsia="zh-CN"/>
              </w:rPr>
              <w:t xml:space="preserve">troisièmes </w:t>
            </w:r>
            <w:r w:rsidRPr="00F77964">
              <w:rPr>
                <w:rFonts w:eastAsia="SimSun"/>
                <w:sz w:val="18"/>
                <w:szCs w:val="18"/>
                <w:lang w:eastAsia="zh-CN"/>
              </w:rPr>
              <w:t>réunions d</w:t>
            </w:r>
            <w:r w:rsidR="00200881" w:rsidRPr="00F77964">
              <w:rPr>
                <w:rFonts w:eastAsia="SimSun"/>
                <w:sz w:val="18"/>
                <w:szCs w:val="18"/>
                <w:lang w:eastAsia="zh-CN"/>
              </w:rPr>
              <w:t xml:space="preserve">es </w:t>
            </w:r>
            <w:r w:rsidRPr="00F77964">
              <w:rPr>
                <w:rFonts w:eastAsia="SimSun"/>
                <w:sz w:val="18"/>
                <w:szCs w:val="18"/>
                <w:lang w:eastAsia="zh-CN"/>
              </w:rPr>
              <w:t>auteurs (60</w:t>
            </w:r>
            <w:r w:rsidR="00966B49">
              <w:rPr>
                <w:rFonts w:eastAsia="SimSun"/>
                <w:sz w:val="18"/>
                <w:szCs w:val="18"/>
                <w:lang w:eastAsia="zh-CN"/>
              </w:rPr>
              <w:t> </w:t>
            </w:r>
            <w:r w:rsidR="006E337B">
              <w:rPr>
                <w:rFonts w:eastAsia="SimSun"/>
                <w:sz w:val="18"/>
                <w:szCs w:val="18"/>
                <w:lang w:eastAsia="zh-CN"/>
              </w:rPr>
              <w:t>coprésidents</w:t>
            </w:r>
            <w:r w:rsidRPr="00F77964">
              <w:rPr>
                <w:rFonts w:eastAsia="SimSun"/>
                <w:sz w:val="18"/>
                <w:szCs w:val="18"/>
                <w:lang w:eastAsia="zh-CN"/>
              </w:rPr>
              <w:t xml:space="preserve"> auteurs </w:t>
            </w:r>
            <w:r w:rsidR="00C56F76" w:rsidRPr="00F77964">
              <w:rPr>
                <w:rFonts w:eastAsia="SimSun"/>
                <w:sz w:val="18"/>
                <w:szCs w:val="18"/>
                <w:lang w:eastAsia="zh-CN"/>
              </w:rPr>
              <w:t>coordonnateurs</w:t>
            </w:r>
            <w:r w:rsidRPr="00F77964">
              <w:rPr>
                <w:rFonts w:eastAsia="SimSun"/>
                <w:sz w:val="18"/>
                <w:szCs w:val="18"/>
                <w:lang w:eastAsia="zh-CN"/>
              </w:rPr>
              <w:t xml:space="preserve"> principaux et auteurs principaux</w:t>
            </w:r>
            <w:r w:rsidR="00435D19">
              <w:rPr>
                <w:rFonts w:eastAsia="SimSun"/>
                <w:sz w:val="18"/>
                <w:szCs w:val="18"/>
                <w:lang w:eastAsia="zh-CN"/>
              </w:rPr>
              <w:t xml:space="preserve"> +</w:t>
            </w:r>
            <w:r w:rsidR="00A542D9">
              <w:rPr>
                <w:rFonts w:eastAsia="SimSun"/>
                <w:sz w:val="18"/>
                <w:szCs w:val="18"/>
                <w:lang w:eastAsia="zh-CN"/>
              </w:rPr>
              <w:t xml:space="preserve"> </w:t>
            </w:r>
            <w:r w:rsidRPr="00F77964">
              <w:rPr>
                <w:rFonts w:eastAsia="SimSun"/>
                <w:sz w:val="18"/>
                <w:szCs w:val="18"/>
                <w:lang w:eastAsia="zh-CN"/>
              </w:rPr>
              <w:t>10 éditeurs réviseurs)</w:t>
            </w:r>
          </w:p>
        </w:tc>
        <w:tc>
          <w:tcPr>
            <w:tcW w:w="3685" w:type="dxa"/>
            <w:tcBorders>
              <w:top w:val="single" w:sz="4" w:space="0" w:color="auto"/>
              <w:left w:val="single" w:sz="4" w:space="0" w:color="auto"/>
              <w:bottom w:val="single" w:sz="4" w:space="0" w:color="auto"/>
              <w:right w:val="single" w:sz="4" w:space="0" w:color="auto"/>
            </w:tcBorders>
            <w:hideMark/>
          </w:tcPr>
          <w:p w:rsidR="00D66005" w:rsidRPr="00F77964" w:rsidRDefault="00026403" w:rsidP="008039AF">
            <w:pPr>
              <w:pStyle w:val="Normal-pool"/>
              <w:spacing w:before="40" w:after="40"/>
              <w:rPr>
                <w:rFonts w:eastAsia="SimSun"/>
                <w:sz w:val="18"/>
                <w:szCs w:val="18"/>
                <w:lang w:eastAsia="zh-CN"/>
              </w:rPr>
            </w:pPr>
            <w:r w:rsidRPr="00F77964">
              <w:rPr>
                <w:rFonts w:eastAsia="SimSun"/>
                <w:sz w:val="18"/>
                <w:szCs w:val="18"/>
                <w:lang w:eastAsia="zh-CN"/>
              </w:rPr>
              <w:t>Coûts de</w:t>
            </w:r>
            <w:r w:rsidR="008A7A1A" w:rsidRPr="00F77964">
              <w:rPr>
                <w:rFonts w:eastAsia="SimSun"/>
                <w:sz w:val="18"/>
                <w:szCs w:val="18"/>
                <w:lang w:eastAsia="zh-CN"/>
              </w:rPr>
              <w:t>s</w:t>
            </w:r>
            <w:r w:rsidRPr="00F77964">
              <w:rPr>
                <w:rFonts w:eastAsia="SimSun"/>
                <w:sz w:val="18"/>
                <w:szCs w:val="18"/>
                <w:lang w:eastAsia="zh-CN"/>
              </w:rPr>
              <w:t xml:space="preserve"> réunion</w:t>
            </w:r>
            <w:r w:rsidR="008A7A1A" w:rsidRPr="00F77964">
              <w:rPr>
                <w:rFonts w:eastAsia="SimSun"/>
                <w:sz w:val="18"/>
                <w:szCs w:val="18"/>
                <w:lang w:eastAsia="zh-CN"/>
              </w:rPr>
              <w:t>s</w:t>
            </w:r>
            <w:r w:rsidRPr="00F77964">
              <w:rPr>
                <w:rFonts w:eastAsia="SimSun"/>
                <w:sz w:val="18"/>
                <w:szCs w:val="18"/>
                <w:lang w:eastAsia="zh-CN"/>
              </w:rPr>
              <w:t xml:space="preserve"> (1</w:t>
            </w:r>
            <w:r w:rsidR="008A7A1A" w:rsidRPr="00F77964">
              <w:rPr>
                <w:rFonts w:eastAsia="SimSun"/>
                <w:sz w:val="18"/>
                <w:szCs w:val="18"/>
                <w:lang w:eastAsia="zh-CN"/>
              </w:rPr>
              <w:t>5 x 1</w:t>
            </w:r>
            <w:r w:rsidRPr="00F77964">
              <w:rPr>
                <w:rFonts w:eastAsia="SimSun"/>
                <w:sz w:val="18"/>
                <w:szCs w:val="18"/>
                <w:lang w:eastAsia="zh-CN"/>
              </w:rPr>
              <w:t xml:space="preserve"> semaine, </w:t>
            </w:r>
            <w:r w:rsidR="008A7A1A" w:rsidRPr="00F77964">
              <w:rPr>
                <w:rFonts w:eastAsia="SimSun"/>
                <w:sz w:val="18"/>
                <w:szCs w:val="18"/>
                <w:lang w:eastAsia="zh-CN"/>
              </w:rPr>
              <w:t>7</w:t>
            </w:r>
            <w:r w:rsidRPr="00F77964">
              <w:rPr>
                <w:rFonts w:eastAsia="SimSun"/>
                <w:sz w:val="18"/>
                <w:szCs w:val="18"/>
                <w:lang w:eastAsia="zh-CN"/>
              </w:rPr>
              <w:t>0 participants) (25 % en nature)</w:t>
            </w:r>
          </w:p>
        </w:tc>
        <w:tc>
          <w:tcPr>
            <w:tcW w:w="99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8039AF">
            <w:pPr>
              <w:pStyle w:val="Normal-pool"/>
              <w:spacing w:before="40" w:after="40"/>
              <w:rPr>
                <w:rFonts w:eastAsia="SimSun"/>
                <w:sz w:val="18"/>
                <w:szCs w:val="18"/>
                <w:lang w:eastAsia="zh-CN"/>
              </w:rPr>
            </w:pPr>
            <w:r w:rsidRPr="00F77964">
              <w:rPr>
                <w:rFonts w:eastAsia="SimSun"/>
                <w:sz w:val="18"/>
                <w:szCs w:val="18"/>
                <w:lang w:eastAsia="zh-CN"/>
              </w:rPr>
              <w:t>225</w:t>
            </w:r>
            <w:r w:rsidR="00026403" w:rsidRPr="00F77964">
              <w:rPr>
                <w:rFonts w:eastAsia="SimSun"/>
                <w:sz w:val="18"/>
                <w:szCs w:val="18"/>
                <w:lang w:eastAsia="zh-CN"/>
              </w:rPr>
              <w:t xml:space="preserve"> </w:t>
            </w:r>
            <w:r w:rsidRPr="00F77964">
              <w:rPr>
                <w:rFonts w:eastAsia="SimSun"/>
                <w:sz w:val="18"/>
                <w:szCs w:val="18"/>
                <w:lang w:eastAsia="zh-CN"/>
              </w:rPr>
              <w:t>000</w:t>
            </w:r>
          </w:p>
        </w:tc>
      </w:tr>
      <w:tr w:rsidR="00D66005" w:rsidRPr="0061490E" w:rsidTr="008039AF">
        <w:trPr>
          <w:trHeight w:val="339"/>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8039AF">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8039AF">
            <w:pPr>
              <w:rPr>
                <w:rFonts w:eastAsia="SimSun"/>
                <w:sz w:val="18"/>
                <w:szCs w:val="18"/>
                <w:lang w:eastAsia="zh-CN"/>
              </w:rPr>
            </w:pPr>
          </w:p>
        </w:tc>
        <w:tc>
          <w:tcPr>
            <w:tcW w:w="3685" w:type="dxa"/>
            <w:tcBorders>
              <w:top w:val="single" w:sz="4" w:space="0" w:color="auto"/>
              <w:left w:val="single" w:sz="4" w:space="0" w:color="auto"/>
              <w:bottom w:val="single" w:sz="4" w:space="0" w:color="auto"/>
              <w:right w:val="single" w:sz="4" w:space="0" w:color="auto"/>
            </w:tcBorders>
            <w:hideMark/>
          </w:tcPr>
          <w:p w:rsidR="00D66005" w:rsidRPr="00F77964" w:rsidRDefault="00D972E8" w:rsidP="008039AF">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00026403" w:rsidRPr="00F77964">
              <w:rPr>
                <w:rFonts w:eastAsia="SimSun"/>
                <w:sz w:val="18"/>
                <w:szCs w:val="18"/>
                <w:lang w:eastAsia="zh-CN"/>
              </w:rPr>
              <w:t xml:space="preserve"> (</w:t>
            </w:r>
            <w:r w:rsidR="008A7A1A" w:rsidRPr="00F77964">
              <w:rPr>
                <w:rFonts w:eastAsia="SimSun"/>
                <w:sz w:val="18"/>
                <w:szCs w:val="18"/>
                <w:lang w:eastAsia="zh-CN"/>
              </w:rPr>
              <w:t>1</w:t>
            </w:r>
            <w:r w:rsidR="00026403" w:rsidRPr="00F77964">
              <w:rPr>
                <w:rFonts w:eastAsia="SimSun"/>
                <w:sz w:val="18"/>
                <w:szCs w:val="18"/>
                <w:lang w:eastAsia="zh-CN"/>
              </w:rPr>
              <w:t xml:space="preserve">5 x </w:t>
            </w:r>
            <w:r w:rsidR="008A7A1A" w:rsidRPr="00F77964">
              <w:rPr>
                <w:rFonts w:eastAsia="SimSun"/>
                <w:sz w:val="18"/>
                <w:szCs w:val="18"/>
                <w:lang w:eastAsia="zh-CN"/>
              </w:rPr>
              <w:t>53 x 1 500</w:t>
            </w:r>
            <w:r w:rsidR="00026403" w:rsidRPr="00F77964">
              <w:rPr>
                <w:rFonts w:eastAsia="SimSun"/>
                <w:sz w:val="18"/>
                <w:szCs w:val="18"/>
                <w:lang w:eastAsia="zh-CN"/>
              </w:rPr>
              <w:t> dollars)</w:t>
            </w:r>
          </w:p>
        </w:tc>
        <w:tc>
          <w:tcPr>
            <w:tcW w:w="99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8039AF">
            <w:pPr>
              <w:pStyle w:val="Normal-pool"/>
              <w:spacing w:before="40" w:after="40"/>
              <w:rPr>
                <w:rFonts w:eastAsia="SimSun"/>
                <w:sz w:val="18"/>
                <w:szCs w:val="18"/>
                <w:lang w:eastAsia="zh-CN"/>
              </w:rPr>
            </w:pPr>
            <w:r w:rsidRPr="00F77964">
              <w:rPr>
                <w:rFonts w:eastAsia="SimSun"/>
                <w:sz w:val="18"/>
                <w:szCs w:val="18"/>
                <w:lang w:eastAsia="zh-CN"/>
              </w:rPr>
              <w:t>1</w:t>
            </w:r>
            <w:r w:rsidR="00026403" w:rsidRPr="00F77964">
              <w:rPr>
                <w:rFonts w:eastAsia="SimSun"/>
                <w:sz w:val="18"/>
                <w:szCs w:val="18"/>
                <w:lang w:eastAsia="zh-CN"/>
              </w:rPr>
              <w:t> </w:t>
            </w:r>
            <w:r w:rsidRPr="00F77964">
              <w:rPr>
                <w:rFonts w:eastAsia="SimSun"/>
                <w:sz w:val="18"/>
                <w:szCs w:val="18"/>
                <w:lang w:eastAsia="zh-CN"/>
              </w:rPr>
              <w:t>192</w:t>
            </w:r>
            <w:r w:rsidR="00026403" w:rsidRPr="00F77964">
              <w:rPr>
                <w:rFonts w:eastAsia="SimSun"/>
                <w:sz w:val="18"/>
                <w:szCs w:val="18"/>
                <w:lang w:eastAsia="zh-CN"/>
              </w:rPr>
              <w:t> </w:t>
            </w:r>
            <w:r w:rsidRPr="00F77964">
              <w:rPr>
                <w:rFonts w:eastAsia="SimSun"/>
                <w:sz w:val="18"/>
                <w:szCs w:val="18"/>
                <w:lang w:eastAsia="zh-CN"/>
              </w:rPr>
              <w:t>500</w:t>
            </w:r>
          </w:p>
        </w:tc>
      </w:tr>
      <w:tr w:rsidR="00D66005" w:rsidRPr="0061490E" w:rsidTr="008039AF">
        <w:trPr>
          <w:trHeight w:val="361"/>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8039AF">
            <w:pPr>
              <w:rPr>
                <w:rFonts w:eastAsia="SimSun"/>
                <w:sz w:val="18"/>
                <w:szCs w:val="18"/>
                <w:lang w:eastAsia="zh-CN"/>
              </w:rPr>
            </w:pPr>
          </w:p>
        </w:tc>
        <w:tc>
          <w:tcPr>
            <w:tcW w:w="3388" w:type="dxa"/>
            <w:tcBorders>
              <w:top w:val="single" w:sz="4" w:space="0" w:color="auto"/>
              <w:left w:val="single" w:sz="4" w:space="0" w:color="auto"/>
              <w:bottom w:val="single" w:sz="4" w:space="0" w:color="auto"/>
              <w:right w:val="single" w:sz="4" w:space="0" w:color="auto"/>
            </w:tcBorders>
            <w:hideMark/>
          </w:tcPr>
          <w:p w:rsidR="00D66005" w:rsidRPr="00F77964" w:rsidRDefault="00291E3F" w:rsidP="008039AF">
            <w:pPr>
              <w:pStyle w:val="Normal-pool"/>
              <w:spacing w:before="40" w:after="40"/>
              <w:rPr>
                <w:rFonts w:eastAsia="SimSun"/>
                <w:sz w:val="18"/>
                <w:szCs w:val="18"/>
                <w:lang w:eastAsia="zh-CN"/>
              </w:rPr>
            </w:pPr>
            <w:r w:rsidRPr="00F77964">
              <w:rPr>
                <w:rFonts w:eastAsia="SimSun"/>
                <w:sz w:val="18"/>
                <w:szCs w:val="18"/>
                <w:lang w:eastAsia="zh-CN"/>
              </w:rPr>
              <w:t>Appui technique</w:t>
            </w:r>
          </w:p>
        </w:tc>
        <w:tc>
          <w:tcPr>
            <w:tcW w:w="3685" w:type="dxa"/>
            <w:tcBorders>
              <w:top w:val="single" w:sz="4" w:space="0" w:color="auto"/>
              <w:left w:val="single" w:sz="4" w:space="0" w:color="auto"/>
              <w:bottom w:val="single" w:sz="4" w:space="0" w:color="auto"/>
              <w:right w:val="single" w:sz="4" w:space="0" w:color="auto"/>
            </w:tcBorders>
            <w:hideMark/>
          </w:tcPr>
          <w:p w:rsidR="00D66005" w:rsidRPr="00F77964" w:rsidRDefault="008A7A1A" w:rsidP="008039AF">
            <w:pPr>
              <w:pStyle w:val="Normal-pool"/>
              <w:spacing w:before="40" w:after="40"/>
              <w:rPr>
                <w:rFonts w:eastAsia="SimSun"/>
                <w:sz w:val="18"/>
                <w:szCs w:val="18"/>
                <w:lang w:eastAsia="zh-CN"/>
              </w:rPr>
            </w:pPr>
            <w:r w:rsidRPr="00F77964">
              <w:rPr>
                <w:rFonts w:eastAsia="SimSun"/>
                <w:sz w:val="18"/>
                <w:szCs w:val="18"/>
                <w:lang w:eastAsia="zh-CN"/>
              </w:rPr>
              <w:t>10 postes d’administrateur équivalent plein temps (50 % en nature)</w:t>
            </w:r>
          </w:p>
        </w:tc>
        <w:tc>
          <w:tcPr>
            <w:tcW w:w="99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8039AF">
            <w:pPr>
              <w:pStyle w:val="Normal-pool"/>
              <w:spacing w:before="40" w:after="40"/>
              <w:rPr>
                <w:rFonts w:eastAsia="SimSun"/>
                <w:sz w:val="18"/>
                <w:szCs w:val="18"/>
                <w:lang w:eastAsia="zh-CN"/>
              </w:rPr>
            </w:pPr>
            <w:r w:rsidRPr="00F77964">
              <w:rPr>
                <w:rFonts w:eastAsia="SimSun"/>
                <w:sz w:val="18"/>
                <w:szCs w:val="18"/>
                <w:lang w:eastAsia="zh-CN"/>
              </w:rPr>
              <w:t>750</w:t>
            </w:r>
            <w:r w:rsidR="00026403" w:rsidRPr="00F77964">
              <w:rPr>
                <w:rFonts w:eastAsia="SimSun"/>
                <w:sz w:val="18"/>
                <w:szCs w:val="18"/>
                <w:lang w:eastAsia="zh-CN"/>
              </w:rPr>
              <w:t> </w:t>
            </w:r>
            <w:r w:rsidRPr="00F77964">
              <w:rPr>
                <w:rFonts w:eastAsia="SimSun"/>
                <w:sz w:val="18"/>
                <w:szCs w:val="18"/>
                <w:lang w:eastAsia="zh-CN"/>
              </w:rPr>
              <w:t>000</w:t>
            </w:r>
          </w:p>
        </w:tc>
      </w:tr>
      <w:tr w:rsidR="00D66005" w:rsidRPr="0061490E" w:rsidTr="008039AF">
        <w:trPr>
          <w:trHeight w:val="357"/>
        </w:trPr>
        <w:tc>
          <w:tcPr>
            <w:tcW w:w="718"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8039AF">
            <w:pPr>
              <w:pStyle w:val="Normal-pool"/>
              <w:spacing w:before="40" w:after="40"/>
              <w:rPr>
                <w:rFonts w:eastAsia="SimSun"/>
                <w:sz w:val="18"/>
                <w:szCs w:val="18"/>
                <w:lang w:eastAsia="zh-CN"/>
              </w:rPr>
            </w:pPr>
            <w:r w:rsidRPr="00F77964">
              <w:rPr>
                <w:rFonts w:eastAsia="SimSun"/>
                <w:sz w:val="18"/>
                <w:szCs w:val="18"/>
                <w:lang w:eastAsia="zh-CN"/>
              </w:rPr>
              <w:t>2017</w:t>
            </w:r>
          </w:p>
        </w:tc>
        <w:tc>
          <w:tcPr>
            <w:tcW w:w="3388" w:type="dxa"/>
            <w:tcBorders>
              <w:top w:val="single" w:sz="4" w:space="0" w:color="auto"/>
              <w:left w:val="single" w:sz="4" w:space="0" w:color="auto"/>
              <w:bottom w:val="single" w:sz="4" w:space="0" w:color="auto"/>
              <w:right w:val="single" w:sz="4" w:space="0" w:color="auto"/>
            </w:tcBorders>
            <w:hideMark/>
          </w:tcPr>
          <w:p w:rsidR="00D66005" w:rsidRPr="00F77964" w:rsidRDefault="00291E3F" w:rsidP="008039AF">
            <w:pPr>
              <w:pStyle w:val="Normal-pool"/>
              <w:spacing w:before="40" w:after="40"/>
              <w:rPr>
                <w:rFonts w:eastAsia="SimSun"/>
                <w:sz w:val="18"/>
                <w:szCs w:val="18"/>
                <w:lang w:eastAsia="zh-CN"/>
              </w:rPr>
            </w:pPr>
            <w:r w:rsidRPr="00F77964">
              <w:rPr>
                <w:rFonts w:eastAsia="SimSun"/>
                <w:sz w:val="18"/>
                <w:szCs w:val="18"/>
                <w:lang w:eastAsia="zh-CN"/>
              </w:rPr>
              <w:t xml:space="preserve">Participation des </w:t>
            </w:r>
            <w:r w:rsidR="006E337B">
              <w:rPr>
                <w:rFonts w:eastAsia="SimSun"/>
                <w:sz w:val="18"/>
                <w:szCs w:val="18"/>
                <w:lang w:eastAsia="zh-CN"/>
              </w:rPr>
              <w:t>coprésidents</w:t>
            </w:r>
            <w:r w:rsidRPr="00F77964">
              <w:rPr>
                <w:rFonts w:eastAsia="SimSun"/>
                <w:sz w:val="18"/>
                <w:szCs w:val="18"/>
                <w:lang w:eastAsia="zh-CN"/>
              </w:rPr>
              <w:t xml:space="preserve"> à la cinquième session de la Plénière</w:t>
            </w:r>
          </w:p>
        </w:tc>
        <w:tc>
          <w:tcPr>
            <w:tcW w:w="3685" w:type="dxa"/>
            <w:tcBorders>
              <w:top w:val="single" w:sz="4" w:space="0" w:color="auto"/>
              <w:left w:val="single" w:sz="4" w:space="0" w:color="auto"/>
              <w:bottom w:val="single" w:sz="4" w:space="0" w:color="auto"/>
              <w:right w:val="single" w:sz="4" w:space="0" w:color="auto"/>
            </w:tcBorders>
            <w:hideMark/>
          </w:tcPr>
          <w:p w:rsidR="00D66005" w:rsidRPr="00F77964" w:rsidRDefault="00D972E8" w:rsidP="008039AF">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00026403" w:rsidRPr="00F77964">
              <w:rPr>
                <w:rFonts w:eastAsia="SimSun"/>
                <w:sz w:val="18"/>
                <w:szCs w:val="18"/>
                <w:lang w:eastAsia="zh-CN"/>
              </w:rPr>
              <w:t xml:space="preserve"> (25 x 3 000 dollars)</w:t>
            </w:r>
          </w:p>
        </w:tc>
        <w:tc>
          <w:tcPr>
            <w:tcW w:w="99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8039AF">
            <w:pPr>
              <w:pStyle w:val="Normal-pool"/>
              <w:spacing w:before="40" w:after="40"/>
              <w:rPr>
                <w:rFonts w:eastAsia="SimSun"/>
                <w:sz w:val="18"/>
                <w:szCs w:val="18"/>
                <w:lang w:eastAsia="zh-CN"/>
              </w:rPr>
            </w:pPr>
            <w:r w:rsidRPr="00F77964">
              <w:rPr>
                <w:rFonts w:eastAsia="SimSun"/>
                <w:sz w:val="18"/>
                <w:szCs w:val="18"/>
                <w:lang w:eastAsia="zh-CN"/>
              </w:rPr>
              <w:t>75</w:t>
            </w:r>
            <w:r w:rsidR="00026403" w:rsidRPr="00F77964">
              <w:rPr>
                <w:rFonts w:eastAsia="SimSun"/>
                <w:sz w:val="18"/>
                <w:szCs w:val="18"/>
                <w:lang w:eastAsia="zh-CN"/>
              </w:rPr>
              <w:t> </w:t>
            </w:r>
            <w:r w:rsidRPr="00F77964">
              <w:rPr>
                <w:rFonts w:eastAsia="SimSun"/>
                <w:sz w:val="18"/>
                <w:szCs w:val="18"/>
                <w:lang w:eastAsia="zh-CN"/>
              </w:rPr>
              <w:t>000</w:t>
            </w:r>
          </w:p>
        </w:tc>
      </w:tr>
      <w:tr w:rsidR="00D66005" w:rsidRPr="0061490E" w:rsidTr="008039AF">
        <w:trPr>
          <w:trHeight w:val="560"/>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8039AF">
            <w:pPr>
              <w:rPr>
                <w:rFonts w:eastAsia="SimSun"/>
                <w:sz w:val="18"/>
                <w:szCs w:val="18"/>
                <w:lang w:eastAsia="zh-CN"/>
              </w:rPr>
            </w:pPr>
          </w:p>
        </w:tc>
        <w:tc>
          <w:tcPr>
            <w:tcW w:w="3388" w:type="dxa"/>
            <w:tcBorders>
              <w:top w:val="single" w:sz="4" w:space="0" w:color="auto"/>
              <w:left w:val="single" w:sz="4" w:space="0" w:color="auto"/>
              <w:bottom w:val="single" w:sz="4" w:space="0" w:color="auto"/>
              <w:right w:val="single" w:sz="4" w:space="0" w:color="auto"/>
            </w:tcBorders>
            <w:hideMark/>
          </w:tcPr>
          <w:p w:rsidR="00D66005" w:rsidRPr="00F77964" w:rsidRDefault="00291E3F" w:rsidP="008039AF">
            <w:pPr>
              <w:pStyle w:val="Normal-pool"/>
              <w:spacing w:before="40" w:after="40"/>
              <w:rPr>
                <w:rFonts w:eastAsia="SimSun"/>
                <w:sz w:val="18"/>
                <w:szCs w:val="18"/>
                <w:lang w:eastAsia="zh-CN"/>
              </w:rPr>
            </w:pPr>
            <w:r w:rsidRPr="00F77964">
              <w:rPr>
                <w:rFonts w:eastAsia="SimSun"/>
                <w:sz w:val="18"/>
                <w:szCs w:val="18"/>
                <w:lang w:eastAsia="zh-CN"/>
              </w:rPr>
              <w:t xml:space="preserve">Diffusion </w:t>
            </w:r>
            <w:r w:rsidR="00D66005" w:rsidRPr="00F77964">
              <w:rPr>
                <w:rFonts w:eastAsia="SimSun"/>
                <w:sz w:val="18"/>
                <w:szCs w:val="18"/>
                <w:lang w:eastAsia="zh-CN"/>
              </w:rPr>
              <w:t>(</w:t>
            </w:r>
            <w:r w:rsidRPr="00F77964">
              <w:rPr>
                <w:rFonts w:eastAsia="SimSun"/>
                <w:sz w:val="18"/>
                <w:szCs w:val="18"/>
                <w:lang w:eastAsia="zh-CN"/>
              </w:rPr>
              <w:t xml:space="preserve">résumé à l’intention des </w:t>
            </w:r>
            <w:r w:rsidR="008A7A1A" w:rsidRPr="00F77964">
              <w:rPr>
                <w:rFonts w:eastAsia="SimSun"/>
                <w:sz w:val="18"/>
                <w:szCs w:val="18"/>
                <w:lang w:eastAsia="zh-CN"/>
              </w:rPr>
              <w:t>décideurs</w:t>
            </w:r>
            <w:r w:rsidR="0038697F">
              <w:rPr>
                <w:rFonts w:eastAsia="SimSun"/>
                <w:sz w:val="18"/>
                <w:szCs w:val="18"/>
                <w:lang w:eastAsia="zh-CN"/>
              </w:rPr>
              <w:t> </w:t>
            </w:r>
            <w:r w:rsidR="00D66005" w:rsidRPr="00F77964">
              <w:rPr>
                <w:rFonts w:eastAsia="SimSun"/>
                <w:sz w:val="18"/>
                <w:szCs w:val="18"/>
                <w:lang w:eastAsia="zh-CN"/>
              </w:rPr>
              <w:t>15 x 10</w:t>
            </w:r>
            <w:r w:rsidRPr="00F77964">
              <w:rPr>
                <w:rFonts w:eastAsia="SimSun"/>
                <w:sz w:val="18"/>
                <w:szCs w:val="18"/>
                <w:lang w:eastAsia="zh-CN"/>
              </w:rPr>
              <w:t> </w:t>
            </w:r>
            <w:r w:rsidR="00D66005" w:rsidRPr="00F77964">
              <w:rPr>
                <w:rFonts w:eastAsia="SimSun"/>
                <w:sz w:val="18"/>
                <w:szCs w:val="18"/>
                <w:lang w:eastAsia="zh-CN"/>
              </w:rPr>
              <w:t xml:space="preserve">pages) </w:t>
            </w:r>
            <w:r w:rsidRPr="00F77964">
              <w:rPr>
                <w:rFonts w:eastAsia="SimSun"/>
                <w:sz w:val="18"/>
                <w:szCs w:val="18"/>
                <w:lang w:eastAsia="zh-CN"/>
              </w:rPr>
              <w:t>et rapport</w:t>
            </w:r>
            <w:r w:rsidR="00D66005" w:rsidRPr="00F77964">
              <w:rPr>
                <w:rFonts w:eastAsia="SimSun"/>
                <w:sz w:val="18"/>
                <w:szCs w:val="18"/>
                <w:lang w:eastAsia="zh-CN"/>
              </w:rPr>
              <w:t xml:space="preserve"> (200</w:t>
            </w:r>
            <w:r w:rsidRPr="00F77964">
              <w:rPr>
                <w:rFonts w:eastAsia="SimSun"/>
                <w:sz w:val="18"/>
                <w:szCs w:val="18"/>
                <w:lang w:eastAsia="zh-CN"/>
              </w:rPr>
              <w:t> </w:t>
            </w:r>
            <w:r w:rsidR="00D66005" w:rsidRPr="00F77964">
              <w:rPr>
                <w:rFonts w:eastAsia="SimSun"/>
                <w:sz w:val="18"/>
                <w:szCs w:val="18"/>
                <w:lang w:eastAsia="zh-CN"/>
              </w:rPr>
              <w:t>pages))</w:t>
            </w:r>
            <w:r w:rsidR="00636B40">
              <w:rPr>
                <w:rFonts w:eastAsia="SimSun"/>
                <w:sz w:val="18"/>
                <w:szCs w:val="18"/>
                <w:lang w:eastAsia="zh-CN"/>
              </w:rPr>
              <w:t xml:space="preserve"> </w:t>
            </w:r>
            <w:r w:rsidR="00636B40" w:rsidRPr="00F77964">
              <w:rPr>
                <w:rFonts w:eastAsia="SimSun"/>
                <w:sz w:val="18"/>
                <w:szCs w:val="18"/>
                <w:lang w:eastAsia="zh-CN"/>
              </w:rPr>
              <w:t>et a</w:t>
            </w:r>
            <w:r w:rsidR="00636B40">
              <w:rPr>
                <w:rFonts w:eastAsia="SimSun"/>
                <w:sz w:val="18"/>
                <w:szCs w:val="18"/>
                <w:lang w:eastAsia="zh-CN"/>
              </w:rPr>
              <w:t xml:space="preserve">nimation au niveau </w:t>
            </w:r>
            <w:r w:rsidR="00636B40" w:rsidRPr="00F77964">
              <w:rPr>
                <w:rFonts w:eastAsia="SimSun"/>
                <w:sz w:val="18"/>
                <w:szCs w:val="18"/>
                <w:lang w:eastAsia="zh-CN"/>
              </w:rPr>
              <w:t>régional</w:t>
            </w:r>
          </w:p>
        </w:tc>
        <w:tc>
          <w:tcPr>
            <w:tcW w:w="3685" w:type="dxa"/>
            <w:tcBorders>
              <w:top w:val="single" w:sz="4" w:space="0" w:color="auto"/>
              <w:left w:val="single" w:sz="4" w:space="0" w:color="auto"/>
              <w:bottom w:val="single" w:sz="4" w:space="0" w:color="auto"/>
              <w:right w:val="single" w:sz="4" w:space="0" w:color="auto"/>
            </w:tcBorders>
            <w:hideMark/>
          </w:tcPr>
          <w:p w:rsidR="00D66005" w:rsidRPr="00F77964" w:rsidRDefault="00291E3F" w:rsidP="008039AF">
            <w:pPr>
              <w:pStyle w:val="Normal-pool"/>
              <w:spacing w:before="40" w:after="40"/>
              <w:rPr>
                <w:rFonts w:eastAsia="SimSun"/>
                <w:sz w:val="18"/>
                <w:szCs w:val="18"/>
                <w:lang w:eastAsia="zh-CN"/>
              </w:rPr>
            </w:pPr>
            <w:r w:rsidRPr="00F77964">
              <w:rPr>
                <w:rFonts w:eastAsia="SimSun"/>
                <w:sz w:val="18"/>
                <w:szCs w:val="18"/>
                <w:lang w:eastAsia="zh-CN"/>
              </w:rPr>
              <w:t xml:space="preserve">Traduction des résumés à l’intention des décideurs dans toutes les langues de l’ONU, publication et </w:t>
            </w:r>
            <w:r w:rsidR="00F23269">
              <w:rPr>
                <w:rFonts w:eastAsia="SimSun"/>
                <w:sz w:val="18"/>
                <w:szCs w:val="18"/>
                <w:lang w:eastAsia="zh-CN"/>
              </w:rPr>
              <w:t>animation</w:t>
            </w:r>
          </w:p>
        </w:tc>
        <w:tc>
          <w:tcPr>
            <w:tcW w:w="99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8039AF">
            <w:pPr>
              <w:pStyle w:val="Normal-pool"/>
              <w:spacing w:before="40" w:after="40"/>
              <w:rPr>
                <w:rFonts w:eastAsia="SimSun"/>
                <w:sz w:val="18"/>
                <w:szCs w:val="18"/>
                <w:lang w:eastAsia="zh-CN"/>
              </w:rPr>
            </w:pPr>
            <w:r w:rsidRPr="00F77964">
              <w:rPr>
                <w:rFonts w:eastAsia="SimSun"/>
                <w:sz w:val="18"/>
                <w:szCs w:val="18"/>
                <w:lang w:eastAsia="zh-CN"/>
              </w:rPr>
              <w:t>1</w:t>
            </w:r>
            <w:r w:rsidR="00026403" w:rsidRPr="00F77964">
              <w:rPr>
                <w:rFonts w:eastAsia="SimSun"/>
                <w:sz w:val="18"/>
                <w:szCs w:val="18"/>
                <w:lang w:eastAsia="zh-CN"/>
              </w:rPr>
              <w:t> </w:t>
            </w:r>
            <w:r w:rsidRPr="00F77964">
              <w:rPr>
                <w:rFonts w:eastAsia="SimSun"/>
                <w:sz w:val="18"/>
                <w:szCs w:val="18"/>
                <w:lang w:eastAsia="zh-CN"/>
              </w:rPr>
              <w:t>755</w:t>
            </w:r>
            <w:r w:rsidR="00026403" w:rsidRPr="00F77964">
              <w:rPr>
                <w:rFonts w:eastAsia="SimSun"/>
                <w:sz w:val="18"/>
                <w:szCs w:val="18"/>
                <w:lang w:eastAsia="zh-CN"/>
              </w:rPr>
              <w:t> </w:t>
            </w:r>
            <w:r w:rsidRPr="00F77964">
              <w:rPr>
                <w:rFonts w:eastAsia="SimSun"/>
                <w:sz w:val="18"/>
                <w:szCs w:val="18"/>
                <w:lang w:eastAsia="zh-CN"/>
              </w:rPr>
              <w:t>000</w:t>
            </w:r>
          </w:p>
        </w:tc>
      </w:tr>
      <w:tr w:rsidR="00D66005" w:rsidRPr="0061490E" w:rsidTr="008039AF">
        <w:tc>
          <w:tcPr>
            <w:tcW w:w="718" w:type="dxa"/>
            <w:tcBorders>
              <w:top w:val="single" w:sz="4" w:space="0" w:color="auto"/>
              <w:left w:val="single" w:sz="4" w:space="0" w:color="auto"/>
              <w:bottom w:val="single" w:sz="4" w:space="0" w:color="auto"/>
              <w:right w:val="single" w:sz="4" w:space="0" w:color="auto"/>
            </w:tcBorders>
            <w:hideMark/>
          </w:tcPr>
          <w:p w:rsidR="00D66005" w:rsidRPr="00F77964" w:rsidRDefault="00D66005" w:rsidP="008039AF">
            <w:pPr>
              <w:pStyle w:val="Normal-pool"/>
              <w:spacing w:before="40" w:after="40"/>
              <w:rPr>
                <w:rFonts w:eastAsia="SimSun"/>
                <w:b/>
                <w:sz w:val="18"/>
                <w:szCs w:val="18"/>
                <w:lang w:eastAsia="zh-CN"/>
              </w:rPr>
            </w:pPr>
            <w:r w:rsidRPr="00F77964">
              <w:rPr>
                <w:rFonts w:eastAsia="SimSun"/>
                <w:b/>
                <w:sz w:val="18"/>
                <w:szCs w:val="18"/>
                <w:lang w:eastAsia="zh-CN"/>
              </w:rPr>
              <w:t>Total</w:t>
            </w:r>
          </w:p>
        </w:tc>
        <w:tc>
          <w:tcPr>
            <w:tcW w:w="3388" w:type="dxa"/>
            <w:tcBorders>
              <w:top w:val="single" w:sz="4" w:space="0" w:color="auto"/>
              <w:left w:val="single" w:sz="4" w:space="0" w:color="auto"/>
              <w:bottom w:val="single" w:sz="4" w:space="0" w:color="auto"/>
              <w:right w:val="single" w:sz="4" w:space="0" w:color="auto"/>
            </w:tcBorders>
          </w:tcPr>
          <w:p w:rsidR="00D66005" w:rsidRPr="00F77964" w:rsidRDefault="00D66005" w:rsidP="008039AF">
            <w:pPr>
              <w:pStyle w:val="Normal-pool"/>
              <w:spacing w:before="40" w:after="40"/>
              <w:rPr>
                <w:rFonts w:eastAsia="SimSun"/>
                <w:b/>
                <w:sz w:val="18"/>
                <w:szCs w:val="18"/>
                <w:lang w:eastAsia="zh-CN"/>
              </w:rPr>
            </w:pPr>
          </w:p>
        </w:tc>
        <w:tc>
          <w:tcPr>
            <w:tcW w:w="3685" w:type="dxa"/>
            <w:tcBorders>
              <w:top w:val="single" w:sz="4" w:space="0" w:color="auto"/>
              <w:left w:val="single" w:sz="4" w:space="0" w:color="auto"/>
              <w:bottom w:val="single" w:sz="4" w:space="0" w:color="auto"/>
              <w:right w:val="single" w:sz="4" w:space="0" w:color="auto"/>
            </w:tcBorders>
          </w:tcPr>
          <w:p w:rsidR="00D66005" w:rsidRPr="00F77964" w:rsidRDefault="00D66005" w:rsidP="008039AF">
            <w:pPr>
              <w:pStyle w:val="Normal-pool"/>
              <w:spacing w:before="40" w:after="40"/>
              <w:rPr>
                <w:rFonts w:eastAsia="SimSun"/>
                <w:b/>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8039AF">
            <w:pPr>
              <w:pStyle w:val="Normal-pool"/>
              <w:spacing w:before="40" w:after="40"/>
              <w:rPr>
                <w:rFonts w:eastAsia="SimSun"/>
                <w:b/>
                <w:sz w:val="18"/>
                <w:szCs w:val="18"/>
                <w:lang w:eastAsia="zh-CN"/>
              </w:rPr>
            </w:pPr>
            <w:r w:rsidRPr="00F77964">
              <w:rPr>
                <w:rFonts w:eastAsia="SimSun"/>
                <w:b/>
                <w:sz w:val="18"/>
                <w:szCs w:val="18"/>
                <w:lang w:eastAsia="zh-CN"/>
              </w:rPr>
              <w:t>7</w:t>
            </w:r>
            <w:r w:rsidR="00026403" w:rsidRPr="00F77964">
              <w:rPr>
                <w:rFonts w:eastAsia="SimSun"/>
                <w:b/>
                <w:sz w:val="18"/>
                <w:szCs w:val="18"/>
                <w:lang w:eastAsia="zh-CN"/>
              </w:rPr>
              <w:t> </w:t>
            </w:r>
            <w:r w:rsidRPr="00F77964">
              <w:rPr>
                <w:rFonts w:eastAsia="SimSun"/>
                <w:b/>
                <w:sz w:val="18"/>
                <w:szCs w:val="18"/>
                <w:lang w:eastAsia="zh-CN"/>
              </w:rPr>
              <w:t>742</w:t>
            </w:r>
            <w:r w:rsidR="00026403" w:rsidRPr="00F77964">
              <w:rPr>
                <w:rFonts w:eastAsia="SimSun"/>
                <w:b/>
                <w:sz w:val="18"/>
                <w:szCs w:val="18"/>
                <w:lang w:eastAsia="zh-CN"/>
              </w:rPr>
              <w:t> </w:t>
            </w:r>
            <w:r w:rsidRPr="00F77964">
              <w:rPr>
                <w:rFonts w:eastAsia="SimSun"/>
                <w:b/>
                <w:sz w:val="18"/>
                <w:szCs w:val="18"/>
                <w:lang w:eastAsia="zh-CN"/>
              </w:rPr>
              <w:t>500</w:t>
            </w:r>
          </w:p>
        </w:tc>
      </w:tr>
    </w:tbl>
    <w:p w:rsidR="00D66005" w:rsidRPr="00F77964" w:rsidRDefault="00D66005" w:rsidP="001E3062">
      <w:pPr>
        <w:spacing w:before="120" w:after="0" w:line="240" w:lineRule="auto"/>
        <w:rPr>
          <w:rFonts w:ascii="Times New Roman" w:hAnsi="Times New Roman"/>
          <w:b/>
          <w:sz w:val="20"/>
          <w:szCs w:val="20"/>
        </w:rPr>
      </w:pPr>
      <w:r w:rsidRPr="00F77964">
        <w:tab/>
      </w:r>
      <w:r w:rsidR="00026403" w:rsidRPr="00F77964">
        <w:tab/>
      </w:r>
      <w:r w:rsidR="00AC5B20" w:rsidRPr="00F77964">
        <w:rPr>
          <w:rFonts w:ascii="Times New Roman" w:hAnsi="Times New Roman"/>
          <w:b/>
          <w:sz w:val="20"/>
          <w:szCs w:val="20"/>
        </w:rPr>
        <w:t>Produit </w:t>
      </w:r>
      <w:r w:rsidRPr="00F77964">
        <w:rPr>
          <w:rFonts w:ascii="Times New Roman" w:hAnsi="Times New Roman"/>
          <w:b/>
          <w:sz w:val="20"/>
          <w:szCs w:val="20"/>
        </w:rPr>
        <w:t>2</w:t>
      </w:r>
      <w:r w:rsidR="00026403" w:rsidRPr="00F77964">
        <w:rPr>
          <w:rFonts w:ascii="Times New Roman" w:hAnsi="Times New Roman"/>
          <w:b/>
          <w:sz w:val="20"/>
          <w:szCs w:val="20"/>
        </w:rPr>
        <w:t> </w:t>
      </w:r>
      <w:r w:rsidRPr="00F77964">
        <w:rPr>
          <w:rFonts w:ascii="Times New Roman" w:hAnsi="Times New Roman"/>
          <w:b/>
          <w:sz w:val="20"/>
          <w:szCs w:val="20"/>
        </w:rPr>
        <w:t>c)</w:t>
      </w:r>
    </w:p>
    <w:p w:rsidR="00D66005" w:rsidRPr="00F77964" w:rsidRDefault="00D66005" w:rsidP="00D66005">
      <w:pPr>
        <w:pStyle w:val="CH3"/>
        <w:keepNext w:val="0"/>
        <w:keepLines w:val="0"/>
        <w:rPr>
          <w:lang w:val="fr-FR"/>
        </w:rPr>
      </w:pPr>
      <w:r w:rsidRPr="00F77964">
        <w:rPr>
          <w:lang w:val="fr-FR"/>
        </w:rPr>
        <w:tab/>
      </w:r>
      <w:r w:rsidRPr="00F77964">
        <w:rPr>
          <w:lang w:val="fr-FR"/>
        </w:rPr>
        <w:tab/>
      </w:r>
      <w:r w:rsidR="00AC5B20" w:rsidRPr="00F77964">
        <w:rPr>
          <w:lang w:val="fr-FR"/>
        </w:rPr>
        <w:t xml:space="preserve">Evaluation </w:t>
      </w:r>
      <w:r w:rsidR="00435D19">
        <w:rPr>
          <w:lang w:val="fr-FR"/>
        </w:rPr>
        <w:t>mondi</w:t>
      </w:r>
      <w:r w:rsidR="00AC5B20" w:rsidRPr="00F77964">
        <w:rPr>
          <w:lang w:val="fr-FR"/>
        </w:rPr>
        <w:t xml:space="preserve">ale </w:t>
      </w:r>
      <w:r w:rsidR="00435D19">
        <w:rPr>
          <w:lang w:val="fr-FR"/>
        </w:rPr>
        <w:t>de</w:t>
      </w:r>
      <w:r w:rsidR="00AC5B20" w:rsidRPr="00F77964">
        <w:rPr>
          <w:lang w:val="fr-FR"/>
        </w:rPr>
        <w:t xml:space="preserve"> la biodiversité et </w:t>
      </w:r>
      <w:r w:rsidR="00435D19">
        <w:rPr>
          <w:lang w:val="fr-FR"/>
        </w:rPr>
        <w:t>d</w:t>
      </w:r>
      <w:r w:rsidR="00AC5B20" w:rsidRPr="00F77964">
        <w:rPr>
          <w:lang w:val="fr-FR"/>
        </w:rPr>
        <w:t>es services écosystémiques</w:t>
      </w:r>
      <w:r w:rsidRPr="00F77964">
        <w:rPr>
          <w:lang w:val="fr-FR"/>
        </w:rPr>
        <w:t xml:space="preserve"> (</w:t>
      </w:r>
      <w:r w:rsidR="00960E6C">
        <w:rPr>
          <w:i/>
          <w:lang w:val="fr-FR"/>
        </w:rPr>
        <w:t>d’ici</w:t>
      </w:r>
      <w:r w:rsidR="00AC5B20" w:rsidRPr="00F77964">
        <w:rPr>
          <w:i/>
          <w:lang w:val="fr-FR"/>
        </w:rPr>
        <w:t xml:space="preserve"> à décembre 2018</w:t>
      </w:r>
      <w:r w:rsidRPr="00F77964">
        <w:rPr>
          <w:lang w:val="fr-FR"/>
        </w:rPr>
        <w:t xml:space="preserve">) </w:t>
      </w:r>
    </w:p>
    <w:p w:rsidR="00D66005" w:rsidRPr="00F77964" w:rsidRDefault="00D66005" w:rsidP="00D66005">
      <w:pPr>
        <w:pStyle w:val="CH3"/>
        <w:rPr>
          <w:lang w:val="fr-FR"/>
        </w:rPr>
      </w:pPr>
      <w:r w:rsidRPr="00F77964">
        <w:rPr>
          <w:rFonts w:eastAsia="Calibri"/>
          <w:lang w:val="fr-FR"/>
        </w:rPr>
        <w:tab/>
      </w:r>
      <w:r w:rsidRPr="00F77964">
        <w:rPr>
          <w:rFonts w:eastAsia="Calibri"/>
          <w:lang w:val="fr-FR"/>
        </w:rPr>
        <w:tab/>
      </w:r>
      <w:r w:rsidR="00AC5B20" w:rsidRPr="00F77964">
        <w:rPr>
          <w:rFonts w:eastAsia="Calibri"/>
          <w:lang w:val="fr-FR"/>
        </w:rPr>
        <w:t>Hypothèses</w:t>
      </w:r>
      <w:r w:rsidRPr="00F77964">
        <w:rPr>
          <w:rFonts w:eastAsia="Calibri"/>
          <w:lang w:val="fr-FR"/>
        </w:rPr>
        <w:t xml:space="preserve"> </w:t>
      </w:r>
    </w:p>
    <w:p w:rsidR="00435D19" w:rsidRPr="00435D19" w:rsidRDefault="00AC5B20" w:rsidP="00D66005">
      <w:pPr>
        <w:pStyle w:val="Normalnumber"/>
        <w:numPr>
          <w:ilvl w:val="0"/>
          <w:numId w:val="6"/>
        </w:numPr>
        <w:tabs>
          <w:tab w:val="left" w:pos="624"/>
        </w:tabs>
        <w:ind w:left="1247" w:firstLine="0"/>
        <w:rPr>
          <w:rFonts w:eastAsia="SimSun"/>
          <w:lang w:val="fr-FR" w:eastAsia="zh-CN"/>
        </w:rPr>
      </w:pPr>
      <w:r w:rsidRPr="00F77964">
        <w:rPr>
          <w:rFonts w:eastAsia="Calibri"/>
          <w:lang w:val="fr-FR"/>
        </w:rPr>
        <w:t xml:space="preserve">Les membres du Groupe d’experts </w:t>
      </w:r>
      <w:r w:rsidR="008A7A1A" w:rsidRPr="00F77964">
        <w:rPr>
          <w:rFonts w:eastAsia="Calibri"/>
          <w:lang w:val="fr-FR"/>
        </w:rPr>
        <w:t>multid</w:t>
      </w:r>
      <w:r w:rsidRPr="00F77964">
        <w:rPr>
          <w:rFonts w:eastAsia="Calibri"/>
          <w:lang w:val="fr-FR"/>
        </w:rPr>
        <w:t xml:space="preserve">isciplinaire et </w:t>
      </w:r>
      <w:r w:rsidR="008A7A1A" w:rsidRPr="00F77964">
        <w:rPr>
          <w:rFonts w:eastAsia="Calibri"/>
          <w:lang w:val="fr-FR"/>
        </w:rPr>
        <w:t>du</w:t>
      </w:r>
      <w:r w:rsidRPr="00F77964">
        <w:rPr>
          <w:rFonts w:eastAsia="Calibri"/>
          <w:lang w:val="fr-FR"/>
        </w:rPr>
        <w:t xml:space="preserve"> Bureau superviseront l</w:t>
      </w:r>
      <w:r w:rsidR="008B1145">
        <w:rPr>
          <w:rFonts w:eastAsia="Calibri"/>
          <w:lang w:val="fr-FR"/>
        </w:rPr>
        <w:t>a présentation de</w:t>
      </w:r>
      <w:r w:rsidRPr="00F77964">
        <w:rPr>
          <w:rFonts w:eastAsia="Calibri"/>
          <w:lang w:val="fr-FR"/>
        </w:rPr>
        <w:t xml:space="preserve"> contributions </w:t>
      </w:r>
      <w:r w:rsidR="008A7A1A" w:rsidRPr="00F77964">
        <w:rPr>
          <w:rFonts w:eastAsia="Calibri"/>
          <w:lang w:val="fr-FR"/>
        </w:rPr>
        <w:t>à</w:t>
      </w:r>
      <w:r w:rsidRPr="00F77964">
        <w:rPr>
          <w:rFonts w:eastAsia="Calibri"/>
          <w:lang w:val="fr-FR"/>
        </w:rPr>
        <w:t xml:space="preserve"> la Plénière </w:t>
      </w:r>
      <w:r w:rsidR="008A7A1A" w:rsidRPr="00F77964">
        <w:rPr>
          <w:rFonts w:eastAsia="Calibri"/>
          <w:lang w:val="fr-FR"/>
        </w:rPr>
        <w:t>pour l’exercice</w:t>
      </w:r>
      <w:r w:rsidR="00D60824" w:rsidRPr="00F77964">
        <w:rPr>
          <w:rFonts w:eastAsia="Calibri"/>
          <w:lang w:val="fr-FR"/>
        </w:rPr>
        <w:t xml:space="preserve"> de cadrage </w:t>
      </w:r>
      <w:r w:rsidR="008A7A1A" w:rsidRPr="00F77964">
        <w:rPr>
          <w:rFonts w:eastAsia="Calibri"/>
          <w:lang w:val="fr-FR"/>
        </w:rPr>
        <w:t>ainsi que</w:t>
      </w:r>
      <w:r w:rsidR="00D60824" w:rsidRPr="00F77964">
        <w:rPr>
          <w:rFonts w:eastAsia="Calibri"/>
          <w:lang w:val="fr-FR"/>
        </w:rPr>
        <w:t xml:space="preserve"> l’établissement d’un </w:t>
      </w:r>
      <w:r w:rsidR="008A7A1A" w:rsidRPr="00F77964">
        <w:rPr>
          <w:rFonts w:eastAsia="Calibri"/>
          <w:lang w:val="fr-FR"/>
        </w:rPr>
        <w:t>g</w:t>
      </w:r>
      <w:r w:rsidR="00D60824" w:rsidRPr="00F77964">
        <w:rPr>
          <w:rFonts w:eastAsia="Calibri"/>
          <w:lang w:val="fr-FR"/>
        </w:rPr>
        <w:t xml:space="preserve">roupe d’experts mondial </w:t>
      </w:r>
      <w:r w:rsidR="008B1145">
        <w:rPr>
          <w:rFonts w:eastAsia="Calibri"/>
          <w:lang w:val="fr-FR"/>
        </w:rPr>
        <w:t>doté d’un</w:t>
      </w:r>
      <w:r w:rsidR="00D60824" w:rsidRPr="00F77964">
        <w:rPr>
          <w:rFonts w:eastAsia="Calibri"/>
          <w:lang w:val="fr-FR"/>
        </w:rPr>
        <w:t xml:space="preserve"> </w:t>
      </w:r>
      <w:r w:rsidR="004621EA">
        <w:rPr>
          <w:rFonts w:eastAsia="Calibri"/>
          <w:lang w:val="fr-FR"/>
        </w:rPr>
        <w:t>mandat précis</w:t>
      </w:r>
      <w:r w:rsidR="00D60824" w:rsidRPr="00F77964">
        <w:rPr>
          <w:rFonts w:eastAsia="Calibri"/>
          <w:lang w:val="fr-FR"/>
        </w:rPr>
        <w:t xml:space="preserve"> </w:t>
      </w:r>
      <w:r w:rsidR="004621EA">
        <w:rPr>
          <w:rFonts w:eastAsia="Calibri"/>
          <w:lang w:val="fr-FR"/>
        </w:rPr>
        <w:t xml:space="preserve">à </w:t>
      </w:r>
      <w:r w:rsidR="00AA6C94">
        <w:rPr>
          <w:rFonts w:eastAsia="Calibri"/>
          <w:lang w:val="fr-FR"/>
        </w:rPr>
        <w:t>durée déterminée pour l’évaluation</w:t>
      </w:r>
      <w:r w:rsidR="00F774B3">
        <w:rPr>
          <w:rFonts w:eastAsia="Calibri"/>
          <w:lang w:val="fr-FR"/>
        </w:rPr>
        <w:t>. Ce groupe</w:t>
      </w:r>
      <w:r w:rsidR="00D60824" w:rsidRPr="00F77964">
        <w:rPr>
          <w:rFonts w:eastAsia="Calibri"/>
          <w:lang w:val="fr-FR"/>
        </w:rPr>
        <w:t xml:space="preserve"> compren</w:t>
      </w:r>
      <w:r w:rsidR="00F774B3">
        <w:rPr>
          <w:rFonts w:eastAsia="Calibri"/>
          <w:lang w:val="fr-FR"/>
        </w:rPr>
        <w:t>dra</w:t>
      </w:r>
      <w:r w:rsidR="00D60824" w:rsidRPr="00F77964">
        <w:rPr>
          <w:rFonts w:eastAsia="Calibri"/>
          <w:lang w:val="fr-FR"/>
        </w:rPr>
        <w:t xml:space="preserve"> des </w:t>
      </w:r>
      <w:r w:rsidR="006E337B">
        <w:rPr>
          <w:rFonts w:eastAsia="Calibri"/>
          <w:lang w:val="fr-FR"/>
        </w:rPr>
        <w:t>coprésidents</w:t>
      </w:r>
      <w:r w:rsidR="00D60824" w:rsidRPr="00F77964">
        <w:rPr>
          <w:rFonts w:eastAsia="Calibri"/>
          <w:lang w:val="fr-FR"/>
        </w:rPr>
        <w:t>, des auteurs coordonnateurs</w:t>
      </w:r>
      <w:r w:rsidR="008A7A1A" w:rsidRPr="00F77964">
        <w:rPr>
          <w:rFonts w:eastAsia="Calibri"/>
          <w:lang w:val="fr-FR"/>
        </w:rPr>
        <w:t xml:space="preserve"> principaux</w:t>
      </w:r>
      <w:r w:rsidR="00D60824" w:rsidRPr="00F77964">
        <w:rPr>
          <w:rFonts w:eastAsia="Calibri"/>
          <w:lang w:val="fr-FR"/>
        </w:rPr>
        <w:t>, des auteurs principaux et des éditeurs-</w:t>
      </w:r>
      <w:r w:rsidR="008A7A1A" w:rsidRPr="00F77964">
        <w:rPr>
          <w:rFonts w:eastAsia="Calibri"/>
          <w:lang w:val="fr-FR"/>
        </w:rPr>
        <w:t>réviseurs</w:t>
      </w:r>
      <w:r w:rsidR="00D60824" w:rsidRPr="00F77964">
        <w:rPr>
          <w:rFonts w:eastAsia="Calibri"/>
          <w:lang w:val="fr-FR"/>
        </w:rPr>
        <w:t>.</w:t>
      </w:r>
      <w:r w:rsidR="009B7B15" w:rsidRPr="00F77964">
        <w:rPr>
          <w:rFonts w:eastAsia="Calibri"/>
          <w:lang w:val="fr-FR"/>
        </w:rPr>
        <w:t xml:space="preserve"> </w:t>
      </w:r>
      <w:r w:rsidR="009B7B15" w:rsidRPr="00F77964">
        <w:rPr>
          <w:lang w:val="fr-FR"/>
        </w:rPr>
        <w:t>Le</w:t>
      </w:r>
      <w:r w:rsidR="00F774B3">
        <w:rPr>
          <w:lang w:val="fr-FR"/>
        </w:rPr>
        <w:t xml:space="preserve">s </w:t>
      </w:r>
      <w:r w:rsidR="009B7B15" w:rsidRPr="00F77964">
        <w:rPr>
          <w:lang w:val="fr-FR"/>
        </w:rPr>
        <w:t>experts ser</w:t>
      </w:r>
      <w:r w:rsidR="00F774B3">
        <w:rPr>
          <w:lang w:val="fr-FR"/>
        </w:rPr>
        <w:t>ont</w:t>
      </w:r>
      <w:r w:rsidR="009B7B15" w:rsidRPr="00F77964">
        <w:rPr>
          <w:lang w:val="fr-FR"/>
        </w:rPr>
        <w:t xml:space="preserve"> choisi</w:t>
      </w:r>
      <w:r w:rsidR="00F774B3">
        <w:rPr>
          <w:lang w:val="fr-FR"/>
        </w:rPr>
        <w:t>s</w:t>
      </w:r>
      <w:r w:rsidR="009B7B15" w:rsidRPr="00F77964">
        <w:rPr>
          <w:lang w:val="fr-FR"/>
        </w:rPr>
        <w:t xml:space="preserve"> conformément aux procédures pour l’établissement, l’examen, l’acceptation, l’adoption, l’approbation et la publication des rapports d’évaluation et d’autres produits de la Plateforme (voir IPBES/2/9) et travailler</w:t>
      </w:r>
      <w:r w:rsidR="00F774B3">
        <w:rPr>
          <w:lang w:val="fr-FR"/>
        </w:rPr>
        <w:t>ont</w:t>
      </w:r>
      <w:r w:rsidR="009B7B15" w:rsidRPr="00F77964">
        <w:rPr>
          <w:lang w:val="fr-FR"/>
        </w:rPr>
        <w:t xml:space="preserve"> sur la base des mêmes procédures</w:t>
      </w:r>
      <w:r w:rsidR="00D60824" w:rsidRPr="00F77964">
        <w:rPr>
          <w:lang w:val="fr-FR"/>
        </w:rPr>
        <w:t>. Les évaluations mondiales</w:t>
      </w:r>
      <w:r w:rsidR="009B7B15" w:rsidRPr="00F77964">
        <w:rPr>
          <w:lang w:val="fr-FR"/>
        </w:rPr>
        <w:t xml:space="preserve"> devraient</w:t>
      </w:r>
      <w:r w:rsidR="00D60824" w:rsidRPr="00F77964">
        <w:rPr>
          <w:lang w:val="fr-FR"/>
        </w:rPr>
        <w:t xml:space="preserve"> impliquer 200 auteurs qui se réuni</w:t>
      </w:r>
      <w:r w:rsidR="009B7B15" w:rsidRPr="00F77964">
        <w:rPr>
          <w:lang w:val="fr-FR"/>
        </w:rPr>
        <w:t>raient</w:t>
      </w:r>
      <w:r w:rsidR="00D60824" w:rsidRPr="00F77964">
        <w:rPr>
          <w:lang w:val="fr-FR"/>
        </w:rPr>
        <w:t xml:space="preserve"> trois fois et 10 éditeurs-</w:t>
      </w:r>
      <w:r w:rsidR="009B7B15" w:rsidRPr="00F77964">
        <w:rPr>
          <w:lang w:val="fr-FR"/>
        </w:rPr>
        <w:t>réviseurs</w:t>
      </w:r>
      <w:r w:rsidR="00D60824" w:rsidRPr="00F77964">
        <w:rPr>
          <w:lang w:val="fr-FR"/>
        </w:rPr>
        <w:t xml:space="preserve"> qui se réuniraient une fois</w:t>
      </w:r>
      <w:r w:rsidR="009B7B15" w:rsidRPr="00F77964">
        <w:rPr>
          <w:lang w:val="fr-FR"/>
        </w:rPr>
        <w:t xml:space="preserve">, consécutivement aux </w:t>
      </w:r>
      <w:r w:rsidR="00D60824" w:rsidRPr="00F77964">
        <w:rPr>
          <w:lang w:val="fr-FR"/>
        </w:rPr>
        <w:t xml:space="preserve">auteurs. Le résumé à l’intention des décideurs serait aussi mis au point durant les réunions des auteurs. </w:t>
      </w:r>
      <w:r w:rsidR="009B7B15" w:rsidRPr="00F77964">
        <w:rPr>
          <w:lang w:val="fr-FR"/>
        </w:rPr>
        <w:t xml:space="preserve">On part de l’hypothèse que les évaluations seront élaborées en étroite coopération avec les institutions existantes concernées aux niveaux régional et sous-régional, comme indiqué dans la procédure de cadrage. Le secrétariat </w:t>
      </w:r>
      <w:r w:rsidR="00F77964" w:rsidRPr="00F77964">
        <w:rPr>
          <w:lang w:val="fr-FR"/>
        </w:rPr>
        <w:t>conclura</w:t>
      </w:r>
      <w:r w:rsidR="009B7B15" w:rsidRPr="00F77964">
        <w:rPr>
          <w:lang w:val="fr-FR"/>
        </w:rPr>
        <w:t xml:space="preserve"> des accords avec des institutions partenaires pour la fourniture d’un </w:t>
      </w:r>
      <w:r w:rsidR="00F16D98">
        <w:rPr>
          <w:lang w:val="fr-FR"/>
        </w:rPr>
        <w:t>appui technique approuvé</w:t>
      </w:r>
      <w:r w:rsidR="009B7B15" w:rsidRPr="00F77964">
        <w:rPr>
          <w:lang w:val="fr-FR"/>
        </w:rPr>
        <w:t xml:space="preserve"> par le Bureau. L’appui technique sera financé en partie par la Plateforme et en partie par les contributions en nature approuvées par la Plénière (voir </w:t>
      </w:r>
      <w:r w:rsidR="00435D19">
        <w:rPr>
          <w:lang w:val="fr-FR"/>
        </w:rPr>
        <w:t>paragraphe</w:t>
      </w:r>
      <w:r w:rsidR="009B7B15" w:rsidRPr="00F77964">
        <w:rPr>
          <w:lang w:val="fr-FR"/>
        </w:rPr>
        <w:t> 23 ci-après)</w:t>
      </w:r>
      <w:r w:rsidR="00435D19">
        <w:rPr>
          <w:lang w:val="fr-FR"/>
        </w:rPr>
        <w:t>.</w:t>
      </w:r>
    </w:p>
    <w:p w:rsidR="00D66005" w:rsidRPr="00F77964" w:rsidRDefault="00D66005" w:rsidP="00D66005">
      <w:pPr>
        <w:pStyle w:val="CH3"/>
        <w:spacing w:before="240"/>
        <w:rPr>
          <w:rFonts w:eastAsia="SimSun"/>
          <w:lang w:val="fr-FR" w:eastAsia="zh-CN"/>
        </w:rPr>
      </w:pPr>
      <w:r w:rsidRPr="00F77964">
        <w:rPr>
          <w:rFonts w:eastAsia="SimSun"/>
          <w:lang w:val="fr-FR" w:eastAsia="zh-CN"/>
        </w:rPr>
        <w:tab/>
      </w:r>
      <w:r w:rsidRPr="00F77964">
        <w:rPr>
          <w:rFonts w:eastAsia="SimSun"/>
          <w:lang w:val="fr-FR" w:eastAsia="zh-CN"/>
        </w:rPr>
        <w:tab/>
      </w:r>
      <w:r w:rsidR="0048412B" w:rsidRPr="00F77964">
        <w:rPr>
          <w:rFonts w:eastAsia="SimSun"/>
          <w:lang w:val="fr-FR" w:eastAsia="zh-CN"/>
        </w:rPr>
        <w:t xml:space="preserve">Actions, étapes intermédiaires et dispositions institutionnelles </w:t>
      </w:r>
    </w:p>
    <w:p w:rsidR="00D66005" w:rsidRPr="00F77964" w:rsidRDefault="00F4565D" w:rsidP="00D66005">
      <w:pPr>
        <w:pStyle w:val="Normalnumber"/>
        <w:numPr>
          <w:ilvl w:val="0"/>
          <w:numId w:val="6"/>
        </w:numPr>
        <w:tabs>
          <w:tab w:val="left" w:pos="624"/>
        </w:tabs>
        <w:ind w:left="1247" w:firstLine="0"/>
        <w:rPr>
          <w:rFonts w:eastAsia="Calibri"/>
          <w:lang w:val="fr-FR"/>
        </w:rPr>
      </w:pPr>
      <w:r w:rsidRPr="00F77964">
        <w:rPr>
          <w:lang w:val="fr-FR"/>
        </w:rPr>
        <w:t>Les actions à mener sont indiquées ci-après</w:t>
      </w:r>
      <w:r w:rsidR="00213F27" w:rsidRPr="00F77964">
        <w:rPr>
          <w:lang w:val="fr-FR"/>
        </w:rPr>
        <w:t> :</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1228"/>
        <w:gridCol w:w="6077"/>
      </w:tblGrid>
      <w:tr w:rsidR="002E2ED3" w:rsidRPr="0061490E" w:rsidTr="00D66005">
        <w:trPr>
          <w:trHeight w:val="233"/>
          <w:tblHeader/>
        </w:trPr>
        <w:tc>
          <w:tcPr>
            <w:tcW w:w="1979" w:type="dxa"/>
            <w:gridSpan w:val="2"/>
            <w:tcBorders>
              <w:top w:val="single" w:sz="4" w:space="0" w:color="auto"/>
              <w:left w:val="single" w:sz="4" w:space="0" w:color="auto"/>
              <w:bottom w:val="single" w:sz="4" w:space="0" w:color="auto"/>
              <w:right w:val="single" w:sz="4" w:space="0" w:color="auto"/>
            </w:tcBorders>
            <w:hideMark/>
          </w:tcPr>
          <w:p w:rsidR="00D66005" w:rsidRPr="00F77964" w:rsidRDefault="00213F27" w:rsidP="00213F27">
            <w:pPr>
              <w:pStyle w:val="Normal-pool"/>
              <w:keepNext/>
              <w:keepLines/>
              <w:spacing w:before="40" w:after="40"/>
              <w:rPr>
                <w:rFonts w:eastAsia="SimSun"/>
                <w:sz w:val="18"/>
                <w:szCs w:val="18"/>
                <w:lang w:eastAsia="zh-CN"/>
              </w:rPr>
            </w:pPr>
            <w:r w:rsidRPr="00F77964">
              <w:rPr>
                <w:rFonts w:eastAsia="SimSun"/>
                <w:i/>
                <w:sz w:val="18"/>
                <w:szCs w:val="18"/>
                <w:lang w:eastAsia="zh-CN"/>
              </w:rPr>
              <w:t>Calendrier</w:t>
            </w:r>
          </w:p>
        </w:tc>
        <w:tc>
          <w:tcPr>
            <w:tcW w:w="6819"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D66005" w:rsidP="00213F27">
            <w:pPr>
              <w:pStyle w:val="Normal-pool"/>
              <w:keepNext/>
              <w:keepLines/>
              <w:spacing w:before="40" w:after="40"/>
              <w:rPr>
                <w:rFonts w:eastAsia="SimSun"/>
                <w:sz w:val="18"/>
                <w:szCs w:val="18"/>
                <w:lang w:eastAsia="zh-CN"/>
              </w:rPr>
            </w:pPr>
            <w:r w:rsidRPr="00F77964">
              <w:rPr>
                <w:rFonts w:eastAsia="SimSun"/>
                <w:i/>
                <w:sz w:val="18"/>
                <w:szCs w:val="18"/>
                <w:lang w:eastAsia="zh-CN"/>
              </w:rPr>
              <w:t>Actions/</w:t>
            </w:r>
            <w:r w:rsidR="00213F27" w:rsidRPr="00F77964">
              <w:rPr>
                <w:rFonts w:eastAsia="SimSun"/>
                <w:i/>
                <w:sz w:val="18"/>
                <w:szCs w:val="18"/>
                <w:lang w:eastAsia="zh-CN"/>
              </w:rPr>
              <w:t>dispositions institutionnelles</w:t>
            </w:r>
          </w:p>
        </w:tc>
      </w:tr>
      <w:tr w:rsidR="00CC58A4" w:rsidRPr="0061490E" w:rsidTr="00D66005">
        <w:trPr>
          <w:trHeight w:val="233"/>
        </w:trPr>
        <w:tc>
          <w:tcPr>
            <w:tcW w:w="709" w:type="dxa"/>
            <w:tcBorders>
              <w:top w:val="single" w:sz="4" w:space="0" w:color="auto"/>
              <w:left w:val="single" w:sz="4" w:space="0" w:color="auto"/>
              <w:bottom w:val="single" w:sz="4" w:space="0" w:color="auto"/>
              <w:right w:val="single" w:sz="4" w:space="0" w:color="auto"/>
            </w:tcBorders>
            <w:hideMark/>
          </w:tcPr>
          <w:p w:rsidR="00D66005" w:rsidRPr="00F77964" w:rsidRDefault="00D66005">
            <w:pPr>
              <w:pStyle w:val="Normal-pool"/>
              <w:keepNext/>
              <w:keepLines/>
              <w:spacing w:before="40" w:after="40"/>
              <w:rPr>
                <w:rFonts w:eastAsia="SimSun"/>
                <w:sz w:val="18"/>
                <w:szCs w:val="18"/>
                <w:lang w:eastAsia="zh-CN"/>
              </w:rPr>
            </w:pPr>
            <w:r w:rsidRPr="00F77964">
              <w:rPr>
                <w:rFonts w:eastAsia="SimSun"/>
                <w:sz w:val="18"/>
                <w:szCs w:val="18"/>
                <w:lang w:eastAsia="zh-CN"/>
              </w:rPr>
              <w:t>2014</w:t>
            </w:r>
          </w:p>
        </w:tc>
        <w:tc>
          <w:tcPr>
            <w:tcW w:w="1270" w:type="dxa"/>
            <w:tcBorders>
              <w:top w:val="single" w:sz="4" w:space="0" w:color="auto"/>
              <w:left w:val="single" w:sz="4" w:space="0" w:color="auto"/>
              <w:bottom w:val="single" w:sz="4" w:space="0" w:color="auto"/>
              <w:right w:val="single" w:sz="4" w:space="0" w:color="auto"/>
            </w:tcBorders>
            <w:hideMark/>
          </w:tcPr>
          <w:p w:rsidR="00D66005" w:rsidRPr="00F77964" w:rsidRDefault="00213F27" w:rsidP="00213F27">
            <w:pPr>
              <w:pStyle w:val="Normal-pool"/>
              <w:keepNext/>
              <w:keepLines/>
              <w:spacing w:before="40" w:after="40"/>
              <w:rPr>
                <w:rFonts w:eastAsia="SimSun"/>
                <w:sz w:val="18"/>
                <w:szCs w:val="18"/>
                <w:lang w:eastAsia="zh-CN"/>
              </w:rPr>
            </w:pPr>
            <w:r w:rsidRPr="00F77964">
              <w:rPr>
                <w:rFonts w:eastAsia="SimSun"/>
                <w:sz w:val="18"/>
                <w:szCs w:val="18"/>
                <w:lang w:eastAsia="zh-CN"/>
              </w:rPr>
              <w:t>Quatrième trimestre</w:t>
            </w:r>
          </w:p>
        </w:tc>
        <w:tc>
          <w:tcPr>
            <w:tcW w:w="6819" w:type="dxa"/>
            <w:tcBorders>
              <w:top w:val="single" w:sz="4" w:space="0" w:color="auto"/>
              <w:left w:val="single" w:sz="4" w:space="0" w:color="auto"/>
              <w:bottom w:val="single" w:sz="4" w:space="0" w:color="auto"/>
              <w:right w:val="single" w:sz="4" w:space="0" w:color="auto"/>
            </w:tcBorders>
            <w:hideMark/>
          </w:tcPr>
          <w:p w:rsidR="00D66005" w:rsidRPr="00F77964" w:rsidRDefault="00213F27" w:rsidP="000D17B7">
            <w:pPr>
              <w:pStyle w:val="Normal-pool"/>
              <w:keepNext/>
              <w:keepLines/>
              <w:spacing w:before="40" w:after="40"/>
              <w:rPr>
                <w:rFonts w:eastAsia="SimSun"/>
                <w:sz w:val="18"/>
                <w:szCs w:val="18"/>
                <w:lang w:eastAsia="zh-CN"/>
              </w:rPr>
            </w:pPr>
            <w:r w:rsidRPr="00F77964">
              <w:rPr>
                <w:rFonts w:eastAsia="SimSun"/>
                <w:sz w:val="18"/>
                <w:szCs w:val="18"/>
                <w:lang w:eastAsia="zh-CN"/>
              </w:rPr>
              <w:t xml:space="preserve">Le Groupe d’experts multidisciplinaire et le Bureau </w:t>
            </w:r>
            <w:r w:rsidR="000D17B7">
              <w:rPr>
                <w:rFonts w:eastAsia="SimSun"/>
                <w:sz w:val="18"/>
                <w:szCs w:val="18"/>
                <w:lang w:eastAsia="zh-CN"/>
              </w:rPr>
              <w:t>entreprenn</w:t>
            </w:r>
            <w:r w:rsidRPr="00F77964">
              <w:rPr>
                <w:rFonts w:eastAsia="SimSun"/>
                <w:sz w:val="18"/>
                <w:szCs w:val="18"/>
                <w:lang w:eastAsia="zh-CN"/>
              </w:rPr>
              <w:t>ent une étude de cadrage initiale pour examen par la Plénière à sa troisième session</w:t>
            </w:r>
          </w:p>
        </w:tc>
      </w:tr>
      <w:tr w:rsidR="00CC58A4" w:rsidRPr="0061490E" w:rsidTr="00D66005">
        <w:trPr>
          <w:trHeight w:val="323"/>
        </w:trPr>
        <w:tc>
          <w:tcPr>
            <w:tcW w:w="709"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pPr>
              <w:pStyle w:val="Normal-pool"/>
              <w:keepNext/>
              <w:keepLines/>
              <w:spacing w:before="40" w:after="40"/>
              <w:rPr>
                <w:rFonts w:eastAsia="SimSun"/>
                <w:sz w:val="18"/>
                <w:szCs w:val="18"/>
                <w:lang w:eastAsia="zh-CN"/>
              </w:rPr>
            </w:pPr>
            <w:r w:rsidRPr="00F77964">
              <w:rPr>
                <w:rFonts w:eastAsia="SimSun"/>
                <w:sz w:val="18"/>
                <w:szCs w:val="18"/>
                <w:lang w:eastAsia="zh-CN"/>
              </w:rPr>
              <w:t>2015</w:t>
            </w:r>
          </w:p>
        </w:tc>
        <w:tc>
          <w:tcPr>
            <w:tcW w:w="1270" w:type="dxa"/>
            <w:tcBorders>
              <w:top w:val="single" w:sz="4" w:space="0" w:color="auto"/>
              <w:left w:val="single" w:sz="4" w:space="0" w:color="auto"/>
              <w:bottom w:val="single" w:sz="4" w:space="0" w:color="auto"/>
              <w:right w:val="single" w:sz="4" w:space="0" w:color="auto"/>
            </w:tcBorders>
            <w:hideMark/>
          </w:tcPr>
          <w:p w:rsidR="00D66005" w:rsidRPr="00F77964" w:rsidRDefault="00213F27" w:rsidP="00213F27">
            <w:pPr>
              <w:pStyle w:val="Normal-pool"/>
              <w:keepNext/>
              <w:keepLines/>
              <w:spacing w:before="40" w:after="40"/>
              <w:rPr>
                <w:rFonts w:eastAsia="SimSun"/>
                <w:sz w:val="18"/>
                <w:szCs w:val="18"/>
                <w:lang w:eastAsia="zh-CN"/>
              </w:rPr>
            </w:pPr>
            <w:r w:rsidRPr="00F77964">
              <w:rPr>
                <w:rFonts w:eastAsia="SimSun"/>
                <w:sz w:val="18"/>
                <w:szCs w:val="18"/>
                <w:lang w:eastAsia="zh-CN"/>
              </w:rPr>
              <w:t>Premier trimestre</w:t>
            </w:r>
          </w:p>
        </w:tc>
        <w:tc>
          <w:tcPr>
            <w:tcW w:w="6819" w:type="dxa"/>
            <w:tcBorders>
              <w:top w:val="single" w:sz="4" w:space="0" w:color="auto"/>
              <w:left w:val="single" w:sz="4" w:space="0" w:color="auto"/>
              <w:bottom w:val="single" w:sz="4" w:space="0" w:color="auto"/>
              <w:right w:val="single" w:sz="4" w:space="0" w:color="auto"/>
            </w:tcBorders>
            <w:hideMark/>
          </w:tcPr>
          <w:p w:rsidR="00D66005" w:rsidRPr="00F77964" w:rsidRDefault="002E2ED3" w:rsidP="009B7B15">
            <w:pPr>
              <w:pStyle w:val="Normal-pool"/>
              <w:keepNext/>
              <w:keepLines/>
              <w:spacing w:before="40" w:after="40"/>
              <w:rPr>
                <w:rFonts w:eastAsia="SimSun"/>
                <w:sz w:val="18"/>
                <w:szCs w:val="18"/>
                <w:lang w:eastAsia="zh-CN"/>
              </w:rPr>
            </w:pPr>
            <w:r w:rsidRPr="00F77964">
              <w:rPr>
                <w:rFonts w:eastAsia="SimSun"/>
                <w:sz w:val="18"/>
                <w:szCs w:val="18"/>
                <w:lang w:eastAsia="zh-CN"/>
              </w:rPr>
              <w:t xml:space="preserve">La Plénière, à sa troisième session, demande au Groupe d’experts multidisciplinaire et </w:t>
            </w:r>
            <w:r w:rsidR="009B7B15" w:rsidRPr="00F77964">
              <w:rPr>
                <w:rFonts w:eastAsia="SimSun"/>
                <w:sz w:val="18"/>
                <w:szCs w:val="18"/>
                <w:lang w:eastAsia="zh-CN"/>
              </w:rPr>
              <w:t>au</w:t>
            </w:r>
            <w:r w:rsidRPr="00F77964">
              <w:rPr>
                <w:rFonts w:eastAsia="SimSun"/>
                <w:sz w:val="18"/>
                <w:szCs w:val="18"/>
                <w:lang w:eastAsia="zh-CN"/>
              </w:rPr>
              <w:t xml:space="preserve"> Bureau de lancer l’</w:t>
            </w:r>
            <w:r w:rsidR="009B7B15" w:rsidRPr="00F77964">
              <w:rPr>
                <w:rFonts w:eastAsia="SimSun"/>
                <w:sz w:val="18"/>
                <w:szCs w:val="18"/>
                <w:lang w:eastAsia="zh-CN"/>
              </w:rPr>
              <w:t>exercice</w:t>
            </w:r>
            <w:r w:rsidRPr="00F77964">
              <w:rPr>
                <w:rFonts w:eastAsia="SimSun"/>
                <w:sz w:val="18"/>
                <w:szCs w:val="18"/>
                <w:lang w:eastAsia="zh-CN"/>
              </w:rPr>
              <w:t xml:space="preserve"> de cadrage et de présenter </w:t>
            </w:r>
            <w:r w:rsidR="009B7B15" w:rsidRPr="00F77964">
              <w:rPr>
                <w:rFonts w:eastAsia="SimSun"/>
                <w:sz w:val="18"/>
                <w:szCs w:val="18"/>
                <w:lang w:eastAsia="zh-CN"/>
              </w:rPr>
              <w:t>ses résultats</w:t>
            </w:r>
            <w:r w:rsidRPr="00F77964">
              <w:rPr>
                <w:rFonts w:eastAsia="SimSun"/>
                <w:sz w:val="18"/>
                <w:szCs w:val="18"/>
                <w:lang w:eastAsia="zh-CN"/>
              </w:rPr>
              <w:t xml:space="preserve"> pour approbation à </w:t>
            </w:r>
            <w:r w:rsidR="009B7B15" w:rsidRPr="00F77964">
              <w:rPr>
                <w:rFonts w:eastAsia="SimSun"/>
                <w:sz w:val="18"/>
                <w:szCs w:val="18"/>
                <w:lang w:eastAsia="zh-CN"/>
              </w:rPr>
              <w:t>s</w:t>
            </w:r>
            <w:r w:rsidRPr="00F77964">
              <w:rPr>
                <w:rFonts w:eastAsia="SimSun"/>
                <w:sz w:val="18"/>
                <w:szCs w:val="18"/>
                <w:lang w:eastAsia="zh-CN"/>
              </w:rPr>
              <w:t>a quatrième session</w:t>
            </w:r>
          </w:p>
        </w:tc>
      </w:tr>
      <w:tr w:rsidR="00CC58A4" w:rsidRPr="0061490E" w:rsidTr="00D66005">
        <w:trPr>
          <w:trHeight w:val="1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sz w:val="18"/>
                <w:szCs w:val="18"/>
                <w:lang w:eastAsia="zh-CN"/>
              </w:rPr>
            </w:pPr>
          </w:p>
        </w:tc>
        <w:tc>
          <w:tcPr>
            <w:tcW w:w="1270"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213F27" w:rsidP="00213F27">
            <w:pPr>
              <w:pStyle w:val="Normal-pool"/>
              <w:keepNext/>
              <w:keepLines/>
              <w:spacing w:before="40" w:after="40"/>
              <w:rPr>
                <w:rFonts w:eastAsia="SimSun"/>
                <w:sz w:val="18"/>
                <w:szCs w:val="18"/>
                <w:lang w:eastAsia="zh-CN"/>
              </w:rPr>
            </w:pPr>
            <w:r w:rsidRPr="00F77964">
              <w:rPr>
                <w:rFonts w:eastAsia="SimSun"/>
                <w:sz w:val="18"/>
                <w:szCs w:val="18"/>
                <w:lang w:eastAsia="zh-CN"/>
              </w:rPr>
              <w:t>Deuxième trimestre</w:t>
            </w:r>
          </w:p>
        </w:tc>
        <w:tc>
          <w:tcPr>
            <w:tcW w:w="6819" w:type="dxa"/>
            <w:tcBorders>
              <w:top w:val="single" w:sz="4" w:space="0" w:color="auto"/>
              <w:left w:val="single" w:sz="4" w:space="0" w:color="auto"/>
              <w:bottom w:val="single" w:sz="4" w:space="0" w:color="auto"/>
              <w:right w:val="single" w:sz="4" w:space="0" w:color="auto"/>
            </w:tcBorders>
            <w:hideMark/>
          </w:tcPr>
          <w:p w:rsidR="00D66005" w:rsidRPr="00F77964" w:rsidRDefault="002E2ED3" w:rsidP="00FB4734">
            <w:pPr>
              <w:pStyle w:val="Normal-pool"/>
              <w:keepNext/>
              <w:keepLines/>
              <w:spacing w:before="40" w:after="40"/>
              <w:rPr>
                <w:rFonts w:eastAsia="SimSun"/>
                <w:sz w:val="18"/>
                <w:szCs w:val="18"/>
                <w:lang w:eastAsia="zh-CN"/>
              </w:rPr>
            </w:pPr>
            <w:r w:rsidRPr="00F77964">
              <w:rPr>
                <w:rFonts w:eastAsia="SimSun"/>
                <w:sz w:val="18"/>
                <w:szCs w:val="18"/>
                <w:lang w:eastAsia="zh-CN"/>
              </w:rPr>
              <w:t xml:space="preserve">Le Groupe d’experts multidisciplinaire demande aux gouvernements et aux autres parties prenantes de présenter des candidatures d’experts </w:t>
            </w:r>
            <w:r w:rsidR="00FB4734">
              <w:rPr>
                <w:rFonts w:eastAsia="SimSun"/>
                <w:sz w:val="18"/>
                <w:szCs w:val="18"/>
                <w:lang w:eastAsia="zh-CN"/>
              </w:rPr>
              <w:t xml:space="preserve">susceptibles de </w:t>
            </w:r>
            <w:r w:rsidRPr="00F77964">
              <w:rPr>
                <w:rFonts w:eastAsia="SimSun"/>
                <w:sz w:val="18"/>
                <w:szCs w:val="18"/>
                <w:lang w:eastAsia="zh-CN"/>
              </w:rPr>
              <w:t>contribuer à l’étude de cadrage</w:t>
            </w:r>
          </w:p>
        </w:tc>
      </w:tr>
      <w:tr w:rsidR="00CC58A4" w:rsidRPr="0061490E" w:rsidTr="00D66005">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sz w:val="18"/>
                <w:szCs w:val="18"/>
                <w:lang w:eastAsia="zh-CN"/>
              </w:rPr>
            </w:pPr>
          </w:p>
        </w:tc>
        <w:tc>
          <w:tcPr>
            <w:tcW w:w="6819" w:type="dxa"/>
            <w:tcBorders>
              <w:top w:val="single" w:sz="4" w:space="0" w:color="auto"/>
              <w:left w:val="single" w:sz="4" w:space="0" w:color="auto"/>
              <w:bottom w:val="single" w:sz="4" w:space="0" w:color="auto"/>
              <w:right w:val="single" w:sz="4" w:space="0" w:color="auto"/>
            </w:tcBorders>
            <w:hideMark/>
          </w:tcPr>
          <w:p w:rsidR="00D66005" w:rsidRPr="00F77964" w:rsidRDefault="002E2ED3" w:rsidP="00A66A5E">
            <w:pPr>
              <w:pStyle w:val="Normal-pool"/>
              <w:spacing w:before="40" w:after="40"/>
              <w:rPr>
                <w:rFonts w:eastAsia="SimSun"/>
                <w:sz w:val="18"/>
                <w:szCs w:val="18"/>
                <w:lang w:eastAsia="zh-CN"/>
              </w:rPr>
            </w:pPr>
            <w:r w:rsidRPr="00F77964">
              <w:rPr>
                <w:rFonts w:eastAsia="SimSun"/>
                <w:sz w:val="18"/>
                <w:szCs w:val="18"/>
                <w:lang w:eastAsia="zh-CN"/>
              </w:rPr>
              <w:t xml:space="preserve">Le Groupe d’experts multidisciplinaire et le Bureau supervisent un ensemble de téléconférences et/ou d’examens pour </w:t>
            </w:r>
            <w:r w:rsidR="009B7B15" w:rsidRPr="00F77964">
              <w:rPr>
                <w:rFonts w:eastAsia="SimSun"/>
                <w:sz w:val="18"/>
                <w:szCs w:val="18"/>
                <w:lang w:eastAsia="zh-CN"/>
              </w:rPr>
              <w:t xml:space="preserve">solliciter </w:t>
            </w:r>
            <w:r w:rsidRPr="00F77964">
              <w:rPr>
                <w:rFonts w:eastAsia="SimSun"/>
                <w:sz w:val="18"/>
                <w:szCs w:val="18"/>
                <w:lang w:eastAsia="zh-CN"/>
              </w:rPr>
              <w:t xml:space="preserve">des contributions à l’étude de cadrage </w:t>
            </w:r>
            <w:r w:rsidR="00FB4734">
              <w:rPr>
                <w:rFonts w:eastAsia="SimSun"/>
                <w:sz w:val="18"/>
                <w:szCs w:val="18"/>
                <w:lang w:eastAsia="zh-CN"/>
              </w:rPr>
              <w:t>complète.</w:t>
            </w:r>
          </w:p>
        </w:tc>
      </w:tr>
      <w:tr w:rsidR="00CC58A4" w:rsidRPr="0061490E" w:rsidTr="00D66005">
        <w:trPr>
          <w:trHeight w:val="7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sz w:val="18"/>
                <w:szCs w:val="18"/>
                <w:lang w:eastAsia="zh-CN"/>
              </w:rPr>
            </w:pPr>
          </w:p>
        </w:tc>
        <w:tc>
          <w:tcPr>
            <w:tcW w:w="1270" w:type="dxa"/>
            <w:tcBorders>
              <w:top w:val="single" w:sz="4" w:space="0" w:color="auto"/>
              <w:left w:val="single" w:sz="4" w:space="0" w:color="auto"/>
              <w:bottom w:val="single" w:sz="4" w:space="0" w:color="auto"/>
              <w:right w:val="single" w:sz="4" w:space="0" w:color="auto"/>
            </w:tcBorders>
            <w:hideMark/>
          </w:tcPr>
          <w:p w:rsidR="00D66005" w:rsidRPr="00F77964" w:rsidRDefault="00D66005" w:rsidP="00213F27">
            <w:pPr>
              <w:pStyle w:val="Normal-pool"/>
              <w:spacing w:before="40" w:after="40"/>
              <w:rPr>
                <w:rFonts w:eastAsia="SimSun"/>
                <w:sz w:val="18"/>
                <w:szCs w:val="18"/>
                <w:lang w:eastAsia="zh-CN"/>
              </w:rPr>
            </w:pPr>
            <w:r w:rsidRPr="00F77964">
              <w:rPr>
                <w:rFonts w:eastAsia="SimSun"/>
                <w:sz w:val="18"/>
                <w:szCs w:val="18"/>
                <w:lang w:eastAsia="zh-CN"/>
              </w:rPr>
              <w:t>T</w:t>
            </w:r>
            <w:r w:rsidR="00213F27" w:rsidRPr="00F77964">
              <w:rPr>
                <w:rFonts w:eastAsia="SimSun"/>
                <w:sz w:val="18"/>
                <w:szCs w:val="18"/>
                <w:lang w:eastAsia="zh-CN"/>
              </w:rPr>
              <w:t>roisième trimestre</w:t>
            </w:r>
          </w:p>
        </w:tc>
        <w:tc>
          <w:tcPr>
            <w:tcW w:w="6819" w:type="dxa"/>
            <w:tcBorders>
              <w:top w:val="single" w:sz="4" w:space="0" w:color="auto"/>
              <w:left w:val="single" w:sz="4" w:space="0" w:color="auto"/>
              <w:bottom w:val="single" w:sz="4" w:space="0" w:color="auto"/>
              <w:right w:val="single" w:sz="4" w:space="0" w:color="auto"/>
            </w:tcBorders>
            <w:hideMark/>
          </w:tcPr>
          <w:p w:rsidR="00D66005" w:rsidRPr="00F77964" w:rsidRDefault="002E2ED3" w:rsidP="004762CF">
            <w:pPr>
              <w:pStyle w:val="Normal-pool"/>
              <w:spacing w:before="40" w:after="40"/>
              <w:rPr>
                <w:rFonts w:eastAsia="SimSun"/>
                <w:sz w:val="18"/>
                <w:szCs w:val="18"/>
                <w:lang w:eastAsia="zh-CN"/>
              </w:rPr>
            </w:pPr>
            <w:r w:rsidRPr="00F77964">
              <w:rPr>
                <w:rFonts w:eastAsia="SimSun"/>
                <w:sz w:val="18"/>
                <w:szCs w:val="18"/>
                <w:lang w:eastAsia="zh-CN"/>
              </w:rPr>
              <w:t>Le Groupe d’experts multidisciplinaire se réuni</w:t>
            </w:r>
            <w:r w:rsidR="009B7B15" w:rsidRPr="00F77964">
              <w:rPr>
                <w:rFonts w:eastAsia="SimSun"/>
                <w:sz w:val="18"/>
                <w:szCs w:val="18"/>
                <w:lang w:eastAsia="zh-CN"/>
              </w:rPr>
              <w:t>t</w:t>
            </w:r>
            <w:r w:rsidRPr="00F77964">
              <w:rPr>
                <w:rFonts w:eastAsia="SimSun"/>
                <w:sz w:val="18"/>
                <w:szCs w:val="18"/>
                <w:lang w:eastAsia="zh-CN"/>
              </w:rPr>
              <w:t xml:space="preserve"> avec les experts pour </w:t>
            </w:r>
            <w:r w:rsidR="009B7B15" w:rsidRPr="00F77964">
              <w:rPr>
                <w:rFonts w:eastAsia="SimSun"/>
                <w:sz w:val="18"/>
                <w:szCs w:val="18"/>
                <w:lang w:eastAsia="zh-CN"/>
              </w:rPr>
              <w:t>procéder à</w:t>
            </w:r>
            <w:r w:rsidRPr="00F77964">
              <w:rPr>
                <w:rFonts w:eastAsia="SimSun"/>
                <w:sz w:val="18"/>
                <w:szCs w:val="18"/>
                <w:lang w:eastAsia="zh-CN"/>
              </w:rPr>
              <w:t xml:space="preserve"> une étude de cadrage détaillée, </w:t>
            </w:r>
            <w:r w:rsidR="009B7B15" w:rsidRPr="00F77964">
              <w:rPr>
                <w:rFonts w:eastAsia="SimSun"/>
                <w:sz w:val="18"/>
                <w:szCs w:val="18"/>
                <w:lang w:eastAsia="zh-CN"/>
              </w:rPr>
              <w:t xml:space="preserve">permettant de définir notamment </w:t>
            </w:r>
            <w:r w:rsidRPr="00F77964">
              <w:rPr>
                <w:rFonts w:eastAsia="SimSun"/>
                <w:sz w:val="18"/>
                <w:szCs w:val="18"/>
                <w:lang w:eastAsia="zh-CN"/>
              </w:rPr>
              <w:t>le plan, les coûts et la faisabilité, en tenant compte du rapport sur la hiérarchisation des demandes, du guide (produit </w:t>
            </w:r>
            <w:r w:rsidR="00D66005" w:rsidRPr="00F77964">
              <w:rPr>
                <w:rFonts w:eastAsia="SimSun"/>
                <w:sz w:val="18"/>
                <w:szCs w:val="18"/>
                <w:lang w:eastAsia="zh-CN"/>
              </w:rPr>
              <w:t>2</w:t>
            </w:r>
            <w:r w:rsidR="009B7B15" w:rsidRPr="00F77964">
              <w:rPr>
                <w:rFonts w:eastAsia="SimSun"/>
                <w:sz w:val="18"/>
                <w:szCs w:val="18"/>
                <w:lang w:eastAsia="zh-CN"/>
              </w:rPr>
              <w:t> </w:t>
            </w:r>
            <w:r w:rsidR="00D66005" w:rsidRPr="00F77964">
              <w:rPr>
                <w:rFonts w:eastAsia="SimSun"/>
                <w:sz w:val="18"/>
                <w:szCs w:val="18"/>
                <w:lang w:eastAsia="zh-CN"/>
              </w:rPr>
              <w:t xml:space="preserve">a)), </w:t>
            </w:r>
            <w:r w:rsidRPr="00F77964">
              <w:rPr>
                <w:rFonts w:eastAsia="SimSun"/>
                <w:sz w:val="18"/>
                <w:szCs w:val="18"/>
                <w:lang w:eastAsia="zh-CN"/>
              </w:rPr>
              <w:t>des évaluations thématiques et méthodologiques accélérées, d</w:t>
            </w:r>
            <w:r w:rsidR="004762CF" w:rsidRPr="00F77964">
              <w:rPr>
                <w:rFonts w:eastAsia="SimSun"/>
                <w:sz w:val="18"/>
                <w:szCs w:val="18"/>
                <w:lang w:eastAsia="zh-CN"/>
              </w:rPr>
              <w:t>e la version finale</w:t>
            </w:r>
            <w:r w:rsidRPr="00F77964">
              <w:rPr>
                <w:rFonts w:eastAsia="SimSun"/>
                <w:sz w:val="18"/>
                <w:szCs w:val="18"/>
                <w:lang w:eastAsia="zh-CN"/>
              </w:rPr>
              <w:t xml:space="preserve"> de toutes les évaluations thématiques et de l’étude de cadrage des évaluations thématiques et régionales/sous-régionales</w:t>
            </w:r>
          </w:p>
        </w:tc>
      </w:tr>
      <w:tr w:rsidR="00CC58A4" w:rsidRPr="0061490E" w:rsidTr="00D66005">
        <w:trPr>
          <w:trHeight w:val="64"/>
        </w:trPr>
        <w:tc>
          <w:tcPr>
            <w:tcW w:w="709"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pPr>
              <w:pStyle w:val="Normal-pool"/>
              <w:spacing w:before="40" w:after="40"/>
              <w:rPr>
                <w:rFonts w:eastAsia="SimSun"/>
                <w:sz w:val="18"/>
                <w:szCs w:val="18"/>
                <w:lang w:eastAsia="zh-CN"/>
              </w:rPr>
            </w:pPr>
            <w:r w:rsidRPr="00F77964">
              <w:rPr>
                <w:rFonts w:eastAsia="SimSun"/>
                <w:sz w:val="18"/>
                <w:szCs w:val="18"/>
                <w:lang w:eastAsia="zh-CN"/>
              </w:rPr>
              <w:t>2016</w:t>
            </w:r>
          </w:p>
        </w:tc>
        <w:tc>
          <w:tcPr>
            <w:tcW w:w="1270"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2E2ED3" w:rsidP="002E2ED3">
            <w:pPr>
              <w:pStyle w:val="Normal-pool"/>
              <w:spacing w:before="40" w:after="40"/>
              <w:rPr>
                <w:rFonts w:eastAsia="SimSun"/>
                <w:sz w:val="18"/>
                <w:szCs w:val="18"/>
                <w:lang w:eastAsia="zh-CN"/>
              </w:rPr>
            </w:pPr>
            <w:r w:rsidRPr="00F77964">
              <w:rPr>
                <w:rFonts w:eastAsia="SimSun"/>
                <w:sz w:val="18"/>
                <w:szCs w:val="18"/>
                <w:lang w:eastAsia="zh-CN"/>
              </w:rPr>
              <w:t xml:space="preserve">Premier </w:t>
            </w:r>
            <w:r w:rsidR="00F77964" w:rsidRPr="00F77964">
              <w:rPr>
                <w:rFonts w:eastAsia="SimSun"/>
                <w:sz w:val="18"/>
                <w:szCs w:val="18"/>
                <w:lang w:eastAsia="zh-CN"/>
              </w:rPr>
              <w:t>trimestre</w:t>
            </w:r>
          </w:p>
        </w:tc>
        <w:tc>
          <w:tcPr>
            <w:tcW w:w="6819" w:type="dxa"/>
            <w:tcBorders>
              <w:top w:val="single" w:sz="4" w:space="0" w:color="auto"/>
              <w:left w:val="single" w:sz="4" w:space="0" w:color="auto"/>
              <w:bottom w:val="single" w:sz="4" w:space="0" w:color="auto"/>
              <w:right w:val="single" w:sz="4" w:space="0" w:color="auto"/>
            </w:tcBorders>
            <w:hideMark/>
          </w:tcPr>
          <w:p w:rsidR="00D66005" w:rsidRPr="00F77964" w:rsidRDefault="002E2ED3" w:rsidP="003264B7">
            <w:pPr>
              <w:pStyle w:val="Normal-pool"/>
              <w:spacing w:before="40" w:after="40"/>
              <w:rPr>
                <w:rFonts w:eastAsia="SimSun"/>
                <w:sz w:val="18"/>
                <w:szCs w:val="18"/>
                <w:lang w:eastAsia="zh-CN"/>
              </w:rPr>
            </w:pPr>
            <w:r w:rsidRPr="00F77964">
              <w:rPr>
                <w:rFonts w:eastAsia="SimSun"/>
                <w:sz w:val="18"/>
                <w:szCs w:val="18"/>
                <w:lang w:eastAsia="zh-CN"/>
              </w:rPr>
              <w:t>La Plénière, à sa quatrième session, examine l</w:t>
            </w:r>
            <w:r w:rsidR="003264B7" w:rsidRPr="00F77964">
              <w:rPr>
                <w:rFonts w:eastAsia="SimSun"/>
                <w:sz w:val="18"/>
                <w:szCs w:val="18"/>
                <w:lang w:eastAsia="zh-CN"/>
              </w:rPr>
              <w:t>’étude de cadrage</w:t>
            </w:r>
            <w:r w:rsidRPr="00F77964">
              <w:rPr>
                <w:rFonts w:eastAsia="SimSun"/>
                <w:sz w:val="18"/>
                <w:szCs w:val="18"/>
                <w:lang w:eastAsia="zh-CN"/>
              </w:rPr>
              <w:t xml:space="preserve"> de l’évaluation mondiale en vue de son </w:t>
            </w:r>
            <w:r w:rsidR="003264B7" w:rsidRPr="00F77964">
              <w:rPr>
                <w:rFonts w:eastAsia="SimSun"/>
                <w:sz w:val="18"/>
                <w:szCs w:val="18"/>
                <w:lang w:eastAsia="zh-CN"/>
              </w:rPr>
              <w:t>adoption</w:t>
            </w:r>
          </w:p>
        </w:tc>
      </w:tr>
      <w:tr w:rsidR="00CC58A4" w:rsidRPr="0061490E" w:rsidTr="00D66005">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sz w:val="18"/>
                <w:szCs w:val="18"/>
                <w:lang w:eastAsia="zh-CN"/>
              </w:rPr>
            </w:pPr>
          </w:p>
        </w:tc>
        <w:tc>
          <w:tcPr>
            <w:tcW w:w="6819" w:type="dxa"/>
            <w:tcBorders>
              <w:top w:val="single" w:sz="4" w:space="0" w:color="auto"/>
              <w:left w:val="single" w:sz="4" w:space="0" w:color="auto"/>
              <w:bottom w:val="single" w:sz="4" w:space="0" w:color="auto"/>
              <w:right w:val="single" w:sz="4" w:space="0" w:color="auto"/>
            </w:tcBorders>
            <w:hideMark/>
          </w:tcPr>
          <w:p w:rsidR="00D66005" w:rsidRPr="00F77964" w:rsidRDefault="002E2ED3" w:rsidP="003264B7">
            <w:pPr>
              <w:pStyle w:val="Normal-pool"/>
              <w:spacing w:before="40" w:after="40"/>
              <w:rPr>
                <w:rFonts w:eastAsia="SimSun"/>
                <w:sz w:val="18"/>
                <w:szCs w:val="18"/>
                <w:lang w:eastAsia="zh-CN"/>
              </w:rPr>
            </w:pPr>
            <w:r w:rsidRPr="00F77964">
              <w:rPr>
                <w:rFonts w:eastAsia="SimSun"/>
                <w:sz w:val="18"/>
                <w:szCs w:val="18"/>
                <w:lang w:eastAsia="zh-CN"/>
              </w:rPr>
              <w:t>La Plénière</w:t>
            </w:r>
            <w:r w:rsidR="003264B7" w:rsidRPr="00F77964">
              <w:rPr>
                <w:rFonts w:eastAsia="SimSun"/>
                <w:sz w:val="18"/>
                <w:szCs w:val="18"/>
                <w:lang w:eastAsia="zh-CN"/>
              </w:rPr>
              <w:t>,</w:t>
            </w:r>
            <w:r w:rsidRPr="00F77964">
              <w:rPr>
                <w:rFonts w:eastAsia="SimSun"/>
                <w:sz w:val="18"/>
                <w:szCs w:val="18"/>
                <w:lang w:eastAsia="zh-CN"/>
              </w:rPr>
              <w:t xml:space="preserve"> à sa quatrième session</w:t>
            </w:r>
            <w:r w:rsidR="003264B7" w:rsidRPr="00F77964">
              <w:rPr>
                <w:rFonts w:eastAsia="SimSun"/>
                <w:sz w:val="18"/>
                <w:szCs w:val="18"/>
                <w:lang w:eastAsia="zh-CN"/>
              </w:rPr>
              <w:t>,</w:t>
            </w:r>
            <w:r w:rsidRPr="00F77964">
              <w:rPr>
                <w:rFonts w:eastAsia="SimSun"/>
                <w:sz w:val="18"/>
                <w:szCs w:val="18"/>
                <w:lang w:eastAsia="zh-CN"/>
              </w:rPr>
              <w:t xml:space="preserve"> examine les offres possibles d’appui technique en nature et demande au </w:t>
            </w:r>
            <w:r w:rsidR="003264B7" w:rsidRPr="00F77964">
              <w:rPr>
                <w:rFonts w:eastAsia="SimSun"/>
                <w:sz w:val="18"/>
                <w:szCs w:val="18"/>
                <w:lang w:eastAsia="zh-CN"/>
              </w:rPr>
              <w:t>s</w:t>
            </w:r>
            <w:r w:rsidRPr="00F77964">
              <w:rPr>
                <w:rFonts w:eastAsia="SimSun"/>
                <w:sz w:val="18"/>
                <w:szCs w:val="18"/>
                <w:lang w:eastAsia="zh-CN"/>
              </w:rPr>
              <w:t>ecrétariat d</w:t>
            </w:r>
            <w:r w:rsidR="003264B7" w:rsidRPr="00F77964">
              <w:rPr>
                <w:rFonts w:eastAsia="SimSun"/>
                <w:sz w:val="18"/>
                <w:szCs w:val="18"/>
                <w:lang w:eastAsia="zh-CN"/>
              </w:rPr>
              <w:t>e prendre les dispositions</w:t>
            </w:r>
            <w:r w:rsidRPr="00F77964">
              <w:rPr>
                <w:rFonts w:eastAsia="SimSun"/>
                <w:sz w:val="18"/>
                <w:szCs w:val="18"/>
                <w:lang w:eastAsia="zh-CN"/>
              </w:rPr>
              <w:t xml:space="preserve"> institutionnelles nécessaires pour donner </w:t>
            </w:r>
            <w:r w:rsidR="003264B7" w:rsidRPr="00F77964">
              <w:rPr>
                <w:rFonts w:eastAsia="SimSun"/>
                <w:sz w:val="18"/>
                <w:szCs w:val="18"/>
                <w:lang w:eastAsia="zh-CN"/>
              </w:rPr>
              <w:t xml:space="preserve">effet à cet </w:t>
            </w:r>
            <w:r w:rsidRPr="00F77964">
              <w:rPr>
                <w:rFonts w:eastAsia="SimSun"/>
                <w:sz w:val="18"/>
                <w:szCs w:val="18"/>
                <w:lang w:eastAsia="zh-CN"/>
              </w:rPr>
              <w:t>appui technique</w:t>
            </w:r>
          </w:p>
        </w:tc>
      </w:tr>
      <w:tr w:rsidR="00CC58A4" w:rsidRPr="0061490E" w:rsidTr="00D66005">
        <w:trPr>
          <w:trHeight w:val="2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sz w:val="18"/>
                <w:szCs w:val="18"/>
                <w:lang w:eastAsia="zh-CN"/>
              </w:rPr>
            </w:pPr>
          </w:p>
        </w:tc>
        <w:tc>
          <w:tcPr>
            <w:tcW w:w="1270" w:type="dxa"/>
            <w:tcBorders>
              <w:top w:val="single" w:sz="4" w:space="0" w:color="auto"/>
              <w:left w:val="single" w:sz="4" w:space="0" w:color="auto"/>
              <w:bottom w:val="single" w:sz="4" w:space="0" w:color="auto"/>
              <w:right w:val="single" w:sz="4" w:space="0" w:color="auto"/>
            </w:tcBorders>
            <w:hideMark/>
          </w:tcPr>
          <w:p w:rsidR="00D66005" w:rsidRPr="00F77964" w:rsidRDefault="002E2ED3" w:rsidP="002E2ED3">
            <w:pPr>
              <w:pStyle w:val="Normal-pool"/>
              <w:spacing w:before="40" w:after="40"/>
              <w:rPr>
                <w:rFonts w:eastAsia="SimSun"/>
                <w:sz w:val="18"/>
                <w:szCs w:val="18"/>
                <w:lang w:eastAsia="zh-CN"/>
              </w:rPr>
            </w:pPr>
            <w:r w:rsidRPr="00F77964">
              <w:rPr>
                <w:rFonts w:eastAsia="SimSun"/>
                <w:sz w:val="18"/>
                <w:szCs w:val="18"/>
                <w:lang w:eastAsia="zh-CN"/>
              </w:rPr>
              <w:t>Deuxième trimestre</w:t>
            </w:r>
          </w:p>
        </w:tc>
        <w:tc>
          <w:tcPr>
            <w:tcW w:w="6819" w:type="dxa"/>
            <w:tcBorders>
              <w:top w:val="single" w:sz="4" w:space="0" w:color="auto"/>
              <w:left w:val="single" w:sz="4" w:space="0" w:color="auto"/>
              <w:bottom w:val="single" w:sz="4" w:space="0" w:color="auto"/>
              <w:right w:val="single" w:sz="4" w:space="0" w:color="auto"/>
            </w:tcBorders>
            <w:hideMark/>
          </w:tcPr>
          <w:p w:rsidR="00D66005" w:rsidRPr="00F77964" w:rsidRDefault="002E2ED3" w:rsidP="003264B7">
            <w:pPr>
              <w:pStyle w:val="Normal-pool"/>
              <w:spacing w:before="40" w:after="40"/>
              <w:rPr>
                <w:rFonts w:eastAsia="SimSun"/>
                <w:sz w:val="18"/>
                <w:szCs w:val="18"/>
                <w:lang w:eastAsia="zh-CN"/>
              </w:rPr>
            </w:pPr>
            <w:r w:rsidRPr="00F77964">
              <w:rPr>
                <w:rFonts w:eastAsia="SimSun"/>
                <w:sz w:val="18"/>
                <w:szCs w:val="18"/>
                <w:lang w:eastAsia="zh-CN"/>
              </w:rPr>
              <w:t>L</w:t>
            </w:r>
            <w:r w:rsidR="003264B7" w:rsidRPr="00F77964">
              <w:rPr>
                <w:rFonts w:eastAsia="SimSun"/>
                <w:sz w:val="18"/>
                <w:szCs w:val="18"/>
                <w:lang w:eastAsia="zh-CN"/>
              </w:rPr>
              <w:t>e</w:t>
            </w:r>
            <w:r w:rsidRPr="00F77964">
              <w:rPr>
                <w:rFonts w:eastAsia="SimSun"/>
                <w:sz w:val="18"/>
                <w:szCs w:val="18"/>
                <w:lang w:eastAsia="zh-CN"/>
              </w:rPr>
              <w:t xml:space="preserve"> </w:t>
            </w:r>
            <w:r w:rsidR="003264B7" w:rsidRPr="00F77964">
              <w:rPr>
                <w:rFonts w:eastAsia="SimSun"/>
                <w:sz w:val="18"/>
                <w:szCs w:val="18"/>
                <w:lang w:eastAsia="zh-CN"/>
              </w:rPr>
              <w:t>Groupe d’experts multidisciplinaire</w:t>
            </w:r>
            <w:r w:rsidRPr="00F77964">
              <w:rPr>
                <w:rFonts w:eastAsia="SimSun"/>
                <w:sz w:val="18"/>
                <w:szCs w:val="18"/>
                <w:lang w:eastAsia="zh-CN"/>
              </w:rPr>
              <w:t xml:space="preserve"> demande aux gouvernements et aux autres parties prenantes de présenter des candidatures d’experts pour établir le rapport</w:t>
            </w:r>
          </w:p>
        </w:tc>
      </w:tr>
      <w:tr w:rsidR="00CC58A4" w:rsidRPr="0061490E" w:rsidTr="00D66005">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sz w:val="18"/>
                <w:szCs w:val="18"/>
                <w:lang w:eastAsia="zh-CN"/>
              </w:rPr>
            </w:pPr>
          </w:p>
        </w:tc>
        <w:tc>
          <w:tcPr>
            <w:tcW w:w="1270" w:type="dxa"/>
            <w:tcBorders>
              <w:top w:val="single" w:sz="4" w:space="0" w:color="auto"/>
              <w:left w:val="single" w:sz="4" w:space="0" w:color="auto"/>
              <w:bottom w:val="single" w:sz="4" w:space="0" w:color="auto"/>
              <w:right w:val="single" w:sz="4" w:space="0" w:color="auto"/>
            </w:tcBorders>
            <w:hideMark/>
          </w:tcPr>
          <w:p w:rsidR="00D66005" w:rsidRPr="00F77964" w:rsidRDefault="00D66005" w:rsidP="002E2ED3">
            <w:pPr>
              <w:pStyle w:val="Normal-pool"/>
              <w:spacing w:before="40" w:after="40"/>
              <w:rPr>
                <w:rFonts w:eastAsia="SimSun"/>
                <w:sz w:val="18"/>
                <w:szCs w:val="18"/>
                <w:lang w:eastAsia="zh-CN"/>
              </w:rPr>
            </w:pPr>
            <w:r w:rsidRPr="00F77964">
              <w:rPr>
                <w:rFonts w:eastAsia="SimSun"/>
                <w:sz w:val="18"/>
                <w:szCs w:val="18"/>
                <w:lang w:eastAsia="zh-CN"/>
              </w:rPr>
              <w:t>T</w:t>
            </w:r>
            <w:r w:rsidR="002E2ED3" w:rsidRPr="00F77964">
              <w:rPr>
                <w:rFonts w:eastAsia="SimSun"/>
                <w:sz w:val="18"/>
                <w:szCs w:val="18"/>
                <w:lang w:eastAsia="zh-CN"/>
              </w:rPr>
              <w:t>roisième trimestre</w:t>
            </w:r>
          </w:p>
        </w:tc>
        <w:tc>
          <w:tcPr>
            <w:tcW w:w="6819" w:type="dxa"/>
            <w:tcBorders>
              <w:top w:val="single" w:sz="4" w:space="0" w:color="auto"/>
              <w:left w:val="single" w:sz="4" w:space="0" w:color="auto"/>
              <w:bottom w:val="single" w:sz="4" w:space="0" w:color="auto"/>
              <w:right w:val="single" w:sz="4" w:space="0" w:color="auto"/>
            </w:tcBorders>
            <w:hideMark/>
          </w:tcPr>
          <w:p w:rsidR="00D66005" w:rsidRPr="00F77964" w:rsidRDefault="002E2ED3" w:rsidP="003264B7">
            <w:pPr>
              <w:pStyle w:val="Normal-pool"/>
              <w:spacing w:before="40" w:after="40"/>
              <w:rPr>
                <w:rFonts w:eastAsia="SimSun"/>
                <w:sz w:val="18"/>
                <w:szCs w:val="18"/>
                <w:lang w:eastAsia="zh-CN"/>
              </w:rPr>
            </w:pPr>
            <w:r w:rsidRPr="00F77964">
              <w:rPr>
                <w:rFonts w:eastAsia="SimSun"/>
                <w:sz w:val="18"/>
                <w:szCs w:val="18"/>
                <w:lang w:eastAsia="zh-CN"/>
              </w:rPr>
              <w:t xml:space="preserve">Le </w:t>
            </w:r>
            <w:r w:rsidR="003264B7" w:rsidRPr="00F77964">
              <w:rPr>
                <w:rFonts w:eastAsia="SimSun"/>
                <w:sz w:val="18"/>
                <w:szCs w:val="18"/>
                <w:lang w:eastAsia="zh-CN"/>
              </w:rPr>
              <w:t xml:space="preserve">Groupe d’experts multidisciplinaire </w:t>
            </w:r>
            <w:r w:rsidRPr="00F77964">
              <w:rPr>
                <w:rFonts w:eastAsia="SimSun"/>
                <w:sz w:val="18"/>
                <w:szCs w:val="18"/>
                <w:lang w:eastAsia="zh-CN"/>
              </w:rPr>
              <w:t xml:space="preserve">choisit les </w:t>
            </w:r>
            <w:r w:rsidR="006E337B">
              <w:rPr>
                <w:rFonts w:eastAsia="SimSun"/>
                <w:sz w:val="18"/>
                <w:szCs w:val="18"/>
                <w:lang w:eastAsia="zh-CN"/>
              </w:rPr>
              <w:t>coprésidents</w:t>
            </w:r>
            <w:r w:rsidRPr="00F77964">
              <w:rPr>
                <w:rFonts w:eastAsia="SimSun"/>
                <w:sz w:val="18"/>
                <w:szCs w:val="18"/>
                <w:lang w:eastAsia="zh-CN"/>
              </w:rPr>
              <w:t>, les auteurs coordonnateurs principaux, les auteurs principaux et les éditeurs-réviseurs, en se fondant sur les critères de sélection</w:t>
            </w:r>
            <w:r w:rsidR="00A66A5E">
              <w:rPr>
                <w:rFonts w:eastAsia="SimSun"/>
                <w:sz w:val="18"/>
                <w:szCs w:val="18"/>
                <w:lang w:eastAsia="zh-CN"/>
              </w:rPr>
              <w:t xml:space="preserve"> approuvés (voir IPBES/2/9)</w:t>
            </w:r>
          </w:p>
        </w:tc>
      </w:tr>
      <w:tr w:rsidR="00CC58A4" w:rsidRPr="0061490E" w:rsidTr="00D66005">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sz w:val="18"/>
                <w:szCs w:val="18"/>
                <w:lang w:eastAsia="zh-CN"/>
              </w:rPr>
            </w:pPr>
          </w:p>
        </w:tc>
        <w:tc>
          <w:tcPr>
            <w:tcW w:w="1270" w:type="dxa"/>
            <w:tcBorders>
              <w:top w:val="single" w:sz="4" w:space="0" w:color="auto"/>
              <w:left w:val="single" w:sz="4" w:space="0" w:color="auto"/>
              <w:bottom w:val="single" w:sz="4" w:space="0" w:color="auto"/>
              <w:right w:val="single" w:sz="4" w:space="0" w:color="auto"/>
            </w:tcBorders>
            <w:hideMark/>
          </w:tcPr>
          <w:p w:rsidR="00D66005" w:rsidRPr="00F77964" w:rsidRDefault="002E2ED3" w:rsidP="002E2ED3">
            <w:pPr>
              <w:pStyle w:val="Normal-pool"/>
              <w:spacing w:before="40" w:after="40"/>
              <w:rPr>
                <w:rFonts w:eastAsia="SimSun"/>
                <w:sz w:val="18"/>
                <w:szCs w:val="18"/>
                <w:lang w:eastAsia="zh-CN"/>
              </w:rPr>
            </w:pPr>
            <w:r w:rsidRPr="00F77964">
              <w:rPr>
                <w:rFonts w:eastAsia="SimSun"/>
                <w:sz w:val="18"/>
                <w:szCs w:val="18"/>
                <w:lang w:eastAsia="zh-CN"/>
              </w:rPr>
              <w:t>Quatrième trimestre</w:t>
            </w:r>
          </w:p>
        </w:tc>
        <w:tc>
          <w:tcPr>
            <w:tcW w:w="6819" w:type="dxa"/>
            <w:tcBorders>
              <w:top w:val="single" w:sz="4" w:space="0" w:color="auto"/>
              <w:left w:val="single" w:sz="4" w:space="0" w:color="auto"/>
              <w:bottom w:val="single" w:sz="4" w:space="0" w:color="auto"/>
              <w:right w:val="single" w:sz="4" w:space="0" w:color="auto"/>
            </w:tcBorders>
            <w:hideMark/>
          </w:tcPr>
          <w:p w:rsidR="00D66005" w:rsidRPr="00F77964" w:rsidRDefault="002E2ED3" w:rsidP="004762CF">
            <w:pPr>
              <w:pStyle w:val="Normal-pool"/>
              <w:spacing w:before="40" w:after="40"/>
              <w:rPr>
                <w:rFonts w:eastAsia="SimSun"/>
                <w:sz w:val="18"/>
                <w:szCs w:val="18"/>
                <w:lang w:eastAsia="zh-CN"/>
              </w:rPr>
            </w:pPr>
            <w:r w:rsidRPr="00F77964">
              <w:rPr>
                <w:rFonts w:eastAsia="SimSun"/>
                <w:sz w:val="18"/>
                <w:szCs w:val="18"/>
                <w:lang w:eastAsia="zh-CN"/>
              </w:rPr>
              <w:t xml:space="preserve">Les </w:t>
            </w:r>
            <w:r w:rsidR="006E337B">
              <w:rPr>
                <w:rFonts w:eastAsia="SimSun"/>
                <w:sz w:val="18"/>
                <w:szCs w:val="18"/>
                <w:lang w:eastAsia="zh-CN"/>
              </w:rPr>
              <w:t>coprésidents</w:t>
            </w:r>
            <w:r w:rsidRPr="00F77964">
              <w:rPr>
                <w:rFonts w:eastAsia="SimSun"/>
                <w:sz w:val="18"/>
                <w:szCs w:val="18"/>
                <w:lang w:eastAsia="zh-CN"/>
              </w:rPr>
              <w:t>, les auteurs coordonnateurs principaux et les auteurs principaux se réunissent pour établir l’avant-projet, en tenant compte des évaluations thématiques et méthodologiques accélérées, des évaluations thématiques et d</w:t>
            </w:r>
            <w:r w:rsidR="004762CF" w:rsidRPr="00F77964">
              <w:rPr>
                <w:rFonts w:eastAsia="SimSun"/>
                <w:sz w:val="18"/>
                <w:szCs w:val="18"/>
                <w:lang w:eastAsia="zh-CN"/>
              </w:rPr>
              <w:t>e la version finale</w:t>
            </w:r>
            <w:r w:rsidRPr="00F77964">
              <w:rPr>
                <w:rFonts w:eastAsia="SimSun"/>
                <w:sz w:val="18"/>
                <w:szCs w:val="18"/>
                <w:lang w:eastAsia="zh-CN"/>
              </w:rPr>
              <w:t xml:space="preserve"> des évaluations thématiques et régionales/sous-régionales</w:t>
            </w:r>
          </w:p>
        </w:tc>
      </w:tr>
      <w:tr w:rsidR="00CC58A4" w:rsidRPr="0061490E" w:rsidTr="00D66005">
        <w:trPr>
          <w:trHeight w:val="177"/>
        </w:trPr>
        <w:tc>
          <w:tcPr>
            <w:tcW w:w="709"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pPr>
              <w:keepLines/>
              <w:tabs>
                <w:tab w:val="left" w:pos="426"/>
                <w:tab w:val="num" w:pos="1353"/>
              </w:tabs>
              <w:autoSpaceDE w:val="0"/>
              <w:autoSpaceDN w:val="0"/>
              <w:adjustRightInd w:val="0"/>
              <w:spacing w:before="60" w:after="60"/>
              <w:ind w:left="-108" w:firstLine="108"/>
              <w:rPr>
                <w:rFonts w:ascii="Times New Roman" w:eastAsia="SimSun" w:hAnsi="Times New Roman"/>
                <w:sz w:val="20"/>
                <w:szCs w:val="20"/>
                <w:lang w:eastAsia="zh-CN"/>
              </w:rPr>
            </w:pPr>
            <w:r w:rsidRPr="00F77964">
              <w:rPr>
                <w:rFonts w:ascii="Times New Roman" w:eastAsia="SimSun" w:hAnsi="Times New Roman"/>
                <w:sz w:val="20"/>
                <w:szCs w:val="20"/>
                <w:lang w:eastAsia="zh-CN"/>
              </w:rPr>
              <w:t>2017</w:t>
            </w:r>
          </w:p>
        </w:tc>
        <w:tc>
          <w:tcPr>
            <w:tcW w:w="1270" w:type="dxa"/>
            <w:tcBorders>
              <w:top w:val="single" w:sz="4" w:space="0" w:color="auto"/>
              <w:left w:val="single" w:sz="4" w:space="0" w:color="auto"/>
              <w:bottom w:val="single" w:sz="4" w:space="0" w:color="auto"/>
              <w:right w:val="single" w:sz="4" w:space="0" w:color="auto"/>
            </w:tcBorders>
            <w:hideMark/>
          </w:tcPr>
          <w:p w:rsidR="00D66005" w:rsidRPr="00F77964" w:rsidRDefault="002E2ED3" w:rsidP="002E2ED3">
            <w:pPr>
              <w:pStyle w:val="Normal-pool"/>
              <w:spacing w:before="40" w:after="40"/>
              <w:rPr>
                <w:rFonts w:eastAsia="SimSun"/>
                <w:sz w:val="18"/>
                <w:szCs w:val="18"/>
                <w:lang w:eastAsia="zh-CN"/>
              </w:rPr>
            </w:pPr>
            <w:r w:rsidRPr="00F77964">
              <w:rPr>
                <w:rFonts w:eastAsia="SimSun"/>
                <w:sz w:val="18"/>
                <w:szCs w:val="18"/>
                <w:lang w:eastAsia="zh-CN"/>
              </w:rPr>
              <w:t>Deuxième trimestre</w:t>
            </w:r>
          </w:p>
        </w:tc>
        <w:tc>
          <w:tcPr>
            <w:tcW w:w="6819" w:type="dxa"/>
            <w:tcBorders>
              <w:top w:val="single" w:sz="4" w:space="0" w:color="auto"/>
              <w:left w:val="single" w:sz="4" w:space="0" w:color="auto"/>
              <w:bottom w:val="single" w:sz="4" w:space="0" w:color="auto"/>
              <w:right w:val="single" w:sz="4" w:space="0" w:color="auto"/>
            </w:tcBorders>
            <w:hideMark/>
          </w:tcPr>
          <w:p w:rsidR="00D66005" w:rsidRPr="00F77964" w:rsidRDefault="002E2ED3" w:rsidP="003264B7">
            <w:pPr>
              <w:pStyle w:val="Normal-pool"/>
              <w:spacing w:before="40" w:after="40"/>
              <w:rPr>
                <w:rFonts w:eastAsia="SimSun"/>
                <w:sz w:val="18"/>
                <w:szCs w:val="18"/>
                <w:lang w:eastAsia="zh-CN"/>
              </w:rPr>
            </w:pPr>
            <w:r w:rsidRPr="00F77964">
              <w:rPr>
                <w:rFonts w:eastAsia="SimSun"/>
                <w:sz w:val="18"/>
                <w:szCs w:val="18"/>
                <w:lang w:eastAsia="zh-CN"/>
              </w:rPr>
              <w:t>L</w:t>
            </w:r>
            <w:r w:rsidR="003264B7" w:rsidRPr="00F77964">
              <w:rPr>
                <w:rFonts w:eastAsia="SimSun"/>
                <w:sz w:val="18"/>
                <w:szCs w:val="18"/>
                <w:lang w:eastAsia="zh-CN"/>
              </w:rPr>
              <w:t>’avant-projet de rapport</w:t>
            </w:r>
            <w:r w:rsidRPr="00F77964">
              <w:rPr>
                <w:rFonts w:eastAsia="SimSun"/>
                <w:sz w:val="18"/>
                <w:szCs w:val="18"/>
                <w:lang w:eastAsia="zh-CN"/>
              </w:rPr>
              <w:t xml:space="preserve"> est examiné par les experts</w:t>
            </w:r>
          </w:p>
        </w:tc>
      </w:tr>
      <w:tr w:rsidR="00CC58A4" w:rsidRPr="0061490E" w:rsidTr="00D66005">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lang w:eastAsia="zh-CN"/>
              </w:rPr>
            </w:pPr>
          </w:p>
        </w:tc>
        <w:tc>
          <w:tcPr>
            <w:tcW w:w="1270" w:type="dxa"/>
            <w:tcBorders>
              <w:top w:val="single" w:sz="4" w:space="0" w:color="auto"/>
              <w:left w:val="single" w:sz="4" w:space="0" w:color="auto"/>
              <w:bottom w:val="single" w:sz="4" w:space="0" w:color="auto"/>
              <w:right w:val="single" w:sz="4" w:space="0" w:color="auto"/>
            </w:tcBorders>
            <w:hideMark/>
          </w:tcPr>
          <w:p w:rsidR="00D66005" w:rsidRPr="00F77964" w:rsidRDefault="00D66005" w:rsidP="002E2ED3">
            <w:pPr>
              <w:pStyle w:val="Normal-pool"/>
              <w:spacing w:before="40" w:after="40"/>
              <w:rPr>
                <w:rFonts w:eastAsia="SimSun"/>
                <w:sz w:val="18"/>
                <w:szCs w:val="18"/>
                <w:lang w:eastAsia="zh-CN"/>
              </w:rPr>
            </w:pPr>
            <w:r w:rsidRPr="00F77964">
              <w:rPr>
                <w:rFonts w:eastAsia="SimSun"/>
                <w:sz w:val="18"/>
                <w:szCs w:val="18"/>
                <w:lang w:eastAsia="zh-CN"/>
              </w:rPr>
              <w:t>T</w:t>
            </w:r>
            <w:r w:rsidR="002E2ED3" w:rsidRPr="00F77964">
              <w:rPr>
                <w:rFonts w:eastAsia="SimSun"/>
                <w:sz w:val="18"/>
                <w:szCs w:val="18"/>
                <w:lang w:eastAsia="zh-CN"/>
              </w:rPr>
              <w:t>roisième trimestre</w:t>
            </w:r>
          </w:p>
        </w:tc>
        <w:tc>
          <w:tcPr>
            <w:tcW w:w="6819" w:type="dxa"/>
            <w:tcBorders>
              <w:top w:val="single" w:sz="4" w:space="0" w:color="auto"/>
              <w:left w:val="single" w:sz="4" w:space="0" w:color="auto"/>
              <w:bottom w:val="single" w:sz="4" w:space="0" w:color="auto"/>
              <w:right w:val="single" w:sz="4" w:space="0" w:color="auto"/>
            </w:tcBorders>
            <w:hideMark/>
          </w:tcPr>
          <w:p w:rsidR="00D66005" w:rsidRPr="00F77964" w:rsidRDefault="002E2ED3" w:rsidP="00CC58A4">
            <w:pPr>
              <w:pStyle w:val="Normal-pool"/>
              <w:spacing w:before="40" w:after="40"/>
              <w:rPr>
                <w:rFonts w:eastAsia="SimSun"/>
                <w:sz w:val="18"/>
                <w:szCs w:val="18"/>
                <w:lang w:eastAsia="zh-CN"/>
              </w:rPr>
            </w:pPr>
            <w:r w:rsidRPr="00F77964">
              <w:rPr>
                <w:rFonts w:eastAsia="SimSun"/>
                <w:sz w:val="18"/>
                <w:szCs w:val="18"/>
                <w:lang w:eastAsia="zh-CN"/>
              </w:rPr>
              <w:t xml:space="preserve">Les </w:t>
            </w:r>
            <w:r w:rsidR="006E337B">
              <w:rPr>
                <w:rFonts w:eastAsia="SimSun"/>
                <w:sz w:val="18"/>
                <w:szCs w:val="18"/>
                <w:lang w:eastAsia="zh-CN"/>
              </w:rPr>
              <w:t>coprésidents</w:t>
            </w:r>
            <w:r w:rsidRPr="00F77964">
              <w:rPr>
                <w:rFonts w:eastAsia="SimSun"/>
                <w:sz w:val="18"/>
                <w:szCs w:val="18"/>
                <w:lang w:eastAsia="zh-CN"/>
              </w:rPr>
              <w:t>, les auteurs coordonnateurs principaux et les a</w:t>
            </w:r>
            <w:r w:rsidR="00CC58A4" w:rsidRPr="00F77964">
              <w:rPr>
                <w:rFonts w:eastAsia="SimSun"/>
                <w:sz w:val="18"/>
                <w:szCs w:val="18"/>
                <w:lang w:eastAsia="zh-CN"/>
              </w:rPr>
              <w:t>uteurs principaux préparent le deuxième projet de rapport et un premier projet de résumé à l’intention des décideurs sous la supervision des éditeurs-réviseurs et du Groupe d’experts multidisciplinaire</w:t>
            </w:r>
            <w:r w:rsidR="00D66005" w:rsidRPr="00F77964">
              <w:rPr>
                <w:rFonts w:eastAsia="SimSun"/>
                <w:sz w:val="18"/>
                <w:szCs w:val="18"/>
                <w:lang w:eastAsia="zh-CN"/>
              </w:rPr>
              <w:t xml:space="preserve"> (3-4</w:t>
            </w:r>
            <w:r w:rsidR="00CC58A4" w:rsidRPr="00F77964">
              <w:rPr>
                <w:rFonts w:eastAsia="SimSun"/>
                <w:sz w:val="18"/>
                <w:szCs w:val="18"/>
                <w:lang w:eastAsia="zh-CN"/>
              </w:rPr>
              <w:t> mois</w:t>
            </w:r>
            <w:r w:rsidR="00D66005" w:rsidRPr="00F77964">
              <w:rPr>
                <w:rFonts w:eastAsia="SimSun"/>
                <w:sz w:val="18"/>
                <w:szCs w:val="18"/>
                <w:lang w:eastAsia="zh-CN"/>
              </w:rPr>
              <w:t>)</w:t>
            </w:r>
            <w:r w:rsidR="003264B7" w:rsidRPr="00F77964">
              <w:rPr>
                <w:rFonts w:eastAsia="SimSun"/>
                <w:sz w:val="18"/>
                <w:szCs w:val="18"/>
                <w:lang w:eastAsia="zh-CN"/>
              </w:rPr>
              <w:t>,</w:t>
            </w:r>
            <w:r w:rsidR="00CC58A4" w:rsidRPr="00F77964">
              <w:rPr>
                <w:rFonts w:eastAsia="SimSun"/>
                <w:sz w:val="18"/>
                <w:szCs w:val="18"/>
                <w:lang w:eastAsia="zh-CN"/>
              </w:rPr>
              <w:t xml:space="preserve"> en tenant compte des évaluations thématiques et méthodologiques accélérées, des évaluations thématiques et des évaluations régionales/sous-régionales</w:t>
            </w:r>
          </w:p>
        </w:tc>
      </w:tr>
      <w:tr w:rsidR="00CC58A4" w:rsidRPr="0061490E" w:rsidTr="00D66005">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lang w:eastAsia="zh-CN"/>
              </w:rPr>
            </w:pPr>
          </w:p>
        </w:tc>
        <w:tc>
          <w:tcPr>
            <w:tcW w:w="1270" w:type="dxa"/>
            <w:tcBorders>
              <w:top w:val="single" w:sz="4" w:space="0" w:color="auto"/>
              <w:left w:val="single" w:sz="4" w:space="0" w:color="auto"/>
              <w:bottom w:val="single" w:sz="4" w:space="0" w:color="auto"/>
              <w:right w:val="single" w:sz="4" w:space="0" w:color="auto"/>
            </w:tcBorders>
            <w:hideMark/>
          </w:tcPr>
          <w:p w:rsidR="00D66005" w:rsidRPr="00F77964" w:rsidRDefault="002E2ED3" w:rsidP="002E2ED3">
            <w:pPr>
              <w:pStyle w:val="Normal-pool"/>
              <w:spacing w:before="40" w:after="40"/>
              <w:rPr>
                <w:rFonts w:eastAsia="SimSun"/>
                <w:sz w:val="18"/>
                <w:szCs w:val="18"/>
                <w:lang w:eastAsia="zh-CN"/>
              </w:rPr>
            </w:pPr>
            <w:r w:rsidRPr="00F77964">
              <w:rPr>
                <w:rFonts w:eastAsia="SimSun"/>
                <w:sz w:val="18"/>
                <w:szCs w:val="18"/>
                <w:lang w:eastAsia="zh-CN"/>
              </w:rPr>
              <w:t>Quatrième trimestre</w:t>
            </w:r>
          </w:p>
        </w:tc>
        <w:tc>
          <w:tcPr>
            <w:tcW w:w="6819" w:type="dxa"/>
            <w:tcBorders>
              <w:top w:val="single" w:sz="4" w:space="0" w:color="auto"/>
              <w:left w:val="single" w:sz="4" w:space="0" w:color="auto"/>
              <w:bottom w:val="single" w:sz="4" w:space="0" w:color="auto"/>
              <w:right w:val="single" w:sz="4" w:space="0" w:color="auto"/>
            </w:tcBorders>
            <w:hideMark/>
          </w:tcPr>
          <w:p w:rsidR="00D66005" w:rsidRPr="00F77964" w:rsidRDefault="00CC58A4" w:rsidP="00CC58A4">
            <w:pPr>
              <w:pStyle w:val="Normal-pool"/>
              <w:spacing w:before="40" w:after="40"/>
              <w:rPr>
                <w:rFonts w:eastAsia="SimSun"/>
                <w:sz w:val="18"/>
                <w:szCs w:val="18"/>
                <w:lang w:eastAsia="zh-CN"/>
              </w:rPr>
            </w:pPr>
            <w:r w:rsidRPr="00F77964">
              <w:rPr>
                <w:rFonts w:eastAsia="SimSun"/>
                <w:sz w:val="18"/>
                <w:szCs w:val="18"/>
                <w:lang w:eastAsia="zh-CN"/>
              </w:rPr>
              <w:t>Le deuxième projet de rapport et l’avant-projet de résumé à l’intention des décideurs sont examinés par les experts, les gouvernements et les autres parties prenantes (2 mois)</w:t>
            </w:r>
          </w:p>
        </w:tc>
      </w:tr>
      <w:tr w:rsidR="00CC58A4" w:rsidRPr="0061490E" w:rsidTr="00D66005">
        <w:trPr>
          <w:trHeight w:val="323"/>
        </w:trPr>
        <w:tc>
          <w:tcPr>
            <w:tcW w:w="709"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pPr>
              <w:keepLines/>
              <w:tabs>
                <w:tab w:val="left" w:pos="426"/>
                <w:tab w:val="num" w:pos="1353"/>
              </w:tabs>
              <w:autoSpaceDE w:val="0"/>
              <w:autoSpaceDN w:val="0"/>
              <w:adjustRightInd w:val="0"/>
              <w:spacing w:before="60" w:after="60"/>
              <w:ind w:left="-108" w:firstLine="108"/>
              <w:rPr>
                <w:rFonts w:ascii="Times New Roman" w:eastAsia="SimSun" w:hAnsi="Times New Roman"/>
                <w:sz w:val="20"/>
                <w:szCs w:val="20"/>
                <w:lang w:eastAsia="zh-CN"/>
              </w:rPr>
            </w:pPr>
            <w:r w:rsidRPr="00F77964">
              <w:rPr>
                <w:rFonts w:ascii="Times New Roman" w:eastAsia="SimSun" w:hAnsi="Times New Roman"/>
                <w:sz w:val="20"/>
                <w:szCs w:val="20"/>
                <w:lang w:eastAsia="zh-CN"/>
              </w:rPr>
              <w:t>2018</w:t>
            </w:r>
          </w:p>
        </w:tc>
        <w:tc>
          <w:tcPr>
            <w:tcW w:w="1270" w:type="dxa"/>
            <w:tcBorders>
              <w:top w:val="single" w:sz="4" w:space="0" w:color="auto"/>
              <w:left w:val="single" w:sz="4" w:space="0" w:color="auto"/>
              <w:bottom w:val="single" w:sz="4" w:space="0" w:color="auto"/>
              <w:right w:val="single" w:sz="4" w:space="0" w:color="auto"/>
            </w:tcBorders>
            <w:hideMark/>
          </w:tcPr>
          <w:p w:rsidR="00D66005" w:rsidRPr="00F77964" w:rsidRDefault="00CC58A4" w:rsidP="00CC58A4">
            <w:pPr>
              <w:pStyle w:val="Normal-pool"/>
              <w:spacing w:before="40" w:after="40"/>
              <w:rPr>
                <w:rFonts w:eastAsia="SimSun"/>
                <w:sz w:val="18"/>
                <w:szCs w:val="18"/>
                <w:lang w:eastAsia="zh-CN"/>
              </w:rPr>
            </w:pPr>
            <w:r w:rsidRPr="00F77964">
              <w:rPr>
                <w:rFonts w:eastAsia="SimSun"/>
                <w:sz w:val="18"/>
                <w:szCs w:val="18"/>
                <w:lang w:eastAsia="zh-CN"/>
              </w:rPr>
              <w:t>Premier trimestre</w:t>
            </w:r>
          </w:p>
        </w:tc>
        <w:tc>
          <w:tcPr>
            <w:tcW w:w="6819" w:type="dxa"/>
            <w:tcBorders>
              <w:top w:val="single" w:sz="4" w:space="0" w:color="auto"/>
              <w:left w:val="single" w:sz="4" w:space="0" w:color="auto"/>
              <w:bottom w:val="single" w:sz="4" w:space="0" w:color="auto"/>
              <w:right w:val="single" w:sz="4" w:space="0" w:color="auto"/>
            </w:tcBorders>
            <w:hideMark/>
          </w:tcPr>
          <w:p w:rsidR="00D66005" w:rsidRPr="00F77964" w:rsidRDefault="00CC58A4" w:rsidP="004762CF">
            <w:pPr>
              <w:pStyle w:val="Normal-pool"/>
              <w:spacing w:before="40" w:after="40"/>
              <w:rPr>
                <w:rFonts w:eastAsia="SimSun"/>
                <w:sz w:val="18"/>
                <w:szCs w:val="18"/>
                <w:lang w:eastAsia="zh-CN"/>
              </w:rPr>
            </w:pPr>
            <w:r w:rsidRPr="00F77964">
              <w:rPr>
                <w:rFonts w:eastAsia="SimSun"/>
                <w:sz w:val="18"/>
                <w:szCs w:val="18"/>
                <w:lang w:eastAsia="zh-CN"/>
              </w:rPr>
              <w:t xml:space="preserve">Les </w:t>
            </w:r>
            <w:r w:rsidR="006E337B">
              <w:rPr>
                <w:rFonts w:eastAsia="SimSun"/>
                <w:sz w:val="18"/>
                <w:szCs w:val="18"/>
                <w:lang w:eastAsia="zh-CN"/>
              </w:rPr>
              <w:t>coprésidents</w:t>
            </w:r>
            <w:r w:rsidRPr="00F77964">
              <w:rPr>
                <w:rFonts w:eastAsia="SimSun"/>
                <w:sz w:val="18"/>
                <w:szCs w:val="18"/>
                <w:lang w:eastAsia="zh-CN"/>
              </w:rPr>
              <w:t>, les auteurs coordonnateurs principaux et les auteurs principaux établissent l</w:t>
            </w:r>
            <w:r w:rsidR="004762CF" w:rsidRPr="00F77964">
              <w:rPr>
                <w:rFonts w:eastAsia="SimSun"/>
                <w:sz w:val="18"/>
                <w:szCs w:val="18"/>
                <w:lang w:eastAsia="zh-CN"/>
              </w:rPr>
              <w:t>a version</w:t>
            </w:r>
            <w:r w:rsidRPr="00F77964">
              <w:rPr>
                <w:rFonts w:eastAsia="SimSun"/>
                <w:sz w:val="18"/>
                <w:szCs w:val="18"/>
                <w:lang w:eastAsia="zh-CN"/>
              </w:rPr>
              <w:t xml:space="preserve"> final</w:t>
            </w:r>
            <w:r w:rsidR="004762CF" w:rsidRPr="00F77964">
              <w:rPr>
                <w:rFonts w:eastAsia="SimSun"/>
                <w:sz w:val="18"/>
                <w:szCs w:val="18"/>
                <w:lang w:eastAsia="zh-CN"/>
              </w:rPr>
              <w:t>e du</w:t>
            </w:r>
            <w:r w:rsidRPr="00F77964">
              <w:rPr>
                <w:rFonts w:eastAsia="SimSun"/>
                <w:sz w:val="18"/>
                <w:szCs w:val="18"/>
                <w:lang w:eastAsia="zh-CN"/>
              </w:rPr>
              <w:t xml:space="preserve"> rapport et </w:t>
            </w:r>
            <w:r w:rsidR="004762CF" w:rsidRPr="00F77964">
              <w:rPr>
                <w:rFonts w:eastAsia="SimSun"/>
                <w:sz w:val="18"/>
                <w:szCs w:val="18"/>
                <w:lang w:eastAsia="zh-CN"/>
              </w:rPr>
              <w:t>du</w:t>
            </w:r>
            <w:r w:rsidRPr="00F77964">
              <w:rPr>
                <w:rFonts w:eastAsia="SimSun"/>
                <w:sz w:val="18"/>
                <w:szCs w:val="18"/>
                <w:lang w:eastAsia="zh-CN"/>
              </w:rPr>
              <w:t xml:space="preserve"> résumé à l’intention des décideurs, sous la supervision des éditeurs-réviseurs et du Groupe d’experts multidisciplinaire </w:t>
            </w:r>
            <w:r w:rsidR="00D66005" w:rsidRPr="00F77964">
              <w:rPr>
                <w:rFonts w:eastAsia="SimSun"/>
                <w:sz w:val="18"/>
                <w:szCs w:val="18"/>
                <w:lang w:eastAsia="zh-CN"/>
              </w:rPr>
              <w:t>(2-3</w:t>
            </w:r>
            <w:r w:rsidRPr="00F77964">
              <w:rPr>
                <w:rFonts w:eastAsia="SimSun"/>
                <w:sz w:val="18"/>
                <w:szCs w:val="18"/>
                <w:lang w:eastAsia="zh-CN"/>
              </w:rPr>
              <w:t> mois</w:t>
            </w:r>
            <w:r w:rsidR="00D66005" w:rsidRPr="00F77964">
              <w:rPr>
                <w:rFonts w:eastAsia="SimSun"/>
                <w:sz w:val="18"/>
                <w:szCs w:val="18"/>
                <w:lang w:eastAsia="zh-CN"/>
              </w:rPr>
              <w:t>)</w:t>
            </w:r>
          </w:p>
        </w:tc>
      </w:tr>
      <w:tr w:rsidR="00CC58A4" w:rsidRPr="0061490E" w:rsidTr="00D66005">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lang w:eastAsia="zh-CN"/>
              </w:rPr>
            </w:pPr>
          </w:p>
        </w:tc>
        <w:tc>
          <w:tcPr>
            <w:tcW w:w="1270"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CC58A4" w:rsidP="00CC58A4">
            <w:pPr>
              <w:pStyle w:val="Normal-pool"/>
              <w:spacing w:before="40" w:after="40"/>
              <w:rPr>
                <w:rFonts w:eastAsia="SimSun"/>
                <w:sz w:val="18"/>
                <w:szCs w:val="18"/>
                <w:lang w:eastAsia="zh-CN"/>
              </w:rPr>
            </w:pPr>
            <w:r w:rsidRPr="00F77964">
              <w:rPr>
                <w:rFonts w:eastAsia="SimSun"/>
                <w:sz w:val="18"/>
                <w:szCs w:val="18"/>
                <w:lang w:eastAsia="zh-CN"/>
              </w:rPr>
              <w:t>Deuxième trimestre</w:t>
            </w:r>
          </w:p>
        </w:tc>
        <w:tc>
          <w:tcPr>
            <w:tcW w:w="6819" w:type="dxa"/>
            <w:tcBorders>
              <w:top w:val="single" w:sz="4" w:space="0" w:color="auto"/>
              <w:left w:val="single" w:sz="4" w:space="0" w:color="auto"/>
              <w:bottom w:val="single" w:sz="4" w:space="0" w:color="auto"/>
              <w:right w:val="single" w:sz="4" w:space="0" w:color="auto"/>
            </w:tcBorders>
            <w:hideMark/>
          </w:tcPr>
          <w:p w:rsidR="00D66005" w:rsidRPr="00F77964" w:rsidRDefault="00CC58A4" w:rsidP="00CC58A4">
            <w:pPr>
              <w:pStyle w:val="Normal-pool"/>
              <w:spacing w:before="40" w:after="40"/>
              <w:rPr>
                <w:rFonts w:eastAsia="SimSun"/>
                <w:sz w:val="18"/>
                <w:szCs w:val="18"/>
                <w:lang w:eastAsia="zh-CN"/>
              </w:rPr>
            </w:pPr>
            <w:r w:rsidRPr="00F77964">
              <w:rPr>
                <w:rFonts w:eastAsia="SimSun"/>
                <w:sz w:val="18"/>
                <w:szCs w:val="18"/>
                <w:lang w:eastAsia="zh-CN"/>
              </w:rPr>
              <w:t>Le résumé à l’intention des décideurs est traduit dans toutes les langues de l’ONU</w:t>
            </w:r>
            <w:r w:rsidR="00D66005" w:rsidRPr="00F77964">
              <w:rPr>
                <w:rFonts w:eastAsia="SimSun"/>
                <w:sz w:val="18"/>
                <w:szCs w:val="18"/>
                <w:lang w:eastAsia="zh-CN"/>
              </w:rPr>
              <w:t xml:space="preserve"> (2</w:t>
            </w:r>
            <w:r w:rsidRPr="00F77964">
              <w:rPr>
                <w:rFonts w:eastAsia="SimSun"/>
                <w:sz w:val="18"/>
                <w:szCs w:val="18"/>
                <w:lang w:eastAsia="zh-CN"/>
              </w:rPr>
              <w:t> mois</w:t>
            </w:r>
            <w:r w:rsidR="00D66005" w:rsidRPr="00F77964">
              <w:rPr>
                <w:rFonts w:eastAsia="SimSun"/>
                <w:sz w:val="18"/>
                <w:szCs w:val="18"/>
                <w:lang w:eastAsia="zh-CN"/>
              </w:rPr>
              <w:t>)</w:t>
            </w:r>
          </w:p>
        </w:tc>
      </w:tr>
      <w:tr w:rsidR="00CC58A4" w:rsidRPr="0061490E" w:rsidTr="00D66005">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sz w:val="18"/>
                <w:szCs w:val="18"/>
                <w:lang w:eastAsia="zh-CN"/>
              </w:rPr>
            </w:pPr>
          </w:p>
        </w:tc>
        <w:tc>
          <w:tcPr>
            <w:tcW w:w="6819" w:type="dxa"/>
            <w:tcBorders>
              <w:top w:val="single" w:sz="4" w:space="0" w:color="auto"/>
              <w:left w:val="single" w:sz="4" w:space="0" w:color="auto"/>
              <w:bottom w:val="single" w:sz="4" w:space="0" w:color="auto"/>
              <w:right w:val="single" w:sz="4" w:space="0" w:color="auto"/>
            </w:tcBorders>
            <w:hideMark/>
          </w:tcPr>
          <w:p w:rsidR="00D66005" w:rsidRPr="00F77964" w:rsidRDefault="00CC58A4" w:rsidP="00E47FB1">
            <w:pPr>
              <w:pStyle w:val="Normal-pool"/>
              <w:spacing w:before="40" w:after="40"/>
              <w:rPr>
                <w:rFonts w:eastAsia="SimSun"/>
                <w:sz w:val="18"/>
                <w:szCs w:val="18"/>
                <w:lang w:eastAsia="zh-CN"/>
              </w:rPr>
            </w:pPr>
            <w:r w:rsidRPr="00F77964">
              <w:rPr>
                <w:rFonts w:eastAsia="SimSun"/>
                <w:sz w:val="18"/>
                <w:szCs w:val="18"/>
                <w:lang w:eastAsia="zh-CN"/>
              </w:rPr>
              <w:t xml:space="preserve">Le projet de rapport final et les résumés à l’intention des décideurs sont communiqués aux gouvernements et aux autres parties </w:t>
            </w:r>
            <w:r w:rsidR="00F77964" w:rsidRPr="00F77964">
              <w:rPr>
                <w:rFonts w:eastAsia="SimSun"/>
                <w:sz w:val="18"/>
                <w:szCs w:val="18"/>
                <w:lang w:eastAsia="zh-CN"/>
              </w:rPr>
              <w:t>prenantes</w:t>
            </w:r>
            <w:r w:rsidRPr="00F77964">
              <w:rPr>
                <w:rFonts w:eastAsia="SimSun"/>
                <w:sz w:val="18"/>
                <w:szCs w:val="18"/>
                <w:lang w:eastAsia="zh-CN"/>
              </w:rPr>
              <w:t xml:space="preserve"> pour examen final</w:t>
            </w:r>
            <w:r w:rsidR="00D66005" w:rsidRPr="00F77964">
              <w:rPr>
                <w:rFonts w:eastAsia="SimSun"/>
                <w:sz w:val="18"/>
                <w:szCs w:val="18"/>
                <w:lang w:eastAsia="zh-CN"/>
              </w:rPr>
              <w:t xml:space="preserve"> (1.5-2</w:t>
            </w:r>
            <w:r w:rsidRPr="00F77964">
              <w:rPr>
                <w:rFonts w:eastAsia="SimSun"/>
                <w:sz w:val="18"/>
                <w:szCs w:val="18"/>
                <w:lang w:eastAsia="zh-CN"/>
              </w:rPr>
              <w:t> mois</w:t>
            </w:r>
            <w:r w:rsidR="00D66005" w:rsidRPr="00F77964">
              <w:rPr>
                <w:rFonts w:eastAsia="SimSun"/>
                <w:sz w:val="18"/>
                <w:szCs w:val="18"/>
                <w:lang w:eastAsia="zh-CN"/>
              </w:rPr>
              <w:t>)</w:t>
            </w:r>
          </w:p>
        </w:tc>
      </w:tr>
      <w:tr w:rsidR="00CC58A4" w:rsidRPr="0061490E" w:rsidTr="00D66005">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lang w:eastAsia="zh-CN"/>
              </w:rPr>
            </w:pPr>
          </w:p>
        </w:tc>
        <w:tc>
          <w:tcPr>
            <w:tcW w:w="1270"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CC58A4">
            <w:pPr>
              <w:pStyle w:val="Normal-pool"/>
              <w:spacing w:before="40" w:after="40"/>
              <w:rPr>
                <w:rFonts w:eastAsia="SimSun"/>
                <w:sz w:val="18"/>
                <w:szCs w:val="18"/>
                <w:lang w:eastAsia="zh-CN"/>
              </w:rPr>
            </w:pPr>
            <w:r w:rsidRPr="00F77964">
              <w:rPr>
                <w:rFonts w:eastAsia="SimSun"/>
                <w:sz w:val="18"/>
                <w:szCs w:val="18"/>
                <w:lang w:eastAsia="zh-CN"/>
              </w:rPr>
              <w:t>T</w:t>
            </w:r>
            <w:r w:rsidR="00CC58A4" w:rsidRPr="00F77964">
              <w:rPr>
                <w:rFonts w:eastAsia="SimSun"/>
                <w:sz w:val="18"/>
                <w:szCs w:val="18"/>
                <w:lang w:eastAsia="zh-CN"/>
              </w:rPr>
              <w:t>roisième trimestre</w:t>
            </w:r>
          </w:p>
        </w:tc>
        <w:tc>
          <w:tcPr>
            <w:tcW w:w="6819" w:type="dxa"/>
            <w:tcBorders>
              <w:top w:val="single" w:sz="4" w:space="0" w:color="auto"/>
              <w:left w:val="single" w:sz="4" w:space="0" w:color="auto"/>
              <w:bottom w:val="single" w:sz="4" w:space="0" w:color="auto"/>
              <w:right w:val="single" w:sz="4" w:space="0" w:color="auto"/>
            </w:tcBorders>
            <w:hideMark/>
          </w:tcPr>
          <w:p w:rsidR="00D66005" w:rsidRPr="00F77964" w:rsidRDefault="00E47FB1" w:rsidP="00DE0090">
            <w:pPr>
              <w:pStyle w:val="Normal-pool"/>
              <w:spacing w:before="40" w:after="40"/>
              <w:rPr>
                <w:rFonts w:eastAsia="SimSun"/>
                <w:sz w:val="18"/>
                <w:szCs w:val="18"/>
                <w:lang w:eastAsia="zh-CN"/>
              </w:rPr>
            </w:pPr>
            <w:r w:rsidRPr="00F77964">
              <w:rPr>
                <w:rFonts w:eastAsia="SimSun"/>
                <w:sz w:val="18"/>
                <w:szCs w:val="18"/>
                <w:lang w:eastAsia="zh-CN"/>
              </w:rPr>
              <w:t xml:space="preserve">Les gouvernements </w:t>
            </w:r>
            <w:r w:rsidR="003264B7" w:rsidRPr="00F77964">
              <w:rPr>
                <w:rFonts w:eastAsia="SimSun"/>
                <w:sz w:val="18"/>
                <w:szCs w:val="18"/>
                <w:lang w:eastAsia="zh-CN"/>
              </w:rPr>
              <w:t xml:space="preserve">sont </w:t>
            </w:r>
            <w:r w:rsidR="00773D3D">
              <w:rPr>
                <w:rFonts w:eastAsia="SimSun"/>
                <w:sz w:val="18"/>
                <w:szCs w:val="18"/>
                <w:lang w:eastAsia="zh-CN"/>
              </w:rPr>
              <w:t>vivement encouragé</w:t>
            </w:r>
            <w:r w:rsidR="003264B7" w:rsidRPr="00F77964">
              <w:rPr>
                <w:rFonts w:eastAsia="SimSun"/>
                <w:sz w:val="18"/>
                <w:szCs w:val="18"/>
                <w:lang w:eastAsia="zh-CN"/>
              </w:rPr>
              <w:t xml:space="preserve">s à communiquer des observations écrites </w:t>
            </w:r>
            <w:r w:rsidRPr="00F77964">
              <w:rPr>
                <w:rFonts w:eastAsia="SimSun"/>
                <w:sz w:val="18"/>
                <w:szCs w:val="18"/>
                <w:lang w:eastAsia="zh-CN"/>
              </w:rPr>
              <w:t>sur le projet de résumé à l’intention des décideurs</w:t>
            </w:r>
            <w:r w:rsidR="003264B7" w:rsidRPr="00F77964">
              <w:rPr>
                <w:rFonts w:eastAsia="SimSun"/>
                <w:sz w:val="18"/>
                <w:szCs w:val="18"/>
                <w:lang w:eastAsia="zh-CN"/>
              </w:rPr>
              <w:t xml:space="preserve"> une semain</w:t>
            </w:r>
            <w:r w:rsidRPr="00F77964">
              <w:rPr>
                <w:rFonts w:eastAsia="SimSun"/>
                <w:sz w:val="18"/>
                <w:szCs w:val="18"/>
                <w:lang w:eastAsia="zh-CN"/>
              </w:rPr>
              <w:t>e avant la sixième session de la Plénière</w:t>
            </w:r>
          </w:p>
        </w:tc>
      </w:tr>
      <w:tr w:rsidR="00CC58A4" w:rsidRPr="0061490E" w:rsidTr="00D66005">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sz w:val="18"/>
                <w:szCs w:val="18"/>
                <w:lang w:eastAsia="zh-CN"/>
              </w:rPr>
            </w:pPr>
          </w:p>
        </w:tc>
        <w:tc>
          <w:tcPr>
            <w:tcW w:w="6819" w:type="dxa"/>
            <w:tcBorders>
              <w:top w:val="single" w:sz="4" w:space="0" w:color="auto"/>
              <w:left w:val="single" w:sz="4" w:space="0" w:color="auto"/>
              <w:bottom w:val="single" w:sz="4" w:space="0" w:color="auto"/>
              <w:right w:val="single" w:sz="4" w:space="0" w:color="auto"/>
            </w:tcBorders>
            <w:hideMark/>
          </w:tcPr>
          <w:p w:rsidR="00D66005" w:rsidRPr="00F77964" w:rsidRDefault="00E47FB1" w:rsidP="00E47FB1">
            <w:pPr>
              <w:pStyle w:val="Normal-pool"/>
              <w:spacing w:before="40" w:after="40"/>
              <w:rPr>
                <w:rFonts w:eastAsia="SimSun"/>
                <w:sz w:val="18"/>
                <w:szCs w:val="18"/>
                <w:lang w:eastAsia="zh-CN"/>
              </w:rPr>
            </w:pPr>
            <w:r w:rsidRPr="00F77964">
              <w:rPr>
                <w:rFonts w:eastAsia="SimSun"/>
                <w:sz w:val="18"/>
                <w:szCs w:val="18"/>
                <w:lang w:eastAsia="zh-CN"/>
              </w:rPr>
              <w:t>La Plénière, à sa sixième session, examine et accepte le rapport et approuve le résumé à l’intention des décideurs</w:t>
            </w:r>
          </w:p>
        </w:tc>
      </w:tr>
      <w:tr w:rsidR="00CC58A4" w:rsidRPr="0061490E" w:rsidTr="00D66005">
        <w:trPr>
          <w:trHeight w:val="206"/>
        </w:trPr>
        <w:tc>
          <w:tcPr>
            <w:tcW w:w="709" w:type="dxa"/>
            <w:tcBorders>
              <w:top w:val="single" w:sz="4" w:space="0" w:color="auto"/>
              <w:left w:val="single" w:sz="4" w:space="0" w:color="auto"/>
              <w:bottom w:val="single" w:sz="4" w:space="0" w:color="auto"/>
              <w:right w:val="single" w:sz="4" w:space="0" w:color="auto"/>
            </w:tcBorders>
          </w:tcPr>
          <w:p w:rsidR="00D66005" w:rsidRPr="0061490E" w:rsidRDefault="00D66005">
            <w:pPr>
              <w:keepLines/>
              <w:tabs>
                <w:tab w:val="left" w:pos="426"/>
                <w:tab w:val="num" w:pos="1353"/>
              </w:tabs>
              <w:autoSpaceDE w:val="0"/>
              <w:autoSpaceDN w:val="0"/>
              <w:adjustRightInd w:val="0"/>
              <w:spacing w:before="60" w:after="60"/>
              <w:ind w:left="-108" w:firstLine="108"/>
              <w:rPr>
                <w:rFonts w:eastAsia="SimSun"/>
                <w:lang w:eastAsia="zh-CN"/>
              </w:rPr>
            </w:pPr>
          </w:p>
        </w:tc>
        <w:tc>
          <w:tcPr>
            <w:tcW w:w="1270" w:type="dxa"/>
            <w:tcBorders>
              <w:top w:val="single" w:sz="4" w:space="0" w:color="auto"/>
              <w:left w:val="single" w:sz="4" w:space="0" w:color="auto"/>
              <w:bottom w:val="single" w:sz="4" w:space="0" w:color="auto"/>
              <w:right w:val="single" w:sz="4" w:space="0" w:color="auto"/>
            </w:tcBorders>
            <w:hideMark/>
          </w:tcPr>
          <w:p w:rsidR="00D66005" w:rsidRPr="00F77964" w:rsidRDefault="00E47FB1" w:rsidP="00E47FB1">
            <w:pPr>
              <w:pStyle w:val="Normal-pool"/>
              <w:spacing w:before="40" w:after="40"/>
              <w:rPr>
                <w:rFonts w:eastAsia="SimSun"/>
                <w:sz w:val="18"/>
                <w:szCs w:val="18"/>
                <w:lang w:eastAsia="zh-CN"/>
              </w:rPr>
            </w:pPr>
            <w:r w:rsidRPr="00F77964">
              <w:rPr>
                <w:rFonts w:eastAsia="SimSun"/>
                <w:sz w:val="18"/>
                <w:szCs w:val="18"/>
                <w:lang w:eastAsia="zh-CN"/>
              </w:rPr>
              <w:t>Quatrième trimestre</w:t>
            </w:r>
          </w:p>
        </w:tc>
        <w:tc>
          <w:tcPr>
            <w:tcW w:w="6819" w:type="dxa"/>
            <w:tcBorders>
              <w:top w:val="single" w:sz="4" w:space="0" w:color="auto"/>
              <w:left w:val="single" w:sz="4" w:space="0" w:color="auto"/>
              <w:bottom w:val="single" w:sz="4" w:space="0" w:color="auto"/>
              <w:right w:val="single" w:sz="4" w:space="0" w:color="auto"/>
            </w:tcBorders>
            <w:hideMark/>
          </w:tcPr>
          <w:p w:rsidR="00D66005" w:rsidRPr="00F77964" w:rsidRDefault="00E47FB1" w:rsidP="00636B40">
            <w:pPr>
              <w:pStyle w:val="Normal-pool"/>
              <w:spacing w:before="40" w:after="40"/>
              <w:rPr>
                <w:rFonts w:eastAsia="SimSun"/>
                <w:sz w:val="18"/>
                <w:szCs w:val="18"/>
                <w:lang w:eastAsia="zh-CN"/>
              </w:rPr>
            </w:pPr>
            <w:r w:rsidRPr="00F77964">
              <w:rPr>
                <w:rFonts w:eastAsia="SimSun"/>
                <w:sz w:val="18"/>
                <w:szCs w:val="18"/>
                <w:lang w:eastAsia="zh-CN"/>
              </w:rPr>
              <w:t>A</w:t>
            </w:r>
            <w:r w:rsidR="00F23269">
              <w:rPr>
                <w:rFonts w:eastAsia="SimSun"/>
                <w:sz w:val="18"/>
                <w:szCs w:val="18"/>
                <w:lang w:eastAsia="zh-CN"/>
              </w:rPr>
              <w:t>nimation</w:t>
            </w:r>
            <w:r w:rsidRPr="00F77964">
              <w:rPr>
                <w:rFonts w:eastAsia="SimSun"/>
                <w:sz w:val="18"/>
                <w:szCs w:val="18"/>
                <w:lang w:eastAsia="zh-CN"/>
              </w:rPr>
              <w:t xml:space="preserve"> et communication</w:t>
            </w:r>
          </w:p>
        </w:tc>
      </w:tr>
    </w:tbl>
    <w:p w:rsidR="00D66005" w:rsidRPr="00F77964" w:rsidRDefault="00D66005" w:rsidP="00122674">
      <w:pPr>
        <w:pStyle w:val="CH3"/>
        <w:spacing w:before="120"/>
        <w:rPr>
          <w:rFonts w:eastAsia="SimSun"/>
          <w:lang w:val="fr-FR" w:eastAsia="zh-CN"/>
        </w:rPr>
      </w:pPr>
      <w:r w:rsidRPr="00F77964">
        <w:rPr>
          <w:rFonts w:eastAsia="SimSun"/>
          <w:lang w:val="fr-FR" w:eastAsia="zh-CN"/>
        </w:rPr>
        <w:lastRenderedPageBreak/>
        <w:tab/>
      </w:r>
      <w:r w:rsidRPr="00F77964">
        <w:rPr>
          <w:rFonts w:eastAsia="SimSun"/>
          <w:lang w:val="fr-FR" w:eastAsia="zh-CN"/>
        </w:rPr>
        <w:tab/>
      </w:r>
      <w:r w:rsidR="00E47FB1" w:rsidRPr="00F77964">
        <w:rPr>
          <w:rFonts w:eastAsia="SimSun"/>
          <w:lang w:val="fr-FR" w:eastAsia="zh-CN"/>
        </w:rPr>
        <w:t>Prévisions de coûts</w:t>
      </w:r>
      <w:r w:rsidRPr="00F77964">
        <w:rPr>
          <w:rFonts w:eastAsia="SimSun"/>
          <w:lang w:val="fr-FR" w:eastAsia="zh-CN"/>
        </w:rPr>
        <w:t xml:space="preserve"> </w:t>
      </w:r>
    </w:p>
    <w:p w:rsidR="00D66005" w:rsidRPr="00F77964" w:rsidRDefault="00E47FB1" w:rsidP="00122674">
      <w:pPr>
        <w:pStyle w:val="Normalnumber"/>
        <w:keepNext/>
        <w:keepLines/>
        <w:numPr>
          <w:ilvl w:val="0"/>
          <w:numId w:val="6"/>
        </w:numPr>
        <w:tabs>
          <w:tab w:val="left" w:pos="624"/>
        </w:tabs>
        <w:ind w:left="1247" w:firstLine="0"/>
        <w:rPr>
          <w:lang w:val="fr-FR"/>
        </w:rPr>
      </w:pPr>
      <w:r w:rsidRPr="00F77964">
        <w:rPr>
          <w:lang w:val="fr-FR"/>
        </w:rPr>
        <w:t xml:space="preserve">Les prévisions de coûts </w:t>
      </w:r>
      <w:r w:rsidR="00F4565D" w:rsidRPr="00F77964">
        <w:rPr>
          <w:lang w:val="fr-FR"/>
        </w:rPr>
        <w:t>sont les suivantes</w:t>
      </w:r>
      <w:r w:rsidRPr="00F77964">
        <w:rPr>
          <w:lang w:val="fr-FR"/>
        </w:rPr>
        <w:t> :</w:t>
      </w:r>
    </w:p>
    <w:p w:rsidR="00D66005" w:rsidRPr="00F77964" w:rsidRDefault="00D66005" w:rsidP="00122674">
      <w:pPr>
        <w:pStyle w:val="Normalnumber"/>
        <w:keepNext/>
        <w:keepLines/>
        <w:tabs>
          <w:tab w:val="left" w:pos="624"/>
        </w:tabs>
        <w:spacing w:before="120" w:after="0"/>
        <w:rPr>
          <w:rFonts w:eastAsia="SimSun"/>
          <w:i/>
          <w:sz w:val="18"/>
          <w:szCs w:val="18"/>
          <w:lang w:val="fr-FR" w:eastAsia="zh-CN"/>
        </w:rPr>
      </w:pPr>
      <w:r w:rsidRPr="00F77964">
        <w:rPr>
          <w:lang w:val="fr-FR"/>
        </w:rPr>
        <w:tab/>
      </w:r>
      <w:r w:rsidRPr="00F77964">
        <w:rPr>
          <w:lang w:val="fr-FR"/>
        </w:rPr>
        <w:tab/>
      </w:r>
      <w:r w:rsidRPr="00F77964">
        <w:rPr>
          <w:sz w:val="18"/>
          <w:szCs w:val="18"/>
          <w:lang w:val="fr-FR"/>
        </w:rPr>
        <w:t>(</w:t>
      </w:r>
      <w:r w:rsidR="00F4565D" w:rsidRPr="00F77964">
        <w:rPr>
          <w:sz w:val="18"/>
          <w:szCs w:val="18"/>
          <w:lang w:val="fr-FR"/>
        </w:rPr>
        <w:t>d</w:t>
      </w:r>
      <w:r w:rsidR="00F3554C">
        <w:rPr>
          <w:sz w:val="18"/>
          <w:szCs w:val="18"/>
          <w:lang w:val="fr-FR"/>
        </w:rPr>
        <w:t>ollars des É</w:t>
      </w:r>
      <w:r w:rsidR="00E47FB1" w:rsidRPr="00F77964">
        <w:rPr>
          <w:sz w:val="18"/>
          <w:szCs w:val="18"/>
          <w:lang w:val="fr-FR"/>
        </w:rPr>
        <w:t>tats-Unis</w:t>
      </w:r>
      <w:r w:rsidRPr="00F77964">
        <w:rPr>
          <w:sz w:val="18"/>
          <w:szCs w:val="18"/>
          <w:lang w:val="fr-FR"/>
        </w:rPr>
        <w:t>)</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078"/>
        <w:gridCol w:w="3244"/>
        <w:gridCol w:w="1001"/>
      </w:tblGrid>
      <w:tr w:rsidR="00335AE4" w:rsidRPr="0061490E" w:rsidTr="00D66005">
        <w:trPr>
          <w:tblHeader/>
        </w:trPr>
        <w:tc>
          <w:tcPr>
            <w:tcW w:w="672" w:type="dxa"/>
            <w:tcBorders>
              <w:top w:val="single" w:sz="4" w:space="0" w:color="auto"/>
              <w:left w:val="single" w:sz="4" w:space="0" w:color="auto"/>
              <w:bottom w:val="single" w:sz="4" w:space="0" w:color="auto"/>
              <w:right w:val="single" w:sz="4" w:space="0" w:color="auto"/>
            </w:tcBorders>
            <w:hideMark/>
          </w:tcPr>
          <w:p w:rsidR="00D66005" w:rsidRPr="00F77964" w:rsidRDefault="00E47FB1" w:rsidP="00122674">
            <w:pPr>
              <w:pStyle w:val="Normal-pool"/>
              <w:keepNext/>
              <w:keepLines/>
              <w:spacing w:before="40" w:after="40"/>
              <w:rPr>
                <w:rFonts w:eastAsia="SimSun"/>
                <w:i/>
                <w:sz w:val="18"/>
                <w:szCs w:val="18"/>
                <w:lang w:eastAsia="zh-CN"/>
              </w:rPr>
            </w:pPr>
            <w:r w:rsidRPr="00F77964">
              <w:rPr>
                <w:rFonts w:eastAsia="SimSun"/>
                <w:i/>
                <w:sz w:val="18"/>
                <w:szCs w:val="18"/>
                <w:lang w:eastAsia="zh-CN"/>
              </w:rPr>
              <w:t>Année</w:t>
            </w:r>
          </w:p>
        </w:tc>
        <w:tc>
          <w:tcPr>
            <w:tcW w:w="3433" w:type="dxa"/>
            <w:tcBorders>
              <w:top w:val="single" w:sz="4" w:space="0" w:color="auto"/>
              <w:left w:val="single" w:sz="4" w:space="0" w:color="auto"/>
              <w:bottom w:val="single" w:sz="4" w:space="0" w:color="auto"/>
              <w:right w:val="single" w:sz="4" w:space="0" w:color="auto"/>
            </w:tcBorders>
            <w:hideMark/>
          </w:tcPr>
          <w:p w:rsidR="00D66005" w:rsidRPr="00F77964" w:rsidRDefault="00E47FB1" w:rsidP="00122674">
            <w:pPr>
              <w:pStyle w:val="Normal-pool"/>
              <w:keepNext/>
              <w:keepLines/>
              <w:spacing w:before="40" w:after="40"/>
              <w:rPr>
                <w:rFonts w:eastAsia="SimSun"/>
                <w:i/>
                <w:sz w:val="18"/>
                <w:szCs w:val="18"/>
                <w:lang w:eastAsia="zh-CN"/>
              </w:rPr>
            </w:pPr>
            <w:r w:rsidRPr="00F77964">
              <w:rPr>
                <w:rFonts w:eastAsia="SimSun"/>
                <w:i/>
                <w:sz w:val="18"/>
                <w:szCs w:val="18"/>
                <w:lang w:eastAsia="zh-CN"/>
              </w:rPr>
              <w:t>Poste de dépenses</w:t>
            </w:r>
          </w:p>
        </w:tc>
        <w:tc>
          <w:tcPr>
            <w:tcW w:w="3662" w:type="dxa"/>
            <w:tcBorders>
              <w:top w:val="single" w:sz="4" w:space="0" w:color="auto"/>
              <w:left w:val="single" w:sz="4" w:space="0" w:color="auto"/>
              <w:bottom w:val="single" w:sz="4" w:space="0" w:color="auto"/>
              <w:right w:val="single" w:sz="4" w:space="0" w:color="auto"/>
            </w:tcBorders>
            <w:hideMark/>
          </w:tcPr>
          <w:p w:rsidR="00D66005" w:rsidRPr="00F77964" w:rsidRDefault="00E47FB1" w:rsidP="00122674">
            <w:pPr>
              <w:pStyle w:val="Normal-pool"/>
              <w:keepNext/>
              <w:keepLines/>
              <w:spacing w:before="40" w:after="40"/>
              <w:rPr>
                <w:rFonts w:eastAsia="SimSun"/>
                <w:i/>
                <w:sz w:val="18"/>
                <w:szCs w:val="18"/>
                <w:lang w:eastAsia="zh-CN"/>
              </w:rPr>
            </w:pPr>
            <w:r w:rsidRPr="00F77964">
              <w:rPr>
                <w:rFonts w:eastAsia="SimSun"/>
                <w:i/>
                <w:sz w:val="18"/>
                <w:szCs w:val="18"/>
                <w:lang w:eastAsia="zh-CN"/>
              </w:rPr>
              <w:t>Hypothèses</w:t>
            </w:r>
          </w:p>
        </w:tc>
        <w:tc>
          <w:tcPr>
            <w:tcW w:w="1016" w:type="dxa"/>
            <w:tcBorders>
              <w:top w:val="single" w:sz="4" w:space="0" w:color="auto"/>
              <w:left w:val="single" w:sz="4" w:space="0" w:color="auto"/>
              <w:bottom w:val="single" w:sz="4" w:space="0" w:color="auto"/>
              <w:right w:val="single" w:sz="4" w:space="0" w:color="auto"/>
            </w:tcBorders>
            <w:hideMark/>
          </w:tcPr>
          <w:p w:rsidR="00D66005" w:rsidRPr="00F77964" w:rsidRDefault="003264B7" w:rsidP="00122674">
            <w:pPr>
              <w:pStyle w:val="Normal-pool"/>
              <w:keepNext/>
              <w:keepLines/>
              <w:spacing w:before="40" w:after="40"/>
              <w:jc w:val="right"/>
              <w:rPr>
                <w:rFonts w:eastAsia="SimSun"/>
                <w:i/>
                <w:sz w:val="18"/>
                <w:szCs w:val="18"/>
                <w:lang w:eastAsia="zh-CN"/>
              </w:rPr>
            </w:pPr>
            <w:r w:rsidRPr="00F77964">
              <w:rPr>
                <w:rFonts w:eastAsia="SimSun"/>
                <w:i/>
                <w:sz w:val="18"/>
                <w:szCs w:val="18"/>
                <w:lang w:eastAsia="zh-CN"/>
              </w:rPr>
              <w:t>C</w:t>
            </w:r>
            <w:r w:rsidR="00E47FB1" w:rsidRPr="00F77964">
              <w:rPr>
                <w:rFonts w:eastAsia="SimSun"/>
                <w:i/>
                <w:sz w:val="18"/>
                <w:szCs w:val="18"/>
                <w:lang w:eastAsia="zh-CN"/>
              </w:rPr>
              <w:t>oût</w:t>
            </w:r>
          </w:p>
        </w:tc>
      </w:tr>
      <w:tr w:rsidR="00335AE4" w:rsidRPr="0061490E" w:rsidTr="00CC6C10">
        <w:tc>
          <w:tcPr>
            <w:tcW w:w="672"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CC6C10">
            <w:pPr>
              <w:pStyle w:val="Normal-pool"/>
              <w:keepNext/>
              <w:keepLines/>
              <w:spacing w:before="40" w:after="40"/>
              <w:rPr>
                <w:rFonts w:eastAsia="SimSun"/>
                <w:sz w:val="18"/>
                <w:szCs w:val="18"/>
                <w:lang w:eastAsia="zh-CN"/>
              </w:rPr>
            </w:pPr>
            <w:r w:rsidRPr="00F77964">
              <w:rPr>
                <w:rFonts w:eastAsia="SimSun"/>
                <w:sz w:val="18"/>
                <w:szCs w:val="18"/>
                <w:lang w:eastAsia="zh-CN"/>
              </w:rPr>
              <w:t>2015</w:t>
            </w:r>
          </w:p>
        </w:tc>
        <w:tc>
          <w:tcPr>
            <w:tcW w:w="3433"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335AE4" w:rsidP="00CC6C10">
            <w:pPr>
              <w:pStyle w:val="Normal-pool"/>
              <w:keepNext/>
              <w:keepLines/>
              <w:spacing w:before="40" w:after="40"/>
              <w:rPr>
                <w:rFonts w:eastAsia="SimSun"/>
                <w:sz w:val="18"/>
                <w:szCs w:val="18"/>
                <w:lang w:eastAsia="zh-CN"/>
              </w:rPr>
            </w:pPr>
            <w:r w:rsidRPr="00F77964">
              <w:rPr>
                <w:rFonts w:eastAsia="SimSun"/>
                <w:sz w:val="18"/>
                <w:szCs w:val="18"/>
                <w:lang w:eastAsia="zh-CN"/>
              </w:rPr>
              <w:t>Réunion de cadrage</w:t>
            </w:r>
            <w:r w:rsidR="00D66005" w:rsidRPr="00F77964">
              <w:rPr>
                <w:rFonts w:eastAsia="SimSun"/>
                <w:sz w:val="18"/>
                <w:szCs w:val="18"/>
                <w:lang w:eastAsia="zh-CN"/>
              </w:rPr>
              <w:t xml:space="preserve"> (20</w:t>
            </w:r>
            <w:r w:rsidRPr="00F77964">
              <w:rPr>
                <w:rFonts w:eastAsia="SimSun"/>
                <w:sz w:val="18"/>
                <w:szCs w:val="18"/>
                <w:lang w:eastAsia="zh-CN"/>
              </w:rPr>
              <w:t> membres du Groupe d’experts multidisciplinaire et du Bureau</w:t>
            </w:r>
            <w:r w:rsidR="00C673C7">
              <w:rPr>
                <w:rFonts w:eastAsia="SimSun"/>
                <w:sz w:val="18"/>
                <w:szCs w:val="18"/>
                <w:lang w:eastAsia="zh-CN"/>
              </w:rPr>
              <w:t xml:space="preserve"> + </w:t>
            </w:r>
            <w:r w:rsidRPr="00F77964">
              <w:rPr>
                <w:rFonts w:eastAsia="SimSun"/>
                <w:sz w:val="18"/>
                <w:szCs w:val="18"/>
                <w:lang w:eastAsia="zh-CN"/>
              </w:rPr>
              <w:t>40 experts</w:t>
            </w:r>
            <w:r w:rsidR="00D66005" w:rsidRPr="00F77964">
              <w:rPr>
                <w:rFonts w:eastAsia="SimSun"/>
                <w:sz w:val="18"/>
                <w:szCs w:val="18"/>
                <w:lang w:eastAsia="zh-CN"/>
              </w:rPr>
              <w:t>)</w:t>
            </w:r>
          </w:p>
        </w:tc>
        <w:tc>
          <w:tcPr>
            <w:tcW w:w="3662" w:type="dxa"/>
            <w:tcBorders>
              <w:top w:val="single" w:sz="4" w:space="0" w:color="auto"/>
              <w:left w:val="single" w:sz="4" w:space="0" w:color="auto"/>
              <w:bottom w:val="single" w:sz="4" w:space="0" w:color="auto"/>
              <w:right w:val="single" w:sz="4" w:space="0" w:color="auto"/>
            </w:tcBorders>
            <w:hideMark/>
          </w:tcPr>
          <w:p w:rsidR="00D66005" w:rsidRPr="00F77964" w:rsidRDefault="00335AE4" w:rsidP="00CC6C10">
            <w:pPr>
              <w:pStyle w:val="Normal-pool"/>
              <w:keepNext/>
              <w:keepLines/>
              <w:spacing w:before="40" w:after="40"/>
              <w:rPr>
                <w:rFonts w:eastAsia="SimSun"/>
                <w:sz w:val="18"/>
                <w:szCs w:val="18"/>
                <w:lang w:eastAsia="zh-CN"/>
              </w:rPr>
            </w:pPr>
            <w:r w:rsidRPr="00F77964">
              <w:rPr>
                <w:rFonts w:eastAsia="SimSun"/>
                <w:sz w:val="18"/>
                <w:szCs w:val="18"/>
                <w:lang w:eastAsia="zh-CN"/>
              </w:rPr>
              <w:t>Coûts de la réunion</w:t>
            </w:r>
            <w:r w:rsidR="00D66005" w:rsidRPr="00F77964">
              <w:rPr>
                <w:rFonts w:eastAsia="SimSun"/>
                <w:sz w:val="18"/>
                <w:szCs w:val="18"/>
                <w:lang w:eastAsia="zh-CN"/>
              </w:rPr>
              <w:t xml:space="preserve"> (1</w:t>
            </w:r>
            <w:r w:rsidRPr="00F77964">
              <w:rPr>
                <w:rFonts w:eastAsia="SimSun"/>
                <w:sz w:val="18"/>
                <w:szCs w:val="18"/>
                <w:lang w:eastAsia="zh-CN"/>
              </w:rPr>
              <w:t> semaine</w:t>
            </w:r>
            <w:r w:rsidR="00D66005" w:rsidRPr="00F77964">
              <w:rPr>
                <w:rFonts w:eastAsia="SimSun"/>
                <w:sz w:val="18"/>
                <w:szCs w:val="18"/>
                <w:lang w:eastAsia="zh-CN"/>
              </w:rPr>
              <w:t>, 60</w:t>
            </w:r>
            <w:r w:rsidRPr="00F77964">
              <w:rPr>
                <w:rFonts w:eastAsia="SimSun"/>
                <w:sz w:val="18"/>
                <w:szCs w:val="18"/>
                <w:lang w:eastAsia="zh-CN"/>
              </w:rPr>
              <w:t> </w:t>
            </w:r>
            <w:r w:rsidR="00D66005" w:rsidRPr="00F77964">
              <w:rPr>
                <w:rFonts w:eastAsia="SimSun"/>
                <w:sz w:val="18"/>
                <w:szCs w:val="18"/>
                <w:lang w:eastAsia="zh-CN"/>
              </w:rPr>
              <w:t>participants) (25</w:t>
            </w:r>
            <w:r w:rsidRPr="00F77964">
              <w:rPr>
                <w:rFonts w:eastAsia="SimSun"/>
                <w:sz w:val="18"/>
                <w:szCs w:val="18"/>
                <w:lang w:eastAsia="zh-CN"/>
              </w:rPr>
              <w:t> % en nature</w:t>
            </w:r>
            <w:r w:rsidR="00D66005" w:rsidRPr="00F77964">
              <w:rPr>
                <w:rFonts w:eastAsia="SimSun"/>
                <w:sz w:val="18"/>
                <w:szCs w:val="18"/>
                <w:lang w:eastAsia="zh-CN"/>
              </w:rPr>
              <w:t>)</w:t>
            </w:r>
          </w:p>
        </w:tc>
        <w:tc>
          <w:tcPr>
            <w:tcW w:w="1016" w:type="dxa"/>
            <w:tcBorders>
              <w:top w:val="single" w:sz="4" w:space="0" w:color="auto"/>
              <w:left w:val="single" w:sz="4" w:space="0" w:color="auto"/>
              <w:bottom w:val="single" w:sz="4" w:space="0" w:color="auto"/>
              <w:right w:val="single" w:sz="4" w:space="0" w:color="auto"/>
            </w:tcBorders>
            <w:hideMark/>
          </w:tcPr>
          <w:p w:rsidR="00D66005" w:rsidRPr="00F77964" w:rsidRDefault="00D66005" w:rsidP="00CC6C10">
            <w:pPr>
              <w:pStyle w:val="Normal-pool"/>
              <w:keepNext/>
              <w:keepLines/>
              <w:spacing w:before="40" w:after="40"/>
              <w:rPr>
                <w:rFonts w:eastAsia="SimSun"/>
                <w:sz w:val="18"/>
                <w:szCs w:val="18"/>
                <w:lang w:eastAsia="zh-CN"/>
              </w:rPr>
            </w:pPr>
            <w:r w:rsidRPr="00F77964">
              <w:rPr>
                <w:rFonts w:eastAsia="SimSun"/>
                <w:sz w:val="18"/>
                <w:szCs w:val="18"/>
                <w:lang w:eastAsia="zh-CN"/>
              </w:rPr>
              <w:t>11</w:t>
            </w:r>
            <w:r w:rsidR="003264B7" w:rsidRPr="00F77964">
              <w:rPr>
                <w:rFonts w:eastAsia="SimSun"/>
                <w:sz w:val="18"/>
                <w:szCs w:val="18"/>
                <w:lang w:eastAsia="zh-CN"/>
              </w:rPr>
              <w:t> </w:t>
            </w:r>
            <w:r w:rsidRPr="00F77964">
              <w:rPr>
                <w:rFonts w:eastAsia="SimSun"/>
                <w:sz w:val="18"/>
                <w:szCs w:val="18"/>
                <w:lang w:eastAsia="zh-CN"/>
              </w:rPr>
              <w:t>250</w:t>
            </w:r>
          </w:p>
        </w:tc>
      </w:tr>
      <w:tr w:rsidR="00335AE4" w:rsidRPr="0061490E" w:rsidTr="00CC6C10">
        <w:trPr>
          <w:trHeight w:val="187"/>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CC6C10">
            <w:pPr>
              <w:keepNext/>
              <w:keepLines/>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CC6C10">
            <w:pPr>
              <w:keepNext/>
              <w:keepLines/>
              <w:rPr>
                <w:rFonts w:eastAsia="SimSun"/>
                <w:sz w:val="18"/>
                <w:szCs w:val="18"/>
                <w:lang w:eastAsia="zh-CN"/>
              </w:rPr>
            </w:pPr>
          </w:p>
        </w:tc>
        <w:tc>
          <w:tcPr>
            <w:tcW w:w="3662" w:type="dxa"/>
            <w:tcBorders>
              <w:top w:val="single" w:sz="4" w:space="0" w:color="auto"/>
              <w:left w:val="single" w:sz="4" w:space="0" w:color="auto"/>
              <w:bottom w:val="single" w:sz="4" w:space="0" w:color="auto"/>
              <w:right w:val="single" w:sz="4" w:space="0" w:color="auto"/>
            </w:tcBorders>
            <w:hideMark/>
          </w:tcPr>
          <w:p w:rsidR="00D66005" w:rsidRPr="00F77964" w:rsidRDefault="00D972E8" w:rsidP="00CC6C10">
            <w:pPr>
              <w:pStyle w:val="Normal-pool"/>
              <w:keepNext/>
              <w:keepLines/>
              <w:spacing w:before="40" w:after="40"/>
              <w:rPr>
                <w:rFonts w:eastAsia="SimSun"/>
                <w:sz w:val="18"/>
                <w:szCs w:val="18"/>
                <w:lang w:eastAsia="zh-CN"/>
              </w:rPr>
            </w:pPr>
            <w:r>
              <w:rPr>
                <w:rFonts w:eastAsia="SimSun"/>
                <w:sz w:val="18"/>
                <w:szCs w:val="18"/>
                <w:lang w:eastAsia="zh-CN"/>
              </w:rPr>
              <w:t>Frais de voyage et indemnités journalières de subsistance</w:t>
            </w:r>
            <w:r w:rsidR="00D66005" w:rsidRPr="00F77964">
              <w:rPr>
                <w:rFonts w:eastAsia="SimSun"/>
                <w:sz w:val="18"/>
                <w:szCs w:val="18"/>
                <w:lang w:eastAsia="zh-CN"/>
              </w:rPr>
              <w:t xml:space="preserve"> (45 x 3</w:t>
            </w:r>
            <w:r w:rsidR="00335AE4" w:rsidRPr="00F77964">
              <w:rPr>
                <w:rFonts w:eastAsia="SimSun"/>
                <w:sz w:val="18"/>
                <w:szCs w:val="18"/>
                <w:lang w:eastAsia="zh-CN"/>
              </w:rPr>
              <w:t> </w:t>
            </w:r>
            <w:r w:rsidR="00D66005" w:rsidRPr="00F77964">
              <w:rPr>
                <w:rFonts w:eastAsia="SimSun"/>
                <w:sz w:val="18"/>
                <w:szCs w:val="18"/>
                <w:lang w:eastAsia="zh-CN"/>
              </w:rPr>
              <w:t>000</w:t>
            </w:r>
            <w:r w:rsidR="00122674">
              <w:rPr>
                <w:rFonts w:eastAsia="SimSun"/>
                <w:sz w:val="18"/>
                <w:szCs w:val="18"/>
                <w:lang w:eastAsia="zh-CN"/>
              </w:rPr>
              <w:t> dollars</w:t>
            </w:r>
            <w:r w:rsidR="00D66005" w:rsidRPr="00F77964">
              <w:rPr>
                <w:rFonts w:eastAsia="SimSun"/>
                <w:sz w:val="18"/>
                <w:szCs w:val="18"/>
                <w:lang w:eastAsia="zh-CN"/>
              </w:rPr>
              <w:t>)</w:t>
            </w:r>
          </w:p>
        </w:tc>
        <w:tc>
          <w:tcPr>
            <w:tcW w:w="1016" w:type="dxa"/>
            <w:tcBorders>
              <w:top w:val="single" w:sz="4" w:space="0" w:color="auto"/>
              <w:left w:val="single" w:sz="4" w:space="0" w:color="auto"/>
              <w:bottom w:val="single" w:sz="4" w:space="0" w:color="auto"/>
              <w:right w:val="single" w:sz="4" w:space="0" w:color="auto"/>
            </w:tcBorders>
            <w:hideMark/>
          </w:tcPr>
          <w:p w:rsidR="00D66005" w:rsidRPr="00F77964" w:rsidRDefault="00D66005" w:rsidP="00CC6C10">
            <w:pPr>
              <w:pStyle w:val="Normal-pool"/>
              <w:keepNext/>
              <w:keepLines/>
              <w:spacing w:before="40" w:after="40"/>
              <w:rPr>
                <w:rFonts w:eastAsia="SimSun"/>
                <w:sz w:val="18"/>
                <w:szCs w:val="18"/>
                <w:lang w:eastAsia="zh-CN"/>
              </w:rPr>
            </w:pPr>
            <w:r w:rsidRPr="00F77964">
              <w:rPr>
                <w:rFonts w:eastAsia="SimSun"/>
                <w:sz w:val="18"/>
                <w:szCs w:val="18"/>
                <w:lang w:eastAsia="zh-CN"/>
              </w:rPr>
              <w:t>135</w:t>
            </w:r>
            <w:r w:rsidR="003264B7" w:rsidRPr="00F77964">
              <w:rPr>
                <w:rFonts w:eastAsia="SimSun"/>
                <w:sz w:val="18"/>
                <w:szCs w:val="18"/>
                <w:lang w:eastAsia="zh-CN"/>
              </w:rPr>
              <w:t> </w:t>
            </w:r>
            <w:r w:rsidRPr="00F77964">
              <w:rPr>
                <w:rFonts w:eastAsia="SimSun"/>
                <w:sz w:val="18"/>
                <w:szCs w:val="18"/>
                <w:lang w:eastAsia="zh-CN"/>
              </w:rPr>
              <w:t>000</w:t>
            </w:r>
          </w:p>
        </w:tc>
      </w:tr>
      <w:tr w:rsidR="00335AE4" w:rsidRPr="0061490E" w:rsidTr="00CC6C10">
        <w:tc>
          <w:tcPr>
            <w:tcW w:w="672"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CC6C10">
            <w:pPr>
              <w:pStyle w:val="Normal-pool"/>
              <w:keepNext/>
              <w:keepLines/>
              <w:spacing w:before="40" w:after="40"/>
              <w:rPr>
                <w:rFonts w:eastAsia="SimSun"/>
                <w:sz w:val="18"/>
                <w:szCs w:val="18"/>
                <w:lang w:eastAsia="zh-CN"/>
              </w:rPr>
            </w:pPr>
            <w:r w:rsidRPr="00F77964">
              <w:rPr>
                <w:rFonts w:eastAsia="SimSun"/>
                <w:sz w:val="18"/>
                <w:szCs w:val="18"/>
                <w:lang w:eastAsia="zh-CN"/>
              </w:rPr>
              <w:t>2016</w:t>
            </w:r>
          </w:p>
        </w:tc>
        <w:tc>
          <w:tcPr>
            <w:tcW w:w="3433"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335AE4" w:rsidP="00CC6C10">
            <w:pPr>
              <w:pStyle w:val="Normal-pool"/>
              <w:keepNext/>
              <w:keepLines/>
              <w:spacing w:before="40" w:after="40"/>
              <w:rPr>
                <w:rFonts w:eastAsia="SimSun"/>
                <w:sz w:val="18"/>
                <w:szCs w:val="18"/>
                <w:lang w:eastAsia="zh-CN"/>
              </w:rPr>
            </w:pPr>
            <w:r w:rsidRPr="00F77964">
              <w:rPr>
                <w:rFonts w:eastAsia="SimSun"/>
                <w:sz w:val="18"/>
                <w:szCs w:val="18"/>
                <w:lang w:eastAsia="zh-CN"/>
              </w:rPr>
              <w:t>Première réunion des auteurs</w:t>
            </w:r>
            <w:r w:rsidR="00D66005" w:rsidRPr="00F77964">
              <w:rPr>
                <w:rFonts w:eastAsia="SimSun"/>
                <w:sz w:val="18"/>
                <w:szCs w:val="18"/>
                <w:lang w:eastAsia="zh-CN"/>
              </w:rPr>
              <w:t xml:space="preserve"> (200</w:t>
            </w:r>
            <w:r w:rsidRPr="00F77964">
              <w:rPr>
                <w:rFonts w:eastAsia="SimSun"/>
                <w:sz w:val="18"/>
                <w:szCs w:val="18"/>
                <w:lang w:eastAsia="zh-CN"/>
              </w:rPr>
              <w:t> </w:t>
            </w:r>
            <w:r w:rsidR="006E337B">
              <w:rPr>
                <w:rFonts w:eastAsia="SimSun"/>
                <w:sz w:val="18"/>
                <w:szCs w:val="18"/>
                <w:lang w:eastAsia="zh-CN"/>
              </w:rPr>
              <w:t>coprésidents</w:t>
            </w:r>
            <w:r w:rsidRPr="00F77964">
              <w:rPr>
                <w:rFonts w:eastAsia="SimSun"/>
                <w:sz w:val="18"/>
                <w:szCs w:val="18"/>
                <w:lang w:eastAsia="zh-CN"/>
              </w:rPr>
              <w:t>, auteurs coordonnateurs principaux et auteurs principaux</w:t>
            </w:r>
            <w:r w:rsidR="00D66005" w:rsidRPr="00F77964">
              <w:rPr>
                <w:rFonts w:eastAsia="SimSun"/>
                <w:sz w:val="18"/>
                <w:szCs w:val="18"/>
                <w:lang w:eastAsia="zh-CN"/>
              </w:rPr>
              <w:t>)</w:t>
            </w:r>
          </w:p>
        </w:tc>
        <w:tc>
          <w:tcPr>
            <w:tcW w:w="3662" w:type="dxa"/>
            <w:tcBorders>
              <w:top w:val="single" w:sz="4" w:space="0" w:color="auto"/>
              <w:left w:val="single" w:sz="4" w:space="0" w:color="auto"/>
              <w:bottom w:val="single" w:sz="4" w:space="0" w:color="auto"/>
              <w:right w:val="single" w:sz="4" w:space="0" w:color="auto"/>
            </w:tcBorders>
            <w:hideMark/>
          </w:tcPr>
          <w:p w:rsidR="00D66005" w:rsidRPr="00F77964" w:rsidRDefault="00335AE4" w:rsidP="00CC6C10">
            <w:pPr>
              <w:pStyle w:val="Normal-pool"/>
              <w:keepNext/>
              <w:keepLines/>
              <w:spacing w:before="40" w:after="40"/>
              <w:rPr>
                <w:rFonts w:eastAsia="SimSun"/>
                <w:sz w:val="18"/>
                <w:szCs w:val="18"/>
                <w:lang w:eastAsia="zh-CN"/>
              </w:rPr>
            </w:pPr>
            <w:r w:rsidRPr="00F77964">
              <w:rPr>
                <w:rFonts w:eastAsia="SimSun"/>
                <w:sz w:val="18"/>
                <w:szCs w:val="18"/>
                <w:lang w:eastAsia="zh-CN"/>
              </w:rPr>
              <w:t>Coûts de la réunion (1 semaine, 200 participants) (25 % en nature)</w:t>
            </w:r>
          </w:p>
        </w:tc>
        <w:tc>
          <w:tcPr>
            <w:tcW w:w="1016" w:type="dxa"/>
            <w:tcBorders>
              <w:top w:val="single" w:sz="4" w:space="0" w:color="auto"/>
              <w:left w:val="single" w:sz="4" w:space="0" w:color="auto"/>
              <w:bottom w:val="single" w:sz="4" w:space="0" w:color="auto"/>
              <w:right w:val="single" w:sz="4" w:space="0" w:color="auto"/>
            </w:tcBorders>
            <w:hideMark/>
          </w:tcPr>
          <w:p w:rsidR="00D66005" w:rsidRPr="00F77964" w:rsidRDefault="00D66005" w:rsidP="00CC6C10">
            <w:pPr>
              <w:pStyle w:val="Normal-pool"/>
              <w:keepNext/>
              <w:keepLines/>
              <w:spacing w:before="40" w:after="40"/>
              <w:rPr>
                <w:rFonts w:eastAsia="SimSun"/>
                <w:sz w:val="18"/>
                <w:szCs w:val="18"/>
                <w:lang w:eastAsia="zh-CN"/>
              </w:rPr>
            </w:pPr>
            <w:r w:rsidRPr="00F77964">
              <w:rPr>
                <w:rFonts w:eastAsia="SimSun"/>
                <w:sz w:val="18"/>
                <w:szCs w:val="18"/>
                <w:lang w:eastAsia="zh-CN"/>
              </w:rPr>
              <w:t>37</w:t>
            </w:r>
            <w:r w:rsidR="003264B7" w:rsidRPr="00F77964">
              <w:rPr>
                <w:rFonts w:eastAsia="SimSun"/>
                <w:sz w:val="18"/>
                <w:szCs w:val="18"/>
                <w:lang w:eastAsia="zh-CN"/>
              </w:rPr>
              <w:t> </w:t>
            </w:r>
            <w:r w:rsidRPr="00F77964">
              <w:rPr>
                <w:rFonts w:eastAsia="SimSun"/>
                <w:sz w:val="18"/>
                <w:szCs w:val="18"/>
                <w:lang w:eastAsia="zh-CN"/>
              </w:rPr>
              <w:t>500</w:t>
            </w:r>
          </w:p>
        </w:tc>
      </w:tr>
      <w:tr w:rsidR="00335AE4" w:rsidRPr="0061490E" w:rsidTr="00CC6C10">
        <w:trPr>
          <w:trHeight w:val="339"/>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CC6C10">
            <w:pPr>
              <w:keepNext/>
              <w:keepLines/>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CC6C10">
            <w:pPr>
              <w:keepNext/>
              <w:keepLines/>
              <w:rPr>
                <w:rFonts w:eastAsia="SimSun"/>
                <w:sz w:val="18"/>
                <w:szCs w:val="18"/>
                <w:lang w:eastAsia="zh-CN"/>
              </w:rPr>
            </w:pPr>
          </w:p>
        </w:tc>
        <w:tc>
          <w:tcPr>
            <w:tcW w:w="3662" w:type="dxa"/>
            <w:tcBorders>
              <w:top w:val="single" w:sz="4" w:space="0" w:color="auto"/>
              <w:left w:val="single" w:sz="4" w:space="0" w:color="auto"/>
              <w:bottom w:val="single" w:sz="4" w:space="0" w:color="auto"/>
              <w:right w:val="single" w:sz="4" w:space="0" w:color="auto"/>
            </w:tcBorders>
            <w:hideMark/>
          </w:tcPr>
          <w:p w:rsidR="00D66005" w:rsidRPr="00F77964" w:rsidRDefault="00D972E8" w:rsidP="00CC6C10">
            <w:pPr>
              <w:pStyle w:val="Normal-pool"/>
              <w:keepNext/>
              <w:keepLines/>
              <w:spacing w:before="40" w:after="40"/>
              <w:rPr>
                <w:rFonts w:eastAsia="SimSun"/>
                <w:sz w:val="18"/>
                <w:szCs w:val="18"/>
                <w:lang w:eastAsia="zh-CN"/>
              </w:rPr>
            </w:pPr>
            <w:r>
              <w:rPr>
                <w:rFonts w:eastAsia="SimSun"/>
                <w:sz w:val="18"/>
                <w:szCs w:val="18"/>
                <w:lang w:eastAsia="zh-CN"/>
              </w:rPr>
              <w:t>Frais de voyage et indemnités journalières de subsistance</w:t>
            </w:r>
            <w:r w:rsidR="00D66005" w:rsidRPr="00F77964">
              <w:rPr>
                <w:rFonts w:eastAsia="SimSun"/>
                <w:sz w:val="18"/>
                <w:szCs w:val="18"/>
                <w:lang w:eastAsia="zh-CN"/>
              </w:rPr>
              <w:t xml:space="preserve"> (150 x 3</w:t>
            </w:r>
            <w:r w:rsidR="00335AE4" w:rsidRPr="00F77964">
              <w:rPr>
                <w:rFonts w:eastAsia="SimSun"/>
                <w:sz w:val="18"/>
                <w:szCs w:val="18"/>
                <w:lang w:eastAsia="zh-CN"/>
              </w:rPr>
              <w:t> </w:t>
            </w:r>
            <w:r w:rsidR="00D66005" w:rsidRPr="00F77964">
              <w:rPr>
                <w:rFonts w:eastAsia="SimSun"/>
                <w:sz w:val="18"/>
                <w:szCs w:val="18"/>
                <w:lang w:eastAsia="zh-CN"/>
              </w:rPr>
              <w:t>000</w:t>
            </w:r>
            <w:r w:rsidR="00335AE4" w:rsidRPr="00F77964">
              <w:rPr>
                <w:rFonts w:eastAsia="SimSun"/>
                <w:sz w:val="18"/>
                <w:szCs w:val="18"/>
                <w:lang w:eastAsia="zh-CN"/>
              </w:rPr>
              <w:t> </w:t>
            </w:r>
            <w:r w:rsidR="003264B7" w:rsidRPr="00F77964">
              <w:rPr>
                <w:rFonts w:eastAsia="SimSun"/>
                <w:sz w:val="18"/>
                <w:szCs w:val="18"/>
                <w:lang w:eastAsia="zh-CN"/>
              </w:rPr>
              <w:t>dollars</w:t>
            </w:r>
            <w:r w:rsidR="00D66005" w:rsidRPr="00F77964">
              <w:rPr>
                <w:rFonts w:eastAsia="SimSun"/>
                <w:sz w:val="18"/>
                <w:szCs w:val="18"/>
                <w:lang w:eastAsia="zh-CN"/>
              </w:rPr>
              <w:t>)</w:t>
            </w:r>
          </w:p>
        </w:tc>
        <w:tc>
          <w:tcPr>
            <w:tcW w:w="1016" w:type="dxa"/>
            <w:tcBorders>
              <w:top w:val="single" w:sz="4" w:space="0" w:color="auto"/>
              <w:left w:val="single" w:sz="4" w:space="0" w:color="auto"/>
              <w:bottom w:val="single" w:sz="4" w:space="0" w:color="auto"/>
              <w:right w:val="single" w:sz="4" w:space="0" w:color="auto"/>
            </w:tcBorders>
            <w:hideMark/>
          </w:tcPr>
          <w:p w:rsidR="00D66005" w:rsidRPr="00F77964" w:rsidRDefault="00D66005" w:rsidP="00CC6C10">
            <w:pPr>
              <w:pStyle w:val="Normal-pool"/>
              <w:keepNext/>
              <w:keepLines/>
              <w:spacing w:before="40" w:after="40"/>
              <w:rPr>
                <w:rFonts w:eastAsia="SimSun"/>
                <w:sz w:val="18"/>
                <w:szCs w:val="18"/>
                <w:lang w:eastAsia="zh-CN"/>
              </w:rPr>
            </w:pPr>
            <w:r w:rsidRPr="00F77964">
              <w:rPr>
                <w:rFonts w:eastAsia="SimSun"/>
                <w:sz w:val="18"/>
                <w:szCs w:val="18"/>
                <w:lang w:eastAsia="zh-CN"/>
              </w:rPr>
              <w:t>450</w:t>
            </w:r>
            <w:r w:rsidR="003264B7" w:rsidRPr="00F77964">
              <w:rPr>
                <w:rFonts w:eastAsia="SimSun"/>
                <w:sz w:val="18"/>
                <w:szCs w:val="18"/>
                <w:lang w:eastAsia="zh-CN"/>
              </w:rPr>
              <w:t> </w:t>
            </w:r>
            <w:r w:rsidRPr="00F77964">
              <w:rPr>
                <w:rFonts w:eastAsia="SimSun"/>
                <w:sz w:val="18"/>
                <w:szCs w:val="18"/>
                <w:lang w:eastAsia="zh-CN"/>
              </w:rPr>
              <w:t>000</w:t>
            </w:r>
          </w:p>
        </w:tc>
      </w:tr>
      <w:tr w:rsidR="00335AE4" w:rsidRPr="0061490E" w:rsidTr="00CC6C10">
        <w:trPr>
          <w:trHeight w:val="361"/>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CC6C10">
            <w:pPr>
              <w:keepNext/>
              <w:keepLines/>
              <w:rPr>
                <w:rFonts w:eastAsia="SimSun"/>
                <w:sz w:val="18"/>
                <w:szCs w:val="18"/>
                <w:lang w:eastAsia="zh-CN"/>
              </w:rPr>
            </w:pPr>
          </w:p>
        </w:tc>
        <w:tc>
          <w:tcPr>
            <w:tcW w:w="3433" w:type="dxa"/>
            <w:tcBorders>
              <w:top w:val="single" w:sz="4" w:space="0" w:color="auto"/>
              <w:left w:val="single" w:sz="4" w:space="0" w:color="auto"/>
              <w:bottom w:val="single" w:sz="4" w:space="0" w:color="auto"/>
              <w:right w:val="single" w:sz="4" w:space="0" w:color="auto"/>
            </w:tcBorders>
            <w:hideMark/>
          </w:tcPr>
          <w:p w:rsidR="00D66005" w:rsidRPr="00F77964" w:rsidRDefault="00335AE4" w:rsidP="00CC6C10">
            <w:pPr>
              <w:pStyle w:val="Normal-pool"/>
              <w:keepNext/>
              <w:keepLines/>
              <w:spacing w:before="40" w:after="40"/>
              <w:rPr>
                <w:rFonts w:eastAsia="SimSun"/>
                <w:sz w:val="18"/>
                <w:szCs w:val="18"/>
                <w:lang w:eastAsia="zh-CN"/>
              </w:rPr>
            </w:pPr>
            <w:r w:rsidRPr="00F77964">
              <w:rPr>
                <w:rFonts w:eastAsia="SimSun"/>
                <w:sz w:val="18"/>
                <w:szCs w:val="18"/>
                <w:lang w:eastAsia="zh-CN"/>
              </w:rPr>
              <w:t>Appui technique</w:t>
            </w:r>
          </w:p>
        </w:tc>
        <w:tc>
          <w:tcPr>
            <w:tcW w:w="366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CC6C10">
            <w:pPr>
              <w:pStyle w:val="Normal-pool"/>
              <w:keepNext/>
              <w:keepLines/>
              <w:spacing w:before="40" w:after="40"/>
              <w:rPr>
                <w:rFonts w:eastAsia="SimSun"/>
                <w:sz w:val="18"/>
                <w:szCs w:val="18"/>
                <w:lang w:eastAsia="zh-CN"/>
              </w:rPr>
            </w:pPr>
            <w:r w:rsidRPr="00F77964">
              <w:rPr>
                <w:rFonts w:eastAsia="SimSun"/>
                <w:sz w:val="18"/>
                <w:szCs w:val="18"/>
                <w:lang w:eastAsia="zh-CN"/>
              </w:rPr>
              <w:t>3</w:t>
            </w:r>
            <w:r w:rsidR="00335AE4" w:rsidRPr="00F77964">
              <w:rPr>
                <w:rFonts w:eastAsia="SimSun"/>
                <w:sz w:val="18"/>
                <w:szCs w:val="18"/>
                <w:lang w:eastAsia="zh-CN"/>
              </w:rPr>
              <w:t> postes d’administrateur équivalent plein temps</w:t>
            </w:r>
            <w:r w:rsidRPr="00F77964">
              <w:rPr>
                <w:rFonts w:eastAsia="SimSun"/>
                <w:sz w:val="18"/>
                <w:szCs w:val="18"/>
                <w:lang w:eastAsia="zh-CN"/>
              </w:rPr>
              <w:t xml:space="preserve"> (50 </w:t>
            </w:r>
            <w:r w:rsidR="00335AE4" w:rsidRPr="00F77964">
              <w:rPr>
                <w:rFonts w:eastAsia="SimSun"/>
                <w:sz w:val="18"/>
                <w:szCs w:val="18"/>
                <w:lang w:eastAsia="zh-CN"/>
              </w:rPr>
              <w:t>% en nature</w:t>
            </w:r>
            <w:r w:rsidRPr="00F77964">
              <w:rPr>
                <w:rFonts w:eastAsia="SimSun"/>
                <w:sz w:val="18"/>
                <w:szCs w:val="18"/>
                <w:lang w:eastAsia="zh-CN"/>
              </w:rPr>
              <w:t>)</w:t>
            </w:r>
          </w:p>
        </w:tc>
        <w:tc>
          <w:tcPr>
            <w:tcW w:w="1016" w:type="dxa"/>
            <w:tcBorders>
              <w:top w:val="single" w:sz="4" w:space="0" w:color="auto"/>
              <w:left w:val="single" w:sz="4" w:space="0" w:color="auto"/>
              <w:bottom w:val="single" w:sz="4" w:space="0" w:color="auto"/>
              <w:right w:val="single" w:sz="4" w:space="0" w:color="auto"/>
            </w:tcBorders>
            <w:hideMark/>
          </w:tcPr>
          <w:p w:rsidR="00D66005" w:rsidRPr="00F77964" w:rsidRDefault="00D66005" w:rsidP="00CC6C10">
            <w:pPr>
              <w:pStyle w:val="Normal-pool"/>
              <w:keepNext/>
              <w:keepLines/>
              <w:spacing w:before="40" w:after="40"/>
              <w:rPr>
                <w:rFonts w:eastAsia="SimSun"/>
                <w:sz w:val="18"/>
                <w:szCs w:val="18"/>
                <w:lang w:eastAsia="zh-CN"/>
              </w:rPr>
            </w:pPr>
            <w:r w:rsidRPr="00F77964">
              <w:rPr>
                <w:rFonts w:eastAsia="SimSun"/>
                <w:sz w:val="18"/>
                <w:szCs w:val="18"/>
                <w:lang w:eastAsia="zh-CN"/>
              </w:rPr>
              <w:t>225</w:t>
            </w:r>
            <w:r w:rsidR="003264B7" w:rsidRPr="00F77964">
              <w:rPr>
                <w:rFonts w:eastAsia="SimSun"/>
                <w:sz w:val="18"/>
                <w:szCs w:val="18"/>
                <w:lang w:eastAsia="zh-CN"/>
              </w:rPr>
              <w:t> </w:t>
            </w:r>
            <w:r w:rsidRPr="00F77964">
              <w:rPr>
                <w:rFonts w:eastAsia="SimSun"/>
                <w:sz w:val="18"/>
                <w:szCs w:val="18"/>
                <w:lang w:eastAsia="zh-CN"/>
              </w:rPr>
              <w:t>000</w:t>
            </w:r>
          </w:p>
        </w:tc>
      </w:tr>
      <w:tr w:rsidR="00335AE4" w:rsidRPr="0061490E" w:rsidTr="00CC6C10">
        <w:tc>
          <w:tcPr>
            <w:tcW w:w="672"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CC6C10">
            <w:pPr>
              <w:pStyle w:val="Normal-pool"/>
              <w:keepNext/>
              <w:keepLines/>
              <w:spacing w:before="40" w:after="40"/>
              <w:rPr>
                <w:rFonts w:eastAsia="SimSun"/>
                <w:sz w:val="18"/>
                <w:szCs w:val="18"/>
                <w:lang w:eastAsia="zh-CN"/>
              </w:rPr>
            </w:pPr>
            <w:r w:rsidRPr="00F77964">
              <w:rPr>
                <w:rFonts w:eastAsia="SimSun"/>
                <w:sz w:val="18"/>
                <w:szCs w:val="18"/>
                <w:lang w:eastAsia="zh-CN"/>
              </w:rPr>
              <w:t>2017</w:t>
            </w:r>
          </w:p>
        </w:tc>
        <w:tc>
          <w:tcPr>
            <w:tcW w:w="3433"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335AE4" w:rsidP="00CC6C10">
            <w:pPr>
              <w:pStyle w:val="Normal-pool"/>
              <w:keepNext/>
              <w:keepLines/>
              <w:spacing w:before="40" w:after="40"/>
              <w:rPr>
                <w:rFonts w:eastAsia="SimSun"/>
                <w:sz w:val="18"/>
                <w:szCs w:val="18"/>
                <w:lang w:eastAsia="zh-CN"/>
              </w:rPr>
            </w:pPr>
            <w:r w:rsidRPr="00F77964">
              <w:rPr>
                <w:rFonts w:eastAsia="SimSun"/>
                <w:sz w:val="18"/>
                <w:szCs w:val="18"/>
                <w:lang w:eastAsia="zh-CN"/>
              </w:rPr>
              <w:t>Deuxième réunion des auteurs</w:t>
            </w:r>
            <w:r w:rsidR="00D66005" w:rsidRPr="00F77964">
              <w:rPr>
                <w:rFonts w:eastAsia="SimSun"/>
                <w:sz w:val="18"/>
                <w:szCs w:val="18"/>
                <w:lang w:eastAsia="zh-CN"/>
              </w:rPr>
              <w:t xml:space="preserve"> (200</w:t>
            </w:r>
            <w:r w:rsidRPr="00F77964">
              <w:rPr>
                <w:rFonts w:eastAsia="SimSun"/>
                <w:sz w:val="18"/>
                <w:szCs w:val="18"/>
                <w:lang w:eastAsia="zh-CN"/>
              </w:rPr>
              <w:t> </w:t>
            </w:r>
            <w:r w:rsidR="006E337B">
              <w:rPr>
                <w:rFonts w:eastAsia="SimSun"/>
                <w:sz w:val="18"/>
                <w:szCs w:val="18"/>
                <w:lang w:eastAsia="zh-CN"/>
              </w:rPr>
              <w:t>coprésidents</w:t>
            </w:r>
            <w:r w:rsidRPr="00F77964">
              <w:rPr>
                <w:rFonts w:eastAsia="SimSun"/>
                <w:sz w:val="18"/>
                <w:szCs w:val="18"/>
                <w:lang w:eastAsia="zh-CN"/>
              </w:rPr>
              <w:t>, auteurs coordonnateurs principaux et auteurs principaux</w:t>
            </w:r>
            <w:r w:rsidR="00D66005" w:rsidRPr="00F77964">
              <w:rPr>
                <w:rFonts w:eastAsia="SimSun"/>
                <w:sz w:val="18"/>
                <w:szCs w:val="18"/>
                <w:lang w:eastAsia="zh-CN"/>
              </w:rPr>
              <w:t>)</w:t>
            </w:r>
          </w:p>
        </w:tc>
        <w:tc>
          <w:tcPr>
            <w:tcW w:w="3662" w:type="dxa"/>
            <w:tcBorders>
              <w:top w:val="single" w:sz="4" w:space="0" w:color="auto"/>
              <w:left w:val="single" w:sz="4" w:space="0" w:color="auto"/>
              <w:bottom w:val="single" w:sz="4" w:space="0" w:color="auto"/>
              <w:right w:val="single" w:sz="4" w:space="0" w:color="auto"/>
            </w:tcBorders>
            <w:hideMark/>
          </w:tcPr>
          <w:p w:rsidR="00D66005" w:rsidRPr="00F77964" w:rsidRDefault="00335AE4" w:rsidP="00CC6C10">
            <w:pPr>
              <w:pStyle w:val="Normal-pool"/>
              <w:keepNext/>
              <w:keepLines/>
              <w:spacing w:before="40" w:after="40"/>
              <w:rPr>
                <w:rFonts w:eastAsia="SimSun"/>
                <w:sz w:val="18"/>
                <w:szCs w:val="18"/>
                <w:lang w:eastAsia="zh-CN"/>
              </w:rPr>
            </w:pPr>
            <w:r w:rsidRPr="00F77964">
              <w:rPr>
                <w:rFonts w:eastAsia="SimSun"/>
                <w:sz w:val="18"/>
                <w:szCs w:val="18"/>
                <w:lang w:eastAsia="zh-CN"/>
              </w:rPr>
              <w:t>Coûts de la réunion (1 semaine, 200 participants) (25 % en nature)</w:t>
            </w:r>
          </w:p>
        </w:tc>
        <w:tc>
          <w:tcPr>
            <w:tcW w:w="1016" w:type="dxa"/>
            <w:tcBorders>
              <w:top w:val="single" w:sz="4" w:space="0" w:color="auto"/>
              <w:left w:val="single" w:sz="4" w:space="0" w:color="auto"/>
              <w:bottom w:val="single" w:sz="4" w:space="0" w:color="auto"/>
              <w:right w:val="single" w:sz="4" w:space="0" w:color="auto"/>
            </w:tcBorders>
            <w:hideMark/>
          </w:tcPr>
          <w:p w:rsidR="00D66005" w:rsidRPr="00F77964" w:rsidRDefault="00D66005" w:rsidP="00CC6C10">
            <w:pPr>
              <w:pStyle w:val="Normal-pool"/>
              <w:keepNext/>
              <w:keepLines/>
              <w:spacing w:before="40" w:after="40"/>
              <w:rPr>
                <w:rFonts w:eastAsia="SimSun"/>
                <w:sz w:val="18"/>
                <w:szCs w:val="18"/>
                <w:lang w:eastAsia="zh-CN"/>
              </w:rPr>
            </w:pPr>
            <w:r w:rsidRPr="00F77964">
              <w:rPr>
                <w:rFonts w:eastAsia="SimSun"/>
                <w:sz w:val="18"/>
                <w:szCs w:val="18"/>
                <w:lang w:eastAsia="zh-CN"/>
              </w:rPr>
              <w:t>37</w:t>
            </w:r>
            <w:r w:rsidR="003264B7" w:rsidRPr="00F77964">
              <w:rPr>
                <w:rFonts w:eastAsia="SimSun"/>
                <w:sz w:val="18"/>
                <w:szCs w:val="18"/>
                <w:lang w:eastAsia="zh-CN"/>
              </w:rPr>
              <w:t> </w:t>
            </w:r>
            <w:r w:rsidRPr="00F77964">
              <w:rPr>
                <w:rFonts w:eastAsia="SimSun"/>
                <w:sz w:val="18"/>
                <w:szCs w:val="18"/>
                <w:lang w:eastAsia="zh-CN"/>
              </w:rPr>
              <w:t>500</w:t>
            </w:r>
          </w:p>
        </w:tc>
      </w:tr>
      <w:tr w:rsidR="00335AE4" w:rsidRPr="0061490E" w:rsidTr="00CC6C10">
        <w:trPr>
          <w:trHeight w:val="339"/>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CC6C10">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CC6C10">
            <w:pPr>
              <w:rPr>
                <w:rFonts w:eastAsia="SimSun"/>
                <w:sz w:val="18"/>
                <w:szCs w:val="18"/>
                <w:lang w:eastAsia="zh-CN"/>
              </w:rPr>
            </w:pPr>
          </w:p>
        </w:tc>
        <w:tc>
          <w:tcPr>
            <w:tcW w:w="3662" w:type="dxa"/>
            <w:tcBorders>
              <w:top w:val="single" w:sz="4" w:space="0" w:color="auto"/>
              <w:left w:val="single" w:sz="4" w:space="0" w:color="auto"/>
              <w:bottom w:val="single" w:sz="4" w:space="0" w:color="auto"/>
              <w:right w:val="single" w:sz="4" w:space="0" w:color="auto"/>
            </w:tcBorders>
            <w:hideMark/>
          </w:tcPr>
          <w:p w:rsidR="00D66005" w:rsidRPr="00F77964" w:rsidRDefault="00D972E8" w:rsidP="00CC6C10">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00033CC3">
              <w:rPr>
                <w:rFonts w:eastAsia="SimSun"/>
                <w:sz w:val="18"/>
                <w:szCs w:val="18"/>
                <w:lang w:eastAsia="zh-CN"/>
              </w:rPr>
              <w:t xml:space="preserve"> (150 x 3 000 dollars</w:t>
            </w:r>
            <w:r w:rsidR="00335AE4" w:rsidRPr="00F77964">
              <w:rPr>
                <w:rFonts w:eastAsia="SimSun"/>
                <w:sz w:val="18"/>
                <w:szCs w:val="18"/>
                <w:lang w:eastAsia="zh-CN"/>
              </w:rPr>
              <w:t>)</w:t>
            </w:r>
          </w:p>
        </w:tc>
        <w:tc>
          <w:tcPr>
            <w:tcW w:w="1016" w:type="dxa"/>
            <w:tcBorders>
              <w:top w:val="single" w:sz="4" w:space="0" w:color="auto"/>
              <w:left w:val="single" w:sz="4" w:space="0" w:color="auto"/>
              <w:bottom w:val="single" w:sz="4" w:space="0" w:color="auto"/>
              <w:right w:val="single" w:sz="4" w:space="0" w:color="auto"/>
            </w:tcBorders>
            <w:hideMark/>
          </w:tcPr>
          <w:p w:rsidR="00D66005" w:rsidRPr="00F77964" w:rsidRDefault="00D66005" w:rsidP="00CC6C10">
            <w:pPr>
              <w:pStyle w:val="Normal-pool"/>
              <w:spacing w:before="40" w:after="40"/>
              <w:rPr>
                <w:rFonts w:eastAsia="SimSun"/>
                <w:sz w:val="18"/>
                <w:szCs w:val="18"/>
                <w:lang w:eastAsia="zh-CN"/>
              </w:rPr>
            </w:pPr>
            <w:r w:rsidRPr="00F77964">
              <w:rPr>
                <w:rFonts w:eastAsia="SimSun"/>
                <w:sz w:val="18"/>
                <w:szCs w:val="18"/>
                <w:lang w:eastAsia="zh-CN"/>
              </w:rPr>
              <w:t>450</w:t>
            </w:r>
            <w:r w:rsidR="003264B7" w:rsidRPr="00F77964">
              <w:rPr>
                <w:rFonts w:eastAsia="SimSun"/>
                <w:sz w:val="18"/>
                <w:szCs w:val="18"/>
                <w:lang w:eastAsia="zh-CN"/>
              </w:rPr>
              <w:t> </w:t>
            </w:r>
            <w:r w:rsidRPr="00F77964">
              <w:rPr>
                <w:rFonts w:eastAsia="SimSun"/>
                <w:sz w:val="18"/>
                <w:szCs w:val="18"/>
                <w:lang w:eastAsia="zh-CN"/>
              </w:rPr>
              <w:t>000</w:t>
            </w:r>
          </w:p>
        </w:tc>
      </w:tr>
      <w:tr w:rsidR="00335AE4" w:rsidRPr="0061490E" w:rsidTr="00CC6C10">
        <w:trPr>
          <w:trHeight w:val="361"/>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CC6C10">
            <w:pPr>
              <w:rPr>
                <w:rFonts w:eastAsia="SimSun"/>
                <w:sz w:val="18"/>
                <w:szCs w:val="18"/>
                <w:lang w:eastAsia="zh-CN"/>
              </w:rPr>
            </w:pPr>
          </w:p>
        </w:tc>
        <w:tc>
          <w:tcPr>
            <w:tcW w:w="3433" w:type="dxa"/>
            <w:tcBorders>
              <w:top w:val="single" w:sz="4" w:space="0" w:color="auto"/>
              <w:left w:val="single" w:sz="4" w:space="0" w:color="auto"/>
              <w:bottom w:val="single" w:sz="4" w:space="0" w:color="auto"/>
              <w:right w:val="single" w:sz="4" w:space="0" w:color="auto"/>
            </w:tcBorders>
            <w:hideMark/>
          </w:tcPr>
          <w:p w:rsidR="00D66005" w:rsidRPr="00F77964" w:rsidRDefault="00335AE4" w:rsidP="00CC6C10">
            <w:pPr>
              <w:pStyle w:val="Normal-pool"/>
              <w:spacing w:before="40" w:after="40"/>
              <w:rPr>
                <w:rFonts w:eastAsia="SimSun"/>
                <w:sz w:val="18"/>
                <w:szCs w:val="18"/>
                <w:lang w:eastAsia="zh-CN"/>
              </w:rPr>
            </w:pPr>
            <w:r w:rsidRPr="00F77964">
              <w:rPr>
                <w:rFonts w:eastAsia="SimSun"/>
                <w:sz w:val="18"/>
                <w:szCs w:val="18"/>
                <w:lang w:eastAsia="zh-CN"/>
              </w:rPr>
              <w:t>Appui technique</w:t>
            </w:r>
          </w:p>
        </w:tc>
        <w:tc>
          <w:tcPr>
            <w:tcW w:w="366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CC6C10">
            <w:pPr>
              <w:pStyle w:val="Normal-pool"/>
              <w:spacing w:before="40" w:after="40"/>
              <w:rPr>
                <w:rFonts w:eastAsia="SimSun"/>
                <w:sz w:val="18"/>
                <w:szCs w:val="18"/>
                <w:lang w:eastAsia="zh-CN"/>
              </w:rPr>
            </w:pPr>
            <w:r w:rsidRPr="00F77964">
              <w:rPr>
                <w:rFonts w:eastAsia="SimSun"/>
                <w:sz w:val="18"/>
                <w:szCs w:val="18"/>
                <w:lang w:eastAsia="zh-CN"/>
              </w:rPr>
              <w:t>3</w:t>
            </w:r>
            <w:r w:rsidR="00335AE4" w:rsidRPr="00F77964">
              <w:rPr>
                <w:rFonts w:eastAsia="SimSun"/>
                <w:sz w:val="18"/>
                <w:szCs w:val="18"/>
                <w:lang w:eastAsia="zh-CN"/>
              </w:rPr>
              <w:t> postes d’administrateur équivalent plein temps</w:t>
            </w:r>
            <w:r w:rsidRPr="00F77964">
              <w:rPr>
                <w:rFonts w:eastAsia="SimSun"/>
                <w:sz w:val="18"/>
                <w:szCs w:val="18"/>
                <w:lang w:eastAsia="zh-CN"/>
              </w:rPr>
              <w:t xml:space="preserve"> (50 </w:t>
            </w:r>
            <w:r w:rsidR="00335AE4" w:rsidRPr="00F77964">
              <w:rPr>
                <w:rFonts w:eastAsia="SimSun"/>
                <w:sz w:val="18"/>
                <w:szCs w:val="18"/>
                <w:lang w:eastAsia="zh-CN"/>
              </w:rPr>
              <w:t>% en nature</w:t>
            </w:r>
            <w:r w:rsidRPr="00F77964">
              <w:rPr>
                <w:rFonts w:eastAsia="SimSun"/>
                <w:sz w:val="18"/>
                <w:szCs w:val="18"/>
                <w:lang w:eastAsia="zh-CN"/>
              </w:rPr>
              <w:t>)</w:t>
            </w:r>
          </w:p>
        </w:tc>
        <w:tc>
          <w:tcPr>
            <w:tcW w:w="1016" w:type="dxa"/>
            <w:tcBorders>
              <w:top w:val="single" w:sz="4" w:space="0" w:color="auto"/>
              <w:left w:val="single" w:sz="4" w:space="0" w:color="auto"/>
              <w:bottom w:val="single" w:sz="4" w:space="0" w:color="auto"/>
              <w:right w:val="single" w:sz="4" w:space="0" w:color="auto"/>
            </w:tcBorders>
            <w:hideMark/>
          </w:tcPr>
          <w:p w:rsidR="00D66005" w:rsidRPr="00F77964" w:rsidRDefault="00D66005" w:rsidP="00CC6C10">
            <w:pPr>
              <w:pStyle w:val="Normal-pool"/>
              <w:spacing w:before="40" w:after="40"/>
              <w:rPr>
                <w:rFonts w:eastAsia="SimSun"/>
                <w:sz w:val="18"/>
                <w:szCs w:val="18"/>
                <w:lang w:eastAsia="zh-CN"/>
              </w:rPr>
            </w:pPr>
            <w:r w:rsidRPr="00F77964">
              <w:rPr>
                <w:rFonts w:eastAsia="SimSun"/>
                <w:sz w:val="18"/>
                <w:szCs w:val="18"/>
                <w:lang w:eastAsia="zh-CN"/>
              </w:rPr>
              <w:t>225</w:t>
            </w:r>
            <w:r w:rsidR="003264B7" w:rsidRPr="00F77964">
              <w:rPr>
                <w:rFonts w:eastAsia="SimSun"/>
                <w:sz w:val="18"/>
                <w:szCs w:val="18"/>
                <w:lang w:eastAsia="zh-CN"/>
              </w:rPr>
              <w:t> </w:t>
            </w:r>
            <w:r w:rsidRPr="00F77964">
              <w:rPr>
                <w:rFonts w:eastAsia="SimSun"/>
                <w:sz w:val="18"/>
                <w:szCs w:val="18"/>
                <w:lang w:eastAsia="zh-CN"/>
              </w:rPr>
              <w:t>000</w:t>
            </w:r>
          </w:p>
        </w:tc>
      </w:tr>
      <w:tr w:rsidR="00335AE4" w:rsidRPr="0061490E" w:rsidTr="00CC6C10">
        <w:tc>
          <w:tcPr>
            <w:tcW w:w="672"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CC6C10">
            <w:pPr>
              <w:pStyle w:val="Normal-pool"/>
              <w:spacing w:before="40" w:after="40"/>
              <w:rPr>
                <w:rFonts w:eastAsia="SimSun"/>
                <w:sz w:val="18"/>
                <w:szCs w:val="18"/>
                <w:lang w:eastAsia="zh-CN"/>
              </w:rPr>
            </w:pPr>
            <w:r w:rsidRPr="00F77964">
              <w:rPr>
                <w:rFonts w:eastAsia="SimSun"/>
                <w:sz w:val="18"/>
                <w:szCs w:val="18"/>
                <w:lang w:eastAsia="zh-CN"/>
              </w:rPr>
              <w:t>2018</w:t>
            </w:r>
          </w:p>
        </w:tc>
        <w:tc>
          <w:tcPr>
            <w:tcW w:w="3433"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335AE4" w:rsidP="00CC6C10">
            <w:pPr>
              <w:pStyle w:val="Normal-pool"/>
              <w:spacing w:before="40" w:after="40"/>
              <w:rPr>
                <w:rFonts w:eastAsia="SimSun"/>
                <w:sz w:val="18"/>
                <w:szCs w:val="18"/>
                <w:lang w:eastAsia="zh-CN"/>
              </w:rPr>
            </w:pPr>
            <w:r w:rsidRPr="00F77964">
              <w:rPr>
                <w:rFonts w:eastAsia="SimSun"/>
                <w:sz w:val="18"/>
                <w:szCs w:val="18"/>
                <w:lang w:eastAsia="zh-CN"/>
              </w:rPr>
              <w:t>Troisième réunion des auteurs</w:t>
            </w:r>
            <w:r w:rsidR="00D66005" w:rsidRPr="00F77964">
              <w:rPr>
                <w:rFonts w:eastAsia="SimSun"/>
                <w:sz w:val="18"/>
                <w:szCs w:val="18"/>
                <w:lang w:eastAsia="zh-CN"/>
              </w:rPr>
              <w:t xml:space="preserve"> (200</w:t>
            </w:r>
            <w:r w:rsidRPr="00F77964">
              <w:rPr>
                <w:rFonts w:eastAsia="SimSun"/>
                <w:sz w:val="18"/>
                <w:szCs w:val="18"/>
                <w:lang w:eastAsia="zh-CN"/>
              </w:rPr>
              <w:t> </w:t>
            </w:r>
            <w:r w:rsidR="006E337B">
              <w:rPr>
                <w:rFonts w:eastAsia="SimSun"/>
                <w:sz w:val="18"/>
                <w:szCs w:val="18"/>
                <w:lang w:eastAsia="zh-CN"/>
              </w:rPr>
              <w:t>coprésidents</w:t>
            </w:r>
            <w:r w:rsidRPr="00F77964">
              <w:rPr>
                <w:rFonts w:eastAsia="SimSun"/>
                <w:sz w:val="18"/>
                <w:szCs w:val="18"/>
                <w:lang w:eastAsia="zh-CN"/>
              </w:rPr>
              <w:t>, auteures coordonnateurs principaux et auteurs principaux</w:t>
            </w:r>
            <w:r w:rsidR="00D66005" w:rsidRPr="00F77964">
              <w:rPr>
                <w:rFonts w:eastAsia="SimSun"/>
                <w:sz w:val="18"/>
                <w:szCs w:val="18"/>
                <w:lang w:eastAsia="zh-CN"/>
              </w:rPr>
              <w:t>)</w:t>
            </w:r>
          </w:p>
        </w:tc>
        <w:tc>
          <w:tcPr>
            <w:tcW w:w="3662" w:type="dxa"/>
            <w:tcBorders>
              <w:top w:val="single" w:sz="4" w:space="0" w:color="auto"/>
              <w:left w:val="single" w:sz="4" w:space="0" w:color="auto"/>
              <w:bottom w:val="single" w:sz="4" w:space="0" w:color="auto"/>
              <w:right w:val="single" w:sz="4" w:space="0" w:color="auto"/>
            </w:tcBorders>
            <w:hideMark/>
          </w:tcPr>
          <w:p w:rsidR="00D66005" w:rsidRPr="00F77964" w:rsidRDefault="00335AE4" w:rsidP="00CC6C10">
            <w:pPr>
              <w:pStyle w:val="Normal-pool"/>
              <w:spacing w:before="40" w:after="40"/>
              <w:rPr>
                <w:rFonts w:eastAsia="SimSun"/>
                <w:sz w:val="18"/>
                <w:szCs w:val="18"/>
                <w:lang w:eastAsia="zh-CN"/>
              </w:rPr>
            </w:pPr>
            <w:r w:rsidRPr="00F77964">
              <w:rPr>
                <w:rFonts w:eastAsia="SimSun"/>
                <w:sz w:val="18"/>
                <w:szCs w:val="18"/>
                <w:lang w:eastAsia="zh-CN"/>
              </w:rPr>
              <w:t>Coûts de la réunion (1 semaine, 200 participants) (25 % en nature)</w:t>
            </w:r>
          </w:p>
        </w:tc>
        <w:tc>
          <w:tcPr>
            <w:tcW w:w="1016" w:type="dxa"/>
            <w:tcBorders>
              <w:top w:val="single" w:sz="4" w:space="0" w:color="auto"/>
              <w:left w:val="single" w:sz="4" w:space="0" w:color="auto"/>
              <w:bottom w:val="single" w:sz="4" w:space="0" w:color="auto"/>
              <w:right w:val="single" w:sz="4" w:space="0" w:color="auto"/>
            </w:tcBorders>
            <w:hideMark/>
          </w:tcPr>
          <w:p w:rsidR="00D66005" w:rsidRPr="00F77964" w:rsidRDefault="00D66005" w:rsidP="00CC6C10">
            <w:pPr>
              <w:pStyle w:val="Normal-pool"/>
              <w:spacing w:before="40" w:after="40"/>
              <w:rPr>
                <w:rFonts w:eastAsia="SimSun"/>
                <w:sz w:val="18"/>
                <w:szCs w:val="18"/>
                <w:lang w:eastAsia="zh-CN"/>
              </w:rPr>
            </w:pPr>
            <w:r w:rsidRPr="00F77964">
              <w:rPr>
                <w:rFonts w:eastAsia="SimSun"/>
                <w:sz w:val="18"/>
                <w:szCs w:val="18"/>
                <w:lang w:eastAsia="zh-CN"/>
              </w:rPr>
              <w:t>37</w:t>
            </w:r>
            <w:r w:rsidR="003264B7" w:rsidRPr="00F77964">
              <w:rPr>
                <w:rFonts w:eastAsia="SimSun"/>
                <w:sz w:val="18"/>
                <w:szCs w:val="18"/>
                <w:lang w:eastAsia="zh-CN"/>
              </w:rPr>
              <w:t> </w:t>
            </w:r>
            <w:r w:rsidRPr="00F77964">
              <w:rPr>
                <w:rFonts w:eastAsia="SimSun"/>
                <w:sz w:val="18"/>
                <w:szCs w:val="18"/>
                <w:lang w:eastAsia="zh-CN"/>
              </w:rPr>
              <w:t>500</w:t>
            </w:r>
          </w:p>
        </w:tc>
      </w:tr>
      <w:tr w:rsidR="00335AE4" w:rsidRPr="0061490E" w:rsidTr="00CC6C10">
        <w:trPr>
          <w:trHeight w:val="339"/>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CC6C10">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CC6C10">
            <w:pPr>
              <w:rPr>
                <w:rFonts w:eastAsia="SimSun"/>
                <w:sz w:val="18"/>
                <w:szCs w:val="18"/>
                <w:lang w:eastAsia="zh-CN"/>
              </w:rPr>
            </w:pPr>
          </w:p>
        </w:tc>
        <w:tc>
          <w:tcPr>
            <w:tcW w:w="3662" w:type="dxa"/>
            <w:tcBorders>
              <w:top w:val="single" w:sz="4" w:space="0" w:color="auto"/>
              <w:left w:val="single" w:sz="4" w:space="0" w:color="auto"/>
              <w:bottom w:val="single" w:sz="4" w:space="0" w:color="auto"/>
              <w:right w:val="single" w:sz="4" w:space="0" w:color="auto"/>
            </w:tcBorders>
            <w:hideMark/>
          </w:tcPr>
          <w:p w:rsidR="00D66005" w:rsidRPr="00F77964" w:rsidRDefault="00D972E8" w:rsidP="00CC6C10">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00335AE4" w:rsidRPr="00F77964">
              <w:rPr>
                <w:rFonts w:eastAsia="SimSun"/>
                <w:sz w:val="18"/>
                <w:szCs w:val="18"/>
                <w:lang w:eastAsia="zh-CN"/>
              </w:rPr>
              <w:t xml:space="preserve"> (150 x 3 000 </w:t>
            </w:r>
            <w:r w:rsidR="003264B7" w:rsidRPr="00F77964">
              <w:rPr>
                <w:rFonts w:eastAsia="SimSun"/>
                <w:sz w:val="18"/>
                <w:szCs w:val="18"/>
                <w:lang w:eastAsia="zh-CN"/>
              </w:rPr>
              <w:t>dollars)</w:t>
            </w:r>
          </w:p>
        </w:tc>
        <w:tc>
          <w:tcPr>
            <w:tcW w:w="1016" w:type="dxa"/>
            <w:tcBorders>
              <w:top w:val="single" w:sz="4" w:space="0" w:color="auto"/>
              <w:left w:val="single" w:sz="4" w:space="0" w:color="auto"/>
              <w:bottom w:val="single" w:sz="4" w:space="0" w:color="auto"/>
              <w:right w:val="single" w:sz="4" w:space="0" w:color="auto"/>
            </w:tcBorders>
            <w:hideMark/>
          </w:tcPr>
          <w:p w:rsidR="00D66005" w:rsidRPr="00F77964" w:rsidRDefault="00D66005" w:rsidP="00CC6C10">
            <w:pPr>
              <w:pStyle w:val="Normal-pool"/>
              <w:spacing w:before="40" w:after="40"/>
              <w:rPr>
                <w:rFonts w:eastAsia="SimSun"/>
                <w:sz w:val="18"/>
                <w:szCs w:val="18"/>
                <w:lang w:eastAsia="zh-CN"/>
              </w:rPr>
            </w:pPr>
            <w:r w:rsidRPr="00F77964">
              <w:rPr>
                <w:rFonts w:eastAsia="SimSun"/>
                <w:sz w:val="18"/>
                <w:szCs w:val="18"/>
                <w:lang w:eastAsia="zh-CN"/>
              </w:rPr>
              <w:t>450</w:t>
            </w:r>
            <w:r w:rsidR="003264B7" w:rsidRPr="00F77964">
              <w:rPr>
                <w:rFonts w:eastAsia="SimSun"/>
                <w:sz w:val="18"/>
                <w:szCs w:val="18"/>
                <w:lang w:eastAsia="zh-CN"/>
              </w:rPr>
              <w:t> </w:t>
            </w:r>
            <w:r w:rsidRPr="00F77964">
              <w:rPr>
                <w:rFonts w:eastAsia="SimSun"/>
                <w:sz w:val="18"/>
                <w:szCs w:val="18"/>
                <w:lang w:eastAsia="zh-CN"/>
              </w:rPr>
              <w:t>000</w:t>
            </w:r>
          </w:p>
        </w:tc>
      </w:tr>
      <w:tr w:rsidR="00335AE4" w:rsidRPr="0061490E" w:rsidTr="00CC6C10">
        <w:trPr>
          <w:trHeight w:val="361"/>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CC6C10">
            <w:pPr>
              <w:rPr>
                <w:rFonts w:eastAsia="SimSun"/>
                <w:sz w:val="18"/>
                <w:szCs w:val="18"/>
                <w:lang w:eastAsia="zh-CN"/>
              </w:rPr>
            </w:pPr>
          </w:p>
        </w:tc>
        <w:tc>
          <w:tcPr>
            <w:tcW w:w="3433" w:type="dxa"/>
            <w:tcBorders>
              <w:top w:val="single" w:sz="4" w:space="0" w:color="auto"/>
              <w:left w:val="single" w:sz="4" w:space="0" w:color="auto"/>
              <w:bottom w:val="single" w:sz="4" w:space="0" w:color="auto"/>
              <w:right w:val="single" w:sz="4" w:space="0" w:color="auto"/>
            </w:tcBorders>
            <w:hideMark/>
          </w:tcPr>
          <w:p w:rsidR="00D66005" w:rsidRPr="00F77964" w:rsidRDefault="00335AE4" w:rsidP="00CC6C10">
            <w:pPr>
              <w:pStyle w:val="Normal-pool"/>
              <w:spacing w:before="40" w:after="40"/>
              <w:rPr>
                <w:rFonts w:eastAsia="SimSun"/>
                <w:sz w:val="18"/>
                <w:szCs w:val="18"/>
                <w:lang w:eastAsia="zh-CN"/>
              </w:rPr>
            </w:pPr>
            <w:r w:rsidRPr="00F77964">
              <w:rPr>
                <w:rFonts w:eastAsia="SimSun"/>
                <w:sz w:val="18"/>
                <w:szCs w:val="18"/>
                <w:lang w:eastAsia="zh-CN"/>
              </w:rPr>
              <w:t>Appui technique</w:t>
            </w:r>
          </w:p>
        </w:tc>
        <w:tc>
          <w:tcPr>
            <w:tcW w:w="3662" w:type="dxa"/>
            <w:tcBorders>
              <w:top w:val="single" w:sz="4" w:space="0" w:color="auto"/>
              <w:left w:val="single" w:sz="4" w:space="0" w:color="auto"/>
              <w:bottom w:val="single" w:sz="4" w:space="0" w:color="auto"/>
              <w:right w:val="single" w:sz="4" w:space="0" w:color="auto"/>
            </w:tcBorders>
            <w:hideMark/>
          </w:tcPr>
          <w:p w:rsidR="00D66005" w:rsidRPr="00F77964" w:rsidRDefault="00335AE4" w:rsidP="00CC6C10">
            <w:pPr>
              <w:pStyle w:val="Normal-pool"/>
              <w:spacing w:before="40" w:after="40"/>
              <w:rPr>
                <w:rFonts w:eastAsia="SimSun"/>
                <w:sz w:val="18"/>
                <w:szCs w:val="18"/>
                <w:lang w:eastAsia="zh-CN"/>
              </w:rPr>
            </w:pPr>
            <w:r w:rsidRPr="00F77964">
              <w:rPr>
                <w:rFonts w:eastAsia="SimSun"/>
                <w:sz w:val="18"/>
                <w:szCs w:val="18"/>
                <w:lang w:eastAsia="zh-CN"/>
              </w:rPr>
              <w:t>3 postes d’administrateur équivalent plein temps (50 % en nature)</w:t>
            </w:r>
          </w:p>
        </w:tc>
        <w:tc>
          <w:tcPr>
            <w:tcW w:w="1016" w:type="dxa"/>
            <w:tcBorders>
              <w:top w:val="single" w:sz="4" w:space="0" w:color="auto"/>
              <w:left w:val="single" w:sz="4" w:space="0" w:color="auto"/>
              <w:bottom w:val="single" w:sz="4" w:space="0" w:color="auto"/>
              <w:right w:val="single" w:sz="4" w:space="0" w:color="auto"/>
            </w:tcBorders>
            <w:hideMark/>
          </w:tcPr>
          <w:p w:rsidR="00D66005" w:rsidRPr="00F77964" w:rsidRDefault="00D66005" w:rsidP="00CC6C10">
            <w:pPr>
              <w:pStyle w:val="Normal-pool"/>
              <w:spacing w:before="40" w:after="40"/>
              <w:rPr>
                <w:rFonts w:eastAsia="SimSun"/>
                <w:sz w:val="18"/>
                <w:szCs w:val="18"/>
                <w:lang w:eastAsia="zh-CN"/>
              </w:rPr>
            </w:pPr>
            <w:r w:rsidRPr="00F77964">
              <w:rPr>
                <w:rFonts w:eastAsia="SimSun"/>
                <w:sz w:val="18"/>
                <w:szCs w:val="18"/>
                <w:lang w:eastAsia="zh-CN"/>
              </w:rPr>
              <w:t>225</w:t>
            </w:r>
            <w:r w:rsidR="003264B7" w:rsidRPr="00F77964">
              <w:rPr>
                <w:rFonts w:eastAsia="SimSun"/>
                <w:sz w:val="18"/>
                <w:szCs w:val="18"/>
                <w:lang w:eastAsia="zh-CN"/>
              </w:rPr>
              <w:t> </w:t>
            </w:r>
            <w:r w:rsidRPr="00F77964">
              <w:rPr>
                <w:rFonts w:eastAsia="SimSun"/>
                <w:sz w:val="18"/>
                <w:szCs w:val="18"/>
                <w:lang w:eastAsia="zh-CN"/>
              </w:rPr>
              <w:t>000</w:t>
            </w:r>
          </w:p>
        </w:tc>
      </w:tr>
      <w:tr w:rsidR="00335AE4" w:rsidRPr="0061490E" w:rsidTr="00CC6C10">
        <w:trPr>
          <w:trHeight w:val="357"/>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CC6C10">
            <w:pPr>
              <w:rPr>
                <w:rFonts w:eastAsia="SimSun"/>
                <w:sz w:val="18"/>
                <w:szCs w:val="18"/>
                <w:lang w:eastAsia="zh-CN"/>
              </w:rPr>
            </w:pPr>
          </w:p>
        </w:tc>
        <w:tc>
          <w:tcPr>
            <w:tcW w:w="3433" w:type="dxa"/>
            <w:tcBorders>
              <w:top w:val="single" w:sz="4" w:space="0" w:color="auto"/>
              <w:left w:val="single" w:sz="4" w:space="0" w:color="auto"/>
              <w:bottom w:val="single" w:sz="4" w:space="0" w:color="auto"/>
              <w:right w:val="single" w:sz="4" w:space="0" w:color="auto"/>
            </w:tcBorders>
            <w:hideMark/>
          </w:tcPr>
          <w:p w:rsidR="00D66005" w:rsidRPr="00F77964" w:rsidRDefault="00335AE4" w:rsidP="00CC6C10">
            <w:pPr>
              <w:pStyle w:val="Normal-pool"/>
              <w:spacing w:before="40" w:after="40"/>
              <w:rPr>
                <w:rFonts w:eastAsia="SimSun"/>
                <w:sz w:val="18"/>
                <w:szCs w:val="18"/>
                <w:lang w:eastAsia="zh-CN"/>
              </w:rPr>
            </w:pPr>
            <w:r w:rsidRPr="00F77964">
              <w:rPr>
                <w:rFonts w:eastAsia="SimSun"/>
                <w:sz w:val="18"/>
                <w:szCs w:val="18"/>
                <w:lang w:eastAsia="zh-CN"/>
              </w:rPr>
              <w:t xml:space="preserve">Participation des </w:t>
            </w:r>
            <w:r w:rsidR="006E337B">
              <w:rPr>
                <w:rFonts w:eastAsia="SimSun"/>
                <w:sz w:val="18"/>
                <w:szCs w:val="18"/>
                <w:lang w:eastAsia="zh-CN"/>
              </w:rPr>
              <w:t>coprésidents</w:t>
            </w:r>
            <w:r w:rsidRPr="00F77964">
              <w:rPr>
                <w:rFonts w:eastAsia="SimSun"/>
                <w:sz w:val="18"/>
                <w:szCs w:val="18"/>
                <w:lang w:eastAsia="zh-CN"/>
              </w:rPr>
              <w:t xml:space="preserve"> à la sixième </w:t>
            </w:r>
            <w:r w:rsidR="00F77964" w:rsidRPr="00F77964">
              <w:rPr>
                <w:rFonts w:eastAsia="SimSun"/>
                <w:sz w:val="18"/>
                <w:szCs w:val="18"/>
                <w:lang w:eastAsia="zh-CN"/>
              </w:rPr>
              <w:t>session</w:t>
            </w:r>
            <w:r w:rsidRPr="00F77964">
              <w:rPr>
                <w:rFonts w:eastAsia="SimSun"/>
                <w:sz w:val="18"/>
                <w:szCs w:val="18"/>
                <w:lang w:eastAsia="zh-CN"/>
              </w:rPr>
              <w:t xml:space="preserve"> de la Plénière</w:t>
            </w:r>
          </w:p>
        </w:tc>
        <w:tc>
          <w:tcPr>
            <w:tcW w:w="3662" w:type="dxa"/>
            <w:tcBorders>
              <w:top w:val="single" w:sz="4" w:space="0" w:color="auto"/>
              <w:left w:val="single" w:sz="4" w:space="0" w:color="auto"/>
              <w:bottom w:val="single" w:sz="4" w:space="0" w:color="auto"/>
              <w:right w:val="single" w:sz="4" w:space="0" w:color="auto"/>
            </w:tcBorders>
            <w:hideMark/>
          </w:tcPr>
          <w:p w:rsidR="00D66005" w:rsidRPr="00F77964" w:rsidRDefault="00D972E8" w:rsidP="00CC6C10">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00335AE4" w:rsidRPr="00F77964">
              <w:rPr>
                <w:rFonts w:eastAsia="SimSun"/>
                <w:sz w:val="18"/>
                <w:szCs w:val="18"/>
                <w:lang w:eastAsia="zh-CN"/>
              </w:rPr>
              <w:t xml:space="preserve"> (150 x 3 000 </w:t>
            </w:r>
            <w:r w:rsidR="003264B7" w:rsidRPr="00F77964">
              <w:rPr>
                <w:rFonts w:eastAsia="SimSun"/>
                <w:sz w:val="18"/>
                <w:szCs w:val="18"/>
                <w:lang w:eastAsia="zh-CN"/>
              </w:rPr>
              <w:t>dollars</w:t>
            </w:r>
            <w:r w:rsidR="00335AE4" w:rsidRPr="00F77964">
              <w:rPr>
                <w:rFonts w:eastAsia="SimSun"/>
                <w:sz w:val="18"/>
                <w:szCs w:val="18"/>
                <w:lang w:eastAsia="zh-CN"/>
              </w:rPr>
              <w:t>)</w:t>
            </w:r>
          </w:p>
        </w:tc>
        <w:tc>
          <w:tcPr>
            <w:tcW w:w="1016" w:type="dxa"/>
            <w:tcBorders>
              <w:top w:val="single" w:sz="4" w:space="0" w:color="auto"/>
              <w:left w:val="single" w:sz="4" w:space="0" w:color="auto"/>
              <w:bottom w:val="single" w:sz="4" w:space="0" w:color="auto"/>
              <w:right w:val="single" w:sz="4" w:space="0" w:color="auto"/>
            </w:tcBorders>
            <w:hideMark/>
          </w:tcPr>
          <w:p w:rsidR="00D66005" w:rsidRPr="00F77964" w:rsidRDefault="00D66005" w:rsidP="00CC6C10">
            <w:pPr>
              <w:pStyle w:val="Normal-pool"/>
              <w:spacing w:before="40" w:after="40"/>
              <w:rPr>
                <w:rFonts w:eastAsia="SimSun"/>
                <w:sz w:val="18"/>
                <w:szCs w:val="18"/>
                <w:lang w:eastAsia="zh-CN"/>
              </w:rPr>
            </w:pPr>
            <w:r w:rsidRPr="00F77964">
              <w:rPr>
                <w:rFonts w:eastAsia="SimSun"/>
                <w:sz w:val="18"/>
                <w:szCs w:val="18"/>
                <w:lang w:eastAsia="zh-CN"/>
              </w:rPr>
              <w:t>45</w:t>
            </w:r>
            <w:r w:rsidR="003264B7" w:rsidRPr="00F77964">
              <w:rPr>
                <w:rFonts w:eastAsia="SimSun"/>
                <w:sz w:val="18"/>
                <w:szCs w:val="18"/>
                <w:lang w:eastAsia="zh-CN"/>
              </w:rPr>
              <w:t> </w:t>
            </w:r>
            <w:r w:rsidRPr="00F77964">
              <w:rPr>
                <w:rFonts w:eastAsia="SimSun"/>
                <w:sz w:val="18"/>
                <w:szCs w:val="18"/>
                <w:lang w:eastAsia="zh-CN"/>
              </w:rPr>
              <w:t>000</w:t>
            </w:r>
          </w:p>
        </w:tc>
      </w:tr>
      <w:tr w:rsidR="00335AE4" w:rsidRPr="0061490E" w:rsidTr="00CC6C10">
        <w:trPr>
          <w:trHeight w:val="560"/>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CC6C10">
            <w:pPr>
              <w:rPr>
                <w:rFonts w:eastAsia="SimSun"/>
                <w:sz w:val="18"/>
                <w:szCs w:val="18"/>
                <w:lang w:eastAsia="zh-CN"/>
              </w:rPr>
            </w:pPr>
          </w:p>
        </w:tc>
        <w:tc>
          <w:tcPr>
            <w:tcW w:w="3433" w:type="dxa"/>
            <w:tcBorders>
              <w:top w:val="single" w:sz="4" w:space="0" w:color="auto"/>
              <w:left w:val="single" w:sz="4" w:space="0" w:color="auto"/>
              <w:bottom w:val="single" w:sz="4" w:space="0" w:color="auto"/>
              <w:right w:val="single" w:sz="4" w:space="0" w:color="auto"/>
            </w:tcBorders>
            <w:hideMark/>
          </w:tcPr>
          <w:p w:rsidR="00D66005" w:rsidRPr="00F77964" w:rsidRDefault="00335AE4" w:rsidP="00CC6C10">
            <w:pPr>
              <w:pStyle w:val="Normal-pool"/>
              <w:spacing w:before="40" w:after="40"/>
              <w:rPr>
                <w:rFonts w:eastAsia="SimSun"/>
                <w:sz w:val="18"/>
                <w:szCs w:val="18"/>
                <w:lang w:eastAsia="zh-CN"/>
              </w:rPr>
            </w:pPr>
            <w:r w:rsidRPr="00F77964">
              <w:rPr>
                <w:rFonts w:eastAsia="SimSun"/>
                <w:sz w:val="18"/>
                <w:szCs w:val="18"/>
                <w:lang w:eastAsia="zh-CN"/>
              </w:rPr>
              <w:t xml:space="preserve">Diffusion </w:t>
            </w:r>
            <w:r w:rsidR="00D66005" w:rsidRPr="00F77964">
              <w:rPr>
                <w:rFonts w:eastAsia="SimSun"/>
                <w:sz w:val="18"/>
                <w:szCs w:val="18"/>
                <w:lang w:eastAsia="zh-CN"/>
              </w:rPr>
              <w:t>(</w:t>
            </w:r>
            <w:r w:rsidRPr="00F77964">
              <w:rPr>
                <w:rFonts w:eastAsia="SimSun"/>
                <w:sz w:val="18"/>
                <w:szCs w:val="18"/>
                <w:lang w:eastAsia="zh-CN"/>
              </w:rPr>
              <w:t>résumé à l’intention des décideurs (</w:t>
            </w:r>
            <w:r w:rsidR="00D66005" w:rsidRPr="00F77964">
              <w:rPr>
                <w:rFonts w:eastAsia="SimSun"/>
                <w:sz w:val="18"/>
                <w:szCs w:val="18"/>
                <w:lang w:eastAsia="zh-CN"/>
              </w:rPr>
              <w:t>25</w:t>
            </w:r>
            <w:r w:rsidRPr="00F77964">
              <w:rPr>
                <w:rFonts w:eastAsia="SimSun"/>
                <w:sz w:val="18"/>
                <w:szCs w:val="18"/>
                <w:lang w:eastAsia="zh-CN"/>
              </w:rPr>
              <w:t> </w:t>
            </w:r>
            <w:r w:rsidR="00D66005" w:rsidRPr="00F77964">
              <w:rPr>
                <w:rFonts w:eastAsia="SimSun"/>
                <w:sz w:val="18"/>
                <w:szCs w:val="18"/>
                <w:lang w:eastAsia="zh-CN"/>
              </w:rPr>
              <w:t>pages)</w:t>
            </w:r>
            <w:r w:rsidRPr="00F77964">
              <w:rPr>
                <w:rFonts w:eastAsia="SimSun"/>
                <w:sz w:val="18"/>
                <w:szCs w:val="18"/>
                <w:lang w:eastAsia="zh-CN"/>
              </w:rPr>
              <w:t xml:space="preserve"> et rapport</w:t>
            </w:r>
            <w:r w:rsidR="00D66005" w:rsidRPr="00F77964">
              <w:rPr>
                <w:rFonts w:eastAsia="SimSun"/>
                <w:sz w:val="18"/>
                <w:szCs w:val="18"/>
                <w:lang w:eastAsia="zh-CN"/>
              </w:rPr>
              <w:t xml:space="preserve"> (500</w:t>
            </w:r>
            <w:r w:rsidRPr="00F77964">
              <w:rPr>
                <w:rFonts w:eastAsia="SimSun"/>
                <w:sz w:val="18"/>
                <w:szCs w:val="18"/>
                <w:lang w:eastAsia="zh-CN"/>
              </w:rPr>
              <w:t> </w:t>
            </w:r>
            <w:r w:rsidR="00D66005" w:rsidRPr="00F77964">
              <w:rPr>
                <w:rFonts w:eastAsia="SimSun"/>
                <w:sz w:val="18"/>
                <w:szCs w:val="18"/>
                <w:lang w:eastAsia="zh-CN"/>
              </w:rPr>
              <w:t>pages))</w:t>
            </w:r>
            <w:r w:rsidR="00636B40">
              <w:rPr>
                <w:rFonts w:eastAsia="SimSun"/>
                <w:sz w:val="18"/>
                <w:szCs w:val="18"/>
                <w:lang w:eastAsia="zh-CN"/>
              </w:rPr>
              <w:t xml:space="preserve"> </w:t>
            </w:r>
            <w:r w:rsidR="00636B40" w:rsidRPr="00F77964">
              <w:rPr>
                <w:rFonts w:eastAsia="SimSun"/>
                <w:sz w:val="18"/>
                <w:szCs w:val="18"/>
                <w:lang w:eastAsia="zh-CN"/>
              </w:rPr>
              <w:t>et a</w:t>
            </w:r>
            <w:r w:rsidR="00636B40">
              <w:rPr>
                <w:rFonts w:eastAsia="SimSun"/>
                <w:sz w:val="18"/>
                <w:szCs w:val="18"/>
                <w:lang w:eastAsia="zh-CN"/>
              </w:rPr>
              <w:t>nimation au niveau</w:t>
            </w:r>
            <w:r w:rsidR="00636B40" w:rsidRPr="00F77964">
              <w:rPr>
                <w:rFonts w:eastAsia="SimSun"/>
                <w:sz w:val="18"/>
                <w:szCs w:val="18"/>
                <w:lang w:eastAsia="zh-CN"/>
              </w:rPr>
              <w:t xml:space="preserve"> mondial</w:t>
            </w:r>
          </w:p>
        </w:tc>
        <w:tc>
          <w:tcPr>
            <w:tcW w:w="3662" w:type="dxa"/>
            <w:tcBorders>
              <w:top w:val="single" w:sz="4" w:space="0" w:color="auto"/>
              <w:left w:val="single" w:sz="4" w:space="0" w:color="auto"/>
              <w:bottom w:val="single" w:sz="4" w:space="0" w:color="auto"/>
              <w:right w:val="single" w:sz="4" w:space="0" w:color="auto"/>
            </w:tcBorders>
            <w:hideMark/>
          </w:tcPr>
          <w:p w:rsidR="00D66005" w:rsidRPr="00F77964" w:rsidRDefault="00335AE4" w:rsidP="00CC6C10">
            <w:pPr>
              <w:pStyle w:val="Normal-pool"/>
              <w:spacing w:before="40" w:after="40"/>
              <w:rPr>
                <w:rFonts w:eastAsia="SimSun"/>
                <w:sz w:val="18"/>
                <w:szCs w:val="18"/>
                <w:lang w:eastAsia="zh-CN"/>
              </w:rPr>
            </w:pPr>
            <w:r w:rsidRPr="00F77964">
              <w:rPr>
                <w:rFonts w:eastAsia="SimSun"/>
                <w:sz w:val="18"/>
                <w:szCs w:val="18"/>
                <w:lang w:eastAsia="zh-CN"/>
              </w:rPr>
              <w:t>Traduction</w:t>
            </w:r>
            <w:r w:rsidR="003264B7" w:rsidRPr="00F77964">
              <w:rPr>
                <w:rFonts w:eastAsia="SimSun"/>
                <w:sz w:val="18"/>
                <w:szCs w:val="18"/>
                <w:lang w:eastAsia="zh-CN"/>
              </w:rPr>
              <w:t xml:space="preserve"> des</w:t>
            </w:r>
            <w:r w:rsidRPr="00F77964">
              <w:rPr>
                <w:rFonts w:eastAsia="SimSun"/>
                <w:sz w:val="18"/>
                <w:szCs w:val="18"/>
                <w:lang w:eastAsia="zh-CN"/>
              </w:rPr>
              <w:t xml:space="preserve"> résumés à l’intention des décideurs dans toutes les langues de l’ONU, publication, </w:t>
            </w:r>
            <w:r w:rsidR="00F23269">
              <w:rPr>
                <w:rFonts w:eastAsia="SimSun"/>
                <w:sz w:val="18"/>
                <w:szCs w:val="18"/>
                <w:lang w:eastAsia="zh-CN"/>
              </w:rPr>
              <w:t>animation</w:t>
            </w:r>
          </w:p>
        </w:tc>
        <w:tc>
          <w:tcPr>
            <w:tcW w:w="1016" w:type="dxa"/>
            <w:tcBorders>
              <w:top w:val="single" w:sz="4" w:space="0" w:color="auto"/>
              <w:left w:val="single" w:sz="4" w:space="0" w:color="auto"/>
              <w:bottom w:val="single" w:sz="4" w:space="0" w:color="auto"/>
              <w:right w:val="single" w:sz="4" w:space="0" w:color="auto"/>
            </w:tcBorders>
            <w:hideMark/>
          </w:tcPr>
          <w:p w:rsidR="00D66005" w:rsidRPr="00F77964" w:rsidRDefault="00D66005" w:rsidP="00CC6C10">
            <w:pPr>
              <w:pStyle w:val="Normal-pool"/>
              <w:spacing w:before="40" w:after="40"/>
              <w:rPr>
                <w:rFonts w:eastAsia="SimSun"/>
                <w:sz w:val="18"/>
                <w:szCs w:val="18"/>
                <w:lang w:eastAsia="zh-CN"/>
              </w:rPr>
            </w:pPr>
            <w:r w:rsidRPr="00F77964">
              <w:rPr>
                <w:rFonts w:eastAsia="SimSun"/>
                <w:sz w:val="18"/>
                <w:szCs w:val="18"/>
                <w:lang w:eastAsia="zh-CN"/>
              </w:rPr>
              <w:t>675</w:t>
            </w:r>
            <w:r w:rsidR="003264B7" w:rsidRPr="00F77964">
              <w:rPr>
                <w:rFonts w:eastAsia="SimSun"/>
                <w:sz w:val="18"/>
                <w:szCs w:val="18"/>
                <w:lang w:eastAsia="zh-CN"/>
              </w:rPr>
              <w:t> </w:t>
            </w:r>
            <w:r w:rsidRPr="00F77964">
              <w:rPr>
                <w:rFonts w:eastAsia="SimSun"/>
                <w:sz w:val="18"/>
                <w:szCs w:val="18"/>
                <w:lang w:eastAsia="zh-CN"/>
              </w:rPr>
              <w:t>000</w:t>
            </w:r>
          </w:p>
        </w:tc>
      </w:tr>
      <w:tr w:rsidR="00335AE4" w:rsidRPr="0061490E" w:rsidTr="00CC6C10">
        <w:tc>
          <w:tcPr>
            <w:tcW w:w="672" w:type="dxa"/>
            <w:tcBorders>
              <w:top w:val="single" w:sz="4" w:space="0" w:color="auto"/>
              <w:left w:val="single" w:sz="4" w:space="0" w:color="auto"/>
              <w:bottom w:val="single" w:sz="4" w:space="0" w:color="auto"/>
              <w:right w:val="single" w:sz="4" w:space="0" w:color="auto"/>
            </w:tcBorders>
            <w:hideMark/>
          </w:tcPr>
          <w:p w:rsidR="00D66005" w:rsidRPr="00F77964" w:rsidRDefault="00D66005" w:rsidP="00CC6C10">
            <w:pPr>
              <w:pStyle w:val="Normal-pool"/>
              <w:spacing w:before="40" w:after="40"/>
              <w:rPr>
                <w:rFonts w:eastAsia="SimSun"/>
                <w:b/>
                <w:sz w:val="18"/>
                <w:szCs w:val="18"/>
                <w:lang w:eastAsia="zh-CN"/>
              </w:rPr>
            </w:pPr>
            <w:r w:rsidRPr="00F77964">
              <w:rPr>
                <w:rFonts w:eastAsia="SimSun"/>
                <w:b/>
                <w:sz w:val="18"/>
                <w:szCs w:val="18"/>
                <w:lang w:eastAsia="zh-CN"/>
              </w:rPr>
              <w:t>Total</w:t>
            </w:r>
          </w:p>
        </w:tc>
        <w:tc>
          <w:tcPr>
            <w:tcW w:w="3433" w:type="dxa"/>
            <w:tcBorders>
              <w:top w:val="single" w:sz="4" w:space="0" w:color="auto"/>
              <w:left w:val="single" w:sz="4" w:space="0" w:color="auto"/>
              <w:bottom w:val="single" w:sz="4" w:space="0" w:color="auto"/>
              <w:right w:val="single" w:sz="4" w:space="0" w:color="auto"/>
            </w:tcBorders>
          </w:tcPr>
          <w:p w:rsidR="00D66005" w:rsidRPr="00F77964" w:rsidRDefault="00D66005" w:rsidP="00CC6C10">
            <w:pPr>
              <w:pStyle w:val="Normal-pool"/>
              <w:spacing w:before="40" w:after="40"/>
              <w:rPr>
                <w:rFonts w:eastAsia="SimSun"/>
                <w:sz w:val="18"/>
                <w:szCs w:val="18"/>
                <w:lang w:eastAsia="zh-CN"/>
              </w:rPr>
            </w:pPr>
          </w:p>
        </w:tc>
        <w:tc>
          <w:tcPr>
            <w:tcW w:w="3662" w:type="dxa"/>
            <w:tcBorders>
              <w:top w:val="single" w:sz="4" w:space="0" w:color="auto"/>
              <w:left w:val="single" w:sz="4" w:space="0" w:color="auto"/>
              <w:bottom w:val="single" w:sz="4" w:space="0" w:color="auto"/>
              <w:right w:val="single" w:sz="4" w:space="0" w:color="auto"/>
            </w:tcBorders>
          </w:tcPr>
          <w:p w:rsidR="00D66005" w:rsidRPr="00F77964" w:rsidRDefault="00D66005" w:rsidP="00CC6C10">
            <w:pPr>
              <w:pStyle w:val="Normal-pool"/>
              <w:spacing w:before="40" w:after="40"/>
              <w:rPr>
                <w:rFonts w:eastAsia="SimSun"/>
                <w:sz w:val="18"/>
                <w:szCs w:val="18"/>
                <w:lang w:eastAsia="zh-CN"/>
              </w:rPr>
            </w:pPr>
          </w:p>
        </w:tc>
        <w:tc>
          <w:tcPr>
            <w:tcW w:w="1016" w:type="dxa"/>
            <w:tcBorders>
              <w:top w:val="single" w:sz="4" w:space="0" w:color="auto"/>
              <w:left w:val="single" w:sz="4" w:space="0" w:color="auto"/>
              <w:bottom w:val="single" w:sz="4" w:space="0" w:color="auto"/>
              <w:right w:val="single" w:sz="4" w:space="0" w:color="auto"/>
            </w:tcBorders>
            <w:hideMark/>
          </w:tcPr>
          <w:p w:rsidR="00D66005" w:rsidRPr="00F77964" w:rsidRDefault="00D66005" w:rsidP="00CC6C10">
            <w:pPr>
              <w:pStyle w:val="Normal-pool"/>
              <w:spacing w:before="40" w:after="40"/>
              <w:rPr>
                <w:rFonts w:eastAsia="SimSun"/>
                <w:b/>
                <w:sz w:val="18"/>
                <w:szCs w:val="18"/>
                <w:lang w:eastAsia="zh-CN"/>
              </w:rPr>
            </w:pPr>
            <w:r w:rsidRPr="00F77964">
              <w:rPr>
                <w:rFonts w:eastAsia="SimSun"/>
                <w:b/>
                <w:sz w:val="18"/>
                <w:szCs w:val="18"/>
                <w:lang w:eastAsia="zh-CN"/>
              </w:rPr>
              <w:t>3</w:t>
            </w:r>
            <w:r w:rsidR="003264B7" w:rsidRPr="00F77964">
              <w:rPr>
                <w:rFonts w:eastAsia="SimSun"/>
                <w:b/>
                <w:sz w:val="18"/>
                <w:szCs w:val="18"/>
                <w:lang w:eastAsia="zh-CN"/>
              </w:rPr>
              <w:t> </w:t>
            </w:r>
            <w:r w:rsidRPr="00F77964">
              <w:rPr>
                <w:rFonts w:eastAsia="SimSun"/>
                <w:b/>
                <w:sz w:val="18"/>
                <w:szCs w:val="18"/>
                <w:lang w:eastAsia="zh-CN"/>
              </w:rPr>
              <w:t>003</w:t>
            </w:r>
            <w:r w:rsidR="003264B7" w:rsidRPr="00F77964">
              <w:rPr>
                <w:rFonts w:eastAsia="SimSun"/>
                <w:b/>
                <w:sz w:val="18"/>
                <w:szCs w:val="18"/>
                <w:lang w:eastAsia="zh-CN"/>
              </w:rPr>
              <w:t> </w:t>
            </w:r>
            <w:r w:rsidRPr="00F77964">
              <w:rPr>
                <w:rFonts w:eastAsia="SimSun"/>
                <w:b/>
                <w:sz w:val="18"/>
                <w:szCs w:val="18"/>
                <w:lang w:eastAsia="zh-CN"/>
              </w:rPr>
              <w:t>750</w:t>
            </w:r>
          </w:p>
        </w:tc>
      </w:tr>
    </w:tbl>
    <w:p w:rsidR="00D66005" w:rsidRPr="00F77964" w:rsidRDefault="00D66005" w:rsidP="00D66005">
      <w:pPr>
        <w:pStyle w:val="CH3"/>
        <w:keepNext w:val="0"/>
        <w:keepLines w:val="0"/>
        <w:spacing w:before="120" w:after="0"/>
        <w:rPr>
          <w:lang w:val="fr-FR"/>
        </w:rPr>
      </w:pPr>
      <w:r w:rsidRPr="00F77964">
        <w:rPr>
          <w:sz w:val="22"/>
          <w:szCs w:val="22"/>
          <w:lang w:val="fr-FR"/>
        </w:rPr>
        <w:tab/>
      </w:r>
      <w:r w:rsidRPr="00F77964">
        <w:rPr>
          <w:sz w:val="22"/>
          <w:szCs w:val="22"/>
          <w:lang w:val="fr-FR"/>
        </w:rPr>
        <w:tab/>
      </w:r>
      <w:r w:rsidR="00335AE4" w:rsidRPr="00F77964">
        <w:rPr>
          <w:sz w:val="22"/>
          <w:szCs w:val="22"/>
          <w:lang w:val="fr-FR"/>
        </w:rPr>
        <w:t>Objectif 3</w:t>
      </w:r>
    </w:p>
    <w:p w:rsidR="00D66005" w:rsidRPr="00F77964" w:rsidRDefault="00D66005" w:rsidP="00D66005">
      <w:pPr>
        <w:pStyle w:val="CH3"/>
        <w:keepNext w:val="0"/>
        <w:keepLines w:val="0"/>
        <w:rPr>
          <w:lang w:val="fr-FR"/>
        </w:rPr>
      </w:pPr>
      <w:r w:rsidRPr="00F77964">
        <w:rPr>
          <w:lang w:val="fr-FR"/>
        </w:rPr>
        <w:tab/>
      </w:r>
      <w:r w:rsidRPr="00F77964">
        <w:rPr>
          <w:lang w:val="fr-FR"/>
        </w:rPr>
        <w:tab/>
      </w:r>
      <w:r w:rsidR="00335AE4" w:rsidRPr="00F77964">
        <w:rPr>
          <w:lang w:val="fr-FR"/>
        </w:rPr>
        <w:t xml:space="preserve">Renforcer l’interface </w:t>
      </w:r>
      <w:r w:rsidR="007900E5" w:rsidRPr="006031C5">
        <w:t>l</w:t>
      </w:r>
      <w:r w:rsidR="007900E5">
        <w:t>’</w:t>
      </w:r>
      <w:r w:rsidR="007900E5" w:rsidRPr="006031C5">
        <w:t>interface science-politique dans le domaine de la biodiversité et des services écosystémiques s</w:t>
      </w:r>
      <w:r w:rsidR="007900E5">
        <w:t>’</w:t>
      </w:r>
      <w:r w:rsidR="007900E5" w:rsidRPr="006031C5">
        <w:t>agissant des questions thématiques et méthodologiques</w:t>
      </w:r>
    </w:p>
    <w:p w:rsidR="00D66005" w:rsidRPr="00F77964" w:rsidRDefault="00D66005" w:rsidP="00D66005">
      <w:pPr>
        <w:pStyle w:val="CH3"/>
        <w:keepNext w:val="0"/>
        <w:keepLines w:val="0"/>
        <w:spacing w:before="120" w:after="0"/>
        <w:rPr>
          <w:lang w:val="fr-FR"/>
        </w:rPr>
      </w:pPr>
      <w:r w:rsidRPr="00F77964">
        <w:rPr>
          <w:lang w:val="fr-FR"/>
        </w:rPr>
        <w:tab/>
      </w:r>
      <w:r w:rsidRPr="00F77964">
        <w:rPr>
          <w:lang w:val="fr-FR"/>
        </w:rPr>
        <w:tab/>
      </w:r>
      <w:r w:rsidR="00335AE4" w:rsidRPr="00F77964">
        <w:rPr>
          <w:lang w:val="fr-FR"/>
        </w:rPr>
        <w:t>Produit </w:t>
      </w:r>
      <w:r w:rsidRPr="00F77964">
        <w:rPr>
          <w:lang w:val="fr-FR"/>
        </w:rPr>
        <w:t>3</w:t>
      </w:r>
      <w:r w:rsidR="004F59DF" w:rsidRPr="00F77964">
        <w:rPr>
          <w:lang w:val="fr-FR"/>
        </w:rPr>
        <w:t> </w:t>
      </w:r>
      <w:r w:rsidRPr="00F77964">
        <w:rPr>
          <w:lang w:val="fr-FR"/>
        </w:rPr>
        <w:t>a)</w:t>
      </w:r>
    </w:p>
    <w:p w:rsidR="00D66005" w:rsidRPr="00F77964" w:rsidRDefault="00D66005" w:rsidP="00D66005">
      <w:pPr>
        <w:pStyle w:val="CH3"/>
        <w:keepNext w:val="0"/>
        <w:keepLines w:val="0"/>
        <w:rPr>
          <w:lang w:val="fr-FR"/>
        </w:rPr>
      </w:pPr>
      <w:r w:rsidRPr="00F77964">
        <w:rPr>
          <w:lang w:val="fr-FR"/>
        </w:rPr>
        <w:tab/>
      </w:r>
      <w:r w:rsidRPr="00F77964">
        <w:rPr>
          <w:lang w:val="fr-FR"/>
        </w:rPr>
        <w:tab/>
      </w:r>
      <w:r w:rsidR="00335AE4" w:rsidRPr="00F77964">
        <w:rPr>
          <w:lang w:val="fr-FR"/>
        </w:rPr>
        <w:t xml:space="preserve">Une évaluation thématique accélérée </w:t>
      </w:r>
      <w:r w:rsidR="007900E5">
        <w:rPr>
          <w:lang w:val="fr-FR"/>
        </w:rPr>
        <w:t>de</w:t>
      </w:r>
      <w:r w:rsidR="00335AE4" w:rsidRPr="00F77964">
        <w:rPr>
          <w:lang w:val="fr-FR"/>
        </w:rPr>
        <w:t xml:space="preserve"> la poll</w:t>
      </w:r>
      <w:r w:rsidR="004F59DF" w:rsidRPr="00F77964">
        <w:rPr>
          <w:lang w:val="fr-FR"/>
        </w:rPr>
        <w:t>i</w:t>
      </w:r>
      <w:r w:rsidR="00335AE4" w:rsidRPr="00F77964">
        <w:rPr>
          <w:lang w:val="fr-FR"/>
        </w:rPr>
        <w:t xml:space="preserve">nisation et </w:t>
      </w:r>
      <w:r w:rsidR="007900E5">
        <w:rPr>
          <w:lang w:val="fr-FR"/>
        </w:rPr>
        <w:t xml:space="preserve">de </w:t>
      </w:r>
      <w:r w:rsidR="00335AE4" w:rsidRPr="00F77964">
        <w:rPr>
          <w:lang w:val="fr-FR"/>
        </w:rPr>
        <w:t>la production a</w:t>
      </w:r>
      <w:r w:rsidR="004F59DF" w:rsidRPr="00F77964">
        <w:rPr>
          <w:lang w:val="fr-FR"/>
        </w:rPr>
        <w:t>limentaire</w:t>
      </w:r>
      <w:r w:rsidRPr="00F77964">
        <w:rPr>
          <w:lang w:val="fr-FR"/>
        </w:rPr>
        <w:t xml:space="preserve"> (</w:t>
      </w:r>
      <w:r w:rsidR="00960E6C">
        <w:rPr>
          <w:i/>
          <w:lang w:val="fr-FR"/>
        </w:rPr>
        <w:t>d’ici</w:t>
      </w:r>
      <w:r w:rsidR="00335AE4" w:rsidRPr="00F77964">
        <w:rPr>
          <w:i/>
          <w:lang w:val="fr-FR"/>
        </w:rPr>
        <w:t xml:space="preserve"> à mars </w:t>
      </w:r>
      <w:r w:rsidRPr="00F77964">
        <w:rPr>
          <w:i/>
          <w:lang w:val="fr-FR"/>
        </w:rPr>
        <w:t>2015</w:t>
      </w:r>
      <w:r w:rsidRPr="00F77964">
        <w:rPr>
          <w:lang w:val="fr-FR"/>
        </w:rPr>
        <w:t>)</w:t>
      </w:r>
    </w:p>
    <w:p w:rsidR="00D66005" w:rsidRPr="00F77964" w:rsidRDefault="00D66005" w:rsidP="00D66005">
      <w:pPr>
        <w:pStyle w:val="CH3"/>
        <w:rPr>
          <w:rFonts w:eastAsia="Calibri"/>
          <w:lang w:val="fr-FR"/>
        </w:rPr>
      </w:pPr>
      <w:r w:rsidRPr="00F77964">
        <w:rPr>
          <w:rFonts w:eastAsia="Calibri"/>
          <w:lang w:val="fr-FR"/>
        </w:rPr>
        <w:tab/>
      </w:r>
      <w:r w:rsidRPr="00F77964">
        <w:rPr>
          <w:rFonts w:eastAsia="Calibri"/>
          <w:lang w:val="fr-FR"/>
        </w:rPr>
        <w:tab/>
      </w:r>
      <w:r w:rsidR="00335AE4" w:rsidRPr="00F77964">
        <w:rPr>
          <w:rFonts w:eastAsia="Calibri"/>
          <w:lang w:val="fr-FR"/>
        </w:rPr>
        <w:t>Hypothèses</w:t>
      </w:r>
      <w:r w:rsidRPr="00F77964">
        <w:rPr>
          <w:lang w:val="fr-FR"/>
        </w:rPr>
        <w:t xml:space="preserve"> </w:t>
      </w:r>
    </w:p>
    <w:p w:rsidR="00D66005" w:rsidRPr="00F77964" w:rsidRDefault="00743745" w:rsidP="00D66005">
      <w:pPr>
        <w:pStyle w:val="Normalnumber"/>
        <w:numPr>
          <w:ilvl w:val="0"/>
          <w:numId w:val="6"/>
        </w:numPr>
        <w:tabs>
          <w:tab w:val="left" w:pos="624"/>
        </w:tabs>
        <w:ind w:left="1247" w:firstLine="0"/>
        <w:rPr>
          <w:rFonts w:eastAsia="Calibri"/>
          <w:lang w:val="fr-FR"/>
        </w:rPr>
      </w:pPr>
      <w:r w:rsidRPr="00F77964">
        <w:rPr>
          <w:rFonts w:eastAsia="Calibri"/>
          <w:lang w:val="fr-FR"/>
        </w:rPr>
        <w:t>Les membres du Groupe d’experts multidisciplinaire et du Bureau supervise</w:t>
      </w:r>
      <w:r w:rsidR="003A6013" w:rsidRPr="00F77964">
        <w:rPr>
          <w:rFonts w:eastAsia="Calibri"/>
          <w:lang w:val="fr-FR"/>
        </w:rPr>
        <w:t>ront</w:t>
      </w:r>
      <w:r w:rsidRPr="00F77964">
        <w:rPr>
          <w:rFonts w:eastAsia="Calibri"/>
          <w:lang w:val="fr-FR"/>
        </w:rPr>
        <w:t xml:space="preserve"> </w:t>
      </w:r>
      <w:r w:rsidR="007900E5">
        <w:rPr>
          <w:rFonts w:eastAsia="Calibri"/>
          <w:lang w:val="fr-FR"/>
        </w:rPr>
        <w:t xml:space="preserve">la mise en place </w:t>
      </w:r>
      <w:r w:rsidRPr="00F77964">
        <w:rPr>
          <w:rFonts w:eastAsia="Calibri"/>
          <w:lang w:val="fr-FR"/>
        </w:rPr>
        <w:t xml:space="preserve">d’un </w:t>
      </w:r>
      <w:r w:rsidR="004F59DF" w:rsidRPr="00F77964">
        <w:rPr>
          <w:rFonts w:eastAsia="Calibri"/>
          <w:lang w:val="fr-FR"/>
        </w:rPr>
        <w:t>g</w:t>
      </w:r>
      <w:r w:rsidRPr="00F77964">
        <w:rPr>
          <w:rFonts w:eastAsia="Calibri"/>
          <w:lang w:val="fr-FR"/>
        </w:rPr>
        <w:t xml:space="preserve">roupe d’experts </w:t>
      </w:r>
      <w:r w:rsidR="007900E5">
        <w:rPr>
          <w:rFonts w:eastAsia="Calibri"/>
          <w:lang w:val="fr-FR"/>
        </w:rPr>
        <w:t xml:space="preserve">doté d’un </w:t>
      </w:r>
      <w:r w:rsidR="004621EA">
        <w:rPr>
          <w:rFonts w:eastAsia="Calibri"/>
          <w:lang w:val="fr-FR"/>
        </w:rPr>
        <w:t>mandat précis</w:t>
      </w:r>
      <w:r w:rsidRPr="00F77964">
        <w:rPr>
          <w:rFonts w:eastAsia="Calibri"/>
          <w:lang w:val="fr-FR"/>
        </w:rPr>
        <w:t xml:space="preserve"> </w:t>
      </w:r>
      <w:r w:rsidR="004621EA">
        <w:rPr>
          <w:rFonts w:eastAsia="Calibri"/>
          <w:lang w:val="fr-FR"/>
        </w:rPr>
        <w:t xml:space="preserve">à </w:t>
      </w:r>
      <w:r w:rsidR="00AA6C94">
        <w:rPr>
          <w:rFonts w:eastAsia="Calibri"/>
          <w:lang w:val="fr-FR"/>
        </w:rPr>
        <w:t>durée déterminée pour cette évaluation</w:t>
      </w:r>
      <w:r w:rsidR="007900E5">
        <w:rPr>
          <w:rFonts w:eastAsia="Calibri"/>
          <w:lang w:val="fr-FR"/>
        </w:rPr>
        <w:t>.</w:t>
      </w:r>
      <w:r w:rsidRPr="00F77964">
        <w:rPr>
          <w:rFonts w:eastAsia="Calibri"/>
          <w:lang w:val="fr-FR"/>
        </w:rPr>
        <w:t xml:space="preserve"> </w:t>
      </w:r>
      <w:r w:rsidR="00F774B3">
        <w:rPr>
          <w:rFonts w:eastAsia="Calibri"/>
          <w:lang w:val="fr-FR"/>
        </w:rPr>
        <w:t>L</w:t>
      </w:r>
      <w:r w:rsidR="007900E5">
        <w:rPr>
          <w:rFonts w:eastAsia="Calibri"/>
          <w:lang w:val="fr-FR"/>
        </w:rPr>
        <w:t>e groupe</w:t>
      </w:r>
      <w:r w:rsidRPr="00F77964">
        <w:rPr>
          <w:rFonts w:eastAsia="Calibri"/>
          <w:lang w:val="fr-FR"/>
        </w:rPr>
        <w:t xml:space="preserve"> </w:t>
      </w:r>
      <w:r w:rsidR="00F774B3">
        <w:rPr>
          <w:rFonts w:eastAsia="Calibri"/>
          <w:lang w:val="fr-FR"/>
        </w:rPr>
        <w:t>en question comprendra des</w:t>
      </w:r>
      <w:r w:rsidRPr="00F77964">
        <w:rPr>
          <w:rFonts w:eastAsia="Calibri"/>
          <w:lang w:val="fr-FR"/>
        </w:rPr>
        <w:t xml:space="preserve"> </w:t>
      </w:r>
      <w:r w:rsidR="006E337B">
        <w:rPr>
          <w:rFonts w:eastAsia="Calibri"/>
          <w:lang w:val="fr-FR"/>
        </w:rPr>
        <w:t>coprésidents</w:t>
      </w:r>
      <w:r w:rsidRPr="00F77964">
        <w:rPr>
          <w:rFonts w:eastAsia="Calibri"/>
          <w:lang w:val="fr-FR"/>
        </w:rPr>
        <w:t xml:space="preserve">, auteurs coordonnateurs principaux, auteurs principaux et éditeurs-réviseurs. </w:t>
      </w:r>
      <w:r w:rsidR="004F59DF" w:rsidRPr="00F77964">
        <w:rPr>
          <w:lang w:val="fr-FR"/>
        </w:rPr>
        <w:t>Le</w:t>
      </w:r>
      <w:r w:rsidR="00161811">
        <w:rPr>
          <w:lang w:val="fr-FR"/>
        </w:rPr>
        <w:t xml:space="preserve">s </w:t>
      </w:r>
      <w:r w:rsidR="004F59DF" w:rsidRPr="00F77964">
        <w:rPr>
          <w:lang w:val="fr-FR"/>
        </w:rPr>
        <w:t>experts ser</w:t>
      </w:r>
      <w:r w:rsidR="00161811">
        <w:rPr>
          <w:lang w:val="fr-FR"/>
        </w:rPr>
        <w:t>ont</w:t>
      </w:r>
      <w:r w:rsidR="004F59DF" w:rsidRPr="00F77964">
        <w:rPr>
          <w:lang w:val="fr-FR"/>
        </w:rPr>
        <w:t xml:space="preserve"> choisi</w:t>
      </w:r>
      <w:r w:rsidR="00161811">
        <w:rPr>
          <w:lang w:val="fr-FR"/>
        </w:rPr>
        <w:t>s</w:t>
      </w:r>
      <w:r w:rsidR="004F59DF" w:rsidRPr="00F77964">
        <w:rPr>
          <w:lang w:val="fr-FR"/>
        </w:rPr>
        <w:t xml:space="preserve"> conformément aux procédures pour l’établissement, l’examen, l’acceptation, l’adoption, l’approbation et la publication des rapports d’évaluation et d’autres produits de la Plateforme (voir IPBES/2/9) et travailler</w:t>
      </w:r>
      <w:r w:rsidR="00161811">
        <w:rPr>
          <w:lang w:val="fr-FR"/>
        </w:rPr>
        <w:t>ont</w:t>
      </w:r>
      <w:r w:rsidR="004F59DF" w:rsidRPr="00F77964">
        <w:rPr>
          <w:lang w:val="fr-FR"/>
        </w:rPr>
        <w:t xml:space="preserve"> sur la base des mêmes procédures. Les évaluations mondiales devraient impliquer 75 auteurs, qui se réuniraient </w:t>
      </w:r>
      <w:r w:rsidR="00F16D98">
        <w:rPr>
          <w:lang w:val="fr-FR"/>
        </w:rPr>
        <w:t>trois</w:t>
      </w:r>
      <w:r w:rsidR="004F59DF" w:rsidRPr="00F77964">
        <w:rPr>
          <w:lang w:val="fr-FR"/>
        </w:rPr>
        <w:t xml:space="preserve"> fois, et 12 éditeurs-réviseurs qui se réuniraient une fois, consécutivement aux auteurs. Le résumé à l’intention des décideurs serait aussi mis au point durant les réunions des auteurs. </w:t>
      </w:r>
      <w:r w:rsidR="004F59DF" w:rsidRPr="00F77964">
        <w:rPr>
          <w:rFonts w:eastAsia="Calibri"/>
          <w:lang w:val="fr-FR"/>
        </w:rPr>
        <w:t xml:space="preserve">La portée, le bien-fondé, l’utilité et les autres hypothèses de l’évaluation sont indiquées en détail dans un document de cadrage </w:t>
      </w:r>
      <w:r w:rsidR="004F59DF" w:rsidRPr="00F77964">
        <w:rPr>
          <w:lang w:val="fr-FR"/>
        </w:rPr>
        <w:t>(</w:t>
      </w:r>
      <w:r w:rsidR="004F59DF" w:rsidRPr="00F77964">
        <w:rPr>
          <w:rFonts w:eastAsia="Calibri"/>
          <w:lang w:val="fr-FR"/>
        </w:rPr>
        <w:t>IPBES/2/16/Add.1</w:t>
      </w:r>
      <w:r w:rsidR="004F59DF" w:rsidRPr="00F77964">
        <w:rPr>
          <w:lang w:val="fr-FR"/>
        </w:rPr>
        <w:t>)</w:t>
      </w:r>
      <w:r w:rsidR="004F59DF" w:rsidRPr="00F77964">
        <w:rPr>
          <w:rFonts w:eastAsia="Calibri"/>
          <w:lang w:val="fr-FR"/>
        </w:rPr>
        <w:t>.</w:t>
      </w:r>
      <w:r w:rsidR="004F59DF" w:rsidRPr="00F77964">
        <w:rPr>
          <w:lang w:val="fr-FR"/>
        </w:rPr>
        <w:t xml:space="preserve"> Le </w:t>
      </w:r>
      <w:r w:rsidR="004F59DF" w:rsidRPr="00F77964">
        <w:rPr>
          <w:lang w:val="fr-FR"/>
        </w:rPr>
        <w:lastRenderedPageBreak/>
        <w:t xml:space="preserve">secrétariat </w:t>
      </w:r>
      <w:r w:rsidR="00F77964" w:rsidRPr="00F77964">
        <w:rPr>
          <w:lang w:val="fr-FR"/>
        </w:rPr>
        <w:t>conclura</w:t>
      </w:r>
      <w:r w:rsidR="004F59DF" w:rsidRPr="00F77964">
        <w:rPr>
          <w:lang w:val="fr-FR"/>
        </w:rPr>
        <w:t xml:space="preserve"> des accords avec des institutions partenaires pour la fourniture d’un </w:t>
      </w:r>
      <w:r w:rsidR="00F16D98">
        <w:rPr>
          <w:lang w:val="fr-FR"/>
        </w:rPr>
        <w:t>appui technique approuvé</w:t>
      </w:r>
      <w:r w:rsidR="004F59DF" w:rsidRPr="00F77964">
        <w:rPr>
          <w:lang w:val="fr-FR"/>
        </w:rPr>
        <w:t xml:space="preserve"> par le Bureau. L’appui technique devrait être financé en partie par la Plateforme et en partie par les contributions en nature approuvées par la Plénière (voir </w:t>
      </w:r>
      <w:r w:rsidR="00435D19">
        <w:rPr>
          <w:lang w:val="fr-FR"/>
        </w:rPr>
        <w:t>paragraphe</w:t>
      </w:r>
      <w:r w:rsidR="004F59DF" w:rsidRPr="00F77964">
        <w:rPr>
          <w:lang w:val="fr-FR"/>
        </w:rPr>
        <w:t> 26 ci-après)</w:t>
      </w:r>
      <w:r w:rsidRPr="00F77964">
        <w:rPr>
          <w:rFonts w:eastAsia="Calibri"/>
          <w:lang w:val="fr-FR"/>
        </w:rPr>
        <w:t xml:space="preserve"> </w:t>
      </w:r>
    </w:p>
    <w:p w:rsidR="00D66005" w:rsidRPr="00F77964" w:rsidRDefault="00D66005" w:rsidP="00D66005">
      <w:pPr>
        <w:pStyle w:val="CH3"/>
        <w:spacing w:before="240"/>
        <w:rPr>
          <w:rFonts w:eastAsia="SimSun"/>
          <w:lang w:val="fr-FR" w:eastAsia="zh-CN"/>
        </w:rPr>
      </w:pPr>
      <w:r w:rsidRPr="00F77964">
        <w:rPr>
          <w:rFonts w:eastAsia="SimSun"/>
          <w:lang w:val="fr-FR" w:eastAsia="zh-CN"/>
        </w:rPr>
        <w:tab/>
      </w:r>
      <w:r w:rsidRPr="00F77964">
        <w:rPr>
          <w:rFonts w:eastAsia="SimSun"/>
          <w:lang w:val="fr-FR" w:eastAsia="zh-CN"/>
        </w:rPr>
        <w:tab/>
      </w:r>
      <w:r w:rsidR="0048412B" w:rsidRPr="00F77964">
        <w:rPr>
          <w:rFonts w:eastAsia="SimSun"/>
          <w:lang w:val="fr-FR" w:eastAsia="zh-CN"/>
        </w:rPr>
        <w:t xml:space="preserve">Actions, étapes intermédiaires et dispositions institutionnelles </w:t>
      </w:r>
    </w:p>
    <w:p w:rsidR="00D66005" w:rsidRPr="00F77964" w:rsidRDefault="00F4565D" w:rsidP="00D66005">
      <w:pPr>
        <w:pStyle w:val="Normalnumber"/>
        <w:numPr>
          <w:ilvl w:val="0"/>
          <w:numId w:val="6"/>
        </w:numPr>
        <w:tabs>
          <w:tab w:val="left" w:pos="624"/>
        </w:tabs>
        <w:ind w:left="1247" w:firstLine="0"/>
        <w:rPr>
          <w:lang w:val="fr-FR"/>
        </w:rPr>
      </w:pPr>
      <w:r w:rsidRPr="00F77964">
        <w:rPr>
          <w:lang w:val="fr-FR"/>
        </w:rPr>
        <w:t>Les actions à mener sont indiquées ci-après</w:t>
      </w:r>
      <w:r w:rsidR="00D25BBB" w:rsidRPr="00F77964">
        <w:rPr>
          <w:lang w:val="fr-FR"/>
        </w:rPr>
        <w:t> :</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716"/>
        <w:gridCol w:w="5669"/>
      </w:tblGrid>
      <w:tr w:rsidR="0052314C" w:rsidRPr="0061490E" w:rsidTr="00DE0090">
        <w:trPr>
          <w:trHeight w:val="199"/>
          <w:tblHeader/>
        </w:trPr>
        <w:tc>
          <w:tcPr>
            <w:tcW w:w="2325" w:type="dxa"/>
            <w:gridSpan w:val="2"/>
            <w:tcBorders>
              <w:top w:val="single" w:sz="4" w:space="0" w:color="auto"/>
              <w:left w:val="single" w:sz="4" w:space="0" w:color="auto"/>
              <w:bottom w:val="single" w:sz="4" w:space="0" w:color="auto"/>
              <w:right w:val="single" w:sz="4" w:space="0" w:color="auto"/>
            </w:tcBorders>
            <w:hideMark/>
          </w:tcPr>
          <w:p w:rsidR="00D66005" w:rsidRPr="00F77964" w:rsidRDefault="00D25BBB" w:rsidP="00D25BBB">
            <w:pPr>
              <w:pStyle w:val="Normal-pool"/>
              <w:keepNext/>
              <w:keepLines/>
              <w:spacing w:before="40" w:after="40"/>
              <w:rPr>
                <w:rFonts w:eastAsia="SimSun"/>
                <w:sz w:val="18"/>
                <w:szCs w:val="18"/>
                <w:lang w:eastAsia="zh-CN"/>
              </w:rPr>
            </w:pPr>
            <w:r w:rsidRPr="00F77964">
              <w:rPr>
                <w:rFonts w:eastAsia="SimSun"/>
                <w:i/>
                <w:sz w:val="18"/>
                <w:szCs w:val="18"/>
                <w:lang w:eastAsia="zh-CN"/>
              </w:rPr>
              <w:t>Calendrier</w:t>
            </w:r>
          </w:p>
        </w:tc>
        <w:tc>
          <w:tcPr>
            <w:tcW w:w="5669"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D66005" w:rsidP="00D25BBB">
            <w:pPr>
              <w:pStyle w:val="Normal-pool"/>
              <w:keepNext/>
              <w:keepLines/>
              <w:spacing w:before="40" w:after="40"/>
              <w:rPr>
                <w:rFonts w:eastAsia="SimSun"/>
                <w:sz w:val="18"/>
                <w:szCs w:val="18"/>
                <w:lang w:eastAsia="zh-CN"/>
              </w:rPr>
            </w:pPr>
            <w:r w:rsidRPr="00F77964">
              <w:rPr>
                <w:rFonts w:eastAsia="SimSun"/>
                <w:i/>
                <w:sz w:val="18"/>
                <w:szCs w:val="18"/>
                <w:lang w:eastAsia="zh-CN"/>
              </w:rPr>
              <w:t>Actions/</w:t>
            </w:r>
            <w:r w:rsidR="00D25BBB" w:rsidRPr="00F77964">
              <w:rPr>
                <w:rFonts w:eastAsia="SimSun"/>
                <w:i/>
                <w:sz w:val="18"/>
                <w:szCs w:val="18"/>
                <w:lang w:eastAsia="zh-CN"/>
              </w:rPr>
              <w:t>dispositions institutionnelles</w:t>
            </w:r>
          </w:p>
        </w:tc>
      </w:tr>
      <w:tr w:rsidR="0052314C" w:rsidRPr="0061490E" w:rsidTr="00033CC3">
        <w:trPr>
          <w:trHeight w:val="584"/>
        </w:trPr>
        <w:tc>
          <w:tcPr>
            <w:tcW w:w="609"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033CC3">
            <w:pPr>
              <w:pStyle w:val="Normal-pool"/>
              <w:keepNext/>
              <w:keepLines/>
              <w:spacing w:before="40" w:after="40"/>
              <w:rPr>
                <w:rFonts w:eastAsia="SimSun"/>
                <w:sz w:val="18"/>
                <w:szCs w:val="18"/>
                <w:lang w:eastAsia="zh-CN"/>
              </w:rPr>
            </w:pPr>
            <w:r w:rsidRPr="00F77964">
              <w:rPr>
                <w:rFonts w:eastAsia="SimSun"/>
                <w:sz w:val="18"/>
                <w:szCs w:val="18"/>
                <w:lang w:eastAsia="zh-CN"/>
              </w:rPr>
              <w:t>2013</w:t>
            </w:r>
          </w:p>
        </w:tc>
        <w:tc>
          <w:tcPr>
            <w:tcW w:w="1716" w:type="dxa"/>
            <w:tcBorders>
              <w:top w:val="single" w:sz="4" w:space="0" w:color="auto"/>
              <w:left w:val="single" w:sz="4" w:space="0" w:color="auto"/>
              <w:bottom w:val="single" w:sz="4" w:space="0" w:color="auto"/>
              <w:right w:val="single" w:sz="4" w:space="0" w:color="auto"/>
            </w:tcBorders>
            <w:hideMark/>
          </w:tcPr>
          <w:p w:rsidR="00D66005" w:rsidRPr="00F77964" w:rsidRDefault="00D25BBB" w:rsidP="00033CC3">
            <w:pPr>
              <w:pStyle w:val="Normal-pool"/>
              <w:keepNext/>
              <w:keepLines/>
              <w:spacing w:before="40" w:after="40"/>
              <w:rPr>
                <w:rFonts w:eastAsia="SimSun"/>
                <w:sz w:val="18"/>
                <w:szCs w:val="18"/>
                <w:lang w:eastAsia="zh-CN"/>
              </w:rPr>
            </w:pPr>
            <w:r w:rsidRPr="00F77964">
              <w:rPr>
                <w:rFonts w:eastAsia="SimSun"/>
                <w:sz w:val="18"/>
                <w:szCs w:val="18"/>
                <w:lang w:eastAsia="zh-CN"/>
              </w:rPr>
              <w:t>Quatrième trimestre</w:t>
            </w:r>
          </w:p>
        </w:tc>
        <w:tc>
          <w:tcPr>
            <w:tcW w:w="5669" w:type="dxa"/>
            <w:tcBorders>
              <w:top w:val="single" w:sz="4" w:space="0" w:color="auto"/>
              <w:left w:val="single" w:sz="4" w:space="0" w:color="auto"/>
              <w:bottom w:val="single" w:sz="4" w:space="0" w:color="auto"/>
              <w:right w:val="single" w:sz="4" w:space="0" w:color="auto"/>
            </w:tcBorders>
          </w:tcPr>
          <w:p w:rsidR="00D66005" w:rsidRPr="00F77964" w:rsidRDefault="004F59DF" w:rsidP="00033CC3">
            <w:pPr>
              <w:pStyle w:val="Normal-pool"/>
              <w:keepNext/>
              <w:keepLines/>
              <w:spacing w:before="40" w:after="40"/>
              <w:rPr>
                <w:rFonts w:eastAsia="SimSun"/>
                <w:sz w:val="18"/>
                <w:szCs w:val="18"/>
                <w:lang w:eastAsia="zh-CN"/>
              </w:rPr>
            </w:pPr>
            <w:r w:rsidRPr="00F77964">
              <w:rPr>
                <w:sz w:val="18"/>
                <w:szCs w:val="18"/>
              </w:rPr>
              <w:t>La Plénière examine et approuve l’étude de cadrage initiale établie par le Groupe d’experts multidisciplinaire (14 décembre 2013)</w:t>
            </w:r>
          </w:p>
        </w:tc>
      </w:tr>
      <w:tr w:rsidR="0052314C" w:rsidRPr="0061490E" w:rsidTr="00033CC3">
        <w:trPr>
          <w:trHeight w:val="584"/>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033CC3">
            <w:pPr>
              <w:spacing w:before="40" w:after="40" w:line="240" w:lineRule="auto"/>
              <w:rPr>
                <w:rFonts w:eastAsia="SimSun"/>
                <w:sz w:val="18"/>
                <w:szCs w:val="18"/>
                <w:lang w:eastAsia="zh-CN"/>
              </w:rPr>
            </w:pPr>
          </w:p>
        </w:tc>
        <w:tc>
          <w:tcPr>
            <w:tcW w:w="1716" w:type="dxa"/>
            <w:tcBorders>
              <w:top w:val="single" w:sz="4" w:space="0" w:color="auto"/>
              <w:left w:val="single" w:sz="4" w:space="0" w:color="auto"/>
              <w:bottom w:val="single" w:sz="4" w:space="0" w:color="auto"/>
              <w:right w:val="single" w:sz="4" w:space="0" w:color="auto"/>
            </w:tcBorders>
            <w:hideMark/>
          </w:tcPr>
          <w:p w:rsidR="00D66005" w:rsidRPr="00F77964" w:rsidRDefault="00D25BBB" w:rsidP="00033CC3">
            <w:pPr>
              <w:pStyle w:val="Normal-pool"/>
              <w:keepNext/>
              <w:keepLines/>
              <w:spacing w:before="40" w:after="40"/>
              <w:rPr>
                <w:rFonts w:eastAsia="SimSun"/>
                <w:sz w:val="18"/>
                <w:szCs w:val="18"/>
                <w:lang w:eastAsia="zh-CN"/>
              </w:rPr>
            </w:pPr>
            <w:r w:rsidRPr="00F77964">
              <w:rPr>
                <w:rFonts w:eastAsia="SimSun"/>
                <w:sz w:val="18"/>
                <w:szCs w:val="18"/>
                <w:lang w:eastAsia="zh-CN"/>
              </w:rPr>
              <w:t>Quatrième trimestre</w:t>
            </w:r>
          </w:p>
        </w:tc>
        <w:tc>
          <w:tcPr>
            <w:tcW w:w="5669" w:type="dxa"/>
            <w:tcBorders>
              <w:top w:val="single" w:sz="4" w:space="0" w:color="auto"/>
              <w:left w:val="single" w:sz="4" w:space="0" w:color="auto"/>
              <w:bottom w:val="single" w:sz="4" w:space="0" w:color="auto"/>
              <w:right w:val="single" w:sz="4" w:space="0" w:color="auto"/>
            </w:tcBorders>
            <w:hideMark/>
          </w:tcPr>
          <w:p w:rsidR="00D66005" w:rsidRPr="00F77964" w:rsidRDefault="00D9742C" w:rsidP="00033CC3">
            <w:pPr>
              <w:pStyle w:val="Normal-pool"/>
              <w:keepNext/>
              <w:keepLines/>
              <w:spacing w:before="40" w:after="40"/>
              <w:rPr>
                <w:rFonts w:eastAsia="SimSun"/>
                <w:sz w:val="18"/>
                <w:szCs w:val="18"/>
                <w:lang w:eastAsia="zh-CN"/>
              </w:rPr>
            </w:pPr>
            <w:r w:rsidRPr="00F77964">
              <w:rPr>
                <w:sz w:val="18"/>
                <w:szCs w:val="18"/>
              </w:rPr>
              <w:t xml:space="preserve">Le Groupe d’experts multidisciplinaire, par la voie du secrétariat, demande aux gouvernements et aux autres parties prenantes de désigner des experts </w:t>
            </w:r>
            <w:r w:rsidR="00F16D98">
              <w:rPr>
                <w:sz w:val="18"/>
                <w:szCs w:val="18"/>
              </w:rPr>
              <w:t>(coprésidents, auteurs coordonnateurs principaux, auteurs principaux et éditeurs-réviseurs)</w:t>
            </w:r>
            <w:r w:rsidRPr="00F77964">
              <w:rPr>
                <w:sz w:val="18"/>
                <w:szCs w:val="18"/>
              </w:rPr>
              <w:t xml:space="preserve"> pour réaliser l’évaluation sur la base </w:t>
            </w:r>
            <w:r w:rsidR="00F16D98">
              <w:rPr>
                <w:sz w:val="18"/>
                <w:szCs w:val="18"/>
              </w:rPr>
              <w:t xml:space="preserve">des résultats </w:t>
            </w:r>
            <w:r w:rsidRPr="00F77964">
              <w:rPr>
                <w:sz w:val="18"/>
                <w:szCs w:val="18"/>
              </w:rPr>
              <w:t>de l’étude de cadrage approuvée par la Plénière (9 décembre 2013</w:t>
            </w:r>
            <w:r w:rsidR="00376754">
              <w:rPr>
                <w:sz w:val="18"/>
                <w:szCs w:val="18"/>
              </w:rPr>
              <w:t xml:space="preserve"> </w:t>
            </w:r>
            <w:r w:rsidRPr="00F77964">
              <w:rPr>
                <w:sz w:val="18"/>
                <w:szCs w:val="18"/>
              </w:rPr>
              <w:t>–</w:t>
            </w:r>
            <w:r w:rsidR="00376754">
              <w:rPr>
                <w:sz w:val="18"/>
                <w:szCs w:val="18"/>
              </w:rPr>
              <w:t xml:space="preserve"> </w:t>
            </w:r>
            <w:r w:rsidRPr="00F77964">
              <w:rPr>
                <w:sz w:val="18"/>
                <w:szCs w:val="18"/>
              </w:rPr>
              <w:t>10 janvier 2014)</w:t>
            </w:r>
          </w:p>
        </w:tc>
      </w:tr>
      <w:tr w:rsidR="0052314C" w:rsidRPr="0061490E" w:rsidTr="00DE0090">
        <w:trPr>
          <w:trHeight w:val="584"/>
        </w:trPr>
        <w:tc>
          <w:tcPr>
            <w:tcW w:w="609"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033CC3">
            <w:pPr>
              <w:pStyle w:val="Normal-pool"/>
              <w:spacing w:before="40" w:after="40"/>
              <w:rPr>
                <w:rFonts w:eastAsia="SimSun"/>
                <w:sz w:val="18"/>
                <w:szCs w:val="18"/>
                <w:lang w:eastAsia="zh-CN"/>
              </w:rPr>
            </w:pPr>
            <w:r w:rsidRPr="00F77964">
              <w:rPr>
                <w:rFonts w:eastAsia="SimSun"/>
                <w:sz w:val="18"/>
                <w:szCs w:val="18"/>
                <w:lang w:eastAsia="zh-CN"/>
              </w:rPr>
              <w:t>2014</w:t>
            </w:r>
          </w:p>
        </w:tc>
        <w:tc>
          <w:tcPr>
            <w:tcW w:w="1716" w:type="dxa"/>
            <w:tcBorders>
              <w:top w:val="single" w:sz="4" w:space="0" w:color="auto"/>
              <w:left w:val="single" w:sz="4" w:space="0" w:color="auto"/>
              <w:bottom w:val="single" w:sz="4" w:space="0" w:color="auto"/>
              <w:right w:val="single" w:sz="4" w:space="0" w:color="auto"/>
            </w:tcBorders>
            <w:hideMark/>
          </w:tcPr>
          <w:p w:rsidR="00D66005" w:rsidRPr="00F77964" w:rsidRDefault="00D25BBB" w:rsidP="00033CC3">
            <w:pPr>
              <w:pStyle w:val="Normal-pool"/>
              <w:spacing w:before="40" w:after="40"/>
              <w:rPr>
                <w:rFonts w:eastAsia="SimSun"/>
                <w:sz w:val="18"/>
                <w:szCs w:val="18"/>
                <w:lang w:eastAsia="zh-CN"/>
              </w:rPr>
            </w:pPr>
            <w:r w:rsidRPr="00F77964">
              <w:rPr>
                <w:rFonts w:eastAsia="SimSun"/>
                <w:sz w:val="18"/>
                <w:szCs w:val="18"/>
                <w:lang w:eastAsia="zh-CN"/>
              </w:rPr>
              <w:t>Premier trimestre</w:t>
            </w:r>
          </w:p>
        </w:tc>
        <w:tc>
          <w:tcPr>
            <w:tcW w:w="5669" w:type="dxa"/>
            <w:tcBorders>
              <w:top w:val="single" w:sz="4" w:space="0" w:color="auto"/>
              <w:left w:val="single" w:sz="4" w:space="0" w:color="auto"/>
              <w:bottom w:val="single" w:sz="4" w:space="0" w:color="auto"/>
              <w:right w:val="single" w:sz="4" w:space="0" w:color="auto"/>
            </w:tcBorders>
            <w:vAlign w:val="center"/>
          </w:tcPr>
          <w:p w:rsidR="00D25BBB" w:rsidRPr="00F77964" w:rsidRDefault="00D9742C" w:rsidP="00033CC3">
            <w:pPr>
              <w:pStyle w:val="Normal-pool"/>
              <w:spacing w:before="40" w:after="40"/>
              <w:rPr>
                <w:rFonts w:eastAsia="SimSun"/>
                <w:sz w:val="18"/>
                <w:szCs w:val="18"/>
                <w:lang w:eastAsia="zh-CN"/>
              </w:rPr>
            </w:pPr>
            <w:r w:rsidRPr="00F77964">
              <w:rPr>
                <w:sz w:val="18"/>
                <w:szCs w:val="18"/>
              </w:rPr>
              <w:t xml:space="preserve">Le Groupe d’experts multidisciplinaire, par courriels et par téléconférences, choisit les coprésidents, les auteurs coordonnateurs principaux, les auteurs principaux et les éditeurs-réviseurs, en appliquant les critères approuvés à cet effet </w:t>
            </w:r>
            <w:r w:rsidR="00F16D98">
              <w:rPr>
                <w:sz w:val="18"/>
                <w:szCs w:val="18"/>
              </w:rPr>
              <w:t xml:space="preserve">(voir IPBES/2/9) </w:t>
            </w:r>
            <w:r w:rsidRPr="00F77964">
              <w:rPr>
                <w:sz w:val="18"/>
                <w:szCs w:val="18"/>
              </w:rPr>
              <w:t>(11–24 janvier)</w:t>
            </w:r>
          </w:p>
        </w:tc>
      </w:tr>
      <w:tr w:rsidR="0052314C" w:rsidRPr="0061490E" w:rsidTr="00DE0090">
        <w:trPr>
          <w:trHeight w:val="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rsidP="00033CC3">
            <w:pPr>
              <w:spacing w:before="40" w:after="40" w:line="240" w:lineRule="auto"/>
              <w:rPr>
                <w:rFonts w:eastAsia="SimSun"/>
                <w:sz w:val="18"/>
                <w:szCs w:val="18"/>
                <w:lang w:eastAsia="zh-CN"/>
              </w:rPr>
            </w:pPr>
          </w:p>
        </w:tc>
        <w:tc>
          <w:tcPr>
            <w:tcW w:w="1716" w:type="dxa"/>
            <w:tcBorders>
              <w:top w:val="single" w:sz="4" w:space="0" w:color="auto"/>
              <w:left w:val="single" w:sz="4" w:space="0" w:color="auto"/>
              <w:bottom w:val="single" w:sz="4" w:space="0" w:color="auto"/>
              <w:right w:val="single" w:sz="4" w:space="0" w:color="auto"/>
            </w:tcBorders>
            <w:hideMark/>
          </w:tcPr>
          <w:p w:rsidR="00D66005" w:rsidRPr="00F77964" w:rsidRDefault="00D9742C" w:rsidP="00033CC3">
            <w:pPr>
              <w:pStyle w:val="Normal-pool"/>
              <w:spacing w:before="40" w:after="40"/>
              <w:rPr>
                <w:rFonts w:eastAsia="SimSun"/>
                <w:sz w:val="18"/>
                <w:szCs w:val="18"/>
                <w:lang w:eastAsia="zh-CN"/>
              </w:rPr>
            </w:pPr>
            <w:r w:rsidRPr="00F77964">
              <w:rPr>
                <w:rFonts w:eastAsia="SimSun"/>
                <w:sz w:val="18"/>
                <w:szCs w:val="18"/>
                <w:lang w:eastAsia="zh-CN"/>
              </w:rPr>
              <w:t>Premier</w:t>
            </w:r>
            <w:r w:rsidR="00D66005" w:rsidRPr="00F77964">
              <w:rPr>
                <w:rFonts w:eastAsia="SimSun"/>
                <w:sz w:val="18"/>
                <w:szCs w:val="18"/>
                <w:lang w:eastAsia="zh-CN"/>
              </w:rPr>
              <w:t>/</w:t>
            </w:r>
            <w:r w:rsidRPr="00F77964">
              <w:rPr>
                <w:rFonts w:eastAsia="SimSun"/>
                <w:sz w:val="18"/>
                <w:szCs w:val="18"/>
                <w:lang w:eastAsia="zh-CN"/>
              </w:rPr>
              <w:t>deuxième</w:t>
            </w:r>
            <w:r w:rsidR="00D66005" w:rsidRPr="00F77964">
              <w:rPr>
                <w:rFonts w:eastAsia="SimSun"/>
                <w:sz w:val="18"/>
                <w:szCs w:val="18"/>
                <w:lang w:eastAsia="zh-CN"/>
              </w:rPr>
              <w:t>/ t</w:t>
            </w:r>
            <w:r w:rsidRPr="00F77964">
              <w:rPr>
                <w:rFonts w:eastAsia="SimSun"/>
                <w:sz w:val="18"/>
                <w:szCs w:val="18"/>
                <w:lang w:eastAsia="zh-CN"/>
              </w:rPr>
              <w:t>roisième trimestres</w:t>
            </w:r>
          </w:p>
        </w:tc>
        <w:tc>
          <w:tcPr>
            <w:tcW w:w="5669"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D9742C" w:rsidP="00033CC3">
            <w:pPr>
              <w:pStyle w:val="Normal-pool"/>
              <w:spacing w:before="40" w:after="40"/>
              <w:rPr>
                <w:rFonts w:eastAsia="SimSun"/>
                <w:sz w:val="18"/>
                <w:szCs w:val="18"/>
                <w:lang w:eastAsia="zh-CN"/>
              </w:rPr>
            </w:pPr>
            <w:r w:rsidRPr="00F77964">
              <w:rPr>
                <w:sz w:val="18"/>
                <w:szCs w:val="18"/>
              </w:rPr>
              <w:t>Les coprésidents, les auteurs coordonnateurs principaux et les auteurs principaux établissent l’avant-projet de rapport et de résumé à l’intention des décideurs (25 janvier</w:t>
            </w:r>
            <w:r w:rsidR="00376754">
              <w:rPr>
                <w:sz w:val="18"/>
                <w:szCs w:val="18"/>
              </w:rPr>
              <w:t xml:space="preserve"> </w:t>
            </w:r>
            <w:r w:rsidRPr="00F77964">
              <w:rPr>
                <w:sz w:val="18"/>
                <w:szCs w:val="18"/>
              </w:rPr>
              <w:t>–</w:t>
            </w:r>
            <w:r w:rsidR="00376754">
              <w:rPr>
                <w:sz w:val="18"/>
                <w:szCs w:val="18"/>
              </w:rPr>
              <w:t xml:space="preserve"> </w:t>
            </w:r>
            <w:r w:rsidRPr="00F77964">
              <w:rPr>
                <w:sz w:val="18"/>
                <w:szCs w:val="18"/>
              </w:rPr>
              <w:t>25 juillet). Les auteurs se réunissent en février pour élabor</w:t>
            </w:r>
            <w:r w:rsidR="00F16D98">
              <w:rPr>
                <w:sz w:val="18"/>
                <w:szCs w:val="18"/>
              </w:rPr>
              <w:t>er plus avant le</w:t>
            </w:r>
            <w:r w:rsidRPr="00F77964">
              <w:rPr>
                <w:sz w:val="18"/>
                <w:szCs w:val="18"/>
              </w:rPr>
              <w:t xml:space="preserve"> plan annoté et </w:t>
            </w:r>
            <w:r w:rsidR="00F16D98">
              <w:rPr>
                <w:sz w:val="18"/>
                <w:szCs w:val="18"/>
              </w:rPr>
              <w:t>les sections et chapitres qui leur ont été assignés</w:t>
            </w:r>
            <w:r w:rsidR="0052314C" w:rsidRPr="00F77964">
              <w:rPr>
                <w:sz w:val="18"/>
                <w:szCs w:val="18"/>
              </w:rPr>
              <w:t>,</w:t>
            </w:r>
            <w:r w:rsidRPr="00F77964">
              <w:rPr>
                <w:sz w:val="18"/>
                <w:szCs w:val="18"/>
              </w:rPr>
              <w:t xml:space="preserve"> et de nouveau début juillet pour </w:t>
            </w:r>
            <w:r w:rsidR="0052314C" w:rsidRPr="00F77964">
              <w:rPr>
                <w:sz w:val="18"/>
                <w:szCs w:val="18"/>
              </w:rPr>
              <w:t xml:space="preserve">finaliser le rapport et préparer </w:t>
            </w:r>
            <w:r w:rsidRPr="00F77964">
              <w:rPr>
                <w:sz w:val="18"/>
                <w:szCs w:val="18"/>
              </w:rPr>
              <w:t>le résumé à l’intention des décideurs</w:t>
            </w:r>
          </w:p>
        </w:tc>
      </w:tr>
      <w:tr w:rsidR="0052314C" w:rsidRPr="0061490E" w:rsidTr="00DE0090">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rsidP="00033CC3">
            <w:pPr>
              <w:spacing w:before="40" w:after="40" w:line="240" w:lineRule="auto"/>
              <w:rPr>
                <w:rFonts w:eastAsia="SimSun"/>
                <w:sz w:val="18"/>
                <w:szCs w:val="18"/>
                <w:lang w:eastAsia="zh-CN"/>
              </w:rPr>
            </w:pPr>
          </w:p>
        </w:tc>
        <w:tc>
          <w:tcPr>
            <w:tcW w:w="1716" w:type="dxa"/>
            <w:tcBorders>
              <w:top w:val="single" w:sz="4" w:space="0" w:color="auto"/>
              <w:left w:val="single" w:sz="4" w:space="0" w:color="auto"/>
              <w:bottom w:val="single" w:sz="4" w:space="0" w:color="auto"/>
              <w:right w:val="single" w:sz="4" w:space="0" w:color="auto"/>
            </w:tcBorders>
            <w:hideMark/>
          </w:tcPr>
          <w:p w:rsidR="00D66005" w:rsidRPr="00F77964" w:rsidRDefault="0052314C" w:rsidP="00033CC3">
            <w:pPr>
              <w:pStyle w:val="Normal-pool"/>
              <w:spacing w:before="40" w:after="40"/>
              <w:rPr>
                <w:rFonts w:eastAsia="SimSun"/>
                <w:sz w:val="18"/>
                <w:szCs w:val="18"/>
                <w:lang w:eastAsia="zh-CN"/>
              </w:rPr>
            </w:pPr>
            <w:r w:rsidRPr="00F77964">
              <w:rPr>
                <w:rFonts w:eastAsia="SimSun"/>
                <w:sz w:val="18"/>
                <w:szCs w:val="18"/>
                <w:lang w:eastAsia="zh-CN"/>
              </w:rPr>
              <w:t>Troisième trimestre</w:t>
            </w:r>
          </w:p>
        </w:tc>
        <w:tc>
          <w:tcPr>
            <w:tcW w:w="5669"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52314C" w:rsidP="00033CC3">
            <w:pPr>
              <w:pStyle w:val="Normal-pool"/>
              <w:spacing w:before="40" w:after="40"/>
              <w:rPr>
                <w:rFonts w:eastAsia="SimSun"/>
                <w:sz w:val="18"/>
                <w:szCs w:val="18"/>
                <w:lang w:eastAsia="zh-CN"/>
              </w:rPr>
            </w:pPr>
            <w:r w:rsidRPr="00F77964">
              <w:rPr>
                <w:sz w:val="18"/>
                <w:szCs w:val="18"/>
              </w:rPr>
              <w:t>L</w:t>
            </w:r>
            <w:r w:rsidR="00FA445A">
              <w:rPr>
                <w:sz w:val="18"/>
                <w:szCs w:val="18"/>
              </w:rPr>
              <w:t xml:space="preserve">e </w:t>
            </w:r>
            <w:r w:rsidRPr="00F77964">
              <w:rPr>
                <w:sz w:val="18"/>
                <w:szCs w:val="18"/>
              </w:rPr>
              <w:t xml:space="preserve">projet de rapport et le </w:t>
            </w:r>
            <w:r w:rsidR="00FA445A">
              <w:rPr>
                <w:sz w:val="18"/>
                <w:szCs w:val="18"/>
              </w:rPr>
              <w:t xml:space="preserve">projet de </w:t>
            </w:r>
            <w:r w:rsidRPr="00F77964">
              <w:rPr>
                <w:sz w:val="18"/>
                <w:szCs w:val="18"/>
              </w:rPr>
              <w:t xml:space="preserve">résumé à l’intention des décideurs </w:t>
            </w:r>
            <w:r w:rsidR="00FA445A">
              <w:rPr>
                <w:sz w:val="18"/>
                <w:szCs w:val="18"/>
              </w:rPr>
              <w:t xml:space="preserve">sont </w:t>
            </w:r>
            <w:r w:rsidRPr="00F77964">
              <w:rPr>
                <w:sz w:val="18"/>
                <w:szCs w:val="18"/>
              </w:rPr>
              <w:t>examiné</w:t>
            </w:r>
            <w:r w:rsidR="00FA445A">
              <w:rPr>
                <w:sz w:val="18"/>
                <w:szCs w:val="18"/>
              </w:rPr>
              <w:t>s</w:t>
            </w:r>
            <w:r w:rsidRPr="00F77964">
              <w:rPr>
                <w:sz w:val="18"/>
                <w:szCs w:val="18"/>
              </w:rPr>
              <w:t xml:space="preserve"> par les experts, les gouvernements et les autres parties prenantes (26 juillet</w:t>
            </w:r>
            <w:r w:rsidR="00376754">
              <w:rPr>
                <w:sz w:val="18"/>
                <w:szCs w:val="18"/>
              </w:rPr>
              <w:t xml:space="preserve"> </w:t>
            </w:r>
            <w:r w:rsidRPr="00F77964">
              <w:rPr>
                <w:sz w:val="18"/>
                <w:szCs w:val="18"/>
              </w:rPr>
              <w:t>–</w:t>
            </w:r>
            <w:r w:rsidR="00376754">
              <w:rPr>
                <w:sz w:val="18"/>
                <w:szCs w:val="18"/>
              </w:rPr>
              <w:t xml:space="preserve"> </w:t>
            </w:r>
            <w:r w:rsidRPr="00F77964">
              <w:rPr>
                <w:sz w:val="18"/>
                <w:szCs w:val="18"/>
              </w:rPr>
              <w:t>12 septembre)</w:t>
            </w:r>
          </w:p>
        </w:tc>
      </w:tr>
      <w:tr w:rsidR="0052314C" w:rsidRPr="0061490E" w:rsidTr="00DE0090">
        <w:trPr>
          <w:trHeight w:val="8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rsidP="00033CC3">
            <w:pPr>
              <w:spacing w:before="40" w:after="40" w:line="240" w:lineRule="auto"/>
              <w:rPr>
                <w:rFonts w:eastAsia="SimSun"/>
                <w:sz w:val="18"/>
                <w:szCs w:val="18"/>
                <w:lang w:eastAsia="zh-CN"/>
              </w:rPr>
            </w:pPr>
          </w:p>
        </w:tc>
        <w:tc>
          <w:tcPr>
            <w:tcW w:w="1716" w:type="dxa"/>
            <w:tcBorders>
              <w:top w:val="single" w:sz="4" w:space="0" w:color="auto"/>
              <w:left w:val="single" w:sz="4" w:space="0" w:color="auto"/>
              <w:bottom w:val="single" w:sz="4" w:space="0" w:color="auto"/>
              <w:right w:val="single" w:sz="4" w:space="0" w:color="auto"/>
            </w:tcBorders>
            <w:hideMark/>
          </w:tcPr>
          <w:p w:rsidR="00D66005" w:rsidRPr="00F77964" w:rsidRDefault="00D66005" w:rsidP="00033CC3">
            <w:pPr>
              <w:pStyle w:val="Normal-pool"/>
              <w:spacing w:before="40" w:after="40"/>
              <w:rPr>
                <w:rFonts w:eastAsia="SimSun"/>
                <w:sz w:val="18"/>
                <w:szCs w:val="18"/>
                <w:lang w:eastAsia="zh-CN"/>
              </w:rPr>
            </w:pPr>
            <w:r w:rsidRPr="00F77964">
              <w:rPr>
                <w:rFonts w:eastAsia="SimSun"/>
                <w:sz w:val="18"/>
                <w:szCs w:val="18"/>
                <w:lang w:eastAsia="zh-CN"/>
              </w:rPr>
              <w:t>T</w:t>
            </w:r>
            <w:r w:rsidR="0052314C" w:rsidRPr="00F77964">
              <w:rPr>
                <w:rFonts w:eastAsia="SimSun"/>
                <w:sz w:val="18"/>
                <w:szCs w:val="18"/>
                <w:lang w:eastAsia="zh-CN"/>
              </w:rPr>
              <w:t>roisième/quatrième</w:t>
            </w:r>
            <w:r w:rsidRPr="00F77964">
              <w:rPr>
                <w:rFonts w:eastAsia="SimSun"/>
                <w:sz w:val="18"/>
                <w:szCs w:val="18"/>
                <w:lang w:eastAsia="zh-CN"/>
              </w:rPr>
              <w:t xml:space="preserve"> </w:t>
            </w:r>
            <w:r w:rsidR="0052314C" w:rsidRPr="00F77964">
              <w:rPr>
                <w:rFonts w:eastAsia="SimSun"/>
                <w:sz w:val="18"/>
                <w:szCs w:val="18"/>
                <w:lang w:eastAsia="zh-CN"/>
              </w:rPr>
              <w:t>trimestres</w:t>
            </w:r>
          </w:p>
        </w:tc>
        <w:tc>
          <w:tcPr>
            <w:tcW w:w="5669"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52314C" w:rsidP="00033CC3">
            <w:pPr>
              <w:pStyle w:val="Normal-pool"/>
              <w:spacing w:before="40" w:after="40"/>
              <w:rPr>
                <w:rFonts w:eastAsia="SimSun"/>
                <w:sz w:val="18"/>
                <w:szCs w:val="18"/>
                <w:lang w:eastAsia="zh-CN"/>
              </w:rPr>
            </w:pPr>
            <w:r w:rsidRPr="00F77964">
              <w:rPr>
                <w:sz w:val="18"/>
                <w:szCs w:val="18"/>
              </w:rPr>
              <w:t>Les coprésidents, les auteurs coordonnateurs principaux et les auteurs principaux révisent le projet de rapport et le résumé à l’intention des décideurs sous la supervision des éditeurs-réviseurs et du Groupe d’experts multidisciplinaire. Les auteurs et les éditeurs-réviseurs, conjointement avec un petit nombre de membres du Groupe d’experts multidisciplinaire, se réunissent une fois pour établir l</w:t>
            </w:r>
            <w:r w:rsidR="004762CF" w:rsidRPr="00F77964">
              <w:rPr>
                <w:sz w:val="18"/>
                <w:szCs w:val="18"/>
              </w:rPr>
              <w:t>a version finale du</w:t>
            </w:r>
            <w:r w:rsidRPr="00F77964">
              <w:rPr>
                <w:sz w:val="18"/>
                <w:szCs w:val="18"/>
              </w:rPr>
              <w:t xml:space="preserve"> rapport et d</w:t>
            </w:r>
            <w:r w:rsidR="004762CF" w:rsidRPr="00F77964">
              <w:rPr>
                <w:sz w:val="18"/>
                <w:szCs w:val="18"/>
              </w:rPr>
              <w:t>u</w:t>
            </w:r>
            <w:r w:rsidRPr="00F77964">
              <w:rPr>
                <w:sz w:val="18"/>
                <w:szCs w:val="18"/>
              </w:rPr>
              <w:t xml:space="preserve"> résumé à l’intention des décideurs</w:t>
            </w:r>
            <w:r w:rsidR="00F16D98" w:rsidRPr="00F77964">
              <w:rPr>
                <w:sz w:val="18"/>
                <w:szCs w:val="18"/>
              </w:rPr>
              <w:t xml:space="preserve"> (13 septembre</w:t>
            </w:r>
            <w:r w:rsidR="00376754">
              <w:rPr>
                <w:sz w:val="18"/>
                <w:szCs w:val="18"/>
              </w:rPr>
              <w:t xml:space="preserve"> </w:t>
            </w:r>
            <w:r w:rsidR="00F16D98" w:rsidRPr="00F77964">
              <w:rPr>
                <w:sz w:val="18"/>
                <w:szCs w:val="18"/>
              </w:rPr>
              <w:t>–</w:t>
            </w:r>
            <w:r w:rsidR="00376754">
              <w:rPr>
                <w:sz w:val="18"/>
                <w:szCs w:val="18"/>
              </w:rPr>
              <w:t xml:space="preserve"> </w:t>
            </w:r>
            <w:r w:rsidR="00F16D98" w:rsidRPr="00F77964">
              <w:rPr>
                <w:sz w:val="18"/>
                <w:szCs w:val="18"/>
              </w:rPr>
              <w:t>7 novembre)</w:t>
            </w:r>
          </w:p>
        </w:tc>
      </w:tr>
      <w:tr w:rsidR="0052314C" w:rsidRPr="0061490E" w:rsidTr="00DE0090">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rsidP="00033CC3">
            <w:pPr>
              <w:spacing w:before="40" w:after="40" w:line="240" w:lineRule="auto"/>
              <w:rPr>
                <w:rFonts w:eastAsia="SimSun"/>
                <w:sz w:val="18"/>
                <w:szCs w:val="18"/>
                <w:lang w:eastAsia="zh-CN"/>
              </w:rPr>
            </w:pPr>
          </w:p>
        </w:tc>
        <w:tc>
          <w:tcPr>
            <w:tcW w:w="1716" w:type="dxa"/>
            <w:tcBorders>
              <w:top w:val="single" w:sz="4" w:space="0" w:color="auto"/>
              <w:left w:val="single" w:sz="4" w:space="0" w:color="auto"/>
              <w:bottom w:val="single" w:sz="4" w:space="0" w:color="auto"/>
              <w:right w:val="single" w:sz="4" w:space="0" w:color="auto"/>
            </w:tcBorders>
            <w:hideMark/>
          </w:tcPr>
          <w:p w:rsidR="00D66005" w:rsidRPr="00F77964" w:rsidRDefault="00856166" w:rsidP="00033CC3">
            <w:pPr>
              <w:pStyle w:val="Normal-pool"/>
              <w:spacing w:before="40" w:after="40"/>
              <w:rPr>
                <w:rFonts w:eastAsia="SimSun"/>
                <w:sz w:val="18"/>
                <w:szCs w:val="18"/>
                <w:lang w:eastAsia="zh-CN"/>
              </w:rPr>
            </w:pPr>
            <w:r w:rsidRPr="00F77964">
              <w:rPr>
                <w:rFonts w:eastAsia="SimSun"/>
                <w:sz w:val="18"/>
                <w:szCs w:val="18"/>
                <w:lang w:eastAsia="zh-CN"/>
              </w:rPr>
              <w:t>Quatrième trimestre</w:t>
            </w:r>
          </w:p>
        </w:tc>
        <w:tc>
          <w:tcPr>
            <w:tcW w:w="5669"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856166" w:rsidP="00033CC3">
            <w:pPr>
              <w:pStyle w:val="Normal-pool"/>
              <w:spacing w:before="40" w:after="40"/>
              <w:rPr>
                <w:rFonts w:eastAsia="SimSun"/>
                <w:sz w:val="18"/>
                <w:szCs w:val="18"/>
                <w:lang w:eastAsia="zh-CN"/>
              </w:rPr>
            </w:pPr>
            <w:r w:rsidRPr="00F77964">
              <w:rPr>
                <w:sz w:val="18"/>
                <w:szCs w:val="18"/>
              </w:rPr>
              <w:t xml:space="preserve">Le résumé à l’intention des décideurs est traduit dans </w:t>
            </w:r>
            <w:r w:rsidR="00FC5607" w:rsidRPr="00F77964">
              <w:rPr>
                <w:sz w:val="18"/>
                <w:szCs w:val="18"/>
              </w:rPr>
              <w:t>toutes les</w:t>
            </w:r>
            <w:r w:rsidRPr="00F77964">
              <w:rPr>
                <w:sz w:val="18"/>
                <w:szCs w:val="18"/>
              </w:rPr>
              <w:t xml:space="preserve"> langues officielles de l’ONU (8 novembre</w:t>
            </w:r>
            <w:r w:rsidR="00725C65">
              <w:rPr>
                <w:sz w:val="18"/>
                <w:szCs w:val="18"/>
              </w:rPr>
              <w:t xml:space="preserve"> </w:t>
            </w:r>
            <w:r w:rsidRPr="00F77964">
              <w:rPr>
                <w:sz w:val="18"/>
                <w:szCs w:val="18"/>
              </w:rPr>
              <w:t>–</w:t>
            </w:r>
            <w:r w:rsidR="00725C65">
              <w:rPr>
                <w:sz w:val="18"/>
                <w:szCs w:val="18"/>
              </w:rPr>
              <w:t xml:space="preserve"> </w:t>
            </w:r>
            <w:r w:rsidRPr="00F77964">
              <w:rPr>
                <w:sz w:val="18"/>
                <w:szCs w:val="18"/>
              </w:rPr>
              <w:t>5 décembre)</w:t>
            </w:r>
          </w:p>
        </w:tc>
      </w:tr>
      <w:tr w:rsidR="0052314C" w:rsidRPr="0061490E" w:rsidTr="00DE0090">
        <w:trPr>
          <w:trHeight w:val="1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rsidP="00033CC3">
            <w:pPr>
              <w:spacing w:before="40" w:after="40" w:line="240" w:lineRule="auto"/>
              <w:rPr>
                <w:rFonts w:eastAsia="SimSun"/>
                <w:sz w:val="18"/>
                <w:szCs w:val="18"/>
                <w:lang w:eastAsia="zh-CN"/>
              </w:rPr>
            </w:pPr>
          </w:p>
        </w:tc>
        <w:tc>
          <w:tcPr>
            <w:tcW w:w="1716" w:type="dxa"/>
            <w:tcBorders>
              <w:top w:val="single" w:sz="4" w:space="0" w:color="auto"/>
              <w:left w:val="single" w:sz="4" w:space="0" w:color="auto"/>
              <w:bottom w:val="single" w:sz="4" w:space="0" w:color="auto"/>
              <w:right w:val="single" w:sz="4" w:space="0" w:color="auto"/>
            </w:tcBorders>
            <w:hideMark/>
          </w:tcPr>
          <w:p w:rsidR="00D66005" w:rsidRPr="00F77964" w:rsidRDefault="00856166" w:rsidP="00033CC3">
            <w:pPr>
              <w:pStyle w:val="Normal-pool"/>
              <w:spacing w:before="40" w:after="40"/>
              <w:rPr>
                <w:rFonts w:eastAsia="SimSun"/>
                <w:sz w:val="18"/>
                <w:szCs w:val="18"/>
                <w:lang w:eastAsia="zh-CN"/>
              </w:rPr>
            </w:pPr>
            <w:r w:rsidRPr="00F77964">
              <w:rPr>
                <w:rFonts w:eastAsia="SimSun"/>
                <w:sz w:val="18"/>
                <w:szCs w:val="18"/>
                <w:lang w:eastAsia="zh-CN"/>
              </w:rPr>
              <w:t>Quatrième trimestre</w:t>
            </w:r>
          </w:p>
        </w:tc>
        <w:tc>
          <w:tcPr>
            <w:tcW w:w="5669"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856166" w:rsidP="00033CC3">
            <w:pPr>
              <w:pStyle w:val="Normal-pool"/>
              <w:spacing w:before="40" w:after="40"/>
              <w:rPr>
                <w:rFonts w:eastAsia="SimSun"/>
                <w:sz w:val="18"/>
                <w:szCs w:val="18"/>
                <w:lang w:eastAsia="zh-CN"/>
              </w:rPr>
            </w:pPr>
            <w:r w:rsidRPr="00F77964">
              <w:rPr>
                <w:sz w:val="18"/>
                <w:szCs w:val="18"/>
              </w:rPr>
              <w:t>L</w:t>
            </w:r>
            <w:r w:rsidR="004762CF" w:rsidRPr="00F77964">
              <w:rPr>
                <w:sz w:val="18"/>
                <w:szCs w:val="18"/>
              </w:rPr>
              <w:t>a version finale du</w:t>
            </w:r>
            <w:r w:rsidRPr="00F77964">
              <w:rPr>
                <w:sz w:val="18"/>
                <w:szCs w:val="18"/>
              </w:rPr>
              <w:t xml:space="preserve"> rapport et d</w:t>
            </w:r>
            <w:r w:rsidR="004762CF" w:rsidRPr="00F77964">
              <w:rPr>
                <w:sz w:val="18"/>
                <w:szCs w:val="18"/>
              </w:rPr>
              <w:t>u</w:t>
            </w:r>
            <w:r w:rsidRPr="00F77964">
              <w:rPr>
                <w:sz w:val="18"/>
                <w:szCs w:val="18"/>
              </w:rPr>
              <w:t xml:space="preserve"> résumé à l’intention des décideurs est adressé</w:t>
            </w:r>
            <w:r w:rsidR="004762CF" w:rsidRPr="00F77964">
              <w:rPr>
                <w:sz w:val="18"/>
                <w:szCs w:val="18"/>
              </w:rPr>
              <w:t>e</w:t>
            </w:r>
            <w:r w:rsidRPr="00F77964">
              <w:rPr>
                <w:sz w:val="18"/>
                <w:szCs w:val="18"/>
              </w:rPr>
              <w:t xml:space="preserve"> aux gouvernements et aux autres parties prenantes pour examen final (6 décembre</w:t>
            </w:r>
            <w:r w:rsidR="00A850DD">
              <w:rPr>
                <w:sz w:val="18"/>
                <w:szCs w:val="18"/>
              </w:rPr>
              <w:t xml:space="preserve"> 2014 </w:t>
            </w:r>
            <w:r w:rsidRPr="00F77964">
              <w:rPr>
                <w:sz w:val="18"/>
                <w:szCs w:val="18"/>
              </w:rPr>
              <w:t>–</w:t>
            </w:r>
            <w:r w:rsidR="00A850DD">
              <w:rPr>
                <w:sz w:val="18"/>
                <w:szCs w:val="18"/>
              </w:rPr>
              <w:t xml:space="preserve"> </w:t>
            </w:r>
            <w:r w:rsidRPr="00F77964">
              <w:rPr>
                <w:sz w:val="18"/>
                <w:szCs w:val="18"/>
              </w:rPr>
              <w:t>6 février</w:t>
            </w:r>
            <w:r w:rsidR="00A850DD">
              <w:rPr>
                <w:sz w:val="18"/>
                <w:szCs w:val="18"/>
              </w:rPr>
              <w:t xml:space="preserve"> 2015</w:t>
            </w:r>
            <w:r w:rsidRPr="00F77964">
              <w:rPr>
                <w:sz w:val="18"/>
                <w:szCs w:val="18"/>
              </w:rPr>
              <w:t>)</w:t>
            </w:r>
          </w:p>
        </w:tc>
      </w:tr>
      <w:tr w:rsidR="0052314C" w:rsidRPr="0061490E" w:rsidTr="00DE0090">
        <w:trPr>
          <w:trHeight w:val="257"/>
        </w:trPr>
        <w:tc>
          <w:tcPr>
            <w:tcW w:w="609"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033CC3">
            <w:pPr>
              <w:pStyle w:val="Normal-pool"/>
              <w:spacing w:before="40" w:after="40"/>
              <w:rPr>
                <w:rFonts w:eastAsia="SimSun"/>
                <w:sz w:val="18"/>
                <w:szCs w:val="18"/>
                <w:lang w:eastAsia="zh-CN"/>
              </w:rPr>
            </w:pPr>
            <w:r w:rsidRPr="00F77964">
              <w:rPr>
                <w:rFonts w:eastAsia="SimSun"/>
                <w:sz w:val="18"/>
                <w:szCs w:val="18"/>
                <w:lang w:eastAsia="zh-CN"/>
              </w:rPr>
              <w:t>2015</w:t>
            </w:r>
          </w:p>
        </w:tc>
        <w:tc>
          <w:tcPr>
            <w:tcW w:w="1716" w:type="dxa"/>
            <w:tcBorders>
              <w:top w:val="single" w:sz="4" w:space="0" w:color="auto"/>
              <w:left w:val="single" w:sz="4" w:space="0" w:color="auto"/>
              <w:bottom w:val="single" w:sz="4" w:space="0" w:color="auto"/>
              <w:right w:val="single" w:sz="4" w:space="0" w:color="auto"/>
            </w:tcBorders>
            <w:hideMark/>
          </w:tcPr>
          <w:p w:rsidR="00D66005" w:rsidRPr="00F77964" w:rsidRDefault="00856166" w:rsidP="00033CC3">
            <w:pPr>
              <w:pStyle w:val="Normal-pool"/>
              <w:spacing w:before="40" w:after="40"/>
              <w:rPr>
                <w:rFonts w:eastAsia="SimSun"/>
                <w:sz w:val="18"/>
                <w:szCs w:val="18"/>
                <w:lang w:eastAsia="zh-CN"/>
              </w:rPr>
            </w:pPr>
            <w:r w:rsidRPr="00F77964">
              <w:rPr>
                <w:rFonts w:eastAsia="SimSun"/>
                <w:sz w:val="18"/>
                <w:szCs w:val="18"/>
                <w:lang w:eastAsia="zh-CN"/>
              </w:rPr>
              <w:t>Premier trimestre</w:t>
            </w:r>
          </w:p>
        </w:tc>
        <w:tc>
          <w:tcPr>
            <w:tcW w:w="5669"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856166" w:rsidP="00033CC3">
            <w:pPr>
              <w:pStyle w:val="Normal-pool"/>
              <w:spacing w:before="40" w:after="40"/>
              <w:rPr>
                <w:rFonts w:eastAsia="SimSun"/>
                <w:sz w:val="18"/>
                <w:szCs w:val="18"/>
                <w:lang w:eastAsia="zh-CN"/>
              </w:rPr>
            </w:pPr>
            <w:r w:rsidRPr="00F77964">
              <w:rPr>
                <w:sz w:val="18"/>
                <w:szCs w:val="18"/>
              </w:rPr>
              <w:t>Les gouvernements envoient au secrétariat des observations écrites sur le résumé à l’intention des décideurs (31 janvier).</w:t>
            </w:r>
          </w:p>
        </w:tc>
      </w:tr>
      <w:tr w:rsidR="0052314C" w:rsidRPr="0061490E" w:rsidTr="00DE0090">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rsidP="00033CC3">
            <w:pPr>
              <w:spacing w:before="40" w:after="40" w:line="240" w:lineRule="auto"/>
              <w:rPr>
                <w:rFonts w:eastAsia="SimSun"/>
                <w:sz w:val="18"/>
                <w:szCs w:val="18"/>
                <w:lang w:eastAsia="zh-CN"/>
              </w:rPr>
            </w:pPr>
          </w:p>
        </w:tc>
        <w:tc>
          <w:tcPr>
            <w:tcW w:w="1716" w:type="dxa"/>
            <w:tcBorders>
              <w:top w:val="single" w:sz="4" w:space="0" w:color="auto"/>
              <w:left w:val="single" w:sz="4" w:space="0" w:color="auto"/>
              <w:bottom w:val="single" w:sz="4" w:space="0" w:color="auto"/>
              <w:right w:val="single" w:sz="4" w:space="0" w:color="auto"/>
            </w:tcBorders>
            <w:hideMark/>
          </w:tcPr>
          <w:p w:rsidR="00D66005" w:rsidRPr="00F77964" w:rsidRDefault="00856166" w:rsidP="00033CC3">
            <w:pPr>
              <w:pStyle w:val="Normal-pool"/>
              <w:spacing w:before="40" w:after="40"/>
              <w:rPr>
                <w:rFonts w:eastAsia="SimSun"/>
                <w:sz w:val="18"/>
                <w:szCs w:val="18"/>
                <w:lang w:eastAsia="zh-CN"/>
              </w:rPr>
            </w:pPr>
            <w:r w:rsidRPr="00F77964">
              <w:rPr>
                <w:rFonts w:eastAsia="SimSun"/>
                <w:sz w:val="18"/>
                <w:szCs w:val="18"/>
                <w:lang w:eastAsia="zh-CN"/>
              </w:rPr>
              <w:t>Premier trimestre</w:t>
            </w:r>
          </w:p>
        </w:tc>
        <w:tc>
          <w:tcPr>
            <w:tcW w:w="5669"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856166" w:rsidP="00033CC3">
            <w:pPr>
              <w:pStyle w:val="Normal-pool"/>
              <w:spacing w:before="40" w:after="40"/>
              <w:rPr>
                <w:rFonts w:eastAsia="SimSun"/>
                <w:sz w:val="18"/>
                <w:szCs w:val="18"/>
                <w:lang w:eastAsia="zh-CN"/>
              </w:rPr>
            </w:pPr>
            <w:r w:rsidRPr="00F77964">
              <w:rPr>
                <w:sz w:val="18"/>
                <w:szCs w:val="18"/>
              </w:rPr>
              <w:t>La Plénière examine et accepte le rapport et approuve le résumé à l’intention des décideurs (après le 8 février)</w:t>
            </w:r>
          </w:p>
        </w:tc>
      </w:tr>
    </w:tbl>
    <w:p w:rsidR="00D66005" w:rsidRPr="00F77964" w:rsidRDefault="00D66005" w:rsidP="00D66005">
      <w:pPr>
        <w:pStyle w:val="CH3"/>
        <w:spacing w:before="200"/>
        <w:rPr>
          <w:rFonts w:eastAsia="SimSun"/>
          <w:lang w:val="fr-FR" w:eastAsia="zh-CN"/>
        </w:rPr>
      </w:pPr>
      <w:r w:rsidRPr="00F77964">
        <w:rPr>
          <w:rFonts w:eastAsia="SimSun"/>
          <w:lang w:val="fr-FR" w:eastAsia="zh-CN"/>
        </w:rPr>
        <w:tab/>
      </w:r>
      <w:r w:rsidRPr="00F77964">
        <w:rPr>
          <w:rFonts w:eastAsia="SimSun"/>
          <w:lang w:val="fr-FR" w:eastAsia="zh-CN"/>
        </w:rPr>
        <w:tab/>
      </w:r>
      <w:r w:rsidR="004D2BEE" w:rsidRPr="00F77964">
        <w:rPr>
          <w:rFonts w:eastAsia="SimSun"/>
          <w:lang w:val="fr-FR" w:eastAsia="zh-CN"/>
        </w:rPr>
        <w:t>Prévisions de coûts</w:t>
      </w:r>
    </w:p>
    <w:p w:rsidR="00D66005" w:rsidRPr="00F77964" w:rsidRDefault="004D2BEE" w:rsidP="00D66005">
      <w:pPr>
        <w:pStyle w:val="Normalnumber"/>
        <w:numPr>
          <w:ilvl w:val="0"/>
          <w:numId w:val="6"/>
        </w:numPr>
        <w:tabs>
          <w:tab w:val="left" w:pos="624"/>
        </w:tabs>
        <w:ind w:left="1247" w:firstLine="0"/>
        <w:rPr>
          <w:lang w:val="fr-FR"/>
        </w:rPr>
      </w:pPr>
      <w:r w:rsidRPr="00F77964">
        <w:rPr>
          <w:lang w:val="fr-FR"/>
        </w:rPr>
        <w:t>Les prévisions de coûts sont les suivantes :</w:t>
      </w:r>
    </w:p>
    <w:tbl>
      <w:tblPr>
        <w:tblW w:w="0" w:type="auto"/>
        <w:jc w:val="right"/>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16"/>
        <w:gridCol w:w="3119"/>
        <w:gridCol w:w="956"/>
      </w:tblGrid>
      <w:tr w:rsidR="00D7471C" w:rsidRPr="0061490E" w:rsidTr="001919D9">
        <w:trPr>
          <w:jc w:val="right"/>
        </w:trPr>
        <w:tc>
          <w:tcPr>
            <w:tcW w:w="709" w:type="dxa"/>
            <w:shd w:val="clear" w:color="auto" w:fill="auto"/>
          </w:tcPr>
          <w:p w:rsidR="00D7471C" w:rsidRPr="00F77964" w:rsidRDefault="00D7471C" w:rsidP="000C18BD">
            <w:pPr>
              <w:pStyle w:val="Normal-pool"/>
              <w:keepNext/>
              <w:keepLines/>
              <w:spacing w:before="40" w:after="40"/>
              <w:rPr>
                <w:rFonts w:eastAsia="SimSun"/>
                <w:b/>
                <w:sz w:val="18"/>
                <w:szCs w:val="18"/>
                <w:lang w:eastAsia="zh-CN"/>
              </w:rPr>
            </w:pPr>
            <w:bookmarkStart w:id="1" w:name="OLE_LINK1"/>
            <w:bookmarkStart w:id="2" w:name="OLE_LINK2"/>
            <w:r w:rsidRPr="00F77964">
              <w:rPr>
                <w:rFonts w:eastAsia="SimSun"/>
                <w:b/>
                <w:sz w:val="18"/>
                <w:szCs w:val="18"/>
                <w:lang w:eastAsia="zh-CN"/>
              </w:rPr>
              <w:t>Année</w:t>
            </w:r>
          </w:p>
        </w:tc>
        <w:tc>
          <w:tcPr>
            <w:tcW w:w="3216" w:type="dxa"/>
            <w:shd w:val="clear" w:color="auto" w:fill="auto"/>
          </w:tcPr>
          <w:p w:rsidR="00D7471C" w:rsidRPr="00F77964" w:rsidRDefault="00D972E8" w:rsidP="000C18BD">
            <w:pPr>
              <w:pStyle w:val="Normal-pool"/>
              <w:keepNext/>
              <w:keepLines/>
              <w:spacing w:before="40" w:after="40"/>
              <w:rPr>
                <w:rFonts w:eastAsia="SimSun"/>
                <w:b/>
                <w:sz w:val="18"/>
                <w:szCs w:val="18"/>
                <w:lang w:eastAsia="zh-CN"/>
              </w:rPr>
            </w:pPr>
            <w:r>
              <w:rPr>
                <w:rFonts w:eastAsia="SimSun"/>
                <w:b/>
                <w:sz w:val="18"/>
                <w:szCs w:val="18"/>
                <w:lang w:eastAsia="zh-CN"/>
              </w:rPr>
              <w:t>Postes de dépense</w:t>
            </w:r>
          </w:p>
        </w:tc>
        <w:tc>
          <w:tcPr>
            <w:tcW w:w="3119" w:type="dxa"/>
            <w:shd w:val="clear" w:color="auto" w:fill="auto"/>
          </w:tcPr>
          <w:p w:rsidR="00D7471C" w:rsidRPr="00F77964" w:rsidRDefault="00D7471C" w:rsidP="000C18BD">
            <w:pPr>
              <w:pStyle w:val="Normal-pool"/>
              <w:keepNext/>
              <w:keepLines/>
              <w:spacing w:before="40" w:after="40"/>
              <w:rPr>
                <w:rFonts w:eastAsia="SimSun"/>
                <w:b/>
                <w:sz w:val="18"/>
                <w:szCs w:val="18"/>
                <w:lang w:eastAsia="zh-CN"/>
              </w:rPr>
            </w:pPr>
            <w:r w:rsidRPr="00F77964">
              <w:rPr>
                <w:rFonts w:eastAsia="SimSun"/>
                <w:b/>
                <w:sz w:val="18"/>
                <w:szCs w:val="18"/>
                <w:lang w:eastAsia="zh-CN"/>
              </w:rPr>
              <w:t>Hypothèses</w:t>
            </w:r>
          </w:p>
        </w:tc>
        <w:tc>
          <w:tcPr>
            <w:tcW w:w="956" w:type="dxa"/>
            <w:shd w:val="clear" w:color="auto" w:fill="auto"/>
          </w:tcPr>
          <w:p w:rsidR="00D7471C" w:rsidRPr="00F77964" w:rsidRDefault="00D7471C" w:rsidP="000C18BD">
            <w:pPr>
              <w:pStyle w:val="Normal-pool"/>
              <w:keepNext/>
              <w:keepLines/>
              <w:jc w:val="right"/>
              <w:rPr>
                <w:rFonts w:eastAsia="SimSun"/>
                <w:b/>
                <w:sz w:val="18"/>
                <w:szCs w:val="18"/>
                <w:lang w:eastAsia="zh-CN"/>
              </w:rPr>
            </w:pPr>
            <w:r w:rsidRPr="00F77964">
              <w:rPr>
                <w:rFonts w:eastAsia="SimSun"/>
                <w:b/>
                <w:sz w:val="18"/>
                <w:szCs w:val="18"/>
                <w:lang w:eastAsia="zh-CN"/>
              </w:rPr>
              <w:t>Coût</w:t>
            </w:r>
          </w:p>
        </w:tc>
      </w:tr>
      <w:tr w:rsidR="00D7471C" w:rsidRPr="0061490E" w:rsidTr="00033CC3">
        <w:trPr>
          <w:jc w:val="right"/>
        </w:trPr>
        <w:tc>
          <w:tcPr>
            <w:tcW w:w="709" w:type="dxa"/>
            <w:vMerge w:val="restart"/>
            <w:shd w:val="clear" w:color="auto" w:fill="auto"/>
          </w:tcPr>
          <w:p w:rsidR="00D7471C" w:rsidRPr="00F77964" w:rsidRDefault="00D7471C" w:rsidP="00033CC3">
            <w:pPr>
              <w:pStyle w:val="Normal-pool"/>
              <w:keepNext/>
              <w:keepLines/>
              <w:spacing w:before="40" w:after="40"/>
              <w:rPr>
                <w:rFonts w:eastAsia="SimSun"/>
                <w:sz w:val="18"/>
                <w:szCs w:val="18"/>
                <w:lang w:eastAsia="zh-CN"/>
              </w:rPr>
            </w:pPr>
            <w:r w:rsidRPr="00F77964">
              <w:rPr>
                <w:rFonts w:eastAsia="SimSun"/>
                <w:sz w:val="18"/>
                <w:szCs w:val="18"/>
                <w:lang w:eastAsia="zh-CN"/>
              </w:rPr>
              <w:t>2014</w:t>
            </w:r>
          </w:p>
        </w:tc>
        <w:tc>
          <w:tcPr>
            <w:tcW w:w="3216" w:type="dxa"/>
            <w:vMerge w:val="restart"/>
            <w:shd w:val="clear" w:color="auto" w:fill="auto"/>
          </w:tcPr>
          <w:p w:rsidR="00D7471C" w:rsidRPr="00F77964" w:rsidRDefault="00D7471C" w:rsidP="00033CC3">
            <w:pPr>
              <w:pStyle w:val="ListParagraph"/>
              <w:keepNext/>
              <w:keepLines/>
              <w:tabs>
                <w:tab w:val="left" w:pos="426"/>
              </w:tabs>
              <w:autoSpaceDE w:val="0"/>
              <w:autoSpaceDN w:val="0"/>
              <w:adjustRightInd w:val="0"/>
              <w:spacing w:before="40" w:after="40" w:line="240" w:lineRule="auto"/>
              <w:ind w:left="0"/>
              <w:contextualSpacing w:val="0"/>
              <w:rPr>
                <w:rFonts w:ascii="Times New Roman" w:eastAsia="SimSun" w:hAnsi="Times New Roman"/>
                <w:sz w:val="18"/>
                <w:szCs w:val="18"/>
                <w:lang w:val="fr-FR" w:eastAsia="zh-CN"/>
              </w:rPr>
            </w:pPr>
            <w:r w:rsidRPr="00F77964">
              <w:rPr>
                <w:rFonts w:ascii="Times New Roman" w:eastAsia="SimSun" w:hAnsi="Times New Roman"/>
                <w:sz w:val="18"/>
                <w:szCs w:val="18"/>
                <w:lang w:val="fr-FR" w:eastAsia="zh-CN"/>
              </w:rPr>
              <w:t>Première réunion des auteurs (75 coprésidents, auteurs coordonnateurs principaux et auteurs principaux</w:t>
            </w:r>
            <w:r w:rsidR="00D972E8">
              <w:rPr>
                <w:rFonts w:ascii="Times New Roman" w:eastAsia="SimSun" w:hAnsi="Times New Roman"/>
                <w:sz w:val="18"/>
                <w:szCs w:val="18"/>
                <w:lang w:val="fr-FR" w:eastAsia="zh-CN"/>
              </w:rPr>
              <w:t xml:space="preserve"> + </w:t>
            </w:r>
            <w:r w:rsidRPr="00F77964">
              <w:rPr>
                <w:rFonts w:ascii="Times New Roman" w:eastAsia="SimSun" w:hAnsi="Times New Roman"/>
                <w:sz w:val="18"/>
                <w:szCs w:val="18"/>
                <w:lang w:val="fr-FR" w:eastAsia="zh-CN"/>
              </w:rPr>
              <w:t>4 membres du Groupe d’experts multidisciplinaire/Bureau</w:t>
            </w:r>
            <w:r w:rsidR="00D972E8">
              <w:rPr>
                <w:rFonts w:ascii="Times New Roman" w:eastAsia="SimSun" w:hAnsi="Times New Roman"/>
                <w:sz w:val="18"/>
                <w:szCs w:val="18"/>
                <w:lang w:val="fr-FR" w:eastAsia="zh-CN"/>
              </w:rPr>
              <w:t xml:space="preserve"> + </w:t>
            </w:r>
            <w:r w:rsidRPr="00F77964">
              <w:rPr>
                <w:rFonts w:ascii="Times New Roman" w:eastAsia="SimSun" w:hAnsi="Times New Roman"/>
                <w:sz w:val="18"/>
                <w:szCs w:val="18"/>
                <w:lang w:val="fr-FR" w:eastAsia="zh-CN"/>
              </w:rPr>
              <w:t>1 agent des services d’appui technique)</w:t>
            </w:r>
          </w:p>
        </w:tc>
        <w:tc>
          <w:tcPr>
            <w:tcW w:w="3119" w:type="dxa"/>
            <w:shd w:val="clear" w:color="auto" w:fill="auto"/>
          </w:tcPr>
          <w:p w:rsidR="00D7471C" w:rsidRPr="00F77964" w:rsidRDefault="00D7471C" w:rsidP="00033CC3">
            <w:pPr>
              <w:pStyle w:val="ListParagraph"/>
              <w:keepNext/>
              <w:keepLines/>
              <w:tabs>
                <w:tab w:val="left" w:pos="426"/>
              </w:tabs>
              <w:autoSpaceDE w:val="0"/>
              <w:autoSpaceDN w:val="0"/>
              <w:adjustRightInd w:val="0"/>
              <w:spacing w:before="40" w:after="40" w:line="240" w:lineRule="auto"/>
              <w:ind w:left="0"/>
              <w:contextualSpacing w:val="0"/>
              <w:rPr>
                <w:rFonts w:ascii="Times New Roman" w:eastAsia="SimSun" w:hAnsi="Times New Roman"/>
                <w:sz w:val="18"/>
                <w:szCs w:val="18"/>
                <w:lang w:val="fr-FR" w:eastAsia="zh-CN"/>
              </w:rPr>
            </w:pPr>
            <w:r w:rsidRPr="00F77964">
              <w:rPr>
                <w:rFonts w:ascii="Times New Roman" w:eastAsia="SimSun" w:hAnsi="Times New Roman"/>
                <w:sz w:val="18"/>
                <w:szCs w:val="18"/>
                <w:lang w:val="fr-FR" w:eastAsia="zh-CN"/>
              </w:rPr>
              <w:t>Coûts de la réunion (1 semaine, 80 participants) (25 % en nature)</w:t>
            </w:r>
          </w:p>
        </w:tc>
        <w:tc>
          <w:tcPr>
            <w:tcW w:w="956" w:type="dxa"/>
            <w:shd w:val="clear" w:color="auto" w:fill="auto"/>
          </w:tcPr>
          <w:p w:rsidR="00D7471C" w:rsidRPr="00F77964" w:rsidRDefault="00D7471C" w:rsidP="00033CC3">
            <w:pPr>
              <w:pStyle w:val="Normal-pool"/>
              <w:keepNext/>
              <w:keepLines/>
              <w:spacing w:before="40" w:after="40"/>
              <w:rPr>
                <w:rFonts w:eastAsia="SimSun"/>
                <w:sz w:val="18"/>
                <w:szCs w:val="18"/>
                <w:lang w:eastAsia="zh-CN"/>
              </w:rPr>
            </w:pPr>
            <w:r w:rsidRPr="00F77964">
              <w:rPr>
                <w:rFonts w:eastAsia="SimSun"/>
                <w:sz w:val="18"/>
                <w:szCs w:val="18"/>
                <w:lang w:eastAsia="zh-CN"/>
              </w:rPr>
              <w:t>15 000</w:t>
            </w:r>
          </w:p>
        </w:tc>
      </w:tr>
      <w:tr w:rsidR="00D7471C" w:rsidRPr="0061490E" w:rsidTr="00033CC3">
        <w:trPr>
          <w:trHeight w:val="337"/>
          <w:jc w:val="right"/>
        </w:trPr>
        <w:tc>
          <w:tcPr>
            <w:tcW w:w="709" w:type="dxa"/>
            <w:vMerge/>
            <w:shd w:val="clear" w:color="auto" w:fill="auto"/>
          </w:tcPr>
          <w:p w:rsidR="00D7471C" w:rsidRPr="00F77964" w:rsidRDefault="00D7471C" w:rsidP="00033CC3">
            <w:pPr>
              <w:pStyle w:val="ListParagraph"/>
              <w:tabs>
                <w:tab w:val="left" w:pos="426"/>
              </w:tabs>
              <w:autoSpaceDE w:val="0"/>
              <w:autoSpaceDN w:val="0"/>
              <w:adjustRightInd w:val="0"/>
              <w:spacing w:before="40" w:after="40" w:line="240" w:lineRule="auto"/>
              <w:ind w:left="0"/>
              <w:contextualSpacing w:val="0"/>
              <w:rPr>
                <w:rFonts w:ascii="Times New Roman" w:eastAsia="SimSun" w:hAnsi="Times New Roman"/>
                <w:sz w:val="18"/>
                <w:szCs w:val="18"/>
                <w:lang w:val="fr-FR" w:eastAsia="zh-CN"/>
              </w:rPr>
            </w:pPr>
          </w:p>
        </w:tc>
        <w:tc>
          <w:tcPr>
            <w:tcW w:w="3216" w:type="dxa"/>
            <w:vMerge/>
            <w:shd w:val="clear" w:color="auto" w:fill="auto"/>
          </w:tcPr>
          <w:p w:rsidR="00D7471C" w:rsidRPr="00F77964" w:rsidRDefault="00D7471C" w:rsidP="00033CC3">
            <w:pPr>
              <w:pStyle w:val="ListParagraph"/>
              <w:tabs>
                <w:tab w:val="left" w:pos="426"/>
              </w:tabs>
              <w:autoSpaceDE w:val="0"/>
              <w:autoSpaceDN w:val="0"/>
              <w:adjustRightInd w:val="0"/>
              <w:spacing w:before="40" w:after="40" w:line="240" w:lineRule="auto"/>
              <w:ind w:left="0"/>
              <w:contextualSpacing w:val="0"/>
              <w:rPr>
                <w:rFonts w:ascii="Times New Roman" w:eastAsia="SimSun" w:hAnsi="Times New Roman"/>
                <w:sz w:val="18"/>
                <w:szCs w:val="18"/>
                <w:lang w:val="fr-FR" w:eastAsia="zh-CN"/>
              </w:rPr>
            </w:pPr>
          </w:p>
        </w:tc>
        <w:tc>
          <w:tcPr>
            <w:tcW w:w="3119" w:type="dxa"/>
            <w:shd w:val="clear" w:color="auto" w:fill="auto"/>
          </w:tcPr>
          <w:p w:rsidR="00D7471C" w:rsidRPr="00F77964" w:rsidRDefault="00D972E8" w:rsidP="00033CC3">
            <w:pPr>
              <w:pStyle w:val="ListParagraph"/>
              <w:tabs>
                <w:tab w:val="left" w:pos="426"/>
              </w:tabs>
              <w:autoSpaceDE w:val="0"/>
              <w:autoSpaceDN w:val="0"/>
              <w:adjustRightInd w:val="0"/>
              <w:spacing w:before="40" w:after="40" w:line="240" w:lineRule="auto"/>
              <w:ind w:left="0"/>
              <w:contextualSpacing w:val="0"/>
              <w:rPr>
                <w:rFonts w:ascii="Times New Roman" w:eastAsia="SimSun" w:hAnsi="Times New Roman"/>
                <w:sz w:val="18"/>
                <w:szCs w:val="18"/>
                <w:lang w:val="fr-FR" w:eastAsia="zh-CN"/>
              </w:rPr>
            </w:pPr>
            <w:r>
              <w:rPr>
                <w:rFonts w:ascii="Times New Roman" w:eastAsia="SimSun" w:hAnsi="Times New Roman"/>
                <w:sz w:val="18"/>
                <w:szCs w:val="18"/>
                <w:lang w:val="fr-FR" w:eastAsia="zh-CN"/>
              </w:rPr>
              <w:t>Frais de voyage et indemnités journalières de subsistance</w:t>
            </w:r>
            <w:r w:rsidR="00D7471C" w:rsidRPr="00F77964">
              <w:rPr>
                <w:rFonts w:ascii="Times New Roman" w:eastAsia="SimSun" w:hAnsi="Times New Roman"/>
                <w:sz w:val="18"/>
                <w:szCs w:val="18"/>
                <w:lang w:val="fr-FR" w:eastAsia="zh-CN"/>
              </w:rPr>
              <w:t xml:space="preserve"> (60 x 3 000 dollars)</w:t>
            </w:r>
          </w:p>
        </w:tc>
        <w:tc>
          <w:tcPr>
            <w:tcW w:w="956" w:type="dxa"/>
            <w:shd w:val="clear" w:color="auto" w:fill="auto"/>
          </w:tcPr>
          <w:p w:rsidR="00D7471C" w:rsidRPr="00F77964" w:rsidRDefault="00D7471C" w:rsidP="00033CC3">
            <w:pPr>
              <w:pStyle w:val="Normal-pool"/>
              <w:spacing w:before="40" w:after="40"/>
              <w:rPr>
                <w:rFonts w:eastAsia="SimSun"/>
                <w:sz w:val="18"/>
                <w:szCs w:val="18"/>
                <w:lang w:eastAsia="zh-CN"/>
              </w:rPr>
            </w:pPr>
            <w:r w:rsidRPr="00F77964">
              <w:rPr>
                <w:rFonts w:eastAsia="SimSun"/>
                <w:sz w:val="18"/>
                <w:szCs w:val="18"/>
                <w:lang w:eastAsia="zh-CN"/>
              </w:rPr>
              <w:t>180 000</w:t>
            </w:r>
          </w:p>
        </w:tc>
      </w:tr>
      <w:tr w:rsidR="00D7471C" w:rsidRPr="0061490E" w:rsidTr="00033CC3">
        <w:trPr>
          <w:jc w:val="right"/>
        </w:trPr>
        <w:tc>
          <w:tcPr>
            <w:tcW w:w="709" w:type="dxa"/>
            <w:vMerge/>
            <w:shd w:val="clear" w:color="auto" w:fill="auto"/>
          </w:tcPr>
          <w:p w:rsidR="00D7471C" w:rsidRPr="00F77964" w:rsidRDefault="00D7471C" w:rsidP="00033CC3">
            <w:pPr>
              <w:pStyle w:val="ListParagraph"/>
              <w:tabs>
                <w:tab w:val="left" w:pos="426"/>
              </w:tabs>
              <w:autoSpaceDE w:val="0"/>
              <w:autoSpaceDN w:val="0"/>
              <w:adjustRightInd w:val="0"/>
              <w:spacing w:before="40" w:after="40" w:line="240" w:lineRule="auto"/>
              <w:ind w:left="0"/>
              <w:contextualSpacing w:val="0"/>
              <w:rPr>
                <w:rFonts w:ascii="Times New Roman" w:eastAsia="SimSun" w:hAnsi="Times New Roman"/>
                <w:sz w:val="18"/>
                <w:szCs w:val="18"/>
                <w:lang w:val="fr-FR" w:eastAsia="zh-CN"/>
              </w:rPr>
            </w:pPr>
          </w:p>
        </w:tc>
        <w:tc>
          <w:tcPr>
            <w:tcW w:w="3216" w:type="dxa"/>
            <w:vMerge w:val="restart"/>
            <w:shd w:val="clear" w:color="auto" w:fill="auto"/>
          </w:tcPr>
          <w:p w:rsidR="00D7471C" w:rsidRPr="00F77964" w:rsidRDefault="00D7471C" w:rsidP="00033CC3">
            <w:pPr>
              <w:pStyle w:val="Normal-pool"/>
              <w:spacing w:before="40" w:after="40"/>
              <w:rPr>
                <w:rFonts w:eastAsia="SimSun"/>
                <w:sz w:val="18"/>
                <w:szCs w:val="18"/>
                <w:lang w:eastAsia="zh-CN"/>
              </w:rPr>
            </w:pPr>
            <w:r w:rsidRPr="00F77964">
              <w:rPr>
                <w:rFonts w:eastAsia="SimSun"/>
                <w:sz w:val="18"/>
                <w:szCs w:val="18"/>
                <w:lang w:eastAsia="zh-CN"/>
              </w:rPr>
              <w:t xml:space="preserve">Deuxième réunion des auteurs (75 coprésidents, auteurs coordonnateurs </w:t>
            </w:r>
            <w:r w:rsidRPr="00F77964">
              <w:rPr>
                <w:rFonts w:eastAsia="SimSun"/>
                <w:sz w:val="18"/>
                <w:szCs w:val="18"/>
                <w:lang w:eastAsia="zh-CN"/>
              </w:rPr>
              <w:lastRenderedPageBreak/>
              <w:t>principaux et auteurs principaux</w:t>
            </w:r>
            <w:r w:rsidR="00D972E8">
              <w:rPr>
                <w:rFonts w:eastAsia="SimSun"/>
                <w:sz w:val="18"/>
                <w:szCs w:val="18"/>
                <w:lang w:eastAsia="zh-CN"/>
              </w:rPr>
              <w:t xml:space="preserve"> + </w:t>
            </w:r>
            <w:r w:rsidRPr="00F77964">
              <w:rPr>
                <w:rFonts w:eastAsia="SimSun"/>
                <w:sz w:val="18"/>
                <w:szCs w:val="18"/>
                <w:lang w:eastAsia="zh-CN"/>
              </w:rPr>
              <w:t>4 membres du Groupe d’experts multidisciplinaire/Bureau</w:t>
            </w:r>
            <w:r w:rsidR="00D972E8">
              <w:rPr>
                <w:rFonts w:eastAsia="SimSun"/>
                <w:sz w:val="18"/>
                <w:szCs w:val="18"/>
                <w:lang w:eastAsia="zh-CN"/>
              </w:rPr>
              <w:t xml:space="preserve"> + </w:t>
            </w:r>
            <w:r w:rsidRPr="00F77964">
              <w:rPr>
                <w:rFonts w:eastAsia="SimSun"/>
                <w:sz w:val="18"/>
                <w:szCs w:val="18"/>
                <w:lang w:eastAsia="zh-CN"/>
              </w:rPr>
              <w:t>1 agent des services d’appui technique)</w:t>
            </w:r>
          </w:p>
        </w:tc>
        <w:tc>
          <w:tcPr>
            <w:tcW w:w="3119" w:type="dxa"/>
            <w:shd w:val="clear" w:color="auto" w:fill="auto"/>
          </w:tcPr>
          <w:p w:rsidR="00D7471C" w:rsidRPr="00F77964" w:rsidRDefault="00D7471C" w:rsidP="00033CC3">
            <w:pPr>
              <w:pStyle w:val="Normal-pool"/>
              <w:spacing w:before="40" w:after="40"/>
              <w:rPr>
                <w:rFonts w:eastAsia="SimSun"/>
                <w:sz w:val="18"/>
                <w:szCs w:val="18"/>
                <w:lang w:eastAsia="zh-CN"/>
              </w:rPr>
            </w:pPr>
            <w:r w:rsidRPr="00F77964">
              <w:rPr>
                <w:rFonts w:eastAsia="SimSun"/>
                <w:sz w:val="18"/>
                <w:szCs w:val="18"/>
                <w:lang w:eastAsia="zh-CN"/>
              </w:rPr>
              <w:lastRenderedPageBreak/>
              <w:t>Coûts de la réunion (1 semaine, 80 participants) (25 % en nature)</w:t>
            </w:r>
          </w:p>
        </w:tc>
        <w:tc>
          <w:tcPr>
            <w:tcW w:w="956" w:type="dxa"/>
            <w:shd w:val="clear" w:color="auto" w:fill="auto"/>
          </w:tcPr>
          <w:p w:rsidR="00D7471C" w:rsidRPr="00F77964" w:rsidRDefault="00D7471C" w:rsidP="00033CC3">
            <w:pPr>
              <w:pStyle w:val="Normal-pool"/>
              <w:spacing w:before="40" w:after="40"/>
              <w:rPr>
                <w:rFonts w:eastAsia="SimSun"/>
                <w:sz w:val="18"/>
                <w:szCs w:val="18"/>
                <w:lang w:eastAsia="zh-CN"/>
              </w:rPr>
            </w:pPr>
            <w:r w:rsidRPr="00F77964">
              <w:rPr>
                <w:rFonts w:eastAsia="SimSun"/>
                <w:sz w:val="18"/>
                <w:szCs w:val="18"/>
                <w:lang w:eastAsia="zh-CN"/>
              </w:rPr>
              <w:t>15 000</w:t>
            </w:r>
          </w:p>
        </w:tc>
      </w:tr>
      <w:tr w:rsidR="00D7471C" w:rsidRPr="0061490E" w:rsidTr="00033CC3">
        <w:trPr>
          <w:trHeight w:val="337"/>
          <w:jc w:val="right"/>
        </w:trPr>
        <w:tc>
          <w:tcPr>
            <w:tcW w:w="709" w:type="dxa"/>
            <w:vMerge/>
            <w:shd w:val="clear" w:color="auto" w:fill="auto"/>
          </w:tcPr>
          <w:p w:rsidR="00D7471C" w:rsidRPr="00F77964" w:rsidRDefault="00D7471C" w:rsidP="00033CC3">
            <w:pPr>
              <w:pStyle w:val="ListParagraph"/>
              <w:tabs>
                <w:tab w:val="left" w:pos="426"/>
              </w:tabs>
              <w:autoSpaceDE w:val="0"/>
              <w:autoSpaceDN w:val="0"/>
              <w:adjustRightInd w:val="0"/>
              <w:spacing w:before="40" w:after="40" w:line="240" w:lineRule="auto"/>
              <w:ind w:left="0"/>
              <w:contextualSpacing w:val="0"/>
              <w:rPr>
                <w:rFonts w:ascii="Times New Roman" w:eastAsia="SimSun" w:hAnsi="Times New Roman"/>
                <w:sz w:val="18"/>
                <w:szCs w:val="18"/>
                <w:lang w:val="fr-FR" w:eastAsia="zh-CN"/>
              </w:rPr>
            </w:pPr>
          </w:p>
        </w:tc>
        <w:tc>
          <w:tcPr>
            <w:tcW w:w="3216" w:type="dxa"/>
            <w:vMerge/>
            <w:shd w:val="clear" w:color="auto" w:fill="auto"/>
          </w:tcPr>
          <w:p w:rsidR="00D7471C" w:rsidRPr="00F77964" w:rsidRDefault="00D7471C" w:rsidP="00033CC3">
            <w:pPr>
              <w:pStyle w:val="ListParagraph"/>
              <w:tabs>
                <w:tab w:val="left" w:pos="426"/>
              </w:tabs>
              <w:autoSpaceDE w:val="0"/>
              <w:autoSpaceDN w:val="0"/>
              <w:adjustRightInd w:val="0"/>
              <w:spacing w:before="40" w:after="40" w:line="240" w:lineRule="auto"/>
              <w:ind w:left="0"/>
              <w:contextualSpacing w:val="0"/>
              <w:rPr>
                <w:rFonts w:ascii="Times New Roman" w:eastAsia="SimSun" w:hAnsi="Times New Roman"/>
                <w:sz w:val="18"/>
                <w:szCs w:val="18"/>
                <w:lang w:val="fr-FR" w:eastAsia="zh-CN"/>
              </w:rPr>
            </w:pPr>
          </w:p>
        </w:tc>
        <w:tc>
          <w:tcPr>
            <w:tcW w:w="3119" w:type="dxa"/>
            <w:shd w:val="clear" w:color="auto" w:fill="auto"/>
          </w:tcPr>
          <w:p w:rsidR="00D7471C" w:rsidRPr="00F77964" w:rsidRDefault="00D972E8" w:rsidP="00033CC3">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00D7471C" w:rsidRPr="00F77964">
              <w:rPr>
                <w:rFonts w:eastAsia="SimSun"/>
                <w:sz w:val="18"/>
                <w:szCs w:val="18"/>
                <w:lang w:eastAsia="zh-CN"/>
              </w:rPr>
              <w:t xml:space="preserve"> (60 x 3 000 dollars)</w:t>
            </w:r>
          </w:p>
        </w:tc>
        <w:tc>
          <w:tcPr>
            <w:tcW w:w="956" w:type="dxa"/>
            <w:shd w:val="clear" w:color="auto" w:fill="auto"/>
          </w:tcPr>
          <w:p w:rsidR="00D7471C" w:rsidRPr="00F77964" w:rsidRDefault="00D7471C" w:rsidP="00033CC3">
            <w:pPr>
              <w:pStyle w:val="Normal-pool"/>
              <w:spacing w:before="40" w:after="40"/>
              <w:rPr>
                <w:rFonts w:eastAsia="SimSun"/>
                <w:sz w:val="18"/>
                <w:szCs w:val="18"/>
                <w:lang w:eastAsia="zh-CN"/>
              </w:rPr>
            </w:pPr>
            <w:r w:rsidRPr="00F77964">
              <w:rPr>
                <w:rFonts w:eastAsia="SimSun"/>
                <w:sz w:val="18"/>
                <w:szCs w:val="18"/>
                <w:lang w:eastAsia="zh-CN"/>
              </w:rPr>
              <w:t>180 000</w:t>
            </w:r>
          </w:p>
        </w:tc>
      </w:tr>
      <w:tr w:rsidR="00D7471C" w:rsidRPr="0061490E" w:rsidTr="00033CC3">
        <w:trPr>
          <w:jc w:val="right"/>
        </w:trPr>
        <w:tc>
          <w:tcPr>
            <w:tcW w:w="709" w:type="dxa"/>
            <w:vMerge/>
            <w:shd w:val="clear" w:color="auto" w:fill="auto"/>
          </w:tcPr>
          <w:p w:rsidR="00D7471C" w:rsidRPr="00F77964" w:rsidRDefault="00D7471C" w:rsidP="00033CC3">
            <w:pPr>
              <w:pStyle w:val="ListParagraph"/>
              <w:tabs>
                <w:tab w:val="left" w:pos="426"/>
              </w:tabs>
              <w:autoSpaceDE w:val="0"/>
              <w:autoSpaceDN w:val="0"/>
              <w:adjustRightInd w:val="0"/>
              <w:spacing w:before="40" w:after="40" w:line="240" w:lineRule="auto"/>
              <w:ind w:left="0"/>
              <w:contextualSpacing w:val="0"/>
              <w:rPr>
                <w:rFonts w:ascii="Times New Roman" w:eastAsia="SimSun" w:hAnsi="Times New Roman"/>
                <w:sz w:val="18"/>
                <w:szCs w:val="18"/>
                <w:lang w:val="fr-FR" w:eastAsia="zh-CN"/>
              </w:rPr>
            </w:pPr>
          </w:p>
        </w:tc>
        <w:tc>
          <w:tcPr>
            <w:tcW w:w="3216" w:type="dxa"/>
            <w:vMerge w:val="restart"/>
            <w:shd w:val="clear" w:color="auto" w:fill="auto"/>
          </w:tcPr>
          <w:p w:rsidR="00D7471C" w:rsidRPr="00F77964" w:rsidRDefault="00D7471C" w:rsidP="00033CC3">
            <w:pPr>
              <w:pStyle w:val="Normal-pool"/>
              <w:spacing w:before="40" w:after="40"/>
              <w:rPr>
                <w:rFonts w:eastAsia="SimSun"/>
                <w:sz w:val="18"/>
                <w:szCs w:val="18"/>
                <w:lang w:eastAsia="zh-CN"/>
              </w:rPr>
            </w:pPr>
            <w:r w:rsidRPr="00F77964">
              <w:rPr>
                <w:rFonts w:eastAsia="SimSun"/>
                <w:sz w:val="18"/>
                <w:szCs w:val="18"/>
                <w:lang w:eastAsia="zh-CN"/>
              </w:rPr>
              <w:t>Troisième réunion des auteurs (75 coprésidents, auteurs coordonnateurs principaux et auteurs principaux</w:t>
            </w:r>
            <w:r w:rsidR="00C673C7">
              <w:rPr>
                <w:rFonts w:eastAsia="SimSun"/>
                <w:sz w:val="18"/>
                <w:szCs w:val="18"/>
                <w:lang w:eastAsia="zh-CN"/>
              </w:rPr>
              <w:t xml:space="preserve"> + </w:t>
            </w:r>
            <w:r w:rsidR="00D14348" w:rsidRPr="00F77964">
              <w:rPr>
                <w:rFonts w:eastAsia="SimSun"/>
                <w:sz w:val="18"/>
                <w:szCs w:val="18"/>
                <w:lang w:eastAsia="zh-CN"/>
              </w:rPr>
              <w:t>12 éditeurs-réviseurs</w:t>
            </w:r>
            <w:r w:rsidR="00D972E8">
              <w:rPr>
                <w:rFonts w:eastAsia="SimSun"/>
                <w:sz w:val="18"/>
                <w:szCs w:val="18"/>
                <w:lang w:eastAsia="zh-CN"/>
              </w:rPr>
              <w:t xml:space="preserve"> + </w:t>
            </w:r>
            <w:r w:rsidRPr="00F77964">
              <w:rPr>
                <w:rFonts w:eastAsia="SimSun"/>
                <w:sz w:val="18"/>
                <w:szCs w:val="18"/>
                <w:lang w:eastAsia="zh-CN"/>
              </w:rPr>
              <w:t>4 membres du Groupe d’experts multidisciplinaire/Bureau</w:t>
            </w:r>
            <w:r w:rsidR="00D972E8">
              <w:rPr>
                <w:rFonts w:eastAsia="SimSun"/>
                <w:sz w:val="18"/>
                <w:szCs w:val="18"/>
                <w:lang w:eastAsia="zh-CN"/>
              </w:rPr>
              <w:t xml:space="preserve"> + </w:t>
            </w:r>
            <w:r w:rsidRPr="00F77964">
              <w:rPr>
                <w:rFonts w:eastAsia="SimSun"/>
                <w:sz w:val="18"/>
                <w:szCs w:val="18"/>
                <w:lang w:eastAsia="zh-CN"/>
              </w:rPr>
              <w:t>1 agent des services d’appui technique)</w:t>
            </w:r>
          </w:p>
        </w:tc>
        <w:tc>
          <w:tcPr>
            <w:tcW w:w="3119" w:type="dxa"/>
            <w:shd w:val="clear" w:color="auto" w:fill="auto"/>
          </w:tcPr>
          <w:p w:rsidR="00D7471C" w:rsidRPr="00F77964" w:rsidRDefault="00D7471C" w:rsidP="00033CC3">
            <w:pPr>
              <w:pStyle w:val="Normal-pool"/>
              <w:spacing w:before="40" w:after="40"/>
              <w:rPr>
                <w:rFonts w:eastAsia="SimSun"/>
                <w:sz w:val="18"/>
                <w:szCs w:val="18"/>
                <w:lang w:eastAsia="zh-CN"/>
              </w:rPr>
            </w:pPr>
            <w:r w:rsidRPr="00F77964">
              <w:rPr>
                <w:rFonts w:eastAsia="SimSun"/>
                <w:sz w:val="18"/>
                <w:szCs w:val="18"/>
                <w:lang w:eastAsia="zh-CN"/>
              </w:rPr>
              <w:t xml:space="preserve">Coûts de la réunion (1 semaine, </w:t>
            </w:r>
            <w:r w:rsidR="00D14348" w:rsidRPr="00F77964">
              <w:rPr>
                <w:rFonts w:eastAsia="SimSun"/>
                <w:sz w:val="18"/>
                <w:szCs w:val="18"/>
                <w:lang w:eastAsia="zh-CN"/>
              </w:rPr>
              <w:t>92</w:t>
            </w:r>
            <w:r w:rsidRPr="00F77964">
              <w:rPr>
                <w:rFonts w:eastAsia="SimSun"/>
                <w:sz w:val="18"/>
                <w:szCs w:val="18"/>
                <w:lang w:eastAsia="zh-CN"/>
              </w:rPr>
              <w:t> participants) (25 % en nature)</w:t>
            </w:r>
          </w:p>
        </w:tc>
        <w:tc>
          <w:tcPr>
            <w:tcW w:w="956" w:type="dxa"/>
            <w:shd w:val="clear" w:color="auto" w:fill="auto"/>
          </w:tcPr>
          <w:p w:rsidR="00D7471C" w:rsidRPr="00F77964" w:rsidRDefault="00D7471C" w:rsidP="00033CC3">
            <w:pPr>
              <w:pStyle w:val="Normal-pool"/>
              <w:spacing w:before="40" w:after="40"/>
              <w:rPr>
                <w:rFonts w:eastAsia="SimSun"/>
                <w:sz w:val="18"/>
                <w:szCs w:val="18"/>
                <w:lang w:eastAsia="zh-CN"/>
              </w:rPr>
            </w:pPr>
            <w:r w:rsidRPr="00F77964">
              <w:rPr>
                <w:rFonts w:eastAsia="SimSun"/>
                <w:sz w:val="18"/>
                <w:szCs w:val="18"/>
                <w:lang w:eastAsia="zh-CN"/>
              </w:rPr>
              <w:t>18 750</w:t>
            </w:r>
          </w:p>
        </w:tc>
      </w:tr>
      <w:tr w:rsidR="00D7471C" w:rsidRPr="0061490E" w:rsidTr="00033CC3">
        <w:trPr>
          <w:trHeight w:val="339"/>
          <w:jc w:val="right"/>
        </w:trPr>
        <w:tc>
          <w:tcPr>
            <w:tcW w:w="709" w:type="dxa"/>
            <w:vMerge/>
            <w:shd w:val="clear" w:color="auto" w:fill="auto"/>
          </w:tcPr>
          <w:p w:rsidR="00D7471C" w:rsidRPr="00F77964" w:rsidRDefault="00D7471C" w:rsidP="00033CC3">
            <w:pPr>
              <w:pStyle w:val="ListParagraph"/>
              <w:tabs>
                <w:tab w:val="left" w:pos="426"/>
              </w:tabs>
              <w:autoSpaceDE w:val="0"/>
              <w:autoSpaceDN w:val="0"/>
              <w:adjustRightInd w:val="0"/>
              <w:spacing w:before="40" w:after="40" w:line="240" w:lineRule="auto"/>
              <w:ind w:left="0"/>
              <w:contextualSpacing w:val="0"/>
              <w:rPr>
                <w:rFonts w:ascii="Times New Roman" w:eastAsia="SimSun" w:hAnsi="Times New Roman"/>
                <w:sz w:val="18"/>
                <w:szCs w:val="18"/>
                <w:lang w:val="fr-FR" w:eastAsia="zh-CN"/>
              </w:rPr>
            </w:pPr>
          </w:p>
        </w:tc>
        <w:tc>
          <w:tcPr>
            <w:tcW w:w="3216" w:type="dxa"/>
            <w:vMerge/>
            <w:tcBorders>
              <w:bottom w:val="single" w:sz="4" w:space="0" w:color="auto"/>
            </w:tcBorders>
            <w:shd w:val="clear" w:color="auto" w:fill="auto"/>
          </w:tcPr>
          <w:p w:rsidR="00D7471C" w:rsidRPr="00F77964" w:rsidRDefault="00D7471C" w:rsidP="00033CC3">
            <w:pPr>
              <w:pStyle w:val="ListParagraph"/>
              <w:tabs>
                <w:tab w:val="left" w:pos="426"/>
              </w:tabs>
              <w:autoSpaceDE w:val="0"/>
              <w:autoSpaceDN w:val="0"/>
              <w:adjustRightInd w:val="0"/>
              <w:spacing w:before="40" w:after="40" w:line="240" w:lineRule="auto"/>
              <w:ind w:left="0"/>
              <w:contextualSpacing w:val="0"/>
              <w:rPr>
                <w:rFonts w:ascii="Times New Roman" w:eastAsia="SimSun" w:hAnsi="Times New Roman"/>
                <w:sz w:val="18"/>
                <w:szCs w:val="18"/>
                <w:lang w:val="fr-FR" w:eastAsia="zh-CN"/>
              </w:rPr>
            </w:pPr>
          </w:p>
        </w:tc>
        <w:tc>
          <w:tcPr>
            <w:tcW w:w="3119" w:type="dxa"/>
            <w:tcBorders>
              <w:bottom w:val="single" w:sz="4" w:space="0" w:color="auto"/>
            </w:tcBorders>
            <w:shd w:val="clear" w:color="auto" w:fill="auto"/>
          </w:tcPr>
          <w:p w:rsidR="00D7471C" w:rsidRPr="00F77964" w:rsidRDefault="00D972E8" w:rsidP="00033CC3">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00D7471C" w:rsidRPr="00F77964">
              <w:rPr>
                <w:rFonts w:eastAsia="SimSun"/>
                <w:sz w:val="18"/>
                <w:szCs w:val="18"/>
                <w:lang w:eastAsia="zh-CN"/>
              </w:rPr>
              <w:t xml:space="preserve"> (6</w:t>
            </w:r>
            <w:r w:rsidR="00D14348" w:rsidRPr="00F77964">
              <w:rPr>
                <w:rFonts w:eastAsia="SimSun"/>
                <w:sz w:val="18"/>
                <w:szCs w:val="18"/>
                <w:lang w:eastAsia="zh-CN"/>
              </w:rPr>
              <w:t>9</w:t>
            </w:r>
            <w:r w:rsidR="00D7471C" w:rsidRPr="00F77964">
              <w:rPr>
                <w:rFonts w:eastAsia="SimSun"/>
                <w:sz w:val="18"/>
                <w:szCs w:val="18"/>
                <w:lang w:eastAsia="zh-CN"/>
              </w:rPr>
              <w:t> x 3 000 dollars)</w:t>
            </w:r>
          </w:p>
        </w:tc>
        <w:tc>
          <w:tcPr>
            <w:tcW w:w="956" w:type="dxa"/>
            <w:tcBorders>
              <w:bottom w:val="single" w:sz="4" w:space="0" w:color="auto"/>
            </w:tcBorders>
            <w:shd w:val="clear" w:color="auto" w:fill="auto"/>
          </w:tcPr>
          <w:p w:rsidR="00D7471C" w:rsidRPr="00F77964" w:rsidRDefault="00D7471C" w:rsidP="00033CC3">
            <w:pPr>
              <w:pStyle w:val="Normal-pool"/>
              <w:spacing w:before="40" w:after="40"/>
              <w:rPr>
                <w:rFonts w:eastAsia="SimSun"/>
                <w:sz w:val="18"/>
                <w:szCs w:val="18"/>
                <w:lang w:eastAsia="zh-CN"/>
              </w:rPr>
            </w:pPr>
            <w:r w:rsidRPr="00F77964">
              <w:rPr>
                <w:rFonts w:eastAsia="SimSun"/>
                <w:sz w:val="18"/>
                <w:szCs w:val="18"/>
                <w:lang w:eastAsia="zh-CN"/>
              </w:rPr>
              <w:t>207 000</w:t>
            </w:r>
          </w:p>
        </w:tc>
      </w:tr>
      <w:tr w:rsidR="00D7471C" w:rsidRPr="0061490E" w:rsidTr="00033CC3">
        <w:trPr>
          <w:trHeight w:val="361"/>
          <w:jc w:val="right"/>
        </w:trPr>
        <w:tc>
          <w:tcPr>
            <w:tcW w:w="709" w:type="dxa"/>
            <w:vMerge/>
            <w:tcBorders>
              <w:bottom w:val="single" w:sz="4" w:space="0" w:color="auto"/>
            </w:tcBorders>
            <w:shd w:val="clear" w:color="auto" w:fill="auto"/>
          </w:tcPr>
          <w:p w:rsidR="00D7471C" w:rsidRPr="00F77964" w:rsidRDefault="00D7471C" w:rsidP="00033CC3">
            <w:pPr>
              <w:pStyle w:val="ListParagraph"/>
              <w:tabs>
                <w:tab w:val="left" w:pos="426"/>
              </w:tabs>
              <w:autoSpaceDE w:val="0"/>
              <w:autoSpaceDN w:val="0"/>
              <w:adjustRightInd w:val="0"/>
              <w:spacing w:before="40" w:after="40" w:line="240" w:lineRule="auto"/>
              <w:ind w:left="0"/>
              <w:contextualSpacing w:val="0"/>
              <w:rPr>
                <w:rFonts w:ascii="Times New Roman" w:eastAsia="SimSun" w:hAnsi="Times New Roman"/>
                <w:sz w:val="18"/>
                <w:szCs w:val="18"/>
                <w:lang w:val="fr-FR" w:eastAsia="zh-CN"/>
              </w:rPr>
            </w:pPr>
          </w:p>
        </w:tc>
        <w:tc>
          <w:tcPr>
            <w:tcW w:w="3216" w:type="dxa"/>
            <w:shd w:val="clear" w:color="auto" w:fill="auto"/>
          </w:tcPr>
          <w:p w:rsidR="00D7471C" w:rsidRPr="00F77964" w:rsidRDefault="00D7471C" w:rsidP="00033CC3">
            <w:pPr>
              <w:pStyle w:val="Normal-pool"/>
              <w:spacing w:before="40" w:after="40"/>
              <w:rPr>
                <w:rFonts w:eastAsia="SimSun"/>
                <w:sz w:val="18"/>
                <w:szCs w:val="18"/>
                <w:lang w:eastAsia="zh-CN"/>
              </w:rPr>
            </w:pPr>
            <w:r w:rsidRPr="00F77964">
              <w:rPr>
                <w:rFonts w:eastAsia="SimSun"/>
                <w:sz w:val="18"/>
                <w:szCs w:val="18"/>
                <w:lang w:eastAsia="zh-CN"/>
              </w:rPr>
              <w:t>Appui technique</w:t>
            </w:r>
          </w:p>
        </w:tc>
        <w:tc>
          <w:tcPr>
            <w:tcW w:w="3119" w:type="dxa"/>
            <w:shd w:val="clear" w:color="auto" w:fill="auto"/>
          </w:tcPr>
          <w:p w:rsidR="00D7471C" w:rsidRPr="00F77964" w:rsidRDefault="00D7471C" w:rsidP="00033CC3">
            <w:pPr>
              <w:pStyle w:val="Normal-pool"/>
              <w:spacing w:before="40" w:after="40"/>
              <w:rPr>
                <w:rFonts w:eastAsia="SimSun"/>
                <w:sz w:val="18"/>
                <w:szCs w:val="18"/>
                <w:lang w:eastAsia="zh-CN"/>
              </w:rPr>
            </w:pPr>
            <w:r w:rsidRPr="00F77964">
              <w:rPr>
                <w:rFonts w:eastAsia="SimSun"/>
                <w:sz w:val="18"/>
                <w:szCs w:val="18"/>
                <w:lang w:eastAsia="zh-CN"/>
              </w:rPr>
              <w:t>1 poste d’administrateur équivalent plein temps (50 % en nature)</w:t>
            </w:r>
          </w:p>
        </w:tc>
        <w:tc>
          <w:tcPr>
            <w:tcW w:w="956" w:type="dxa"/>
            <w:tcBorders>
              <w:bottom w:val="single" w:sz="4" w:space="0" w:color="auto"/>
            </w:tcBorders>
            <w:shd w:val="clear" w:color="auto" w:fill="auto"/>
          </w:tcPr>
          <w:p w:rsidR="00D7471C" w:rsidRPr="00F77964" w:rsidRDefault="00D7471C" w:rsidP="00033CC3">
            <w:pPr>
              <w:pStyle w:val="Normal-pool"/>
              <w:spacing w:before="40" w:after="40"/>
              <w:rPr>
                <w:rFonts w:eastAsia="SimSun"/>
                <w:sz w:val="18"/>
                <w:szCs w:val="18"/>
                <w:lang w:eastAsia="zh-CN"/>
              </w:rPr>
            </w:pPr>
            <w:r w:rsidRPr="00F77964">
              <w:rPr>
                <w:rFonts w:eastAsia="SimSun"/>
                <w:sz w:val="18"/>
                <w:szCs w:val="18"/>
                <w:lang w:eastAsia="zh-CN"/>
              </w:rPr>
              <w:t>75 </w:t>
            </w:r>
            <w:r w:rsidR="00F16D98">
              <w:rPr>
                <w:rFonts w:eastAsia="SimSun"/>
                <w:sz w:val="18"/>
                <w:szCs w:val="18"/>
                <w:lang w:eastAsia="zh-CN"/>
              </w:rPr>
              <w:t>0</w:t>
            </w:r>
            <w:r w:rsidRPr="00F77964">
              <w:rPr>
                <w:rFonts w:eastAsia="SimSun"/>
                <w:sz w:val="18"/>
                <w:szCs w:val="18"/>
                <w:lang w:eastAsia="zh-CN"/>
              </w:rPr>
              <w:t>00</w:t>
            </w:r>
          </w:p>
        </w:tc>
      </w:tr>
      <w:tr w:rsidR="00D7471C" w:rsidRPr="0061490E" w:rsidTr="00033CC3">
        <w:trPr>
          <w:trHeight w:val="317"/>
          <w:jc w:val="right"/>
        </w:trPr>
        <w:tc>
          <w:tcPr>
            <w:tcW w:w="709" w:type="dxa"/>
            <w:vMerge w:val="restart"/>
            <w:shd w:val="clear" w:color="auto" w:fill="auto"/>
          </w:tcPr>
          <w:p w:rsidR="00D7471C" w:rsidRPr="00F77964" w:rsidRDefault="00D7471C" w:rsidP="00033CC3">
            <w:pPr>
              <w:pStyle w:val="Normal-pool"/>
              <w:spacing w:before="40" w:after="40"/>
              <w:rPr>
                <w:rFonts w:eastAsia="SimSun"/>
                <w:sz w:val="18"/>
                <w:szCs w:val="18"/>
                <w:lang w:eastAsia="zh-CN"/>
              </w:rPr>
            </w:pPr>
            <w:r w:rsidRPr="00F77964">
              <w:rPr>
                <w:rFonts w:eastAsia="SimSun"/>
                <w:sz w:val="18"/>
                <w:szCs w:val="18"/>
                <w:lang w:eastAsia="zh-CN"/>
              </w:rPr>
              <w:t>2015</w:t>
            </w:r>
          </w:p>
        </w:tc>
        <w:tc>
          <w:tcPr>
            <w:tcW w:w="3216" w:type="dxa"/>
            <w:shd w:val="clear" w:color="auto" w:fill="auto"/>
          </w:tcPr>
          <w:p w:rsidR="00D7471C" w:rsidRPr="00F77964" w:rsidRDefault="00D7471C" w:rsidP="00033CC3">
            <w:pPr>
              <w:pStyle w:val="Normal-pool"/>
              <w:spacing w:before="40" w:after="40"/>
              <w:rPr>
                <w:rFonts w:eastAsia="SimSun"/>
                <w:sz w:val="18"/>
                <w:szCs w:val="18"/>
                <w:lang w:eastAsia="zh-CN"/>
              </w:rPr>
            </w:pPr>
            <w:r w:rsidRPr="00F77964">
              <w:rPr>
                <w:rFonts w:eastAsia="SimSun"/>
                <w:sz w:val="18"/>
                <w:szCs w:val="18"/>
                <w:lang w:eastAsia="zh-CN"/>
              </w:rPr>
              <w:t xml:space="preserve">Participation à la troisième session </w:t>
            </w:r>
            <w:r w:rsidR="00D14348" w:rsidRPr="00F77964">
              <w:rPr>
                <w:rFonts w:eastAsia="SimSun"/>
                <w:sz w:val="18"/>
                <w:szCs w:val="18"/>
                <w:lang w:eastAsia="zh-CN"/>
              </w:rPr>
              <w:t>de la</w:t>
            </w:r>
            <w:r w:rsidRPr="00F77964">
              <w:rPr>
                <w:rFonts w:eastAsia="SimSun"/>
                <w:sz w:val="18"/>
                <w:szCs w:val="18"/>
                <w:lang w:eastAsia="zh-CN"/>
              </w:rPr>
              <w:t xml:space="preserve"> Plénière de deux coprésidents et de deux auteurs coordonnateurs principaux</w:t>
            </w:r>
          </w:p>
        </w:tc>
        <w:tc>
          <w:tcPr>
            <w:tcW w:w="3119" w:type="dxa"/>
            <w:shd w:val="clear" w:color="auto" w:fill="auto"/>
          </w:tcPr>
          <w:p w:rsidR="00D7471C" w:rsidRPr="00F77964" w:rsidRDefault="00D972E8" w:rsidP="00033CC3">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00D7471C" w:rsidRPr="00F77964">
              <w:rPr>
                <w:rFonts w:eastAsia="SimSun"/>
                <w:sz w:val="18"/>
                <w:szCs w:val="18"/>
                <w:lang w:eastAsia="zh-CN"/>
              </w:rPr>
              <w:t xml:space="preserve"> (3 x 3 000 dollars)</w:t>
            </w:r>
          </w:p>
        </w:tc>
        <w:tc>
          <w:tcPr>
            <w:tcW w:w="956" w:type="dxa"/>
            <w:shd w:val="clear" w:color="auto" w:fill="auto"/>
          </w:tcPr>
          <w:p w:rsidR="00D7471C" w:rsidRPr="00F77964" w:rsidRDefault="00D7471C" w:rsidP="00033CC3">
            <w:pPr>
              <w:pStyle w:val="Normal-pool"/>
              <w:spacing w:before="40" w:after="40"/>
              <w:rPr>
                <w:rFonts w:eastAsia="SimSun"/>
                <w:sz w:val="18"/>
                <w:szCs w:val="18"/>
                <w:lang w:eastAsia="zh-CN"/>
              </w:rPr>
            </w:pPr>
            <w:r w:rsidRPr="00F77964">
              <w:rPr>
                <w:rFonts w:eastAsia="SimSun"/>
                <w:sz w:val="18"/>
                <w:szCs w:val="18"/>
                <w:lang w:eastAsia="zh-CN"/>
              </w:rPr>
              <w:t>9 000</w:t>
            </w:r>
          </w:p>
        </w:tc>
      </w:tr>
      <w:tr w:rsidR="00D7471C" w:rsidRPr="0061490E" w:rsidDel="001E184E" w:rsidTr="00033CC3">
        <w:trPr>
          <w:trHeight w:val="560"/>
          <w:jc w:val="right"/>
        </w:trPr>
        <w:tc>
          <w:tcPr>
            <w:tcW w:w="709" w:type="dxa"/>
            <w:vMerge/>
            <w:shd w:val="clear" w:color="auto" w:fill="auto"/>
          </w:tcPr>
          <w:p w:rsidR="00D7471C" w:rsidRPr="00F77964" w:rsidRDefault="00D7471C" w:rsidP="00033CC3">
            <w:pPr>
              <w:pStyle w:val="ListParagraph"/>
              <w:tabs>
                <w:tab w:val="left" w:pos="426"/>
              </w:tabs>
              <w:autoSpaceDE w:val="0"/>
              <w:autoSpaceDN w:val="0"/>
              <w:adjustRightInd w:val="0"/>
              <w:spacing w:before="40" w:after="40" w:line="240" w:lineRule="auto"/>
              <w:ind w:left="0"/>
              <w:contextualSpacing w:val="0"/>
              <w:rPr>
                <w:rFonts w:ascii="Times New Roman" w:eastAsia="SimSun" w:hAnsi="Times New Roman"/>
                <w:sz w:val="18"/>
                <w:szCs w:val="18"/>
                <w:lang w:val="fr-FR" w:eastAsia="zh-CN"/>
              </w:rPr>
            </w:pPr>
          </w:p>
        </w:tc>
        <w:tc>
          <w:tcPr>
            <w:tcW w:w="3216" w:type="dxa"/>
            <w:shd w:val="clear" w:color="auto" w:fill="auto"/>
          </w:tcPr>
          <w:p w:rsidR="00D7471C" w:rsidRPr="00F77964" w:rsidRDefault="00D7471C" w:rsidP="00033CC3">
            <w:pPr>
              <w:pStyle w:val="Normal-pool"/>
              <w:spacing w:before="40" w:after="40"/>
              <w:rPr>
                <w:rFonts w:eastAsia="SimSun"/>
                <w:b/>
                <w:sz w:val="18"/>
                <w:szCs w:val="18"/>
                <w:lang w:eastAsia="zh-CN"/>
              </w:rPr>
            </w:pPr>
            <w:r w:rsidRPr="00F77964">
              <w:rPr>
                <w:rFonts w:eastAsia="SimSun"/>
                <w:sz w:val="18"/>
                <w:szCs w:val="18"/>
                <w:lang w:eastAsia="zh-CN"/>
              </w:rPr>
              <w:t xml:space="preserve">Diffusion </w:t>
            </w:r>
            <w:r w:rsidR="00D14348" w:rsidRPr="00F77964">
              <w:rPr>
                <w:rFonts w:eastAsia="SimSun"/>
                <w:sz w:val="18"/>
                <w:szCs w:val="18"/>
                <w:lang w:eastAsia="zh-CN"/>
              </w:rPr>
              <w:t>(r</w:t>
            </w:r>
            <w:r w:rsidRPr="00F77964">
              <w:rPr>
                <w:rFonts w:eastAsia="SimSun"/>
                <w:sz w:val="18"/>
                <w:szCs w:val="18"/>
                <w:lang w:eastAsia="zh-CN"/>
              </w:rPr>
              <w:t xml:space="preserve">ésumé à l’intention des décideurs </w:t>
            </w:r>
            <w:r w:rsidR="00D14348" w:rsidRPr="00F77964">
              <w:rPr>
                <w:rFonts w:eastAsia="SimSun"/>
                <w:sz w:val="18"/>
                <w:szCs w:val="18"/>
                <w:lang w:eastAsia="zh-CN"/>
              </w:rPr>
              <w:t>(</w:t>
            </w:r>
            <w:r w:rsidRPr="00F77964">
              <w:rPr>
                <w:rFonts w:eastAsia="SimSun"/>
                <w:sz w:val="18"/>
                <w:szCs w:val="18"/>
                <w:lang w:eastAsia="zh-CN"/>
              </w:rPr>
              <w:t>10 pages</w:t>
            </w:r>
            <w:r w:rsidR="00D14348" w:rsidRPr="00F77964">
              <w:rPr>
                <w:rFonts w:eastAsia="SimSun"/>
                <w:sz w:val="18"/>
                <w:szCs w:val="18"/>
                <w:lang w:eastAsia="zh-CN"/>
              </w:rPr>
              <w:t xml:space="preserve">) </w:t>
            </w:r>
            <w:r w:rsidRPr="00F77964">
              <w:rPr>
                <w:rFonts w:eastAsia="SimSun"/>
                <w:sz w:val="18"/>
                <w:szCs w:val="18"/>
                <w:lang w:eastAsia="zh-CN"/>
              </w:rPr>
              <w:t xml:space="preserve">et rapport </w:t>
            </w:r>
            <w:r w:rsidR="00D14348" w:rsidRPr="00F77964">
              <w:rPr>
                <w:rFonts w:eastAsia="SimSun"/>
                <w:sz w:val="18"/>
                <w:szCs w:val="18"/>
                <w:lang w:eastAsia="zh-CN"/>
              </w:rPr>
              <w:t>(</w:t>
            </w:r>
            <w:r w:rsidRPr="00F77964">
              <w:rPr>
                <w:rFonts w:eastAsia="SimSun"/>
                <w:sz w:val="18"/>
                <w:szCs w:val="18"/>
                <w:lang w:eastAsia="zh-CN"/>
              </w:rPr>
              <w:t>200 pages</w:t>
            </w:r>
            <w:r w:rsidR="00D14348" w:rsidRPr="00F77964">
              <w:rPr>
                <w:rFonts w:eastAsia="SimSun"/>
                <w:sz w:val="18"/>
                <w:szCs w:val="18"/>
                <w:lang w:eastAsia="zh-CN"/>
              </w:rPr>
              <w:t>)</w:t>
            </w:r>
            <w:r w:rsidR="00636B40">
              <w:rPr>
                <w:rFonts w:eastAsia="SimSun"/>
                <w:sz w:val="18"/>
                <w:szCs w:val="18"/>
                <w:lang w:eastAsia="zh-CN"/>
              </w:rPr>
              <w:t xml:space="preserve">) </w:t>
            </w:r>
            <w:r w:rsidR="00636B40" w:rsidRPr="00F77964">
              <w:rPr>
                <w:rFonts w:eastAsia="SimSun"/>
                <w:sz w:val="18"/>
                <w:szCs w:val="18"/>
                <w:lang w:eastAsia="zh-CN"/>
              </w:rPr>
              <w:t xml:space="preserve">et </w:t>
            </w:r>
            <w:r w:rsidR="00636B40">
              <w:rPr>
                <w:rFonts w:eastAsia="SimSun"/>
                <w:sz w:val="18"/>
                <w:szCs w:val="18"/>
                <w:lang w:eastAsia="zh-CN"/>
              </w:rPr>
              <w:t>animation</w:t>
            </w:r>
            <w:r w:rsidR="00636B40" w:rsidRPr="00F77964">
              <w:rPr>
                <w:rFonts w:eastAsia="SimSun"/>
                <w:sz w:val="18"/>
                <w:szCs w:val="18"/>
                <w:lang w:eastAsia="zh-CN"/>
              </w:rPr>
              <w:t xml:space="preserve"> </w:t>
            </w:r>
          </w:p>
        </w:tc>
        <w:tc>
          <w:tcPr>
            <w:tcW w:w="3119" w:type="dxa"/>
            <w:shd w:val="clear" w:color="auto" w:fill="auto"/>
          </w:tcPr>
          <w:p w:rsidR="00D7471C" w:rsidRPr="00F77964" w:rsidRDefault="00D7471C" w:rsidP="00033CC3">
            <w:pPr>
              <w:pStyle w:val="Normal-pool"/>
              <w:spacing w:before="40" w:after="40"/>
              <w:rPr>
                <w:rFonts w:eastAsia="SimSun"/>
                <w:sz w:val="18"/>
                <w:szCs w:val="18"/>
                <w:lang w:eastAsia="zh-CN"/>
              </w:rPr>
            </w:pPr>
            <w:r w:rsidRPr="00F77964">
              <w:rPr>
                <w:rFonts w:eastAsia="SimSun"/>
                <w:sz w:val="18"/>
                <w:szCs w:val="18"/>
                <w:lang w:eastAsia="zh-CN"/>
              </w:rPr>
              <w:t xml:space="preserve">Traduction du résumé à l’intention des décideurs dans </w:t>
            </w:r>
            <w:r w:rsidR="00FC5607" w:rsidRPr="00F77964">
              <w:rPr>
                <w:rFonts w:eastAsia="SimSun"/>
                <w:sz w:val="18"/>
                <w:szCs w:val="18"/>
                <w:lang w:eastAsia="zh-CN"/>
              </w:rPr>
              <w:t>toutes les langues officielles de l’</w:t>
            </w:r>
            <w:r w:rsidRPr="00F77964">
              <w:rPr>
                <w:rFonts w:eastAsia="SimSun"/>
                <w:sz w:val="18"/>
                <w:szCs w:val="18"/>
                <w:lang w:eastAsia="zh-CN"/>
              </w:rPr>
              <w:t xml:space="preserve">ONU, publication, </w:t>
            </w:r>
            <w:r w:rsidR="00F23269">
              <w:rPr>
                <w:rFonts w:eastAsia="SimSun"/>
                <w:sz w:val="18"/>
                <w:szCs w:val="18"/>
                <w:lang w:eastAsia="zh-CN"/>
              </w:rPr>
              <w:t>animation</w:t>
            </w:r>
          </w:p>
        </w:tc>
        <w:tc>
          <w:tcPr>
            <w:tcW w:w="956" w:type="dxa"/>
            <w:shd w:val="clear" w:color="auto" w:fill="auto"/>
          </w:tcPr>
          <w:p w:rsidR="00D7471C" w:rsidRPr="00F77964" w:rsidDel="001E184E" w:rsidRDefault="00D7471C" w:rsidP="00033CC3">
            <w:pPr>
              <w:pStyle w:val="Normal-pool"/>
              <w:spacing w:before="40" w:after="40"/>
              <w:rPr>
                <w:rFonts w:eastAsia="SimSun"/>
                <w:sz w:val="18"/>
                <w:szCs w:val="18"/>
                <w:lang w:eastAsia="zh-CN"/>
              </w:rPr>
            </w:pPr>
            <w:r w:rsidRPr="00F77964">
              <w:rPr>
                <w:rFonts w:eastAsia="SimSun"/>
                <w:sz w:val="18"/>
                <w:szCs w:val="18"/>
                <w:lang w:eastAsia="zh-CN"/>
              </w:rPr>
              <w:t>117 000</w:t>
            </w:r>
          </w:p>
        </w:tc>
      </w:tr>
      <w:tr w:rsidR="00D7471C" w:rsidRPr="0061490E" w:rsidTr="00033CC3">
        <w:trPr>
          <w:jc w:val="right"/>
        </w:trPr>
        <w:tc>
          <w:tcPr>
            <w:tcW w:w="709" w:type="dxa"/>
            <w:shd w:val="clear" w:color="auto" w:fill="auto"/>
          </w:tcPr>
          <w:p w:rsidR="00D7471C" w:rsidRPr="00F77964" w:rsidRDefault="00D7471C" w:rsidP="00033CC3">
            <w:pPr>
              <w:pStyle w:val="ListParagraph"/>
              <w:tabs>
                <w:tab w:val="left" w:pos="426"/>
              </w:tabs>
              <w:autoSpaceDE w:val="0"/>
              <w:autoSpaceDN w:val="0"/>
              <w:adjustRightInd w:val="0"/>
              <w:spacing w:before="40" w:after="40" w:line="240" w:lineRule="auto"/>
              <w:ind w:left="0"/>
              <w:contextualSpacing w:val="0"/>
              <w:rPr>
                <w:rFonts w:ascii="Times New Roman" w:eastAsia="SimSun" w:hAnsi="Times New Roman"/>
                <w:b/>
                <w:sz w:val="18"/>
                <w:szCs w:val="18"/>
                <w:lang w:val="fr-FR" w:eastAsia="zh-CN"/>
              </w:rPr>
            </w:pPr>
            <w:r w:rsidRPr="00F77964">
              <w:rPr>
                <w:rFonts w:ascii="Times New Roman" w:eastAsia="SimSun" w:hAnsi="Times New Roman"/>
                <w:b/>
                <w:sz w:val="18"/>
                <w:szCs w:val="18"/>
                <w:lang w:val="fr-FR" w:eastAsia="zh-CN"/>
              </w:rPr>
              <w:t>Total</w:t>
            </w:r>
          </w:p>
        </w:tc>
        <w:tc>
          <w:tcPr>
            <w:tcW w:w="3216" w:type="dxa"/>
            <w:shd w:val="clear" w:color="auto" w:fill="auto"/>
          </w:tcPr>
          <w:p w:rsidR="00D7471C" w:rsidRPr="00F77964" w:rsidRDefault="00D7471C" w:rsidP="00033CC3">
            <w:pPr>
              <w:pStyle w:val="ListParagraph"/>
              <w:tabs>
                <w:tab w:val="left" w:pos="426"/>
              </w:tabs>
              <w:autoSpaceDE w:val="0"/>
              <w:autoSpaceDN w:val="0"/>
              <w:adjustRightInd w:val="0"/>
              <w:spacing w:before="40" w:after="40" w:line="240" w:lineRule="auto"/>
              <w:ind w:left="0"/>
              <w:contextualSpacing w:val="0"/>
              <w:rPr>
                <w:rFonts w:ascii="Times New Roman" w:eastAsia="SimSun" w:hAnsi="Times New Roman"/>
                <w:sz w:val="18"/>
                <w:szCs w:val="18"/>
                <w:lang w:val="fr-FR" w:eastAsia="zh-CN"/>
              </w:rPr>
            </w:pPr>
          </w:p>
        </w:tc>
        <w:tc>
          <w:tcPr>
            <w:tcW w:w="3119" w:type="dxa"/>
            <w:shd w:val="clear" w:color="auto" w:fill="auto"/>
          </w:tcPr>
          <w:p w:rsidR="00D7471C" w:rsidRPr="00F77964" w:rsidRDefault="00D7471C" w:rsidP="00033CC3">
            <w:pPr>
              <w:pStyle w:val="ListParagraph"/>
              <w:tabs>
                <w:tab w:val="left" w:pos="426"/>
              </w:tabs>
              <w:autoSpaceDE w:val="0"/>
              <w:autoSpaceDN w:val="0"/>
              <w:adjustRightInd w:val="0"/>
              <w:spacing w:before="40" w:after="40" w:line="240" w:lineRule="auto"/>
              <w:ind w:left="0"/>
              <w:contextualSpacing w:val="0"/>
              <w:rPr>
                <w:rFonts w:ascii="Times New Roman" w:eastAsia="SimSun" w:hAnsi="Times New Roman"/>
                <w:sz w:val="18"/>
                <w:szCs w:val="18"/>
                <w:lang w:val="fr-FR" w:eastAsia="zh-CN"/>
              </w:rPr>
            </w:pPr>
          </w:p>
        </w:tc>
        <w:tc>
          <w:tcPr>
            <w:tcW w:w="956" w:type="dxa"/>
            <w:shd w:val="clear" w:color="auto" w:fill="auto"/>
          </w:tcPr>
          <w:p w:rsidR="00D7471C" w:rsidRPr="00F77964" w:rsidRDefault="00D7471C" w:rsidP="00033CC3">
            <w:pPr>
              <w:pStyle w:val="ListParagraph"/>
              <w:tabs>
                <w:tab w:val="left" w:pos="426"/>
              </w:tabs>
              <w:autoSpaceDE w:val="0"/>
              <w:autoSpaceDN w:val="0"/>
              <w:adjustRightInd w:val="0"/>
              <w:spacing w:before="40" w:after="40" w:line="240" w:lineRule="auto"/>
              <w:ind w:left="0"/>
              <w:contextualSpacing w:val="0"/>
              <w:rPr>
                <w:rFonts w:ascii="Times New Roman" w:eastAsia="SimSun" w:hAnsi="Times New Roman"/>
                <w:b/>
                <w:sz w:val="18"/>
                <w:szCs w:val="18"/>
                <w:lang w:val="fr-FR" w:eastAsia="zh-CN"/>
              </w:rPr>
            </w:pPr>
            <w:r w:rsidRPr="00F77964">
              <w:rPr>
                <w:rFonts w:ascii="Times New Roman" w:eastAsia="SimSun" w:hAnsi="Times New Roman"/>
                <w:b/>
                <w:sz w:val="18"/>
                <w:szCs w:val="18"/>
                <w:lang w:val="fr-FR" w:eastAsia="zh-CN"/>
              </w:rPr>
              <w:t>816 750</w:t>
            </w:r>
          </w:p>
        </w:tc>
      </w:tr>
    </w:tbl>
    <w:bookmarkEnd w:id="1"/>
    <w:bookmarkEnd w:id="2"/>
    <w:p w:rsidR="00EE39CC" w:rsidRDefault="00D66005" w:rsidP="00EE39CC">
      <w:pPr>
        <w:pStyle w:val="CH3"/>
        <w:keepNext w:val="0"/>
        <w:keepLines w:val="0"/>
        <w:spacing w:before="120" w:after="0"/>
        <w:rPr>
          <w:lang w:val="fr-FR"/>
        </w:rPr>
      </w:pPr>
      <w:r w:rsidRPr="00F77964">
        <w:rPr>
          <w:sz w:val="22"/>
          <w:szCs w:val="22"/>
          <w:lang w:val="fr-FR"/>
        </w:rPr>
        <w:tab/>
      </w:r>
      <w:r w:rsidRPr="00F77964">
        <w:rPr>
          <w:lang w:val="fr-FR"/>
        </w:rPr>
        <w:tab/>
      </w:r>
      <w:r w:rsidR="00F60A21" w:rsidRPr="00F77964">
        <w:rPr>
          <w:lang w:val="fr-FR"/>
        </w:rPr>
        <w:t>Produit </w:t>
      </w:r>
      <w:r w:rsidRPr="00F77964">
        <w:rPr>
          <w:lang w:val="fr-FR"/>
        </w:rPr>
        <w:t>3</w:t>
      </w:r>
      <w:r w:rsidR="00DE0090" w:rsidRPr="00F77964">
        <w:rPr>
          <w:lang w:val="fr-FR"/>
        </w:rPr>
        <w:t> </w:t>
      </w:r>
      <w:r w:rsidRPr="00F77964">
        <w:rPr>
          <w:lang w:val="fr-FR"/>
        </w:rPr>
        <w:t>b)</w:t>
      </w:r>
    </w:p>
    <w:p w:rsidR="00D66005" w:rsidRPr="00F77964" w:rsidRDefault="00D66005" w:rsidP="00EE39CC">
      <w:pPr>
        <w:pStyle w:val="CH3"/>
        <w:keepNext w:val="0"/>
        <w:keepLines w:val="0"/>
        <w:rPr>
          <w:lang w:val="fr-FR"/>
        </w:rPr>
      </w:pPr>
      <w:r w:rsidRPr="00F77964">
        <w:rPr>
          <w:lang w:val="fr-FR"/>
        </w:rPr>
        <w:tab/>
      </w:r>
      <w:r w:rsidRPr="00F77964">
        <w:rPr>
          <w:lang w:val="fr-FR"/>
        </w:rPr>
        <w:tab/>
      </w:r>
      <w:r w:rsidR="00F60A21" w:rsidRPr="00F77964">
        <w:rPr>
          <w:lang w:val="fr-FR"/>
        </w:rPr>
        <w:t xml:space="preserve">Une évaluation thématique </w:t>
      </w:r>
      <w:r w:rsidR="00960E6C">
        <w:rPr>
          <w:lang w:val="fr-FR"/>
        </w:rPr>
        <w:t>de</w:t>
      </w:r>
      <w:r w:rsidR="00F60A21" w:rsidRPr="00F77964">
        <w:rPr>
          <w:lang w:val="fr-FR"/>
        </w:rPr>
        <w:t xml:space="preserve"> la dégradation et </w:t>
      </w:r>
      <w:r w:rsidR="00960E6C">
        <w:rPr>
          <w:lang w:val="fr-FR"/>
        </w:rPr>
        <w:t xml:space="preserve">de </w:t>
      </w:r>
      <w:r w:rsidR="00F60A21" w:rsidRPr="00F77964">
        <w:rPr>
          <w:lang w:val="fr-FR"/>
        </w:rPr>
        <w:t xml:space="preserve">la </w:t>
      </w:r>
      <w:r w:rsidR="00960E6C">
        <w:rPr>
          <w:lang w:val="fr-FR"/>
        </w:rPr>
        <w:t>restauration</w:t>
      </w:r>
      <w:r w:rsidR="00F60A21" w:rsidRPr="00F77964">
        <w:rPr>
          <w:lang w:val="fr-FR"/>
        </w:rPr>
        <w:t xml:space="preserve"> des terres et/ou une évaluation thématique </w:t>
      </w:r>
      <w:r w:rsidR="00960E6C">
        <w:rPr>
          <w:lang w:val="fr-FR"/>
        </w:rPr>
        <w:t>d</w:t>
      </w:r>
      <w:r w:rsidR="00F60A21" w:rsidRPr="00F77964">
        <w:rPr>
          <w:lang w:val="fr-FR"/>
        </w:rPr>
        <w:t xml:space="preserve">es espèces </w:t>
      </w:r>
      <w:r w:rsidR="00960E6C">
        <w:rPr>
          <w:lang w:val="fr-FR"/>
        </w:rPr>
        <w:t>exotiques</w:t>
      </w:r>
      <w:r w:rsidR="00F60A21" w:rsidRPr="00F77964">
        <w:rPr>
          <w:lang w:val="fr-FR"/>
        </w:rPr>
        <w:t xml:space="preserve"> envahissantes </w:t>
      </w:r>
      <w:r w:rsidRPr="00F77964">
        <w:rPr>
          <w:lang w:val="fr-FR"/>
        </w:rPr>
        <w:t>(</w:t>
      </w:r>
      <w:r w:rsidR="00960E6C">
        <w:rPr>
          <w:i/>
          <w:lang w:val="fr-FR"/>
        </w:rPr>
        <w:t>d’ici</w:t>
      </w:r>
      <w:r w:rsidR="00F60A21" w:rsidRPr="00F77964">
        <w:rPr>
          <w:i/>
          <w:lang w:val="fr-FR"/>
        </w:rPr>
        <w:t xml:space="preserve"> à mars </w:t>
      </w:r>
      <w:r w:rsidRPr="00F77964">
        <w:rPr>
          <w:i/>
          <w:lang w:val="fr-FR"/>
        </w:rPr>
        <w:t>2016</w:t>
      </w:r>
      <w:r w:rsidRPr="00F77964">
        <w:rPr>
          <w:lang w:val="fr-FR"/>
        </w:rPr>
        <w:t>)</w:t>
      </w:r>
    </w:p>
    <w:p w:rsidR="00D66005" w:rsidRPr="00F77964" w:rsidRDefault="00D66005" w:rsidP="00D66005">
      <w:pPr>
        <w:pStyle w:val="CH3"/>
        <w:keepNext w:val="0"/>
        <w:keepLines w:val="0"/>
        <w:rPr>
          <w:lang w:val="fr-FR"/>
        </w:rPr>
      </w:pPr>
      <w:r w:rsidRPr="00F77964">
        <w:rPr>
          <w:i/>
          <w:lang w:val="fr-FR"/>
        </w:rPr>
        <w:tab/>
      </w:r>
      <w:r w:rsidRPr="00F77964">
        <w:rPr>
          <w:lang w:val="fr-FR"/>
        </w:rPr>
        <w:t>i)</w:t>
      </w:r>
      <w:r w:rsidRPr="00F77964">
        <w:rPr>
          <w:lang w:val="fr-FR"/>
        </w:rPr>
        <w:tab/>
      </w:r>
      <w:r w:rsidR="00DE0090" w:rsidRPr="00F77964">
        <w:rPr>
          <w:lang w:val="fr-FR"/>
        </w:rPr>
        <w:t>E</w:t>
      </w:r>
      <w:r w:rsidR="00F60A21" w:rsidRPr="00F77964">
        <w:rPr>
          <w:lang w:val="fr-FR"/>
        </w:rPr>
        <w:t xml:space="preserve">valuation thématique </w:t>
      </w:r>
      <w:r w:rsidR="00960E6C">
        <w:rPr>
          <w:lang w:val="fr-FR"/>
        </w:rPr>
        <w:t>de</w:t>
      </w:r>
      <w:r w:rsidR="00F60A21" w:rsidRPr="00F77964">
        <w:rPr>
          <w:lang w:val="fr-FR"/>
        </w:rPr>
        <w:t xml:space="preserve"> la dégradation et </w:t>
      </w:r>
      <w:r w:rsidR="00960E6C">
        <w:rPr>
          <w:lang w:val="fr-FR"/>
        </w:rPr>
        <w:t xml:space="preserve">de </w:t>
      </w:r>
      <w:r w:rsidR="00F60A21" w:rsidRPr="00F77964">
        <w:rPr>
          <w:lang w:val="fr-FR"/>
        </w:rPr>
        <w:t xml:space="preserve">la </w:t>
      </w:r>
      <w:r w:rsidR="00960E6C">
        <w:rPr>
          <w:lang w:val="fr-FR"/>
        </w:rPr>
        <w:t>restauration</w:t>
      </w:r>
      <w:r w:rsidR="00F60A21" w:rsidRPr="00F77964">
        <w:rPr>
          <w:lang w:val="fr-FR"/>
        </w:rPr>
        <w:t xml:space="preserve"> des terres</w:t>
      </w:r>
    </w:p>
    <w:p w:rsidR="00D66005" w:rsidRPr="00F77964" w:rsidRDefault="00D66005" w:rsidP="00D66005">
      <w:pPr>
        <w:pStyle w:val="CH3"/>
        <w:rPr>
          <w:lang w:val="fr-FR"/>
        </w:rPr>
      </w:pPr>
      <w:r w:rsidRPr="00F77964">
        <w:rPr>
          <w:rFonts w:eastAsia="Calibri"/>
          <w:lang w:val="fr-FR"/>
        </w:rPr>
        <w:tab/>
      </w:r>
      <w:r w:rsidRPr="00F77964">
        <w:rPr>
          <w:rFonts w:eastAsia="Calibri"/>
          <w:lang w:val="fr-FR"/>
        </w:rPr>
        <w:tab/>
      </w:r>
      <w:r w:rsidR="00F60A21" w:rsidRPr="00F77964">
        <w:rPr>
          <w:rFonts w:eastAsia="Calibri"/>
          <w:lang w:val="fr-FR"/>
        </w:rPr>
        <w:t>Hypothèses</w:t>
      </w:r>
    </w:p>
    <w:p w:rsidR="00D66005" w:rsidRPr="00F77964" w:rsidRDefault="00A24FF6" w:rsidP="00D66005">
      <w:pPr>
        <w:pStyle w:val="Normalnumber"/>
        <w:numPr>
          <w:ilvl w:val="0"/>
          <w:numId w:val="6"/>
        </w:numPr>
        <w:tabs>
          <w:tab w:val="left" w:pos="624"/>
        </w:tabs>
        <w:ind w:left="1247" w:firstLine="0"/>
        <w:rPr>
          <w:lang w:val="fr-FR"/>
        </w:rPr>
      </w:pPr>
      <w:r w:rsidRPr="00F77964">
        <w:rPr>
          <w:rFonts w:eastAsia="Calibri"/>
          <w:lang w:val="fr-FR"/>
        </w:rPr>
        <w:t xml:space="preserve">Le Groupe d’experts multidisciplinaire </w:t>
      </w:r>
      <w:r w:rsidR="00C87337" w:rsidRPr="00F77964">
        <w:rPr>
          <w:rFonts w:eastAsia="Calibri"/>
          <w:lang w:val="fr-FR"/>
        </w:rPr>
        <w:t>et le Bureau superviseront un</w:t>
      </w:r>
      <w:r w:rsidR="00DE0090" w:rsidRPr="00F77964">
        <w:rPr>
          <w:rFonts w:eastAsia="Calibri"/>
          <w:lang w:val="fr-FR"/>
        </w:rPr>
        <w:t xml:space="preserve"> exercice </w:t>
      </w:r>
      <w:r w:rsidR="00C87337" w:rsidRPr="00F77964">
        <w:rPr>
          <w:rFonts w:eastAsia="Calibri"/>
          <w:lang w:val="fr-FR"/>
        </w:rPr>
        <w:t xml:space="preserve">de cadrage détaillé, </w:t>
      </w:r>
      <w:r w:rsidR="00DE0090" w:rsidRPr="00F77964">
        <w:rPr>
          <w:rFonts w:eastAsia="Calibri"/>
          <w:lang w:val="fr-FR"/>
        </w:rPr>
        <w:t>permettant de définir</w:t>
      </w:r>
      <w:r w:rsidR="00C87337" w:rsidRPr="00F77964">
        <w:rPr>
          <w:rFonts w:eastAsia="Calibri"/>
          <w:lang w:val="fr-FR"/>
        </w:rPr>
        <w:t xml:space="preserve"> le plan, les coûts et la faisabilité. Une fois l’approbation obtenue, </w:t>
      </w:r>
      <w:r w:rsidR="00161811">
        <w:rPr>
          <w:rFonts w:eastAsia="Calibri"/>
          <w:lang w:val="fr-FR"/>
        </w:rPr>
        <w:t>l</w:t>
      </w:r>
      <w:r w:rsidR="00DE0090" w:rsidRPr="00F77964">
        <w:rPr>
          <w:rFonts w:eastAsia="Calibri"/>
          <w:lang w:val="fr-FR"/>
        </w:rPr>
        <w:t xml:space="preserve">es membres du Groupe </w:t>
      </w:r>
      <w:r w:rsidR="003A6013" w:rsidRPr="00F77964">
        <w:rPr>
          <w:rFonts w:eastAsia="Calibri"/>
          <w:lang w:val="fr-FR"/>
        </w:rPr>
        <w:t>e</w:t>
      </w:r>
      <w:r w:rsidR="00DE0090" w:rsidRPr="00F77964">
        <w:rPr>
          <w:rFonts w:eastAsia="Calibri"/>
          <w:lang w:val="fr-FR"/>
        </w:rPr>
        <w:t>t du Bureau supervise</w:t>
      </w:r>
      <w:r w:rsidR="003A6013" w:rsidRPr="00F77964">
        <w:rPr>
          <w:rFonts w:eastAsia="Calibri"/>
          <w:lang w:val="fr-FR"/>
        </w:rPr>
        <w:t>ront</w:t>
      </w:r>
      <w:r w:rsidR="00DE0090" w:rsidRPr="00F77964">
        <w:rPr>
          <w:rFonts w:eastAsia="Calibri"/>
          <w:lang w:val="fr-FR"/>
        </w:rPr>
        <w:t xml:space="preserve"> </w:t>
      </w:r>
      <w:r w:rsidR="00161811">
        <w:rPr>
          <w:rFonts w:eastAsia="Calibri"/>
          <w:lang w:val="fr-FR"/>
        </w:rPr>
        <w:t xml:space="preserve">la mise en place </w:t>
      </w:r>
      <w:r w:rsidR="00161811" w:rsidRPr="00F77964">
        <w:rPr>
          <w:rFonts w:eastAsia="Calibri"/>
          <w:lang w:val="fr-FR"/>
        </w:rPr>
        <w:t xml:space="preserve">d’un groupe d’experts </w:t>
      </w:r>
      <w:r w:rsidR="00161811">
        <w:rPr>
          <w:rFonts w:eastAsia="Calibri"/>
          <w:lang w:val="fr-FR"/>
        </w:rPr>
        <w:t>doté d’un mandat précis</w:t>
      </w:r>
      <w:r w:rsidR="00161811" w:rsidRPr="00F77964">
        <w:rPr>
          <w:rFonts w:eastAsia="Calibri"/>
          <w:lang w:val="fr-FR"/>
        </w:rPr>
        <w:t xml:space="preserve"> </w:t>
      </w:r>
      <w:r w:rsidR="00161811">
        <w:rPr>
          <w:rFonts w:eastAsia="Calibri"/>
          <w:lang w:val="fr-FR"/>
        </w:rPr>
        <w:t xml:space="preserve">à </w:t>
      </w:r>
      <w:r w:rsidR="00AA6C94">
        <w:rPr>
          <w:rFonts w:eastAsia="Calibri"/>
          <w:lang w:val="fr-FR"/>
        </w:rPr>
        <w:t>durée déterminée pour l’évaluation</w:t>
      </w:r>
      <w:r w:rsidR="00161811">
        <w:rPr>
          <w:rFonts w:eastAsia="Calibri"/>
          <w:lang w:val="fr-FR"/>
        </w:rPr>
        <w:t>.</w:t>
      </w:r>
      <w:r w:rsidR="00161811" w:rsidRPr="00F77964">
        <w:rPr>
          <w:rFonts w:eastAsia="Calibri"/>
          <w:lang w:val="fr-FR"/>
        </w:rPr>
        <w:t xml:space="preserve"> </w:t>
      </w:r>
      <w:r w:rsidR="00F774B3">
        <w:rPr>
          <w:rFonts w:eastAsia="Calibri"/>
          <w:lang w:val="fr-FR"/>
        </w:rPr>
        <w:t>L</w:t>
      </w:r>
      <w:r w:rsidR="00161811">
        <w:rPr>
          <w:rFonts w:eastAsia="Calibri"/>
          <w:lang w:val="fr-FR"/>
        </w:rPr>
        <w:t>e groupe</w:t>
      </w:r>
      <w:r w:rsidR="00161811" w:rsidRPr="00F77964">
        <w:rPr>
          <w:rFonts w:eastAsia="Calibri"/>
          <w:lang w:val="fr-FR"/>
        </w:rPr>
        <w:t xml:space="preserve"> </w:t>
      </w:r>
      <w:r w:rsidR="00F774B3">
        <w:rPr>
          <w:rFonts w:eastAsia="Calibri"/>
          <w:lang w:val="fr-FR"/>
        </w:rPr>
        <w:t>en question comprendra des</w:t>
      </w:r>
      <w:r w:rsidR="00161811" w:rsidRPr="00F77964">
        <w:rPr>
          <w:rFonts w:eastAsia="Calibri"/>
          <w:lang w:val="fr-FR"/>
        </w:rPr>
        <w:t xml:space="preserve"> </w:t>
      </w:r>
      <w:r w:rsidR="006E337B">
        <w:rPr>
          <w:rFonts w:eastAsia="Calibri"/>
          <w:lang w:val="fr-FR"/>
        </w:rPr>
        <w:t>coprésidents</w:t>
      </w:r>
      <w:r w:rsidR="00161811" w:rsidRPr="00F77964">
        <w:rPr>
          <w:rFonts w:eastAsia="Calibri"/>
          <w:lang w:val="fr-FR"/>
        </w:rPr>
        <w:t xml:space="preserve">, auteurs coordonnateurs principaux, auteurs principaux et éditeurs-réviseurs. </w:t>
      </w:r>
      <w:r w:rsidR="00161811" w:rsidRPr="00F77964">
        <w:rPr>
          <w:lang w:val="fr-FR"/>
        </w:rPr>
        <w:t>Le</w:t>
      </w:r>
      <w:r w:rsidR="00161811">
        <w:rPr>
          <w:lang w:val="fr-FR"/>
        </w:rPr>
        <w:t xml:space="preserve">s </w:t>
      </w:r>
      <w:r w:rsidR="00161811" w:rsidRPr="00F77964">
        <w:rPr>
          <w:lang w:val="fr-FR"/>
        </w:rPr>
        <w:t>experts ser</w:t>
      </w:r>
      <w:r w:rsidR="00161811">
        <w:rPr>
          <w:lang w:val="fr-FR"/>
        </w:rPr>
        <w:t>ont</w:t>
      </w:r>
      <w:r w:rsidR="00161811" w:rsidRPr="00F77964">
        <w:rPr>
          <w:lang w:val="fr-FR"/>
        </w:rPr>
        <w:t xml:space="preserve"> choisi</w:t>
      </w:r>
      <w:r w:rsidR="00161811">
        <w:rPr>
          <w:lang w:val="fr-FR"/>
        </w:rPr>
        <w:t>s</w:t>
      </w:r>
      <w:r w:rsidR="00161811" w:rsidRPr="00F77964">
        <w:rPr>
          <w:lang w:val="fr-FR"/>
        </w:rPr>
        <w:t xml:space="preserve"> conformément aux procédures pour l’établissement, l’examen, l’acceptation, l’adoption, l’approbation et la publication des rapports d’évaluation et d’autres produits de la Plateforme (voir IPBES/2/9) et travailler</w:t>
      </w:r>
      <w:r w:rsidR="00161811">
        <w:rPr>
          <w:lang w:val="fr-FR"/>
        </w:rPr>
        <w:t>ont</w:t>
      </w:r>
      <w:r w:rsidR="00161811" w:rsidRPr="00F77964">
        <w:rPr>
          <w:lang w:val="fr-FR"/>
        </w:rPr>
        <w:t xml:space="preserve"> sur la base des mêmes procédures</w:t>
      </w:r>
      <w:r w:rsidR="00DE0090" w:rsidRPr="00F77964">
        <w:rPr>
          <w:lang w:val="fr-FR"/>
        </w:rPr>
        <w:t>. Les évaluations mondiales impliquer</w:t>
      </w:r>
      <w:r w:rsidR="00AC559F" w:rsidRPr="00F77964">
        <w:rPr>
          <w:lang w:val="fr-FR"/>
        </w:rPr>
        <w:t>ont</w:t>
      </w:r>
      <w:r w:rsidR="00DE0090" w:rsidRPr="00F77964">
        <w:rPr>
          <w:lang w:val="fr-FR"/>
        </w:rPr>
        <w:t xml:space="preserve"> </w:t>
      </w:r>
      <w:r w:rsidR="00AC559F" w:rsidRPr="00F77964">
        <w:rPr>
          <w:lang w:val="fr-FR"/>
        </w:rPr>
        <w:t>80</w:t>
      </w:r>
      <w:r w:rsidR="00DE0090" w:rsidRPr="00F77964">
        <w:rPr>
          <w:lang w:val="fr-FR"/>
        </w:rPr>
        <w:t xml:space="preserve"> auteurs, </w:t>
      </w:r>
      <w:r w:rsidR="00161811">
        <w:rPr>
          <w:lang w:val="fr-FR"/>
        </w:rPr>
        <w:t xml:space="preserve">qui se réuniront trois fois, </w:t>
      </w:r>
      <w:r w:rsidR="00DE0090" w:rsidRPr="00F77964">
        <w:rPr>
          <w:lang w:val="fr-FR"/>
        </w:rPr>
        <w:t>et 1</w:t>
      </w:r>
      <w:r w:rsidR="00AC559F" w:rsidRPr="00F77964">
        <w:rPr>
          <w:lang w:val="fr-FR"/>
        </w:rPr>
        <w:t>6</w:t>
      </w:r>
      <w:r w:rsidR="00DE0090" w:rsidRPr="00F77964">
        <w:rPr>
          <w:lang w:val="fr-FR"/>
        </w:rPr>
        <w:t> éditeurs-réviseurs</w:t>
      </w:r>
      <w:r w:rsidR="00AC559F" w:rsidRPr="00F77964">
        <w:rPr>
          <w:lang w:val="fr-FR"/>
        </w:rPr>
        <w:t>,</w:t>
      </w:r>
      <w:r w:rsidR="00DE0090" w:rsidRPr="00F77964">
        <w:rPr>
          <w:lang w:val="fr-FR"/>
        </w:rPr>
        <w:t xml:space="preserve"> qui se réunir</w:t>
      </w:r>
      <w:r w:rsidR="00AC559F" w:rsidRPr="00F77964">
        <w:rPr>
          <w:lang w:val="fr-FR"/>
        </w:rPr>
        <w:t>on</w:t>
      </w:r>
      <w:r w:rsidR="00DE0090" w:rsidRPr="00F77964">
        <w:rPr>
          <w:lang w:val="fr-FR"/>
        </w:rPr>
        <w:t xml:space="preserve">t </w:t>
      </w:r>
      <w:r w:rsidR="00161811">
        <w:rPr>
          <w:lang w:val="fr-FR"/>
        </w:rPr>
        <w:t>deux</w:t>
      </w:r>
      <w:r w:rsidR="00DE0090" w:rsidRPr="00F77964">
        <w:rPr>
          <w:lang w:val="fr-FR"/>
        </w:rPr>
        <w:t xml:space="preserve"> fois</w:t>
      </w:r>
      <w:r w:rsidR="00161811">
        <w:rPr>
          <w:lang w:val="fr-FR"/>
        </w:rPr>
        <w:t xml:space="preserve"> avec les</w:t>
      </w:r>
      <w:r w:rsidR="00DE0090" w:rsidRPr="00F77964">
        <w:rPr>
          <w:lang w:val="fr-FR"/>
        </w:rPr>
        <w:t xml:space="preserve"> auteurs. </w:t>
      </w:r>
      <w:r w:rsidR="00DE0090" w:rsidRPr="00F77964">
        <w:rPr>
          <w:rFonts w:eastAsia="Calibri"/>
          <w:lang w:val="fr-FR"/>
        </w:rPr>
        <w:t xml:space="preserve">La portée, le bien-fondé, l’utilité et les autres hypothèses de l’évaluation sont indiquées en détail dans un document de cadrage </w:t>
      </w:r>
      <w:r w:rsidR="00DE0090" w:rsidRPr="00F77964">
        <w:rPr>
          <w:lang w:val="fr-FR"/>
        </w:rPr>
        <w:t>(</w:t>
      </w:r>
      <w:r w:rsidR="00DE0090" w:rsidRPr="00F77964">
        <w:rPr>
          <w:rFonts w:eastAsia="Calibri"/>
          <w:lang w:val="fr-FR"/>
        </w:rPr>
        <w:t>IPBES/2/16/Add.</w:t>
      </w:r>
      <w:r w:rsidR="00AC559F" w:rsidRPr="00F77964">
        <w:rPr>
          <w:rFonts w:eastAsia="Calibri"/>
          <w:lang w:val="fr-FR"/>
        </w:rPr>
        <w:t>2</w:t>
      </w:r>
      <w:r w:rsidR="00DE0090" w:rsidRPr="00F77964">
        <w:rPr>
          <w:lang w:val="fr-FR"/>
        </w:rPr>
        <w:t>)</w:t>
      </w:r>
      <w:r w:rsidR="00DE0090" w:rsidRPr="00F77964">
        <w:rPr>
          <w:rFonts w:eastAsia="Calibri"/>
          <w:lang w:val="fr-FR"/>
        </w:rPr>
        <w:t>.</w:t>
      </w:r>
      <w:r w:rsidR="00DE0090" w:rsidRPr="00F77964">
        <w:rPr>
          <w:lang w:val="fr-FR"/>
        </w:rPr>
        <w:t xml:space="preserve"> Le secrétariat </w:t>
      </w:r>
      <w:r w:rsidR="00F77964" w:rsidRPr="00F77964">
        <w:rPr>
          <w:lang w:val="fr-FR"/>
        </w:rPr>
        <w:t>conclura</w:t>
      </w:r>
      <w:r w:rsidR="00DE0090" w:rsidRPr="00F77964">
        <w:rPr>
          <w:lang w:val="fr-FR"/>
        </w:rPr>
        <w:t xml:space="preserve"> des accords avec des institutions partenaires pour la fourniture d’un </w:t>
      </w:r>
      <w:r w:rsidR="00F16D98">
        <w:rPr>
          <w:lang w:val="fr-FR"/>
        </w:rPr>
        <w:t>appui technique approuvé</w:t>
      </w:r>
      <w:r w:rsidR="00DE0090" w:rsidRPr="00F77964">
        <w:rPr>
          <w:lang w:val="fr-FR"/>
        </w:rPr>
        <w:t xml:space="preserve"> par le Bureau. L’appui technique devrait être financé en partie par la Plateforme et en partie par les contributions en nature approuvées par la Plénière (voir </w:t>
      </w:r>
      <w:r w:rsidR="00435D19">
        <w:rPr>
          <w:lang w:val="fr-FR"/>
        </w:rPr>
        <w:t>paragraphe</w:t>
      </w:r>
      <w:r w:rsidR="00DE0090" w:rsidRPr="00F77964">
        <w:rPr>
          <w:lang w:val="fr-FR"/>
        </w:rPr>
        <w:t> 2</w:t>
      </w:r>
      <w:r w:rsidR="00AC559F" w:rsidRPr="00F77964">
        <w:rPr>
          <w:lang w:val="fr-FR"/>
        </w:rPr>
        <w:t>9</w:t>
      </w:r>
      <w:r w:rsidR="00DE0090" w:rsidRPr="00F77964">
        <w:rPr>
          <w:lang w:val="fr-FR"/>
        </w:rPr>
        <w:t xml:space="preserve"> ci-après)</w:t>
      </w:r>
      <w:r w:rsidR="00AC559F" w:rsidRPr="00F77964">
        <w:rPr>
          <w:lang w:val="fr-FR"/>
        </w:rPr>
        <w:t>.</w:t>
      </w:r>
      <w:r w:rsidR="00D66005" w:rsidRPr="00F77964">
        <w:rPr>
          <w:lang w:val="fr-FR"/>
        </w:rPr>
        <w:t xml:space="preserve"> </w:t>
      </w:r>
    </w:p>
    <w:p w:rsidR="00D66005" w:rsidRPr="00F77964" w:rsidRDefault="00D66005" w:rsidP="00D66005">
      <w:pPr>
        <w:pStyle w:val="CH3"/>
        <w:spacing w:before="200"/>
        <w:rPr>
          <w:rFonts w:eastAsia="SimSun"/>
          <w:lang w:val="fr-FR" w:eastAsia="zh-CN"/>
        </w:rPr>
      </w:pPr>
      <w:r w:rsidRPr="00F77964">
        <w:rPr>
          <w:rFonts w:eastAsia="SimSun"/>
          <w:lang w:val="fr-FR" w:eastAsia="zh-CN"/>
        </w:rPr>
        <w:tab/>
      </w:r>
      <w:r w:rsidRPr="00F77964">
        <w:rPr>
          <w:rFonts w:eastAsia="SimSun"/>
          <w:lang w:val="fr-FR" w:eastAsia="zh-CN"/>
        </w:rPr>
        <w:tab/>
      </w:r>
      <w:r w:rsidR="0048412B" w:rsidRPr="00F77964">
        <w:rPr>
          <w:rFonts w:eastAsia="SimSun"/>
          <w:lang w:val="fr-FR" w:eastAsia="zh-CN"/>
        </w:rPr>
        <w:t xml:space="preserve">Actions, étapes intermédiaires et dispositions institutionnelles </w:t>
      </w:r>
    </w:p>
    <w:p w:rsidR="00D66005" w:rsidRPr="00F77964" w:rsidRDefault="00F4565D" w:rsidP="00D66005">
      <w:pPr>
        <w:pStyle w:val="Normalnumber"/>
        <w:keepNext/>
        <w:keepLines/>
        <w:numPr>
          <w:ilvl w:val="0"/>
          <w:numId w:val="6"/>
        </w:numPr>
        <w:tabs>
          <w:tab w:val="left" w:pos="624"/>
        </w:tabs>
        <w:ind w:left="1247" w:firstLine="0"/>
        <w:rPr>
          <w:lang w:val="fr-FR"/>
        </w:rPr>
      </w:pPr>
      <w:r w:rsidRPr="00F77964">
        <w:rPr>
          <w:lang w:val="fr-FR"/>
        </w:rPr>
        <w:t>Les actions à mener sont indiquées ci-après</w:t>
      </w:r>
      <w:r w:rsidR="00D25BBB" w:rsidRPr="00F77964">
        <w:rPr>
          <w:lang w:val="fr-FR"/>
        </w:rPr>
        <w:t> :</w:t>
      </w:r>
    </w:p>
    <w:tbl>
      <w:tblPr>
        <w:tblW w:w="8074" w:type="dxa"/>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320"/>
        <w:gridCol w:w="6095"/>
      </w:tblGrid>
      <w:tr w:rsidR="00D25BBB" w:rsidRPr="0061490E" w:rsidTr="007D2A63">
        <w:trPr>
          <w:trHeight w:val="317"/>
          <w:tblHeader/>
        </w:trPr>
        <w:tc>
          <w:tcPr>
            <w:tcW w:w="1979" w:type="dxa"/>
            <w:gridSpan w:val="2"/>
            <w:tcBorders>
              <w:top w:val="single" w:sz="4" w:space="0" w:color="auto"/>
              <w:left w:val="single" w:sz="4" w:space="0" w:color="auto"/>
              <w:bottom w:val="single" w:sz="4" w:space="0" w:color="auto"/>
              <w:right w:val="single" w:sz="4" w:space="0" w:color="auto"/>
            </w:tcBorders>
            <w:hideMark/>
          </w:tcPr>
          <w:p w:rsidR="00D25BBB" w:rsidRPr="00F77964" w:rsidRDefault="00D25BBB" w:rsidP="00886BD0">
            <w:pPr>
              <w:pStyle w:val="Normal-pool"/>
              <w:keepNext/>
              <w:keepLines/>
              <w:spacing w:before="40" w:after="40"/>
              <w:rPr>
                <w:rFonts w:eastAsia="SimSun"/>
                <w:sz w:val="18"/>
                <w:szCs w:val="18"/>
                <w:lang w:eastAsia="zh-CN"/>
              </w:rPr>
            </w:pPr>
            <w:r w:rsidRPr="00F77964">
              <w:rPr>
                <w:rFonts w:eastAsia="SimSun"/>
                <w:i/>
                <w:sz w:val="18"/>
                <w:szCs w:val="18"/>
                <w:lang w:eastAsia="zh-CN"/>
              </w:rPr>
              <w:t>Calendrier</w:t>
            </w:r>
          </w:p>
        </w:tc>
        <w:tc>
          <w:tcPr>
            <w:tcW w:w="6095" w:type="dxa"/>
            <w:tcBorders>
              <w:top w:val="single" w:sz="4" w:space="0" w:color="auto"/>
              <w:left w:val="single" w:sz="4" w:space="0" w:color="auto"/>
              <w:bottom w:val="single" w:sz="4" w:space="0" w:color="auto"/>
              <w:right w:val="single" w:sz="4" w:space="0" w:color="auto"/>
            </w:tcBorders>
            <w:vAlign w:val="center"/>
            <w:hideMark/>
          </w:tcPr>
          <w:p w:rsidR="00D25BBB" w:rsidRPr="00F77964" w:rsidRDefault="00D25BBB" w:rsidP="00886BD0">
            <w:pPr>
              <w:pStyle w:val="Normal-pool"/>
              <w:keepNext/>
              <w:keepLines/>
              <w:spacing w:before="40" w:after="40"/>
              <w:rPr>
                <w:rFonts w:eastAsia="SimSun"/>
                <w:sz w:val="18"/>
                <w:szCs w:val="18"/>
                <w:lang w:eastAsia="zh-CN"/>
              </w:rPr>
            </w:pPr>
            <w:r w:rsidRPr="00F77964">
              <w:rPr>
                <w:rFonts w:eastAsia="SimSun"/>
                <w:i/>
                <w:sz w:val="18"/>
                <w:szCs w:val="18"/>
                <w:lang w:eastAsia="zh-CN"/>
              </w:rPr>
              <w:t>Actions/dispositions institutionnelles</w:t>
            </w:r>
          </w:p>
        </w:tc>
      </w:tr>
      <w:tr w:rsidR="00D25BBB" w:rsidRPr="0061490E" w:rsidTr="007D2A63">
        <w:trPr>
          <w:trHeight w:val="211"/>
        </w:trPr>
        <w:tc>
          <w:tcPr>
            <w:tcW w:w="659" w:type="dxa"/>
            <w:vMerge w:val="restart"/>
            <w:tcBorders>
              <w:top w:val="single" w:sz="4" w:space="0" w:color="auto"/>
              <w:left w:val="single" w:sz="4" w:space="0" w:color="auto"/>
              <w:bottom w:val="single" w:sz="4" w:space="0" w:color="auto"/>
              <w:right w:val="single" w:sz="4" w:space="0" w:color="auto"/>
            </w:tcBorders>
            <w:hideMark/>
          </w:tcPr>
          <w:p w:rsidR="00D25BBB" w:rsidRPr="00F77964" w:rsidRDefault="00D25BBB" w:rsidP="00886BD0">
            <w:pPr>
              <w:pStyle w:val="Normal-pool"/>
              <w:keepNext/>
              <w:keepLines/>
              <w:spacing w:before="40" w:after="40"/>
              <w:rPr>
                <w:rFonts w:eastAsia="SimSun"/>
                <w:sz w:val="18"/>
                <w:szCs w:val="18"/>
                <w:lang w:eastAsia="zh-CN"/>
              </w:rPr>
            </w:pPr>
            <w:r w:rsidRPr="00F77964">
              <w:rPr>
                <w:rFonts w:eastAsia="SimSun"/>
                <w:sz w:val="18"/>
                <w:szCs w:val="18"/>
                <w:lang w:eastAsia="zh-CN"/>
              </w:rPr>
              <w:t>2013</w:t>
            </w:r>
          </w:p>
        </w:tc>
        <w:tc>
          <w:tcPr>
            <w:tcW w:w="1320" w:type="dxa"/>
            <w:tcBorders>
              <w:top w:val="single" w:sz="4" w:space="0" w:color="auto"/>
              <w:left w:val="single" w:sz="4" w:space="0" w:color="auto"/>
              <w:bottom w:val="single" w:sz="4" w:space="0" w:color="auto"/>
              <w:right w:val="single" w:sz="4" w:space="0" w:color="auto"/>
            </w:tcBorders>
            <w:hideMark/>
          </w:tcPr>
          <w:p w:rsidR="00D25BBB" w:rsidRPr="00F77964" w:rsidRDefault="00D25BBB" w:rsidP="00886BD0">
            <w:pPr>
              <w:pStyle w:val="Normal-pool"/>
              <w:keepNext/>
              <w:keepLines/>
              <w:spacing w:before="40" w:after="40"/>
              <w:rPr>
                <w:rFonts w:eastAsia="SimSun"/>
                <w:sz w:val="18"/>
                <w:szCs w:val="18"/>
                <w:lang w:eastAsia="zh-CN"/>
              </w:rPr>
            </w:pPr>
            <w:r w:rsidRPr="00F77964">
              <w:rPr>
                <w:rFonts w:eastAsia="SimSun"/>
                <w:sz w:val="18"/>
                <w:szCs w:val="18"/>
                <w:lang w:eastAsia="zh-CN"/>
              </w:rPr>
              <w:t>Quatrième trimestre</w:t>
            </w:r>
          </w:p>
        </w:tc>
        <w:tc>
          <w:tcPr>
            <w:tcW w:w="6095" w:type="dxa"/>
            <w:tcBorders>
              <w:top w:val="single" w:sz="4" w:space="0" w:color="auto"/>
              <w:left w:val="single" w:sz="4" w:space="0" w:color="auto"/>
              <w:bottom w:val="single" w:sz="4" w:space="0" w:color="auto"/>
              <w:right w:val="single" w:sz="4" w:space="0" w:color="auto"/>
            </w:tcBorders>
            <w:vAlign w:val="center"/>
            <w:hideMark/>
          </w:tcPr>
          <w:p w:rsidR="00D25BBB" w:rsidRPr="00F77964" w:rsidRDefault="00D25BBB" w:rsidP="00886BD0">
            <w:pPr>
              <w:pStyle w:val="Normal-pool"/>
              <w:keepNext/>
              <w:keepLines/>
              <w:spacing w:before="40" w:after="40"/>
              <w:rPr>
                <w:rFonts w:eastAsia="SimSun"/>
                <w:sz w:val="18"/>
                <w:szCs w:val="18"/>
                <w:lang w:eastAsia="zh-CN"/>
              </w:rPr>
            </w:pPr>
            <w:r w:rsidRPr="00F77964">
              <w:rPr>
                <w:rFonts w:eastAsia="SimSun"/>
                <w:sz w:val="18"/>
                <w:szCs w:val="18"/>
                <w:lang w:eastAsia="zh-CN"/>
              </w:rPr>
              <w:t>La Plénière examine et approuve l’étude de cadrage initial</w:t>
            </w:r>
            <w:r w:rsidR="00AC559F" w:rsidRPr="00F77964">
              <w:rPr>
                <w:rFonts w:eastAsia="SimSun"/>
                <w:sz w:val="18"/>
                <w:szCs w:val="18"/>
                <w:lang w:eastAsia="zh-CN"/>
              </w:rPr>
              <w:t>e</w:t>
            </w:r>
            <w:r w:rsidRPr="00F77964">
              <w:rPr>
                <w:rFonts w:eastAsia="SimSun"/>
                <w:sz w:val="18"/>
                <w:szCs w:val="18"/>
                <w:lang w:eastAsia="zh-CN"/>
              </w:rPr>
              <w:t xml:space="preserve"> établie par le Groupe d’experts multidisciplinaire et demande au Groupe et au Bureau, dans le</w:t>
            </w:r>
            <w:r w:rsidR="00960E6C">
              <w:rPr>
                <w:rFonts w:eastAsia="SimSun"/>
                <w:sz w:val="18"/>
                <w:szCs w:val="18"/>
                <w:lang w:eastAsia="zh-CN"/>
              </w:rPr>
              <w:t>s limites</w:t>
            </w:r>
            <w:r w:rsidRPr="00F77964">
              <w:rPr>
                <w:rFonts w:eastAsia="SimSun"/>
                <w:sz w:val="18"/>
                <w:szCs w:val="18"/>
                <w:lang w:eastAsia="zh-CN"/>
              </w:rPr>
              <w:t xml:space="preserve"> d’un</w:t>
            </w:r>
            <w:r w:rsidR="00960E6C">
              <w:rPr>
                <w:rFonts w:eastAsia="SimSun"/>
                <w:sz w:val="18"/>
                <w:szCs w:val="18"/>
                <w:lang w:eastAsia="zh-CN"/>
              </w:rPr>
              <w:t>e enveloppe</w:t>
            </w:r>
            <w:r w:rsidRPr="00F77964">
              <w:rPr>
                <w:rFonts w:eastAsia="SimSun"/>
                <w:sz w:val="18"/>
                <w:szCs w:val="18"/>
                <w:lang w:eastAsia="zh-CN"/>
              </w:rPr>
              <w:t xml:space="preserve"> budg</w:t>
            </w:r>
            <w:r w:rsidR="00960E6C">
              <w:rPr>
                <w:rFonts w:eastAsia="SimSun"/>
                <w:sz w:val="18"/>
                <w:szCs w:val="18"/>
                <w:lang w:eastAsia="zh-CN"/>
              </w:rPr>
              <w:t>étaire</w:t>
            </w:r>
            <w:r w:rsidRPr="00F77964">
              <w:rPr>
                <w:rFonts w:eastAsia="SimSun"/>
                <w:sz w:val="18"/>
                <w:szCs w:val="18"/>
                <w:lang w:eastAsia="zh-CN"/>
              </w:rPr>
              <w:t xml:space="preserve"> convenu</w:t>
            </w:r>
            <w:r w:rsidR="00960E6C">
              <w:rPr>
                <w:rFonts w:eastAsia="SimSun"/>
                <w:sz w:val="18"/>
                <w:szCs w:val="18"/>
                <w:lang w:eastAsia="zh-CN"/>
              </w:rPr>
              <w:t>e</w:t>
            </w:r>
            <w:r w:rsidRPr="00F77964">
              <w:rPr>
                <w:rFonts w:eastAsia="SimSun"/>
                <w:sz w:val="18"/>
                <w:szCs w:val="18"/>
                <w:lang w:eastAsia="zh-CN"/>
              </w:rPr>
              <w:t xml:space="preserve">, de lancer une évaluation </w:t>
            </w:r>
            <w:r w:rsidR="00960E6C">
              <w:rPr>
                <w:rFonts w:eastAsia="SimSun"/>
                <w:sz w:val="18"/>
                <w:szCs w:val="18"/>
                <w:lang w:eastAsia="zh-CN"/>
              </w:rPr>
              <w:t>complète</w:t>
            </w:r>
            <w:r w:rsidRPr="00F77964">
              <w:rPr>
                <w:rFonts w:eastAsia="SimSun"/>
                <w:sz w:val="18"/>
                <w:szCs w:val="18"/>
                <w:lang w:eastAsia="zh-CN"/>
              </w:rPr>
              <w:t xml:space="preserve"> après l’étude de cadrage détaillée (14 décembre 2013)</w:t>
            </w:r>
          </w:p>
        </w:tc>
      </w:tr>
      <w:tr w:rsidR="00D25BBB" w:rsidRPr="0061490E" w:rsidTr="007D2A63">
        <w:trPr>
          <w:trHeight w:val="584"/>
        </w:trPr>
        <w:tc>
          <w:tcPr>
            <w:tcW w:w="659" w:type="dxa"/>
            <w:vMerge/>
            <w:tcBorders>
              <w:top w:val="single" w:sz="4" w:space="0" w:color="auto"/>
              <w:left w:val="single" w:sz="4" w:space="0" w:color="auto"/>
              <w:bottom w:val="single" w:sz="4" w:space="0" w:color="auto"/>
              <w:right w:val="single" w:sz="4" w:space="0" w:color="auto"/>
            </w:tcBorders>
            <w:vAlign w:val="center"/>
            <w:hideMark/>
          </w:tcPr>
          <w:p w:rsidR="00D25BBB" w:rsidRPr="0061490E" w:rsidRDefault="00D25BBB" w:rsidP="00886BD0">
            <w:pPr>
              <w:spacing w:line="240" w:lineRule="auto"/>
              <w:rPr>
                <w:rFonts w:eastAsia="SimSun"/>
                <w:sz w:val="18"/>
                <w:szCs w:val="18"/>
                <w:lang w:eastAsia="zh-CN"/>
              </w:rPr>
            </w:pPr>
          </w:p>
        </w:tc>
        <w:tc>
          <w:tcPr>
            <w:tcW w:w="1320" w:type="dxa"/>
            <w:tcBorders>
              <w:top w:val="single" w:sz="4" w:space="0" w:color="auto"/>
              <w:left w:val="single" w:sz="4" w:space="0" w:color="auto"/>
              <w:bottom w:val="single" w:sz="4" w:space="0" w:color="auto"/>
              <w:right w:val="single" w:sz="4" w:space="0" w:color="auto"/>
            </w:tcBorders>
            <w:hideMark/>
          </w:tcPr>
          <w:p w:rsidR="00D25BBB" w:rsidRPr="00F77964" w:rsidRDefault="00D25BBB" w:rsidP="00886BD0">
            <w:pPr>
              <w:pStyle w:val="Normal-pool"/>
              <w:spacing w:before="40" w:after="40"/>
              <w:rPr>
                <w:rFonts w:eastAsia="SimSun"/>
                <w:sz w:val="18"/>
                <w:szCs w:val="18"/>
                <w:lang w:eastAsia="zh-CN"/>
              </w:rPr>
            </w:pPr>
            <w:r w:rsidRPr="00F77964">
              <w:rPr>
                <w:rFonts w:eastAsia="SimSun"/>
                <w:sz w:val="18"/>
                <w:szCs w:val="18"/>
                <w:lang w:eastAsia="zh-CN"/>
              </w:rPr>
              <w:t>Quatrième trimestre</w:t>
            </w:r>
          </w:p>
        </w:tc>
        <w:tc>
          <w:tcPr>
            <w:tcW w:w="6095" w:type="dxa"/>
            <w:tcBorders>
              <w:top w:val="single" w:sz="4" w:space="0" w:color="auto"/>
              <w:left w:val="single" w:sz="4" w:space="0" w:color="auto"/>
              <w:bottom w:val="single" w:sz="4" w:space="0" w:color="auto"/>
              <w:right w:val="single" w:sz="4" w:space="0" w:color="auto"/>
            </w:tcBorders>
            <w:hideMark/>
          </w:tcPr>
          <w:p w:rsidR="00D25BBB" w:rsidRPr="00F77964" w:rsidRDefault="00D25BBB" w:rsidP="00886BD0">
            <w:pPr>
              <w:pStyle w:val="Normal-pool"/>
              <w:spacing w:before="40" w:after="40"/>
              <w:rPr>
                <w:rFonts w:eastAsia="SimSun"/>
                <w:sz w:val="18"/>
                <w:szCs w:val="18"/>
                <w:lang w:eastAsia="zh-CN"/>
              </w:rPr>
            </w:pPr>
            <w:r w:rsidRPr="00F77964">
              <w:rPr>
                <w:rFonts w:eastAsia="SimSun"/>
                <w:sz w:val="18"/>
                <w:szCs w:val="18"/>
                <w:lang w:eastAsia="zh-CN"/>
              </w:rPr>
              <w:t>Le Groupe d’experts</w:t>
            </w:r>
            <w:r w:rsidR="00200881" w:rsidRPr="00F77964">
              <w:rPr>
                <w:rFonts w:eastAsia="SimSun"/>
                <w:sz w:val="18"/>
                <w:szCs w:val="18"/>
                <w:lang w:eastAsia="zh-CN"/>
              </w:rPr>
              <w:t xml:space="preserve"> multidis</w:t>
            </w:r>
            <w:r w:rsidRPr="00F77964">
              <w:rPr>
                <w:rFonts w:eastAsia="SimSun"/>
                <w:sz w:val="18"/>
                <w:szCs w:val="18"/>
                <w:lang w:eastAsia="zh-CN"/>
              </w:rPr>
              <w:t>ciplinaire, par le biais du Secrétariat, demande aux gouvernements et aux autres parties prenantes de proposer des candidatures d’</w:t>
            </w:r>
            <w:r w:rsidR="007A7ABB">
              <w:rPr>
                <w:rFonts w:eastAsia="SimSun"/>
                <w:sz w:val="18"/>
                <w:szCs w:val="18"/>
                <w:lang w:eastAsia="zh-CN"/>
              </w:rPr>
              <w:t>experts susceptibles de contribuer à l’étude</w:t>
            </w:r>
            <w:r w:rsidRPr="00F77964">
              <w:rPr>
                <w:rFonts w:eastAsia="SimSun"/>
                <w:sz w:val="18"/>
                <w:szCs w:val="18"/>
                <w:lang w:eastAsia="zh-CN"/>
              </w:rPr>
              <w:t xml:space="preserve"> de cadrage (16 décembre 2013 – 31 janvier 2014)</w:t>
            </w:r>
          </w:p>
        </w:tc>
      </w:tr>
      <w:tr w:rsidR="005B0942" w:rsidRPr="0061490E" w:rsidTr="007D2A63">
        <w:trPr>
          <w:trHeight w:val="584"/>
        </w:trPr>
        <w:tc>
          <w:tcPr>
            <w:tcW w:w="659" w:type="dxa"/>
            <w:vMerge w:val="restart"/>
            <w:tcBorders>
              <w:top w:val="single" w:sz="4" w:space="0" w:color="auto"/>
              <w:left w:val="single" w:sz="4" w:space="0" w:color="auto"/>
              <w:bottom w:val="single" w:sz="4" w:space="0" w:color="auto"/>
              <w:right w:val="single" w:sz="4" w:space="0" w:color="auto"/>
            </w:tcBorders>
            <w:hideMark/>
          </w:tcPr>
          <w:p w:rsidR="005B0942" w:rsidRPr="00F77964" w:rsidRDefault="005B0942" w:rsidP="00886BD0">
            <w:pPr>
              <w:pStyle w:val="Normal-pool"/>
              <w:keepNext/>
              <w:keepLines/>
              <w:spacing w:before="40" w:after="40"/>
              <w:rPr>
                <w:rFonts w:eastAsia="SimSun"/>
                <w:sz w:val="18"/>
                <w:szCs w:val="18"/>
                <w:lang w:eastAsia="zh-CN"/>
              </w:rPr>
            </w:pPr>
            <w:r w:rsidRPr="00F77964">
              <w:rPr>
                <w:rFonts w:eastAsia="SimSun"/>
                <w:sz w:val="18"/>
                <w:szCs w:val="18"/>
                <w:lang w:eastAsia="zh-CN"/>
              </w:rPr>
              <w:lastRenderedPageBreak/>
              <w:t>2014</w:t>
            </w:r>
          </w:p>
        </w:tc>
        <w:tc>
          <w:tcPr>
            <w:tcW w:w="1320" w:type="dxa"/>
            <w:tcBorders>
              <w:top w:val="single" w:sz="4" w:space="0" w:color="auto"/>
              <w:left w:val="single" w:sz="4" w:space="0" w:color="auto"/>
              <w:bottom w:val="single" w:sz="4" w:space="0" w:color="auto"/>
              <w:right w:val="single" w:sz="4" w:space="0" w:color="auto"/>
            </w:tcBorders>
            <w:hideMark/>
          </w:tcPr>
          <w:p w:rsidR="005B0942" w:rsidRPr="00F77964" w:rsidRDefault="005B0942" w:rsidP="00886BD0">
            <w:pPr>
              <w:pStyle w:val="Normal-pool"/>
              <w:keepNext/>
              <w:keepLines/>
              <w:spacing w:before="40" w:after="40"/>
              <w:rPr>
                <w:rFonts w:eastAsia="SimSun"/>
                <w:sz w:val="18"/>
                <w:szCs w:val="18"/>
                <w:lang w:eastAsia="zh-CN"/>
              </w:rPr>
            </w:pPr>
            <w:r w:rsidRPr="00F77964">
              <w:rPr>
                <w:rFonts w:eastAsia="SimSun"/>
                <w:sz w:val="18"/>
                <w:szCs w:val="18"/>
                <w:lang w:eastAsia="zh-CN"/>
              </w:rPr>
              <w:t>Premier trimestre</w:t>
            </w:r>
          </w:p>
        </w:tc>
        <w:tc>
          <w:tcPr>
            <w:tcW w:w="6095" w:type="dxa"/>
            <w:tcBorders>
              <w:top w:val="single" w:sz="4" w:space="0" w:color="auto"/>
              <w:left w:val="single" w:sz="4" w:space="0" w:color="auto"/>
              <w:bottom w:val="single" w:sz="4" w:space="0" w:color="auto"/>
              <w:right w:val="single" w:sz="4" w:space="0" w:color="auto"/>
            </w:tcBorders>
            <w:vAlign w:val="center"/>
            <w:hideMark/>
          </w:tcPr>
          <w:p w:rsidR="005B0942" w:rsidRPr="00F77964" w:rsidRDefault="005B0942" w:rsidP="00886BD0">
            <w:pPr>
              <w:pStyle w:val="Normal-pool"/>
              <w:keepNext/>
              <w:keepLines/>
              <w:spacing w:before="40" w:after="40"/>
              <w:rPr>
                <w:rFonts w:eastAsia="SimSun"/>
                <w:sz w:val="18"/>
                <w:szCs w:val="18"/>
                <w:lang w:eastAsia="zh-CN"/>
              </w:rPr>
            </w:pPr>
            <w:r w:rsidRPr="00F77964">
              <w:rPr>
                <w:rFonts w:eastAsia="SimSun"/>
                <w:sz w:val="18"/>
                <w:szCs w:val="18"/>
                <w:lang w:eastAsia="zh-CN"/>
              </w:rPr>
              <w:t>Le Groupe d’experts multidisciplinaire, par le biais de courrie</w:t>
            </w:r>
            <w:r w:rsidR="00AC559F" w:rsidRPr="00F77964">
              <w:rPr>
                <w:rFonts w:eastAsia="SimSun"/>
                <w:sz w:val="18"/>
                <w:szCs w:val="18"/>
                <w:lang w:eastAsia="zh-CN"/>
              </w:rPr>
              <w:t>ls</w:t>
            </w:r>
            <w:r w:rsidRPr="00F77964">
              <w:rPr>
                <w:rFonts w:eastAsia="SimSun"/>
                <w:sz w:val="18"/>
                <w:szCs w:val="18"/>
                <w:lang w:eastAsia="zh-CN"/>
              </w:rPr>
              <w:t xml:space="preserve"> et de téléconférences, choisit des experts pour l’étude de cadrage, en utilisant les critères de sélection approuvés </w:t>
            </w:r>
            <w:r w:rsidR="007A7ABB">
              <w:rPr>
                <w:rFonts w:eastAsia="SimSun"/>
                <w:sz w:val="18"/>
                <w:szCs w:val="18"/>
                <w:lang w:eastAsia="zh-CN"/>
              </w:rPr>
              <w:t xml:space="preserve">(voir IPBES/2/9) </w:t>
            </w:r>
            <w:r w:rsidRPr="00F77964">
              <w:rPr>
                <w:rFonts w:eastAsia="SimSun"/>
                <w:sz w:val="18"/>
                <w:szCs w:val="18"/>
                <w:lang w:eastAsia="zh-CN"/>
              </w:rPr>
              <w:t>(1</w:t>
            </w:r>
            <w:r w:rsidR="00886BD0" w:rsidRPr="00886BD0">
              <w:rPr>
                <w:rFonts w:eastAsia="SimSun"/>
                <w:sz w:val="18"/>
                <w:szCs w:val="18"/>
                <w:vertAlign w:val="superscript"/>
                <w:lang w:eastAsia="zh-CN"/>
              </w:rPr>
              <w:t>er</w:t>
            </w:r>
            <w:r w:rsidRPr="00F77964">
              <w:rPr>
                <w:rFonts w:eastAsia="SimSun"/>
                <w:sz w:val="18"/>
                <w:szCs w:val="18"/>
                <w:lang w:eastAsia="zh-CN"/>
              </w:rPr>
              <w:t>–</w:t>
            </w:r>
            <w:r w:rsidR="00AC559F" w:rsidRPr="00F77964">
              <w:rPr>
                <w:rFonts w:eastAsia="SimSun"/>
                <w:sz w:val="18"/>
                <w:szCs w:val="18"/>
                <w:lang w:eastAsia="zh-CN"/>
              </w:rPr>
              <w:t>1</w:t>
            </w:r>
            <w:r w:rsidRPr="00F77964">
              <w:rPr>
                <w:rFonts w:eastAsia="SimSun"/>
                <w:sz w:val="18"/>
                <w:szCs w:val="18"/>
                <w:lang w:eastAsia="zh-CN"/>
              </w:rPr>
              <w:t>4 </w:t>
            </w:r>
            <w:r w:rsidR="00AC559F" w:rsidRPr="00F77964">
              <w:rPr>
                <w:rFonts w:eastAsia="SimSun"/>
                <w:sz w:val="18"/>
                <w:szCs w:val="18"/>
                <w:lang w:eastAsia="zh-CN"/>
              </w:rPr>
              <w:t>février</w:t>
            </w:r>
            <w:r w:rsidRPr="00F77964">
              <w:rPr>
                <w:rFonts w:eastAsia="SimSun"/>
                <w:sz w:val="18"/>
                <w:szCs w:val="18"/>
                <w:lang w:eastAsia="zh-CN"/>
              </w:rPr>
              <w:t> 2014)</w:t>
            </w:r>
          </w:p>
        </w:tc>
      </w:tr>
      <w:tr w:rsidR="005B0942" w:rsidRPr="0061490E" w:rsidTr="007D2A63">
        <w:trPr>
          <w:trHeight w:val="276"/>
        </w:trPr>
        <w:tc>
          <w:tcPr>
            <w:tcW w:w="659" w:type="dxa"/>
            <w:vMerge/>
            <w:tcBorders>
              <w:top w:val="single" w:sz="4" w:space="0" w:color="auto"/>
              <w:left w:val="single" w:sz="4" w:space="0" w:color="auto"/>
              <w:bottom w:val="single" w:sz="4" w:space="0" w:color="auto"/>
              <w:right w:val="single" w:sz="4" w:space="0" w:color="auto"/>
            </w:tcBorders>
            <w:vAlign w:val="center"/>
            <w:hideMark/>
          </w:tcPr>
          <w:p w:rsidR="005B0942" w:rsidRPr="0061490E" w:rsidRDefault="005B0942" w:rsidP="00886BD0">
            <w:pPr>
              <w:keepNext/>
              <w:keepLines/>
              <w:spacing w:line="240" w:lineRule="auto"/>
              <w:rPr>
                <w:rFonts w:eastAsia="SimSun"/>
                <w:sz w:val="18"/>
                <w:szCs w:val="18"/>
                <w:lang w:eastAsia="zh-CN"/>
              </w:rPr>
            </w:pPr>
          </w:p>
        </w:tc>
        <w:tc>
          <w:tcPr>
            <w:tcW w:w="1320" w:type="dxa"/>
            <w:tcBorders>
              <w:top w:val="single" w:sz="4" w:space="0" w:color="auto"/>
              <w:left w:val="single" w:sz="4" w:space="0" w:color="auto"/>
              <w:bottom w:val="single" w:sz="4" w:space="0" w:color="auto"/>
              <w:right w:val="single" w:sz="4" w:space="0" w:color="auto"/>
            </w:tcBorders>
            <w:hideMark/>
          </w:tcPr>
          <w:p w:rsidR="005B0942" w:rsidRPr="00F77964" w:rsidRDefault="007A7ABB" w:rsidP="00886BD0">
            <w:pPr>
              <w:pStyle w:val="Normal-pool"/>
              <w:keepNext/>
              <w:keepLines/>
              <w:spacing w:before="40" w:after="40"/>
              <w:rPr>
                <w:rFonts w:eastAsia="SimSun"/>
                <w:sz w:val="18"/>
                <w:szCs w:val="18"/>
                <w:lang w:eastAsia="zh-CN"/>
              </w:rPr>
            </w:pPr>
            <w:r>
              <w:rPr>
                <w:rFonts w:eastAsia="SimSun"/>
                <w:sz w:val="18"/>
                <w:szCs w:val="18"/>
                <w:lang w:eastAsia="zh-CN"/>
              </w:rPr>
              <w:t>Deuxième trimestre</w:t>
            </w:r>
          </w:p>
        </w:tc>
        <w:tc>
          <w:tcPr>
            <w:tcW w:w="6095" w:type="dxa"/>
            <w:tcBorders>
              <w:top w:val="single" w:sz="4" w:space="0" w:color="auto"/>
              <w:left w:val="single" w:sz="4" w:space="0" w:color="auto"/>
              <w:bottom w:val="single" w:sz="4" w:space="0" w:color="auto"/>
              <w:right w:val="single" w:sz="4" w:space="0" w:color="auto"/>
            </w:tcBorders>
            <w:hideMark/>
          </w:tcPr>
          <w:p w:rsidR="005B0942" w:rsidRPr="00F77964" w:rsidRDefault="005B0942" w:rsidP="00886BD0">
            <w:pPr>
              <w:pStyle w:val="Normal-pool"/>
              <w:keepNext/>
              <w:keepLines/>
              <w:spacing w:before="40" w:after="40"/>
              <w:rPr>
                <w:rFonts w:eastAsia="SimSun"/>
                <w:sz w:val="18"/>
                <w:szCs w:val="18"/>
                <w:lang w:eastAsia="zh-CN"/>
              </w:rPr>
            </w:pPr>
            <w:r w:rsidRPr="00F77964">
              <w:rPr>
                <w:rFonts w:eastAsia="SimSun"/>
                <w:sz w:val="18"/>
                <w:szCs w:val="18"/>
                <w:lang w:eastAsia="zh-CN"/>
              </w:rPr>
              <w:t xml:space="preserve">Le Groupe d’experts </w:t>
            </w:r>
            <w:r w:rsidR="00F77964" w:rsidRPr="00F77964">
              <w:rPr>
                <w:rFonts w:eastAsia="SimSun"/>
                <w:sz w:val="18"/>
                <w:szCs w:val="18"/>
                <w:lang w:eastAsia="zh-CN"/>
              </w:rPr>
              <w:t>multidisciplinaire</w:t>
            </w:r>
            <w:r w:rsidRPr="00F77964">
              <w:rPr>
                <w:rFonts w:eastAsia="SimSun"/>
                <w:sz w:val="18"/>
                <w:szCs w:val="18"/>
                <w:lang w:eastAsia="zh-CN"/>
              </w:rPr>
              <w:t xml:space="preserve"> et le Bureau su</w:t>
            </w:r>
            <w:r w:rsidR="00AC559F" w:rsidRPr="00F77964">
              <w:rPr>
                <w:rFonts w:eastAsia="SimSun"/>
                <w:sz w:val="18"/>
                <w:szCs w:val="18"/>
                <w:lang w:eastAsia="zh-CN"/>
              </w:rPr>
              <w:t>pervisent</w:t>
            </w:r>
            <w:r w:rsidRPr="00F77964">
              <w:rPr>
                <w:rFonts w:eastAsia="SimSun"/>
                <w:sz w:val="18"/>
                <w:szCs w:val="18"/>
                <w:lang w:eastAsia="zh-CN"/>
              </w:rPr>
              <w:t xml:space="preserve"> l’exercice de cadrage détaillé, </w:t>
            </w:r>
            <w:r w:rsidR="007A7ABB">
              <w:rPr>
                <w:sz w:val="18"/>
                <w:szCs w:val="18"/>
                <w:lang w:val="fr-CA"/>
              </w:rPr>
              <w:t xml:space="preserve">y compris l’établissement d’un plan, d’une estimation des coûts et d’une étude de faisabilité </w:t>
            </w:r>
            <w:r w:rsidRPr="00F77964">
              <w:rPr>
                <w:rFonts w:eastAsia="SimSun"/>
                <w:sz w:val="18"/>
                <w:szCs w:val="18"/>
                <w:lang w:eastAsia="zh-CN"/>
              </w:rPr>
              <w:t xml:space="preserve">(3 mois). Une réunion de cadrage </w:t>
            </w:r>
            <w:r w:rsidR="00960E6C">
              <w:rPr>
                <w:rFonts w:eastAsia="SimSun"/>
                <w:sz w:val="18"/>
                <w:szCs w:val="18"/>
                <w:lang w:eastAsia="zh-CN"/>
              </w:rPr>
              <w:t xml:space="preserve">a lieu début </w:t>
            </w:r>
            <w:r w:rsidRPr="00F77964">
              <w:rPr>
                <w:rFonts w:eastAsia="SimSun"/>
                <w:sz w:val="18"/>
                <w:szCs w:val="18"/>
                <w:lang w:eastAsia="zh-CN"/>
              </w:rPr>
              <w:t>avril 2014</w:t>
            </w:r>
          </w:p>
        </w:tc>
      </w:tr>
      <w:tr w:rsidR="005B0942" w:rsidRPr="0061490E" w:rsidTr="007D2A63">
        <w:trPr>
          <w:trHeight w:val="584"/>
        </w:trPr>
        <w:tc>
          <w:tcPr>
            <w:tcW w:w="659" w:type="dxa"/>
            <w:vMerge/>
            <w:tcBorders>
              <w:top w:val="single" w:sz="4" w:space="0" w:color="auto"/>
              <w:left w:val="single" w:sz="4" w:space="0" w:color="auto"/>
              <w:bottom w:val="single" w:sz="4" w:space="0" w:color="auto"/>
              <w:right w:val="single" w:sz="4" w:space="0" w:color="auto"/>
            </w:tcBorders>
            <w:vAlign w:val="center"/>
            <w:hideMark/>
          </w:tcPr>
          <w:p w:rsidR="005B0942" w:rsidRPr="0061490E" w:rsidRDefault="005B0942" w:rsidP="00886BD0">
            <w:pPr>
              <w:spacing w:line="240" w:lineRule="auto"/>
              <w:rPr>
                <w:rFonts w:eastAsia="SimSun"/>
                <w:sz w:val="18"/>
                <w:szCs w:val="18"/>
                <w:lang w:eastAsia="zh-CN"/>
              </w:rPr>
            </w:pPr>
          </w:p>
        </w:tc>
        <w:tc>
          <w:tcPr>
            <w:tcW w:w="1320" w:type="dxa"/>
            <w:tcBorders>
              <w:top w:val="single" w:sz="4" w:space="0" w:color="auto"/>
              <w:left w:val="single" w:sz="4" w:space="0" w:color="auto"/>
              <w:bottom w:val="single" w:sz="4" w:space="0" w:color="auto"/>
              <w:right w:val="single" w:sz="4" w:space="0" w:color="auto"/>
            </w:tcBorders>
            <w:hideMark/>
          </w:tcPr>
          <w:p w:rsidR="005B0942" w:rsidRPr="00F77964" w:rsidRDefault="007A7ABB" w:rsidP="00886BD0">
            <w:pPr>
              <w:pStyle w:val="Normal-pool"/>
              <w:spacing w:before="40" w:after="40"/>
              <w:rPr>
                <w:rFonts w:eastAsia="SimSun"/>
                <w:sz w:val="18"/>
                <w:szCs w:val="18"/>
                <w:lang w:eastAsia="zh-CN"/>
              </w:rPr>
            </w:pPr>
            <w:r>
              <w:rPr>
                <w:rFonts w:eastAsia="SimSun"/>
                <w:sz w:val="18"/>
                <w:szCs w:val="18"/>
                <w:lang w:eastAsia="zh-CN"/>
              </w:rPr>
              <w:t>Deuxième trimestre</w:t>
            </w:r>
          </w:p>
        </w:tc>
        <w:tc>
          <w:tcPr>
            <w:tcW w:w="6095" w:type="dxa"/>
            <w:tcBorders>
              <w:top w:val="single" w:sz="4" w:space="0" w:color="auto"/>
              <w:left w:val="single" w:sz="4" w:space="0" w:color="auto"/>
              <w:bottom w:val="single" w:sz="4" w:space="0" w:color="auto"/>
              <w:right w:val="single" w:sz="4" w:space="0" w:color="auto"/>
            </w:tcBorders>
            <w:hideMark/>
          </w:tcPr>
          <w:p w:rsidR="005B0942" w:rsidRPr="00F77964" w:rsidRDefault="005C5573" w:rsidP="00886BD0">
            <w:pPr>
              <w:pStyle w:val="Normal-pool"/>
              <w:spacing w:before="40" w:after="40"/>
              <w:rPr>
                <w:rFonts w:eastAsia="SimSun"/>
                <w:sz w:val="18"/>
                <w:szCs w:val="18"/>
                <w:lang w:eastAsia="zh-CN"/>
              </w:rPr>
            </w:pPr>
            <w:r w:rsidRPr="00F77964">
              <w:rPr>
                <w:rFonts w:eastAsia="SimSun"/>
                <w:sz w:val="18"/>
                <w:szCs w:val="18"/>
                <w:lang w:eastAsia="zh-CN"/>
              </w:rPr>
              <w:t xml:space="preserve">Le rapport de cadrage détaillé est communiqué aux membres de la </w:t>
            </w:r>
            <w:r w:rsidR="00AC559F" w:rsidRPr="00F77964">
              <w:rPr>
                <w:rFonts w:eastAsia="SimSun"/>
                <w:sz w:val="18"/>
                <w:szCs w:val="18"/>
                <w:lang w:eastAsia="zh-CN"/>
              </w:rPr>
              <w:t>P</w:t>
            </w:r>
            <w:r w:rsidRPr="00F77964">
              <w:rPr>
                <w:rFonts w:eastAsia="SimSun"/>
                <w:sz w:val="18"/>
                <w:szCs w:val="18"/>
                <w:lang w:eastAsia="zh-CN"/>
              </w:rPr>
              <w:t>lateforme et autres parties prenantes</w:t>
            </w:r>
            <w:r w:rsidR="007A7ABB">
              <w:rPr>
                <w:rFonts w:eastAsia="SimSun"/>
                <w:sz w:val="18"/>
                <w:szCs w:val="18"/>
                <w:lang w:eastAsia="zh-CN"/>
              </w:rPr>
              <w:t>,</w:t>
            </w:r>
            <w:r w:rsidRPr="00F77964">
              <w:rPr>
                <w:rFonts w:eastAsia="SimSun"/>
                <w:sz w:val="18"/>
                <w:szCs w:val="18"/>
                <w:lang w:eastAsia="zh-CN"/>
              </w:rPr>
              <w:t xml:space="preserve"> </w:t>
            </w:r>
            <w:r w:rsidR="007A7ABB">
              <w:rPr>
                <w:sz w:val="18"/>
                <w:szCs w:val="18"/>
                <w:lang w:val="fr-CA"/>
              </w:rPr>
              <w:t>qui ont deux semaines, au cours de la deuxième moitié d’avril 2014, pour l’examiner et formuler des observations.</w:t>
            </w:r>
          </w:p>
        </w:tc>
      </w:tr>
      <w:tr w:rsidR="005B0942" w:rsidRPr="0061490E" w:rsidTr="007D2A63">
        <w:trPr>
          <w:trHeight w:val="274"/>
        </w:trPr>
        <w:tc>
          <w:tcPr>
            <w:tcW w:w="659" w:type="dxa"/>
            <w:vMerge/>
            <w:tcBorders>
              <w:top w:val="single" w:sz="4" w:space="0" w:color="auto"/>
              <w:left w:val="single" w:sz="4" w:space="0" w:color="auto"/>
              <w:bottom w:val="single" w:sz="4" w:space="0" w:color="auto"/>
              <w:right w:val="single" w:sz="4" w:space="0" w:color="auto"/>
            </w:tcBorders>
            <w:vAlign w:val="center"/>
            <w:hideMark/>
          </w:tcPr>
          <w:p w:rsidR="005B0942" w:rsidRPr="0061490E" w:rsidRDefault="005B0942" w:rsidP="00886BD0">
            <w:pPr>
              <w:spacing w:line="240" w:lineRule="auto"/>
              <w:rPr>
                <w:rFonts w:eastAsia="SimSun"/>
                <w:sz w:val="18"/>
                <w:szCs w:val="18"/>
                <w:lang w:eastAsia="zh-CN"/>
              </w:rPr>
            </w:pPr>
          </w:p>
        </w:tc>
        <w:tc>
          <w:tcPr>
            <w:tcW w:w="1320" w:type="dxa"/>
            <w:tcBorders>
              <w:top w:val="single" w:sz="4" w:space="0" w:color="auto"/>
              <w:left w:val="single" w:sz="4" w:space="0" w:color="auto"/>
              <w:bottom w:val="single" w:sz="4" w:space="0" w:color="auto"/>
              <w:right w:val="single" w:sz="4" w:space="0" w:color="auto"/>
            </w:tcBorders>
            <w:hideMark/>
          </w:tcPr>
          <w:p w:rsidR="005B0942" w:rsidRPr="00F77964" w:rsidRDefault="007A7ABB" w:rsidP="00886BD0">
            <w:pPr>
              <w:pStyle w:val="Normal-pool"/>
              <w:spacing w:before="40" w:after="40"/>
              <w:rPr>
                <w:rFonts w:eastAsia="SimSun"/>
                <w:sz w:val="18"/>
                <w:szCs w:val="18"/>
                <w:lang w:eastAsia="zh-CN"/>
              </w:rPr>
            </w:pPr>
            <w:r>
              <w:rPr>
                <w:rFonts w:eastAsia="SimSun"/>
                <w:sz w:val="18"/>
                <w:szCs w:val="18"/>
                <w:lang w:eastAsia="zh-CN"/>
              </w:rPr>
              <w:t>Deuxième trimestre</w:t>
            </w:r>
          </w:p>
        </w:tc>
        <w:tc>
          <w:tcPr>
            <w:tcW w:w="6095" w:type="dxa"/>
            <w:tcBorders>
              <w:top w:val="single" w:sz="4" w:space="0" w:color="auto"/>
              <w:left w:val="single" w:sz="4" w:space="0" w:color="auto"/>
              <w:bottom w:val="single" w:sz="4" w:space="0" w:color="auto"/>
              <w:right w:val="single" w:sz="4" w:space="0" w:color="auto"/>
            </w:tcBorders>
            <w:hideMark/>
          </w:tcPr>
          <w:p w:rsidR="005B0942" w:rsidRPr="00F77964" w:rsidRDefault="005C5573" w:rsidP="00886BD0">
            <w:pPr>
              <w:pStyle w:val="Normal-pool"/>
              <w:spacing w:before="40" w:after="40"/>
              <w:rPr>
                <w:rFonts w:eastAsia="SimSun"/>
                <w:sz w:val="18"/>
                <w:szCs w:val="18"/>
                <w:lang w:eastAsia="zh-CN"/>
              </w:rPr>
            </w:pPr>
            <w:r w:rsidRPr="00F77964">
              <w:rPr>
                <w:rFonts w:eastAsia="SimSun"/>
                <w:sz w:val="18"/>
                <w:szCs w:val="18"/>
                <w:lang w:eastAsia="zh-CN"/>
              </w:rPr>
              <w:t>Sur la base des résultats de l’</w:t>
            </w:r>
            <w:r w:rsidR="00AC559F" w:rsidRPr="00F77964">
              <w:rPr>
                <w:rFonts w:eastAsia="SimSun"/>
                <w:sz w:val="18"/>
                <w:szCs w:val="18"/>
                <w:lang w:eastAsia="zh-CN"/>
              </w:rPr>
              <w:t>exercice</w:t>
            </w:r>
            <w:r w:rsidRPr="00F77964">
              <w:rPr>
                <w:rFonts w:eastAsia="SimSun"/>
                <w:sz w:val="18"/>
                <w:szCs w:val="18"/>
                <w:lang w:eastAsia="zh-CN"/>
              </w:rPr>
              <w:t xml:space="preserve"> de cadrage détaillé</w:t>
            </w:r>
            <w:r w:rsidR="007A7ABB">
              <w:rPr>
                <w:rFonts w:eastAsia="SimSun"/>
                <w:sz w:val="18"/>
                <w:szCs w:val="18"/>
                <w:lang w:eastAsia="zh-CN"/>
              </w:rPr>
              <w:t xml:space="preserve"> et</w:t>
            </w:r>
            <w:r w:rsidRPr="00F77964">
              <w:rPr>
                <w:rFonts w:eastAsia="SimSun"/>
                <w:sz w:val="18"/>
                <w:szCs w:val="18"/>
                <w:lang w:eastAsia="zh-CN"/>
              </w:rPr>
              <w:t xml:space="preserve"> des observations </w:t>
            </w:r>
            <w:r w:rsidR="007A7ABB">
              <w:rPr>
                <w:rFonts w:eastAsia="SimSun"/>
                <w:sz w:val="18"/>
                <w:szCs w:val="18"/>
                <w:lang w:eastAsia="zh-CN"/>
              </w:rPr>
              <w:t>faites par l</w:t>
            </w:r>
            <w:r w:rsidRPr="00F77964">
              <w:rPr>
                <w:rFonts w:eastAsia="SimSun"/>
                <w:sz w:val="18"/>
                <w:szCs w:val="18"/>
                <w:lang w:eastAsia="zh-CN"/>
              </w:rPr>
              <w:t xml:space="preserve">es membres de la </w:t>
            </w:r>
            <w:r w:rsidR="00AC559F" w:rsidRPr="00F77964">
              <w:rPr>
                <w:rFonts w:eastAsia="SimSun"/>
                <w:sz w:val="18"/>
                <w:szCs w:val="18"/>
                <w:lang w:eastAsia="zh-CN"/>
              </w:rPr>
              <w:t>P</w:t>
            </w:r>
            <w:r w:rsidRPr="00F77964">
              <w:rPr>
                <w:rFonts w:eastAsia="SimSun"/>
                <w:sz w:val="18"/>
                <w:szCs w:val="18"/>
                <w:lang w:eastAsia="zh-CN"/>
              </w:rPr>
              <w:t xml:space="preserve">lateforme et </w:t>
            </w:r>
            <w:r w:rsidR="007A7ABB">
              <w:rPr>
                <w:rFonts w:eastAsia="SimSun"/>
                <w:sz w:val="18"/>
                <w:szCs w:val="18"/>
                <w:lang w:eastAsia="zh-CN"/>
              </w:rPr>
              <w:t>l</w:t>
            </w:r>
            <w:r w:rsidRPr="00F77964">
              <w:rPr>
                <w:rFonts w:eastAsia="SimSun"/>
                <w:sz w:val="18"/>
                <w:szCs w:val="18"/>
                <w:lang w:eastAsia="zh-CN"/>
              </w:rPr>
              <w:t xml:space="preserve">es autres parties prenantes, le Groupe et le Bureau décident s’il convient </w:t>
            </w:r>
            <w:r w:rsidR="000671DE">
              <w:rPr>
                <w:rFonts w:eastAsia="SimSun"/>
                <w:sz w:val="18"/>
                <w:szCs w:val="18"/>
                <w:lang w:eastAsia="zh-CN"/>
              </w:rPr>
              <w:t xml:space="preserve">ou non </w:t>
            </w:r>
            <w:r w:rsidRPr="00F77964">
              <w:rPr>
                <w:rFonts w:eastAsia="SimSun"/>
                <w:sz w:val="18"/>
                <w:szCs w:val="18"/>
                <w:lang w:eastAsia="zh-CN"/>
              </w:rPr>
              <w:t>d</w:t>
            </w:r>
            <w:r w:rsidR="000671DE">
              <w:rPr>
                <w:rFonts w:eastAsia="SimSun"/>
                <w:sz w:val="18"/>
                <w:szCs w:val="18"/>
                <w:lang w:eastAsia="zh-CN"/>
              </w:rPr>
              <w:t>’entreprendre</w:t>
            </w:r>
            <w:r w:rsidRPr="00F77964">
              <w:rPr>
                <w:rFonts w:eastAsia="SimSun"/>
                <w:sz w:val="18"/>
                <w:szCs w:val="18"/>
                <w:lang w:eastAsia="zh-CN"/>
              </w:rPr>
              <w:t xml:space="preserve"> l’évaluation, </w:t>
            </w:r>
            <w:r w:rsidR="000671DE">
              <w:rPr>
                <w:rFonts w:eastAsia="SimSun"/>
                <w:sz w:val="18"/>
                <w:szCs w:val="18"/>
                <w:lang w:eastAsia="zh-CN"/>
              </w:rPr>
              <w:t>à supposer</w:t>
            </w:r>
            <w:r w:rsidR="009D1370" w:rsidRPr="00F77964">
              <w:rPr>
                <w:rFonts w:eastAsia="SimSun"/>
                <w:sz w:val="18"/>
                <w:szCs w:val="18"/>
                <w:lang w:eastAsia="zh-CN"/>
              </w:rPr>
              <w:t xml:space="preserve"> qu’elle puisse</w:t>
            </w:r>
            <w:r w:rsidRPr="00F77964">
              <w:rPr>
                <w:rFonts w:eastAsia="SimSun"/>
                <w:sz w:val="18"/>
                <w:szCs w:val="18"/>
                <w:lang w:eastAsia="zh-CN"/>
              </w:rPr>
              <w:t xml:space="preserve"> être menée dans </w:t>
            </w:r>
            <w:r w:rsidR="007A7ABB">
              <w:rPr>
                <w:rFonts w:eastAsia="SimSun"/>
                <w:sz w:val="18"/>
                <w:szCs w:val="18"/>
                <w:lang w:eastAsia="zh-CN"/>
              </w:rPr>
              <w:t xml:space="preserve">les limites de </w:t>
            </w:r>
            <w:r w:rsidRPr="00F77964">
              <w:rPr>
                <w:rFonts w:eastAsia="SimSun"/>
                <w:sz w:val="18"/>
                <w:szCs w:val="18"/>
                <w:lang w:eastAsia="zh-CN"/>
              </w:rPr>
              <w:t xml:space="preserve">l’enveloppe budgétaire approuvée par la Plénière </w:t>
            </w:r>
            <w:r w:rsidR="000671DE">
              <w:rPr>
                <w:rFonts w:eastAsia="SimSun"/>
                <w:sz w:val="18"/>
                <w:szCs w:val="18"/>
                <w:lang w:eastAsia="zh-CN"/>
              </w:rPr>
              <w:t>dans</w:t>
            </w:r>
            <w:r w:rsidRPr="00F77964">
              <w:rPr>
                <w:rFonts w:eastAsia="SimSun"/>
                <w:sz w:val="18"/>
                <w:szCs w:val="18"/>
                <w:lang w:eastAsia="zh-CN"/>
              </w:rPr>
              <w:t xml:space="preserve"> la première moitié de mai 2014</w:t>
            </w:r>
          </w:p>
        </w:tc>
      </w:tr>
      <w:tr w:rsidR="005B0942" w:rsidRPr="0061490E" w:rsidTr="007D2A63">
        <w:trPr>
          <w:trHeight w:val="132"/>
        </w:trPr>
        <w:tc>
          <w:tcPr>
            <w:tcW w:w="659" w:type="dxa"/>
            <w:vMerge/>
            <w:tcBorders>
              <w:top w:val="single" w:sz="4" w:space="0" w:color="auto"/>
              <w:left w:val="single" w:sz="4" w:space="0" w:color="auto"/>
              <w:bottom w:val="single" w:sz="4" w:space="0" w:color="auto"/>
              <w:right w:val="single" w:sz="4" w:space="0" w:color="auto"/>
            </w:tcBorders>
            <w:vAlign w:val="center"/>
            <w:hideMark/>
          </w:tcPr>
          <w:p w:rsidR="005B0942" w:rsidRPr="0061490E" w:rsidRDefault="005B0942" w:rsidP="00886BD0">
            <w:pPr>
              <w:spacing w:line="240" w:lineRule="auto"/>
              <w:rPr>
                <w:rFonts w:eastAsia="SimSun"/>
                <w:sz w:val="18"/>
                <w:szCs w:val="18"/>
                <w:lang w:eastAsia="zh-CN"/>
              </w:rPr>
            </w:pPr>
          </w:p>
        </w:tc>
        <w:tc>
          <w:tcPr>
            <w:tcW w:w="1320" w:type="dxa"/>
            <w:tcBorders>
              <w:top w:val="single" w:sz="4" w:space="0" w:color="auto"/>
              <w:left w:val="single" w:sz="4" w:space="0" w:color="auto"/>
              <w:bottom w:val="single" w:sz="4" w:space="0" w:color="auto"/>
              <w:right w:val="single" w:sz="4" w:space="0" w:color="auto"/>
            </w:tcBorders>
            <w:hideMark/>
          </w:tcPr>
          <w:p w:rsidR="005B0942" w:rsidRPr="00F77964" w:rsidRDefault="005C5573" w:rsidP="00886BD0">
            <w:pPr>
              <w:pStyle w:val="Normal-pool"/>
              <w:spacing w:before="40" w:after="40"/>
              <w:rPr>
                <w:rFonts w:eastAsia="SimSun"/>
                <w:sz w:val="18"/>
                <w:szCs w:val="18"/>
                <w:lang w:eastAsia="zh-CN"/>
              </w:rPr>
            </w:pPr>
            <w:r w:rsidRPr="00F77964">
              <w:rPr>
                <w:rFonts w:eastAsia="SimSun"/>
                <w:sz w:val="18"/>
                <w:szCs w:val="18"/>
                <w:lang w:eastAsia="zh-CN"/>
              </w:rPr>
              <w:t>Deuxième trimestre</w:t>
            </w:r>
          </w:p>
        </w:tc>
        <w:tc>
          <w:tcPr>
            <w:tcW w:w="6095" w:type="dxa"/>
            <w:tcBorders>
              <w:top w:val="single" w:sz="4" w:space="0" w:color="auto"/>
              <w:left w:val="single" w:sz="4" w:space="0" w:color="auto"/>
              <w:bottom w:val="single" w:sz="4" w:space="0" w:color="auto"/>
              <w:right w:val="single" w:sz="4" w:space="0" w:color="auto"/>
            </w:tcBorders>
            <w:hideMark/>
          </w:tcPr>
          <w:p w:rsidR="005B0942" w:rsidRPr="00F77964" w:rsidRDefault="005C5573" w:rsidP="00886BD0">
            <w:pPr>
              <w:pStyle w:val="Normal-pool"/>
              <w:spacing w:before="40" w:after="40"/>
              <w:rPr>
                <w:rFonts w:eastAsia="SimSun"/>
                <w:sz w:val="18"/>
                <w:szCs w:val="18"/>
                <w:lang w:eastAsia="zh-CN"/>
              </w:rPr>
            </w:pPr>
            <w:r w:rsidRPr="00F77964">
              <w:rPr>
                <w:rFonts w:eastAsia="SimSun"/>
                <w:sz w:val="18"/>
                <w:szCs w:val="18"/>
                <w:lang w:eastAsia="zh-CN"/>
              </w:rPr>
              <w:t xml:space="preserve">Le Groupe d’experts </w:t>
            </w:r>
            <w:r w:rsidR="00F77964" w:rsidRPr="00F77964">
              <w:rPr>
                <w:rFonts w:eastAsia="SimSun"/>
                <w:sz w:val="18"/>
                <w:szCs w:val="18"/>
                <w:lang w:eastAsia="zh-CN"/>
              </w:rPr>
              <w:t>multidisciplinaire</w:t>
            </w:r>
            <w:r w:rsidRPr="00F77964">
              <w:rPr>
                <w:rFonts w:eastAsia="SimSun"/>
                <w:sz w:val="18"/>
                <w:szCs w:val="18"/>
                <w:lang w:eastAsia="zh-CN"/>
              </w:rPr>
              <w:t xml:space="preserve">, par le biais du Secrétariat, demande aux gouvernements et aux autres parties prenantes de désigner </w:t>
            </w:r>
            <w:r w:rsidR="009D1370" w:rsidRPr="00F77964">
              <w:rPr>
                <w:rFonts w:eastAsia="SimSun"/>
                <w:sz w:val="18"/>
                <w:szCs w:val="18"/>
                <w:lang w:eastAsia="zh-CN"/>
              </w:rPr>
              <w:t>d</w:t>
            </w:r>
            <w:r w:rsidRPr="00F77964">
              <w:rPr>
                <w:rFonts w:eastAsia="SimSun"/>
                <w:sz w:val="18"/>
                <w:szCs w:val="18"/>
                <w:lang w:eastAsia="zh-CN"/>
              </w:rPr>
              <w:t>es experts pour établir le rapport</w:t>
            </w:r>
            <w:r w:rsidR="00773D3D">
              <w:rPr>
                <w:rFonts w:eastAsia="SimSun"/>
                <w:sz w:val="18"/>
                <w:szCs w:val="18"/>
                <w:lang w:eastAsia="zh-CN"/>
              </w:rPr>
              <w:t xml:space="preserve"> d’évaluation.</w:t>
            </w:r>
            <w:r w:rsidRPr="00F77964">
              <w:rPr>
                <w:rFonts w:eastAsia="SimSun"/>
                <w:sz w:val="18"/>
                <w:szCs w:val="18"/>
                <w:lang w:eastAsia="zh-CN"/>
              </w:rPr>
              <w:t xml:space="preserve"> </w:t>
            </w:r>
            <w:r w:rsidR="00773D3D">
              <w:rPr>
                <w:sz w:val="18"/>
                <w:szCs w:val="18"/>
                <w:lang w:val="fr-CA"/>
              </w:rPr>
              <w:t>Les nominations doivent être communiquées</w:t>
            </w:r>
            <w:r w:rsidR="007A7ABB">
              <w:rPr>
                <w:rFonts w:eastAsia="SimSun"/>
                <w:sz w:val="18"/>
                <w:szCs w:val="18"/>
                <w:lang w:eastAsia="zh-CN"/>
              </w:rPr>
              <w:t xml:space="preserve"> </w:t>
            </w:r>
            <w:r w:rsidR="000671DE">
              <w:rPr>
                <w:rFonts w:eastAsia="SimSun"/>
                <w:sz w:val="18"/>
                <w:szCs w:val="18"/>
                <w:lang w:eastAsia="zh-CN"/>
              </w:rPr>
              <w:t xml:space="preserve">au </w:t>
            </w:r>
            <w:r w:rsidR="007A7ABB">
              <w:rPr>
                <w:rFonts w:eastAsia="SimSun"/>
                <w:sz w:val="18"/>
                <w:szCs w:val="18"/>
                <w:lang w:eastAsia="zh-CN"/>
              </w:rPr>
              <w:t>plus tard</w:t>
            </w:r>
            <w:r w:rsidRPr="00F77964">
              <w:rPr>
                <w:rFonts w:eastAsia="SimSun"/>
                <w:sz w:val="18"/>
                <w:szCs w:val="18"/>
                <w:lang w:eastAsia="zh-CN"/>
              </w:rPr>
              <w:t xml:space="preserve"> fin juin 2014</w:t>
            </w:r>
            <w:r w:rsidR="005B0942" w:rsidRPr="00F77964">
              <w:rPr>
                <w:rFonts w:eastAsia="SimSun"/>
                <w:sz w:val="18"/>
                <w:szCs w:val="18"/>
                <w:lang w:eastAsia="zh-CN"/>
              </w:rPr>
              <w:t xml:space="preserve"> (1</w:t>
            </w:r>
            <w:r w:rsidR="009D1370" w:rsidRPr="00F77964">
              <w:rPr>
                <w:rFonts w:eastAsia="SimSun"/>
                <w:sz w:val="18"/>
                <w:szCs w:val="18"/>
                <w:lang w:eastAsia="zh-CN"/>
              </w:rPr>
              <w:t>,</w:t>
            </w:r>
            <w:r w:rsidR="005B0942" w:rsidRPr="00F77964">
              <w:rPr>
                <w:rFonts w:eastAsia="SimSun"/>
                <w:sz w:val="18"/>
                <w:szCs w:val="18"/>
                <w:lang w:eastAsia="zh-CN"/>
              </w:rPr>
              <w:t>5</w:t>
            </w:r>
            <w:r w:rsidRPr="00F77964">
              <w:rPr>
                <w:rFonts w:eastAsia="SimSun"/>
                <w:sz w:val="18"/>
                <w:szCs w:val="18"/>
                <w:lang w:eastAsia="zh-CN"/>
              </w:rPr>
              <w:t> mois</w:t>
            </w:r>
            <w:r w:rsidR="005B0942" w:rsidRPr="00F77964">
              <w:rPr>
                <w:rFonts w:eastAsia="SimSun"/>
                <w:sz w:val="18"/>
                <w:szCs w:val="18"/>
                <w:lang w:eastAsia="zh-CN"/>
              </w:rPr>
              <w:t>)</w:t>
            </w:r>
          </w:p>
        </w:tc>
      </w:tr>
      <w:tr w:rsidR="005B0942" w:rsidRPr="0061490E" w:rsidTr="007D2A63">
        <w:trPr>
          <w:trHeight w:val="584"/>
        </w:trPr>
        <w:tc>
          <w:tcPr>
            <w:tcW w:w="659" w:type="dxa"/>
            <w:vMerge/>
            <w:tcBorders>
              <w:top w:val="single" w:sz="4" w:space="0" w:color="auto"/>
              <w:left w:val="single" w:sz="4" w:space="0" w:color="auto"/>
              <w:bottom w:val="single" w:sz="4" w:space="0" w:color="auto"/>
              <w:right w:val="single" w:sz="4" w:space="0" w:color="auto"/>
            </w:tcBorders>
            <w:vAlign w:val="center"/>
            <w:hideMark/>
          </w:tcPr>
          <w:p w:rsidR="005B0942" w:rsidRPr="0061490E" w:rsidRDefault="005B0942" w:rsidP="00886BD0">
            <w:pPr>
              <w:spacing w:line="240" w:lineRule="auto"/>
              <w:rPr>
                <w:rFonts w:eastAsia="SimSun"/>
                <w:sz w:val="18"/>
                <w:szCs w:val="18"/>
                <w:lang w:eastAsia="zh-CN"/>
              </w:rPr>
            </w:pPr>
          </w:p>
        </w:tc>
        <w:tc>
          <w:tcPr>
            <w:tcW w:w="1320" w:type="dxa"/>
            <w:tcBorders>
              <w:top w:val="single" w:sz="4" w:space="0" w:color="auto"/>
              <w:left w:val="single" w:sz="4" w:space="0" w:color="auto"/>
              <w:bottom w:val="single" w:sz="4" w:space="0" w:color="auto"/>
              <w:right w:val="single" w:sz="4" w:space="0" w:color="auto"/>
            </w:tcBorders>
            <w:hideMark/>
          </w:tcPr>
          <w:p w:rsidR="005B0942" w:rsidRPr="00F77964" w:rsidRDefault="005B0942" w:rsidP="00886BD0">
            <w:pPr>
              <w:pStyle w:val="Normal-pool"/>
              <w:spacing w:before="40" w:after="40"/>
              <w:rPr>
                <w:rFonts w:eastAsia="SimSun"/>
                <w:sz w:val="18"/>
                <w:szCs w:val="18"/>
                <w:lang w:eastAsia="zh-CN"/>
              </w:rPr>
            </w:pPr>
            <w:r w:rsidRPr="00F77964">
              <w:rPr>
                <w:rFonts w:eastAsia="SimSun"/>
                <w:sz w:val="18"/>
                <w:szCs w:val="18"/>
                <w:lang w:eastAsia="zh-CN"/>
              </w:rPr>
              <w:t>T</w:t>
            </w:r>
            <w:r w:rsidR="005C5573" w:rsidRPr="00F77964">
              <w:rPr>
                <w:rFonts w:eastAsia="SimSun"/>
                <w:sz w:val="18"/>
                <w:szCs w:val="18"/>
                <w:lang w:eastAsia="zh-CN"/>
              </w:rPr>
              <w:t>roisième trimestre</w:t>
            </w:r>
          </w:p>
        </w:tc>
        <w:tc>
          <w:tcPr>
            <w:tcW w:w="6095" w:type="dxa"/>
            <w:tcBorders>
              <w:top w:val="single" w:sz="4" w:space="0" w:color="auto"/>
              <w:left w:val="single" w:sz="4" w:space="0" w:color="auto"/>
              <w:bottom w:val="single" w:sz="4" w:space="0" w:color="auto"/>
              <w:right w:val="single" w:sz="4" w:space="0" w:color="auto"/>
            </w:tcBorders>
            <w:hideMark/>
          </w:tcPr>
          <w:p w:rsidR="005B0942" w:rsidRPr="00F77964" w:rsidRDefault="005C5573" w:rsidP="00886BD0">
            <w:pPr>
              <w:pStyle w:val="Normal-pool"/>
              <w:spacing w:before="40" w:after="40"/>
              <w:rPr>
                <w:rFonts w:eastAsia="SimSun"/>
                <w:sz w:val="18"/>
                <w:szCs w:val="18"/>
                <w:lang w:eastAsia="zh-CN"/>
              </w:rPr>
            </w:pPr>
            <w:r w:rsidRPr="00F77964">
              <w:rPr>
                <w:rFonts w:eastAsia="SimSun"/>
                <w:sz w:val="18"/>
                <w:szCs w:val="18"/>
                <w:lang w:eastAsia="zh-CN"/>
              </w:rPr>
              <w:t xml:space="preserve">Le Groupe d’experts multidisciplinaire choisit les </w:t>
            </w:r>
            <w:r w:rsidR="006E337B">
              <w:rPr>
                <w:rFonts w:eastAsia="SimSun"/>
                <w:sz w:val="18"/>
                <w:szCs w:val="18"/>
                <w:lang w:eastAsia="zh-CN"/>
              </w:rPr>
              <w:t>coprésidents</w:t>
            </w:r>
            <w:r w:rsidRPr="00F77964">
              <w:rPr>
                <w:rFonts w:eastAsia="SimSun"/>
                <w:sz w:val="18"/>
                <w:szCs w:val="18"/>
                <w:lang w:eastAsia="zh-CN"/>
              </w:rPr>
              <w:t xml:space="preserve">, les auteurs coordonnateurs principaux, les auteurs principaux et les </w:t>
            </w:r>
            <w:r w:rsidR="007D2A63" w:rsidRPr="00F77964">
              <w:rPr>
                <w:rFonts w:eastAsia="SimSun"/>
                <w:sz w:val="18"/>
                <w:szCs w:val="18"/>
                <w:lang w:eastAsia="zh-CN"/>
              </w:rPr>
              <w:t xml:space="preserve">éditeurs-réviseurs, en utilisant les critères de sélection </w:t>
            </w:r>
            <w:r w:rsidR="007A7ABB">
              <w:rPr>
                <w:rFonts w:eastAsia="SimSun"/>
                <w:sz w:val="18"/>
                <w:szCs w:val="18"/>
                <w:lang w:eastAsia="zh-CN"/>
              </w:rPr>
              <w:t xml:space="preserve">approuvés </w:t>
            </w:r>
            <w:r w:rsidR="005B0942" w:rsidRPr="00F77964">
              <w:rPr>
                <w:rFonts w:eastAsia="SimSun"/>
                <w:sz w:val="18"/>
                <w:szCs w:val="18"/>
                <w:lang w:eastAsia="zh-CN"/>
              </w:rPr>
              <w:t>(</w:t>
            </w:r>
            <w:r w:rsidR="00773D3D">
              <w:rPr>
                <w:rFonts w:eastAsia="SimSun"/>
                <w:sz w:val="18"/>
                <w:szCs w:val="18"/>
                <w:lang w:eastAsia="zh-CN"/>
              </w:rPr>
              <w:t xml:space="preserve">voir </w:t>
            </w:r>
            <w:r w:rsidR="005B0942" w:rsidRPr="00F77964">
              <w:rPr>
                <w:rFonts w:eastAsia="SimSun"/>
                <w:sz w:val="18"/>
                <w:szCs w:val="18"/>
                <w:lang w:eastAsia="zh-CN"/>
              </w:rPr>
              <w:t>IPBES/2/9) (1</w:t>
            </w:r>
            <w:r w:rsidR="007D2A63" w:rsidRPr="006D272C">
              <w:rPr>
                <w:rFonts w:eastAsia="SimSun"/>
                <w:sz w:val="18"/>
                <w:szCs w:val="18"/>
                <w:vertAlign w:val="superscript"/>
                <w:lang w:eastAsia="zh-CN"/>
              </w:rPr>
              <w:t>er</w:t>
            </w:r>
            <w:r w:rsidR="005B0942" w:rsidRPr="00F77964">
              <w:rPr>
                <w:rFonts w:eastAsia="SimSun"/>
                <w:sz w:val="18"/>
                <w:szCs w:val="18"/>
                <w:lang w:eastAsia="zh-CN"/>
              </w:rPr>
              <w:t> </w:t>
            </w:r>
            <w:r w:rsidR="007D2A63" w:rsidRPr="00F77964">
              <w:rPr>
                <w:rFonts w:eastAsia="SimSun"/>
                <w:sz w:val="18"/>
                <w:szCs w:val="18"/>
                <w:lang w:eastAsia="zh-CN"/>
              </w:rPr>
              <w:t>juillet</w:t>
            </w:r>
            <w:r w:rsidR="006D272C">
              <w:rPr>
                <w:rFonts w:eastAsia="SimSun"/>
                <w:sz w:val="18"/>
                <w:szCs w:val="18"/>
                <w:lang w:eastAsia="zh-CN"/>
              </w:rPr>
              <w:t xml:space="preserve"> </w:t>
            </w:r>
            <w:r w:rsidR="005B0942" w:rsidRPr="00F77964">
              <w:rPr>
                <w:rFonts w:eastAsia="SimSun"/>
                <w:sz w:val="18"/>
                <w:szCs w:val="18"/>
                <w:lang w:eastAsia="zh-CN"/>
              </w:rPr>
              <w:t>–</w:t>
            </w:r>
            <w:r w:rsidR="006D272C">
              <w:rPr>
                <w:rFonts w:eastAsia="SimSun"/>
                <w:sz w:val="18"/>
                <w:szCs w:val="18"/>
                <w:lang w:eastAsia="zh-CN"/>
              </w:rPr>
              <w:t xml:space="preserve"> </w:t>
            </w:r>
            <w:r w:rsidR="005B0942" w:rsidRPr="00F77964">
              <w:rPr>
                <w:rFonts w:eastAsia="SimSun"/>
                <w:sz w:val="18"/>
                <w:szCs w:val="18"/>
                <w:lang w:eastAsia="zh-CN"/>
              </w:rPr>
              <w:t>15</w:t>
            </w:r>
            <w:r w:rsidR="007D2A63" w:rsidRPr="00F77964">
              <w:rPr>
                <w:rFonts w:eastAsia="SimSun"/>
                <w:sz w:val="18"/>
                <w:szCs w:val="18"/>
                <w:lang w:eastAsia="zh-CN"/>
              </w:rPr>
              <w:t> août</w:t>
            </w:r>
            <w:r w:rsidR="00773D3D">
              <w:rPr>
                <w:rFonts w:eastAsia="SimSun"/>
                <w:sz w:val="18"/>
                <w:szCs w:val="18"/>
                <w:lang w:eastAsia="zh-CN"/>
              </w:rPr>
              <w:t xml:space="preserve"> 2014</w:t>
            </w:r>
            <w:r w:rsidR="005B0942" w:rsidRPr="00F77964">
              <w:rPr>
                <w:rFonts w:eastAsia="SimSun"/>
                <w:sz w:val="18"/>
                <w:szCs w:val="18"/>
                <w:lang w:eastAsia="zh-CN"/>
              </w:rPr>
              <w:t>) (1</w:t>
            </w:r>
            <w:r w:rsidR="009D1370" w:rsidRPr="00F77964">
              <w:rPr>
                <w:rFonts w:eastAsia="SimSun"/>
                <w:sz w:val="18"/>
                <w:szCs w:val="18"/>
                <w:lang w:eastAsia="zh-CN"/>
              </w:rPr>
              <w:t>,</w:t>
            </w:r>
            <w:r w:rsidR="005B0942" w:rsidRPr="00F77964">
              <w:rPr>
                <w:rFonts w:eastAsia="SimSun"/>
                <w:sz w:val="18"/>
                <w:szCs w:val="18"/>
                <w:lang w:eastAsia="zh-CN"/>
              </w:rPr>
              <w:t>5</w:t>
            </w:r>
            <w:r w:rsidR="007D2A63" w:rsidRPr="00F77964">
              <w:rPr>
                <w:rFonts w:eastAsia="SimSun"/>
                <w:sz w:val="18"/>
                <w:szCs w:val="18"/>
                <w:lang w:eastAsia="zh-CN"/>
              </w:rPr>
              <w:t> mois</w:t>
            </w:r>
            <w:r w:rsidR="005B0942" w:rsidRPr="00F77964">
              <w:rPr>
                <w:rFonts w:eastAsia="SimSun"/>
                <w:sz w:val="18"/>
                <w:szCs w:val="18"/>
                <w:lang w:eastAsia="zh-CN"/>
              </w:rPr>
              <w:t>)</w:t>
            </w:r>
          </w:p>
        </w:tc>
      </w:tr>
      <w:tr w:rsidR="005B0942" w:rsidRPr="0061490E" w:rsidTr="007D2A63">
        <w:trPr>
          <w:trHeight w:val="584"/>
        </w:trPr>
        <w:tc>
          <w:tcPr>
            <w:tcW w:w="659" w:type="dxa"/>
            <w:vMerge/>
            <w:tcBorders>
              <w:top w:val="single" w:sz="4" w:space="0" w:color="auto"/>
              <w:left w:val="single" w:sz="4" w:space="0" w:color="auto"/>
              <w:bottom w:val="single" w:sz="4" w:space="0" w:color="auto"/>
              <w:right w:val="single" w:sz="4" w:space="0" w:color="auto"/>
            </w:tcBorders>
            <w:vAlign w:val="center"/>
            <w:hideMark/>
          </w:tcPr>
          <w:p w:rsidR="005B0942" w:rsidRPr="0061490E" w:rsidRDefault="005B0942" w:rsidP="00886BD0">
            <w:pPr>
              <w:spacing w:line="240" w:lineRule="auto"/>
              <w:rPr>
                <w:rFonts w:eastAsia="SimSun"/>
                <w:sz w:val="18"/>
                <w:szCs w:val="18"/>
                <w:lang w:eastAsia="zh-CN"/>
              </w:rPr>
            </w:pPr>
          </w:p>
        </w:tc>
        <w:tc>
          <w:tcPr>
            <w:tcW w:w="1320" w:type="dxa"/>
            <w:tcBorders>
              <w:top w:val="single" w:sz="4" w:space="0" w:color="auto"/>
              <w:left w:val="single" w:sz="4" w:space="0" w:color="auto"/>
              <w:bottom w:val="single" w:sz="4" w:space="0" w:color="auto"/>
              <w:right w:val="single" w:sz="4" w:space="0" w:color="auto"/>
            </w:tcBorders>
            <w:hideMark/>
          </w:tcPr>
          <w:p w:rsidR="005B0942" w:rsidRPr="00F77964" w:rsidRDefault="005B0942" w:rsidP="00886BD0">
            <w:pPr>
              <w:pStyle w:val="Normal-pool"/>
              <w:spacing w:before="40" w:after="40"/>
              <w:rPr>
                <w:rFonts w:eastAsia="SimSun"/>
                <w:sz w:val="18"/>
                <w:szCs w:val="18"/>
                <w:lang w:eastAsia="zh-CN"/>
              </w:rPr>
            </w:pPr>
            <w:r w:rsidRPr="00F77964">
              <w:rPr>
                <w:rFonts w:eastAsia="SimSun"/>
                <w:sz w:val="18"/>
                <w:szCs w:val="18"/>
                <w:lang w:eastAsia="zh-CN"/>
              </w:rPr>
              <w:t>T</w:t>
            </w:r>
            <w:r w:rsidR="007D2A63" w:rsidRPr="00F77964">
              <w:rPr>
                <w:rFonts w:eastAsia="SimSun"/>
                <w:sz w:val="18"/>
                <w:szCs w:val="18"/>
                <w:lang w:eastAsia="zh-CN"/>
              </w:rPr>
              <w:t>roisième/ quatrième trimestres</w:t>
            </w:r>
          </w:p>
        </w:tc>
        <w:tc>
          <w:tcPr>
            <w:tcW w:w="6095" w:type="dxa"/>
            <w:tcBorders>
              <w:top w:val="single" w:sz="4" w:space="0" w:color="auto"/>
              <w:left w:val="single" w:sz="4" w:space="0" w:color="auto"/>
              <w:bottom w:val="single" w:sz="4" w:space="0" w:color="auto"/>
              <w:right w:val="single" w:sz="4" w:space="0" w:color="auto"/>
            </w:tcBorders>
            <w:hideMark/>
          </w:tcPr>
          <w:p w:rsidR="005B0942" w:rsidRPr="00F77964" w:rsidRDefault="007D2A63" w:rsidP="00886BD0">
            <w:pPr>
              <w:pStyle w:val="Normal-pool"/>
              <w:spacing w:before="40" w:after="40"/>
              <w:rPr>
                <w:rFonts w:eastAsia="SimSun"/>
                <w:sz w:val="18"/>
                <w:szCs w:val="18"/>
                <w:lang w:eastAsia="zh-CN"/>
              </w:rPr>
            </w:pPr>
            <w:r w:rsidRPr="00F77964">
              <w:rPr>
                <w:rFonts w:eastAsia="SimSun"/>
                <w:sz w:val="18"/>
                <w:szCs w:val="18"/>
                <w:lang w:eastAsia="zh-CN"/>
              </w:rPr>
              <w:t xml:space="preserve">Les </w:t>
            </w:r>
            <w:r w:rsidR="006E337B">
              <w:rPr>
                <w:rFonts w:eastAsia="SimSun"/>
                <w:sz w:val="18"/>
                <w:szCs w:val="18"/>
                <w:lang w:eastAsia="zh-CN"/>
              </w:rPr>
              <w:t>coprésidents</w:t>
            </w:r>
            <w:r w:rsidRPr="00F77964">
              <w:rPr>
                <w:rFonts w:eastAsia="SimSun"/>
                <w:sz w:val="18"/>
                <w:szCs w:val="18"/>
                <w:lang w:eastAsia="zh-CN"/>
              </w:rPr>
              <w:t xml:space="preserve">, les auteurs coordonnateurs principaux et les auteurs principaux préparent l’avant-projet de rapport </w:t>
            </w:r>
            <w:r w:rsidR="00773D3D">
              <w:rPr>
                <w:rFonts w:eastAsia="SimSun"/>
                <w:sz w:val="18"/>
                <w:szCs w:val="18"/>
                <w:lang w:eastAsia="zh-CN"/>
              </w:rPr>
              <w:t>pour</w:t>
            </w:r>
            <w:r w:rsidRPr="00F77964">
              <w:rPr>
                <w:rFonts w:eastAsia="SimSun"/>
                <w:sz w:val="18"/>
                <w:szCs w:val="18"/>
                <w:lang w:eastAsia="zh-CN"/>
              </w:rPr>
              <w:t xml:space="preserve"> la mi-février 2015 (6 mois). Une première réunion des auteurs se tient en septembre 2014. Des ateliers de dialogue et des </w:t>
            </w:r>
            <w:r w:rsidR="00773D3D" w:rsidRPr="00055A38">
              <w:rPr>
                <w:sz w:val="18"/>
                <w:szCs w:val="18"/>
                <w:lang w:val="fr-CA"/>
              </w:rPr>
              <w:t>réunions de travail au niveau des collectivités</w:t>
            </w:r>
            <w:r w:rsidRPr="00F77964">
              <w:rPr>
                <w:rFonts w:eastAsia="SimSun"/>
                <w:sz w:val="18"/>
                <w:szCs w:val="18"/>
                <w:lang w:eastAsia="zh-CN"/>
              </w:rPr>
              <w:t xml:space="preserve"> avec des détenteurs de connaissances locales et autochtones sont organisés</w:t>
            </w:r>
          </w:p>
        </w:tc>
      </w:tr>
      <w:tr w:rsidR="005B0942" w:rsidRPr="0061490E" w:rsidTr="007D2A63">
        <w:trPr>
          <w:trHeight w:val="504"/>
        </w:trPr>
        <w:tc>
          <w:tcPr>
            <w:tcW w:w="659" w:type="dxa"/>
            <w:vMerge w:val="restart"/>
            <w:tcBorders>
              <w:top w:val="single" w:sz="4" w:space="0" w:color="auto"/>
              <w:left w:val="single" w:sz="4" w:space="0" w:color="auto"/>
              <w:bottom w:val="single" w:sz="4" w:space="0" w:color="auto"/>
              <w:right w:val="single" w:sz="4" w:space="0" w:color="auto"/>
            </w:tcBorders>
            <w:hideMark/>
          </w:tcPr>
          <w:p w:rsidR="005B0942" w:rsidRPr="00F77964" w:rsidRDefault="005B0942" w:rsidP="00886BD0">
            <w:pPr>
              <w:pStyle w:val="Normal-pool"/>
              <w:spacing w:before="40" w:after="40"/>
              <w:rPr>
                <w:rFonts w:eastAsia="SimSun"/>
                <w:sz w:val="18"/>
                <w:szCs w:val="18"/>
                <w:lang w:eastAsia="zh-CN"/>
              </w:rPr>
            </w:pPr>
            <w:r w:rsidRPr="00F77964">
              <w:rPr>
                <w:rFonts w:eastAsia="SimSun"/>
                <w:sz w:val="18"/>
                <w:szCs w:val="18"/>
                <w:lang w:eastAsia="zh-CN"/>
              </w:rPr>
              <w:t>2015</w:t>
            </w:r>
          </w:p>
        </w:tc>
        <w:tc>
          <w:tcPr>
            <w:tcW w:w="1320" w:type="dxa"/>
            <w:tcBorders>
              <w:top w:val="single" w:sz="4" w:space="0" w:color="auto"/>
              <w:left w:val="single" w:sz="4" w:space="0" w:color="auto"/>
              <w:bottom w:val="single" w:sz="4" w:space="0" w:color="auto"/>
              <w:right w:val="single" w:sz="4" w:space="0" w:color="auto"/>
            </w:tcBorders>
            <w:hideMark/>
          </w:tcPr>
          <w:p w:rsidR="005B0942" w:rsidRPr="00F77964" w:rsidRDefault="007D2A63" w:rsidP="00886BD0">
            <w:pPr>
              <w:pStyle w:val="Normal-pool"/>
              <w:spacing w:before="40" w:after="40"/>
              <w:rPr>
                <w:rFonts w:eastAsia="SimSun"/>
                <w:sz w:val="18"/>
                <w:szCs w:val="18"/>
                <w:lang w:eastAsia="zh-CN"/>
              </w:rPr>
            </w:pPr>
            <w:r w:rsidRPr="00F77964">
              <w:rPr>
                <w:rFonts w:eastAsia="SimSun"/>
                <w:sz w:val="18"/>
                <w:szCs w:val="18"/>
                <w:lang w:eastAsia="zh-CN"/>
              </w:rPr>
              <w:t>Premier trimestre</w:t>
            </w:r>
          </w:p>
        </w:tc>
        <w:tc>
          <w:tcPr>
            <w:tcW w:w="6095" w:type="dxa"/>
            <w:tcBorders>
              <w:top w:val="single" w:sz="4" w:space="0" w:color="auto"/>
              <w:left w:val="single" w:sz="4" w:space="0" w:color="auto"/>
              <w:bottom w:val="single" w:sz="4" w:space="0" w:color="auto"/>
              <w:right w:val="single" w:sz="4" w:space="0" w:color="auto"/>
            </w:tcBorders>
            <w:hideMark/>
          </w:tcPr>
          <w:p w:rsidR="005B0942" w:rsidRPr="00F77964" w:rsidRDefault="007D2A63" w:rsidP="00886BD0">
            <w:pPr>
              <w:pStyle w:val="Normal-pool"/>
              <w:spacing w:before="40" w:after="40"/>
              <w:rPr>
                <w:rFonts w:eastAsia="SimSun"/>
                <w:sz w:val="18"/>
                <w:szCs w:val="18"/>
                <w:lang w:eastAsia="zh-CN"/>
              </w:rPr>
            </w:pPr>
            <w:r w:rsidRPr="00F77964">
              <w:rPr>
                <w:rFonts w:eastAsia="SimSun"/>
                <w:sz w:val="18"/>
                <w:szCs w:val="18"/>
                <w:lang w:eastAsia="zh-CN"/>
              </w:rPr>
              <w:t>L’avant-projet de rapport est examiné par les experts jusqu’à fin mars 2015</w:t>
            </w:r>
            <w:r w:rsidR="005B0942" w:rsidRPr="00F77964">
              <w:rPr>
                <w:rFonts w:eastAsia="SimSun"/>
                <w:sz w:val="18"/>
                <w:szCs w:val="18"/>
                <w:lang w:eastAsia="zh-CN"/>
              </w:rPr>
              <w:t xml:space="preserve"> (1</w:t>
            </w:r>
            <w:r w:rsidR="009D1370" w:rsidRPr="00F77964">
              <w:rPr>
                <w:rFonts w:eastAsia="SimSun"/>
                <w:sz w:val="18"/>
                <w:szCs w:val="18"/>
                <w:lang w:eastAsia="zh-CN"/>
              </w:rPr>
              <w:t>,</w:t>
            </w:r>
            <w:r w:rsidR="005B0942" w:rsidRPr="00F77964">
              <w:rPr>
                <w:rFonts w:eastAsia="SimSun"/>
                <w:sz w:val="18"/>
                <w:szCs w:val="18"/>
                <w:lang w:eastAsia="zh-CN"/>
              </w:rPr>
              <w:t>5-2</w:t>
            </w:r>
            <w:r w:rsidRPr="00F77964">
              <w:rPr>
                <w:rFonts w:eastAsia="SimSun"/>
                <w:sz w:val="18"/>
                <w:szCs w:val="18"/>
                <w:lang w:eastAsia="zh-CN"/>
              </w:rPr>
              <w:t> mois</w:t>
            </w:r>
            <w:r w:rsidR="005B0942" w:rsidRPr="00F77964">
              <w:rPr>
                <w:rFonts w:eastAsia="SimSun"/>
                <w:sz w:val="18"/>
                <w:szCs w:val="18"/>
                <w:lang w:eastAsia="zh-CN"/>
              </w:rPr>
              <w:t>)</w:t>
            </w:r>
          </w:p>
        </w:tc>
      </w:tr>
      <w:tr w:rsidR="005B0942" w:rsidRPr="0061490E" w:rsidTr="007D2A63">
        <w:trPr>
          <w:trHeight w:val="567"/>
        </w:trPr>
        <w:tc>
          <w:tcPr>
            <w:tcW w:w="659" w:type="dxa"/>
            <w:vMerge/>
            <w:tcBorders>
              <w:top w:val="single" w:sz="4" w:space="0" w:color="auto"/>
              <w:left w:val="single" w:sz="4" w:space="0" w:color="auto"/>
              <w:bottom w:val="single" w:sz="4" w:space="0" w:color="auto"/>
              <w:right w:val="single" w:sz="4" w:space="0" w:color="auto"/>
            </w:tcBorders>
            <w:vAlign w:val="center"/>
            <w:hideMark/>
          </w:tcPr>
          <w:p w:rsidR="005B0942" w:rsidRPr="0061490E" w:rsidRDefault="005B0942" w:rsidP="00886BD0">
            <w:pPr>
              <w:spacing w:line="240" w:lineRule="auto"/>
              <w:rPr>
                <w:rFonts w:eastAsia="SimSun"/>
                <w:sz w:val="18"/>
                <w:szCs w:val="18"/>
                <w:lang w:eastAsia="zh-CN"/>
              </w:rPr>
            </w:pPr>
          </w:p>
        </w:tc>
        <w:tc>
          <w:tcPr>
            <w:tcW w:w="1320" w:type="dxa"/>
            <w:tcBorders>
              <w:top w:val="single" w:sz="4" w:space="0" w:color="auto"/>
              <w:left w:val="single" w:sz="4" w:space="0" w:color="auto"/>
              <w:bottom w:val="single" w:sz="4" w:space="0" w:color="auto"/>
              <w:right w:val="single" w:sz="4" w:space="0" w:color="auto"/>
            </w:tcBorders>
            <w:hideMark/>
          </w:tcPr>
          <w:p w:rsidR="005B0942" w:rsidRPr="00F77964" w:rsidRDefault="007D2A63" w:rsidP="00886BD0">
            <w:pPr>
              <w:pStyle w:val="Normal-pool"/>
              <w:spacing w:before="40" w:after="40"/>
              <w:rPr>
                <w:rFonts w:eastAsia="SimSun"/>
                <w:sz w:val="18"/>
                <w:szCs w:val="18"/>
                <w:lang w:eastAsia="zh-CN"/>
              </w:rPr>
            </w:pPr>
            <w:r w:rsidRPr="00F77964">
              <w:rPr>
                <w:rFonts w:eastAsia="SimSun"/>
                <w:sz w:val="18"/>
                <w:szCs w:val="18"/>
                <w:lang w:eastAsia="zh-CN"/>
              </w:rPr>
              <w:t>Deuxième trimestre</w:t>
            </w:r>
          </w:p>
        </w:tc>
        <w:tc>
          <w:tcPr>
            <w:tcW w:w="6095" w:type="dxa"/>
            <w:tcBorders>
              <w:top w:val="single" w:sz="4" w:space="0" w:color="auto"/>
              <w:left w:val="single" w:sz="4" w:space="0" w:color="auto"/>
              <w:bottom w:val="single" w:sz="4" w:space="0" w:color="auto"/>
              <w:right w:val="single" w:sz="4" w:space="0" w:color="auto"/>
            </w:tcBorders>
            <w:hideMark/>
          </w:tcPr>
          <w:p w:rsidR="005B0942" w:rsidRPr="00F77964" w:rsidRDefault="009D1370" w:rsidP="00886BD0">
            <w:pPr>
              <w:pStyle w:val="Normal-pool"/>
              <w:spacing w:before="40" w:after="40"/>
              <w:rPr>
                <w:rFonts w:eastAsia="SimSun"/>
                <w:sz w:val="18"/>
                <w:szCs w:val="18"/>
                <w:lang w:eastAsia="zh-CN"/>
              </w:rPr>
            </w:pPr>
            <w:r w:rsidRPr="00F77964">
              <w:rPr>
                <w:rFonts w:eastAsia="SimSun"/>
                <w:sz w:val="18"/>
                <w:szCs w:val="18"/>
                <w:lang w:eastAsia="zh-CN"/>
              </w:rPr>
              <w:t>L</w:t>
            </w:r>
            <w:r w:rsidR="007D2A63" w:rsidRPr="00F77964">
              <w:rPr>
                <w:rFonts w:eastAsia="SimSun"/>
                <w:sz w:val="18"/>
                <w:szCs w:val="18"/>
                <w:lang w:eastAsia="zh-CN"/>
              </w:rPr>
              <w:t xml:space="preserve">es </w:t>
            </w:r>
            <w:r w:rsidR="006E337B">
              <w:rPr>
                <w:rFonts w:eastAsia="SimSun"/>
                <w:sz w:val="18"/>
                <w:szCs w:val="18"/>
                <w:lang w:eastAsia="zh-CN"/>
              </w:rPr>
              <w:t>coprésidents</w:t>
            </w:r>
            <w:r w:rsidR="007D2A63" w:rsidRPr="00F77964">
              <w:rPr>
                <w:rFonts w:eastAsia="SimSun"/>
                <w:sz w:val="18"/>
                <w:szCs w:val="18"/>
                <w:lang w:eastAsia="zh-CN"/>
              </w:rPr>
              <w:t xml:space="preserve">, </w:t>
            </w:r>
            <w:r w:rsidRPr="00F77964">
              <w:rPr>
                <w:rFonts w:eastAsia="SimSun"/>
                <w:sz w:val="18"/>
                <w:szCs w:val="18"/>
                <w:lang w:eastAsia="zh-CN"/>
              </w:rPr>
              <w:t>l</w:t>
            </w:r>
            <w:r w:rsidR="007D2A63" w:rsidRPr="00F77964">
              <w:rPr>
                <w:rFonts w:eastAsia="SimSun"/>
                <w:sz w:val="18"/>
                <w:szCs w:val="18"/>
                <w:lang w:eastAsia="zh-CN"/>
              </w:rPr>
              <w:t>es auteurs coordo</w:t>
            </w:r>
            <w:r w:rsidRPr="00F77964">
              <w:rPr>
                <w:rFonts w:eastAsia="SimSun"/>
                <w:sz w:val="18"/>
                <w:szCs w:val="18"/>
                <w:lang w:eastAsia="zh-CN"/>
              </w:rPr>
              <w:t>n</w:t>
            </w:r>
            <w:r w:rsidR="007D2A63" w:rsidRPr="00F77964">
              <w:rPr>
                <w:rFonts w:eastAsia="SimSun"/>
                <w:sz w:val="18"/>
                <w:szCs w:val="18"/>
                <w:lang w:eastAsia="zh-CN"/>
              </w:rPr>
              <w:t>nateurs principaux et les auteurs prin</w:t>
            </w:r>
            <w:r w:rsidRPr="00F77964">
              <w:rPr>
                <w:rFonts w:eastAsia="SimSun"/>
                <w:sz w:val="18"/>
                <w:szCs w:val="18"/>
                <w:lang w:eastAsia="zh-CN"/>
              </w:rPr>
              <w:t>ci</w:t>
            </w:r>
            <w:r w:rsidR="007D2A63" w:rsidRPr="00F77964">
              <w:rPr>
                <w:rFonts w:eastAsia="SimSun"/>
                <w:sz w:val="18"/>
                <w:szCs w:val="18"/>
                <w:lang w:eastAsia="zh-CN"/>
              </w:rPr>
              <w:t xml:space="preserve">paux </w:t>
            </w:r>
            <w:r w:rsidRPr="00F77964">
              <w:rPr>
                <w:rFonts w:eastAsia="SimSun"/>
                <w:sz w:val="18"/>
                <w:szCs w:val="18"/>
                <w:lang w:eastAsia="zh-CN"/>
              </w:rPr>
              <w:t>élaborent</w:t>
            </w:r>
            <w:r w:rsidR="007D2A63" w:rsidRPr="00F77964">
              <w:rPr>
                <w:rFonts w:eastAsia="SimSun"/>
                <w:sz w:val="18"/>
                <w:szCs w:val="18"/>
                <w:lang w:eastAsia="zh-CN"/>
              </w:rPr>
              <w:t xml:space="preserve"> le deuxième projet de rapport et un avant-projet de résumé à l’intention des décideurs, sous la supervision des éditeurs-réviseurs et du Groupe d’experts multidisciplinaire </w:t>
            </w:r>
            <w:r w:rsidR="005B0942" w:rsidRPr="00F77964">
              <w:rPr>
                <w:rFonts w:eastAsia="SimSun"/>
                <w:sz w:val="18"/>
                <w:szCs w:val="18"/>
                <w:lang w:eastAsia="zh-CN"/>
              </w:rPr>
              <w:t>(</w:t>
            </w:r>
            <w:r w:rsidR="007D2A63" w:rsidRPr="00F77964">
              <w:rPr>
                <w:rFonts w:eastAsia="SimSun"/>
                <w:sz w:val="18"/>
                <w:szCs w:val="18"/>
                <w:lang w:eastAsia="zh-CN"/>
              </w:rPr>
              <w:t>avril</w:t>
            </w:r>
            <w:r w:rsidR="005B0942" w:rsidRPr="00F77964">
              <w:rPr>
                <w:rFonts w:eastAsia="SimSun"/>
                <w:sz w:val="18"/>
                <w:szCs w:val="18"/>
                <w:lang w:eastAsia="zh-CN"/>
              </w:rPr>
              <w:t>-</w:t>
            </w:r>
            <w:r w:rsidR="007D2A63" w:rsidRPr="00F77964">
              <w:rPr>
                <w:rFonts w:eastAsia="SimSun"/>
                <w:sz w:val="18"/>
                <w:szCs w:val="18"/>
                <w:lang w:eastAsia="zh-CN"/>
              </w:rPr>
              <w:t>juin</w:t>
            </w:r>
            <w:r w:rsidR="005B0942" w:rsidRPr="00F77964">
              <w:rPr>
                <w:rFonts w:eastAsia="SimSun"/>
                <w:sz w:val="18"/>
                <w:szCs w:val="18"/>
                <w:lang w:eastAsia="zh-CN"/>
              </w:rPr>
              <w:t>) (3</w:t>
            </w:r>
            <w:r w:rsidR="007D2A63" w:rsidRPr="00F77964">
              <w:rPr>
                <w:rFonts w:eastAsia="SimSun"/>
                <w:sz w:val="18"/>
                <w:szCs w:val="18"/>
                <w:lang w:eastAsia="zh-CN"/>
              </w:rPr>
              <w:t> mois</w:t>
            </w:r>
            <w:r w:rsidR="005B0942" w:rsidRPr="00F77964">
              <w:rPr>
                <w:rFonts w:eastAsia="SimSun"/>
                <w:sz w:val="18"/>
                <w:szCs w:val="18"/>
                <w:lang w:eastAsia="zh-CN"/>
              </w:rPr>
              <w:t xml:space="preserve">). </w:t>
            </w:r>
            <w:r w:rsidR="007D2A63" w:rsidRPr="00F77964">
              <w:rPr>
                <w:rFonts w:eastAsia="SimSun"/>
                <w:sz w:val="18"/>
                <w:szCs w:val="18"/>
                <w:lang w:eastAsia="zh-CN"/>
              </w:rPr>
              <w:t>Une deuxième réunion des auteurs se tient en juin </w:t>
            </w:r>
            <w:r w:rsidR="005B0942" w:rsidRPr="00F77964">
              <w:rPr>
                <w:rFonts w:eastAsia="SimSun"/>
                <w:sz w:val="18"/>
                <w:szCs w:val="18"/>
                <w:lang w:eastAsia="zh-CN"/>
              </w:rPr>
              <w:t>2015.</w:t>
            </w:r>
          </w:p>
        </w:tc>
      </w:tr>
      <w:tr w:rsidR="005B0942" w:rsidRPr="0061490E" w:rsidTr="007D2A63">
        <w:trPr>
          <w:trHeight w:val="547"/>
        </w:trPr>
        <w:tc>
          <w:tcPr>
            <w:tcW w:w="659" w:type="dxa"/>
            <w:vMerge/>
            <w:tcBorders>
              <w:top w:val="single" w:sz="4" w:space="0" w:color="auto"/>
              <w:left w:val="single" w:sz="4" w:space="0" w:color="auto"/>
              <w:bottom w:val="single" w:sz="4" w:space="0" w:color="auto"/>
              <w:right w:val="single" w:sz="4" w:space="0" w:color="auto"/>
            </w:tcBorders>
            <w:vAlign w:val="center"/>
            <w:hideMark/>
          </w:tcPr>
          <w:p w:rsidR="005B0942" w:rsidRPr="0061490E" w:rsidRDefault="005B0942" w:rsidP="00886BD0">
            <w:pPr>
              <w:spacing w:line="240" w:lineRule="auto"/>
              <w:rPr>
                <w:rFonts w:eastAsia="SimSun"/>
                <w:sz w:val="18"/>
                <w:szCs w:val="18"/>
                <w:lang w:eastAsia="zh-CN"/>
              </w:rPr>
            </w:pPr>
          </w:p>
        </w:tc>
        <w:tc>
          <w:tcPr>
            <w:tcW w:w="1320" w:type="dxa"/>
            <w:tcBorders>
              <w:top w:val="single" w:sz="4" w:space="0" w:color="auto"/>
              <w:left w:val="single" w:sz="4" w:space="0" w:color="auto"/>
              <w:bottom w:val="single" w:sz="4" w:space="0" w:color="auto"/>
              <w:right w:val="single" w:sz="4" w:space="0" w:color="auto"/>
            </w:tcBorders>
            <w:hideMark/>
          </w:tcPr>
          <w:p w:rsidR="005B0942" w:rsidRPr="00F77964" w:rsidRDefault="005B0942" w:rsidP="00886BD0">
            <w:pPr>
              <w:pStyle w:val="Normal-pool"/>
              <w:spacing w:before="40" w:after="40"/>
              <w:rPr>
                <w:rFonts w:eastAsia="SimSun"/>
                <w:sz w:val="18"/>
                <w:szCs w:val="18"/>
                <w:lang w:eastAsia="zh-CN"/>
              </w:rPr>
            </w:pPr>
            <w:r w:rsidRPr="00F77964">
              <w:rPr>
                <w:rFonts w:eastAsia="SimSun"/>
                <w:sz w:val="18"/>
                <w:szCs w:val="18"/>
                <w:lang w:eastAsia="zh-CN"/>
              </w:rPr>
              <w:t>T</w:t>
            </w:r>
            <w:r w:rsidR="007D2A63" w:rsidRPr="00F77964">
              <w:rPr>
                <w:rFonts w:eastAsia="SimSun"/>
                <w:sz w:val="18"/>
                <w:szCs w:val="18"/>
                <w:lang w:eastAsia="zh-CN"/>
              </w:rPr>
              <w:t>roisième trimestre</w:t>
            </w:r>
          </w:p>
        </w:tc>
        <w:tc>
          <w:tcPr>
            <w:tcW w:w="6095" w:type="dxa"/>
            <w:tcBorders>
              <w:top w:val="single" w:sz="4" w:space="0" w:color="auto"/>
              <w:left w:val="single" w:sz="4" w:space="0" w:color="auto"/>
              <w:bottom w:val="single" w:sz="4" w:space="0" w:color="auto"/>
              <w:right w:val="single" w:sz="4" w:space="0" w:color="auto"/>
            </w:tcBorders>
            <w:hideMark/>
          </w:tcPr>
          <w:p w:rsidR="005B0942" w:rsidRPr="00F77964" w:rsidRDefault="007D2A63" w:rsidP="00886BD0">
            <w:pPr>
              <w:pStyle w:val="Normal-pool"/>
              <w:spacing w:before="40" w:after="40"/>
              <w:rPr>
                <w:rFonts w:eastAsia="SimSun"/>
                <w:sz w:val="18"/>
                <w:szCs w:val="18"/>
                <w:lang w:eastAsia="zh-CN"/>
              </w:rPr>
            </w:pPr>
            <w:r w:rsidRPr="00F77964">
              <w:rPr>
                <w:rFonts w:eastAsia="SimSun"/>
                <w:sz w:val="18"/>
                <w:szCs w:val="18"/>
                <w:lang w:eastAsia="zh-CN"/>
              </w:rPr>
              <w:t>Le deuxième projet de rapport et l’avant-projet de résumé à l’intention des décideurs sont examinés par les experts, les gouvernements et les autres parties prenantes en juillet et août 2015</w:t>
            </w:r>
            <w:r w:rsidR="005B0942" w:rsidRPr="00F77964">
              <w:rPr>
                <w:rFonts w:eastAsia="SimSun"/>
                <w:sz w:val="18"/>
                <w:szCs w:val="18"/>
                <w:lang w:eastAsia="zh-CN"/>
              </w:rPr>
              <w:t xml:space="preserve"> (2</w:t>
            </w:r>
            <w:r w:rsidRPr="00F77964">
              <w:rPr>
                <w:rFonts w:eastAsia="SimSun"/>
                <w:sz w:val="18"/>
                <w:szCs w:val="18"/>
                <w:lang w:eastAsia="zh-CN"/>
              </w:rPr>
              <w:t> mois</w:t>
            </w:r>
            <w:r w:rsidR="005B0942" w:rsidRPr="00F77964">
              <w:rPr>
                <w:rFonts w:eastAsia="SimSun"/>
                <w:sz w:val="18"/>
                <w:szCs w:val="18"/>
                <w:lang w:eastAsia="zh-CN"/>
              </w:rPr>
              <w:t>)</w:t>
            </w:r>
          </w:p>
        </w:tc>
      </w:tr>
      <w:tr w:rsidR="005B0942" w:rsidRPr="0061490E" w:rsidTr="007D2A63">
        <w:trPr>
          <w:trHeight w:val="215"/>
        </w:trPr>
        <w:tc>
          <w:tcPr>
            <w:tcW w:w="659" w:type="dxa"/>
            <w:vMerge/>
            <w:tcBorders>
              <w:top w:val="single" w:sz="4" w:space="0" w:color="auto"/>
              <w:left w:val="single" w:sz="4" w:space="0" w:color="auto"/>
              <w:bottom w:val="single" w:sz="4" w:space="0" w:color="auto"/>
              <w:right w:val="single" w:sz="4" w:space="0" w:color="auto"/>
            </w:tcBorders>
            <w:vAlign w:val="center"/>
            <w:hideMark/>
          </w:tcPr>
          <w:p w:rsidR="005B0942" w:rsidRPr="0061490E" w:rsidRDefault="005B0942" w:rsidP="00886BD0">
            <w:pPr>
              <w:spacing w:line="240" w:lineRule="auto"/>
              <w:rPr>
                <w:rFonts w:eastAsia="SimSun"/>
                <w:sz w:val="18"/>
                <w:szCs w:val="18"/>
                <w:lang w:eastAsia="zh-CN"/>
              </w:rPr>
            </w:pPr>
          </w:p>
        </w:tc>
        <w:tc>
          <w:tcPr>
            <w:tcW w:w="1320" w:type="dxa"/>
            <w:tcBorders>
              <w:top w:val="single" w:sz="4" w:space="0" w:color="auto"/>
              <w:left w:val="single" w:sz="4" w:space="0" w:color="auto"/>
              <w:bottom w:val="single" w:sz="4" w:space="0" w:color="auto"/>
              <w:right w:val="single" w:sz="4" w:space="0" w:color="auto"/>
            </w:tcBorders>
            <w:hideMark/>
          </w:tcPr>
          <w:p w:rsidR="005B0942" w:rsidRPr="00F77964" w:rsidRDefault="005B0942" w:rsidP="00886BD0">
            <w:pPr>
              <w:pStyle w:val="Normal-pool"/>
              <w:spacing w:before="40" w:after="40"/>
              <w:rPr>
                <w:rFonts w:eastAsia="SimSun"/>
                <w:sz w:val="18"/>
                <w:szCs w:val="18"/>
                <w:lang w:eastAsia="zh-CN"/>
              </w:rPr>
            </w:pPr>
            <w:r w:rsidRPr="00F77964">
              <w:rPr>
                <w:rFonts w:eastAsia="SimSun"/>
                <w:sz w:val="18"/>
                <w:szCs w:val="18"/>
                <w:lang w:eastAsia="zh-CN"/>
              </w:rPr>
              <w:t>T</w:t>
            </w:r>
            <w:r w:rsidR="007D2A63" w:rsidRPr="00F77964">
              <w:rPr>
                <w:rFonts w:eastAsia="SimSun"/>
                <w:sz w:val="18"/>
                <w:szCs w:val="18"/>
                <w:lang w:eastAsia="zh-CN"/>
              </w:rPr>
              <w:t>roisième</w:t>
            </w:r>
            <w:r w:rsidRPr="00F77964">
              <w:rPr>
                <w:rFonts w:eastAsia="SimSun"/>
                <w:sz w:val="18"/>
                <w:szCs w:val="18"/>
                <w:lang w:eastAsia="zh-CN"/>
              </w:rPr>
              <w:t>/</w:t>
            </w:r>
            <w:r w:rsidR="007D2A63" w:rsidRPr="00F77964">
              <w:rPr>
                <w:rFonts w:eastAsia="SimSun"/>
                <w:sz w:val="18"/>
                <w:szCs w:val="18"/>
                <w:lang w:eastAsia="zh-CN"/>
              </w:rPr>
              <w:t xml:space="preserve"> quatrième trimestres</w:t>
            </w:r>
          </w:p>
        </w:tc>
        <w:tc>
          <w:tcPr>
            <w:tcW w:w="6095" w:type="dxa"/>
            <w:tcBorders>
              <w:top w:val="single" w:sz="4" w:space="0" w:color="auto"/>
              <w:left w:val="single" w:sz="4" w:space="0" w:color="auto"/>
              <w:bottom w:val="single" w:sz="4" w:space="0" w:color="auto"/>
              <w:right w:val="single" w:sz="4" w:space="0" w:color="auto"/>
            </w:tcBorders>
            <w:hideMark/>
          </w:tcPr>
          <w:p w:rsidR="005B0942" w:rsidRPr="00F77964" w:rsidRDefault="007D2A63" w:rsidP="00886BD0">
            <w:pPr>
              <w:pStyle w:val="Normal-pool"/>
              <w:spacing w:before="40" w:after="40"/>
              <w:rPr>
                <w:rFonts w:eastAsia="SimSun"/>
                <w:sz w:val="18"/>
                <w:szCs w:val="18"/>
                <w:lang w:eastAsia="zh-CN"/>
              </w:rPr>
            </w:pPr>
            <w:r w:rsidRPr="00F77964">
              <w:rPr>
                <w:rFonts w:eastAsia="SimSun"/>
                <w:sz w:val="18"/>
                <w:szCs w:val="18"/>
                <w:lang w:eastAsia="zh-CN"/>
              </w:rPr>
              <w:t xml:space="preserve">Les </w:t>
            </w:r>
            <w:r w:rsidR="006E337B">
              <w:rPr>
                <w:rFonts w:eastAsia="SimSun"/>
                <w:sz w:val="18"/>
                <w:szCs w:val="18"/>
                <w:lang w:eastAsia="zh-CN"/>
              </w:rPr>
              <w:t>coprésidents</w:t>
            </w:r>
            <w:r w:rsidRPr="00F77964">
              <w:rPr>
                <w:rFonts w:eastAsia="SimSun"/>
                <w:sz w:val="18"/>
                <w:szCs w:val="18"/>
                <w:lang w:eastAsia="zh-CN"/>
              </w:rPr>
              <w:t>, les auteurs coordonnateurs principaux et les auteurs principaux établissent l</w:t>
            </w:r>
            <w:r w:rsidR="004762CF" w:rsidRPr="00F77964">
              <w:rPr>
                <w:rFonts w:eastAsia="SimSun"/>
                <w:sz w:val="18"/>
                <w:szCs w:val="18"/>
                <w:lang w:eastAsia="zh-CN"/>
              </w:rPr>
              <w:t>a version finale du</w:t>
            </w:r>
            <w:r w:rsidRPr="00F77964">
              <w:rPr>
                <w:rFonts w:eastAsia="SimSun"/>
                <w:sz w:val="18"/>
                <w:szCs w:val="18"/>
                <w:lang w:eastAsia="zh-CN"/>
              </w:rPr>
              <w:t xml:space="preserve"> rapport et </w:t>
            </w:r>
            <w:r w:rsidR="004762CF" w:rsidRPr="00F77964">
              <w:rPr>
                <w:rFonts w:eastAsia="SimSun"/>
                <w:sz w:val="18"/>
                <w:szCs w:val="18"/>
                <w:lang w:eastAsia="zh-CN"/>
              </w:rPr>
              <w:t>du</w:t>
            </w:r>
            <w:r w:rsidRPr="00F77964">
              <w:rPr>
                <w:rFonts w:eastAsia="SimSun"/>
                <w:sz w:val="18"/>
                <w:szCs w:val="18"/>
                <w:lang w:eastAsia="zh-CN"/>
              </w:rPr>
              <w:t xml:space="preserve"> résumé à l’intention des décideurs, sous la supervision des éditeurs-réviseurs et du Groupe d’experts multidisciplinaire en septembre et octobre (2 mois). Une troisième réunion des auteurs se tient en octobre 2015</w:t>
            </w:r>
          </w:p>
        </w:tc>
      </w:tr>
      <w:tr w:rsidR="005B0942" w:rsidRPr="0061490E" w:rsidTr="007D2A63">
        <w:trPr>
          <w:trHeight w:val="479"/>
        </w:trPr>
        <w:tc>
          <w:tcPr>
            <w:tcW w:w="659" w:type="dxa"/>
            <w:vMerge/>
            <w:tcBorders>
              <w:top w:val="single" w:sz="4" w:space="0" w:color="auto"/>
              <w:left w:val="single" w:sz="4" w:space="0" w:color="auto"/>
              <w:bottom w:val="single" w:sz="4" w:space="0" w:color="auto"/>
              <w:right w:val="single" w:sz="4" w:space="0" w:color="auto"/>
            </w:tcBorders>
            <w:vAlign w:val="center"/>
            <w:hideMark/>
          </w:tcPr>
          <w:p w:rsidR="005B0942" w:rsidRPr="0061490E" w:rsidRDefault="005B0942" w:rsidP="00886BD0">
            <w:pPr>
              <w:spacing w:line="240" w:lineRule="auto"/>
              <w:rPr>
                <w:rFonts w:eastAsia="SimSun"/>
                <w:sz w:val="18"/>
                <w:szCs w:val="18"/>
                <w:lang w:eastAsia="zh-CN"/>
              </w:rPr>
            </w:pPr>
          </w:p>
        </w:tc>
        <w:tc>
          <w:tcPr>
            <w:tcW w:w="1320" w:type="dxa"/>
            <w:tcBorders>
              <w:top w:val="single" w:sz="4" w:space="0" w:color="auto"/>
              <w:left w:val="single" w:sz="4" w:space="0" w:color="auto"/>
              <w:bottom w:val="single" w:sz="4" w:space="0" w:color="auto"/>
              <w:right w:val="single" w:sz="4" w:space="0" w:color="auto"/>
            </w:tcBorders>
            <w:hideMark/>
          </w:tcPr>
          <w:p w:rsidR="005B0942" w:rsidRPr="00F77964" w:rsidRDefault="007D2A63" w:rsidP="00886BD0">
            <w:pPr>
              <w:pStyle w:val="Normal-pool"/>
              <w:spacing w:before="40" w:after="40"/>
              <w:rPr>
                <w:rFonts w:eastAsia="SimSun"/>
                <w:sz w:val="18"/>
                <w:szCs w:val="18"/>
                <w:lang w:eastAsia="zh-CN"/>
              </w:rPr>
            </w:pPr>
            <w:r w:rsidRPr="00F77964">
              <w:rPr>
                <w:rFonts w:eastAsia="SimSun"/>
                <w:sz w:val="18"/>
                <w:szCs w:val="18"/>
                <w:lang w:eastAsia="zh-CN"/>
              </w:rPr>
              <w:t>Quatrième trimestre</w:t>
            </w:r>
          </w:p>
        </w:tc>
        <w:tc>
          <w:tcPr>
            <w:tcW w:w="6095" w:type="dxa"/>
            <w:tcBorders>
              <w:top w:val="single" w:sz="4" w:space="0" w:color="auto"/>
              <w:left w:val="single" w:sz="4" w:space="0" w:color="auto"/>
              <w:bottom w:val="single" w:sz="4" w:space="0" w:color="auto"/>
              <w:right w:val="single" w:sz="4" w:space="0" w:color="auto"/>
            </w:tcBorders>
            <w:hideMark/>
          </w:tcPr>
          <w:p w:rsidR="005B0942" w:rsidRPr="00F77964" w:rsidRDefault="007D2A63" w:rsidP="00886BD0">
            <w:pPr>
              <w:pStyle w:val="Normal-pool"/>
              <w:spacing w:before="40" w:after="40"/>
              <w:rPr>
                <w:rFonts w:eastAsia="SimSun"/>
                <w:sz w:val="18"/>
                <w:szCs w:val="18"/>
                <w:lang w:eastAsia="zh-CN"/>
              </w:rPr>
            </w:pPr>
            <w:r w:rsidRPr="00F77964">
              <w:rPr>
                <w:rFonts w:eastAsia="SimSun"/>
                <w:sz w:val="18"/>
                <w:szCs w:val="18"/>
                <w:lang w:eastAsia="zh-CN"/>
              </w:rPr>
              <w:t>Le résumé à l’intention des décideurs est tra</w:t>
            </w:r>
            <w:r w:rsidR="009D1370" w:rsidRPr="00F77964">
              <w:rPr>
                <w:rFonts w:eastAsia="SimSun"/>
                <w:sz w:val="18"/>
                <w:szCs w:val="18"/>
                <w:lang w:eastAsia="zh-CN"/>
              </w:rPr>
              <w:t>d</w:t>
            </w:r>
            <w:r w:rsidRPr="00F77964">
              <w:rPr>
                <w:rFonts w:eastAsia="SimSun"/>
                <w:sz w:val="18"/>
                <w:szCs w:val="18"/>
                <w:lang w:eastAsia="zh-CN"/>
              </w:rPr>
              <w:t xml:space="preserve">uit dans toutes les langues </w:t>
            </w:r>
            <w:r w:rsidR="00773D3D">
              <w:rPr>
                <w:rFonts w:eastAsia="SimSun"/>
                <w:sz w:val="18"/>
                <w:szCs w:val="18"/>
                <w:lang w:eastAsia="zh-CN"/>
              </w:rPr>
              <w:t xml:space="preserve">officielles </w:t>
            </w:r>
            <w:r w:rsidRPr="00F77964">
              <w:rPr>
                <w:rFonts w:eastAsia="SimSun"/>
                <w:sz w:val="18"/>
                <w:szCs w:val="18"/>
                <w:lang w:eastAsia="zh-CN"/>
              </w:rPr>
              <w:t>de l’ONU à la mi-décembre 2015 au plus tard</w:t>
            </w:r>
            <w:r w:rsidR="005B0942" w:rsidRPr="00F77964">
              <w:rPr>
                <w:rFonts w:eastAsia="SimSun"/>
                <w:sz w:val="18"/>
                <w:szCs w:val="18"/>
                <w:lang w:eastAsia="zh-CN"/>
              </w:rPr>
              <w:t xml:space="preserve"> (1</w:t>
            </w:r>
            <w:r w:rsidRPr="00F77964">
              <w:rPr>
                <w:rFonts w:eastAsia="SimSun"/>
                <w:sz w:val="18"/>
                <w:szCs w:val="18"/>
                <w:lang w:eastAsia="zh-CN"/>
              </w:rPr>
              <w:t>,</w:t>
            </w:r>
            <w:r w:rsidR="005B0942" w:rsidRPr="00F77964">
              <w:rPr>
                <w:rFonts w:eastAsia="SimSun"/>
                <w:sz w:val="18"/>
                <w:szCs w:val="18"/>
                <w:lang w:eastAsia="zh-CN"/>
              </w:rPr>
              <w:t>5</w:t>
            </w:r>
            <w:r w:rsidRPr="00F77964">
              <w:rPr>
                <w:rFonts w:eastAsia="SimSun"/>
                <w:sz w:val="18"/>
                <w:szCs w:val="18"/>
                <w:lang w:eastAsia="zh-CN"/>
              </w:rPr>
              <w:t> mois</w:t>
            </w:r>
            <w:r w:rsidR="005B0942" w:rsidRPr="00F77964">
              <w:rPr>
                <w:rFonts w:eastAsia="SimSun"/>
                <w:sz w:val="18"/>
                <w:szCs w:val="18"/>
                <w:lang w:eastAsia="zh-CN"/>
              </w:rPr>
              <w:t>)</w:t>
            </w:r>
          </w:p>
        </w:tc>
      </w:tr>
      <w:tr w:rsidR="005B0942" w:rsidRPr="0061490E" w:rsidTr="007D2A63">
        <w:trPr>
          <w:trHeight w:val="242"/>
        </w:trPr>
        <w:tc>
          <w:tcPr>
            <w:tcW w:w="659" w:type="dxa"/>
            <w:vMerge w:val="restart"/>
            <w:tcBorders>
              <w:top w:val="single" w:sz="4" w:space="0" w:color="auto"/>
              <w:left w:val="single" w:sz="4" w:space="0" w:color="auto"/>
              <w:bottom w:val="single" w:sz="4" w:space="0" w:color="auto"/>
              <w:right w:val="single" w:sz="4" w:space="0" w:color="auto"/>
            </w:tcBorders>
            <w:hideMark/>
          </w:tcPr>
          <w:p w:rsidR="005B0942" w:rsidRPr="00F77964" w:rsidRDefault="005B0942" w:rsidP="00886BD0">
            <w:pPr>
              <w:pStyle w:val="Normal-pool"/>
              <w:spacing w:before="40" w:after="40"/>
              <w:rPr>
                <w:rFonts w:eastAsia="SimSun"/>
                <w:sz w:val="18"/>
                <w:szCs w:val="18"/>
                <w:lang w:eastAsia="zh-CN"/>
              </w:rPr>
            </w:pPr>
            <w:r w:rsidRPr="00F77964">
              <w:rPr>
                <w:rFonts w:eastAsia="SimSun"/>
                <w:sz w:val="18"/>
                <w:szCs w:val="18"/>
                <w:lang w:eastAsia="zh-CN"/>
              </w:rPr>
              <w:t>2016</w:t>
            </w:r>
          </w:p>
        </w:tc>
        <w:tc>
          <w:tcPr>
            <w:tcW w:w="1320" w:type="dxa"/>
            <w:tcBorders>
              <w:top w:val="single" w:sz="4" w:space="0" w:color="auto"/>
              <w:left w:val="single" w:sz="4" w:space="0" w:color="auto"/>
              <w:bottom w:val="single" w:sz="4" w:space="0" w:color="auto"/>
              <w:right w:val="single" w:sz="4" w:space="0" w:color="auto"/>
            </w:tcBorders>
            <w:hideMark/>
          </w:tcPr>
          <w:p w:rsidR="005B0942" w:rsidRPr="00F77964" w:rsidRDefault="007D2A63" w:rsidP="00886BD0">
            <w:pPr>
              <w:pStyle w:val="Normal-pool"/>
              <w:spacing w:before="40" w:after="40"/>
              <w:rPr>
                <w:rFonts w:eastAsia="SimSun"/>
                <w:sz w:val="18"/>
                <w:szCs w:val="18"/>
                <w:lang w:eastAsia="zh-CN"/>
              </w:rPr>
            </w:pPr>
            <w:r w:rsidRPr="00F77964">
              <w:rPr>
                <w:rFonts w:eastAsia="SimSun"/>
                <w:sz w:val="18"/>
                <w:szCs w:val="18"/>
                <w:lang w:eastAsia="zh-CN"/>
              </w:rPr>
              <w:t>Premier trimestre</w:t>
            </w:r>
          </w:p>
        </w:tc>
        <w:tc>
          <w:tcPr>
            <w:tcW w:w="6095" w:type="dxa"/>
            <w:tcBorders>
              <w:top w:val="single" w:sz="4" w:space="0" w:color="auto"/>
              <w:left w:val="single" w:sz="4" w:space="0" w:color="auto"/>
              <w:bottom w:val="single" w:sz="4" w:space="0" w:color="auto"/>
              <w:right w:val="single" w:sz="4" w:space="0" w:color="auto"/>
            </w:tcBorders>
            <w:hideMark/>
          </w:tcPr>
          <w:p w:rsidR="005B0942" w:rsidRPr="00F77964" w:rsidRDefault="007D2A63" w:rsidP="00886BD0">
            <w:pPr>
              <w:pStyle w:val="Normal-pool"/>
              <w:spacing w:before="40" w:after="40"/>
              <w:rPr>
                <w:rFonts w:eastAsia="SimSun"/>
                <w:sz w:val="18"/>
                <w:szCs w:val="18"/>
                <w:lang w:eastAsia="zh-CN"/>
              </w:rPr>
            </w:pPr>
            <w:r w:rsidRPr="00F77964">
              <w:rPr>
                <w:rFonts w:eastAsia="SimSun"/>
                <w:sz w:val="18"/>
                <w:szCs w:val="18"/>
                <w:lang w:eastAsia="zh-CN"/>
              </w:rPr>
              <w:t>L</w:t>
            </w:r>
            <w:r w:rsidR="004762CF" w:rsidRPr="00F77964">
              <w:rPr>
                <w:rFonts w:eastAsia="SimSun"/>
                <w:sz w:val="18"/>
                <w:szCs w:val="18"/>
                <w:lang w:eastAsia="zh-CN"/>
              </w:rPr>
              <w:t>a version finale du</w:t>
            </w:r>
            <w:r w:rsidRPr="00F77964">
              <w:rPr>
                <w:rFonts w:eastAsia="SimSun"/>
                <w:sz w:val="18"/>
                <w:szCs w:val="18"/>
                <w:lang w:eastAsia="zh-CN"/>
              </w:rPr>
              <w:t xml:space="preserve"> rapport et </w:t>
            </w:r>
            <w:r w:rsidR="004762CF" w:rsidRPr="00F77964">
              <w:rPr>
                <w:rFonts w:eastAsia="SimSun"/>
                <w:sz w:val="18"/>
                <w:szCs w:val="18"/>
                <w:lang w:eastAsia="zh-CN"/>
              </w:rPr>
              <w:t xml:space="preserve">du </w:t>
            </w:r>
            <w:r w:rsidRPr="00F77964">
              <w:rPr>
                <w:rFonts w:eastAsia="SimSun"/>
                <w:sz w:val="18"/>
                <w:szCs w:val="18"/>
                <w:lang w:eastAsia="zh-CN"/>
              </w:rPr>
              <w:t xml:space="preserve">résumé à l’intention des décideurs </w:t>
            </w:r>
            <w:r w:rsidR="004762CF" w:rsidRPr="00F77964">
              <w:rPr>
                <w:rFonts w:eastAsia="SimSun"/>
                <w:sz w:val="18"/>
                <w:szCs w:val="18"/>
                <w:lang w:eastAsia="zh-CN"/>
              </w:rPr>
              <w:t>est</w:t>
            </w:r>
            <w:r w:rsidRPr="00F77964">
              <w:rPr>
                <w:rFonts w:eastAsia="SimSun"/>
                <w:sz w:val="18"/>
                <w:szCs w:val="18"/>
                <w:lang w:eastAsia="zh-CN"/>
              </w:rPr>
              <w:t xml:space="preserve"> communiqué</w:t>
            </w:r>
            <w:r w:rsidR="004762CF" w:rsidRPr="00F77964">
              <w:rPr>
                <w:rFonts w:eastAsia="SimSun"/>
                <w:sz w:val="18"/>
                <w:szCs w:val="18"/>
                <w:lang w:eastAsia="zh-CN"/>
              </w:rPr>
              <w:t>e</w:t>
            </w:r>
            <w:r w:rsidRPr="00F77964">
              <w:rPr>
                <w:rFonts w:eastAsia="SimSun"/>
                <w:sz w:val="18"/>
                <w:szCs w:val="18"/>
                <w:lang w:eastAsia="zh-CN"/>
              </w:rPr>
              <w:t xml:space="preserve"> aux gouvernements et aux autres parties prenantes pour examen final en janvier et février 2016 </w:t>
            </w:r>
            <w:r w:rsidR="005B0942" w:rsidRPr="00F77964">
              <w:rPr>
                <w:rFonts w:eastAsia="SimSun"/>
                <w:sz w:val="18"/>
                <w:szCs w:val="18"/>
                <w:lang w:eastAsia="zh-CN"/>
              </w:rPr>
              <w:t>(1</w:t>
            </w:r>
            <w:r w:rsidRPr="00F77964">
              <w:rPr>
                <w:rFonts w:eastAsia="SimSun"/>
                <w:sz w:val="18"/>
                <w:szCs w:val="18"/>
                <w:lang w:eastAsia="zh-CN"/>
              </w:rPr>
              <w:t>,</w:t>
            </w:r>
            <w:r w:rsidR="005B0942" w:rsidRPr="00F77964">
              <w:rPr>
                <w:rFonts w:eastAsia="SimSun"/>
                <w:sz w:val="18"/>
                <w:szCs w:val="18"/>
                <w:lang w:eastAsia="zh-CN"/>
              </w:rPr>
              <w:t>5-2</w:t>
            </w:r>
            <w:r w:rsidRPr="00F77964">
              <w:rPr>
                <w:rFonts w:eastAsia="SimSun"/>
                <w:sz w:val="18"/>
                <w:szCs w:val="18"/>
                <w:lang w:eastAsia="zh-CN"/>
              </w:rPr>
              <w:t> mois</w:t>
            </w:r>
            <w:r w:rsidR="005B0942" w:rsidRPr="00F77964">
              <w:rPr>
                <w:rFonts w:eastAsia="SimSun"/>
                <w:sz w:val="18"/>
                <w:szCs w:val="18"/>
                <w:lang w:eastAsia="zh-CN"/>
              </w:rPr>
              <w:t xml:space="preserve">). </w:t>
            </w:r>
            <w:r w:rsidRPr="00F77964">
              <w:rPr>
                <w:rFonts w:eastAsia="SimSun"/>
                <w:sz w:val="18"/>
                <w:szCs w:val="18"/>
                <w:lang w:eastAsia="zh-CN"/>
              </w:rPr>
              <w:t xml:space="preserve">Les </w:t>
            </w:r>
            <w:r w:rsidR="009D1370" w:rsidRPr="00F77964">
              <w:rPr>
                <w:rFonts w:eastAsia="SimSun"/>
                <w:sz w:val="18"/>
                <w:szCs w:val="18"/>
                <w:lang w:eastAsia="zh-CN"/>
              </w:rPr>
              <w:t xml:space="preserve">gouvernements sont </w:t>
            </w:r>
            <w:r w:rsidR="00773D3D">
              <w:rPr>
                <w:rFonts w:eastAsia="SimSun"/>
                <w:sz w:val="18"/>
                <w:szCs w:val="18"/>
                <w:lang w:eastAsia="zh-CN"/>
              </w:rPr>
              <w:t>vivement encouragé</w:t>
            </w:r>
            <w:r w:rsidR="009D1370" w:rsidRPr="00F77964">
              <w:rPr>
                <w:rFonts w:eastAsia="SimSun"/>
                <w:sz w:val="18"/>
                <w:szCs w:val="18"/>
                <w:lang w:eastAsia="zh-CN"/>
              </w:rPr>
              <w:t xml:space="preserve">s à communiquer des </w:t>
            </w:r>
            <w:r w:rsidRPr="00F77964">
              <w:rPr>
                <w:rFonts w:eastAsia="SimSun"/>
                <w:sz w:val="18"/>
                <w:szCs w:val="18"/>
                <w:lang w:eastAsia="zh-CN"/>
              </w:rPr>
              <w:t xml:space="preserve">observations écrites sur le projet de résumé à l’intention des décideurs. Ces observations doivent être soumises au </w:t>
            </w:r>
            <w:r w:rsidR="009D1370" w:rsidRPr="00F77964">
              <w:rPr>
                <w:rFonts w:eastAsia="SimSun"/>
                <w:sz w:val="18"/>
                <w:szCs w:val="18"/>
                <w:lang w:eastAsia="zh-CN"/>
              </w:rPr>
              <w:t>s</w:t>
            </w:r>
            <w:r w:rsidRPr="00F77964">
              <w:rPr>
                <w:rFonts w:eastAsia="SimSun"/>
                <w:sz w:val="18"/>
                <w:szCs w:val="18"/>
                <w:lang w:eastAsia="zh-CN"/>
              </w:rPr>
              <w:t>ecrétariat une semaine avant la quatrième session de la Plénière</w:t>
            </w:r>
          </w:p>
        </w:tc>
      </w:tr>
      <w:tr w:rsidR="005B0942" w:rsidRPr="0061490E" w:rsidTr="007D2A63">
        <w:trPr>
          <w:trHeight w:val="242"/>
        </w:trPr>
        <w:tc>
          <w:tcPr>
            <w:tcW w:w="659" w:type="dxa"/>
            <w:vMerge/>
            <w:tcBorders>
              <w:top w:val="single" w:sz="4" w:space="0" w:color="auto"/>
              <w:left w:val="single" w:sz="4" w:space="0" w:color="auto"/>
              <w:bottom w:val="single" w:sz="4" w:space="0" w:color="auto"/>
              <w:right w:val="single" w:sz="4" w:space="0" w:color="auto"/>
            </w:tcBorders>
            <w:vAlign w:val="center"/>
            <w:hideMark/>
          </w:tcPr>
          <w:p w:rsidR="005B0942" w:rsidRPr="0061490E" w:rsidRDefault="005B0942" w:rsidP="00886BD0">
            <w:pPr>
              <w:spacing w:line="240" w:lineRule="auto"/>
              <w:rPr>
                <w:rFonts w:eastAsia="SimSun"/>
                <w:sz w:val="18"/>
                <w:szCs w:val="18"/>
                <w:lang w:eastAsia="zh-CN"/>
              </w:rPr>
            </w:pPr>
          </w:p>
        </w:tc>
        <w:tc>
          <w:tcPr>
            <w:tcW w:w="1320" w:type="dxa"/>
            <w:tcBorders>
              <w:top w:val="single" w:sz="4" w:space="0" w:color="auto"/>
              <w:left w:val="single" w:sz="4" w:space="0" w:color="auto"/>
              <w:bottom w:val="single" w:sz="4" w:space="0" w:color="auto"/>
              <w:right w:val="single" w:sz="4" w:space="0" w:color="auto"/>
            </w:tcBorders>
            <w:hideMark/>
          </w:tcPr>
          <w:p w:rsidR="005B0942" w:rsidRPr="00F77964" w:rsidRDefault="007D2A63" w:rsidP="00886BD0">
            <w:pPr>
              <w:pStyle w:val="Normal-pool"/>
              <w:spacing w:before="40" w:after="40"/>
              <w:rPr>
                <w:rFonts w:eastAsia="SimSun"/>
                <w:sz w:val="18"/>
                <w:szCs w:val="18"/>
                <w:lang w:eastAsia="zh-CN"/>
              </w:rPr>
            </w:pPr>
            <w:r w:rsidRPr="00F77964">
              <w:rPr>
                <w:rFonts w:eastAsia="SimSun"/>
                <w:sz w:val="18"/>
                <w:szCs w:val="18"/>
                <w:lang w:eastAsia="zh-CN"/>
              </w:rPr>
              <w:t>Premier trimestre</w:t>
            </w:r>
          </w:p>
        </w:tc>
        <w:tc>
          <w:tcPr>
            <w:tcW w:w="6095" w:type="dxa"/>
            <w:tcBorders>
              <w:top w:val="single" w:sz="4" w:space="0" w:color="auto"/>
              <w:left w:val="single" w:sz="4" w:space="0" w:color="auto"/>
              <w:bottom w:val="single" w:sz="4" w:space="0" w:color="auto"/>
              <w:right w:val="single" w:sz="4" w:space="0" w:color="auto"/>
            </w:tcBorders>
            <w:hideMark/>
          </w:tcPr>
          <w:p w:rsidR="005B0942" w:rsidRPr="00F77964" w:rsidRDefault="007D2A63" w:rsidP="00886BD0">
            <w:pPr>
              <w:pStyle w:val="Normal-pool"/>
              <w:spacing w:before="40" w:after="40"/>
              <w:rPr>
                <w:rFonts w:eastAsia="SimSun"/>
                <w:sz w:val="18"/>
                <w:szCs w:val="18"/>
                <w:lang w:eastAsia="zh-CN"/>
              </w:rPr>
            </w:pPr>
            <w:r w:rsidRPr="00F77964">
              <w:rPr>
                <w:rFonts w:eastAsia="SimSun"/>
                <w:sz w:val="18"/>
                <w:szCs w:val="18"/>
                <w:lang w:eastAsia="zh-CN"/>
              </w:rPr>
              <w:t xml:space="preserve">La Plénière </w:t>
            </w:r>
            <w:r w:rsidR="009D1370" w:rsidRPr="00F77964">
              <w:rPr>
                <w:rFonts w:eastAsia="SimSun"/>
                <w:sz w:val="18"/>
                <w:szCs w:val="18"/>
                <w:lang w:eastAsia="zh-CN"/>
              </w:rPr>
              <w:t xml:space="preserve">examine </w:t>
            </w:r>
            <w:r w:rsidRPr="00F77964">
              <w:rPr>
                <w:rFonts w:eastAsia="SimSun"/>
                <w:sz w:val="18"/>
                <w:szCs w:val="18"/>
                <w:lang w:eastAsia="zh-CN"/>
              </w:rPr>
              <w:t xml:space="preserve">et accepte le rapport et </w:t>
            </w:r>
            <w:r w:rsidR="009D1370" w:rsidRPr="00F77964">
              <w:rPr>
                <w:rFonts w:eastAsia="SimSun"/>
                <w:sz w:val="18"/>
                <w:szCs w:val="18"/>
                <w:lang w:eastAsia="zh-CN"/>
              </w:rPr>
              <w:t>examine</w:t>
            </w:r>
            <w:r w:rsidRPr="00F77964">
              <w:rPr>
                <w:rFonts w:eastAsia="SimSun"/>
                <w:sz w:val="18"/>
                <w:szCs w:val="18"/>
                <w:lang w:eastAsia="zh-CN"/>
              </w:rPr>
              <w:t xml:space="preserve"> et approuve le résumé à l’intention des décideurs durant sa quatrième sess</w:t>
            </w:r>
            <w:r w:rsidR="009D1370" w:rsidRPr="00F77964">
              <w:rPr>
                <w:rFonts w:eastAsia="SimSun"/>
                <w:sz w:val="18"/>
                <w:szCs w:val="18"/>
                <w:lang w:eastAsia="zh-CN"/>
              </w:rPr>
              <w:t>ion</w:t>
            </w:r>
            <w:r w:rsidRPr="00F77964">
              <w:rPr>
                <w:rFonts w:eastAsia="SimSun"/>
                <w:sz w:val="18"/>
                <w:szCs w:val="18"/>
                <w:lang w:eastAsia="zh-CN"/>
              </w:rPr>
              <w:t>, en mars 2016</w:t>
            </w:r>
          </w:p>
        </w:tc>
      </w:tr>
    </w:tbl>
    <w:p w:rsidR="00D66005" w:rsidRPr="00F77964" w:rsidRDefault="00D66005" w:rsidP="00D66005">
      <w:pPr>
        <w:pStyle w:val="CH3"/>
        <w:spacing w:before="200"/>
        <w:rPr>
          <w:rFonts w:eastAsia="SimSun"/>
          <w:lang w:val="fr-FR" w:eastAsia="zh-CN"/>
        </w:rPr>
      </w:pPr>
      <w:r w:rsidRPr="00F77964">
        <w:rPr>
          <w:rFonts w:eastAsia="SimSun"/>
          <w:lang w:val="fr-FR" w:eastAsia="zh-CN"/>
        </w:rPr>
        <w:lastRenderedPageBreak/>
        <w:tab/>
      </w:r>
      <w:r w:rsidRPr="00F77964">
        <w:rPr>
          <w:rFonts w:eastAsia="SimSun"/>
          <w:lang w:val="fr-FR" w:eastAsia="zh-CN"/>
        </w:rPr>
        <w:tab/>
      </w:r>
      <w:r w:rsidR="007D2A63" w:rsidRPr="00F77964">
        <w:rPr>
          <w:rFonts w:eastAsia="SimSun"/>
          <w:lang w:val="fr-FR" w:eastAsia="zh-CN"/>
        </w:rPr>
        <w:t>Prévisions de coûts</w:t>
      </w:r>
      <w:r w:rsidRPr="00F77964">
        <w:rPr>
          <w:rFonts w:eastAsia="SimSun"/>
          <w:lang w:val="fr-FR" w:eastAsia="zh-CN"/>
        </w:rPr>
        <w:t xml:space="preserve"> </w:t>
      </w:r>
    </w:p>
    <w:p w:rsidR="00D66005" w:rsidRPr="00F77964" w:rsidRDefault="007D2A63" w:rsidP="00817D25">
      <w:pPr>
        <w:pStyle w:val="Normalnumber"/>
        <w:keepNext/>
        <w:keepLines/>
        <w:numPr>
          <w:ilvl w:val="0"/>
          <w:numId w:val="6"/>
        </w:numPr>
        <w:tabs>
          <w:tab w:val="left" w:pos="624"/>
        </w:tabs>
        <w:spacing w:before="120" w:after="0"/>
        <w:ind w:left="1247" w:firstLine="0"/>
        <w:rPr>
          <w:rFonts w:eastAsia="Calibri"/>
          <w:lang w:val="fr-FR"/>
        </w:rPr>
      </w:pPr>
      <w:r w:rsidRPr="00F77964">
        <w:rPr>
          <w:rFonts w:eastAsia="Calibri"/>
          <w:lang w:val="fr-FR"/>
        </w:rPr>
        <w:t xml:space="preserve">Les prévisions de coûts </w:t>
      </w:r>
      <w:r w:rsidR="004D2BEE" w:rsidRPr="00F77964">
        <w:rPr>
          <w:rFonts w:eastAsia="Calibri"/>
          <w:lang w:val="fr-FR"/>
        </w:rPr>
        <w:t>sont les suivantes</w:t>
      </w:r>
      <w:r w:rsidRPr="00F77964">
        <w:rPr>
          <w:rFonts w:eastAsia="Calibri"/>
          <w:lang w:val="fr-FR"/>
        </w:rPr>
        <w:t> :</w:t>
      </w:r>
      <w:r w:rsidR="00D66005" w:rsidRPr="00F77964">
        <w:rPr>
          <w:rFonts w:eastAsia="Calibri"/>
          <w:lang w:val="fr-FR"/>
        </w:rPr>
        <w:t xml:space="preserve"> </w:t>
      </w:r>
    </w:p>
    <w:p w:rsidR="00D66005" w:rsidRPr="00F77964" w:rsidRDefault="00D66005" w:rsidP="00817D25">
      <w:pPr>
        <w:pStyle w:val="Normalnumber"/>
        <w:keepNext/>
        <w:keepLines/>
        <w:tabs>
          <w:tab w:val="left" w:pos="624"/>
        </w:tabs>
        <w:spacing w:before="120" w:after="0"/>
        <w:rPr>
          <w:rFonts w:eastAsia="Calibri"/>
          <w:sz w:val="18"/>
          <w:szCs w:val="18"/>
          <w:lang w:val="fr-FR"/>
        </w:rPr>
      </w:pPr>
      <w:r w:rsidRPr="00F77964">
        <w:rPr>
          <w:rFonts w:eastAsia="Calibri"/>
          <w:lang w:val="fr-FR"/>
        </w:rPr>
        <w:tab/>
      </w:r>
      <w:r w:rsidRPr="00F77964">
        <w:rPr>
          <w:rFonts w:eastAsia="Calibri"/>
          <w:lang w:val="fr-FR"/>
        </w:rPr>
        <w:tab/>
      </w:r>
      <w:r w:rsidRPr="00F77964">
        <w:rPr>
          <w:rFonts w:eastAsia="Calibri"/>
          <w:sz w:val="18"/>
          <w:szCs w:val="18"/>
          <w:lang w:val="fr-FR"/>
        </w:rPr>
        <w:t>(</w:t>
      </w:r>
      <w:r w:rsidR="009D1370" w:rsidRPr="00F77964">
        <w:rPr>
          <w:rFonts w:eastAsia="Calibri"/>
          <w:sz w:val="18"/>
          <w:szCs w:val="18"/>
          <w:lang w:val="fr-FR"/>
        </w:rPr>
        <w:t>d</w:t>
      </w:r>
      <w:r w:rsidR="00886BD0">
        <w:rPr>
          <w:rFonts w:eastAsia="Calibri"/>
          <w:sz w:val="18"/>
          <w:szCs w:val="18"/>
          <w:lang w:val="fr-FR"/>
        </w:rPr>
        <w:t>ollars des É</w:t>
      </w:r>
      <w:r w:rsidR="007D2A63" w:rsidRPr="00F77964">
        <w:rPr>
          <w:rFonts w:eastAsia="Calibri"/>
          <w:sz w:val="18"/>
          <w:szCs w:val="18"/>
          <w:lang w:val="fr-FR"/>
        </w:rPr>
        <w:t>tats-Unis</w:t>
      </w:r>
      <w:r w:rsidRPr="00F77964">
        <w:rPr>
          <w:rFonts w:eastAsia="Calibri"/>
          <w:sz w:val="18"/>
          <w:szCs w:val="18"/>
          <w:lang w:val="fr-FR"/>
        </w:rPr>
        <w:t>)</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310"/>
        <w:gridCol w:w="3038"/>
        <w:gridCol w:w="936"/>
      </w:tblGrid>
      <w:tr w:rsidR="00A16F3C" w:rsidRPr="0061490E" w:rsidTr="00A16F3C">
        <w:trPr>
          <w:tblHeader/>
        </w:trPr>
        <w:tc>
          <w:tcPr>
            <w:tcW w:w="710" w:type="dxa"/>
            <w:tcBorders>
              <w:top w:val="single" w:sz="4" w:space="0" w:color="auto"/>
              <w:left w:val="single" w:sz="4" w:space="0" w:color="auto"/>
              <w:bottom w:val="single" w:sz="4" w:space="0" w:color="auto"/>
              <w:right w:val="single" w:sz="4" w:space="0" w:color="auto"/>
            </w:tcBorders>
            <w:hideMark/>
          </w:tcPr>
          <w:p w:rsidR="00A16F3C" w:rsidRPr="00F77964" w:rsidRDefault="00A16F3C" w:rsidP="00A16F3C">
            <w:pPr>
              <w:pStyle w:val="Normal-pool"/>
              <w:keepNext/>
              <w:keepLines/>
              <w:spacing w:before="40" w:after="40"/>
              <w:rPr>
                <w:rFonts w:eastAsia="SimSun"/>
                <w:i/>
                <w:sz w:val="18"/>
                <w:szCs w:val="18"/>
                <w:lang w:eastAsia="zh-CN"/>
              </w:rPr>
            </w:pPr>
            <w:r w:rsidRPr="00F77964">
              <w:rPr>
                <w:rFonts w:eastAsia="SimSun"/>
                <w:i/>
                <w:sz w:val="18"/>
                <w:szCs w:val="18"/>
                <w:lang w:eastAsia="zh-CN"/>
              </w:rPr>
              <w:t>Année</w:t>
            </w:r>
          </w:p>
        </w:tc>
        <w:tc>
          <w:tcPr>
            <w:tcW w:w="3317" w:type="dxa"/>
            <w:tcBorders>
              <w:top w:val="single" w:sz="4" w:space="0" w:color="auto"/>
              <w:left w:val="single" w:sz="4" w:space="0" w:color="auto"/>
              <w:bottom w:val="single" w:sz="4" w:space="0" w:color="auto"/>
              <w:right w:val="single" w:sz="4" w:space="0" w:color="auto"/>
            </w:tcBorders>
            <w:hideMark/>
          </w:tcPr>
          <w:p w:rsidR="00A16F3C" w:rsidRPr="00F77964" w:rsidRDefault="00D972E8" w:rsidP="005F48A5">
            <w:pPr>
              <w:pStyle w:val="Normal-pool"/>
              <w:spacing w:before="40" w:after="40"/>
              <w:rPr>
                <w:rFonts w:eastAsia="SimSun"/>
                <w:i/>
                <w:sz w:val="18"/>
                <w:szCs w:val="18"/>
                <w:lang w:eastAsia="zh-CN"/>
              </w:rPr>
            </w:pPr>
            <w:r>
              <w:rPr>
                <w:rFonts w:eastAsia="SimSun"/>
                <w:i/>
                <w:sz w:val="18"/>
                <w:szCs w:val="18"/>
                <w:lang w:eastAsia="zh-CN"/>
              </w:rPr>
              <w:t>Postes de dépense</w:t>
            </w:r>
          </w:p>
        </w:tc>
        <w:tc>
          <w:tcPr>
            <w:tcW w:w="3046" w:type="dxa"/>
            <w:tcBorders>
              <w:top w:val="single" w:sz="4" w:space="0" w:color="auto"/>
              <w:left w:val="single" w:sz="4" w:space="0" w:color="auto"/>
              <w:bottom w:val="single" w:sz="4" w:space="0" w:color="auto"/>
              <w:right w:val="single" w:sz="4" w:space="0" w:color="auto"/>
            </w:tcBorders>
            <w:hideMark/>
          </w:tcPr>
          <w:p w:rsidR="00A16F3C" w:rsidRPr="00F77964" w:rsidRDefault="00A16F3C" w:rsidP="00272882">
            <w:pPr>
              <w:pStyle w:val="Normal-pool"/>
              <w:spacing w:before="40" w:after="40"/>
              <w:rPr>
                <w:rFonts w:eastAsia="SimSun"/>
                <w:i/>
                <w:sz w:val="18"/>
                <w:szCs w:val="18"/>
                <w:lang w:eastAsia="zh-CN"/>
              </w:rPr>
            </w:pPr>
            <w:r w:rsidRPr="00F77964">
              <w:rPr>
                <w:rFonts w:eastAsia="SimSun"/>
                <w:i/>
                <w:sz w:val="18"/>
                <w:szCs w:val="18"/>
                <w:lang w:eastAsia="zh-CN"/>
              </w:rPr>
              <w:t>Hypothèses</w:t>
            </w:r>
          </w:p>
        </w:tc>
        <w:tc>
          <w:tcPr>
            <w:tcW w:w="921" w:type="dxa"/>
            <w:tcBorders>
              <w:top w:val="single" w:sz="4" w:space="0" w:color="auto"/>
              <w:left w:val="single" w:sz="4" w:space="0" w:color="auto"/>
              <w:bottom w:val="single" w:sz="4" w:space="0" w:color="auto"/>
              <w:right w:val="single" w:sz="4" w:space="0" w:color="auto"/>
            </w:tcBorders>
            <w:hideMark/>
          </w:tcPr>
          <w:p w:rsidR="00A16F3C" w:rsidRPr="00F77964" w:rsidRDefault="009D1370" w:rsidP="009D1370">
            <w:pPr>
              <w:pStyle w:val="Normal-pool"/>
              <w:spacing w:before="40" w:after="40"/>
              <w:jc w:val="right"/>
              <w:rPr>
                <w:rFonts w:eastAsia="SimSun"/>
                <w:i/>
                <w:sz w:val="18"/>
                <w:szCs w:val="18"/>
                <w:lang w:eastAsia="zh-CN"/>
              </w:rPr>
            </w:pPr>
            <w:r w:rsidRPr="00F77964">
              <w:rPr>
                <w:rFonts w:eastAsia="SimSun"/>
                <w:i/>
                <w:sz w:val="18"/>
                <w:szCs w:val="18"/>
                <w:lang w:eastAsia="zh-CN"/>
              </w:rPr>
              <w:t>C</w:t>
            </w:r>
            <w:r w:rsidR="00A16F3C" w:rsidRPr="00F77964">
              <w:rPr>
                <w:rFonts w:eastAsia="SimSun"/>
                <w:i/>
                <w:sz w:val="18"/>
                <w:szCs w:val="18"/>
                <w:lang w:eastAsia="zh-CN"/>
              </w:rPr>
              <w:t>oût</w:t>
            </w:r>
          </w:p>
        </w:tc>
      </w:tr>
      <w:tr w:rsidR="00A16F3C" w:rsidRPr="0061490E" w:rsidTr="006D272C">
        <w:tc>
          <w:tcPr>
            <w:tcW w:w="710" w:type="dxa"/>
            <w:vMerge w:val="restart"/>
            <w:tcBorders>
              <w:top w:val="single" w:sz="4" w:space="0" w:color="auto"/>
              <w:left w:val="single" w:sz="4" w:space="0" w:color="auto"/>
              <w:bottom w:val="single" w:sz="4" w:space="0" w:color="auto"/>
              <w:right w:val="single" w:sz="4" w:space="0" w:color="auto"/>
            </w:tcBorders>
            <w:hideMark/>
          </w:tcPr>
          <w:p w:rsidR="00A16F3C" w:rsidRPr="00F77964" w:rsidRDefault="00A16F3C" w:rsidP="006D272C">
            <w:pPr>
              <w:pStyle w:val="Normal-pool"/>
              <w:keepNext/>
              <w:keepLines/>
              <w:spacing w:before="40" w:after="40"/>
              <w:rPr>
                <w:rFonts w:eastAsia="SimSun"/>
                <w:sz w:val="18"/>
                <w:szCs w:val="18"/>
                <w:lang w:eastAsia="zh-CN"/>
              </w:rPr>
            </w:pPr>
            <w:r w:rsidRPr="00F77964">
              <w:rPr>
                <w:rFonts w:eastAsia="SimSun"/>
                <w:sz w:val="18"/>
                <w:szCs w:val="18"/>
                <w:lang w:eastAsia="zh-CN"/>
              </w:rPr>
              <w:t>2014</w:t>
            </w:r>
          </w:p>
        </w:tc>
        <w:tc>
          <w:tcPr>
            <w:tcW w:w="3317" w:type="dxa"/>
            <w:vMerge w:val="restart"/>
            <w:tcBorders>
              <w:top w:val="single" w:sz="4" w:space="0" w:color="auto"/>
              <w:left w:val="single" w:sz="4" w:space="0" w:color="auto"/>
              <w:bottom w:val="single" w:sz="4" w:space="0" w:color="auto"/>
              <w:right w:val="single" w:sz="4" w:space="0" w:color="auto"/>
            </w:tcBorders>
            <w:hideMark/>
          </w:tcPr>
          <w:p w:rsidR="00A16F3C" w:rsidRPr="00F77964" w:rsidRDefault="00736DC5" w:rsidP="006D272C">
            <w:pPr>
              <w:pStyle w:val="Normal-pool"/>
              <w:keepNext/>
              <w:keepLines/>
              <w:spacing w:before="40" w:after="40"/>
              <w:rPr>
                <w:rFonts w:eastAsia="SimSun"/>
                <w:sz w:val="18"/>
                <w:szCs w:val="18"/>
                <w:lang w:eastAsia="zh-CN"/>
              </w:rPr>
            </w:pPr>
            <w:r w:rsidRPr="00F77964">
              <w:rPr>
                <w:rFonts w:eastAsia="SimSun"/>
                <w:sz w:val="18"/>
                <w:szCs w:val="18"/>
                <w:lang w:eastAsia="zh-CN"/>
              </w:rPr>
              <w:t>Réunion de cadrage</w:t>
            </w:r>
            <w:r w:rsidR="00A16F3C" w:rsidRPr="00F77964">
              <w:rPr>
                <w:rFonts w:eastAsia="SimSun"/>
                <w:sz w:val="18"/>
                <w:szCs w:val="18"/>
                <w:lang w:eastAsia="zh-CN"/>
              </w:rPr>
              <w:t xml:space="preserve"> (40</w:t>
            </w:r>
            <w:r w:rsidRPr="00F77964">
              <w:rPr>
                <w:rFonts w:eastAsia="SimSun"/>
                <w:sz w:val="18"/>
                <w:szCs w:val="18"/>
                <w:lang w:eastAsia="zh-CN"/>
              </w:rPr>
              <w:t> </w:t>
            </w:r>
            <w:r w:rsidR="00A16F3C" w:rsidRPr="00F77964">
              <w:rPr>
                <w:rFonts w:eastAsia="SimSun"/>
                <w:sz w:val="18"/>
                <w:szCs w:val="18"/>
                <w:lang w:eastAsia="zh-CN"/>
              </w:rPr>
              <w:t>participants</w:t>
            </w:r>
            <w:r w:rsidRPr="00F77964">
              <w:rPr>
                <w:rFonts w:eastAsia="SimSun"/>
                <w:sz w:val="18"/>
                <w:szCs w:val="18"/>
                <w:lang w:eastAsia="zh-CN"/>
              </w:rPr>
              <w:t> </w:t>
            </w:r>
            <w:r w:rsidR="00A16F3C" w:rsidRPr="00F77964">
              <w:rPr>
                <w:rFonts w:eastAsia="SimSun"/>
                <w:sz w:val="18"/>
                <w:szCs w:val="18"/>
                <w:lang w:eastAsia="zh-CN"/>
              </w:rPr>
              <w:t>:</w:t>
            </w:r>
            <w:r w:rsidRPr="00F77964">
              <w:rPr>
                <w:rFonts w:eastAsia="SimSun"/>
                <w:sz w:val="18"/>
                <w:szCs w:val="18"/>
                <w:lang w:eastAsia="zh-CN"/>
              </w:rPr>
              <w:t xml:space="preserve"> membres du Groupe d’experts multidisciplinaire/du Bureau</w:t>
            </w:r>
            <w:r w:rsidR="00C673C7">
              <w:rPr>
                <w:rFonts w:eastAsia="SimSun"/>
                <w:sz w:val="18"/>
                <w:szCs w:val="18"/>
                <w:lang w:eastAsia="zh-CN"/>
              </w:rPr>
              <w:t xml:space="preserve"> + </w:t>
            </w:r>
            <w:r w:rsidRPr="00F77964">
              <w:rPr>
                <w:rFonts w:eastAsia="SimSun"/>
                <w:sz w:val="18"/>
                <w:szCs w:val="18"/>
                <w:lang w:eastAsia="zh-CN"/>
              </w:rPr>
              <w:t>experts</w:t>
            </w:r>
            <w:r w:rsidR="00A16F3C" w:rsidRPr="00F77964">
              <w:rPr>
                <w:rFonts w:eastAsia="SimSun"/>
                <w:sz w:val="18"/>
                <w:szCs w:val="18"/>
                <w:lang w:eastAsia="zh-CN"/>
              </w:rPr>
              <w:t>)</w:t>
            </w:r>
          </w:p>
        </w:tc>
        <w:tc>
          <w:tcPr>
            <w:tcW w:w="3046" w:type="dxa"/>
            <w:tcBorders>
              <w:top w:val="single" w:sz="4" w:space="0" w:color="auto"/>
              <w:left w:val="single" w:sz="4" w:space="0" w:color="auto"/>
              <w:bottom w:val="single" w:sz="4" w:space="0" w:color="auto"/>
              <w:right w:val="single" w:sz="4" w:space="0" w:color="auto"/>
            </w:tcBorders>
            <w:hideMark/>
          </w:tcPr>
          <w:p w:rsidR="00A16F3C" w:rsidRPr="00F77964" w:rsidRDefault="001C198E" w:rsidP="006D272C">
            <w:pPr>
              <w:pStyle w:val="Normal-pool"/>
              <w:keepNext/>
              <w:keepLines/>
              <w:spacing w:before="40" w:after="40"/>
              <w:rPr>
                <w:rFonts w:eastAsia="SimSun"/>
                <w:sz w:val="18"/>
                <w:szCs w:val="18"/>
                <w:lang w:eastAsia="zh-CN"/>
              </w:rPr>
            </w:pPr>
            <w:r w:rsidRPr="00F77964">
              <w:rPr>
                <w:rFonts w:eastAsia="SimSun"/>
                <w:sz w:val="18"/>
                <w:szCs w:val="18"/>
                <w:lang w:eastAsia="zh-CN"/>
              </w:rPr>
              <w:t>Coûts de la réunion (1 semaine, 40 participants) (25 % en nature)</w:t>
            </w:r>
          </w:p>
        </w:tc>
        <w:tc>
          <w:tcPr>
            <w:tcW w:w="921" w:type="dxa"/>
            <w:tcBorders>
              <w:top w:val="single" w:sz="4" w:space="0" w:color="auto"/>
              <w:left w:val="single" w:sz="4" w:space="0" w:color="auto"/>
              <w:bottom w:val="single" w:sz="4" w:space="0" w:color="auto"/>
              <w:right w:val="single" w:sz="4" w:space="0" w:color="auto"/>
            </w:tcBorders>
            <w:hideMark/>
          </w:tcPr>
          <w:p w:rsidR="00A16F3C" w:rsidRPr="00F77964" w:rsidRDefault="00A16F3C" w:rsidP="006D272C">
            <w:pPr>
              <w:pStyle w:val="Normal-pool"/>
              <w:keepNext/>
              <w:keepLines/>
              <w:spacing w:before="40" w:after="40"/>
              <w:rPr>
                <w:rFonts w:eastAsia="SimSun"/>
                <w:sz w:val="18"/>
                <w:szCs w:val="18"/>
                <w:lang w:eastAsia="zh-CN"/>
              </w:rPr>
            </w:pPr>
            <w:r w:rsidRPr="00F77964">
              <w:rPr>
                <w:rFonts w:eastAsia="SimSun"/>
                <w:sz w:val="18"/>
                <w:szCs w:val="18"/>
                <w:lang w:eastAsia="zh-CN"/>
              </w:rPr>
              <w:t>11</w:t>
            </w:r>
            <w:r w:rsidR="009D1370" w:rsidRPr="00F77964">
              <w:rPr>
                <w:rFonts w:eastAsia="SimSun"/>
                <w:sz w:val="18"/>
                <w:szCs w:val="18"/>
                <w:lang w:eastAsia="zh-CN"/>
              </w:rPr>
              <w:t> </w:t>
            </w:r>
            <w:r w:rsidRPr="00F77964">
              <w:rPr>
                <w:rFonts w:eastAsia="SimSun"/>
                <w:sz w:val="18"/>
                <w:szCs w:val="18"/>
                <w:lang w:eastAsia="zh-CN"/>
              </w:rPr>
              <w:t>250</w:t>
            </w:r>
          </w:p>
        </w:tc>
      </w:tr>
      <w:tr w:rsidR="00A16F3C" w:rsidRPr="0061490E" w:rsidTr="006D272C">
        <w:trPr>
          <w:trHeight w:val="187"/>
        </w:trPr>
        <w:tc>
          <w:tcPr>
            <w:tcW w:w="0" w:type="auto"/>
            <w:vMerge/>
            <w:tcBorders>
              <w:top w:val="single" w:sz="4" w:space="0" w:color="auto"/>
              <w:left w:val="single" w:sz="4" w:space="0" w:color="auto"/>
              <w:bottom w:val="single" w:sz="4" w:space="0" w:color="auto"/>
              <w:right w:val="single" w:sz="4" w:space="0" w:color="auto"/>
            </w:tcBorders>
            <w:hideMark/>
          </w:tcPr>
          <w:p w:rsidR="00A16F3C" w:rsidRPr="0061490E" w:rsidRDefault="00A16F3C" w:rsidP="006D272C">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A16F3C" w:rsidRPr="0061490E" w:rsidRDefault="00A16F3C" w:rsidP="006D272C">
            <w:pPr>
              <w:rPr>
                <w:rFonts w:eastAsia="SimSun"/>
                <w:sz w:val="18"/>
                <w:szCs w:val="18"/>
                <w:lang w:eastAsia="zh-CN"/>
              </w:rPr>
            </w:pPr>
          </w:p>
        </w:tc>
        <w:tc>
          <w:tcPr>
            <w:tcW w:w="3046" w:type="dxa"/>
            <w:tcBorders>
              <w:top w:val="single" w:sz="4" w:space="0" w:color="auto"/>
              <w:left w:val="single" w:sz="4" w:space="0" w:color="auto"/>
              <w:bottom w:val="single" w:sz="4" w:space="0" w:color="auto"/>
              <w:right w:val="single" w:sz="4" w:space="0" w:color="auto"/>
            </w:tcBorders>
            <w:hideMark/>
          </w:tcPr>
          <w:p w:rsidR="00A16F3C" w:rsidRPr="00F77964" w:rsidRDefault="00D972E8" w:rsidP="006D272C">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001C198E" w:rsidRPr="00F77964">
              <w:rPr>
                <w:rFonts w:eastAsia="SimSun"/>
                <w:sz w:val="18"/>
                <w:szCs w:val="18"/>
                <w:lang w:eastAsia="zh-CN"/>
              </w:rPr>
              <w:t xml:space="preserve"> (30 x 3 000 dollars)</w:t>
            </w:r>
          </w:p>
        </w:tc>
        <w:tc>
          <w:tcPr>
            <w:tcW w:w="921" w:type="dxa"/>
            <w:tcBorders>
              <w:top w:val="single" w:sz="4" w:space="0" w:color="auto"/>
              <w:left w:val="single" w:sz="4" w:space="0" w:color="auto"/>
              <w:bottom w:val="single" w:sz="4" w:space="0" w:color="auto"/>
              <w:right w:val="single" w:sz="4" w:space="0" w:color="auto"/>
            </w:tcBorders>
            <w:hideMark/>
          </w:tcPr>
          <w:p w:rsidR="00A16F3C" w:rsidRPr="00F77964" w:rsidRDefault="00A16F3C" w:rsidP="006D272C">
            <w:pPr>
              <w:pStyle w:val="Normal-pool"/>
              <w:spacing w:before="40" w:after="40"/>
              <w:rPr>
                <w:rFonts w:eastAsia="SimSun"/>
                <w:sz w:val="18"/>
                <w:szCs w:val="18"/>
                <w:lang w:eastAsia="zh-CN"/>
              </w:rPr>
            </w:pPr>
            <w:r w:rsidRPr="00F77964">
              <w:rPr>
                <w:rFonts w:eastAsia="SimSun"/>
                <w:sz w:val="18"/>
                <w:szCs w:val="18"/>
                <w:lang w:eastAsia="zh-CN"/>
              </w:rPr>
              <w:t>90</w:t>
            </w:r>
            <w:r w:rsidR="009D1370" w:rsidRPr="00F77964">
              <w:rPr>
                <w:rFonts w:eastAsia="SimSun"/>
                <w:sz w:val="18"/>
                <w:szCs w:val="18"/>
                <w:lang w:eastAsia="zh-CN"/>
              </w:rPr>
              <w:t> </w:t>
            </w:r>
            <w:r w:rsidRPr="00F77964">
              <w:rPr>
                <w:rFonts w:eastAsia="SimSun"/>
                <w:sz w:val="18"/>
                <w:szCs w:val="18"/>
                <w:lang w:eastAsia="zh-CN"/>
              </w:rPr>
              <w:t>000</w:t>
            </w:r>
          </w:p>
        </w:tc>
      </w:tr>
      <w:tr w:rsidR="00A16F3C" w:rsidRPr="0061490E" w:rsidTr="006D272C">
        <w:tc>
          <w:tcPr>
            <w:tcW w:w="0" w:type="auto"/>
            <w:vMerge/>
            <w:tcBorders>
              <w:top w:val="single" w:sz="4" w:space="0" w:color="auto"/>
              <w:left w:val="single" w:sz="4" w:space="0" w:color="auto"/>
              <w:bottom w:val="single" w:sz="4" w:space="0" w:color="auto"/>
              <w:right w:val="single" w:sz="4" w:space="0" w:color="auto"/>
            </w:tcBorders>
            <w:hideMark/>
          </w:tcPr>
          <w:p w:rsidR="00A16F3C" w:rsidRPr="0061490E" w:rsidRDefault="00A16F3C" w:rsidP="006D272C">
            <w:pPr>
              <w:rPr>
                <w:rFonts w:eastAsia="SimSun"/>
                <w:sz w:val="18"/>
                <w:szCs w:val="18"/>
                <w:lang w:eastAsia="zh-CN"/>
              </w:rPr>
            </w:pPr>
          </w:p>
        </w:tc>
        <w:tc>
          <w:tcPr>
            <w:tcW w:w="3317" w:type="dxa"/>
            <w:vMerge w:val="restart"/>
            <w:tcBorders>
              <w:top w:val="single" w:sz="4" w:space="0" w:color="auto"/>
              <w:left w:val="single" w:sz="4" w:space="0" w:color="auto"/>
              <w:bottom w:val="single" w:sz="4" w:space="0" w:color="auto"/>
              <w:right w:val="single" w:sz="4" w:space="0" w:color="auto"/>
            </w:tcBorders>
            <w:hideMark/>
          </w:tcPr>
          <w:p w:rsidR="00A16F3C" w:rsidRPr="00F77964" w:rsidRDefault="00736DC5" w:rsidP="006D272C">
            <w:pPr>
              <w:pStyle w:val="Normal-pool"/>
              <w:spacing w:before="40" w:after="40"/>
              <w:rPr>
                <w:rFonts w:eastAsia="SimSun"/>
                <w:sz w:val="18"/>
                <w:szCs w:val="18"/>
                <w:lang w:eastAsia="zh-CN"/>
              </w:rPr>
            </w:pPr>
            <w:r w:rsidRPr="00F77964">
              <w:rPr>
                <w:rFonts w:eastAsia="SimSun"/>
                <w:sz w:val="18"/>
                <w:szCs w:val="18"/>
                <w:lang w:eastAsia="zh-CN"/>
              </w:rPr>
              <w:t>Première réunion des auteurs</w:t>
            </w:r>
            <w:r w:rsidR="00A16F3C" w:rsidRPr="00F77964">
              <w:rPr>
                <w:rFonts w:eastAsia="SimSun"/>
                <w:sz w:val="18"/>
                <w:szCs w:val="18"/>
                <w:lang w:eastAsia="zh-CN"/>
              </w:rPr>
              <w:t xml:space="preserve"> (80</w:t>
            </w:r>
            <w:r w:rsidRPr="00F77964">
              <w:rPr>
                <w:rFonts w:eastAsia="SimSun"/>
                <w:sz w:val="18"/>
                <w:szCs w:val="18"/>
                <w:lang w:eastAsia="zh-CN"/>
              </w:rPr>
              <w:t> </w:t>
            </w:r>
            <w:r w:rsidR="006E337B">
              <w:rPr>
                <w:rFonts w:eastAsia="SimSun"/>
                <w:sz w:val="18"/>
                <w:szCs w:val="18"/>
                <w:lang w:eastAsia="zh-CN"/>
              </w:rPr>
              <w:t>coprésidents</w:t>
            </w:r>
            <w:r w:rsidRPr="00F77964">
              <w:rPr>
                <w:rFonts w:eastAsia="SimSun"/>
                <w:sz w:val="18"/>
                <w:szCs w:val="18"/>
                <w:lang w:eastAsia="zh-CN"/>
              </w:rPr>
              <w:t>, auteurs coordonnateurs principaux et auteurs principaux</w:t>
            </w:r>
            <w:r w:rsidR="00C673C7">
              <w:rPr>
                <w:rFonts w:eastAsia="SimSun"/>
                <w:sz w:val="18"/>
                <w:szCs w:val="18"/>
                <w:lang w:eastAsia="zh-CN"/>
              </w:rPr>
              <w:t xml:space="preserve"> + </w:t>
            </w:r>
            <w:r w:rsidRPr="00F77964">
              <w:rPr>
                <w:rFonts w:eastAsia="SimSun"/>
                <w:sz w:val="18"/>
                <w:szCs w:val="18"/>
                <w:lang w:eastAsia="zh-CN"/>
              </w:rPr>
              <w:t>4 membres de Groupe d’experts multidisciplinaire/Bureau</w:t>
            </w:r>
            <w:r w:rsidR="00C673C7">
              <w:rPr>
                <w:rFonts w:eastAsia="SimSun"/>
                <w:sz w:val="18"/>
                <w:szCs w:val="18"/>
                <w:lang w:eastAsia="zh-CN"/>
              </w:rPr>
              <w:t xml:space="preserve"> + </w:t>
            </w:r>
            <w:r w:rsidRPr="00F77964">
              <w:rPr>
                <w:rFonts w:eastAsia="SimSun"/>
                <w:sz w:val="18"/>
                <w:szCs w:val="18"/>
                <w:lang w:eastAsia="zh-CN"/>
              </w:rPr>
              <w:t>1 membre du personnel d</w:t>
            </w:r>
            <w:r w:rsidR="00D14348" w:rsidRPr="00F77964">
              <w:rPr>
                <w:rFonts w:eastAsia="SimSun"/>
                <w:sz w:val="18"/>
                <w:szCs w:val="18"/>
                <w:lang w:eastAsia="zh-CN"/>
              </w:rPr>
              <w:t>’appui</w:t>
            </w:r>
            <w:r w:rsidRPr="00F77964">
              <w:rPr>
                <w:rFonts w:eastAsia="SimSun"/>
                <w:sz w:val="18"/>
                <w:szCs w:val="18"/>
                <w:lang w:eastAsia="zh-CN"/>
              </w:rPr>
              <w:t xml:space="preserve"> techniqu</w:t>
            </w:r>
            <w:r w:rsidR="005F6BA6" w:rsidRPr="00F77964">
              <w:rPr>
                <w:rFonts w:eastAsia="SimSun"/>
                <w:sz w:val="18"/>
                <w:szCs w:val="18"/>
                <w:lang w:eastAsia="zh-CN"/>
              </w:rPr>
              <w:t>e</w:t>
            </w:r>
            <w:r w:rsidR="00A16F3C" w:rsidRPr="00F77964">
              <w:rPr>
                <w:rFonts w:eastAsia="SimSun"/>
                <w:sz w:val="18"/>
                <w:szCs w:val="18"/>
                <w:lang w:eastAsia="zh-CN"/>
              </w:rPr>
              <w:t>)</w:t>
            </w:r>
          </w:p>
        </w:tc>
        <w:tc>
          <w:tcPr>
            <w:tcW w:w="3046" w:type="dxa"/>
            <w:tcBorders>
              <w:top w:val="single" w:sz="4" w:space="0" w:color="auto"/>
              <w:left w:val="single" w:sz="4" w:space="0" w:color="auto"/>
              <w:bottom w:val="single" w:sz="4" w:space="0" w:color="auto"/>
              <w:right w:val="single" w:sz="4" w:space="0" w:color="auto"/>
            </w:tcBorders>
            <w:hideMark/>
          </w:tcPr>
          <w:p w:rsidR="00A16F3C" w:rsidRPr="00F77964" w:rsidRDefault="001C198E" w:rsidP="006D272C">
            <w:pPr>
              <w:pStyle w:val="Normal-pool"/>
              <w:spacing w:before="40" w:after="40"/>
              <w:rPr>
                <w:rFonts w:eastAsia="SimSun"/>
                <w:sz w:val="18"/>
                <w:szCs w:val="18"/>
                <w:lang w:eastAsia="zh-CN"/>
              </w:rPr>
            </w:pPr>
            <w:r w:rsidRPr="00F77964">
              <w:rPr>
                <w:rFonts w:eastAsia="SimSun"/>
                <w:sz w:val="18"/>
                <w:szCs w:val="18"/>
                <w:lang w:eastAsia="zh-CN"/>
              </w:rPr>
              <w:t>Coûts de la réunion (1 semaine, 85 participants) (25 % en nature)</w:t>
            </w:r>
          </w:p>
        </w:tc>
        <w:tc>
          <w:tcPr>
            <w:tcW w:w="921" w:type="dxa"/>
            <w:tcBorders>
              <w:top w:val="single" w:sz="4" w:space="0" w:color="auto"/>
              <w:left w:val="single" w:sz="4" w:space="0" w:color="auto"/>
              <w:bottom w:val="single" w:sz="4" w:space="0" w:color="auto"/>
              <w:right w:val="single" w:sz="4" w:space="0" w:color="auto"/>
            </w:tcBorders>
            <w:hideMark/>
          </w:tcPr>
          <w:p w:rsidR="00A16F3C" w:rsidRPr="00F77964" w:rsidRDefault="00A16F3C" w:rsidP="006D272C">
            <w:pPr>
              <w:pStyle w:val="Normal-pool"/>
              <w:spacing w:before="40" w:after="40"/>
              <w:rPr>
                <w:rFonts w:eastAsia="SimSun"/>
                <w:sz w:val="18"/>
                <w:szCs w:val="18"/>
                <w:lang w:eastAsia="zh-CN"/>
              </w:rPr>
            </w:pPr>
            <w:r w:rsidRPr="00F77964">
              <w:rPr>
                <w:rFonts w:eastAsia="SimSun"/>
                <w:sz w:val="18"/>
                <w:szCs w:val="18"/>
                <w:lang w:eastAsia="zh-CN"/>
              </w:rPr>
              <w:t>15</w:t>
            </w:r>
            <w:r w:rsidR="009D1370" w:rsidRPr="00F77964">
              <w:rPr>
                <w:rFonts w:eastAsia="SimSun"/>
                <w:sz w:val="18"/>
                <w:szCs w:val="18"/>
                <w:lang w:eastAsia="zh-CN"/>
              </w:rPr>
              <w:t> </w:t>
            </w:r>
            <w:r w:rsidRPr="00F77964">
              <w:rPr>
                <w:rFonts w:eastAsia="SimSun"/>
                <w:sz w:val="18"/>
                <w:szCs w:val="18"/>
                <w:lang w:eastAsia="zh-CN"/>
              </w:rPr>
              <w:t>000</w:t>
            </w:r>
          </w:p>
        </w:tc>
      </w:tr>
      <w:tr w:rsidR="00A16F3C" w:rsidRPr="0061490E" w:rsidTr="006D272C">
        <w:trPr>
          <w:trHeight w:val="339"/>
        </w:trPr>
        <w:tc>
          <w:tcPr>
            <w:tcW w:w="0" w:type="auto"/>
            <w:vMerge/>
            <w:tcBorders>
              <w:top w:val="single" w:sz="4" w:space="0" w:color="auto"/>
              <w:left w:val="single" w:sz="4" w:space="0" w:color="auto"/>
              <w:bottom w:val="single" w:sz="4" w:space="0" w:color="auto"/>
              <w:right w:val="single" w:sz="4" w:space="0" w:color="auto"/>
            </w:tcBorders>
            <w:hideMark/>
          </w:tcPr>
          <w:p w:rsidR="00A16F3C" w:rsidRPr="0061490E" w:rsidRDefault="00A16F3C" w:rsidP="006D272C">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A16F3C" w:rsidRPr="0061490E" w:rsidRDefault="00A16F3C" w:rsidP="006D272C">
            <w:pPr>
              <w:rPr>
                <w:rFonts w:eastAsia="SimSun"/>
                <w:sz w:val="18"/>
                <w:szCs w:val="18"/>
                <w:lang w:eastAsia="zh-CN"/>
              </w:rPr>
            </w:pPr>
          </w:p>
        </w:tc>
        <w:tc>
          <w:tcPr>
            <w:tcW w:w="3046" w:type="dxa"/>
            <w:tcBorders>
              <w:top w:val="single" w:sz="4" w:space="0" w:color="auto"/>
              <w:left w:val="single" w:sz="4" w:space="0" w:color="auto"/>
              <w:bottom w:val="single" w:sz="4" w:space="0" w:color="auto"/>
              <w:right w:val="single" w:sz="4" w:space="0" w:color="auto"/>
            </w:tcBorders>
            <w:hideMark/>
          </w:tcPr>
          <w:p w:rsidR="00A16F3C" w:rsidRPr="00F77964" w:rsidRDefault="00D972E8" w:rsidP="006D272C">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001C198E" w:rsidRPr="00F77964">
              <w:rPr>
                <w:rFonts w:eastAsia="SimSun"/>
                <w:sz w:val="18"/>
                <w:szCs w:val="18"/>
                <w:lang w:eastAsia="zh-CN"/>
              </w:rPr>
              <w:t xml:space="preserve"> (64 x 3 000 dollars)</w:t>
            </w:r>
          </w:p>
        </w:tc>
        <w:tc>
          <w:tcPr>
            <w:tcW w:w="921" w:type="dxa"/>
            <w:tcBorders>
              <w:top w:val="single" w:sz="4" w:space="0" w:color="auto"/>
              <w:left w:val="single" w:sz="4" w:space="0" w:color="auto"/>
              <w:bottom w:val="single" w:sz="4" w:space="0" w:color="auto"/>
              <w:right w:val="single" w:sz="4" w:space="0" w:color="auto"/>
            </w:tcBorders>
            <w:hideMark/>
          </w:tcPr>
          <w:p w:rsidR="00A16F3C" w:rsidRPr="00F77964" w:rsidRDefault="00A16F3C" w:rsidP="006D272C">
            <w:pPr>
              <w:pStyle w:val="Normal-pool"/>
              <w:spacing w:before="40" w:after="40"/>
              <w:rPr>
                <w:rFonts w:eastAsia="SimSun"/>
                <w:sz w:val="18"/>
                <w:szCs w:val="18"/>
                <w:lang w:eastAsia="zh-CN"/>
              </w:rPr>
            </w:pPr>
            <w:r w:rsidRPr="00F77964">
              <w:rPr>
                <w:rFonts w:eastAsia="SimSun"/>
                <w:sz w:val="18"/>
                <w:szCs w:val="18"/>
                <w:lang w:eastAsia="zh-CN"/>
              </w:rPr>
              <w:t>192</w:t>
            </w:r>
            <w:r w:rsidR="009D1370" w:rsidRPr="00F77964">
              <w:rPr>
                <w:rFonts w:eastAsia="SimSun"/>
                <w:sz w:val="18"/>
                <w:szCs w:val="18"/>
                <w:lang w:eastAsia="zh-CN"/>
              </w:rPr>
              <w:t> </w:t>
            </w:r>
            <w:r w:rsidRPr="00F77964">
              <w:rPr>
                <w:rFonts w:eastAsia="SimSun"/>
                <w:sz w:val="18"/>
                <w:szCs w:val="18"/>
                <w:lang w:eastAsia="zh-CN"/>
              </w:rPr>
              <w:t>000</w:t>
            </w:r>
          </w:p>
        </w:tc>
      </w:tr>
      <w:tr w:rsidR="00A16F3C" w:rsidRPr="0061490E" w:rsidTr="006D272C">
        <w:trPr>
          <w:trHeight w:val="361"/>
        </w:trPr>
        <w:tc>
          <w:tcPr>
            <w:tcW w:w="0" w:type="auto"/>
            <w:vMerge/>
            <w:tcBorders>
              <w:top w:val="single" w:sz="4" w:space="0" w:color="auto"/>
              <w:left w:val="single" w:sz="4" w:space="0" w:color="auto"/>
              <w:bottom w:val="single" w:sz="4" w:space="0" w:color="auto"/>
              <w:right w:val="single" w:sz="4" w:space="0" w:color="auto"/>
            </w:tcBorders>
            <w:hideMark/>
          </w:tcPr>
          <w:p w:rsidR="00A16F3C" w:rsidRPr="0061490E" w:rsidRDefault="00A16F3C" w:rsidP="006D272C">
            <w:pPr>
              <w:rPr>
                <w:rFonts w:eastAsia="SimSun"/>
                <w:sz w:val="18"/>
                <w:szCs w:val="18"/>
                <w:lang w:eastAsia="zh-CN"/>
              </w:rPr>
            </w:pPr>
          </w:p>
        </w:tc>
        <w:tc>
          <w:tcPr>
            <w:tcW w:w="3317" w:type="dxa"/>
            <w:tcBorders>
              <w:top w:val="single" w:sz="4" w:space="0" w:color="auto"/>
              <w:left w:val="single" w:sz="4" w:space="0" w:color="auto"/>
              <w:bottom w:val="single" w:sz="4" w:space="0" w:color="auto"/>
              <w:right w:val="single" w:sz="4" w:space="0" w:color="auto"/>
            </w:tcBorders>
            <w:hideMark/>
          </w:tcPr>
          <w:p w:rsidR="00A16F3C" w:rsidRPr="00F77964" w:rsidRDefault="00736DC5" w:rsidP="006D272C">
            <w:pPr>
              <w:pStyle w:val="Normal-pool"/>
              <w:spacing w:before="40" w:after="40"/>
              <w:rPr>
                <w:rFonts w:eastAsia="SimSun"/>
                <w:sz w:val="18"/>
                <w:szCs w:val="18"/>
                <w:lang w:eastAsia="zh-CN"/>
              </w:rPr>
            </w:pPr>
            <w:r w:rsidRPr="00F77964">
              <w:rPr>
                <w:rFonts w:eastAsia="SimSun"/>
                <w:sz w:val="18"/>
                <w:szCs w:val="18"/>
                <w:lang w:eastAsia="zh-CN"/>
              </w:rPr>
              <w:t>Appui technique</w:t>
            </w:r>
          </w:p>
        </w:tc>
        <w:tc>
          <w:tcPr>
            <w:tcW w:w="3046" w:type="dxa"/>
            <w:tcBorders>
              <w:top w:val="single" w:sz="4" w:space="0" w:color="auto"/>
              <w:left w:val="single" w:sz="4" w:space="0" w:color="auto"/>
              <w:bottom w:val="single" w:sz="4" w:space="0" w:color="auto"/>
              <w:right w:val="single" w:sz="4" w:space="0" w:color="auto"/>
            </w:tcBorders>
            <w:hideMark/>
          </w:tcPr>
          <w:p w:rsidR="00A16F3C" w:rsidRPr="00F77964" w:rsidRDefault="001C198E" w:rsidP="006D272C">
            <w:pPr>
              <w:pStyle w:val="Normal-pool"/>
              <w:spacing w:before="40" w:after="40"/>
              <w:rPr>
                <w:rFonts w:eastAsia="SimSun"/>
                <w:sz w:val="18"/>
                <w:szCs w:val="18"/>
                <w:lang w:eastAsia="zh-CN"/>
              </w:rPr>
            </w:pPr>
            <w:r w:rsidRPr="00F77964">
              <w:rPr>
                <w:rFonts w:eastAsia="SimSun"/>
                <w:sz w:val="18"/>
                <w:szCs w:val="18"/>
                <w:lang w:eastAsia="zh-CN"/>
              </w:rPr>
              <w:t>1 poste d’administrateur équivalent plein temps (50 % en nature)</w:t>
            </w:r>
          </w:p>
        </w:tc>
        <w:tc>
          <w:tcPr>
            <w:tcW w:w="921" w:type="dxa"/>
            <w:tcBorders>
              <w:top w:val="single" w:sz="4" w:space="0" w:color="auto"/>
              <w:left w:val="single" w:sz="4" w:space="0" w:color="auto"/>
              <w:bottom w:val="single" w:sz="4" w:space="0" w:color="auto"/>
              <w:right w:val="single" w:sz="4" w:space="0" w:color="auto"/>
            </w:tcBorders>
            <w:hideMark/>
          </w:tcPr>
          <w:p w:rsidR="00A16F3C" w:rsidRPr="00F77964" w:rsidRDefault="00A16F3C" w:rsidP="006D272C">
            <w:pPr>
              <w:pStyle w:val="Normal-pool"/>
              <w:spacing w:before="40" w:after="40"/>
              <w:rPr>
                <w:rFonts w:eastAsia="SimSun"/>
                <w:sz w:val="18"/>
                <w:szCs w:val="18"/>
                <w:lang w:eastAsia="zh-CN"/>
              </w:rPr>
            </w:pPr>
            <w:r w:rsidRPr="00F77964">
              <w:rPr>
                <w:rFonts w:eastAsia="SimSun"/>
                <w:sz w:val="18"/>
                <w:szCs w:val="18"/>
                <w:lang w:eastAsia="zh-CN"/>
              </w:rPr>
              <w:t>75</w:t>
            </w:r>
            <w:r w:rsidR="009D1370" w:rsidRPr="00F77964">
              <w:rPr>
                <w:rFonts w:eastAsia="SimSun"/>
                <w:sz w:val="18"/>
                <w:szCs w:val="18"/>
                <w:lang w:eastAsia="zh-CN"/>
              </w:rPr>
              <w:t> </w:t>
            </w:r>
            <w:r w:rsidRPr="00F77964">
              <w:rPr>
                <w:rFonts w:eastAsia="SimSun"/>
                <w:sz w:val="18"/>
                <w:szCs w:val="18"/>
                <w:lang w:eastAsia="zh-CN"/>
              </w:rPr>
              <w:t>000</w:t>
            </w:r>
          </w:p>
        </w:tc>
      </w:tr>
      <w:tr w:rsidR="00A16F3C" w:rsidRPr="0061490E" w:rsidTr="006D272C">
        <w:tc>
          <w:tcPr>
            <w:tcW w:w="710" w:type="dxa"/>
            <w:vMerge w:val="restart"/>
            <w:tcBorders>
              <w:top w:val="single" w:sz="4" w:space="0" w:color="auto"/>
              <w:left w:val="single" w:sz="4" w:space="0" w:color="auto"/>
              <w:bottom w:val="single" w:sz="4" w:space="0" w:color="auto"/>
              <w:right w:val="single" w:sz="4" w:space="0" w:color="auto"/>
            </w:tcBorders>
            <w:hideMark/>
          </w:tcPr>
          <w:p w:rsidR="00A16F3C" w:rsidRPr="00F77964" w:rsidRDefault="00A16F3C" w:rsidP="006D272C">
            <w:pPr>
              <w:pStyle w:val="Normal-pool"/>
              <w:keepNext/>
              <w:keepLines/>
              <w:spacing w:before="40" w:after="40"/>
              <w:rPr>
                <w:rFonts w:eastAsia="SimSun"/>
                <w:sz w:val="18"/>
                <w:szCs w:val="18"/>
                <w:lang w:eastAsia="zh-CN"/>
              </w:rPr>
            </w:pPr>
            <w:r w:rsidRPr="00F77964">
              <w:rPr>
                <w:rFonts w:eastAsia="SimSun"/>
                <w:sz w:val="18"/>
                <w:szCs w:val="18"/>
                <w:lang w:eastAsia="zh-CN"/>
              </w:rPr>
              <w:t>2015</w:t>
            </w:r>
          </w:p>
        </w:tc>
        <w:tc>
          <w:tcPr>
            <w:tcW w:w="3317" w:type="dxa"/>
            <w:vMerge w:val="restart"/>
            <w:tcBorders>
              <w:top w:val="single" w:sz="4" w:space="0" w:color="auto"/>
              <w:left w:val="single" w:sz="4" w:space="0" w:color="auto"/>
              <w:bottom w:val="single" w:sz="4" w:space="0" w:color="auto"/>
              <w:right w:val="single" w:sz="4" w:space="0" w:color="auto"/>
            </w:tcBorders>
            <w:hideMark/>
          </w:tcPr>
          <w:p w:rsidR="00A16F3C" w:rsidRPr="00F77964" w:rsidRDefault="00736DC5" w:rsidP="006D272C">
            <w:pPr>
              <w:pStyle w:val="Normal-pool"/>
              <w:keepNext/>
              <w:keepLines/>
              <w:spacing w:before="40" w:after="40"/>
              <w:rPr>
                <w:rFonts w:eastAsia="SimSun"/>
                <w:sz w:val="18"/>
                <w:szCs w:val="18"/>
                <w:lang w:eastAsia="zh-CN"/>
              </w:rPr>
            </w:pPr>
            <w:r w:rsidRPr="00F77964">
              <w:rPr>
                <w:rFonts w:eastAsia="SimSun"/>
                <w:sz w:val="18"/>
                <w:szCs w:val="18"/>
                <w:lang w:eastAsia="zh-CN"/>
              </w:rPr>
              <w:t>Deuxième réunion des auteurs</w:t>
            </w:r>
            <w:r w:rsidR="00A16F3C" w:rsidRPr="00F77964">
              <w:rPr>
                <w:rFonts w:eastAsia="SimSun"/>
                <w:sz w:val="18"/>
                <w:szCs w:val="18"/>
                <w:lang w:eastAsia="zh-CN"/>
              </w:rPr>
              <w:t xml:space="preserve"> (80</w:t>
            </w:r>
            <w:r w:rsidRPr="00F77964">
              <w:rPr>
                <w:rFonts w:eastAsia="SimSun"/>
                <w:sz w:val="18"/>
                <w:szCs w:val="18"/>
                <w:lang w:eastAsia="zh-CN"/>
              </w:rPr>
              <w:t> </w:t>
            </w:r>
            <w:r w:rsidR="006E337B">
              <w:rPr>
                <w:rFonts w:eastAsia="SimSun"/>
                <w:sz w:val="18"/>
                <w:szCs w:val="18"/>
                <w:lang w:eastAsia="zh-CN"/>
              </w:rPr>
              <w:t>coprésidents</w:t>
            </w:r>
            <w:r w:rsidRPr="00F77964">
              <w:rPr>
                <w:rFonts w:eastAsia="SimSun"/>
                <w:sz w:val="18"/>
                <w:szCs w:val="18"/>
                <w:lang w:eastAsia="zh-CN"/>
              </w:rPr>
              <w:t>, auteurs coordonnateurs principaux et auteurs principaux</w:t>
            </w:r>
            <w:r w:rsidR="00C673C7">
              <w:rPr>
                <w:rFonts w:eastAsia="SimSun"/>
                <w:sz w:val="18"/>
                <w:szCs w:val="18"/>
                <w:lang w:eastAsia="zh-CN"/>
              </w:rPr>
              <w:t xml:space="preserve"> + </w:t>
            </w:r>
            <w:r w:rsidRPr="00F77964">
              <w:rPr>
                <w:rFonts w:eastAsia="SimSun"/>
                <w:sz w:val="18"/>
                <w:szCs w:val="18"/>
                <w:lang w:eastAsia="zh-CN"/>
              </w:rPr>
              <w:t>16 </w:t>
            </w:r>
            <w:r w:rsidR="00F77964" w:rsidRPr="00F77964">
              <w:rPr>
                <w:rFonts w:eastAsia="SimSun"/>
                <w:sz w:val="18"/>
                <w:szCs w:val="18"/>
                <w:lang w:eastAsia="zh-CN"/>
              </w:rPr>
              <w:t>éditeurs</w:t>
            </w:r>
            <w:r w:rsidRPr="00F77964">
              <w:rPr>
                <w:rFonts w:eastAsia="SimSun"/>
                <w:sz w:val="18"/>
                <w:szCs w:val="18"/>
                <w:lang w:eastAsia="zh-CN"/>
              </w:rPr>
              <w:t>-réviseurs</w:t>
            </w:r>
            <w:r w:rsidR="00C673C7">
              <w:rPr>
                <w:rFonts w:eastAsia="SimSun"/>
                <w:sz w:val="18"/>
                <w:szCs w:val="18"/>
                <w:lang w:eastAsia="zh-CN"/>
              </w:rPr>
              <w:t xml:space="preserve"> + </w:t>
            </w:r>
            <w:r w:rsidRPr="00F77964">
              <w:rPr>
                <w:rFonts w:eastAsia="SimSun"/>
                <w:sz w:val="18"/>
                <w:szCs w:val="18"/>
                <w:lang w:eastAsia="zh-CN"/>
              </w:rPr>
              <w:t>4 membres du Groupe d’experts multidisciplinaire/Bureau</w:t>
            </w:r>
            <w:r w:rsidR="00C673C7">
              <w:rPr>
                <w:rFonts w:eastAsia="SimSun"/>
                <w:sz w:val="18"/>
                <w:szCs w:val="18"/>
                <w:lang w:eastAsia="zh-CN"/>
              </w:rPr>
              <w:t xml:space="preserve"> + </w:t>
            </w:r>
            <w:r w:rsidRPr="00F77964">
              <w:rPr>
                <w:rFonts w:eastAsia="SimSun"/>
                <w:sz w:val="18"/>
                <w:szCs w:val="18"/>
                <w:lang w:eastAsia="zh-CN"/>
              </w:rPr>
              <w:t>1 membre du personnel d’appui technique</w:t>
            </w:r>
            <w:r w:rsidR="00A16F3C" w:rsidRPr="00F77964">
              <w:rPr>
                <w:rFonts w:eastAsia="SimSun"/>
                <w:sz w:val="18"/>
                <w:szCs w:val="18"/>
                <w:lang w:eastAsia="zh-CN"/>
              </w:rPr>
              <w:t>)</w:t>
            </w:r>
          </w:p>
        </w:tc>
        <w:tc>
          <w:tcPr>
            <w:tcW w:w="3046" w:type="dxa"/>
            <w:tcBorders>
              <w:top w:val="single" w:sz="4" w:space="0" w:color="auto"/>
              <w:left w:val="single" w:sz="4" w:space="0" w:color="auto"/>
              <w:bottom w:val="single" w:sz="4" w:space="0" w:color="auto"/>
              <w:right w:val="single" w:sz="4" w:space="0" w:color="auto"/>
            </w:tcBorders>
            <w:hideMark/>
          </w:tcPr>
          <w:p w:rsidR="00A16F3C" w:rsidRPr="00F77964" w:rsidRDefault="001C198E" w:rsidP="006D272C">
            <w:pPr>
              <w:pStyle w:val="Normal-pool"/>
              <w:keepNext/>
              <w:keepLines/>
              <w:spacing w:before="40" w:after="40"/>
              <w:rPr>
                <w:rFonts w:eastAsia="SimSun"/>
                <w:sz w:val="18"/>
                <w:szCs w:val="18"/>
                <w:lang w:eastAsia="zh-CN"/>
              </w:rPr>
            </w:pPr>
            <w:r w:rsidRPr="00F77964">
              <w:rPr>
                <w:rFonts w:eastAsia="SimSun"/>
                <w:sz w:val="18"/>
                <w:szCs w:val="18"/>
                <w:lang w:eastAsia="zh-CN"/>
              </w:rPr>
              <w:t>Coûts de la réunion (1 semaine, 101 participants) (25 % en nature)</w:t>
            </w:r>
          </w:p>
        </w:tc>
        <w:tc>
          <w:tcPr>
            <w:tcW w:w="921" w:type="dxa"/>
            <w:tcBorders>
              <w:top w:val="single" w:sz="4" w:space="0" w:color="auto"/>
              <w:left w:val="single" w:sz="4" w:space="0" w:color="auto"/>
              <w:bottom w:val="single" w:sz="4" w:space="0" w:color="auto"/>
              <w:right w:val="single" w:sz="4" w:space="0" w:color="auto"/>
            </w:tcBorders>
            <w:hideMark/>
          </w:tcPr>
          <w:p w:rsidR="00A16F3C" w:rsidRPr="00F77964" w:rsidRDefault="00A16F3C" w:rsidP="006D272C">
            <w:pPr>
              <w:pStyle w:val="Normal-pool"/>
              <w:keepNext/>
              <w:keepLines/>
              <w:spacing w:before="40" w:after="40"/>
              <w:rPr>
                <w:rFonts w:eastAsia="SimSun"/>
                <w:sz w:val="18"/>
                <w:szCs w:val="18"/>
                <w:lang w:eastAsia="zh-CN"/>
              </w:rPr>
            </w:pPr>
            <w:r w:rsidRPr="00F77964">
              <w:rPr>
                <w:rFonts w:eastAsia="SimSun"/>
                <w:sz w:val="18"/>
                <w:szCs w:val="18"/>
                <w:lang w:eastAsia="zh-CN"/>
              </w:rPr>
              <w:t>18</w:t>
            </w:r>
            <w:r w:rsidR="009D1370" w:rsidRPr="00F77964">
              <w:rPr>
                <w:rFonts w:eastAsia="SimSun"/>
                <w:sz w:val="18"/>
                <w:szCs w:val="18"/>
                <w:lang w:eastAsia="zh-CN"/>
              </w:rPr>
              <w:t> </w:t>
            </w:r>
            <w:r w:rsidRPr="00F77964">
              <w:rPr>
                <w:rFonts w:eastAsia="SimSun"/>
                <w:sz w:val="18"/>
                <w:szCs w:val="18"/>
                <w:lang w:eastAsia="zh-CN"/>
              </w:rPr>
              <w:t>750</w:t>
            </w:r>
          </w:p>
        </w:tc>
      </w:tr>
      <w:tr w:rsidR="00A16F3C" w:rsidRPr="0061490E" w:rsidTr="006D272C">
        <w:trPr>
          <w:trHeight w:val="361"/>
        </w:trPr>
        <w:tc>
          <w:tcPr>
            <w:tcW w:w="0" w:type="auto"/>
            <w:vMerge/>
            <w:tcBorders>
              <w:top w:val="single" w:sz="4" w:space="0" w:color="auto"/>
              <w:left w:val="single" w:sz="4" w:space="0" w:color="auto"/>
              <w:bottom w:val="single" w:sz="4" w:space="0" w:color="auto"/>
              <w:right w:val="single" w:sz="4" w:space="0" w:color="auto"/>
            </w:tcBorders>
            <w:hideMark/>
          </w:tcPr>
          <w:p w:rsidR="00A16F3C" w:rsidRPr="0061490E" w:rsidRDefault="00A16F3C" w:rsidP="006D272C">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A16F3C" w:rsidRPr="0061490E" w:rsidRDefault="00A16F3C" w:rsidP="006D272C">
            <w:pPr>
              <w:rPr>
                <w:rFonts w:eastAsia="SimSun"/>
                <w:sz w:val="18"/>
                <w:szCs w:val="18"/>
                <w:lang w:eastAsia="zh-CN"/>
              </w:rPr>
            </w:pPr>
          </w:p>
        </w:tc>
        <w:tc>
          <w:tcPr>
            <w:tcW w:w="3046" w:type="dxa"/>
            <w:tcBorders>
              <w:top w:val="single" w:sz="4" w:space="0" w:color="auto"/>
              <w:left w:val="single" w:sz="4" w:space="0" w:color="auto"/>
              <w:bottom w:val="single" w:sz="4" w:space="0" w:color="auto"/>
              <w:right w:val="single" w:sz="4" w:space="0" w:color="auto"/>
            </w:tcBorders>
            <w:hideMark/>
          </w:tcPr>
          <w:p w:rsidR="00A16F3C" w:rsidRPr="00F77964" w:rsidRDefault="00D972E8" w:rsidP="006D272C">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001C198E" w:rsidRPr="00F77964">
              <w:rPr>
                <w:rFonts w:eastAsia="SimSun"/>
                <w:sz w:val="18"/>
                <w:szCs w:val="18"/>
                <w:lang w:eastAsia="zh-CN"/>
              </w:rPr>
              <w:t xml:space="preserve"> (75 x 3 000 dollars)</w:t>
            </w:r>
          </w:p>
        </w:tc>
        <w:tc>
          <w:tcPr>
            <w:tcW w:w="921" w:type="dxa"/>
            <w:tcBorders>
              <w:top w:val="single" w:sz="4" w:space="0" w:color="auto"/>
              <w:left w:val="single" w:sz="4" w:space="0" w:color="auto"/>
              <w:bottom w:val="single" w:sz="4" w:space="0" w:color="auto"/>
              <w:right w:val="single" w:sz="4" w:space="0" w:color="auto"/>
            </w:tcBorders>
            <w:hideMark/>
          </w:tcPr>
          <w:p w:rsidR="00A16F3C" w:rsidRPr="00F77964" w:rsidRDefault="00A16F3C" w:rsidP="006D272C">
            <w:pPr>
              <w:pStyle w:val="Normal-pool"/>
              <w:spacing w:before="40" w:after="40"/>
              <w:rPr>
                <w:rFonts w:eastAsia="SimSun"/>
                <w:sz w:val="18"/>
                <w:szCs w:val="18"/>
                <w:lang w:eastAsia="zh-CN"/>
              </w:rPr>
            </w:pPr>
            <w:r w:rsidRPr="00F77964">
              <w:rPr>
                <w:rFonts w:eastAsia="SimSun"/>
                <w:sz w:val="18"/>
                <w:szCs w:val="18"/>
                <w:lang w:eastAsia="zh-CN"/>
              </w:rPr>
              <w:t>225</w:t>
            </w:r>
            <w:r w:rsidR="009D1370" w:rsidRPr="00F77964">
              <w:rPr>
                <w:rFonts w:eastAsia="SimSun"/>
                <w:sz w:val="18"/>
                <w:szCs w:val="18"/>
                <w:lang w:eastAsia="zh-CN"/>
              </w:rPr>
              <w:t> </w:t>
            </w:r>
            <w:r w:rsidRPr="00F77964">
              <w:rPr>
                <w:rFonts w:eastAsia="SimSun"/>
                <w:sz w:val="18"/>
                <w:szCs w:val="18"/>
                <w:lang w:eastAsia="zh-CN"/>
              </w:rPr>
              <w:t>000</w:t>
            </w:r>
          </w:p>
        </w:tc>
      </w:tr>
      <w:tr w:rsidR="00A16F3C" w:rsidRPr="0061490E" w:rsidTr="006D272C">
        <w:tc>
          <w:tcPr>
            <w:tcW w:w="0" w:type="auto"/>
            <w:vMerge/>
            <w:tcBorders>
              <w:top w:val="single" w:sz="4" w:space="0" w:color="auto"/>
              <w:left w:val="single" w:sz="4" w:space="0" w:color="auto"/>
              <w:bottom w:val="single" w:sz="4" w:space="0" w:color="auto"/>
              <w:right w:val="single" w:sz="4" w:space="0" w:color="auto"/>
            </w:tcBorders>
            <w:hideMark/>
          </w:tcPr>
          <w:p w:rsidR="00A16F3C" w:rsidRPr="0061490E" w:rsidRDefault="00A16F3C" w:rsidP="006D272C">
            <w:pPr>
              <w:rPr>
                <w:rFonts w:eastAsia="SimSun"/>
                <w:sz w:val="18"/>
                <w:szCs w:val="18"/>
                <w:lang w:eastAsia="zh-CN"/>
              </w:rPr>
            </w:pPr>
          </w:p>
        </w:tc>
        <w:tc>
          <w:tcPr>
            <w:tcW w:w="3317" w:type="dxa"/>
            <w:vMerge w:val="restart"/>
            <w:tcBorders>
              <w:top w:val="single" w:sz="4" w:space="0" w:color="auto"/>
              <w:left w:val="single" w:sz="4" w:space="0" w:color="auto"/>
              <w:bottom w:val="single" w:sz="4" w:space="0" w:color="auto"/>
              <w:right w:val="single" w:sz="4" w:space="0" w:color="auto"/>
            </w:tcBorders>
            <w:hideMark/>
          </w:tcPr>
          <w:p w:rsidR="00A16F3C" w:rsidRPr="00F77964" w:rsidRDefault="00A16F3C" w:rsidP="006D272C">
            <w:pPr>
              <w:pStyle w:val="Normal-pool"/>
              <w:spacing w:before="40" w:after="40"/>
              <w:rPr>
                <w:rFonts w:eastAsia="SimSun"/>
                <w:sz w:val="18"/>
                <w:szCs w:val="18"/>
                <w:lang w:eastAsia="zh-CN"/>
              </w:rPr>
            </w:pPr>
            <w:r w:rsidRPr="00F77964">
              <w:rPr>
                <w:rFonts w:eastAsia="SimSun"/>
                <w:sz w:val="18"/>
                <w:szCs w:val="18"/>
                <w:lang w:eastAsia="zh-CN"/>
              </w:rPr>
              <w:t>T</w:t>
            </w:r>
            <w:r w:rsidR="00736DC5" w:rsidRPr="00F77964">
              <w:rPr>
                <w:rFonts w:eastAsia="SimSun"/>
                <w:sz w:val="18"/>
                <w:szCs w:val="18"/>
                <w:lang w:eastAsia="zh-CN"/>
              </w:rPr>
              <w:t>roisième réunion des auteurs</w:t>
            </w:r>
            <w:r w:rsidRPr="00F77964">
              <w:rPr>
                <w:rFonts w:eastAsia="SimSun"/>
                <w:sz w:val="18"/>
                <w:szCs w:val="18"/>
                <w:lang w:eastAsia="zh-CN"/>
              </w:rPr>
              <w:t xml:space="preserve"> (80</w:t>
            </w:r>
            <w:r w:rsidR="00736DC5" w:rsidRPr="00F77964">
              <w:rPr>
                <w:rFonts w:eastAsia="SimSun"/>
                <w:sz w:val="18"/>
                <w:szCs w:val="18"/>
                <w:lang w:eastAsia="zh-CN"/>
              </w:rPr>
              <w:t> </w:t>
            </w:r>
            <w:r w:rsidR="006E337B">
              <w:rPr>
                <w:rFonts w:eastAsia="SimSun"/>
                <w:sz w:val="18"/>
                <w:szCs w:val="18"/>
                <w:lang w:eastAsia="zh-CN"/>
              </w:rPr>
              <w:t>coprésidents</w:t>
            </w:r>
            <w:r w:rsidR="00736DC5" w:rsidRPr="00F77964">
              <w:rPr>
                <w:rFonts w:eastAsia="SimSun"/>
                <w:sz w:val="18"/>
                <w:szCs w:val="18"/>
                <w:lang w:eastAsia="zh-CN"/>
              </w:rPr>
              <w:t>, auteurs coordonnateurs principaux et auteurs principaux</w:t>
            </w:r>
            <w:r w:rsidR="00C673C7">
              <w:rPr>
                <w:rFonts w:eastAsia="SimSun"/>
                <w:sz w:val="18"/>
                <w:szCs w:val="18"/>
                <w:lang w:eastAsia="zh-CN"/>
              </w:rPr>
              <w:t xml:space="preserve"> + </w:t>
            </w:r>
            <w:r w:rsidR="00736DC5" w:rsidRPr="00F77964">
              <w:rPr>
                <w:rFonts w:eastAsia="SimSun"/>
                <w:sz w:val="18"/>
                <w:szCs w:val="18"/>
                <w:lang w:eastAsia="zh-CN"/>
              </w:rPr>
              <w:t>16 éditeurs-réviseurs</w:t>
            </w:r>
            <w:r w:rsidR="00C673C7">
              <w:rPr>
                <w:rFonts w:eastAsia="SimSun"/>
                <w:sz w:val="18"/>
                <w:szCs w:val="18"/>
                <w:lang w:eastAsia="zh-CN"/>
              </w:rPr>
              <w:t xml:space="preserve"> + </w:t>
            </w:r>
            <w:r w:rsidR="00736DC5" w:rsidRPr="00F77964">
              <w:rPr>
                <w:rFonts w:eastAsia="SimSun"/>
                <w:sz w:val="18"/>
                <w:szCs w:val="18"/>
                <w:lang w:eastAsia="zh-CN"/>
              </w:rPr>
              <w:t>4 membres du Groupe d’experts multidisciplinaire/Bureau</w:t>
            </w:r>
            <w:r w:rsidR="00C673C7">
              <w:rPr>
                <w:rFonts w:eastAsia="SimSun"/>
                <w:sz w:val="18"/>
                <w:szCs w:val="18"/>
                <w:lang w:eastAsia="zh-CN"/>
              </w:rPr>
              <w:t xml:space="preserve"> + </w:t>
            </w:r>
            <w:r w:rsidR="00736DC5" w:rsidRPr="00F77964">
              <w:rPr>
                <w:rFonts w:eastAsia="SimSun"/>
                <w:sz w:val="18"/>
                <w:szCs w:val="18"/>
                <w:lang w:eastAsia="zh-CN"/>
              </w:rPr>
              <w:t>1 membre du personnel d’appui technique)</w:t>
            </w:r>
          </w:p>
        </w:tc>
        <w:tc>
          <w:tcPr>
            <w:tcW w:w="3046" w:type="dxa"/>
            <w:tcBorders>
              <w:top w:val="single" w:sz="4" w:space="0" w:color="auto"/>
              <w:left w:val="single" w:sz="4" w:space="0" w:color="auto"/>
              <w:bottom w:val="single" w:sz="4" w:space="0" w:color="auto"/>
              <w:right w:val="single" w:sz="4" w:space="0" w:color="auto"/>
            </w:tcBorders>
            <w:hideMark/>
          </w:tcPr>
          <w:p w:rsidR="00A16F3C" w:rsidRPr="00F77964" w:rsidRDefault="001C198E" w:rsidP="006D272C">
            <w:pPr>
              <w:pStyle w:val="Normal-pool"/>
              <w:spacing w:before="40" w:after="40"/>
              <w:rPr>
                <w:rFonts w:eastAsia="SimSun"/>
                <w:sz w:val="18"/>
                <w:szCs w:val="18"/>
                <w:lang w:eastAsia="zh-CN"/>
              </w:rPr>
            </w:pPr>
            <w:r w:rsidRPr="00F77964">
              <w:rPr>
                <w:rFonts w:eastAsia="SimSun"/>
                <w:sz w:val="18"/>
                <w:szCs w:val="18"/>
                <w:lang w:eastAsia="zh-CN"/>
              </w:rPr>
              <w:t>Coûts de la réunion (1 semaine, 101 participants) (25 % en nature)</w:t>
            </w:r>
          </w:p>
        </w:tc>
        <w:tc>
          <w:tcPr>
            <w:tcW w:w="921" w:type="dxa"/>
            <w:tcBorders>
              <w:top w:val="single" w:sz="4" w:space="0" w:color="auto"/>
              <w:left w:val="single" w:sz="4" w:space="0" w:color="auto"/>
              <w:bottom w:val="single" w:sz="4" w:space="0" w:color="auto"/>
              <w:right w:val="single" w:sz="4" w:space="0" w:color="auto"/>
            </w:tcBorders>
            <w:hideMark/>
          </w:tcPr>
          <w:p w:rsidR="00A16F3C" w:rsidRPr="00F77964" w:rsidRDefault="00A16F3C" w:rsidP="006D272C">
            <w:pPr>
              <w:pStyle w:val="Normal-pool"/>
              <w:spacing w:before="40" w:after="40"/>
              <w:rPr>
                <w:rFonts w:eastAsia="SimSun"/>
                <w:sz w:val="18"/>
                <w:szCs w:val="18"/>
                <w:lang w:eastAsia="zh-CN"/>
              </w:rPr>
            </w:pPr>
            <w:r w:rsidRPr="00F77964">
              <w:rPr>
                <w:rFonts w:eastAsia="SimSun"/>
                <w:sz w:val="18"/>
                <w:szCs w:val="18"/>
                <w:lang w:eastAsia="zh-CN"/>
              </w:rPr>
              <w:t>18</w:t>
            </w:r>
            <w:r w:rsidR="009D1370" w:rsidRPr="00F77964">
              <w:rPr>
                <w:rFonts w:eastAsia="SimSun"/>
                <w:sz w:val="18"/>
                <w:szCs w:val="18"/>
                <w:lang w:eastAsia="zh-CN"/>
              </w:rPr>
              <w:t> </w:t>
            </w:r>
            <w:r w:rsidRPr="00F77964">
              <w:rPr>
                <w:rFonts w:eastAsia="SimSun"/>
                <w:sz w:val="18"/>
                <w:szCs w:val="18"/>
                <w:lang w:eastAsia="zh-CN"/>
              </w:rPr>
              <w:t>750</w:t>
            </w:r>
          </w:p>
        </w:tc>
      </w:tr>
      <w:tr w:rsidR="00A16F3C" w:rsidRPr="0061490E" w:rsidTr="006D272C">
        <w:trPr>
          <w:trHeight w:val="339"/>
        </w:trPr>
        <w:tc>
          <w:tcPr>
            <w:tcW w:w="0" w:type="auto"/>
            <w:vMerge/>
            <w:tcBorders>
              <w:top w:val="single" w:sz="4" w:space="0" w:color="auto"/>
              <w:left w:val="single" w:sz="4" w:space="0" w:color="auto"/>
              <w:bottom w:val="single" w:sz="4" w:space="0" w:color="auto"/>
              <w:right w:val="single" w:sz="4" w:space="0" w:color="auto"/>
            </w:tcBorders>
            <w:hideMark/>
          </w:tcPr>
          <w:p w:rsidR="00A16F3C" w:rsidRPr="0061490E" w:rsidRDefault="00A16F3C" w:rsidP="006D272C">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A16F3C" w:rsidRPr="0061490E" w:rsidRDefault="00A16F3C" w:rsidP="006D272C">
            <w:pPr>
              <w:rPr>
                <w:rFonts w:eastAsia="SimSun"/>
                <w:sz w:val="18"/>
                <w:szCs w:val="18"/>
                <w:lang w:eastAsia="zh-CN"/>
              </w:rPr>
            </w:pPr>
          </w:p>
        </w:tc>
        <w:tc>
          <w:tcPr>
            <w:tcW w:w="3046" w:type="dxa"/>
            <w:tcBorders>
              <w:top w:val="single" w:sz="4" w:space="0" w:color="auto"/>
              <w:left w:val="single" w:sz="4" w:space="0" w:color="auto"/>
              <w:bottom w:val="single" w:sz="4" w:space="0" w:color="auto"/>
              <w:right w:val="single" w:sz="4" w:space="0" w:color="auto"/>
            </w:tcBorders>
            <w:hideMark/>
          </w:tcPr>
          <w:p w:rsidR="00A16F3C" w:rsidRPr="00F77964" w:rsidRDefault="00D972E8" w:rsidP="006D272C">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001C198E" w:rsidRPr="00F77964">
              <w:rPr>
                <w:rFonts w:eastAsia="SimSun"/>
                <w:sz w:val="18"/>
                <w:szCs w:val="18"/>
                <w:lang w:eastAsia="zh-CN"/>
              </w:rPr>
              <w:t xml:space="preserve"> (75 x 3 000 dollars)</w:t>
            </w:r>
          </w:p>
        </w:tc>
        <w:tc>
          <w:tcPr>
            <w:tcW w:w="921" w:type="dxa"/>
            <w:tcBorders>
              <w:top w:val="single" w:sz="4" w:space="0" w:color="auto"/>
              <w:left w:val="single" w:sz="4" w:space="0" w:color="auto"/>
              <w:bottom w:val="single" w:sz="4" w:space="0" w:color="auto"/>
              <w:right w:val="single" w:sz="4" w:space="0" w:color="auto"/>
            </w:tcBorders>
            <w:hideMark/>
          </w:tcPr>
          <w:p w:rsidR="00A16F3C" w:rsidRPr="00F77964" w:rsidRDefault="00A16F3C" w:rsidP="006D272C">
            <w:pPr>
              <w:pStyle w:val="Normal-pool"/>
              <w:spacing w:before="40" w:after="40"/>
              <w:rPr>
                <w:rFonts w:eastAsia="SimSun"/>
                <w:sz w:val="18"/>
                <w:szCs w:val="18"/>
                <w:lang w:eastAsia="zh-CN"/>
              </w:rPr>
            </w:pPr>
            <w:r w:rsidRPr="00F77964">
              <w:rPr>
                <w:rFonts w:eastAsia="SimSun"/>
                <w:sz w:val="18"/>
                <w:szCs w:val="18"/>
                <w:lang w:eastAsia="zh-CN"/>
              </w:rPr>
              <w:t>225</w:t>
            </w:r>
            <w:r w:rsidR="009D1370" w:rsidRPr="00F77964">
              <w:rPr>
                <w:rFonts w:eastAsia="SimSun"/>
                <w:sz w:val="18"/>
                <w:szCs w:val="18"/>
                <w:lang w:eastAsia="zh-CN"/>
              </w:rPr>
              <w:t> </w:t>
            </w:r>
            <w:r w:rsidRPr="00F77964">
              <w:rPr>
                <w:rFonts w:eastAsia="SimSun"/>
                <w:sz w:val="18"/>
                <w:szCs w:val="18"/>
                <w:lang w:eastAsia="zh-CN"/>
              </w:rPr>
              <w:t>000</w:t>
            </w:r>
          </w:p>
        </w:tc>
      </w:tr>
      <w:tr w:rsidR="00A16F3C" w:rsidRPr="0061490E" w:rsidTr="006D272C">
        <w:trPr>
          <w:trHeight w:val="361"/>
        </w:trPr>
        <w:tc>
          <w:tcPr>
            <w:tcW w:w="0" w:type="auto"/>
            <w:vMerge/>
            <w:tcBorders>
              <w:top w:val="single" w:sz="4" w:space="0" w:color="auto"/>
              <w:left w:val="single" w:sz="4" w:space="0" w:color="auto"/>
              <w:bottom w:val="single" w:sz="4" w:space="0" w:color="auto"/>
              <w:right w:val="single" w:sz="4" w:space="0" w:color="auto"/>
            </w:tcBorders>
            <w:hideMark/>
          </w:tcPr>
          <w:p w:rsidR="00A16F3C" w:rsidRPr="0061490E" w:rsidRDefault="00A16F3C" w:rsidP="006D272C">
            <w:pPr>
              <w:rPr>
                <w:rFonts w:eastAsia="SimSun"/>
                <w:sz w:val="18"/>
                <w:szCs w:val="18"/>
                <w:lang w:eastAsia="zh-CN"/>
              </w:rPr>
            </w:pPr>
          </w:p>
        </w:tc>
        <w:tc>
          <w:tcPr>
            <w:tcW w:w="3317" w:type="dxa"/>
            <w:tcBorders>
              <w:top w:val="single" w:sz="4" w:space="0" w:color="auto"/>
              <w:left w:val="single" w:sz="4" w:space="0" w:color="auto"/>
              <w:bottom w:val="single" w:sz="4" w:space="0" w:color="auto"/>
              <w:right w:val="single" w:sz="4" w:space="0" w:color="auto"/>
            </w:tcBorders>
            <w:hideMark/>
          </w:tcPr>
          <w:p w:rsidR="00A16F3C" w:rsidRPr="00F77964" w:rsidRDefault="00736DC5" w:rsidP="006D272C">
            <w:pPr>
              <w:pStyle w:val="Normal-pool"/>
              <w:spacing w:before="40" w:after="40"/>
              <w:rPr>
                <w:rFonts w:eastAsia="SimSun"/>
                <w:sz w:val="18"/>
                <w:szCs w:val="18"/>
                <w:lang w:eastAsia="zh-CN"/>
              </w:rPr>
            </w:pPr>
            <w:r w:rsidRPr="00F77964">
              <w:rPr>
                <w:rFonts w:eastAsia="SimSun"/>
                <w:sz w:val="18"/>
                <w:szCs w:val="18"/>
                <w:lang w:eastAsia="zh-CN"/>
              </w:rPr>
              <w:t>Appui technique</w:t>
            </w:r>
          </w:p>
        </w:tc>
        <w:tc>
          <w:tcPr>
            <w:tcW w:w="3046" w:type="dxa"/>
            <w:tcBorders>
              <w:top w:val="single" w:sz="4" w:space="0" w:color="auto"/>
              <w:left w:val="single" w:sz="4" w:space="0" w:color="auto"/>
              <w:bottom w:val="single" w:sz="4" w:space="0" w:color="auto"/>
              <w:right w:val="single" w:sz="4" w:space="0" w:color="auto"/>
            </w:tcBorders>
            <w:hideMark/>
          </w:tcPr>
          <w:p w:rsidR="00A16F3C" w:rsidRPr="00F77964" w:rsidRDefault="001C198E" w:rsidP="006D272C">
            <w:pPr>
              <w:pStyle w:val="Normal-pool"/>
              <w:spacing w:before="40" w:after="40"/>
              <w:rPr>
                <w:rFonts w:eastAsia="SimSun"/>
                <w:sz w:val="18"/>
                <w:szCs w:val="18"/>
                <w:lang w:eastAsia="zh-CN"/>
              </w:rPr>
            </w:pPr>
            <w:r w:rsidRPr="00F77964">
              <w:rPr>
                <w:rFonts w:eastAsia="SimSun"/>
                <w:sz w:val="18"/>
                <w:szCs w:val="18"/>
                <w:lang w:eastAsia="zh-CN"/>
              </w:rPr>
              <w:t>1 poste d’administrateur équivalent plein temps (50 % en nature)</w:t>
            </w:r>
          </w:p>
        </w:tc>
        <w:tc>
          <w:tcPr>
            <w:tcW w:w="921" w:type="dxa"/>
            <w:tcBorders>
              <w:top w:val="single" w:sz="4" w:space="0" w:color="auto"/>
              <w:left w:val="single" w:sz="4" w:space="0" w:color="auto"/>
              <w:bottom w:val="single" w:sz="4" w:space="0" w:color="auto"/>
              <w:right w:val="single" w:sz="4" w:space="0" w:color="auto"/>
            </w:tcBorders>
            <w:hideMark/>
          </w:tcPr>
          <w:p w:rsidR="00A16F3C" w:rsidRPr="00F77964" w:rsidRDefault="00A16F3C" w:rsidP="006D272C">
            <w:pPr>
              <w:pStyle w:val="Normal-pool"/>
              <w:spacing w:before="40" w:after="40"/>
              <w:rPr>
                <w:rFonts w:eastAsia="SimSun"/>
                <w:sz w:val="18"/>
                <w:szCs w:val="18"/>
                <w:lang w:eastAsia="zh-CN"/>
              </w:rPr>
            </w:pPr>
            <w:r w:rsidRPr="00F77964">
              <w:rPr>
                <w:rFonts w:eastAsia="SimSun"/>
                <w:sz w:val="18"/>
                <w:szCs w:val="18"/>
                <w:lang w:eastAsia="zh-CN"/>
              </w:rPr>
              <w:t>75</w:t>
            </w:r>
            <w:r w:rsidR="009D1370" w:rsidRPr="00F77964">
              <w:rPr>
                <w:rFonts w:eastAsia="SimSun"/>
                <w:sz w:val="18"/>
                <w:szCs w:val="18"/>
                <w:lang w:eastAsia="zh-CN"/>
              </w:rPr>
              <w:t> </w:t>
            </w:r>
            <w:r w:rsidRPr="00F77964">
              <w:rPr>
                <w:rFonts w:eastAsia="SimSun"/>
                <w:sz w:val="18"/>
                <w:szCs w:val="18"/>
                <w:lang w:eastAsia="zh-CN"/>
              </w:rPr>
              <w:t>000</w:t>
            </w:r>
          </w:p>
        </w:tc>
      </w:tr>
      <w:tr w:rsidR="00A16F3C" w:rsidRPr="0061490E" w:rsidTr="006D272C">
        <w:trPr>
          <w:trHeight w:val="357"/>
        </w:trPr>
        <w:tc>
          <w:tcPr>
            <w:tcW w:w="710" w:type="dxa"/>
            <w:vMerge w:val="restart"/>
            <w:tcBorders>
              <w:top w:val="single" w:sz="4" w:space="0" w:color="auto"/>
              <w:left w:val="single" w:sz="4" w:space="0" w:color="auto"/>
              <w:bottom w:val="single" w:sz="4" w:space="0" w:color="auto"/>
              <w:right w:val="single" w:sz="4" w:space="0" w:color="auto"/>
            </w:tcBorders>
            <w:hideMark/>
          </w:tcPr>
          <w:p w:rsidR="00A16F3C" w:rsidRPr="00F77964" w:rsidRDefault="00A16F3C" w:rsidP="006D272C">
            <w:pPr>
              <w:pStyle w:val="Normal-pool"/>
              <w:spacing w:before="40" w:after="40"/>
              <w:rPr>
                <w:rFonts w:eastAsia="SimSun"/>
                <w:sz w:val="18"/>
                <w:szCs w:val="18"/>
                <w:lang w:eastAsia="zh-CN"/>
              </w:rPr>
            </w:pPr>
            <w:r w:rsidRPr="00F77964">
              <w:rPr>
                <w:rFonts w:eastAsia="SimSun"/>
                <w:sz w:val="18"/>
                <w:szCs w:val="18"/>
                <w:lang w:eastAsia="zh-CN"/>
              </w:rPr>
              <w:t>2016</w:t>
            </w:r>
          </w:p>
        </w:tc>
        <w:tc>
          <w:tcPr>
            <w:tcW w:w="3317" w:type="dxa"/>
            <w:tcBorders>
              <w:top w:val="single" w:sz="4" w:space="0" w:color="auto"/>
              <w:left w:val="single" w:sz="4" w:space="0" w:color="auto"/>
              <w:bottom w:val="single" w:sz="4" w:space="0" w:color="auto"/>
              <w:right w:val="single" w:sz="4" w:space="0" w:color="auto"/>
            </w:tcBorders>
            <w:hideMark/>
          </w:tcPr>
          <w:p w:rsidR="00A16F3C" w:rsidRPr="00F77964" w:rsidRDefault="00736DC5" w:rsidP="006D272C">
            <w:pPr>
              <w:pStyle w:val="Normal-pool"/>
              <w:spacing w:before="40" w:after="40"/>
              <w:rPr>
                <w:rFonts w:eastAsia="SimSun"/>
                <w:sz w:val="18"/>
                <w:szCs w:val="18"/>
                <w:lang w:eastAsia="zh-CN"/>
              </w:rPr>
            </w:pPr>
            <w:r w:rsidRPr="00F77964">
              <w:rPr>
                <w:rFonts w:eastAsia="SimSun"/>
                <w:sz w:val="18"/>
                <w:szCs w:val="18"/>
                <w:lang w:eastAsia="zh-CN"/>
              </w:rPr>
              <w:t xml:space="preserve">Participation </w:t>
            </w:r>
            <w:r w:rsidR="00D14348" w:rsidRPr="00F77964">
              <w:rPr>
                <w:rFonts w:eastAsia="SimSun"/>
                <w:sz w:val="18"/>
                <w:szCs w:val="18"/>
                <w:lang w:eastAsia="zh-CN"/>
              </w:rPr>
              <w:t>de</w:t>
            </w:r>
            <w:r w:rsidRPr="00F77964">
              <w:rPr>
                <w:rFonts w:eastAsia="SimSun"/>
                <w:sz w:val="18"/>
                <w:szCs w:val="18"/>
                <w:lang w:eastAsia="zh-CN"/>
              </w:rPr>
              <w:t xml:space="preserve"> 2 </w:t>
            </w:r>
            <w:r w:rsidR="006E337B">
              <w:rPr>
                <w:rFonts w:eastAsia="SimSun"/>
                <w:sz w:val="18"/>
                <w:szCs w:val="18"/>
                <w:lang w:eastAsia="zh-CN"/>
              </w:rPr>
              <w:t>coprésidents</w:t>
            </w:r>
            <w:r w:rsidRPr="00F77964">
              <w:rPr>
                <w:rFonts w:eastAsia="SimSun"/>
                <w:sz w:val="18"/>
                <w:szCs w:val="18"/>
                <w:lang w:eastAsia="zh-CN"/>
              </w:rPr>
              <w:t xml:space="preserve"> et 2 auteurs coordonnateurs principaux à la quatrième session de la Plénière</w:t>
            </w:r>
            <w:r w:rsidR="00A16F3C" w:rsidRPr="00F77964">
              <w:rPr>
                <w:rFonts w:eastAsia="SimSun"/>
                <w:sz w:val="18"/>
                <w:szCs w:val="18"/>
                <w:lang w:eastAsia="zh-CN"/>
              </w:rPr>
              <w:t xml:space="preserve"> </w:t>
            </w:r>
          </w:p>
        </w:tc>
        <w:tc>
          <w:tcPr>
            <w:tcW w:w="3046" w:type="dxa"/>
            <w:tcBorders>
              <w:top w:val="single" w:sz="4" w:space="0" w:color="auto"/>
              <w:left w:val="single" w:sz="4" w:space="0" w:color="auto"/>
              <w:bottom w:val="single" w:sz="4" w:space="0" w:color="auto"/>
              <w:right w:val="single" w:sz="4" w:space="0" w:color="auto"/>
            </w:tcBorders>
            <w:hideMark/>
          </w:tcPr>
          <w:p w:rsidR="00A16F3C" w:rsidRPr="00F77964" w:rsidRDefault="00D972E8" w:rsidP="006D272C">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001C198E" w:rsidRPr="00F77964">
              <w:rPr>
                <w:rFonts w:eastAsia="SimSun"/>
                <w:sz w:val="18"/>
                <w:szCs w:val="18"/>
                <w:lang w:eastAsia="zh-CN"/>
              </w:rPr>
              <w:t xml:space="preserve"> (3 x 3 000 dollars)</w:t>
            </w:r>
          </w:p>
        </w:tc>
        <w:tc>
          <w:tcPr>
            <w:tcW w:w="921" w:type="dxa"/>
            <w:tcBorders>
              <w:top w:val="single" w:sz="4" w:space="0" w:color="auto"/>
              <w:left w:val="single" w:sz="4" w:space="0" w:color="auto"/>
              <w:bottom w:val="single" w:sz="4" w:space="0" w:color="auto"/>
              <w:right w:val="single" w:sz="4" w:space="0" w:color="auto"/>
            </w:tcBorders>
            <w:hideMark/>
          </w:tcPr>
          <w:p w:rsidR="00A16F3C" w:rsidRPr="00F77964" w:rsidRDefault="00A16F3C" w:rsidP="006D272C">
            <w:pPr>
              <w:pStyle w:val="Normal-pool"/>
              <w:spacing w:before="40" w:after="40"/>
              <w:rPr>
                <w:rFonts w:eastAsia="SimSun"/>
                <w:sz w:val="18"/>
                <w:szCs w:val="18"/>
                <w:lang w:eastAsia="zh-CN"/>
              </w:rPr>
            </w:pPr>
            <w:r w:rsidRPr="00F77964">
              <w:rPr>
                <w:rFonts w:eastAsia="SimSun"/>
                <w:sz w:val="18"/>
                <w:szCs w:val="18"/>
                <w:lang w:eastAsia="zh-CN"/>
              </w:rPr>
              <w:t>9</w:t>
            </w:r>
            <w:r w:rsidR="009D1370" w:rsidRPr="00F77964">
              <w:rPr>
                <w:rFonts w:eastAsia="SimSun"/>
                <w:sz w:val="18"/>
                <w:szCs w:val="18"/>
                <w:lang w:eastAsia="zh-CN"/>
              </w:rPr>
              <w:t> </w:t>
            </w:r>
            <w:r w:rsidRPr="00F77964">
              <w:rPr>
                <w:rFonts w:eastAsia="SimSun"/>
                <w:sz w:val="18"/>
                <w:szCs w:val="18"/>
                <w:lang w:eastAsia="zh-CN"/>
              </w:rPr>
              <w:t>000</w:t>
            </w:r>
          </w:p>
        </w:tc>
      </w:tr>
      <w:tr w:rsidR="00A16F3C" w:rsidRPr="0061490E" w:rsidTr="006D272C">
        <w:trPr>
          <w:trHeight w:val="560"/>
        </w:trPr>
        <w:tc>
          <w:tcPr>
            <w:tcW w:w="0" w:type="auto"/>
            <w:vMerge/>
            <w:tcBorders>
              <w:top w:val="single" w:sz="4" w:space="0" w:color="auto"/>
              <w:left w:val="single" w:sz="4" w:space="0" w:color="auto"/>
              <w:bottom w:val="single" w:sz="4" w:space="0" w:color="auto"/>
              <w:right w:val="single" w:sz="4" w:space="0" w:color="auto"/>
            </w:tcBorders>
            <w:hideMark/>
          </w:tcPr>
          <w:p w:rsidR="00A16F3C" w:rsidRPr="0061490E" w:rsidRDefault="00A16F3C" w:rsidP="006D272C">
            <w:pPr>
              <w:rPr>
                <w:rFonts w:eastAsia="SimSun"/>
                <w:sz w:val="18"/>
                <w:szCs w:val="18"/>
                <w:lang w:eastAsia="zh-CN"/>
              </w:rPr>
            </w:pPr>
          </w:p>
        </w:tc>
        <w:tc>
          <w:tcPr>
            <w:tcW w:w="3317" w:type="dxa"/>
            <w:tcBorders>
              <w:top w:val="single" w:sz="4" w:space="0" w:color="auto"/>
              <w:left w:val="single" w:sz="4" w:space="0" w:color="auto"/>
              <w:bottom w:val="single" w:sz="4" w:space="0" w:color="auto"/>
              <w:right w:val="single" w:sz="4" w:space="0" w:color="auto"/>
            </w:tcBorders>
            <w:hideMark/>
          </w:tcPr>
          <w:p w:rsidR="00A16F3C" w:rsidRPr="00F77964" w:rsidRDefault="00736DC5" w:rsidP="006D272C">
            <w:pPr>
              <w:pStyle w:val="Normal-pool"/>
              <w:spacing w:before="40" w:after="40"/>
              <w:rPr>
                <w:rFonts w:eastAsia="SimSun"/>
                <w:sz w:val="18"/>
                <w:szCs w:val="18"/>
                <w:lang w:eastAsia="zh-CN"/>
              </w:rPr>
            </w:pPr>
            <w:r w:rsidRPr="00F77964">
              <w:rPr>
                <w:rFonts w:eastAsia="SimSun"/>
                <w:sz w:val="18"/>
                <w:szCs w:val="18"/>
                <w:lang w:eastAsia="zh-CN"/>
              </w:rPr>
              <w:t xml:space="preserve">Diffusion </w:t>
            </w:r>
            <w:r w:rsidR="00A16F3C" w:rsidRPr="00F77964">
              <w:rPr>
                <w:rFonts w:eastAsia="SimSun"/>
                <w:sz w:val="18"/>
                <w:szCs w:val="18"/>
                <w:lang w:eastAsia="zh-CN"/>
              </w:rPr>
              <w:t>(</w:t>
            </w:r>
            <w:r w:rsidRPr="00F77964">
              <w:rPr>
                <w:rFonts w:eastAsia="SimSun"/>
                <w:sz w:val="18"/>
                <w:szCs w:val="18"/>
                <w:lang w:eastAsia="zh-CN"/>
              </w:rPr>
              <w:t>résumé à l’intention des décideurs</w:t>
            </w:r>
            <w:r w:rsidR="00A16F3C" w:rsidRPr="00F77964">
              <w:rPr>
                <w:rFonts w:eastAsia="SimSun"/>
                <w:sz w:val="18"/>
                <w:szCs w:val="18"/>
                <w:lang w:eastAsia="zh-CN"/>
              </w:rPr>
              <w:t xml:space="preserve"> (10</w:t>
            </w:r>
            <w:r w:rsidRPr="00F77964">
              <w:rPr>
                <w:rFonts w:eastAsia="SimSun"/>
                <w:sz w:val="18"/>
                <w:szCs w:val="18"/>
                <w:lang w:eastAsia="zh-CN"/>
              </w:rPr>
              <w:t> </w:t>
            </w:r>
            <w:r w:rsidR="00A16F3C" w:rsidRPr="00F77964">
              <w:rPr>
                <w:rFonts w:eastAsia="SimSun"/>
                <w:sz w:val="18"/>
                <w:szCs w:val="18"/>
                <w:lang w:eastAsia="zh-CN"/>
              </w:rPr>
              <w:t xml:space="preserve">pages) </w:t>
            </w:r>
            <w:r w:rsidRPr="00F77964">
              <w:rPr>
                <w:rFonts w:eastAsia="SimSun"/>
                <w:sz w:val="18"/>
                <w:szCs w:val="18"/>
                <w:lang w:eastAsia="zh-CN"/>
              </w:rPr>
              <w:t>et rapport</w:t>
            </w:r>
            <w:r w:rsidR="00A16F3C" w:rsidRPr="00F77964">
              <w:rPr>
                <w:rFonts w:eastAsia="SimSun"/>
                <w:sz w:val="18"/>
                <w:szCs w:val="18"/>
                <w:lang w:eastAsia="zh-CN"/>
              </w:rPr>
              <w:t xml:space="preserve"> (200</w:t>
            </w:r>
            <w:r w:rsidRPr="00F77964">
              <w:rPr>
                <w:rFonts w:eastAsia="SimSun"/>
                <w:sz w:val="18"/>
                <w:szCs w:val="18"/>
                <w:lang w:eastAsia="zh-CN"/>
              </w:rPr>
              <w:t> </w:t>
            </w:r>
            <w:r w:rsidR="00A16F3C" w:rsidRPr="00F77964">
              <w:rPr>
                <w:rFonts w:eastAsia="SimSun"/>
                <w:sz w:val="18"/>
                <w:szCs w:val="18"/>
                <w:lang w:eastAsia="zh-CN"/>
              </w:rPr>
              <w:t xml:space="preserve">pages)) </w:t>
            </w:r>
            <w:r w:rsidR="00636B40" w:rsidRPr="00F77964">
              <w:rPr>
                <w:rFonts w:eastAsia="SimSun"/>
                <w:sz w:val="18"/>
                <w:szCs w:val="18"/>
                <w:lang w:eastAsia="zh-CN"/>
              </w:rPr>
              <w:t xml:space="preserve">et </w:t>
            </w:r>
            <w:r w:rsidR="00636B40">
              <w:rPr>
                <w:rFonts w:eastAsia="SimSun"/>
                <w:sz w:val="18"/>
                <w:szCs w:val="18"/>
                <w:lang w:eastAsia="zh-CN"/>
              </w:rPr>
              <w:t>animation</w:t>
            </w:r>
          </w:p>
        </w:tc>
        <w:tc>
          <w:tcPr>
            <w:tcW w:w="3046" w:type="dxa"/>
            <w:tcBorders>
              <w:top w:val="single" w:sz="4" w:space="0" w:color="auto"/>
              <w:left w:val="single" w:sz="4" w:space="0" w:color="auto"/>
              <w:bottom w:val="single" w:sz="4" w:space="0" w:color="auto"/>
              <w:right w:val="single" w:sz="4" w:space="0" w:color="auto"/>
            </w:tcBorders>
            <w:hideMark/>
          </w:tcPr>
          <w:p w:rsidR="00A16F3C" w:rsidRPr="00F77964" w:rsidRDefault="001C198E" w:rsidP="006D272C">
            <w:pPr>
              <w:pStyle w:val="Normal-pool"/>
              <w:spacing w:before="40" w:after="40"/>
              <w:rPr>
                <w:rFonts w:eastAsia="SimSun"/>
                <w:sz w:val="18"/>
                <w:szCs w:val="18"/>
                <w:lang w:eastAsia="zh-CN"/>
              </w:rPr>
            </w:pPr>
            <w:r w:rsidRPr="00F77964">
              <w:rPr>
                <w:rFonts w:eastAsia="SimSun"/>
                <w:sz w:val="18"/>
                <w:szCs w:val="18"/>
                <w:lang w:eastAsia="zh-CN"/>
              </w:rPr>
              <w:t xml:space="preserve">Traduction des résumés à l’intention des décideurs dans toutes les langues </w:t>
            </w:r>
            <w:r w:rsidR="002F51DB">
              <w:rPr>
                <w:rFonts w:eastAsia="SimSun"/>
                <w:sz w:val="18"/>
                <w:szCs w:val="18"/>
                <w:lang w:eastAsia="zh-CN"/>
              </w:rPr>
              <w:t xml:space="preserve">officielles </w:t>
            </w:r>
            <w:r w:rsidRPr="00F77964">
              <w:rPr>
                <w:rFonts w:eastAsia="SimSun"/>
                <w:sz w:val="18"/>
                <w:szCs w:val="18"/>
                <w:lang w:eastAsia="zh-CN"/>
              </w:rPr>
              <w:t xml:space="preserve">de l’ONU, publication, </w:t>
            </w:r>
            <w:r w:rsidR="00F23269">
              <w:rPr>
                <w:rFonts w:eastAsia="SimSun"/>
                <w:sz w:val="18"/>
                <w:szCs w:val="18"/>
                <w:lang w:eastAsia="zh-CN"/>
              </w:rPr>
              <w:t>animation</w:t>
            </w:r>
          </w:p>
        </w:tc>
        <w:tc>
          <w:tcPr>
            <w:tcW w:w="921" w:type="dxa"/>
            <w:tcBorders>
              <w:top w:val="single" w:sz="4" w:space="0" w:color="auto"/>
              <w:left w:val="single" w:sz="4" w:space="0" w:color="auto"/>
              <w:bottom w:val="single" w:sz="4" w:space="0" w:color="auto"/>
              <w:right w:val="single" w:sz="4" w:space="0" w:color="auto"/>
            </w:tcBorders>
            <w:hideMark/>
          </w:tcPr>
          <w:p w:rsidR="00A16F3C" w:rsidRPr="00F77964" w:rsidRDefault="00A16F3C" w:rsidP="006D272C">
            <w:pPr>
              <w:pStyle w:val="Normal-pool"/>
              <w:spacing w:before="40" w:after="40"/>
              <w:rPr>
                <w:rFonts w:eastAsia="SimSun"/>
                <w:sz w:val="18"/>
                <w:szCs w:val="18"/>
                <w:lang w:eastAsia="zh-CN"/>
              </w:rPr>
            </w:pPr>
            <w:r w:rsidRPr="00F77964">
              <w:rPr>
                <w:rFonts w:eastAsia="SimSun"/>
                <w:sz w:val="18"/>
                <w:szCs w:val="18"/>
                <w:lang w:eastAsia="zh-CN"/>
              </w:rPr>
              <w:t>117</w:t>
            </w:r>
            <w:r w:rsidR="009D1370" w:rsidRPr="00F77964">
              <w:rPr>
                <w:rFonts w:eastAsia="SimSun"/>
                <w:sz w:val="18"/>
                <w:szCs w:val="18"/>
                <w:lang w:eastAsia="zh-CN"/>
              </w:rPr>
              <w:t> </w:t>
            </w:r>
            <w:r w:rsidRPr="00F77964">
              <w:rPr>
                <w:rFonts w:eastAsia="SimSun"/>
                <w:sz w:val="18"/>
                <w:szCs w:val="18"/>
                <w:lang w:eastAsia="zh-CN"/>
              </w:rPr>
              <w:t>000</w:t>
            </w:r>
          </w:p>
        </w:tc>
      </w:tr>
      <w:tr w:rsidR="00A16F3C" w:rsidRPr="0061490E" w:rsidTr="006D272C">
        <w:tc>
          <w:tcPr>
            <w:tcW w:w="710" w:type="dxa"/>
            <w:tcBorders>
              <w:top w:val="single" w:sz="4" w:space="0" w:color="auto"/>
              <w:left w:val="single" w:sz="4" w:space="0" w:color="auto"/>
              <w:bottom w:val="single" w:sz="4" w:space="0" w:color="auto"/>
              <w:right w:val="single" w:sz="4" w:space="0" w:color="auto"/>
            </w:tcBorders>
            <w:hideMark/>
          </w:tcPr>
          <w:p w:rsidR="00A16F3C" w:rsidRPr="00F77964" w:rsidRDefault="00A16F3C" w:rsidP="006D272C">
            <w:pPr>
              <w:pStyle w:val="Normal-pool"/>
              <w:spacing w:before="40" w:after="40"/>
              <w:rPr>
                <w:rFonts w:eastAsia="SimSun"/>
                <w:b/>
                <w:sz w:val="18"/>
                <w:szCs w:val="18"/>
                <w:lang w:eastAsia="zh-CN"/>
              </w:rPr>
            </w:pPr>
            <w:r w:rsidRPr="00F77964">
              <w:rPr>
                <w:rFonts w:eastAsia="SimSun"/>
                <w:b/>
                <w:sz w:val="18"/>
                <w:szCs w:val="18"/>
                <w:lang w:eastAsia="zh-CN"/>
              </w:rPr>
              <w:t>Total</w:t>
            </w:r>
          </w:p>
        </w:tc>
        <w:tc>
          <w:tcPr>
            <w:tcW w:w="3317" w:type="dxa"/>
            <w:tcBorders>
              <w:top w:val="single" w:sz="4" w:space="0" w:color="auto"/>
              <w:left w:val="single" w:sz="4" w:space="0" w:color="auto"/>
              <w:bottom w:val="single" w:sz="4" w:space="0" w:color="auto"/>
              <w:right w:val="single" w:sz="4" w:space="0" w:color="auto"/>
            </w:tcBorders>
          </w:tcPr>
          <w:p w:rsidR="00A16F3C" w:rsidRPr="00F77964" w:rsidRDefault="00A16F3C" w:rsidP="006D272C">
            <w:pPr>
              <w:pStyle w:val="Normal-pool"/>
              <w:spacing w:before="40" w:after="40"/>
              <w:rPr>
                <w:rFonts w:eastAsia="SimSun"/>
                <w:b/>
                <w:sz w:val="18"/>
                <w:szCs w:val="18"/>
                <w:lang w:eastAsia="zh-CN"/>
              </w:rPr>
            </w:pPr>
          </w:p>
        </w:tc>
        <w:tc>
          <w:tcPr>
            <w:tcW w:w="3046" w:type="dxa"/>
            <w:tcBorders>
              <w:top w:val="single" w:sz="4" w:space="0" w:color="auto"/>
              <w:left w:val="single" w:sz="4" w:space="0" w:color="auto"/>
              <w:bottom w:val="single" w:sz="4" w:space="0" w:color="auto"/>
              <w:right w:val="single" w:sz="4" w:space="0" w:color="auto"/>
            </w:tcBorders>
          </w:tcPr>
          <w:p w:rsidR="00A16F3C" w:rsidRPr="00F77964" w:rsidRDefault="00A16F3C" w:rsidP="006D272C">
            <w:pPr>
              <w:pStyle w:val="Normal-pool"/>
              <w:spacing w:before="40" w:after="40"/>
              <w:rPr>
                <w:rFonts w:eastAsia="SimSun"/>
                <w:b/>
                <w:sz w:val="18"/>
                <w:szCs w:val="18"/>
                <w:lang w:eastAsia="zh-CN"/>
              </w:rPr>
            </w:pPr>
          </w:p>
        </w:tc>
        <w:tc>
          <w:tcPr>
            <w:tcW w:w="921" w:type="dxa"/>
            <w:tcBorders>
              <w:top w:val="single" w:sz="4" w:space="0" w:color="auto"/>
              <w:left w:val="single" w:sz="4" w:space="0" w:color="auto"/>
              <w:bottom w:val="single" w:sz="4" w:space="0" w:color="auto"/>
              <w:right w:val="single" w:sz="4" w:space="0" w:color="auto"/>
            </w:tcBorders>
            <w:hideMark/>
          </w:tcPr>
          <w:p w:rsidR="00A16F3C" w:rsidRPr="00F77964" w:rsidRDefault="00A16F3C" w:rsidP="006D272C">
            <w:pPr>
              <w:pStyle w:val="Normal-pool"/>
              <w:spacing w:before="40" w:after="40"/>
              <w:rPr>
                <w:rFonts w:eastAsia="SimSun"/>
                <w:b/>
                <w:sz w:val="18"/>
                <w:szCs w:val="18"/>
                <w:lang w:eastAsia="zh-CN"/>
              </w:rPr>
            </w:pPr>
            <w:r w:rsidRPr="00F77964">
              <w:rPr>
                <w:rFonts w:eastAsia="SimSun"/>
                <w:b/>
                <w:sz w:val="18"/>
                <w:szCs w:val="18"/>
                <w:lang w:eastAsia="zh-CN"/>
              </w:rPr>
              <w:t>1</w:t>
            </w:r>
            <w:r w:rsidR="009D1370" w:rsidRPr="00F77964">
              <w:rPr>
                <w:rFonts w:eastAsia="SimSun"/>
                <w:b/>
                <w:sz w:val="18"/>
                <w:szCs w:val="18"/>
                <w:lang w:eastAsia="zh-CN"/>
              </w:rPr>
              <w:t> </w:t>
            </w:r>
            <w:r w:rsidRPr="00F77964">
              <w:rPr>
                <w:rFonts w:eastAsia="SimSun"/>
                <w:b/>
                <w:sz w:val="18"/>
                <w:szCs w:val="18"/>
                <w:lang w:eastAsia="zh-CN"/>
              </w:rPr>
              <w:t>071</w:t>
            </w:r>
            <w:r w:rsidR="009D1370" w:rsidRPr="00F77964">
              <w:rPr>
                <w:rFonts w:eastAsia="SimSun"/>
                <w:b/>
                <w:sz w:val="18"/>
                <w:szCs w:val="18"/>
                <w:lang w:eastAsia="zh-CN"/>
              </w:rPr>
              <w:t> 750</w:t>
            </w:r>
            <w:r w:rsidRPr="00F77964">
              <w:rPr>
                <w:rFonts w:eastAsia="SimSun"/>
                <w:b/>
                <w:sz w:val="18"/>
                <w:szCs w:val="18"/>
                <w:lang w:eastAsia="zh-CN"/>
              </w:rPr>
              <w:t xml:space="preserve"> </w:t>
            </w:r>
          </w:p>
        </w:tc>
      </w:tr>
    </w:tbl>
    <w:p w:rsidR="00D66005" w:rsidRPr="00F77964" w:rsidRDefault="00D66005" w:rsidP="00D66005">
      <w:pPr>
        <w:pStyle w:val="CH3"/>
        <w:spacing w:before="120"/>
        <w:rPr>
          <w:lang w:val="fr-FR"/>
        </w:rPr>
      </w:pPr>
      <w:r w:rsidRPr="00F77964">
        <w:rPr>
          <w:i/>
          <w:lang w:val="fr-FR"/>
        </w:rPr>
        <w:tab/>
      </w:r>
      <w:r w:rsidRPr="00F77964">
        <w:rPr>
          <w:lang w:val="fr-FR"/>
        </w:rPr>
        <w:t>ii)</w:t>
      </w:r>
      <w:r w:rsidRPr="00F77964">
        <w:rPr>
          <w:lang w:val="fr-FR"/>
        </w:rPr>
        <w:tab/>
      </w:r>
      <w:r w:rsidR="009642A6" w:rsidRPr="00F77964">
        <w:rPr>
          <w:lang w:val="fr-FR"/>
        </w:rPr>
        <w:t xml:space="preserve">Evaluation thématique des </w:t>
      </w:r>
      <w:r w:rsidR="00161811">
        <w:rPr>
          <w:lang w:val="fr-FR"/>
        </w:rPr>
        <w:t xml:space="preserve">espèces exotiques envahissantes </w:t>
      </w:r>
      <w:r w:rsidR="00161811" w:rsidRPr="00BA7E00">
        <w:t xml:space="preserve">et </w:t>
      </w:r>
      <w:r w:rsidR="00161811">
        <w:t>de la lutte contre leur prolifération</w:t>
      </w:r>
    </w:p>
    <w:p w:rsidR="00D66005" w:rsidRPr="00F77964" w:rsidRDefault="00D66005" w:rsidP="00D66005">
      <w:pPr>
        <w:pStyle w:val="CH3"/>
        <w:rPr>
          <w:lang w:val="fr-FR"/>
        </w:rPr>
      </w:pPr>
      <w:r w:rsidRPr="00F77964">
        <w:rPr>
          <w:rFonts w:eastAsia="Calibri"/>
          <w:lang w:val="fr-FR"/>
        </w:rPr>
        <w:tab/>
      </w:r>
      <w:r w:rsidRPr="00F77964">
        <w:rPr>
          <w:rFonts w:eastAsia="Calibri"/>
          <w:lang w:val="fr-FR"/>
        </w:rPr>
        <w:tab/>
      </w:r>
      <w:r w:rsidR="009642A6" w:rsidRPr="00F77964">
        <w:rPr>
          <w:rFonts w:eastAsia="Calibri"/>
          <w:lang w:val="fr-FR"/>
        </w:rPr>
        <w:t>Hypothèses</w:t>
      </w:r>
    </w:p>
    <w:p w:rsidR="00D66005" w:rsidRPr="00F77964" w:rsidRDefault="00E92D62" w:rsidP="00D66005">
      <w:pPr>
        <w:pStyle w:val="Normalnumber"/>
        <w:numPr>
          <w:ilvl w:val="0"/>
          <w:numId w:val="6"/>
        </w:numPr>
        <w:tabs>
          <w:tab w:val="left" w:pos="624"/>
        </w:tabs>
        <w:ind w:left="1247" w:firstLine="0"/>
        <w:rPr>
          <w:lang w:val="fr-FR"/>
        </w:rPr>
      </w:pPr>
      <w:r w:rsidRPr="00F77964">
        <w:rPr>
          <w:rFonts w:eastAsia="Calibri"/>
          <w:lang w:val="fr-FR"/>
        </w:rPr>
        <w:t xml:space="preserve">Le Groupe d’experts multidisciplinaire et le Bureau superviseront un exercice de cadrage détaillé, permettant de définir le plan, les coûts et la faisabilité. Une fois l’approbation obtenue, </w:t>
      </w:r>
      <w:r w:rsidR="00161811">
        <w:rPr>
          <w:rFonts w:eastAsia="Calibri"/>
          <w:lang w:val="fr-FR"/>
        </w:rPr>
        <w:t>l</w:t>
      </w:r>
      <w:r w:rsidRPr="00F77964">
        <w:rPr>
          <w:rFonts w:eastAsia="Calibri"/>
          <w:lang w:val="fr-FR"/>
        </w:rPr>
        <w:t xml:space="preserve">es membres du Groupe et du Bureau superviseront </w:t>
      </w:r>
      <w:r w:rsidR="002533CA">
        <w:rPr>
          <w:rFonts w:eastAsia="Calibri"/>
          <w:lang w:val="fr-FR"/>
        </w:rPr>
        <w:t xml:space="preserve">la mise en place </w:t>
      </w:r>
      <w:r w:rsidR="002533CA" w:rsidRPr="00F77964">
        <w:rPr>
          <w:rFonts w:eastAsia="Calibri"/>
          <w:lang w:val="fr-FR"/>
        </w:rPr>
        <w:t xml:space="preserve">d’un groupe d’experts </w:t>
      </w:r>
      <w:r w:rsidR="002533CA">
        <w:rPr>
          <w:rFonts w:eastAsia="Calibri"/>
          <w:lang w:val="fr-FR"/>
        </w:rPr>
        <w:t>doté d’un mandat précis</w:t>
      </w:r>
      <w:r w:rsidR="002533CA" w:rsidRPr="00F77964">
        <w:rPr>
          <w:rFonts w:eastAsia="Calibri"/>
          <w:lang w:val="fr-FR"/>
        </w:rPr>
        <w:t xml:space="preserve"> </w:t>
      </w:r>
      <w:r w:rsidR="002533CA">
        <w:rPr>
          <w:rFonts w:eastAsia="Calibri"/>
          <w:lang w:val="fr-FR"/>
        </w:rPr>
        <w:t xml:space="preserve">à </w:t>
      </w:r>
      <w:r w:rsidR="00AA6C94">
        <w:rPr>
          <w:rFonts w:eastAsia="Calibri"/>
          <w:lang w:val="fr-FR"/>
        </w:rPr>
        <w:t xml:space="preserve">durée déterminée pour </w:t>
      </w:r>
      <w:r w:rsidR="00F774B3">
        <w:rPr>
          <w:rFonts w:eastAsia="Calibri"/>
          <w:lang w:val="fr-FR"/>
        </w:rPr>
        <w:t>l’</w:t>
      </w:r>
      <w:r w:rsidR="00AA6C94">
        <w:rPr>
          <w:rFonts w:eastAsia="Calibri"/>
          <w:lang w:val="fr-FR"/>
        </w:rPr>
        <w:t>évaluation</w:t>
      </w:r>
      <w:r w:rsidR="002533CA">
        <w:rPr>
          <w:rFonts w:eastAsia="Calibri"/>
          <w:lang w:val="fr-FR"/>
        </w:rPr>
        <w:t>.</w:t>
      </w:r>
      <w:r w:rsidR="002533CA" w:rsidRPr="00F77964">
        <w:rPr>
          <w:rFonts w:eastAsia="Calibri"/>
          <w:lang w:val="fr-FR"/>
        </w:rPr>
        <w:t xml:space="preserve"> </w:t>
      </w:r>
      <w:r w:rsidR="00F774B3">
        <w:rPr>
          <w:rFonts w:eastAsia="Calibri"/>
          <w:lang w:val="fr-FR"/>
        </w:rPr>
        <w:t>L</w:t>
      </w:r>
      <w:r w:rsidR="002533CA">
        <w:rPr>
          <w:rFonts w:eastAsia="Calibri"/>
          <w:lang w:val="fr-FR"/>
        </w:rPr>
        <w:t>e groupe</w:t>
      </w:r>
      <w:r w:rsidR="002533CA" w:rsidRPr="00F77964">
        <w:rPr>
          <w:rFonts w:eastAsia="Calibri"/>
          <w:lang w:val="fr-FR"/>
        </w:rPr>
        <w:t xml:space="preserve"> </w:t>
      </w:r>
      <w:r w:rsidR="00F774B3">
        <w:rPr>
          <w:rFonts w:eastAsia="Calibri"/>
          <w:lang w:val="fr-FR"/>
        </w:rPr>
        <w:t>en question comprendra des</w:t>
      </w:r>
      <w:r w:rsidR="002533CA" w:rsidRPr="00F77964">
        <w:rPr>
          <w:rFonts w:eastAsia="Calibri"/>
          <w:lang w:val="fr-FR"/>
        </w:rPr>
        <w:t xml:space="preserve"> </w:t>
      </w:r>
      <w:r w:rsidR="006E337B">
        <w:rPr>
          <w:rFonts w:eastAsia="Calibri"/>
          <w:lang w:val="fr-FR"/>
        </w:rPr>
        <w:t>coprésidents</w:t>
      </w:r>
      <w:r w:rsidR="002533CA" w:rsidRPr="00F77964">
        <w:rPr>
          <w:rFonts w:eastAsia="Calibri"/>
          <w:lang w:val="fr-FR"/>
        </w:rPr>
        <w:t xml:space="preserve">, auteurs coordonnateurs principaux, auteurs principaux et éditeurs-réviseurs. </w:t>
      </w:r>
      <w:r w:rsidR="002533CA" w:rsidRPr="00F77964">
        <w:rPr>
          <w:lang w:val="fr-FR"/>
        </w:rPr>
        <w:t>Le</w:t>
      </w:r>
      <w:r w:rsidR="002533CA">
        <w:rPr>
          <w:lang w:val="fr-FR"/>
        </w:rPr>
        <w:t xml:space="preserve">s </w:t>
      </w:r>
      <w:r w:rsidR="002533CA" w:rsidRPr="00F77964">
        <w:rPr>
          <w:lang w:val="fr-FR"/>
        </w:rPr>
        <w:t>experts ser</w:t>
      </w:r>
      <w:r w:rsidR="002533CA">
        <w:rPr>
          <w:lang w:val="fr-FR"/>
        </w:rPr>
        <w:t>ont</w:t>
      </w:r>
      <w:r w:rsidR="002533CA" w:rsidRPr="00F77964">
        <w:rPr>
          <w:lang w:val="fr-FR"/>
        </w:rPr>
        <w:t xml:space="preserve"> choisi</w:t>
      </w:r>
      <w:r w:rsidR="002533CA">
        <w:rPr>
          <w:lang w:val="fr-FR"/>
        </w:rPr>
        <w:t>s</w:t>
      </w:r>
      <w:r w:rsidR="002533CA" w:rsidRPr="00F77964">
        <w:rPr>
          <w:lang w:val="fr-FR"/>
        </w:rPr>
        <w:t xml:space="preserve"> conformément aux procédures pour l’établissement, l’examen, l’acceptation, l’adoption, l’approbation et la publication des rapports d’évaluation et d’autres produits de la Plateforme (voir IPBES/2/9) et travailler</w:t>
      </w:r>
      <w:r w:rsidR="002533CA">
        <w:rPr>
          <w:lang w:val="fr-FR"/>
        </w:rPr>
        <w:t>ont</w:t>
      </w:r>
      <w:r w:rsidR="002533CA" w:rsidRPr="00F77964">
        <w:rPr>
          <w:lang w:val="fr-FR"/>
        </w:rPr>
        <w:t xml:space="preserve"> sur la base des mêmes procédures</w:t>
      </w:r>
      <w:r w:rsidRPr="00F77964">
        <w:rPr>
          <w:lang w:val="fr-FR"/>
        </w:rPr>
        <w:t xml:space="preserve">. Les évaluations mondiales impliqueront 50 auteurs, et 10 éditeurs-réviseurs, qui se réuniront </w:t>
      </w:r>
      <w:r w:rsidR="002533CA">
        <w:rPr>
          <w:lang w:val="fr-FR"/>
        </w:rPr>
        <w:t xml:space="preserve">deux </w:t>
      </w:r>
      <w:r w:rsidRPr="00F77964">
        <w:rPr>
          <w:lang w:val="fr-FR"/>
        </w:rPr>
        <w:t>fois</w:t>
      </w:r>
      <w:r w:rsidR="002533CA">
        <w:rPr>
          <w:lang w:val="fr-FR"/>
        </w:rPr>
        <w:t xml:space="preserve"> avec les</w:t>
      </w:r>
      <w:r w:rsidRPr="00F77964">
        <w:rPr>
          <w:lang w:val="fr-FR"/>
        </w:rPr>
        <w:t xml:space="preserve"> auteurs. </w:t>
      </w:r>
      <w:r w:rsidRPr="00F77964">
        <w:rPr>
          <w:rFonts w:eastAsia="Calibri"/>
          <w:lang w:val="fr-FR"/>
        </w:rPr>
        <w:t xml:space="preserve">La portée, le bien-fondé, l’utilité et les autres hypothèses de l’évaluation sont indiquées en détail dans un document de cadrage </w:t>
      </w:r>
      <w:r w:rsidRPr="00F77964">
        <w:rPr>
          <w:lang w:val="fr-FR"/>
        </w:rPr>
        <w:t>(</w:t>
      </w:r>
      <w:r w:rsidRPr="00F77964">
        <w:rPr>
          <w:rFonts w:eastAsia="Calibri"/>
          <w:lang w:val="fr-FR"/>
        </w:rPr>
        <w:t>IPBES/2/16/Add.3</w:t>
      </w:r>
      <w:r w:rsidRPr="00F77964">
        <w:rPr>
          <w:lang w:val="fr-FR"/>
        </w:rPr>
        <w:t>)</w:t>
      </w:r>
      <w:r w:rsidRPr="00F77964">
        <w:rPr>
          <w:rFonts w:eastAsia="Calibri"/>
          <w:lang w:val="fr-FR"/>
        </w:rPr>
        <w:t>.</w:t>
      </w:r>
      <w:r w:rsidRPr="00F77964">
        <w:rPr>
          <w:lang w:val="fr-FR"/>
        </w:rPr>
        <w:t xml:space="preserve"> Le secrétariat </w:t>
      </w:r>
      <w:r w:rsidR="00F77964" w:rsidRPr="00F77964">
        <w:rPr>
          <w:lang w:val="fr-FR"/>
        </w:rPr>
        <w:t>conclura</w:t>
      </w:r>
      <w:r w:rsidRPr="00F77964">
        <w:rPr>
          <w:lang w:val="fr-FR"/>
        </w:rPr>
        <w:t xml:space="preserve"> des accords avec des institutions partenaires pour la fourniture d’un </w:t>
      </w:r>
      <w:r w:rsidR="00F16D98">
        <w:rPr>
          <w:lang w:val="fr-FR"/>
        </w:rPr>
        <w:t>appui technique approuvé</w:t>
      </w:r>
      <w:r w:rsidRPr="00F77964">
        <w:rPr>
          <w:lang w:val="fr-FR"/>
        </w:rPr>
        <w:t xml:space="preserve"> par le Bureau. L’appui technique devrait être financé en partie par la </w:t>
      </w:r>
      <w:r w:rsidRPr="00F77964">
        <w:rPr>
          <w:lang w:val="fr-FR"/>
        </w:rPr>
        <w:lastRenderedPageBreak/>
        <w:t xml:space="preserve">Plateforme et en partie par les contributions en nature approuvées par la Plénière (voir </w:t>
      </w:r>
      <w:r w:rsidR="00435D19">
        <w:rPr>
          <w:lang w:val="fr-FR"/>
        </w:rPr>
        <w:t>paragraphe</w:t>
      </w:r>
      <w:r w:rsidRPr="00F77964">
        <w:rPr>
          <w:lang w:val="fr-FR"/>
        </w:rPr>
        <w:t> 32 ci-après).</w:t>
      </w:r>
      <w:r w:rsidR="00D66005" w:rsidRPr="00F77964">
        <w:rPr>
          <w:lang w:val="fr-FR"/>
        </w:rPr>
        <w:t xml:space="preserve"> </w:t>
      </w:r>
    </w:p>
    <w:p w:rsidR="00D66005" w:rsidRPr="00F77964" w:rsidRDefault="00D66005" w:rsidP="00D66005">
      <w:pPr>
        <w:pStyle w:val="CH3"/>
        <w:spacing w:before="200"/>
        <w:rPr>
          <w:rFonts w:eastAsia="SimSun"/>
          <w:lang w:val="fr-FR" w:eastAsia="zh-CN"/>
        </w:rPr>
      </w:pPr>
      <w:r w:rsidRPr="00F77964">
        <w:rPr>
          <w:rFonts w:eastAsia="SimSun"/>
          <w:lang w:val="fr-FR" w:eastAsia="zh-CN"/>
        </w:rPr>
        <w:tab/>
      </w:r>
      <w:r w:rsidRPr="00F77964">
        <w:rPr>
          <w:rFonts w:eastAsia="SimSun"/>
          <w:lang w:val="fr-FR" w:eastAsia="zh-CN"/>
        </w:rPr>
        <w:tab/>
      </w:r>
      <w:r w:rsidR="0048412B" w:rsidRPr="00F77964">
        <w:rPr>
          <w:rFonts w:eastAsia="SimSun"/>
          <w:lang w:val="fr-FR" w:eastAsia="zh-CN"/>
        </w:rPr>
        <w:t xml:space="preserve">Actions, étapes intermédiaires et dispositions institutionnelles </w:t>
      </w:r>
    </w:p>
    <w:p w:rsidR="00D66005" w:rsidRPr="00F77964" w:rsidRDefault="00F4565D" w:rsidP="00D66005">
      <w:pPr>
        <w:pStyle w:val="Normalnumber"/>
        <w:keepNext/>
        <w:keepLines/>
        <w:numPr>
          <w:ilvl w:val="0"/>
          <w:numId w:val="6"/>
        </w:numPr>
        <w:tabs>
          <w:tab w:val="left" w:pos="624"/>
        </w:tabs>
        <w:ind w:left="1247" w:firstLine="0"/>
        <w:rPr>
          <w:rFonts w:eastAsia="Calibri"/>
          <w:lang w:val="fr-FR"/>
        </w:rPr>
      </w:pPr>
      <w:r w:rsidRPr="00F77964">
        <w:rPr>
          <w:lang w:val="fr-FR"/>
        </w:rPr>
        <w:t xml:space="preserve">Les actions à mener sont indiquées ci-après </w:t>
      </w:r>
      <w:r w:rsidR="00D66005" w:rsidRPr="00F77964">
        <w:rPr>
          <w:lang w:val="fr-FR"/>
        </w:rPr>
        <w:t>:</w:t>
      </w:r>
    </w:p>
    <w:tbl>
      <w:tblPr>
        <w:tblW w:w="8074" w:type="dxa"/>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320"/>
        <w:gridCol w:w="6095"/>
      </w:tblGrid>
      <w:tr w:rsidR="00161811" w:rsidRPr="0061490E" w:rsidTr="00161811">
        <w:trPr>
          <w:trHeight w:val="211"/>
        </w:trPr>
        <w:tc>
          <w:tcPr>
            <w:tcW w:w="1979" w:type="dxa"/>
            <w:gridSpan w:val="2"/>
            <w:tcBorders>
              <w:top w:val="single" w:sz="4" w:space="0" w:color="auto"/>
              <w:left w:val="single" w:sz="4" w:space="0" w:color="auto"/>
              <w:bottom w:val="single" w:sz="4" w:space="0" w:color="auto"/>
              <w:right w:val="single" w:sz="4" w:space="0" w:color="auto"/>
            </w:tcBorders>
          </w:tcPr>
          <w:p w:rsidR="00161811" w:rsidRPr="00F77964" w:rsidRDefault="00161811" w:rsidP="000C18BD">
            <w:pPr>
              <w:pStyle w:val="Normal-pool"/>
              <w:keepNext/>
              <w:keepLines/>
              <w:spacing w:before="40" w:after="40"/>
              <w:rPr>
                <w:rFonts w:eastAsia="SimSun"/>
                <w:sz w:val="18"/>
                <w:szCs w:val="18"/>
                <w:lang w:eastAsia="zh-CN"/>
              </w:rPr>
            </w:pPr>
            <w:r w:rsidRPr="00F77964">
              <w:rPr>
                <w:rFonts w:eastAsia="SimSun"/>
                <w:i/>
                <w:sz w:val="18"/>
                <w:szCs w:val="18"/>
                <w:lang w:eastAsia="zh-CN"/>
              </w:rPr>
              <w:t>Calendrier</w:t>
            </w:r>
          </w:p>
        </w:tc>
        <w:tc>
          <w:tcPr>
            <w:tcW w:w="6095" w:type="dxa"/>
            <w:tcBorders>
              <w:top w:val="single" w:sz="4" w:space="0" w:color="auto"/>
              <w:left w:val="single" w:sz="4" w:space="0" w:color="auto"/>
              <w:bottom w:val="single" w:sz="4" w:space="0" w:color="auto"/>
              <w:right w:val="single" w:sz="4" w:space="0" w:color="auto"/>
            </w:tcBorders>
            <w:vAlign w:val="center"/>
          </w:tcPr>
          <w:p w:rsidR="00161811" w:rsidRPr="00F77964" w:rsidRDefault="00161811" w:rsidP="00E92D62">
            <w:pPr>
              <w:pStyle w:val="Normal-pool"/>
              <w:keepNext/>
              <w:keepLines/>
              <w:spacing w:before="40" w:after="40"/>
              <w:rPr>
                <w:rFonts w:eastAsia="SimSun"/>
                <w:sz w:val="18"/>
                <w:szCs w:val="18"/>
                <w:lang w:eastAsia="zh-CN"/>
              </w:rPr>
            </w:pPr>
            <w:r w:rsidRPr="00F77964">
              <w:rPr>
                <w:rFonts w:eastAsia="SimSun"/>
                <w:i/>
                <w:sz w:val="18"/>
                <w:szCs w:val="18"/>
                <w:lang w:eastAsia="zh-CN"/>
              </w:rPr>
              <w:t>Actions/dispositions institutionnelles</w:t>
            </w:r>
          </w:p>
        </w:tc>
      </w:tr>
      <w:tr w:rsidR="00D7471C" w:rsidRPr="0061490E" w:rsidTr="00161811">
        <w:trPr>
          <w:trHeight w:val="211"/>
        </w:trPr>
        <w:tc>
          <w:tcPr>
            <w:tcW w:w="659" w:type="dxa"/>
            <w:vMerge w:val="restart"/>
            <w:tcBorders>
              <w:top w:val="single" w:sz="4" w:space="0" w:color="auto"/>
              <w:left w:val="single" w:sz="4" w:space="0" w:color="auto"/>
              <w:bottom w:val="single" w:sz="4" w:space="0" w:color="auto"/>
              <w:right w:val="single" w:sz="4" w:space="0" w:color="auto"/>
            </w:tcBorders>
            <w:hideMark/>
          </w:tcPr>
          <w:p w:rsidR="00D7471C" w:rsidRPr="00F77964" w:rsidRDefault="00D7471C" w:rsidP="000C18BD">
            <w:pPr>
              <w:pStyle w:val="Normal-pool"/>
              <w:keepNext/>
              <w:keepLines/>
              <w:spacing w:before="40" w:after="40"/>
              <w:rPr>
                <w:rFonts w:eastAsia="SimSun"/>
                <w:sz w:val="18"/>
                <w:szCs w:val="18"/>
                <w:lang w:eastAsia="zh-CN"/>
              </w:rPr>
            </w:pPr>
            <w:r w:rsidRPr="00F77964">
              <w:rPr>
                <w:rFonts w:eastAsia="SimSun"/>
                <w:sz w:val="18"/>
                <w:szCs w:val="18"/>
                <w:lang w:eastAsia="zh-CN"/>
              </w:rPr>
              <w:t>2013</w:t>
            </w:r>
          </w:p>
        </w:tc>
        <w:tc>
          <w:tcPr>
            <w:tcW w:w="1320" w:type="dxa"/>
            <w:tcBorders>
              <w:top w:val="single" w:sz="4" w:space="0" w:color="auto"/>
              <w:left w:val="single" w:sz="4" w:space="0" w:color="auto"/>
              <w:bottom w:val="single" w:sz="4" w:space="0" w:color="auto"/>
              <w:right w:val="single" w:sz="4" w:space="0" w:color="auto"/>
            </w:tcBorders>
            <w:hideMark/>
          </w:tcPr>
          <w:p w:rsidR="00D7471C" w:rsidRPr="00F77964" w:rsidRDefault="00D7471C" w:rsidP="000C18BD">
            <w:pPr>
              <w:pStyle w:val="Normal-pool"/>
              <w:keepNext/>
              <w:keepLines/>
              <w:spacing w:before="40" w:after="40"/>
              <w:rPr>
                <w:rFonts w:eastAsia="SimSun"/>
                <w:sz w:val="18"/>
                <w:szCs w:val="18"/>
                <w:lang w:eastAsia="zh-CN"/>
              </w:rPr>
            </w:pPr>
            <w:r w:rsidRPr="00F77964">
              <w:rPr>
                <w:rFonts w:eastAsia="SimSun"/>
                <w:sz w:val="18"/>
                <w:szCs w:val="18"/>
                <w:lang w:eastAsia="zh-CN"/>
              </w:rPr>
              <w:t>Quatrième trimestre</w:t>
            </w:r>
          </w:p>
        </w:tc>
        <w:tc>
          <w:tcPr>
            <w:tcW w:w="6095" w:type="dxa"/>
            <w:tcBorders>
              <w:top w:val="single" w:sz="4" w:space="0" w:color="auto"/>
              <w:left w:val="single" w:sz="4" w:space="0" w:color="auto"/>
              <w:bottom w:val="single" w:sz="4" w:space="0" w:color="auto"/>
              <w:right w:val="single" w:sz="4" w:space="0" w:color="auto"/>
            </w:tcBorders>
            <w:vAlign w:val="center"/>
            <w:hideMark/>
          </w:tcPr>
          <w:p w:rsidR="00D7471C" w:rsidRPr="00F77964" w:rsidRDefault="00D7471C" w:rsidP="00C673C7">
            <w:pPr>
              <w:pStyle w:val="Normal-pool"/>
              <w:keepNext/>
              <w:keepLines/>
              <w:spacing w:before="40" w:after="40"/>
              <w:rPr>
                <w:rFonts w:eastAsia="SimSun"/>
                <w:sz w:val="18"/>
                <w:szCs w:val="18"/>
                <w:lang w:eastAsia="zh-CN"/>
              </w:rPr>
            </w:pPr>
            <w:r w:rsidRPr="00F77964">
              <w:rPr>
                <w:rFonts w:eastAsia="SimSun"/>
                <w:sz w:val="18"/>
                <w:szCs w:val="18"/>
                <w:lang w:eastAsia="zh-CN"/>
              </w:rPr>
              <w:t>La Plénière examine et approuve l’</w:t>
            </w:r>
            <w:r w:rsidR="00E92D62" w:rsidRPr="00F77964">
              <w:rPr>
                <w:rFonts w:eastAsia="SimSun"/>
                <w:sz w:val="18"/>
                <w:szCs w:val="18"/>
                <w:lang w:eastAsia="zh-CN"/>
              </w:rPr>
              <w:t>exercice</w:t>
            </w:r>
            <w:r w:rsidRPr="00F77964">
              <w:rPr>
                <w:rFonts w:eastAsia="SimSun"/>
                <w:sz w:val="18"/>
                <w:szCs w:val="18"/>
                <w:lang w:eastAsia="zh-CN"/>
              </w:rPr>
              <w:t xml:space="preserve"> de cadrage initial</w:t>
            </w:r>
            <w:r w:rsidR="00E92D62" w:rsidRPr="00F77964">
              <w:rPr>
                <w:rFonts w:eastAsia="SimSun"/>
                <w:sz w:val="18"/>
                <w:szCs w:val="18"/>
                <w:lang w:eastAsia="zh-CN"/>
              </w:rPr>
              <w:t xml:space="preserve"> préparé</w:t>
            </w:r>
            <w:r w:rsidRPr="00F77964">
              <w:rPr>
                <w:rFonts w:eastAsia="SimSun"/>
                <w:sz w:val="18"/>
                <w:szCs w:val="18"/>
                <w:lang w:eastAsia="zh-CN"/>
              </w:rPr>
              <w:t xml:space="preserve"> par le Groupe d’experts multidisciplinaire et demande au Groupe et au Bureau</w:t>
            </w:r>
            <w:r w:rsidR="00C673C7">
              <w:rPr>
                <w:rFonts w:eastAsia="SimSun"/>
                <w:sz w:val="18"/>
                <w:szCs w:val="18"/>
                <w:lang w:eastAsia="zh-CN"/>
              </w:rPr>
              <w:t xml:space="preserve"> de procéder</w:t>
            </w:r>
            <w:r w:rsidR="00C673C7" w:rsidRPr="00F77964">
              <w:rPr>
                <w:rFonts w:eastAsia="SimSun"/>
                <w:sz w:val="18"/>
                <w:szCs w:val="18"/>
                <w:lang w:eastAsia="zh-CN"/>
              </w:rPr>
              <w:t xml:space="preserve"> à une évaluation </w:t>
            </w:r>
            <w:r w:rsidR="00C673C7">
              <w:rPr>
                <w:rFonts w:eastAsia="SimSun"/>
                <w:sz w:val="18"/>
                <w:szCs w:val="18"/>
                <w:lang w:eastAsia="zh-CN"/>
              </w:rPr>
              <w:t>complète</w:t>
            </w:r>
            <w:r w:rsidRPr="00F77964">
              <w:rPr>
                <w:rFonts w:eastAsia="SimSun"/>
                <w:sz w:val="18"/>
                <w:szCs w:val="18"/>
                <w:lang w:eastAsia="zh-CN"/>
              </w:rPr>
              <w:t>, dans le</w:t>
            </w:r>
            <w:r w:rsidR="00C673C7">
              <w:rPr>
                <w:rFonts w:eastAsia="SimSun"/>
                <w:sz w:val="18"/>
                <w:szCs w:val="18"/>
                <w:lang w:eastAsia="zh-CN"/>
              </w:rPr>
              <w:t>s limites d’une enveloppe</w:t>
            </w:r>
            <w:r w:rsidRPr="00F77964">
              <w:rPr>
                <w:rFonts w:eastAsia="SimSun"/>
                <w:sz w:val="18"/>
                <w:szCs w:val="18"/>
                <w:lang w:eastAsia="zh-CN"/>
              </w:rPr>
              <w:t xml:space="preserve"> budg</w:t>
            </w:r>
            <w:r w:rsidR="00C673C7">
              <w:rPr>
                <w:rFonts w:eastAsia="SimSun"/>
                <w:sz w:val="18"/>
                <w:szCs w:val="18"/>
                <w:lang w:eastAsia="zh-CN"/>
              </w:rPr>
              <w:t>étaire</w:t>
            </w:r>
            <w:r w:rsidRPr="00F77964">
              <w:rPr>
                <w:rFonts w:eastAsia="SimSun"/>
                <w:sz w:val="18"/>
                <w:szCs w:val="18"/>
                <w:lang w:eastAsia="zh-CN"/>
              </w:rPr>
              <w:t xml:space="preserve"> convenu</w:t>
            </w:r>
            <w:r w:rsidR="00C673C7">
              <w:rPr>
                <w:rFonts w:eastAsia="SimSun"/>
                <w:sz w:val="18"/>
                <w:szCs w:val="18"/>
                <w:lang w:eastAsia="zh-CN"/>
              </w:rPr>
              <w:t>e</w:t>
            </w:r>
            <w:r w:rsidRPr="00F77964">
              <w:rPr>
                <w:rFonts w:eastAsia="SimSun"/>
                <w:sz w:val="18"/>
                <w:szCs w:val="18"/>
                <w:lang w:eastAsia="zh-CN"/>
              </w:rPr>
              <w:t>, après</w:t>
            </w:r>
            <w:r w:rsidR="00E92D62" w:rsidRPr="00F77964">
              <w:rPr>
                <w:rFonts w:eastAsia="SimSun"/>
                <w:sz w:val="18"/>
                <w:szCs w:val="18"/>
                <w:lang w:eastAsia="zh-CN"/>
              </w:rPr>
              <w:t xml:space="preserve"> l’achèvement de</w:t>
            </w:r>
            <w:r w:rsidRPr="00F77964">
              <w:rPr>
                <w:rFonts w:eastAsia="SimSun"/>
                <w:sz w:val="18"/>
                <w:szCs w:val="18"/>
                <w:lang w:eastAsia="zh-CN"/>
              </w:rPr>
              <w:t xml:space="preserve"> l’étude de cadrage détaillée (14 décembre 2013)</w:t>
            </w:r>
          </w:p>
        </w:tc>
      </w:tr>
      <w:tr w:rsidR="00D7471C" w:rsidRPr="0061490E" w:rsidTr="00161811">
        <w:trPr>
          <w:trHeight w:val="584"/>
        </w:trPr>
        <w:tc>
          <w:tcPr>
            <w:tcW w:w="659" w:type="dxa"/>
            <w:vMerge/>
            <w:tcBorders>
              <w:top w:val="single" w:sz="4" w:space="0" w:color="auto"/>
              <w:left w:val="single" w:sz="4" w:space="0" w:color="auto"/>
              <w:bottom w:val="single" w:sz="4" w:space="0" w:color="auto"/>
              <w:right w:val="single" w:sz="4" w:space="0" w:color="auto"/>
            </w:tcBorders>
            <w:vAlign w:val="center"/>
            <w:hideMark/>
          </w:tcPr>
          <w:p w:rsidR="00D7471C" w:rsidRPr="0061490E" w:rsidRDefault="00D7471C" w:rsidP="000C18BD">
            <w:pPr>
              <w:rPr>
                <w:rFonts w:eastAsia="SimSun"/>
                <w:sz w:val="18"/>
                <w:szCs w:val="18"/>
                <w:lang w:eastAsia="zh-CN"/>
              </w:rPr>
            </w:pPr>
          </w:p>
        </w:tc>
        <w:tc>
          <w:tcPr>
            <w:tcW w:w="1320" w:type="dxa"/>
            <w:tcBorders>
              <w:top w:val="single" w:sz="4" w:space="0" w:color="auto"/>
              <w:left w:val="single" w:sz="4" w:space="0" w:color="auto"/>
              <w:bottom w:val="single" w:sz="4" w:space="0" w:color="auto"/>
              <w:right w:val="single" w:sz="4" w:space="0" w:color="auto"/>
            </w:tcBorders>
            <w:hideMark/>
          </w:tcPr>
          <w:p w:rsidR="00D7471C" w:rsidRPr="00F77964" w:rsidRDefault="00D7471C" w:rsidP="000C18BD">
            <w:pPr>
              <w:pStyle w:val="Normal-pool"/>
              <w:spacing w:before="40" w:after="40"/>
              <w:rPr>
                <w:rFonts w:eastAsia="SimSun"/>
                <w:sz w:val="18"/>
                <w:szCs w:val="18"/>
                <w:lang w:eastAsia="zh-CN"/>
              </w:rPr>
            </w:pPr>
            <w:r w:rsidRPr="00F77964">
              <w:rPr>
                <w:rFonts w:eastAsia="SimSun"/>
                <w:sz w:val="18"/>
                <w:szCs w:val="18"/>
                <w:lang w:eastAsia="zh-CN"/>
              </w:rPr>
              <w:t>Quatrième trimestre</w:t>
            </w:r>
          </w:p>
        </w:tc>
        <w:tc>
          <w:tcPr>
            <w:tcW w:w="6095" w:type="dxa"/>
            <w:tcBorders>
              <w:top w:val="single" w:sz="4" w:space="0" w:color="auto"/>
              <w:left w:val="single" w:sz="4" w:space="0" w:color="auto"/>
              <w:bottom w:val="single" w:sz="4" w:space="0" w:color="auto"/>
              <w:right w:val="single" w:sz="4" w:space="0" w:color="auto"/>
            </w:tcBorders>
            <w:hideMark/>
          </w:tcPr>
          <w:p w:rsidR="00D7471C" w:rsidRPr="00F77964" w:rsidRDefault="00D7471C" w:rsidP="00E92D62">
            <w:pPr>
              <w:pStyle w:val="Normal-pool"/>
              <w:spacing w:before="40" w:after="40"/>
              <w:rPr>
                <w:rFonts w:eastAsia="SimSun"/>
                <w:sz w:val="18"/>
                <w:szCs w:val="18"/>
                <w:lang w:eastAsia="zh-CN"/>
              </w:rPr>
            </w:pPr>
            <w:r w:rsidRPr="00F77964">
              <w:rPr>
                <w:rFonts w:eastAsia="SimSun"/>
                <w:sz w:val="18"/>
                <w:szCs w:val="18"/>
                <w:lang w:eastAsia="zh-CN"/>
              </w:rPr>
              <w:t xml:space="preserve">Le Groupe d’experts </w:t>
            </w:r>
            <w:r w:rsidR="00E92D62" w:rsidRPr="00F77964">
              <w:rPr>
                <w:rFonts w:eastAsia="SimSun"/>
                <w:sz w:val="18"/>
                <w:szCs w:val="18"/>
                <w:lang w:eastAsia="zh-CN"/>
              </w:rPr>
              <w:t>multi</w:t>
            </w:r>
            <w:r w:rsidRPr="00F77964">
              <w:rPr>
                <w:rFonts w:eastAsia="SimSun"/>
                <w:sz w:val="18"/>
                <w:szCs w:val="18"/>
                <w:lang w:eastAsia="zh-CN"/>
              </w:rPr>
              <w:t>disciplinaire, par le biais du Secrétariat, demande aux gouvernements et aux autres parties prenantes de proposer des candidatures d’</w:t>
            </w:r>
            <w:r w:rsidR="007A7ABB">
              <w:rPr>
                <w:rFonts w:eastAsia="SimSun"/>
                <w:sz w:val="18"/>
                <w:szCs w:val="18"/>
                <w:lang w:eastAsia="zh-CN"/>
              </w:rPr>
              <w:t>experts susceptibles de contribuer à l’étude</w:t>
            </w:r>
            <w:r w:rsidRPr="00F77964">
              <w:rPr>
                <w:rFonts w:eastAsia="SimSun"/>
                <w:sz w:val="18"/>
                <w:szCs w:val="18"/>
                <w:lang w:eastAsia="zh-CN"/>
              </w:rPr>
              <w:t xml:space="preserve"> de cadrage (16 décembre 2013 – 31 janvier 2014)</w:t>
            </w:r>
          </w:p>
        </w:tc>
      </w:tr>
      <w:tr w:rsidR="008A5DD2" w:rsidRPr="0061490E" w:rsidTr="00161811">
        <w:trPr>
          <w:trHeight w:val="584"/>
        </w:trPr>
        <w:tc>
          <w:tcPr>
            <w:tcW w:w="659" w:type="dxa"/>
            <w:vMerge w:val="restart"/>
            <w:tcBorders>
              <w:top w:val="single" w:sz="4" w:space="0" w:color="auto"/>
              <w:left w:val="single" w:sz="4" w:space="0" w:color="auto"/>
              <w:bottom w:val="single" w:sz="4" w:space="0" w:color="auto"/>
              <w:right w:val="single" w:sz="4" w:space="0" w:color="auto"/>
            </w:tcBorders>
            <w:hideMark/>
          </w:tcPr>
          <w:p w:rsidR="008A5DD2" w:rsidRPr="00F77964" w:rsidRDefault="008A5DD2" w:rsidP="000C18BD">
            <w:pPr>
              <w:pStyle w:val="Normal-pool"/>
              <w:spacing w:before="40" w:after="40"/>
              <w:rPr>
                <w:rFonts w:eastAsia="SimSun"/>
                <w:sz w:val="18"/>
                <w:szCs w:val="18"/>
                <w:lang w:eastAsia="zh-CN"/>
              </w:rPr>
            </w:pPr>
            <w:r w:rsidRPr="00F77964">
              <w:rPr>
                <w:rFonts w:eastAsia="SimSun"/>
                <w:sz w:val="18"/>
                <w:szCs w:val="18"/>
                <w:lang w:eastAsia="zh-CN"/>
              </w:rPr>
              <w:t>2014</w:t>
            </w:r>
          </w:p>
        </w:tc>
        <w:tc>
          <w:tcPr>
            <w:tcW w:w="1320" w:type="dxa"/>
            <w:tcBorders>
              <w:top w:val="single" w:sz="4" w:space="0" w:color="auto"/>
              <w:left w:val="single" w:sz="4" w:space="0" w:color="auto"/>
              <w:bottom w:val="single" w:sz="4" w:space="0" w:color="auto"/>
              <w:right w:val="single" w:sz="4" w:space="0" w:color="auto"/>
            </w:tcBorders>
            <w:hideMark/>
          </w:tcPr>
          <w:p w:rsidR="008A5DD2" w:rsidRPr="00F77964" w:rsidRDefault="008A5DD2" w:rsidP="000C18BD">
            <w:pPr>
              <w:pStyle w:val="Normal-pool"/>
              <w:spacing w:before="40" w:after="40"/>
              <w:rPr>
                <w:rFonts w:eastAsia="SimSun"/>
                <w:sz w:val="18"/>
                <w:szCs w:val="18"/>
                <w:lang w:eastAsia="zh-CN"/>
              </w:rPr>
            </w:pPr>
            <w:r w:rsidRPr="00F77964">
              <w:rPr>
                <w:rFonts w:eastAsia="SimSun"/>
                <w:sz w:val="18"/>
                <w:szCs w:val="18"/>
                <w:lang w:eastAsia="zh-CN"/>
              </w:rPr>
              <w:t>Premier trimestre</w:t>
            </w:r>
          </w:p>
        </w:tc>
        <w:tc>
          <w:tcPr>
            <w:tcW w:w="6095" w:type="dxa"/>
            <w:tcBorders>
              <w:top w:val="single" w:sz="4" w:space="0" w:color="auto"/>
              <w:left w:val="single" w:sz="4" w:space="0" w:color="auto"/>
              <w:bottom w:val="single" w:sz="4" w:space="0" w:color="auto"/>
              <w:right w:val="single" w:sz="4" w:space="0" w:color="auto"/>
            </w:tcBorders>
            <w:vAlign w:val="center"/>
            <w:hideMark/>
          </w:tcPr>
          <w:p w:rsidR="008A5DD2" w:rsidRPr="00F77964" w:rsidRDefault="008A5DD2" w:rsidP="000671DE">
            <w:pPr>
              <w:pStyle w:val="Normal-pool"/>
              <w:spacing w:before="40" w:after="40"/>
              <w:rPr>
                <w:rFonts w:eastAsia="SimSun"/>
                <w:sz w:val="18"/>
                <w:szCs w:val="18"/>
                <w:lang w:eastAsia="zh-CN"/>
              </w:rPr>
            </w:pPr>
            <w:r w:rsidRPr="00F77964">
              <w:rPr>
                <w:rFonts w:eastAsia="SimSun"/>
                <w:sz w:val="18"/>
                <w:szCs w:val="18"/>
                <w:lang w:eastAsia="zh-CN"/>
              </w:rPr>
              <w:t xml:space="preserve">Le Groupe d’experts multidisciplinaire, par le biais de courriels et de téléconférences, choisit des experts pour l’étude de cadrage, en utilisant les critères de sélection approuvés </w:t>
            </w:r>
            <w:r>
              <w:rPr>
                <w:rFonts w:eastAsia="SimSun"/>
                <w:sz w:val="18"/>
                <w:szCs w:val="18"/>
                <w:lang w:eastAsia="zh-CN"/>
              </w:rPr>
              <w:t xml:space="preserve">(voir IPBES/2/9) </w:t>
            </w:r>
            <w:r w:rsidRPr="00F77964">
              <w:rPr>
                <w:rFonts w:eastAsia="SimSun"/>
                <w:sz w:val="18"/>
                <w:szCs w:val="18"/>
                <w:lang w:eastAsia="zh-CN"/>
              </w:rPr>
              <w:t>(1</w:t>
            </w:r>
            <w:r w:rsidR="00817D25" w:rsidRPr="00817D25">
              <w:rPr>
                <w:rFonts w:eastAsia="SimSun"/>
                <w:sz w:val="18"/>
                <w:szCs w:val="18"/>
                <w:vertAlign w:val="superscript"/>
                <w:lang w:eastAsia="zh-CN"/>
              </w:rPr>
              <w:t>er</w:t>
            </w:r>
            <w:r w:rsidRPr="00F77964">
              <w:rPr>
                <w:rFonts w:eastAsia="SimSun"/>
                <w:sz w:val="18"/>
                <w:szCs w:val="18"/>
                <w:lang w:eastAsia="zh-CN"/>
              </w:rPr>
              <w:t>–14 février)</w:t>
            </w:r>
          </w:p>
        </w:tc>
      </w:tr>
      <w:tr w:rsidR="008A5DD2" w:rsidRPr="0061490E" w:rsidTr="00161811">
        <w:trPr>
          <w:trHeight w:val="276"/>
        </w:trPr>
        <w:tc>
          <w:tcPr>
            <w:tcW w:w="659" w:type="dxa"/>
            <w:vMerge/>
            <w:tcBorders>
              <w:top w:val="single" w:sz="4" w:space="0" w:color="auto"/>
              <w:left w:val="single" w:sz="4" w:space="0" w:color="auto"/>
              <w:bottom w:val="single" w:sz="4" w:space="0" w:color="auto"/>
              <w:right w:val="single" w:sz="4" w:space="0" w:color="auto"/>
            </w:tcBorders>
            <w:vAlign w:val="center"/>
            <w:hideMark/>
          </w:tcPr>
          <w:p w:rsidR="008A5DD2" w:rsidRPr="0061490E" w:rsidRDefault="008A5DD2" w:rsidP="000C18BD">
            <w:pPr>
              <w:rPr>
                <w:rFonts w:eastAsia="SimSun"/>
                <w:sz w:val="18"/>
                <w:szCs w:val="18"/>
                <w:lang w:eastAsia="zh-CN"/>
              </w:rPr>
            </w:pPr>
          </w:p>
        </w:tc>
        <w:tc>
          <w:tcPr>
            <w:tcW w:w="1320" w:type="dxa"/>
            <w:tcBorders>
              <w:top w:val="single" w:sz="4" w:space="0" w:color="auto"/>
              <w:left w:val="single" w:sz="4" w:space="0" w:color="auto"/>
              <w:bottom w:val="single" w:sz="4" w:space="0" w:color="auto"/>
              <w:right w:val="single" w:sz="4" w:space="0" w:color="auto"/>
            </w:tcBorders>
            <w:hideMark/>
          </w:tcPr>
          <w:p w:rsidR="008A5DD2" w:rsidRPr="00F77964" w:rsidRDefault="008A5DD2" w:rsidP="000C18BD">
            <w:pPr>
              <w:pStyle w:val="Normal-pool"/>
              <w:spacing w:before="40" w:after="40"/>
              <w:rPr>
                <w:rFonts w:eastAsia="SimSun"/>
                <w:sz w:val="18"/>
                <w:szCs w:val="18"/>
                <w:lang w:eastAsia="zh-CN"/>
              </w:rPr>
            </w:pPr>
            <w:r w:rsidRPr="00F77964">
              <w:rPr>
                <w:rFonts w:eastAsia="SimSun"/>
                <w:sz w:val="18"/>
                <w:szCs w:val="18"/>
                <w:lang w:eastAsia="zh-CN"/>
              </w:rPr>
              <w:t>D</w:t>
            </w:r>
            <w:r>
              <w:rPr>
                <w:rFonts w:eastAsia="SimSun"/>
                <w:sz w:val="18"/>
                <w:szCs w:val="18"/>
                <w:lang w:eastAsia="zh-CN"/>
              </w:rPr>
              <w:t>euxième trimestre</w:t>
            </w:r>
          </w:p>
        </w:tc>
        <w:tc>
          <w:tcPr>
            <w:tcW w:w="6095" w:type="dxa"/>
            <w:tcBorders>
              <w:top w:val="single" w:sz="4" w:space="0" w:color="auto"/>
              <w:left w:val="single" w:sz="4" w:space="0" w:color="auto"/>
              <w:bottom w:val="single" w:sz="4" w:space="0" w:color="auto"/>
              <w:right w:val="single" w:sz="4" w:space="0" w:color="auto"/>
            </w:tcBorders>
            <w:hideMark/>
          </w:tcPr>
          <w:p w:rsidR="008A5DD2" w:rsidRPr="00F77964" w:rsidRDefault="008A5DD2" w:rsidP="000671DE">
            <w:pPr>
              <w:pStyle w:val="Normal-pool"/>
              <w:spacing w:before="40" w:after="40"/>
              <w:rPr>
                <w:rFonts w:eastAsia="SimSun"/>
                <w:sz w:val="18"/>
                <w:szCs w:val="18"/>
                <w:lang w:eastAsia="zh-CN"/>
              </w:rPr>
            </w:pPr>
            <w:r w:rsidRPr="00F77964">
              <w:rPr>
                <w:rFonts w:eastAsia="SimSun"/>
                <w:sz w:val="18"/>
                <w:szCs w:val="18"/>
                <w:lang w:eastAsia="zh-CN"/>
              </w:rPr>
              <w:t xml:space="preserve">Le Groupe d’experts multidisciplinaire et le Bureau supervisent l’exercice de cadrage détaillé, </w:t>
            </w:r>
            <w:r>
              <w:rPr>
                <w:sz w:val="18"/>
                <w:szCs w:val="18"/>
                <w:lang w:val="fr-CA"/>
              </w:rPr>
              <w:t xml:space="preserve">y compris l’établissement d’un plan, d’une estimation des coûts et d’une étude de faisabilité </w:t>
            </w:r>
            <w:r w:rsidRPr="00F77964">
              <w:rPr>
                <w:rFonts w:eastAsia="SimSun"/>
                <w:sz w:val="18"/>
                <w:szCs w:val="18"/>
                <w:lang w:eastAsia="zh-CN"/>
              </w:rPr>
              <w:t xml:space="preserve">(3 mois). Une réunion de cadrage </w:t>
            </w:r>
            <w:r>
              <w:rPr>
                <w:rFonts w:eastAsia="SimSun"/>
                <w:sz w:val="18"/>
                <w:szCs w:val="18"/>
                <w:lang w:eastAsia="zh-CN"/>
              </w:rPr>
              <w:t xml:space="preserve">a lieu début </w:t>
            </w:r>
            <w:r w:rsidRPr="00F77964">
              <w:rPr>
                <w:rFonts w:eastAsia="SimSun"/>
                <w:sz w:val="18"/>
                <w:szCs w:val="18"/>
                <w:lang w:eastAsia="zh-CN"/>
              </w:rPr>
              <w:t>avril</w:t>
            </w:r>
          </w:p>
        </w:tc>
      </w:tr>
      <w:tr w:rsidR="008A5DD2" w:rsidRPr="0061490E" w:rsidTr="00161811">
        <w:trPr>
          <w:trHeight w:val="584"/>
        </w:trPr>
        <w:tc>
          <w:tcPr>
            <w:tcW w:w="659" w:type="dxa"/>
            <w:vMerge/>
            <w:tcBorders>
              <w:top w:val="single" w:sz="4" w:space="0" w:color="auto"/>
              <w:left w:val="single" w:sz="4" w:space="0" w:color="auto"/>
              <w:bottom w:val="single" w:sz="4" w:space="0" w:color="auto"/>
              <w:right w:val="single" w:sz="4" w:space="0" w:color="auto"/>
            </w:tcBorders>
            <w:vAlign w:val="center"/>
            <w:hideMark/>
          </w:tcPr>
          <w:p w:rsidR="008A5DD2" w:rsidRPr="0061490E" w:rsidRDefault="008A5DD2" w:rsidP="000C18BD">
            <w:pPr>
              <w:rPr>
                <w:rFonts w:eastAsia="SimSun"/>
                <w:sz w:val="18"/>
                <w:szCs w:val="18"/>
                <w:lang w:eastAsia="zh-CN"/>
              </w:rPr>
            </w:pPr>
          </w:p>
        </w:tc>
        <w:tc>
          <w:tcPr>
            <w:tcW w:w="1320" w:type="dxa"/>
            <w:tcBorders>
              <w:top w:val="single" w:sz="4" w:space="0" w:color="auto"/>
              <w:left w:val="single" w:sz="4" w:space="0" w:color="auto"/>
              <w:bottom w:val="single" w:sz="4" w:space="0" w:color="auto"/>
              <w:right w:val="single" w:sz="4" w:space="0" w:color="auto"/>
            </w:tcBorders>
            <w:hideMark/>
          </w:tcPr>
          <w:p w:rsidR="008A5DD2" w:rsidRPr="00F77964" w:rsidRDefault="008A5DD2" w:rsidP="000C18BD">
            <w:pPr>
              <w:pStyle w:val="Normal-pool"/>
              <w:spacing w:before="40" w:after="40"/>
              <w:rPr>
                <w:rFonts w:eastAsia="SimSun"/>
                <w:sz w:val="18"/>
                <w:szCs w:val="18"/>
                <w:lang w:eastAsia="zh-CN"/>
              </w:rPr>
            </w:pPr>
            <w:r w:rsidRPr="00F77964">
              <w:rPr>
                <w:rFonts w:eastAsia="SimSun"/>
                <w:sz w:val="18"/>
                <w:szCs w:val="18"/>
                <w:lang w:eastAsia="zh-CN"/>
              </w:rPr>
              <w:t>D</w:t>
            </w:r>
            <w:r>
              <w:rPr>
                <w:rFonts w:eastAsia="SimSun"/>
                <w:sz w:val="18"/>
                <w:szCs w:val="18"/>
                <w:lang w:eastAsia="zh-CN"/>
              </w:rPr>
              <w:t>euxième trimestre</w:t>
            </w:r>
          </w:p>
        </w:tc>
        <w:tc>
          <w:tcPr>
            <w:tcW w:w="6095" w:type="dxa"/>
            <w:tcBorders>
              <w:top w:val="single" w:sz="4" w:space="0" w:color="auto"/>
              <w:left w:val="single" w:sz="4" w:space="0" w:color="auto"/>
              <w:bottom w:val="single" w:sz="4" w:space="0" w:color="auto"/>
              <w:right w:val="single" w:sz="4" w:space="0" w:color="auto"/>
            </w:tcBorders>
            <w:hideMark/>
          </w:tcPr>
          <w:p w:rsidR="008A5DD2" w:rsidRPr="00F77964" w:rsidRDefault="008A5DD2" w:rsidP="000671DE">
            <w:pPr>
              <w:pStyle w:val="Normal-pool"/>
              <w:spacing w:before="40" w:after="40"/>
              <w:rPr>
                <w:rFonts w:eastAsia="SimSun"/>
                <w:sz w:val="18"/>
                <w:szCs w:val="18"/>
                <w:lang w:eastAsia="zh-CN"/>
              </w:rPr>
            </w:pPr>
            <w:r w:rsidRPr="00F77964">
              <w:rPr>
                <w:rFonts w:eastAsia="SimSun"/>
                <w:sz w:val="18"/>
                <w:szCs w:val="18"/>
                <w:lang w:eastAsia="zh-CN"/>
              </w:rPr>
              <w:t>Le rapport de cadrage détaillé est communiqué aux membres de la Plateforme et autres parties prenantes</w:t>
            </w:r>
            <w:r>
              <w:rPr>
                <w:rFonts w:eastAsia="SimSun"/>
                <w:sz w:val="18"/>
                <w:szCs w:val="18"/>
                <w:lang w:eastAsia="zh-CN"/>
              </w:rPr>
              <w:t>,</w:t>
            </w:r>
            <w:r w:rsidRPr="00F77964">
              <w:rPr>
                <w:rFonts w:eastAsia="SimSun"/>
                <w:sz w:val="18"/>
                <w:szCs w:val="18"/>
                <w:lang w:eastAsia="zh-CN"/>
              </w:rPr>
              <w:t xml:space="preserve"> </w:t>
            </w:r>
            <w:r>
              <w:rPr>
                <w:sz w:val="18"/>
                <w:szCs w:val="18"/>
                <w:lang w:val="fr-CA"/>
              </w:rPr>
              <w:t>qui ont deux semaines, au cours de la deuxième moitié d’avril, pour l’examiner et formuler des observations.</w:t>
            </w:r>
          </w:p>
        </w:tc>
      </w:tr>
      <w:tr w:rsidR="008A5DD2" w:rsidRPr="0061490E" w:rsidTr="00161811">
        <w:trPr>
          <w:trHeight w:val="274"/>
        </w:trPr>
        <w:tc>
          <w:tcPr>
            <w:tcW w:w="659" w:type="dxa"/>
            <w:vMerge/>
            <w:tcBorders>
              <w:top w:val="single" w:sz="4" w:space="0" w:color="auto"/>
              <w:left w:val="single" w:sz="4" w:space="0" w:color="auto"/>
              <w:bottom w:val="single" w:sz="4" w:space="0" w:color="auto"/>
              <w:right w:val="single" w:sz="4" w:space="0" w:color="auto"/>
            </w:tcBorders>
            <w:vAlign w:val="center"/>
            <w:hideMark/>
          </w:tcPr>
          <w:p w:rsidR="008A5DD2" w:rsidRPr="0061490E" w:rsidRDefault="008A5DD2" w:rsidP="000C18BD">
            <w:pPr>
              <w:rPr>
                <w:rFonts w:eastAsia="SimSun"/>
                <w:sz w:val="18"/>
                <w:szCs w:val="18"/>
                <w:lang w:eastAsia="zh-CN"/>
              </w:rPr>
            </w:pPr>
          </w:p>
        </w:tc>
        <w:tc>
          <w:tcPr>
            <w:tcW w:w="1320" w:type="dxa"/>
            <w:tcBorders>
              <w:top w:val="single" w:sz="4" w:space="0" w:color="auto"/>
              <w:left w:val="single" w:sz="4" w:space="0" w:color="auto"/>
              <w:bottom w:val="single" w:sz="4" w:space="0" w:color="auto"/>
              <w:right w:val="single" w:sz="4" w:space="0" w:color="auto"/>
            </w:tcBorders>
            <w:hideMark/>
          </w:tcPr>
          <w:p w:rsidR="008A5DD2" w:rsidRPr="00F77964" w:rsidRDefault="008A5DD2" w:rsidP="000C18BD">
            <w:pPr>
              <w:pStyle w:val="Normal-pool"/>
              <w:spacing w:before="40" w:after="40"/>
              <w:rPr>
                <w:rFonts w:eastAsia="SimSun"/>
                <w:sz w:val="18"/>
                <w:szCs w:val="18"/>
                <w:lang w:eastAsia="zh-CN"/>
              </w:rPr>
            </w:pPr>
            <w:r w:rsidRPr="00F77964">
              <w:rPr>
                <w:rFonts w:eastAsia="SimSun"/>
                <w:sz w:val="18"/>
                <w:szCs w:val="18"/>
                <w:lang w:eastAsia="zh-CN"/>
              </w:rPr>
              <w:t>D</w:t>
            </w:r>
            <w:r>
              <w:rPr>
                <w:rFonts w:eastAsia="SimSun"/>
                <w:sz w:val="18"/>
                <w:szCs w:val="18"/>
                <w:lang w:eastAsia="zh-CN"/>
              </w:rPr>
              <w:t>euxième trimestre</w:t>
            </w:r>
          </w:p>
        </w:tc>
        <w:tc>
          <w:tcPr>
            <w:tcW w:w="6095" w:type="dxa"/>
            <w:tcBorders>
              <w:top w:val="single" w:sz="4" w:space="0" w:color="auto"/>
              <w:left w:val="single" w:sz="4" w:space="0" w:color="auto"/>
              <w:bottom w:val="single" w:sz="4" w:space="0" w:color="auto"/>
              <w:right w:val="single" w:sz="4" w:space="0" w:color="auto"/>
            </w:tcBorders>
            <w:hideMark/>
          </w:tcPr>
          <w:p w:rsidR="008A5DD2" w:rsidRPr="00F77964" w:rsidRDefault="008A5DD2" w:rsidP="000671DE">
            <w:pPr>
              <w:pStyle w:val="Normal-pool"/>
              <w:spacing w:before="40" w:after="40"/>
              <w:rPr>
                <w:rFonts w:eastAsia="SimSun"/>
                <w:sz w:val="18"/>
                <w:szCs w:val="18"/>
                <w:lang w:eastAsia="zh-CN"/>
              </w:rPr>
            </w:pPr>
            <w:r w:rsidRPr="00F77964">
              <w:rPr>
                <w:rFonts w:eastAsia="SimSun"/>
                <w:sz w:val="18"/>
                <w:szCs w:val="18"/>
                <w:lang w:eastAsia="zh-CN"/>
              </w:rPr>
              <w:t>Sur la base des résultats de l’exercice de cadrage détaillé</w:t>
            </w:r>
            <w:r>
              <w:rPr>
                <w:rFonts w:eastAsia="SimSun"/>
                <w:sz w:val="18"/>
                <w:szCs w:val="18"/>
                <w:lang w:eastAsia="zh-CN"/>
              </w:rPr>
              <w:t xml:space="preserve"> et</w:t>
            </w:r>
            <w:r w:rsidRPr="00F77964">
              <w:rPr>
                <w:rFonts w:eastAsia="SimSun"/>
                <w:sz w:val="18"/>
                <w:szCs w:val="18"/>
                <w:lang w:eastAsia="zh-CN"/>
              </w:rPr>
              <w:t xml:space="preserve"> des observations </w:t>
            </w:r>
            <w:r>
              <w:rPr>
                <w:rFonts w:eastAsia="SimSun"/>
                <w:sz w:val="18"/>
                <w:szCs w:val="18"/>
                <w:lang w:eastAsia="zh-CN"/>
              </w:rPr>
              <w:t>faites par l</w:t>
            </w:r>
            <w:r w:rsidRPr="00F77964">
              <w:rPr>
                <w:rFonts w:eastAsia="SimSun"/>
                <w:sz w:val="18"/>
                <w:szCs w:val="18"/>
                <w:lang w:eastAsia="zh-CN"/>
              </w:rPr>
              <w:t xml:space="preserve">es membres de la Plateforme et </w:t>
            </w:r>
            <w:r>
              <w:rPr>
                <w:rFonts w:eastAsia="SimSun"/>
                <w:sz w:val="18"/>
                <w:szCs w:val="18"/>
                <w:lang w:eastAsia="zh-CN"/>
              </w:rPr>
              <w:t>l</w:t>
            </w:r>
            <w:r w:rsidRPr="00F77964">
              <w:rPr>
                <w:rFonts w:eastAsia="SimSun"/>
                <w:sz w:val="18"/>
                <w:szCs w:val="18"/>
                <w:lang w:eastAsia="zh-CN"/>
              </w:rPr>
              <w:t xml:space="preserve">es autres parties prenantes, le Groupe et le Bureau </w:t>
            </w:r>
            <w:r w:rsidR="000671DE" w:rsidRPr="00F77964">
              <w:rPr>
                <w:rFonts w:eastAsia="SimSun"/>
                <w:sz w:val="18"/>
                <w:szCs w:val="18"/>
                <w:lang w:eastAsia="zh-CN"/>
              </w:rPr>
              <w:t xml:space="preserve">décident s’il convient </w:t>
            </w:r>
            <w:r w:rsidR="000671DE">
              <w:rPr>
                <w:rFonts w:eastAsia="SimSun"/>
                <w:sz w:val="18"/>
                <w:szCs w:val="18"/>
                <w:lang w:eastAsia="zh-CN"/>
              </w:rPr>
              <w:t xml:space="preserve">ou non </w:t>
            </w:r>
            <w:r w:rsidR="000671DE" w:rsidRPr="00F77964">
              <w:rPr>
                <w:rFonts w:eastAsia="SimSun"/>
                <w:sz w:val="18"/>
                <w:szCs w:val="18"/>
                <w:lang w:eastAsia="zh-CN"/>
              </w:rPr>
              <w:t>d</w:t>
            </w:r>
            <w:r w:rsidR="000671DE">
              <w:rPr>
                <w:rFonts w:eastAsia="SimSun"/>
                <w:sz w:val="18"/>
                <w:szCs w:val="18"/>
                <w:lang w:eastAsia="zh-CN"/>
              </w:rPr>
              <w:t>’entreprendre</w:t>
            </w:r>
            <w:r w:rsidR="000671DE" w:rsidRPr="00F77964">
              <w:rPr>
                <w:rFonts w:eastAsia="SimSun"/>
                <w:sz w:val="18"/>
                <w:szCs w:val="18"/>
                <w:lang w:eastAsia="zh-CN"/>
              </w:rPr>
              <w:t xml:space="preserve"> l’évaluation, </w:t>
            </w:r>
            <w:r w:rsidR="000671DE">
              <w:rPr>
                <w:rFonts w:eastAsia="SimSun"/>
                <w:sz w:val="18"/>
                <w:szCs w:val="18"/>
                <w:lang w:eastAsia="zh-CN"/>
              </w:rPr>
              <w:t>à supposer</w:t>
            </w:r>
            <w:r w:rsidR="000671DE" w:rsidRPr="00F77964">
              <w:rPr>
                <w:rFonts w:eastAsia="SimSun"/>
                <w:sz w:val="18"/>
                <w:szCs w:val="18"/>
                <w:lang w:eastAsia="zh-CN"/>
              </w:rPr>
              <w:t xml:space="preserve"> qu’elle puisse être menée dans </w:t>
            </w:r>
            <w:r w:rsidR="000671DE">
              <w:rPr>
                <w:rFonts w:eastAsia="SimSun"/>
                <w:sz w:val="18"/>
                <w:szCs w:val="18"/>
                <w:lang w:eastAsia="zh-CN"/>
              </w:rPr>
              <w:t xml:space="preserve">les limites de </w:t>
            </w:r>
            <w:r w:rsidR="000671DE" w:rsidRPr="00F77964">
              <w:rPr>
                <w:rFonts w:eastAsia="SimSun"/>
                <w:sz w:val="18"/>
                <w:szCs w:val="18"/>
                <w:lang w:eastAsia="zh-CN"/>
              </w:rPr>
              <w:t xml:space="preserve">l’enveloppe budgétaire approuvée par la Plénière </w:t>
            </w:r>
            <w:r w:rsidR="000671DE">
              <w:rPr>
                <w:rFonts w:eastAsia="SimSun"/>
                <w:sz w:val="18"/>
                <w:szCs w:val="18"/>
                <w:lang w:eastAsia="zh-CN"/>
              </w:rPr>
              <w:t>dans</w:t>
            </w:r>
            <w:r w:rsidR="000671DE" w:rsidRPr="00F77964">
              <w:rPr>
                <w:rFonts w:eastAsia="SimSun"/>
                <w:sz w:val="18"/>
                <w:szCs w:val="18"/>
                <w:lang w:eastAsia="zh-CN"/>
              </w:rPr>
              <w:t xml:space="preserve"> la première moitié de mai</w:t>
            </w:r>
          </w:p>
        </w:tc>
      </w:tr>
      <w:tr w:rsidR="000671DE" w:rsidRPr="0061490E" w:rsidTr="00161811">
        <w:trPr>
          <w:trHeight w:val="132"/>
        </w:trPr>
        <w:tc>
          <w:tcPr>
            <w:tcW w:w="659" w:type="dxa"/>
            <w:vMerge/>
            <w:tcBorders>
              <w:top w:val="single" w:sz="4" w:space="0" w:color="auto"/>
              <w:left w:val="single" w:sz="4" w:space="0" w:color="auto"/>
              <w:bottom w:val="single" w:sz="4" w:space="0" w:color="auto"/>
              <w:right w:val="single" w:sz="4" w:space="0" w:color="auto"/>
            </w:tcBorders>
            <w:vAlign w:val="center"/>
            <w:hideMark/>
          </w:tcPr>
          <w:p w:rsidR="000671DE" w:rsidRPr="0061490E" w:rsidRDefault="000671DE" w:rsidP="000C18BD">
            <w:pPr>
              <w:rPr>
                <w:rFonts w:eastAsia="SimSun"/>
                <w:sz w:val="18"/>
                <w:szCs w:val="18"/>
                <w:lang w:eastAsia="zh-CN"/>
              </w:rPr>
            </w:pPr>
          </w:p>
        </w:tc>
        <w:tc>
          <w:tcPr>
            <w:tcW w:w="1320" w:type="dxa"/>
            <w:tcBorders>
              <w:top w:val="single" w:sz="4" w:space="0" w:color="auto"/>
              <w:left w:val="single" w:sz="4" w:space="0" w:color="auto"/>
              <w:bottom w:val="single" w:sz="4" w:space="0" w:color="auto"/>
              <w:right w:val="single" w:sz="4" w:space="0" w:color="auto"/>
            </w:tcBorders>
            <w:hideMark/>
          </w:tcPr>
          <w:p w:rsidR="000671DE" w:rsidRPr="00F77964" w:rsidRDefault="000671DE" w:rsidP="000C18BD">
            <w:pPr>
              <w:pStyle w:val="Normal-pool"/>
              <w:spacing w:before="40" w:after="40"/>
              <w:rPr>
                <w:rFonts w:eastAsia="SimSun"/>
                <w:sz w:val="18"/>
                <w:szCs w:val="18"/>
                <w:lang w:eastAsia="zh-CN"/>
              </w:rPr>
            </w:pPr>
            <w:r w:rsidRPr="00F77964">
              <w:rPr>
                <w:rFonts w:eastAsia="SimSun"/>
                <w:sz w:val="18"/>
                <w:szCs w:val="18"/>
                <w:lang w:eastAsia="zh-CN"/>
              </w:rPr>
              <w:t>Deuxième trimestre</w:t>
            </w:r>
          </w:p>
        </w:tc>
        <w:tc>
          <w:tcPr>
            <w:tcW w:w="6095" w:type="dxa"/>
            <w:tcBorders>
              <w:top w:val="single" w:sz="4" w:space="0" w:color="auto"/>
              <w:left w:val="single" w:sz="4" w:space="0" w:color="auto"/>
              <w:bottom w:val="single" w:sz="4" w:space="0" w:color="auto"/>
              <w:right w:val="single" w:sz="4" w:space="0" w:color="auto"/>
            </w:tcBorders>
            <w:hideMark/>
          </w:tcPr>
          <w:p w:rsidR="000671DE" w:rsidRPr="00F77964" w:rsidRDefault="000671DE" w:rsidP="000671DE">
            <w:pPr>
              <w:pStyle w:val="Normal-pool"/>
              <w:spacing w:before="40" w:after="40"/>
              <w:rPr>
                <w:rFonts w:eastAsia="SimSun"/>
                <w:sz w:val="18"/>
                <w:szCs w:val="18"/>
                <w:lang w:eastAsia="zh-CN"/>
              </w:rPr>
            </w:pPr>
            <w:r w:rsidRPr="00F77964">
              <w:rPr>
                <w:rFonts w:eastAsia="SimSun"/>
                <w:sz w:val="18"/>
                <w:szCs w:val="18"/>
                <w:lang w:eastAsia="zh-CN"/>
              </w:rPr>
              <w:t>Le Groupe d’experts multidisciplinaire, par le biais du Secrétariat, demande aux gouvernements et aux autres parties prenantes de désigner des experts pour établir le rapport</w:t>
            </w:r>
            <w:r>
              <w:rPr>
                <w:rFonts w:eastAsia="SimSun"/>
                <w:sz w:val="18"/>
                <w:szCs w:val="18"/>
                <w:lang w:eastAsia="zh-CN"/>
              </w:rPr>
              <w:t xml:space="preserve"> d’évaluation.</w:t>
            </w:r>
            <w:r w:rsidRPr="00F77964">
              <w:rPr>
                <w:rFonts w:eastAsia="SimSun"/>
                <w:sz w:val="18"/>
                <w:szCs w:val="18"/>
                <w:lang w:eastAsia="zh-CN"/>
              </w:rPr>
              <w:t xml:space="preserve"> </w:t>
            </w:r>
            <w:r>
              <w:rPr>
                <w:sz w:val="18"/>
                <w:szCs w:val="18"/>
                <w:lang w:val="fr-CA"/>
              </w:rPr>
              <w:t>Les nominations doivent être communiquées</w:t>
            </w:r>
            <w:r>
              <w:rPr>
                <w:rFonts w:eastAsia="SimSun"/>
                <w:sz w:val="18"/>
                <w:szCs w:val="18"/>
                <w:lang w:eastAsia="zh-CN"/>
              </w:rPr>
              <w:t xml:space="preserve"> au plus tard</w:t>
            </w:r>
            <w:r w:rsidRPr="00F77964">
              <w:rPr>
                <w:rFonts w:eastAsia="SimSun"/>
                <w:sz w:val="18"/>
                <w:szCs w:val="18"/>
                <w:lang w:eastAsia="zh-CN"/>
              </w:rPr>
              <w:t xml:space="preserve"> fin juin (1,5 mois)</w:t>
            </w:r>
          </w:p>
        </w:tc>
      </w:tr>
      <w:tr w:rsidR="000671DE" w:rsidRPr="0061490E" w:rsidTr="00161811">
        <w:trPr>
          <w:trHeight w:val="584"/>
        </w:trPr>
        <w:tc>
          <w:tcPr>
            <w:tcW w:w="659" w:type="dxa"/>
            <w:vMerge/>
            <w:tcBorders>
              <w:top w:val="single" w:sz="4" w:space="0" w:color="auto"/>
              <w:left w:val="single" w:sz="4" w:space="0" w:color="auto"/>
              <w:bottom w:val="single" w:sz="4" w:space="0" w:color="auto"/>
              <w:right w:val="single" w:sz="4" w:space="0" w:color="auto"/>
            </w:tcBorders>
            <w:vAlign w:val="center"/>
            <w:hideMark/>
          </w:tcPr>
          <w:p w:rsidR="000671DE" w:rsidRPr="0061490E" w:rsidRDefault="000671DE" w:rsidP="000C18BD">
            <w:pPr>
              <w:rPr>
                <w:rFonts w:eastAsia="SimSun"/>
                <w:sz w:val="18"/>
                <w:szCs w:val="18"/>
                <w:lang w:eastAsia="zh-CN"/>
              </w:rPr>
            </w:pPr>
          </w:p>
        </w:tc>
        <w:tc>
          <w:tcPr>
            <w:tcW w:w="1320" w:type="dxa"/>
            <w:tcBorders>
              <w:top w:val="single" w:sz="4" w:space="0" w:color="auto"/>
              <w:left w:val="single" w:sz="4" w:space="0" w:color="auto"/>
              <w:bottom w:val="single" w:sz="4" w:space="0" w:color="auto"/>
              <w:right w:val="single" w:sz="4" w:space="0" w:color="auto"/>
            </w:tcBorders>
            <w:hideMark/>
          </w:tcPr>
          <w:p w:rsidR="000671DE" w:rsidRPr="00F77964" w:rsidRDefault="000671DE" w:rsidP="000C18BD">
            <w:pPr>
              <w:pStyle w:val="Normal-pool"/>
              <w:spacing w:before="40" w:after="40"/>
              <w:rPr>
                <w:rFonts w:eastAsia="SimSun"/>
                <w:sz w:val="18"/>
                <w:szCs w:val="18"/>
                <w:lang w:eastAsia="zh-CN"/>
              </w:rPr>
            </w:pPr>
            <w:r w:rsidRPr="00F77964">
              <w:rPr>
                <w:rFonts w:eastAsia="SimSun"/>
                <w:sz w:val="18"/>
                <w:szCs w:val="18"/>
                <w:lang w:eastAsia="zh-CN"/>
              </w:rPr>
              <w:t>Troisième trimestre</w:t>
            </w:r>
          </w:p>
        </w:tc>
        <w:tc>
          <w:tcPr>
            <w:tcW w:w="6095" w:type="dxa"/>
            <w:tcBorders>
              <w:top w:val="single" w:sz="4" w:space="0" w:color="auto"/>
              <w:left w:val="single" w:sz="4" w:space="0" w:color="auto"/>
              <w:bottom w:val="single" w:sz="4" w:space="0" w:color="auto"/>
              <w:right w:val="single" w:sz="4" w:space="0" w:color="auto"/>
            </w:tcBorders>
            <w:hideMark/>
          </w:tcPr>
          <w:p w:rsidR="000671DE" w:rsidRPr="00F77964" w:rsidRDefault="000671DE" w:rsidP="00AD5BCB">
            <w:pPr>
              <w:pStyle w:val="Normal-pool"/>
              <w:spacing w:before="40" w:after="40"/>
              <w:rPr>
                <w:rFonts w:eastAsia="SimSun"/>
                <w:sz w:val="18"/>
                <w:szCs w:val="18"/>
                <w:lang w:eastAsia="zh-CN"/>
              </w:rPr>
            </w:pPr>
            <w:r w:rsidRPr="00F77964">
              <w:rPr>
                <w:rFonts w:eastAsia="SimSun"/>
                <w:sz w:val="18"/>
                <w:szCs w:val="18"/>
                <w:lang w:eastAsia="zh-CN"/>
              </w:rPr>
              <w:t xml:space="preserve">Le Groupe d’experts multidisciplinaire choisit les </w:t>
            </w:r>
            <w:r w:rsidR="006E337B">
              <w:rPr>
                <w:rFonts w:eastAsia="SimSun"/>
                <w:sz w:val="18"/>
                <w:szCs w:val="18"/>
                <w:lang w:eastAsia="zh-CN"/>
              </w:rPr>
              <w:t>coprésidents</w:t>
            </w:r>
            <w:r w:rsidRPr="00F77964">
              <w:rPr>
                <w:rFonts w:eastAsia="SimSun"/>
                <w:sz w:val="18"/>
                <w:szCs w:val="18"/>
                <w:lang w:eastAsia="zh-CN"/>
              </w:rPr>
              <w:t xml:space="preserve">, les auteurs coordonnateurs principaux, les auteurs principaux et les éditeurs-réviseurs, en utilisant les critères de sélection </w:t>
            </w:r>
            <w:r>
              <w:rPr>
                <w:rFonts w:eastAsia="SimSun"/>
                <w:sz w:val="18"/>
                <w:szCs w:val="18"/>
                <w:lang w:eastAsia="zh-CN"/>
              </w:rPr>
              <w:t xml:space="preserve">approuvés </w:t>
            </w:r>
            <w:r w:rsidRPr="00F77964">
              <w:rPr>
                <w:rFonts w:eastAsia="SimSun"/>
                <w:sz w:val="18"/>
                <w:szCs w:val="18"/>
                <w:lang w:eastAsia="zh-CN"/>
              </w:rPr>
              <w:t>(</w:t>
            </w:r>
            <w:r>
              <w:rPr>
                <w:rFonts w:eastAsia="SimSun"/>
                <w:sz w:val="18"/>
                <w:szCs w:val="18"/>
                <w:lang w:eastAsia="zh-CN"/>
              </w:rPr>
              <w:t xml:space="preserve">voir </w:t>
            </w:r>
            <w:r w:rsidRPr="00F77964">
              <w:rPr>
                <w:rFonts w:eastAsia="SimSun"/>
                <w:sz w:val="18"/>
                <w:szCs w:val="18"/>
                <w:lang w:eastAsia="zh-CN"/>
              </w:rPr>
              <w:t>IPBES/2/9) (1er juillet</w:t>
            </w:r>
            <w:r w:rsidR="00817D25">
              <w:rPr>
                <w:rFonts w:eastAsia="SimSun"/>
                <w:sz w:val="18"/>
                <w:szCs w:val="18"/>
                <w:lang w:eastAsia="zh-CN"/>
              </w:rPr>
              <w:t xml:space="preserve"> </w:t>
            </w:r>
            <w:r w:rsidRPr="00F77964">
              <w:rPr>
                <w:rFonts w:eastAsia="SimSun"/>
                <w:sz w:val="18"/>
                <w:szCs w:val="18"/>
                <w:lang w:eastAsia="zh-CN"/>
              </w:rPr>
              <w:t>–</w:t>
            </w:r>
            <w:r w:rsidR="00817D25">
              <w:rPr>
                <w:rFonts w:eastAsia="SimSun"/>
                <w:sz w:val="18"/>
                <w:szCs w:val="18"/>
                <w:lang w:eastAsia="zh-CN"/>
              </w:rPr>
              <w:t xml:space="preserve"> </w:t>
            </w:r>
            <w:r w:rsidRPr="00F77964">
              <w:rPr>
                <w:rFonts w:eastAsia="SimSun"/>
                <w:sz w:val="18"/>
                <w:szCs w:val="18"/>
                <w:lang w:eastAsia="zh-CN"/>
              </w:rPr>
              <w:t>15 août</w:t>
            </w:r>
            <w:r>
              <w:rPr>
                <w:rFonts w:eastAsia="SimSun"/>
                <w:sz w:val="18"/>
                <w:szCs w:val="18"/>
                <w:lang w:eastAsia="zh-CN"/>
              </w:rPr>
              <w:t xml:space="preserve"> 2014</w:t>
            </w:r>
            <w:r w:rsidRPr="00F77964">
              <w:rPr>
                <w:rFonts w:eastAsia="SimSun"/>
                <w:sz w:val="18"/>
                <w:szCs w:val="18"/>
                <w:lang w:eastAsia="zh-CN"/>
              </w:rPr>
              <w:t>) (1,5 mois)</w:t>
            </w:r>
          </w:p>
        </w:tc>
      </w:tr>
      <w:tr w:rsidR="00D7471C" w:rsidRPr="0061490E" w:rsidTr="00161811">
        <w:trPr>
          <w:trHeight w:val="584"/>
        </w:trPr>
        <w:tc>
          <w:tcPr>
            <w:tcW w:w="659" w:type="dxa"/>
            <w:vMerge/>
            <w:tcBorders>
              <w:top w:val="single" w:sz="4" w:space="0" w:color="auto"/>
              <w:left w:val="single" w:sz="4" w:space="0" w:color="auto"/>
              <w:bottom w:val="single" w:sz="4" w:space="0" w:color="auto"/>
              <w:right w:val="single" w:sz="4" w:space="0" w:color="auto"/>
            </w:tcBorders>
            <w:vAlign w:val="center"/>
            <w:hideMark/>
          </w:tcPr>
          <w:p w:rsidR="00D7471C" w:rsidRPr="0061490E" w:rsidRDefault="00D7471C" w:rsidP="000C18BD">
            <w:pPr>
              <w:rPr>
                <w:rFonts w:eastAsia="SimSun"/>
                <w:sz w:val="18"/>
                <w:szCs w:val="18"/>
                <w:lang w:eastAsia="zh-CN"/>
              </w:rPr>
            </w:pPr>
          </w:p>
        </w:tc>
        <w:tc>
          <w:tcPr>
            <w:tcW w:w="1320" w:type="dxa"/>
            <w:tcBorders>
              <w:top w:val="single" w:sz="4" w:space="0" w:color="auto"/>
              <w:left w:val="single" w:sz="4" w:space="0" w:color="auto"/>
              <w:bottom w:val="single" w:sz="4" w:space="0" w:color="auto"/>
              <w:right w:val="single" w:sz="4" w:space="0" w:color="auto"/>
            </w:tcBorders>
            <w:hideMark/>
          </w:tcPr>
          <w:p w:rsidR="00D7471C" w:rsidRPr="00F77964" w:rsidRDefault="00D7471C" w:rsidP="000C18BD">
            <w:pPr>
              <w:pStyle w:val="Normal-pool"/>
              <w:spacing w:before="40" w:after="40"/>
              <w:rPr>
                <w:rFonts w:eastAsia="SimSun"/>
                <w:sz w:val="18"/>
                <w:szCs w:val="18"/>
                <w:lang w:eastAsia="zh-CN"/>
              </w:rPr>
            </w:pPr>
            <w:r w:rsidRPr="00F77964">
              <w:rPr>
                <w:rFonts w:eastAsia="SimSun"/>
                <w:sz w:val="18"/>
                <w:szCs w:val="18"/>
                <w:lang w:eastAsia="zh-CN"/>
              </w:rPr>
              <w:t>Troisième/ quatrième trimestres</w:t>
            </w:r>
          </w:p>
        </w:tc>
        <w:tc>
          <w:tcPr>
            <w:tcW w:w="6095" w:type="dxa"/>
            <w:tcBorders>
              <w:top w:val="single" w:sz="4" w:space="0" w:color="auto"/>
              <w:left w:val="single" w:sz="4" w:space="0" w:color="auto"/>
              <w:bottom w:val="single" w:sz="4" w:space="0" w:color="auto"/>
              <w:right w:val="single" w:sz="4" w:space="0" w:color="auto"/>
            </w:tcBorders>
            <w:hideMark/>
          </w:tcPr>
          <w:p w:rsidR="00D7471C" w:rsidRPr="00F77964" w:rsidRDefault="00D7471C" w:rsidP="000671DE">
            <w:pPr>
              <w:pStyle w:val="Normal-pool"/>
              <w:spacing w:before="40" w:after="40"/>
              <w:rPr>
                <w:rFonts w:eastAsia="SimSun"/>
                <w:sz w:val="18"/>
                <w:szCs w:val="18"/>
                <w:lang w:eastAsia="zh-CN"/>
              </w:rPr>
            </w:pPr>
            <w:r w:rsidRPr="00F77964">
              <w:rPr>
                <w:rFonts w:eastAsia="SimSun"/>
                <w:sz w:val="18"/>
                <w:szCs w:val="18"/>
                <w:lang w:eastAsia="zh-CN"/>
              </w:rPr>
              <w:t xml:space="preserve">Les </w:t>
            </w:r>
            <w:r w:rsidR="006E337B">
              <w:rPr>
                <w:rFonts w:eastAsia="SimSun"/>
                <w:sz w:val="18"/>
                <w:szCs w:val="18"/>
                <w:lang w:eastAsia="zh-CN"/>
              </w:rPr>
              <w:t>coprésidents</w:t>
            </w:r>
            <w:r w:rsidRPr="00F77964">
              <w:rPr>
                <w:rFonts w:eastAsia="SimSun"/>
                <w:sz w:val="18"/>
                <w:szCs w:val="18"/>
                <w:lang w:eastAsia="zh-CN"/>
              </w:rPr>
              <w:t xml:space="preserve">, les auteurs coordonnateurs principaux et les auteurs principaux </w:t>
            </w:r>
            <w:r w:rsidR="00C40788" w:rsidRPr="00F77964">
              <w:rPr>
                <w:rFonts w:eastAsia="SimSun"/>
                <w:sz w:val="18"/>
                <w:szCs w:val="18"/>
                <w:lang w:eastAsia="zh-CN"/>
              </w:rPr>
              <w:t>élaborent</w:t>
            </w:r>
            <w:r w:rsidRPr="00F77964">
              <w:rPr>
                <w:rFonts w:eastAsia="SimSun"/>
                <w:sz w:val="18"/>
                <w:szCs w:val="18"/>
                <w:lang w:eastAsia="zh-CN"/>
              </w:rPr>
              <w:t xml:space="preserve"> l’avant-projet de rapport </w:t>
            </w:r>
            <w:r w:rsidR="000671DE">
              <w:rPr>
                <w:rFonts w:eastAsia="SimSun"/>
                <w:sz w:val="18"/>
                <w:szCs w:val="18"/>
                <w:lang w:eastAsia="zh-CN"/>
              </w:rPr>
              <w:t>pour</w:t>
            </w:r>
            <w:r w:rsidRPr="00F77964">
              <w:rPr>
                <w:rFonts w:eastAsia="SimSun"/>
                <w:sz w:val="18"/>
                <w:szCs w:val="18"/>
                <w:lang w:eastAsia="zh-CN"/>
              </w:rPr>
              <w:t xml:space="preserve"> la mi-février 2015 (6 mois). Une première réunion des auteurs se tient en septembre 2014. </w:t>
            </w:r>
          </w:p>
        </w:tc>
      </w:tr>
      <w:tr w:rsidR="00D7471C" w:rsidRPr="0061490E" w:rsidTr="00161811">
        <w:trPr>
          <w:trHeight w:val="504"/>
        </w:trPr>
        <w:tc>
          <w:tcPr>
            <w:tcW w:w="659" w:type="dxa"/>
            <w:vMerge w:val="restart"/>
            <w:tcBorders>
              <w:top w:val="single" w:sz="4" w:space="0" w:color="auto"/>
              <w:left w:val="single" w:sz="4" w:space="0" w:color="auto"/>
              <w:bottom w:val="single" w:sz="4" w:space="0" w:color="auto"/>
              <w:right w:val="single" w:sz="4" w:space="0" w:color="auto"/>
            </w:tcBorders>
            <w:hideMark/>
          </w:tcPr>
          <w:p w:rsidR="00D7471C" w:rsidRPr="00F77964" w:rsidRDefault="00D7471C" w:rsidP="000C18BD">
            <w:pPr>
              <w:pStyle w:val="Normal-pool"/>
              <w:spacing w:before="40" w:after="40"/>
              <w:rPr>
                <w:rFonts w:eastAsia="SimSun"/>
                <w:sz w:val="18"/>
                <w:szCs w:val="18"/>
                <w:lang w:eastAsia="zh-CN"/>
              </w:rPr>
            </w:pPr>
            <w:r w:rsidRPr="00F77964">
              <w:rPr>
                <w:rFonts w:eastAsia="SimSun"/>
                <w:sz w:val="18"/>
                <w:szCs w:val="18"/>
                <w:lang w:eastAsia="zh-CN"/>
              </w:rPr>
              <w:t>2015</w:t>
            </w:r>
          </w:p>
        </w:tc>
        <w:tc>
          <w:tcPr>
            <w:tcW w:w="1320" w:type="dxa"/>
            <w:tcBorders>
              <w:top w:val="single" w:sz="4" w:space="0" w:color="auto"/>
              <w:left w:val="single" w:sz="4" w:space="0" w:color="auto"/>
              <w:bottom w:val="single" w:sz="4" w:space="0" w:color="auto"/>
              <w:right w:val="single" w:sz="4" w:space="0" w:color="auto"/>
            </w:tcBorders>
            <w:hideMark/>
          </w:tcPr>
          <w:p w:rsidR="00D7471C" w:rsidRPr="00F77964" w:rsidRDefault="00D7471C" w:rsidP="000C18BD">
            <w:pPr>
              <w:pStyle w:val="Normal-pool"/>
              <w:spacing w:before="40" w:after="40"/>
              <w:rPr>
                <w:rFonts w:eastAsia="SimSun"/>
                <w:sz w:val="18"/>
                <w:szCs w:val="18"/>
                <w:lang w:eastAsia="zh-CN"/>
              </w:rPr>
            </w:pPr>
            <w:r w:rsidRPr="00F77964">
              <w:rPr>
                <w:rFonts w:eastAsia="SimSun"/>
                <w:sz w:val="18"/>
                <w:szCs w:val="18"/>
                <w:lang w:eastAsia="zh-CN"/>
              </w:rPr>
              <w:t>Premier trimestre</w:t>
            </w:r>
          </w:p>
        </w:tc>
        <w:tc>
          <w:tcPr>
            <w:tcW w:w="6095" w:type="dxa"/>
            <w:tcBorders>
              <w:top w:val="single" w:sz="4" w:space="0" w:color="auto"/>
              <w:left w:val="single" w:sz="4" w:space="0" w:color="auto"/>
              <w:bottom w:val="single" w:sz="4" w:space="0" w:color="auto"/>
              <w:right w:val="single" w:sz="4" w:space="0" w:color="auto"/>
            </w:tcBorders>
            <w:hideMark/>
          </w:tcPr>
          <w:p w:rsidR="00D7471C" w:rsidRPr="00F77964" w:rsidRDefault="00D7471C" w:rsidP="006E337B">
            <w:pPr>
              <w:pStyle w:val="Normal-pool"/>
              <w:spacing w:before="40" w:after="40"/>
              <w:rPr>
                <w:rFonts w:eastAsia="SimSun"/>
                <w:sz w:val="18"/>
                <w:szCs w:val="18"/>
                <w:lang w:eastAsia="zh-CN"/>
              </w:rPr>
            </w:pPr>
            <w:r w:rsidRPr="00F77964">
              <w:rPr>
                <w:rFonts w:eastAsia="SimSun"/>
                <w:sz w:val="18"/>
                <w:szCs w:val="18"/>
                <w:lang w:eastAsia="zh-CN"/>
              </w:rPr>
              <w:t>L’avant-projet de rapport est examiné par les experts jusqu’à fin mars (1</w:t>
            </w:r>
            <w:r w:rsidR="00C40788" w:rsidRPr="00F77964">
              <w:rPr>
                <w:rFonts w:eastAsia="SimSun"/>
                <w:sz w:val="18"/>
                <w:szCs w:val="18"/>
                <w:lang w:eastAsia="zh-CN"/>
              </w:rPr>
              <w:t>,</w:t>
            </w:r>
            <w:r w:rsidRPr="00F77964">
              <w:rPr>
                <w:rFonts w:eastAsia="SimSun"/>
                <w:sz w:val="18"/>
                <w:szCs w:val="18"/>
                <w:lang w:eastAsia="zh-CN"/>
              </w:rPr>
              <w:t>5-2 mois)</w:t>
            </w:r>
          </w:p>
        </w:tc>
      </w:tr>
      <w:tr w:rsidR="00D7471C" w:rsidRPr="0061490E" w:rsidTr="00161811">
        <w:trPr>
          <w:trHeight w:val="567"/>
        </w:trPr>
        <w:tc>
          <w:tcPr>
            <w:tcW w:w="659" w:type="dxa"/>
            <w:vMerge/>
            <w:tcBorders>
              <w:top w:val="single" w:sz="4" w:space="0" w:color="auto"/>
              <w:left w:val="single" w:sz="4" w:space="0" w:color="auto"/>
              <w:bottom w:val="single" w:sz="4" w:space="0" w:color="auto"/>
              <w:right w:val="single" w:sz="4" w:space="0" w:color="auto"/>
            </w:tcBorders>
            <w:vAlign w:val="center"/>
            <w:hideMark/>
          </w:tcPr>
          <w:p w:rsidR="00D7471C" w:rsidRPr="0061490E" w:rsidRDefault="00D7471C" w:rsidP="000C18BD">
            <w:pPr>
              <w:rPr>
                <w:rFonts w:eastAsia="SimSun"/>
                <w:sz w:val="18"/>
                <w:szCs w:val="18"/>
                <w:lang w:eastAsia="zh-CN"/>
              </w:rPr>
            </w:pPr>
          </w:p>
        </w:tc>
        <w:tc>
          <w:tcPr>
            <w:tcW w:w="1320" w:type="dxa"/>
            <w:tcBorders>
              <w:top w:val="single" w:sz="4" w:space="0" w:color="auto"/>
              <w:left w:val="single" w:sz="4" w:space="0" w:color="auto"/>
              <w:bottom w:val="single" w:sz="4" w:space="0" w:color="auto"/>
              <w:right w:val="single" w:sz="4" w:space="0" w:color="auto"/>
            </w:tcBorders>
            <w:hideMark/>
          </w:tcPr>
          <w:p w:rsidR="00D7471C" w:rsidRPr="00F77964" w:rsidRDefault="00D7471C" w:rsidP="000C18BD">
            <w:pPr>
              <w:pStyle w:val="Normal-pool"/>
              <w:spacing w:before="40" w:after="40"/>
              <w:rPr>
                <w:rFonts w:eastAsia="SimSun"/>
                <w:sz w:val="18"/>
                <w:szCs w:val="18"/>
                <w:lang w:eastAsia="zh-CN"/>
              </w:rPr>
            </w:pPr>
            <w:r w:rsidRPr="00F77964">
              <w:rPr>
                <w:rFonts w:eastAsia="SimSun"/>
                <w:sz w:val="18"/>
                <w:szCs w:val="18"/>
                <w:lang w:eastAsia="zh-CN"/>
              </w:rPr>
              <w:t>Deuxième trimestre</w:t>
            </w:r>
          </w:p>
        </w:tc>
        <w:tc>
          <w:tcPr>
            <w:tcW w:w="6095" w:type="dxa"/>
            <w:tcBorders>
              <w:top w:val="single" w:sz="4" w:space="0" w:color="auto"/>
              <w:left w:val="single" w:sz="4" w:space="0" w:color="auto"/>
              <w:bottom w:val="single" w:sz="4" w:space="0" w:color="auto"/>
              <w:right w:val="single" w:sz="4" w:space="0" w:color="auto"/>
            </w:tcBorders>
            <w:hideMark/>
          </w:tcPr>
          <w:p w:rsidR="00D7471C" w:rsidRPr="00F77964" w:rsidRDefault="00C40788" w:rsidP="00C40788">
            <w:pPr>
              <w:pStyle w:val="Normal-pool"/>
              <w:spacing w:before="40" w:after="40"/>
              <w:rPr>
                <w:rFonts w:eastAsia="SimSun"/>
                <w:sz w:val="18"/>
                <w:szCs w:val="18"/>
                <w:lang w:eastAsia="zh-CN"/>
              </w:rPr>
            </w:pPr>
            <w:r w:rsidRPr="00F77964">
              <w:rPr>
                <w:rFonts w:eastAsia="SimSun"/>
                <w:sz w:val="18"/>
                <w:szCs w:val="18"/>
                <w:lang w:eastAsia="zh-CN"/>
              </w:rPr>
              <w:t>L</w:t>
            </w:r>
            <w:r w:rsidR="00D7471C" w:rsidRPr="00F77964">
              <w:rPr>
                <w:rFonts w:eastAsia="SimSun"/>
                <w:sz w:val="18"/>
                <w:szCs w:val="18"/>
                <w:lang w:eastAsia="zh-CN"/>
              </w:rPr>
              <w:t xml:space="preserve">es </w:t>
            </w:r>
            <w:r w:rsidR="006E337B">
              <w:rPr>
                <w:rFonts w:eastAsia="SimSun"/>
                <w:sz w:val="18"/>
                <w:szCs w:val="18"/>
                <w:lang w:eastAsia="zh-CN"/>
              </w:rPr>
              <w:t>coprésidents</w:t>
            </w:r>
            <w:r w:rsidR="00D7471C" w:rsidRPr="00F77964">
              <w:rPr>
                <w:rFonts w:eastAsia="SimSun"/>
                <w:sz w:val="18"/>
                <w:szCs w:val="18"/>
                <w:lang w:eastAsia="zh-CN"/>
              </w:rPr>
              <w:t xml:space="preserve">, </w:t>
            </w:r>
            <w:r w:rsidRPr="00F77964">
              <w:rPr>
                <w:rFonts w:eastAsia="SimSun"/>
                <w:sz w:val="18"/>
                <w:szCs w:val="18"/>
                <w:lang w:eastAsia="zh-CN"/>
              </w:rPr>
              <w:t>l</w:t>
            </w:r>
            <w:r w:rsidR="00D7471C" w:rsidRPr="00F77964">
              <w:rPr>
                <w:rFonts w:eastAsia="SimSun"/>
                <w:sz w:val="18"/>
                <w:szCs w:val="18"/>
                <w:lang w:eastAsia="zh-CN"/>
              </w:rPr>
              <w:t xml:space="preserve">es auteurs coordonateurs principaux et les auteurs </w:t>
            </w:r>
            <w:r w:rsidR="00F77964" w:rsidRPr="00F77964">
              <w:rPr>
                <w:rFonts w:eastAsia="SimSun"/>
                <w:sz w:val="18"/>
                <w:szCs w:val="18"/>
                <w:lang w:eastAsia="zh-CN"/>
              </w:rPr>
              <w:t>principaux</w:t>
            </w:r>
            <w:r w:rsidR="00D7471C" w:rsidRPr="00F77964">
              <w:rPr>
                <w:rFonts w:eastAsia="SimSun"/>
                <w:sz w:val="18"/>
                <w:szCs w:val="18"/>
                <w:lang w:eastAsia="zh-CN"/>
              </w:rPr>
              <w:t xml:space="preserve"> </w:t>
            </w:r>
            <w:r w:rsidRPr="00F77964">
              <w:rPr>
                <w:rFonts w:eastAsia="SimSun"/>
                <w:sz w:val="18"/>
                <w:szCs w:val="18"/>
                <w:lang w:eastAsia="zh-CN"/>
              </w:rPr>
              <w:t>élaborent</w:t>
            </w:r>
            <w:r w:rsidR="00D7471C" w:rsidRPr="00F77964">
              <w:rPr>
                <w:rFonts w:eastAsia="SimSun"/>
                <w:sz w:val="18"/>
                <w:szCs w:val="18"/>
                <w:lang w:eastAsia="zh-CN"/>
              </w:rPr>
              <w:t xml:space="preserve"> le deuxième projet de rapport et un avant-projet de résumé à l’intention des décideurs, sous la supervision des éditeurs-réviseurs et du Groupe d’experts multidisciplinaire</w:t>
            </w:r>
            <w:r w:rsidRPr="00F77964">
              <w:rPr>
                <w:rFonts w:eastAsia="SimSun"/>
                <w:sz w:val="18"/>
                <w:szCs w:val="18"/>
                <w:lang w:eastAsia="zh-CN"/>
              </w:rPr>
              <w:t>, entre avril et juin 2015</w:t>
            </w:r>
            <w:r w:rsidR="00D7471C" w:rsidRPr="00F77964">
              <w:rPr>
                <w:rFonts w:eastAsia="SimSun"/>
                <w:sz w:val="18"/>
                <w:szCs w:val="18"/>
                <w:lang w:eastAsia="zh-CN"/>
              </w:rPr>
              <w:t xml:space="preserve"> (3 mois). Une deuxième réunion des auteurs se tient en juin 2015</w:t>
            </w:r>
          </w:p>
        </w:tc>
      </w:tr>
      <w:tr w:rsidR="00D7471C" w:rsidRPr="0061490E" w:rsidTr="00161811">
        <w:trPr>
          <w:trHeight w:val="547"/>
        </w:trPr>
        <w:tc>
          <w:tcPr>
            <w:tcW w:w="659" w:type="dxa"/>
            <w:vMerge/>
            <w:tcBorders>
              <w:top w:val="single" w:sz="4" w:space="0" w:color="auto"/>
              <w:left w:val="single" w:sz="4" w:space="0" w:color="auto"/>
              <w:bottom w:val="single" w:sz="4" w:space="0" w:color="auto"/>
              <w:right w:val="single" w:sz="4" w:space="0" w:color="auto"/>
            </w:tcBorders>
            <w:vAlign w:val="center"/>
            <w:hideMark/>
          </w:tcPr>
          <w:p w:rsidR="00D7471C" w:rsidRPr="0061490E" w:rsidRDefault="00D7471C" w:rsidP="000C18BD">
            <w:pPr>
              <w:rPr>
                <w:rFonts w:eastAsia="SimSun"/>
                <w:sz w:val="18"/>
                <w:szCs w:val="18"/>
                <w:lang w:eastAsia="zh-CN"/>
              </w:rPr>
            </w:pPr>
          </w:p>
        </w:tc>
        <w:tc>
          <w:tcPr>
            <w:tcW w:w="1320" w:type="dxa"/>
            <w:tcBorders>
              <w:top w:val="single" w:sz="4" w:space="0" w:color="auto"/>
              <w:left w:val="single" w:sz="4" w:space="0" w:color="auto"/>
              <w:bottom w:val="single" w:sz="4" w:space="0" w:color="auto"/>
              <w:right w:val="single" w:sz="4" w:space="0" w:color="auto"/>
            </w:tcBorders>
            <w:hideMark/>
          </w:tcPr>
          <w:p w:rsidR="00D7471C" w:rsidRPr="00F77964" w:rsidRDefault="00D7471C" w:rsidP="000C18BD">
            <w:pPr>
              <w:pStyle w:val="Normal-pool"/>
              <w:spacing w:before="40" w:after="40"/>
              <w:rPr>
                <w:rFonts w:eastAsia="SimSun"/>
                <w:sz w:val="18"/>
                <w:szCs w:val="18"/>
                <w:lang w:eastAsia="zh-CN"/>
              </w:rPr>
            </w:pPr>
            <w:r w:rsidRPr="00F77964">
              <w:rPr>
                <w:rFonts w:eastAsia="SimSun"/>
                <w:sz w:val="18"/>
                <w:szCs w:val="18"/>
                <w:lang w:eastAsia="zh-CN"/>
              </w:rPr>
              <w:t>Troisième trimestre</w:t>
            </w:r>
          </w:p>
        </w:tc>
        <w:tc>
          <w:tcPr>
            <w:tcW w:w="6095" w:type="dxa"/>
            <w:tcBorders>
              <w:top w:val="single" w:sz="4" w:space="0" w:color="auto"/>
              <w:left w:val="single" w:sz="4" w:space="0" w:color="auto"/>
              <w:bottom w:val="single" w:sz="4" w:space="0" w:color="auto"/>
              <w:right w:val="single" w:sz="4" w:space="0" w:color="auto"/>
            </w:tcBorders>
            <w:hideMark/>
          </w:tcPr>
          <w:p w:rsidR="00D7471C" w:rsidRPr="00F77964" w:rsidRDefault="00D7471C" w:rsidP="001F5B06">
            <w:pPr>
              <w:pStyle w:val="Normal-pool"/>
              <w:spacing w:before="40" w:after="40"/>
              <w:rPr>
                <w:rFonts w:eastAsia="SimSun"/>
                <w:sz w:val="18"/>
                <w:szCs w:val="18"/>
                <w:lang w:eastAsia="zh-CN"/>
              </w:rPr>
            </w:pPr>
            <w:r w:rsidRPr="00F77964">
              <w:rPr>
                <w:rFonts w:eastAsia="SimSun"/>
                <w:sz w:val="18"/>
                <w:szCs w:val="18"/>
                <w:lang w:eastAsia="zh-CN"/>
              </w:rPr>
              <w:t>Le deuxième projet de rapport et l’avant-projet de résumé à l’intention des décideurs sont examinés par les experts, les gouvernements et les autres parties prenantes en juillet et août (2 mois)</w:t>
            </w:r>
          </w:p>
        </w:tc>
      </w:tr>
      <w:tr w:rsidR="00D7471C" w:rsidRPr="0061490E" w:rsidTr="00161811">
        <w:trPr>
          <w:trHeight w:val="215"/>
        </w:trPr>
        <w:tc>
          <w:tcPr>
            <w:tcW w:w="659" w:type="dxa"/>
            <w:vMerge/>
            <w:tcBorders>
              <w:top w:val="single" w:sz="4" w:space="0" w:color="auto"/>
              <w:left w:val="single" w:sz="4" w:space="0" w:color="auto"/>
              <w:bottom w:val="single" w:sz="4" w:space="0" w:color="auto"/>
              <w:right w:val="single" w:sz="4" w:space="0" w:color="auto"/>
            </w:tcBorders>
            <w:vAlign w:val="center"/>
            <w:hideMark/>
          </w:tcPr>
          <w:p w:rsidR="00D7471C" w:rsidRPr="0061490E" w:rsidRDefault="00D7471C" w:rsidP="000C18BD">
            <w:pPr>
              <w:rPr>
                <w:rFonts w:eastAsia="SimSun"/>
                <w:sz w:val="18"/>
                <w:szCs w:val="18"/>
                <w:lang w:eastAsia="zh-CN"/>
              </w:rPr>
            </w:pPr>
          </w:p>
        </w:tc>
        <w:tc>
          <w:tcPr>
            <w:tcW w:w="1320" w:type="dxa"/>
            <w:tcBorders>
              <w:top w:val="single" w:sz="4" w:space="0" w:color="auto"/>
              <w:left w:val="single" w:sz="4" w:space="0" w:color="auto"/>
              <w:bottom w:val="single" w:sz="4" w:space="0" w:color="auto"/>
              <w:right w:val="single" w:sz="4" w:space="0" w:color="auto"/>
            </w:tcBorders>
            <w:hideMark/>
          </w:tcPr>
          <w:p w:rsidR="00D7471C" w:rsidRPr="00F77964" w:rsidRDefault="00D7471C" w:rsidP="000C18BD">
            <w:pPr>
              <w:pStyle w:val="Normal-pool"/>
              <w:spacing w:before="40" w:after="40"/>
              <w:rPr>
                <w:rFonts w:eastAsia="SimSun"/>
                <w:sz w:val="18"/>
                <w:szCs w:val="18"/>
                <w:lang w:eastAsia="zh-CN"/>
              </w:rPr>
            </w:pPr>
            <w:r w:rsidRPr="00F77964">
              <w:rPr>
                <w:rFonts w:eastAsia="SimSun"/>
                <w:sz w:val="18"/>
                <w:szCs w:val="18"/>
                <w:lang w:eastAsia="zh-CN"/>
              </w:rPr>
              <w:t>Troisième/ quatrième trimestres</w:t>
            </w:r>
          </w:p>
        </w:tc>
        <w:tc>
          <w:tcPr>
            <w:tcW w:w="6095" w:type="dxa"/>
            <w:tcBorders>
              <w:top w:val="single" w:sz="4" w:space="0" w:color="auto"/>
              <w:left w:val="single" w:sz="4" w:space="0" w:color="auto"/>
              <w:bottom w:val="single" w:sz="4" w:space="0" w:color="auto"/>
              <w:right w:val="single" w:sz="4" w:space="0" w:color="auto"/>
            </w:tcBorders>
            <w:hideMark/>
          </w:tcPr>
          <w:p w:rsidR="00D7471C" w:rsidRPr="00F77964" w:rsidRDefault="00D7471C" w:rsidP="004762CF">
            <w:pPr>
              <w:pStyle w:val="Normal-pool"/>
              <w:spacing w:before="40" w:after="40"/>
              <w:rPr>
                <w:rFonts w:eastAsia="SimSun"/>
                <w:sz w:val="18"/>
                <w:szCs w:val="18"/>
                <w:lang w:eastAsia="zh-CN"/>
              </w:rPr>
            </w:pPr>
            <w:r w:rsidRPr="00F77964">
              <w:rPr>
                <w:rFonts w:eastAsia="SimSun"/>
                <w:sz w:val="18"/>
                <w:szCs w:val="18"/>
                <w:lang w:eastAsia="zh-CN"/>
              </w:rPr>
              <w:t xml:space="preserve">Les </w:t>
            </w:r>
            <w:r w:rsidR="006E337B">
              <w:rPr>
                <w:rFonts w:eastAsia="SimSun"/>
                <w:sz w:val="18"/>
                <w:szCs w:val="18"/>
                <w:lang w:eastAsia="zh-CN"/>
              </w:rPr>
              <w:t>coprésidents</w:t>
            </w:r>
            <w:r w:rsidRPr="00F77964">
              <w:rPr>
                <w:rFonts w:eastAsia="SimSun"/>
                <w:sz w:val="18"/>
                <w:szCs w:val="18"/>
                <w:lang w:eastAsia="zh-CN"/>
              </w:rPr>
              <w:t>, les auteurs coordonnateurs principaux et les auteurs principaux é</w:t>
            </w:r>
            <w:r w:rsidR="00C40788" w:rsidRPr="00F77964">
              <w:rPr>
                <w:rFonts w:eastAsia="SimSun"/>
                <w:sz w:val="18"/>
                <w:szCs w:val="18"/>
                <w:lang w:eastAsia="zh-CN"/>
              </w:rPr>
              <w:t>laborent</w:t>
            </w:r>
            <w:r w:rsidRPr="00F77964">
              <w:rPr>
                <w:rFonts w:eastAsia="SimSun"/>
                <w:sz w:val="18"/>
                <w:szCs w:val="18"/>
                <w:lang w:eastAsia="zh-CN"/>
              </w:rPr>
              <w:t xml:space="preserve"> l</w:t>
            </w:r>
            <w:r w:rsidR="004762CF" w:rsidRPr="00F77964">
              <w:rPr>
                <w:rFonts w:eastAsia="SimSun"/>
                <w:sz w:val="18"/>
                <w:szCs w:val="18"/>
                <w:lang w:eastAsia="zh-CN"/>
              </w:rPr>
              <w:t>a version finale du</w:t>
            </w:r>
            <w:r w:rsidRPr="00F77964">
              <w:rPr>
                <w:rFonts w:eastAsia="SimSun"/>
                <w:sz w:val="18"/>
                <w:szCs w:val="18"/>
                <w:lang w:eastAsia="zh-CN"/>
              </w:rPr>
              <w:t xml:space="preserve"> rapport et </w:t>
            </w:r>
            <w:r w:rsidR="004762CF" w:rsidRPr="00F77964">
              <w:rPr>
                <w:rFonts w:eastAsia="SimSun"/>
                <w:sz w:val="18"/>
                <w:szCs w:val="18"/>
                <w:lang w:eastAsia="zh-CN"/>
              </w:rPr>
              <w:t>du</w:t>
            </w:r>
            <w:r w:rsidRPr="00F77964">
              <w:rPr>
                <w:rFonts w:eastAsia="SimSun"/>
                <w:sz w:val="18"/>
                <w:szCs w:val="18"/>
                <w:lang w:eastAsia="zh-CN"/>
              </w:rPr>
              <w:t xml:space="preserve"> résumé à l’intention des décideurs, sous la supervision des éditeurs-réviseurs et du Groupe d’experts multidisciplinaire en septembre et octobre (2 mois). Une troisième réunion des auteurs se tient en octobre 2015</w:t>
            </w:r>
          </w:p>
        </w:tc>
      </w:tr>
      <w:tr w:rsidR="00D7471C" w:rsidRPr="0061490E" w:rsidTr="00161811">
        <w:trPr>
          <w:trHeight w:val="479"/>
        </w:trPr>
        <w:tc>
          <w:tcPr>
            <w:tcW w:w="659" w:type="dxa"/>
            <w:vMerge/>
            <w:tcBorders>
              <w:top w:val="single" w:sz="4" w:space="0" w:color="auto"/>
              <w:left w:val="single" w:sz="4" w:space="0" w:color="auto"/>
              <w:bottom w:val="single" w:sz="4" w:space="0" w:color="auto"/>
              <w:right w:val="single" w:sz="4" w:space="0" w:color="auto"/>
            </w:tcBorders>
            <w:vAlign w:val="center"/>
            <w:hideMark/>
          </w:tcPr>
          <w:p w:rsidR="00D7471C" w:rsidRPr="0061490E" w:rsidRDefault="00D7471C" w:rsidP="000C18BD">
            <w:pPr>
              <w:rPr>
                <w:rFonts w:eastAsia="SimSun"/>
                <w:sz w:val="18"/>
                <w:szCs w:val="18"/>
                <w:lang w:eastAsia="zh-CN"/>
              </w:rPr>
            </w:pPr>
          </w:p>
        </w:tc>
        <w:tc>
          <w:tcPr>
            <w:tcW w:w="1320" w:type="dxa"/>
            <w:tcBorders>
              <w:top w:val="single" w:sz="4" w:space="0" w:color="auto"/>
              <w:left w:val="single" w:sz="4" w:space="0" w:color="auto"/>
              <w:bottom w:val="single" w:sz="4" w:space="0" w:color="auto"/>
              <w:right w:val="single" w:sz="4" w:space="0" w:color="auto"/>
            </w:tcBorders>
            <w:hideMark/>
          </w:tcPr>
          <w:p w:rsidR="00D7471C" w:rsidRPr="00F77964" w:rsidRDefault="00D7471C" w:rsidP="000C18BD">
            <w:pPr>
              <w:pStyle w:val="Normal-pool"/>
              <w:spacing w:before="40" w:after="40"/>
              <w:rPr>
                <w:rFonts w:eastAsia="SimSun"/>
                <w:sz w:val="18"/>
                <w:szCs w:val="18"/>
                <w:lang w:eastAsia="zh-CN"/>
              </w:rPr>
            </w:pPr>
            <w:r w:rsidRPr="00F77964">
              <w:rPr>
                <w:rFonts w:eastAsia="SimSun"/>
                <w:sz w:val="18"/>
                <w:szCs w:val="18"/>
                <w:lang w:eastAsia="zh-CN"/>
              </w:rPr>
              <w:t>Quatrième trimestre</w:t>
            </w:r>
          </w:p>
        </w:tc>
        <w:tc>
          <w:tcPr>
            <w:tcW w:w="6095" w:type="dxa"/>
            <w:tcBorders>
              <w:top w:val="single" w:sz="4" w:space="0" w:color="auto"/>
              <w:left w:val="single" w:sz="4" w:space="0" w:color="auto"/>
              <w:bottom w:val="single" w:sz="4" w:space="0" w:color="auto"/>
              <w:right w:val="single" w:sz="4" w:space="0" w:color="auto"/>
            </w:tcBorders>
            <w:hideMark/>
          </w:tcPr>
          <w:p w:rsidR="00D7471C" w:rsidRPr="00F77964" w:rsidRDefault="00D7471C" w:rsidP="001314CC">
            <w:pPr>
              <w:pStyle w:val="Normal-pool"/>
              <w:spacing w:before="40" w:after="40"/>
              <w:rPr>
                <w:rFonts w:eastAsia="SimSun"/>
                <w:sz w:val="18"/>
                <w:szCs w:val="18"/>
                <w:lang w:eastAsia="zh-CN"/>
              </w:rPr>
            </w:pPr>
            <w:r w:rsidRPr="00F77964">
              <w:rPr>
                <w:rFonts w:eastAsia="SimSun"/>
                <w:sz w:val="18"/>
                <w:szCs w:val="18"/>
                <w:lang w:eastAsia="zh-CN"/>
              </w:rPr>
              <w:t>Le résumé à l’intention des décideurs est tra</w:t>
            </w:r>
            <w:r w:rsidR="00C40788" w:rsidRPr="00F77964">
              <w:rPr>
                <w:rFonts w:eastAsia="SimSun"/>
                <w:sz w:val="18"/>
                <w:szCs w:val="18"/>
                <w:lang w:eastAsia="zh-CN"/>
              </w:rPr>
              <w:t>d</w:t>
            </w:r>
            <w:r w:rsidRPr="00F77964">
              <w:rPr>
                <w:rFonts w:eastAsia="SimSun"/>
                <w:sz w:val="18"/>
                <w:szCs w:val="18"/>
                <w:lang w:eastAsia="zh-CN"/>
              </w:rPr>
              <w:t xml:space="preserve">uit dans toutes les langues </w:t>
            </w:r>
            <w:r w:rsidR="001314CC">
              <w:rPr>
                <w:rFonts w:eastAsia="SimSun"/>
                <w:sz w:val="18"/>
                <w:szCs w:val="18"/>
                <w:lang w:eastAsia="zh-CN"/>
              </w:rPr>
              <w:t xml:space="preserve">officielles </w:t>
            </w:r>
            <w:r w:rsidRPr="00F77964">
              <w:rPr>
                <w:rFonts w:eastAsia="SimSun"/>
                <w:sz w:val="18"/>
                <w:szCs w:val="18"/>
                <w:lang w:eastAsia="zh-CN"/>
              </w:rPr>
              <w:t>de l’ONU à la mi-décembre 2015 au plus tard (1,5 mois)</w:t>
            </w:r>
          </w:p>
        </w:tc>
      </w:tr>
      <w:tr w:rsidR="00D7471C" w:rsidRPr="0061490E" w:rsidTr="00161811">
        <w:trPr>
          <w:trHeight w:val="242"/>
        </w:trPr>
        <w:tc>
          <w:tcPr>
            <w:tcW w:w="659" w:type="dxa"/>
            <w:vMerge w:val="restart"/>
            <w:tcBorders>
              <w:top w:val="single" w:sz="4" w:space="0" w:color="auto"/>
              <w:left w:val="single" w:sz="4" w:space="0" w:color="auto"/>
              <w:bottom w:val="single" w:sz="4" w:space="0" w:color="auto"/>
              <w:right w:val="single" w:sz="4" w:space="0" w:color="auto"/>
            </w:tcBorders>
            <w:hideMark/>
          </w:tcPr>
          <w:p w:rsidR="00D7471C" w:rsidRPr="00F77964" w:rsidRDefault="00D7471C" w:rsidP="000C18BD">
            <w:pPr>
              <w:pStyle w:val="Normal-pool"/>
              <w:spacing w:before="40" w:after="40"/>
              <w:rPr>
                <w:rFonts w:eastAsia="SimSun"/>
                <w:sz w:val="18"/>
                <w:szCs w:val="18"/>
                <w:lang w:eastAsia="zh-CN"/>
              </w:rPr>
            </w:pPr>
            <w:r w:rsidRPr="00F77964">
              <w:rPr>
                <w:rFonts w:eastAsia="SimSun"/>
                <w:sz w:val="18"/>
                <w:szCs w:val="18"/>
                <w:lang w:eastAsia="zh-CN"/>
              </w:rPr>
              <w:t>2016</w:t>
            </w:r>
          </w:p>
        </w:tc>
        <w:tc>
          <w:tcPr>
            <w:tcW w:w="1320" w:type="dxa"/>
            <w:tcBorders>
              <w:top w:val="single" w:sz="4" w:space="0" w:color="auto"/>
              <w:left w:val="single" w:sz="4" w:space="0" w:color="auto"/>
              <w:bottom w:val="single" w:sz="4" w:space="0" w:color="auto"/>
              <w:right w:val="single" w:sz="4" w:space="0" w:color="auto"/>
            </w:tcBorders>
            <w:hideMark/>
          </w:tcPr>
          <w:p w:rsidR="00D7471C" w:rsidRPr="00F77964" w:rsidRDefault="00D7471C" w:rsidP="000C18BD">
            <w:pPr>
              <w:pStyle w:val="Normal-pool"/>
              <w:spacing w:before="40" w:after="40"/>
              <w:rPr>
                <w:rFonts w:eastAsia="SimSun"/>
                <w:sz w:val="18"/>
                <w:szCs w:val="18"/>
                <w:lang w:eastAsia="zh-CN"/>
              </w:rPr>
            </w:pPr>
            <w:r w:rsidRPr="00F77964">
              <w:rPr>
                <w:rFonts w:eastAsia="SimSun"/>
                <w:sz w:val="18"/>
                <w:szCs w:val="18"/>
                <w:lang w:eastAsia="zh-CN"/>
              </w:rPr>
              <w:t>Premier trimestre</w:t>
            </w:r>
          </w:p>
        </w:tc>
        <w:tc>
          <w:tcPr>
            <w:tcW w:w="6095" w:type="dxa"/>
            <w:tcBorders>
              <w:top w:val="single" w:sz="4" w:space="0" w:color="auto"/>
              <w:left w:val="single" w:sz="4" w:space="0" w:color="auto"/>
              <w:bottom w:val="single" w:sz="4" w:space="0" w:color="auto"/>
              <w:right w:val="single" w:sz="4" w:space="0" w:color="auto"/>
            </w:tcBorders>
            <w:hideMark/>
          </w:tcPr>
          <w:p w:rsidR="00D7471C" w:rsidRPr="00F77964" w:rsidRDefault="00D7471C" w:rsidP="0097596F">
            <w:pPr>
              <w:pStyle w:val="Normal-pool"/>
              <w:spacing w:before="40" w:after="40"/>
              <w:rPr>
                <w:rFonts w:eastAsia="SimSun"/>
                <w:sz w:val="18"/>
                <w:szCs w:val="18"/>
                <w:lang w:eastAsia="zh-CN"/>
              </w:rPr>
            </w:pPr>
            <w:r w:rsidRPr="00F77964">
              <w:rPr>
                <w:rFonts w:eastAsia="SimSun"/>
                <w:sz w:val="18"/>
                <w:szCs w:val="18"/>
                <w:lang w:eastAsia="zh-CN"/>
              </w:rPr>
              <w:t>L</w:t>
            </w:r>
            <w:r w:rsidR="004762CF" w:rsidRPr="00F77964">
              <w:rPr>
                <w:rFonts w:eastAsia="SimSun"/>
                <w:sz w:val="18"/>
                <w:szCs w:val="18"/>
                <w:lang w:eastAsia="zh-CN"/>
              </w:rPr>
              <w:t>a version finale du</w:t>
            </w:r>
            <w:r w:rsidRPr="00F77964">
              <w:rPr>
                <w:rFonts w:eastAsia="SimSun"/>
                <w:sz w:val="18"/>
                <w:szCs w:val="18"/>
                <w:lang w:eastAsia="zh-CN"/>
              </w:rPr>
              <w:t xml:space="preserve"> rapport et d</w:t>
            </w:r>
            <w:r w:rsidR="004762CF" w:rsidRPr="00F77964">
              <w:rPr>
                <w:rFonts w:eastAsia="SimSun"/>
                <w:sz w:val="18"/>
                <w:szCs w:val="18"/>
                <w:lang w:eastAsia="zh-CN"/>
              </w:rPr>
              <w:t>u</w:t>
            </w:r>
            <w:r w:rsidRPr="00F77964">
              <w:rPr>
                <w:rFonts w:eastAsia="SimSun"/>
                <w:sz w:val="18"/>
                <w:szCs w:val="18"/>
                <w:lang w:eastAsia="zh-CN"/>
              </w:rPr>
              <w:t xml:space="preserve"> résumé à l’intention des décideurs </w:t>
            </w:r>
            <w:r w:rsidR="004762CF" w:rsidRPr="00F77964">
              <w:rPr>
                <w:rFonts w:eastAsia="SimSun"/>
                <w:sz w:val="18"/>
                <w:szCs w:val="18"/>
                <w:lang w:eastAsia="zh-CN"/>
              </w:rPr>
              <w:t>est</w:t>
            </w:r>
            <w:r w:rsidRPr="00F77964">
              <w:rPr>
                <w:rFonts w:eastAsia="SimSun"/>
                <w:sz w:val="18"/>
                <w:szCs w:val="18"/>
                <w:lang w:eastAsia="zh-CN"/>
              </w:rPr>
              <w:t xml:space="preserve"> communiqué</w:t>
            </w:r>
            <w:r w:rsidR="004762CF" w:rsidRPr="00F77964">
              <w:rPr>
                <w:rFonts w:eastAsia="SimSun"/>
                <w:sz w:val="18"/>
                <w:szCs w:val="18"/>
                <w:lang w:eastAsia="zh-CN"/>
              </w:rPr>
              <w:t>e</w:t>
            </w:r>
            <w:r w:rsidRPr="00F77964">
              <w:rPr>
                <w:rFonts w:eastAsia="SimSun"/>
                <w:sz w:val="18"/>
                <w:szCs w:val="18"/>
                <w:lang w:eastAsia="zh-CN"/>
              </w:rPr>
              <w:t xml:space="preserve"> aux gouvernements et aux autres parties prenantes pour</w:t>
            </w:r>
            <w:r w:rsidR="004762CF" w:rsidRPr="00F77964">
              <w:rPr>
                <w:rFonts w:eastAsia="SimSun"/>
                <w:sz w:val="18"/>
                <w:szCs w:val="18"/>
                <w:lang w:eastAsia="zh-CN"/>
              </w:rPr>
              <w:t xml:space="preserve"> un dernier</w:t>
            </w:r>
            <w:r w:rsidRPr="00F77964">
              <w:rPr>
                <w:rFonts w:eastAsia="SimSun"/>
                <w:sz w:val="18"/>
                <w:szCs w:val="18"/>
                <w:lang w:eastAsia="zh-CN"/>
              </w:rPr>
              <w:t xml:space="preserve"> </w:t>
            </w:r>
            <w:r w:rsidRPr="00F77964">
              <w:rPr>
                <w:rFonts w:eastAsia="SimSun"/>
                <w:sz w:val="18"/>
                <w:szCs w:val="18"/>
                <w:lang w:eastAsia="zh-CN"/>
              </w:rPr>
              <w:lastRenderedPageBreak/>
              <w:t>examen en janvier et</w:t>
            </w:r>
            <w:r w:rsidR="004762CF" w:rsidRPr="00F77964">
              <w:rPr>
                <w:rFonts w:eastAsia="SimSun"/>
                <w:sz w:val="18"/>
                <w:szCs w:val="18"/>
                <w:lang w:eastAsia="zh-CN"/>
              </w:rPr>
              <w:t xml:space="preserve"> </w:t>
            </w:r>
            <w:r w:rsidRPr="00F77964">
              <w:rPr>
                <w:rFonts w:eastAsia="SimSun"/>
                <w:sz w:val="18"/>
                <w:szCs w:val="18"/>
                <w:lang w:eastAsia="zh-CN"/>
              </w:rPr>
              <w:t xml:space="preserve">février 2016 (1,5-2 mois). Les </w:t>
            </w:r>
            <w:r w:rsidR="00C40788" w:rsidRPr="00F77964">
              <w:rPr>
                <w:rFonts w:eastAsia="SimSun"/>
                <w:sz w:val="18"/>
                <w:szCs w:val="18"/>
                <w:lang w:eastAsia="zh-CN"/>
              </w:rPr>
              <w:t xml:space="preserve">gouvernements sont </w:t>
            </w:r>
            <w:r w:rsidR="00773D3D">
              <w:rPr>
                <w:rFonts w:eastAsia="SimSun"/>
                <w:sz w:val="18"/>
                <w:szCs w:val="18"/>
                <w:lang w:eastAsia="zh-CN"/>
              </w:rPr>
              <w:t>vivement encouragé</w:t>
            </w:r>
            <w:r w:rsidR="00C40788" w:rsidRPr="00F77964">
              <w:rPr>
                <w:rFonts w:eastAsia="SimSun"/>
                <w:sz w:val="18"/>
                <w:szCs w:val="18"/>
                <w:lang w:eastAsia="zh-CN"/>
              </w:rPr>
              <w:t xml:space="preserve">s à communiquer des </w:t>
            </w:r>
            <w:r w:rsidRPr="00F77964">
              <w:rPr>
                <w:rFonts w:eastAsia="SimSun"/>
                <w:sz w:val="18"/>
                <w:szCs w:val="18"/>
                <w:lang w:eastAsia="zh-CN"/>
              </w:rPr>
              <w:t xml:space="preserve">observations </w:t>
            </w:r>
            <w:r w:rsidR="00C40788" w:rsidRPr="00F77964">
              <w:rPr>
                <w:rFonts w:eastAsia="SimSun"/>
                <w:sz w:val="18"/>
                <w:szCs w:val="18"/>
                <w:lang w:eastAsia="zh-CN"/>
              </w:rPr>
              <w:t xml:space="preserve">sur le projet </w:t>
            </w:r>
            <w:r w:rsidRPr="00F77964">
              <w:rPr>
                <w:rFonts w:eastAsia="SimSun"/>
                <w:sz w:val="18"/>
                <w:szCs w:val="18"/>
                <w:lang w:eastAsia="zh-CN"/>
              </w:rPr>
              <w:t>de résumé à l’intention des décid</w:t>
            </w:r>
            <w:r w:rsidR="00C40788" w:rsidRPr="00F77964">
              <w:rPr>
                <w:rFonts w:eastAsia="SimSun"/>
                <w:sz w:val="18"/>
                <w:szCs w:val="18"/>
                <w:lang w:eastAsia="zh-CN"/>
              </w:rPr>
              <w:t>eurs</w:t>
            </w:r>
            <w:r w:rsidRPr="00F77964">
              <w:rPr>
                <w:rFonts w:eastAsia="SimSun"/>
                <w:sz w:val="18"/>
                <w:szCs w:val="18"/>
                <w:lang w:eastAsia="zh-CN"/>
              </w:rPr>
              <w:t xml:space="preserve">. Ces observations doivent être soumises au </w:t>
            </w:r>
            <w:r w:rsidR="00C40788" w:rsidRPr="00F77964">
              <w:rPr>
                <w:rFonts w:eastAsia="SimSun"/>
                <w:sz w:val="18"/>
                <w:szCs w:val="18"/>
                <w:lang w:eastAsia="zh-CN"/>
              </w:rPr>
              <w:t>s</w:t>
            </w:r>
            <w:r w:rsidRPr="00F77964">
              <w:rPr>
                <w:rFonts w:eastAsia="SimSun"/>
                <w:sz w:val="18"/>
                <w:szCs w:val="18"/>
                <w:lang w:eastAsia="zh-CN"/>
              </w:rPr>
              <w:t>ecrétariat une semaine avant la quatrième session de la Plénière</w:t>
            </w:r>
          </w:p>
        </w:tc>
      </w:tr>
      <w:tr w:rsidR="00D7471C" w:rsidRPr="0061490E" w:rsidTr="00161811">
        <w:trPr>
          <w:trHeight w:val="242"/>
        </w:trPr>
        <w:tc>
          <w:tcPr>
            <w:tcW w:w="659" w:type="dxa"/>
            <w:vMerge/>
            <w:tcBorders>
              <w:top w:val="single" w:sz="4" w:space="0" w:color="auto"/>
              <w:left w:val="single" w:sz="4" w:space="0" w:color="auto"/>
              <w:bottom w:val="single" w:sz="4" w:space="0" w:color="auto"/>
              <w:right w:val="single" w:sz="4" w:space="0" w:color="auto"/>
            </w:tcBorders>
            <w:vAlign w:val="center"/>
            <w:hideMark/>
          </w:tcPr>
          <w:p w:rsidR="00D7471C" w:rsidRPr="0061490E" w:rsidRDefault="00D7471C" w:rsidP="000C18BD">
            <w:pPr>
              <w:rPr>
                <w:rFonts w:eastAsia="SimSun"/>
                <w:sz w:val="18"/>
                <w:szCs w:val="18"/>
                <w:lang w:eastAsia="zh-CN"/>
              </w:rPr>
            </w:pPr>
          </w:p>
        </w:tc>
        <w:tc>
          <w:tcPr>
            <w:tcW w:w="1320" w:type="dxa"/>
            <w:tcBorders>
              <w:top w:val="single" w:sz="4" w:space="0" w:color="auto"/>
              <w:left w:val="single" w:sz="4" w:space="0" w:color="auto"/>
              <w:bottom w:val="single" w:sz="4" w:space="0" w:color="auto"/>
              <w:right w:val="single" w:sz="4" w:space="0" w:color="auto"/>
            </w:tcBorders>
            <w:hideMark/>
          </w:tcPr>
          <w:p w:rsidR="00D7471C" w:rsidRPr="00F77964" w:rsidRDefault="00D7471C" w:rsidP="000C18BD">
            <w:pPr>
              <w:pStyle w:val="Normal-pool"/>
              <w:spacing w:before="40" w:after="40"/>
              <w:rPr>
                <w:rFonts w:eastAsia="SimSun"/>
                <w:sz w:val="18"/>
                <w:szCs w:val="18"/>
                <w:lang w:eastAsia="zh-CN"/>
              </w:rPr>
            </w:pPr>
            <w:r w:rsidRPr="00F77964">
              <w:rPr>
                <w:rFonts w:eastAsia="SimSun"/>
                <w:sz w:val="18"/>
                <w:szCs w:val="18"/>
                <w:lang w:eastAsia="zh-CN"/>
              </w:rPr>
              <w:t>Premier trimestre</w:t>
            </w:r>
          </w:p>
        </w:tc>
        <w:tc>
          <w:tcPr>
            <w:tcW w:w="6095" w:type="dxa"/>
            <w:tcBorders>
              <w:top w:val="single" w:sz="4" w:space="0" w:color="auto"/>
              <w:left w:val="single" w:sz="4" w:space="0" w:color="auto"/>
              <w:bottom w:val="single" w:sz="4" w:space="0" w:color="auto"/>
              <w:right w:val="single" w:sz="4" w:space="0" w:color="auto"/>
            </w:tcBorders>
            <w:hideMark/>
          </w:tcPr>
          <w:p w:rsidR="00D7471C" w:rsidRPr="00F77964" w:rsidRDefault="00D7471C" w:rsidP="00C40788">
            <w:pPr>
              <w:pStyle w:val="Normal-pool"/>
              <w:spacing w:before="40" w:after="40"/>
              <w:rPr>
                <w:rFonts w:eastAsia="SimSun"/>
                <w:sz w:val="18"/>
                <w:szCs w:val="18"/>
                <w:lang w:eastAsia="zh-CN"/>
              </w:rPr>
            </w:pPr>
            <w:r w:rsidRPr="00F77964">
              <w:rPr>
                <w:rFonts w:eastAsia="SimSun"/>
                <w:sz w:val="18"/>
                <w:szCs w:val="18"/>
                <w:lang w:eastAsia="zh-CN"/>
              </w:rPr>
              <w:t xml:space="preserve">La Plénière </w:t>
            </w:r>
            <w:r w:rsidR="00C40788" w:rsidRPr="00F77964">
              <w:rPr>
                <w:rFonts w:eastAsia="SimSun"/>
                <w:sz w:val="18"/>
                <w:szCs w:val="18"/>
                <w:lang w:eastAsia="zh-CN"/>
              </w:rPr>
              <w:t xml:space="preserve">examine </w:t>
            </w:r>
            <w:r w:rsidRPr="00F77964">
              <w:rPr>
                <w:rFonts w:eastAsia="SimSun"/>
                <w:sz w:val="18"/>
                <w:szCs w:val="18"/>
                <w:lang w:eastAsia="zh-CN"/>
              </w:rPr>
              <w:t xml:space="preserve">et accepte le rapport et </w:t>
            </w:r>
            <w:r w:rsidR="00C40788" w:rsidRPr="00F77964">
              <w:rPr>
                <w:rFonts w:eastAsia="SimSun"/>
                <w:sz w:val="18"/>
                <w:szCs w:val="18"/>
                <w:lang w:eastAsia="zh-CN"/>
              </w:rPr>
              <w:t>examine</w:t>
            </w:r>
            <w:r w:rsidRPr="00F77964">
              <w:rPr>
                <w:rFonts w:eastAsia="SimSun"/>
                <w:sz w:val="18"/>
                <w:szCs w:val="18"/>
                <w:lang w:eastAsia="zh-CN"/>
              </w:rPr>
              <w:t xml:space="preserve"> et approuve le résumé à l’intention des décideurs durant sa quatrième sess</w:t>
            </w:r>
            <w:r w:rsidR="00C40788" w:rsidRPr="00F77964">
              <w:rPr>
                <w:rFonts w:eastAsia="SimSun"/>
                <w:sz w:val="18"/>
                <w:szCs w:val="18"/>
                <w:lang w:eastAsia="zh-CN"/>
              </w:rPr>
              <w:t>ion</w:t>
            </w:r>
            <w:r w:rsidRPr="00F77964">
              <w:rPr>
                <w:rFonts w:eastAsia="SimSun"/>
                <w:sz w:val="18"/>
                <w:szCs w:val="18"/>
                <w:lang w:eastAsia="zh-CN"/>
              </w:rPr>
              <w:t xml:space="preserve"> en mars</w:t>
            </w:r>
            <w:r w:rsidR="001314CC">
              <w:rPr>
                <w:rFonts w:eastAsia="SimSun"/>
                <w:sz w:val="18"/>
                <w:szCs w:val="18"/>
                <w:lang w:eastAsia="zh-CN"/>
              </w:rPr>
              <w:t> 2016</w:t>
            </w:r>
          </w:p>
        </w:tc>
      </w:tr>
    </w:tbl>
    <w:p w:rsidR="00D66005" w:rsidRPr="00F77964" w:rsidRDefault="00D66005" w:rsidP="00D66005">
      <w:pPr>
        <w:pStyle w:val="CH3"/>
        <w:spacing w:before="200"/>
        <w:rPr>
          <w:rFonts w:eastAsia="SimSun"/>
          <w:lang w:val="fr-FR" w:eastAsia="zh-CN"/>
        </w:rPr>
      </w:pPr>
      <w:r w:rsidRPr="00F77964">
        <w:rPr>
          <w:rFonts w:eastAsia="SimSun"/>
          <w:lang w:val="fr-FR" w:eastAsia="zh-CN"/>
        </w:rPr>
        <w:tab/>
      </w:r>
      <w:r w:rsidRPr="00F77964">
        <w:rPr>
          <w:rFonts w:eastAsia="SimSun"/>
          <w:lang w:val="fr-FR" w:eastAsia="zh-CN"/>
        </w:rPr>
        <w:tab/>
      </w:r>
      <w:r w:rsidR="004D2BEE" w:rsidRPr="00F77964">
        <w:rPr>
          <w:rFonts w:eastAsia="SimSun"/>
          <w:lang w:val="fr-FR" w:eastAsia="zh-CN"/>
        </w:rPr>
        <w:t>Prévisions de coûts</w:t>
      </w:r>
    </w:p>
    <w:p w:rsidR="00D66005" w:rsidRPr="00F77964" w:rsidRDefault="004D2BEE" w:rsidP="00D66005">
      <w:pPr>
        <w:pStyle w:val="Normalnumber"/>
        <w:keepNext/>
        <w:keepLines/>
        <w:numPr>
          <w:ilvl w:val="0"/>
          <w:numId w:val="6"/>
        </w:numPr>
        <w:tabs>
          <w:tab w:val="left" w:pos="624"/>
        </w:tabs>
        <w:ind w:left="1247" w:firstLine="0"/>
        <w:rPr>
          <w:rFonts w:eastAsia="Calibri"/>
          <w:lang w:val="fr-FR"/>
        </w:rPr>
      </w:pPr>
      <w:r w:rsidRPr="00F77964">
        <w:rPr>
          <w:rFonts w:eastAsia="Calibri"/>
          <w:lang w:val="fr-FR"/>
        </w:rPr>
        <w:t>Les prévisions de coûts sont les suivantes </w:t>
      </w:r>
      <w:r w:rsidR="00D66005" w:rsidRPr="00F77964">
        <w:rPr>
          <w:lang w:val="fr-FR"/>
        </w:rPr>
        <w:t>:</w:t>
      </w:r>
    </w:p>
    <w:p w:rsidR="00D66005" w:rsidRPr="00F77964" w:rsidRDefault="00D66005" w:rsidP="00D66005">
      <w:pPr>
        <w:pStyle w:val="Normalnumber"/>
        <w:keepNext/>
        <w:keepLines/>
        <w:tabs>
          <w:tab w:val="left" w:pos="624"/>
        </w:tabs>
        <w:spacing w:before="120" w:after="0"/>
        <w:rPr>
          <w:rFonts w:eastAsia="Calibri"/>
          <w:sz w:val="18"/>
          <w:szCs w:val="18"/>
          <w:lang w:val="fr-FR"/>
        </w:rPr>
      </w:pPr>
      <w:r w:rsidRPr="00F77964">
        <w:rPr>
          <w:rFonts w:eastAsia="Calibri"/>
          <w:lang w:val="fr-FR"/>
        </w:rPr>
        <w:tab/>
      </w:r>
      <w:r w:rsidRPr="00F77964">
        <w:rPr>
          <w:rFonts w:eastAsia="Calibri"/>
          <w:lang w:val="fr-FR"/>
        </w:rPr>
        <w:tab/>
      </w:r>
      <w:r w:rsidRPr="00F77964">
        <w:rPr>
          <w:rFonts w:eastAsia="Calibri"/>
          <w:sz w:val="18"/>
          <w:szCs w:val="18"/>
          <w:lang w:val="fr-FR"/>
        </w:rPr>
        <w:t>(</w:t>
      </w:r>
      <w:r w:rsidR="00817D25">
        <w:rPr>
          <w:rFonts w:eastAsia="Calibri"/>
          <w:sz w:val="18"/>
          <w:szCs w:val="18"/>
          <w:lang w:val="fr-FR"/>
        </w:rPr>
        <w:t>dollars des É</w:t>
      </w:r>
      <w:r w:rsidR="004D2BEE" w:rsidRPr="00F77964">
        <w:rPr>
          <w:rFonts w:eastAsia="Calibri"/>
          <w:sz w:val="18"/>
          <w:szCs w:val="18"/>
          <w:lang w:val="fr-FR"/>
        </w:rPr>
        <w:t>tats-Unis</w:t>
      </w:r>
      <w:r w:rsidRPr="00F77964">
        <w:rPr>
          <w:rFonts w:eastAsia="Calibri"/>
          <w:sz w:val="18"/>
          <w:szCs w:val="18"/>
          <w:lang w:val="fr-FR"/>
        </w:rPr>
        <w:t>)</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412"/>
        <w:gridCol w:w="3073"/>
        <w:gridCol w:w="838"/>
      </w:tblGrid>
      <w:tr w:rsidR="00D71955" w:rsidRPr="0061490E" w:rsidTr="00C60E45">
        <w:trPr>
          <w:tblHeader/>
        </w:trPr>
        <w:tc>
          <w:tcPr>
            <w:tcW w:w="671" w:type="dxa"/>
            <w:tcBorders>
              <w:top w:val="single" w:sz="4" w:space="0" w:color="auto"/>
              <w:left w:val="single" w:sz="4" w:space="0" w:color="auto"/>
              <w:bottom w:val="single" w:sz="4" w:space="0" w:color="auto"/>
              <w:right w:val="single" w:sz="4" w:space="0" w:color="auto"/>
            </w:tcBorders>
            <w:hideMark/>
          </w:tcPr>
          <w:p w:rsidR="00D66005" w:rsidRPr="00F77964" w:rsidRDefault="005F6BA6" w:rsidP="005F6BA6">
            <w:pPr>
              <w:pStyle w:val="Normal-pool"/>
              <w:keepNext/>
              <w:keepLines/>
              <w:spacing w:before="40" w:after="40"/>
              <w:rPr>
                <w:rFonts w:eastAsia="SimSun"/>
                <w:i/>
                <w:sz w:val="18"/>
                <w:szCs w:val="18"/>
                <w:lang w:eastAsia="zh-CN"/>
              </w:rPr>
            </w:pPr>
            <w:r w:rsidRPr="00F77964">
              <w:rPr>
                <w:rFonts w:eastAsia="SimSun"/>
                <w:i/>
                <w:sz w:val="18"/>
                <w:szCs w:val="18"/>
                <w:lang w:eastAsia="zh-CN"/>
              </w:rPr>
              <w:t>Année</w:t>
            </w:r>
          </w:p>
        </w:tc>
        <w:tc>
          <w:tcPr>
            <w:tcW w:w="3412" w:type="dxa"/>
            <w:tcBorders>
              <w:top w:val="single" w:sz="4" w:space="0" w:color="auto"/>
              <w:left w:val="single" w:sz="4" w:space="0" w:color="auto"/>
              <w:bottom w:val="single" w:sz="4" w:space="0" w:color="auto"/>
              <w:right w:val="single" w:sz="4" w:space="0" w:color="auto"/>
            </w:tcBorders>
            <w:hideMark/>
          </w:tcPr>
          <w:p w:rsidR="00D66005" w:rsidRPr="00F77964" w:rsidRDefault="00D972E8" w:rsidP="005F6BA6">
            <w:pPr>
              <w:pStyle w:val="Normal-pool"/>
              <w:keepNext/>
              <w:keepLines/>
              <w:spacing w:before="40" w:after="40"/>
              <w:rPr>
                <w:rFonts w:eastAsia="SimSun"/>
                <w:i/>
                <w:sz w:val="18"/>
                <w:szCs w:val="18"/>
                <w:lang w:eastAsia="zh-CN"/>
              </w:rPr>
            </w:pPr>
            <w:r>
              <w:rPr>
                <w:rFonts w:eastAsia="SimSun"/>
                <w:i/>
                <w:sz w:val="18"/>
                <w:szCs w:val="18"/>
                <w:lang w:eastAsia="zh-CN"/>
              </w:rPr>
              <w:t>Postes de dépense</w:t>
            </w:r>
          </w:p>
        </w:tc>
        <w:tc>
          <w:tcPr>
            <w:tcW w:w="3073" w:type="dxa"/>
            <w:tcBorders>
              <w:top w:val="single" w:sz="4" w:space="0" w:color="auto"/>
              <w:left w:val="single" w:sz="4" w:space="0" w:color="auto"/>
              <w:bottom w:val="single" w:sz="4" w:space="0" w:color="auto"/>
              <w:right w:val="single" w:sz="4" w:space="0" w:color="auto"/>
            </w:tcBorders>
            <w:hideMark/>
          </w:tcPr>
          <w:p w:rsidR="00D66005" w:rsidRPr="00F77964" w:rsidRDefault="005F6BA6" w:rsidP="005F6BA6">
            <w:pPr>
              <w:pStyle w:val="Normal-pool"/>
              <w:keepNext/>
              <w:keepLines/>
              <w:spacing w:before="40" w:after="40"/>
              <w:rPr>
                <w:rFonts w:eastAsia="SimSun"/>
                <w:i/>
                <w:sz w:val="18"/>
                <w:szCs w:val="18"/>
                <w:lang w:eastAsia="zh-CN"/>
              </w:rPr>
            </w:pPr>
            <w:r w:rsidRPr="00F77964">
              <w:rPr>
                <w:rFonts w:eastAsia="SimSun"/>
                <w:i/>
                <w:sz w:val="18"/>
                <w:szCs w:val="18"/>
                <w:lang w:eastAsia="zh-CN"/>
              </w:rPr>
              <w:t>Hypothèses</w:t>
            </w:r>
          </w:p>
        </w:tc>
        <w:tc>
          <w:tcPr>
            <w:tcW w:w="838" w:type="dxa"/>
            <w:tcBorders>
              <w:top w:val="single" w:sz="4" w:space="0" w:color="auto"/>
              <w:left w:val="single" w:sz="4" w:space="0" w:color="auto"/>
              <w:bottom w:val="single" w:sz="4" w:space="0" w:color="auto"/>
              <w:right w:val="single" w:sz="4" w:space="0" w:color="auto"/>
            </w:tcBorders>
            <w:hideMark/>
          </w:tcPr>
          <w:p w:rsidR="00D66005" w:rsidRPr="00F77964" w:rsidRDefault="00D66005" w:rsidP="00F77964">
            <w:pPr>
              <w:pStyle w:val="Normal-pool"/>
              <w:keepNext/>
              <w:keepLines/>
              <w:spacing w:before="40" w:after="40"/>
              <w:jc w:val="right"/>
              <w:rPr>
                <w:rFonts w:eastAsia="SimSun"/>
                <w:i/>
                <w:sz w:val="18"/>
                <w:szCs w:val="18"/>
                <w:lang w:eastAsia="zh-CN"/>
              </w:rPr>
            </w:pPr>
            <w:r w:rsidRPr="00F77964">
              <w:rPr>
                <w:rFonts w:eastAsia="SimSun"/>
                <w:i/>
                <w:sz w:val="18"/>
                <w:szCs w:val="18"/>
                <w:lang w:eastAsia="zh-CN"/>
              </w:rPr>
              <w:t>Co</w:t>
            </w:r>
            <w:r w:rsidR="00F77964">
              <w:rPr>
                <w:rFonts w:eastAsia="SimSun"/>
                <w:i/>
                <w:sz w:val="18"/>
                <w:szCs w:val="18"/>
                <w:lang w:eastAsia="zh-CN"/>
              </w:rPr>
              <w:t>ût</w:t>
            </w:r>
            <w:r w:rsidRPr="00F77964">
              <w:rPr>
                <w:rFonts w:eastAsia="SimSun"/>
                <w:i/>
                <w:sz w:val="18"/>
                <w:szCs w:val="18"/>
                <w:lang w:eastAsia="zh-CN"/>
              </w:rPr>
              <w:t xml:space="preserve"> </w:t>
            </w:r>
          </w:p>
        </w:tc>
      </w:tr>
      <w:tr w:rsidR="00D71955" w:rsidRPr="0061490E" w:rsidTr="00792495">
        <w:tc>
          <w:tcPr>
            <w:tcW w:w="671"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792495">
            <w:pPr>
              <w:pStyle w:val="Normal-pool"/>
              <w:keepNext/>
              <w:keepLines/>
              <w:spacing w:before="40" w:after="40"/>
              <w:rPr>
                <w:rFonts w:eastAsia="SimSun"/>
                <w:sz w:val="18"/>
                <w:szCs w:val="18"/>
                <w:lang w:eastAsia="zh-CN"/>
              </w:rPr>
            </w:pPr>
            <w:r w:rsidRPr="00F77964">
              <w:rPr>
                <w:rFonts w:eastAsia="SimSun"/>
                <w:sz w:val="18"/>
                <w:szCs w:val="18"/>
                <w:lang w:eastAsia="zh-CN"/>
              </w:rPr>
              <w:t>2014</w:t>
            </w:r>
          </w:p>
        </w:tc>
        <w:tc>
          <w:tcPr>
            <w:tcW w:w="3412"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71955" w:rsidP="00792495">
            <w:pPr>
              <w:pStyle w:val="Normal-pool"/>
              <w:keepNext/>
              <w:keepLines/>
              <w:spacing w:before="40" w:after="40"/>
              <w:rPr>
                <w:rFonts w:eastAsia="SimSun"/>
                <w:sz w:val="18"/>
                <w:szCs w:val="18"/>
                <w:lang w:eastAsia="zh-CN"/>
              </w:rPr>
            </w:pPr>
            <w:r w:rsidRPr="00F77964">
              <w:rPr>
                <w:rFonts w:eastAsia="SimSun"/>
                <w:sz w:val="18"/>
                <w:szCs w:val="18"/>
                <w:lang w:eastAsia="zh-CN"/>
              </w:rPr>
              <w:t>R</w:t>
            </w:r>
            <w:r w:rsidR="005F6BA6" w:rsidRPr="00F77964">
              <w:rPr>
                <w:rFonts w:eastAsia="SimSun"/>
                <w:sz w:val="18"/>
                <w:szCs w:val="18"/>
                <w:lang w:eastAsia="zh-CN"/>
              </w:rPr>
              <w:t>éunions de cadrage (</w:t>
            </w:r>
            <w:r w:rsidR="001314CC">
              <w:rPr>
                <w:rFonts w:eastAsia="SimSun"/>
                <w:sz w:val="18"/>
                <w:szCs w:val="18"/>
                <w:lang w:eastAsia="zh-CN"/>
              </w:rPr>
              <w:t xml:space="preserve">25 participants : </w:t>
            </w:r>
            <w:r w:rsidR="005F6BA6" w:rsidRPr="00F77964">
              <w:rPr>
                <w:rFonts w:eastAsia="SimSun"/>
                <w:sz w:val="18"/>
                <w:szCs w:val="18"/>
                <w:lang w:eastAsia="zh-CN"/>
              </w:rPr>
              <w:t>membres du Groupe d’experts multidisciplinaire et du Bureau</w:t>
            </w:r>
            <w:r w:rsidR="00C673C7">
              <w:rPr>
                <w:rFonts w:eastAsia="SimSun"/>
                <w:sz w:val="18"/>
                <w:szCs w:val="18"/>
                <w:lang w:eastAsia="zh-CN"/>
              </w:rPr>
              <w:t xml:space="preserve"> + </w:t>
            </w:r>
            <w:r w:rsidR="005F6BA6" w:rsidRPr="00F77964">
              <w:rPr>
                <w:rFonts w:eastAsia="SimSun"/>
                <w:sz w:val="18"/>
                <w:szCs w:val="18"/>
                <w:lang w:eastAsia="zh-CN"/>
              </w:rPr>
              <w:t>experts)</w:t>
            </w:r>
          </w:p>
        </w:tc>
        <w:tc>
          <w:tcPr>
            <w:tcW w:w="3073" w:type="dxa"/>
            <w:tcBorders>
              <w:top w:val="single" w:sz="4" w:space="0" w:color="auto"/>
              <w:left w:val="single" w:sz="4" w:space="0" w:color="auto"/>
              <w:bottom w:val="single" w:sz="4" w:space="0" w:color="auto"/>
              <w:right w:val="single" w:sz="4" w:space="0" w:color="auto"/>
            </w:tcBorders>
            <w:hideMark/>
          </w:tcPr>
          <w:p w:rsidR="00D66005" w:rsidRPr="00F77964" w:rsidRDefault="00D71955" w:rsidP="00792495">
            <w:pPr>
              <w:pStyle w:val="Normal-pool"/>
              <w:keepNext/>
              <w:keepLines/>
              <w:spacing w:before="40" w:after="40"/>
              <w:rPr>
                <w:rFonts w:eastAsia="SimSun"/>
                <w:sz w:val="18"/>
                <w:szCs w:val="18"/>
                <w:lang w:eastAsia="zh-CN"/>
              </w:rPr>
            </w:pPr>
            <w:r w:rsidRPr="00F77964">
              <w:rPr>
                <w:rFonts w:eastAsia="SimSun"/>
                <w:sz w:val="18"/>
                <w:szCs w:val="18"/>
                <w:lang w:eastAsia="zh-CN"/>
              </w:rPr>
              <w:t>Coûts de la réunion (1 semaine, 25 participants) (25 % en nature)</w:t>
            </w:r>
          </w:p>
        </w:tc>
        <w:tc>
          <w:tcPr>
            <w:tcW w:w="838" w:type="dxa"/>
            <w:tcBorders>
              <w:top w:val="single" w:sz="4" w:space="0" w:color="auto"/>
              <w:left w:val="single" w:sz="4" w:space="0" w:color="auto"/>
              <w:bottom w:val="single" w:sz="4" w:space="0" w:color="auto"/>
              <w:right w:val="single" w:sz="4" w:space="0" w:color="auto"/>
            </w:tcBorders>
            <w:hideMark/>
          </w:tcPr>
          <w:p w:rsidR="00D66005" w:rsidRPr="00F77964" w:rsidRDefault="00D66005" w:rsidP="00792495">
            <w:pPr>
              <w:pStyle w:val="Normal-pool"/>
              <w:keepNext/>
              <w:keepLines/>
              <w:spacing w:before="40" w:after="40"/>
              <w:rPr>
                <w:rFonts w:eastAsia="SimSun"/>
                <w:sz w:val="18"/>
                <w:szCs w:val="18"/>
                <w:lang w:eastAsia="zh-CN"/>
              </w:rPr>
            </w:pPr>
            <w:r w:rsidRPr="00F77964">
              <w:rPr>
                <w:rFonts w:eastAsia="SimSun"/>
                <w:sz w:val="18"/>
                <w:szCs w:val="18"/>
                <w:lang w:eastAsia="zh-CN"/>
              </w:rPr>
              <w:t>7</w:t>
            </w:r>
            <w:r w:rsidR="00D71955" w:rsidRPr="00F77964">
              <w:rPr>
                <w:rFonts w:eastAsia="SimSun"/>
                <w:sz w:val="18"/>
                <w:szCs w:val="18"/>
                <w:lang w:eastAsia="zh-CN"/>
              </w:rPr>
              <w:t> </w:t>
            </w:r>
            <w:r w:rsidRPr="00F77964">
              <w:rPr>
                <w:rFonts w:eastAsia="SimSun"/>
                <w:sz w:val="18"/>
                <w:szCs w:val="18"/>
                <w:lang w:eastAsia="zh-CN"/>
              </w:rPr>
              <w:t>500</w:t>
            </w:r>
          </w:p>
        </w:tc>
      </w:tr>
      <w:tr w:rsidR="00D71955" w:rsidRPr="0061490E" w:rsidTr="00792495">
        <w:trPr>
          <w:trHeight w:val="187"/>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792495">
            <w:pPr>
              <w:spacing w:before="40" w:after="40" w:line="240" w:lineRule="auto"/>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792495">
            <w:pPr>
              <w:spacing w:before="40" w:after="40" w:line="240" w:lineRule="auto"/>
              <w:rPr>
                <w:rFonts w:eastAsia="SimSun"/>
                <w:sz w:val="18"/>
                <w:szCs w:val="18"/>
                <w:lang w:eastAsia="zh-CN"/>
              </w:rPr>
            </w:pPr>
          </w:p>
        </w:tc>
        <w:tc>
          <w:tcPr>
            <w:tcW w:w="3073" w:type="dxa"/>
            <w:tcBorders>
              <w:top w:val="single" w:sz="4" w:space="0" w:color="auto"/>
              <w:left w:val="single" w:sz="4" w:space="0" w:color="auto"/>
              <w:bottom w:val="single" w:sz="4" w:space="0" w:color="auto"/>
              <w:right w:val="single" w:sz="4" w:space="0" w:color="auto"/>
            </w:tcBorders>
            <w:hideMark/>
          </w:tcPr>
          <w:p w:rsidR="00D66005" w:rsidRPr="00F77964" w:rsidRDefault="00D972E8" w:rsidP="00792495">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00D71955" w:rsidRPr="00F77964">
              <w:rPr>
                <w:rFonts w:eastAsia="SimSun"/>
                <w:sz w:val="18"/>
                <w:szCs w:val="18"/>
                <w:lang w:eastAsia="zh-CN"/>
              </w:rPr>
              <w:t xml:space="preserve"> (19 x 3 000 dollars)</w:t>
            </w:r>
          </w:p>
        </w:tc>
        <w:tc>
          <w:tcPr>
            <w:tcW w:w="838" w:type="dxa"/>
            <w:tcBorders>
              <w:top w:val="single" w:sz="4" w:space="0" w:color="auto"/>
              <w:left w:val="single" w:sz="4" w:space="0" w:color="auto"/>
              <w:bottom w:val="single" w:sz="4" w:space="0" w:color="auto"/>
              <w:right w:val="single" w:sz="4" w:space="0" w:color="auto"/>
            </w:tcBorders>
            <w:hideMark/>
          </w:tcPr>
          <w:p w:rsidR="00D66005" w:rsidRPr="00F77964" w:rsidRDefault="00D66005" w:rsidP="00792495">
            <w:pPr>
              <w:pStyle w:val="Normal-pool"/>
              <w:spacing w:before="40" w:after="40"/>
              <w:rPr>
                <w:rFonts w:eastAsia="SimSun"/>
                <w:sz w:val="18"/>
                <w:szCs w:val="18"/>
                <w:lang w:eastAsia="zh-CN"/>
              </w:rPr>
            </w:pPr>
            <w:r w:rsidRPr="00F77964">
              <w:rPr>
                <w:rFonts w:eastAsia="SimSun"/>
                <w:sz w:val="18"/>
                <w:szCs w:val="18"/>
                <w:lang w:eastAsia="zh-CN"/>
              </w:rPr>
              <w:t>57 000</w:t>
            </w:r>
          </w:p>
        </w:tc>
      </w:tr>
      <w:tr w:rsidR="00D71955" w:rsidRPr="0061490E" w:rsidTr="00792495">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792495">
            <w:pPr>
              <w:spacing w:before="40" w:after="40" w:line="240" w:lineRule="auto"/>
              <w:rPr>
                <w:rFonts w:eastAsia="SimSun"/>
                <w:sz w:val="18"/>
                <w:szCs w:val="18"/>
                <w:lang w:eastAsia="zh-CN"/>
              </w:rPr>
            </w:pPr>
          </w:p>
        </w:tc>
        <w:tc>
          <w:tcPr>
            <w:tcW w:w="3412"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5F6BA6" w:rsidP="00792495">
            <w:pPr>
              <w:pStyle w:val="Normal-pool"/>
              <w:spacing w:before="40" w:after="40"/>
              <w:rPr>
                <w:rFonts w:eastAsia="SimSun"/>
                <w:sz w:val="18"/>
                <w:szCs w:val="18"/>
                <w:lang w:eastAsia="zh-CN"/>
              </w:rPr>
            </w:pPr>
            <w:r w:rsidRPr="00F77964">
              <w:rPr>
                <w:rFonts w:eastAsia="SimSun"/>
                <w:sz w:val="18"/>
                <w:szCs w:val="18"/>
                <w:lang w:eastAsia="zh-CN"/>
              </w:rPr>
              <w:t>Première réunion des auteurs (</w:t>
            </w:r>
            <w:r w:rsidR="00D71955" w:rsidRPr="00F77964">
              <w:rPr>
                <w:rFonts w:eastAsia="SimSun"/>
                <w:sz w:val="18"/>
                <w:szCs w:val="18"/>
                <w:lang w:eastAsia="zh-CN"/>
              </w:rPr>
              <w:t>5</w:t>
            </w:r>
            <w:r w:rsidRPr="00F77964">
              <w:rPr>
                <w:rFonts w:eastAsia="SimSun"/>
                <w:sz w:val="18"/>
                <w:szCs w:val="18"/>
                <w:lang w:eastAsia="zh-CN"/>
              </w:rPr>
              <w:t>0 </w:t>
            </w:r>
            <w:r w:rsidR="006E337B">
              <w:rPr>
                <w:rFonts w:eastAsia="SimSun"/>
                <w:sz w:val="18"/>
                <w:szCs w:val="18"/>
                <w:lang w:eastAsia="zh-CN"/>
              </w:rPr>
              <w:t>coprésidents</w:t>
            </w:r>
            <w:r w:rsidRPr="00F77964">
              <w:rPr>
                <w:rFonts w:eastAsia="SimSun"/>
                <w:sz w:val="18"/>
                <w:szCs w:val="18"/>
                <w:lang w:eastAsia="zh-CN"/>
              </w:rPr>
              <w:t>, auteurs coordonnateurs principaux et auteurs principaux</w:t>
            </w:r>
            <w:r w:rsidR="00C673C7">
              <w:rPr>
                <w:rFonts w:eastAsia="SimSun"/>
                <w:sz w:val="18"/>
                <w:szCs w:val="18"/>
                <w:lang w:eastAsia="zh-CN"/>
              </w:rPr>
              <w:t xml:space="preserve"> + </w:t>
            </w:r>
            <w:r w:rsidRPr="00F77964">
              <w:rPr>
                <w:rFonts w:eastAsia="SimSun"/>
                <w:sz w:val="18"/>
                <w:szCs w:val="18"/>
                <w:lang w:eastAsia="zh-CN"/>
              </w:rPr>
              <w:t>4 membres de Groupe d’experts multidisciplinaire/Bureau</w:t>
            </w:r>
            <w:r w:rsidR="00C673C7">
              <w:rPr>
                <w:rFonts w:eastAsia="SimSun"/>
                <w:sz w:val="18"/>
                <w:szCs w:val="18"/>
                <w:lang w:eastAsia="zh-CN"/>
              </w:rPr>
              <w:t xml:space="preserve"> + </w:t>
            </w:r>
            <w:r w:rsidRPr="00F77964">
              <w:rPr>
                <w:rFonts w:eastAsia="SimSun"/>
                <w:sz w:val="18"/>
                <w:szCs w:val="18"/>
                <w:lang w:eastAsia="zh-CN"/>
              </w:rPr>
              <w:t>1 membre du personnel d</w:t>
            </w:r>
            <w:r w:rsidR="00D71955" w:rsidRPr="00F77964">
              <w:rPr>
                <w:rFonts w:eastAsia="SimSun"/>
                <w:sz w:val="18"/>
                <w:szCs w:val="18"/>
                <w:lang w:eastAsia="zh-CN"/>
              </w:rPr>
              <w:t>’appui</w:t>
            </w:r>
            <w:r w:rsidRPr="00F77964">
              <w:rPr>
                <w:rFonts w:eastAsia="SimSun"/>
                <w:sz w:val="18"/>
                <w:szCs w:val="18"/>
                <w:lang w:eastAsia="zh-CN"/>
              </w:rPr>
              <w:t xml:space="preserve"> technique)</w:t>
            </w:r>
          </w:p>
        </w:tc>
        <w:tc>
          <w:tcPr>
            <w:tcW w:w="3073" w:type="dxa"/>
            <w:tcBorders>
              <w:top w:val="single" w:sz="4" w:space="0" w:color="auto"/>
              <w:left w:val="single" w:sz="4" w:space="0" w:color="auto"/>
              <w:bottom w:val="single" w:sz="4" w:space="0" w:color="auto"/>
              <w:right w:val="single" w:sz="4" w:space="0" w:color="auto"/>
            </w:tcBorders>
            <w:hideMark/>
          </w:tcPr>
          <w:p w:rsidR="00D66005" w:rsidRPr="00F77964" w:rsidRDefault="00D71955" w:rsidP="00792495">
            <w:pPr>
              <w:pStyle w:val="Normal-pool"/>
              <w:spacing w:before="40" w:after="40"/>
              <w:rPr>
                <w:rFonts w:eastAsia="SimSun"/>
                <w:sz w:val="18"/>
                <w:szCs w:val="18"/>
                <w:lang w:eastAsia="zh-CN"/>
              </w:rPr>
            </w:pPr>
            <w:r w:rsidRPr="00F77964">
              <w:rPr>
                <w:rFonts w:eastAsia="SimSun"/>
                <w:sz w:val="18"/>
                <w:szCs w:val="18"/>
                <w:lang w:eastAsia="zh-CN"/>
              </w:rPr>
              <w:t>Coûts de la réunion (1 semaine, 55 participants) (25 % en nature)</w:t>
            </w:r>
          </w:p>
        </w:tc>
        <w:tc>
          <w:tcPr>
            <w:tcW w:w="838" w:type="dxa"/>
            <w:tcBorders>
              <w:top w:val="single" w:sz="4" w:space="0" w:color="auto"/>
              <w:left w:val="single" w:sz="4" w:space="0" w:color="auto"/>
              <w:bottom w:val="single" w:sz="4" w:space="0" w:color="auto"/>
              <w:right w:val="single" w:sz="4" w:space="0" w:color="auto"/>
            </w:tcBorders>
            <w:hideMark/>
          </w:tcPr>
          <w:p w:rsidR="00D66005" w:rsidRPr="00F77964" w:rsidRDefault="00D66005" w:rsidP="00792495">
            <w:pPr>
              <w:pStyle w:val="Normal-pool"/>
              <w:spacing w:before="40" w:after="40"/>
              <w:rPr>
                <w:rFonts w:eastAsia="SimSun"/>
                <w:sz w:val="18"/>
                <w:szCs w:val="18"/>
                <w:lang w:eastAsia="zh-CN"/>
              </w:rPr>
            </w:pPr>
            <w:r w:rsidRPr="00F77964">
              <w:rPr>
                <w:rFonts w:eastAsia="SimSun"/>
                <w:sz w:val="18"/>
                <w:szCs w:val="18"/>
                <w:lang w:eastAsia="zh-CN"/>
              </w:rPr>
              <w:t>11 250</w:t>
            </w:r>
          </w:p>
        </w:tc>
      </w:tr>
      <w:tr w:rsidR="00D71955" w:rsidRPr="0061490E" w:rsidTr="00792495">
        <w:trPr>
          <w:trHeight w:val="339"/>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792495">
            <w:pPr>
              <w:spacing w:before="40" w:after="40" w:line="240" w:lineRule="auto"/>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792495">
            <w:pPr>
              <w:spacing w:before="40" w:after="40" w:line="240" w:lineRule="auto"/>
              <w:rPr>
                <w:rFonts w:eastAsia="SimSun"/>
                <w:sz w:val="18"/>
                <w:szCs w:val="18"/>
                <w:lang w:eastAsia="zh-CN"/>
              </w:rPr>
            </w:pPr>
          </w:p>
        </w:tc>
        <w:tc>
          <w:tcPr>
            <w:tcW w:w="3073" w:type="dxa"/>
            <w:tcBorders>
              <w:top w:val="single" w:sz="4" w:space="0" w:color="auto"/>
              <w:left w:val="single" w:sz="4" w:space="0" w:color="auto"/>
              <w:bottom w:val="single" w:sz="4" w:space="0" w:color="auto"/>
              <w:right w:val="single" w:sz="4" w:space="0" w:color="auto"/>
            </w:tcBorders>
            <w:hideMark/>
          </w:tcPr>
          <w:p w:rsidR="00D66005" w:rsidRPr="00F77964" w:rsidRDefault="00D972E8" w:rsidP="00792495">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00D71955" w:rsidRPr="00F77964">
              <w:rPr>
                <w:rFonts w:eastAsia="SimSun"/>
                <w:sz w:val="18"/>
                <w:szCs w:val="18"/>
                <w:lang w:eastAsia="zh-CN"/>
              </w:rPr>
              <w:t xml:space="preserve"> (41 x 3 000 dollars)</w:t>
            </w:r>
          </w:p>
        </w:tc>
        <w:tc>
          <w:tcPr>
            <w:tcW w:w="838" w:type="dxa"/>
            <w:tcBorders>
              <w:top w:val="single" w:sz="4" w:space="0" w:color="auto"/>
              <w:left w:val="single" w:sz="4" w:space="0" w:color="auto"/>
              <w:bottom w:val="single" w:sz="4" w:space="0" w:color="auto"/>
              <w:right w:val="single" w:sz="4" w:space="0" w:color="auto"/>
            </w:tcBorders>
            <w:hideMark/>
          </w:tcPr>
          <w:p w:rsidR="00D66005" w:rsidRPr="00F77964" w:rsidRDefault="00D66005" w:rsidP="00792495">
            <w:pPr>
              <w:pStyle w:val="Normal-pool"/>
              <w:spacing w:before="40" w:after="40"/>
              <w:rPr>
                <w:rFonts w:eastAsia="SimSun"/>
                <w:sz w:val="18"/>
                <w:szCs w:val="18"/>
                <w:lang w:eastAsia="zh-CN"/>
              </w:rPr>
            </w:pPr>
            <w:r w:rsidRPr="00F77964">
              <w:rPr>
                <w:rFonts w:eastAsia="SimSun"/>
                <w:sz w:val="18"/>
                <w:szCs w:val="18"/>
                <w:lang w:eastAsia="zh-CN"/>
              </w:rPr>
              <w:t>123 000</w:t>
            </w:r>
          </w:p>
        </w:tc>
      </w:tr>
      <w:tr w:rsidR="00D71955" w:rsidRPr="0061490E" w:rsidTr="00792495">
        <w:trPr>
          <w:trHeight w:val="361"/>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792495">
            <w:pPr>
              <w:spacing w:before="40" w:after="40" w:line="240" w:lineRule="auto"/>
              <w:rPr>
                <w:rFonts w:eastAsia="SimSun"/>
                <w:sz w:val="18"/>
                <w:szCs w:val="18"/>
                <w:lang w:eastAsia="zh-CN"/>
              </w:rPr>
            </w:pPr>
          </w:p>
        </w:tc>
        <w:tc>
          <w:tcPr>
            <w:tcW w:w="3412" w:type="dxa"/>
            <w:tcBorders>
              <w:top w:val="single" w:sz="4" w:space="0" w:color="auto"/>
              <w:left w:val="single" w:sz="4" w:space="0" w:color="auto"/>
              <w:bottom w:val="single" w:sz="4" w:space="0" w:color="auto"/>
              <w:right w:val="single" w:sz="4" w:space="0" w:color="auto"/>
            </w:tcBorders>
            <w:hideMark/>
          </w:tcPr>
          <w:p w:rsidR="00D66005" w:rsidRPr="00F77964" w:rsidRDefault="005F6BA6" w:rsidP="00792495">
            <w:pPr>
              <w:pStyle w:val="Normal-pool"/>
              <w:spacing w:before="40" w:after="40"/>
              <w:rPr>
                <w:rFonts w:eastAsia="SimSun"/>
                <w:sz w:val="18"/>
                <w:szCs w:val="18"/>
                <w:lang w:eastAsia="zh-CN"/>
              </w:rPr>
            </w:pPr>
            <w:r w:rsidRPr="00F77964">
              <w:rPr>
                <w:rFonts w:eastAsia="SimSun"/>
                <w:sz w:val="18"/>
                <w:szCs w:val="18"/>
                <w:lang w:eastAsia="zh-CN"/>
              </w:rPr>
              <w:t>Appui technique</w:t>
            </w:r>
          </w:p>
        </w:tc>
        <w:tc>
          <w:tcPr>
            <w:tcW w:w="3073" w:type="dxa"/>
            <w:tcBorders>
              <w:top w:val="single" w:sz="4" w:space="0" w:color="auto"/>
              <w:left w:val="single" w:sz="4" w:space="0" w:color="auto"/>
              <w:bottom w:val="single" w:sz="4" w:space="0" w:color="auto"/>
              <w:right w:val="single" w:sz="4" w:space="0" w:color="auto"/>
            </w:tcBorders>
            <w:hideMark/>
          </w:tcPr>
          <w:p w:rsidR="00D66005" w:rsidRPr="00F77964" w:rsidRDefault="00D71955" w:rsidP="00792495">
            <w:pPr>
              <w:pStyle w:val="Normal-pool"/>
              <w:spacing w:before="40" w:after="40"/>
              <w:rPr>
                <w:rFonts w:eastAsia="SimSun"/>
                <w:sz w:val="18"/>
                <w:szCs w:val="18"/>
                <w:lang w:eastAsia="zh-CN"/>
              </w:rPr>
            </w:pPr>
            <w:r w:rsidRPr="00F77964">
              <w:rPr>
                <w:rFonts w:eastAsia="SimSun"/>
                <w:sz w:val="18"/>
                <w:szCs w:val="18"/>
                <w:lang w:eastAsia="zh-CN"/>
              </w:rPr>
              <w:t>1 poste d’administrateur équivalent plein temps (50 % en nature)</w:t>
            </w:r>
          </w:p>
        </w:tc>
        <w:tc>
          <w:tcPr>
            <w:tcW w:w="838" w:type="dxa"/>
            <w:tcBorders>
              <w:top w:val="single" w:sz="4" w:space="0" w:color="auto"/>
              <w:left w:val="single" w:sz="4" w:space="0" w:color="auto"/>
              <w:bottom w:val="single" w:sz="4" w:space="0" w:color="auto"/>
              <w:right w:val="single" w:sz="4" w:space="0" w:color="auto"/>
            </w:tcBorders>
            <w:hideMark/>
          </w:tcPr>
          <w:p w:rsidR="00D66005" w:rsidRPr="00F77964" w:rsidRDefault="00D66005" w:rsidP="00792495">
            <w:pPr>
              <w:pStyle w:val="Normal-pool"/>
              <w:spacing w:before="40" w:after="40"/>
              <w:rPr>
                <w:rFonts w:eastAsia="SimSun"/>
                <w:sz w:val="18"/>
                <w:szCs w:val="18"/>
                <w:lang w:eastAsia="zh-CN"/>
              </w:rPr>
            </w:pPr>
            <w:r w:rsidRPr="00F77964">
              <w:rPr>
                <w:rFonts w:eastAsia="SimSun"/>
                <w:sz w:val="18"/>
                <w:szCs w:val="18"/>
                <w:lang w:eastAsia="zh-CN"/>
              </w:rPr>
              <w:t>75 000</w:t>
            </w:r>
          </w:p>
        </w:tc>
      </w:tr>
      <w:tr w:rsidR="00D71955" w:rsidRPr="0061490E" w:rsidTr="00792495">
        <w:tc>
          <w:tcPr>
            <w:tcW w:w="671"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792495">
            <w:pPr>
              <w:pStyle w:val="Normal-pool"/>
              <w:spacing w:before="40" w:after="40"/>
              <w:rPr>
                <w:rFonts w:eastAsia="SimSun"/>
                <w:sz w:val="18"/>
                <w:szCs w:val="18"/>
                <w:lang w:eastAsia="zh-CN"/>
              </w:rPr>
            </w:pPr>
            <w:r w:rsidRPr="00F77964">
              <w:rPr>
                <w:rFonts w:eastAsia="SimSun"/>
                <w:sz w:val="18"/>
                <w:szCs w:val="18"/>
                <w:lang w:eastAsia="zh-CN"/>
              </w:rPr>
              <w:t>2015</w:t>
            </w:r>
          </w:p>
        </w:tc>
        <w:tc>
          <w:tcPr>
            <w:tcW w:w="3412"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5F6BA6" w:rsidP="00792495">
            <w:pPr>
              <w:pStyle w:val="Normal-pool"/>
              <w:spacing w:before="40" w:after="40"/>
              <w:rPr>
                <w:rFonts w:eastAsia="SimSun"/>
                <w:sz w:val="18"/>
                <w:szCs w:val="18"/>
                <w:lang w:eastAsia="zh-CN"/>
              </w:rPr>
            </w:pPr>
            <w:r w:rsidRPr="00F77964">
              <w:rPr>
                <w:rFonts w:eastAsia="SimSun"/>
                <w:sz w:val="18"/>
                <w:szCs w:val="18"/>
                <w:lang w:eastAsia="zh-CN"/>
              </w:rPr>
              <w:t>Deuxième réunion des auteurs (</w:t>
            </w:r>
            <w:r w:rsidR="001314CC">
              <w:rPr>
                <w:rFonts w:eastAsia="SimSun"/>
                <w:sz w:val="18"/>
                <w:szCs w:val="18"/>
                <w:lang w:eastAsia="zh-CN"/>
              </w:rPr>
              <w:t>5</w:t>
            </w:r>
            <w:r w:rsidRPr="00F77964">
              <w:rPr>
                <w:rFonts w:eastAsia="SimSun"/>
                <w:sz w:val="18"/>
                <w:szCs w:val="18"/>
                <w:lang w:eastAsia="zh-CN"/>
              </w:rPr>
              <w:t>0 </w:t>
            </w:r>
            <w:r w:rsidR="006E337B">
              <w:rPr>
                <w:rFonts w:eastAsia="SimSun"/>
                <w:sz w:val="18"/>
                <w:szCs w:val="18"/>
                <w:lang w:eastAsia="zh-CN"/>
              </w:rPr>
              <w:t>coprésidents</w:t>
            </w:r>
            <w:r w:rsidRPr="00F77964">
              <w:rPr>
                <w:rFonts w:eastAsia="SimSun"/>
                <w:sz w:val="18"/>
                <w:szCs w:val="18"/>
                <w:lang w:eastAsia="zh-CN"/>
              </w:rPr>
              <w:t>, auteurs coordonnateurs principaux et auteurs principaux</w:t>
            </w:r>
            <w:r w:rsidR="00C673C7">
              <w:rPr>
                <w:rFonts w:eastAsia="SimSun"/>
                <w:sz w:val="18"/>
                <w:szCs w:val="18"/>
                <w:lang w:eastAsia="zh-CN"/>
              </w:rPr>
              <w:t xml:space="preserve"> + </w:t>
            </w:r>
            <w:r w:rsidRPr="00F77964">
              <w:rPr>
                <w:rFonts w:eastAsia="SimSun"/>
                <w:sz w:val="18"/>
                <w:szCs w:val="18"/>
                <w:lang w:eastAsia="zh-CN"/>
              </w:rPr>
              <w:t>1</w:t>
            </w:r>
            <w:r w:rsidR="001314CC">
              <w:rPr>
                <w:rFonts w:eastAsia="SimSun"/>
                <w:sz w:val="18"/>
                <w:szCs w:val="18"/>
                <w:lang w:eastAsia="zh-CN"/>
              </w:rPr>
              <w:t>0</w:t>
            </w:r>
            <w:r w:rsidRPr="00F77964">
              <w:rPr>
                <w:rFonts w:eastAsia="SimSun"/>
                <w:sz w:val="18"/>
                <w:szCs w:val="18"/>
                <w:lang w:eastAsia="zh-CN"/>
              </w:rPr>
              <w:t> </w:t>
            </w:r>
            <w:r w:rsidR="00F77964" w:rsidRPr="00F77964">
              <w:rPr>
                <w:rFonts w:eastAsia="SimSun"/>
                <w:sz w:val="18"/>
                <w:szCs w:val="18"/>
                <w:lang w:eastAsia="zh-CN"/>
              </w:rPr>
              <w:t>éditeurs</w:t>
            </w:r>
            <w:r w:rsidRPr="00F77964">
              <w:rPr>
                <w:rFonts w:eastAsia="SimSun"/>
                <w:sz w:val="18"/>
                <w:szCs w:val="18"/>
                <w:lang w:eastAsia="zh-CN"/>
              </w:rPr>
              <w:t>-réviseurs</w:t>
            </w:r>
            <w:r w:rsidR="00C673C7">
              <w:rPr>
                <w:rFonts w:eastAsia="SimSun"/>
                <w:sz w:val="18"/>
                <w:szCs w:val="18"/>
                <w:lang w:eastAsia="zh-CN"/>
              </w:rPr>
              <w:t xml:space="preserve"> + </w:t>
            </w:r>
            <w:r w:rsidRPr="00F77964">
              <w:rPr>
                <w:rFonts w:eastAsia="SimSun"/>
                <w:sz w:val="18"/>
                <w:szCs w:val="18"/>
                <w:lang w:eastAsia="zh-CN"/>
              </w:rPr>
              <w:t>4 membres du Groupe d’experts multidisciplinaire/Bureau</w:t>
            </w:r>
            <w:r w:rsidR="00C673C7">
              <w:rPr>
                <w:rFonts w:eastAsia="SimSun"/>
                <w:sz w:val="18"/>
                <w:szCs w:val="18"/>
                <w:lang w:eastAsia="zh-CN"/>
              </w:rPr>
              <w:t xml:space="preserve"> + </w:t>
            </w:r>
            <w:r w:rsidRPr="00F77964">
              <w:rPr>
                <w:rFonts w:eastAsia="SimSun"/>
                <w:sz w:val="18"/>
                <w:szCs w:val="18"/>
                <w:lang w:eastAsia="zh-CN"/>
              </w:rPr>
              <w:t>1 membre du personnel d’appui technique)</w:t>
            </w:r>
          </w:p>
        </w:tc>
        <w:tc>
          <w:tcPr>
            <w:tcW w:w="3073" w:type="dxa"/>
            <w:tcBorders>
              <w:top w:val="single" w:sz="4" w:space="0" w:color="auto"/>
              <w:left w:val="single" w:sz="4" w:space="0" w:color="auto"/>
              <w:bottom w:val="single" w:sz="4" w:space="0" w:color="auto"/>
              <w:right w:val="single" w:sz="4" w:space="0" w:color="auto"/>
            </w:tcBorders>
            <w:hideMark/>
          </w:tcPr>
          <w:p w:rsidR="00D66005" w:rsidRPr="00F77964" w:rsidRDefault="00D71955" w:rsidP="00792495">
            <w:pPr>
              <w:pStyle w:val="Normal-pool"/>
              <w:spacing w:before="40" w:after="40"/>
              <w:rPr>
                <w:rFonts w:eastAsia="SimSun"/>
                <w:sz w:val="18"/>
                <w:szCs w:val="18"/>
                <w:lang w:eastAsia="zh-CN"/>
              </w:rPr>
            </w:pPr>
            <w:r w:rsidRPr="00F77964">
              <w:rPr>
                <w:rFonts w:eastAsia="SimSun"/>
                <w:sz w:val="18"/>
                <w:szCs w:val="18"/>
                <w:lang w:eastAsia="zh-CN"/>
              </w:rPr>
              <w:t xml:space="preserve">Coûts de la réunion (1 semaine, </w:t>
            </w:r>
            <w:r w:rsidR="00351533" w:rsidRPr="00F77964">
              <w:rPr>
                <w:rFonts w:eastAsia="SimSun"/>
                <w:sz w:val="18"/>
                <w:szCs w:val="18"/>
                <w:lang w:eastAsia="zh-CN"/>
              </w:rPr>
              <w:t>65</w:t>
            </w:r>
            <w:r w:rsidRPr="00F77964">
              <w:rPr>
                <w:rFonts w:eastAsia="SimSun"/>
                <w:sz w:val="18"/>
                <w:szCs w:val="18"/>
                <w:lang w:eastAsia="zh-CN"/>
              </w:rPr>
              <w:t> participants) (25 % en nature)</w:t>
            </w:r>
          </w:p>
        </w:tc>
        <w:tc>
          <w:tcPr>
            <w:tcW w:w="838" w:type="dxa"/>
            <w:tcBorders>
              <w:top w:val="single" w:sz="4" w:space="0" w:color="auto"/>
              <w:left w:val="single" w:sz="4" w:space="0" w:color="auto"/>
              <w:bottom w:val="single" w:sz="4" w:space="0" w:color="auto"/>
              <w:right w:val="single" w:sz="4" w:space="0" w:color="auto"/>
            </w:tcBorders>
            <w:hideMark/>
          </w:tcPr>
          <w:p w:rsidR="00D66005" w:rsidRPr="00F77964" w:rsidRDefault="00D66005" w:rsidP="00792495">
            <w:pPr>
              <w:pStyle w:val="Normal-pool"/>
              <w:spacing w:before="40" w:after="40"/>
              <w:rPr>
                <w:rFonts w:eastAsia="SimSun"/>
                <w:sz w:val="18"/>
                <w:szCs w:val="18"/>
                <w:lang w:eastAsia="zh-CN"/>
              </w:rPr>
            </w:pPr>
            <w:r w:rsidRPr="00F77964">
              <w:rPr>
                <w:rFonts w:eastAsia="SimSun"/>
                <w:sz w:val="18"/>
                <w:szCs w:val="18"/>
                <w:lang w:eastAsia="zh-CN"/>
              </w:rPr>
              <w:t>15 000</w:t>
            </w:r>
          </w:p>
        </w:tc>
      </w:tr>
      <w:tr w:rsidR="00D71955" w:rsidRPr="0061490E" w:rsidTr="00792495">
        <w:trPr>
          <w:trHeight w:val="361"/>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792495">
            <w:pPr>
              <w:spacing w:before="40" w:after="40" w:line="240" w:lineRule="auto"/>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792495">
            <w:pPr>
              <w:spacing w:before="40" w:after="40" w:line="240" w:lineRule="auto"/>
              <w:rPr>
                <w:rFonts w:eastAsia="SimSun"/>
                <w:sz w:val="18"/>
                <w:szCs w:val="18"/>
                <w:lang w:eastAsia="zh-CN"/>
              </w:rPr>
            </w:pPr>
          </w:p>
        </w:tc>
        <w:tc>
          <w:tcPr>
            <w:tcW w:w="3073" w:type="dxa"/>
            <w:tcBorders>
              <w:top w:val="single" w:sz="4" w:space="0" w:color="auto"/>
              <w:left w:val="single" w:sz="4" w:space="0" w:color="auto"/>
              <w:bottom w:val="single" w:sz="4" w:space="0" w:color="auto"/>
              <w:right w:val="single" w:sz="4" w:space="0" w:color="auto"/>
            </w:tcBorders>
            <w:hideMark/>
          </w:tcPr>
          <w:p w:rsidR="00D66005" w:rsidRPr="00F77964" w:rsidRDefault="00D972E8" w:rsidP="00792495">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00D71955" w:rsidRPr="00F77964">
              <w:rPr>
                <w:rFonts w:eastAsia="SimSun"/>
                <w:sz w:val="18"/>
                <w:szCs w:val="18"/>
                <w:lang w:eastAsia="zh-CN"/>
              </w:rPr>
              <w:t xml:space="preserve"> (</w:t>
            </w:r>
            <w:r w:rsidR="00351533" w:rsidRPr="00F77964">
              <w:rPr>
                <w:rFonts w:eastAsia="SimSun"/>
                <w:sz w:val="18"/>
                <w:szCs w:val="18"/>
                <w:lang w:eastAsia="zh-CN"/>
              </w:rPr>
              <w:t>49</w:t>
            </w:r>
            <w:r w:rsidR="00D71955" w:rsidRPr="00F77964">
              <w:rPr>
                <w:rFonts w:eastAsia="SimSun"/>
                <w:sz w:val="18"/>
                <w:szCs w:val="18"/>
                <w:lang w:eastAsia="zh-CN"/>
              </w:rPr>
              <w:t> x 3 000 dollars)</w:t>
            </w:r>
          </w:p>
        </w:tc>
        <w:tc>
          <w:tcPr>
            <w:tcW w:w="838" w:type="dxa"/>
            <w:tcBorders>
              <w:top w:val="single" w:sz="4" w:space="0" w:color="auto"/>
              <w:left w:val="single" w:sz="4" w:space="0" w:color="auto"/>
              <w:bottom w:val="single" w:sz="4" w:space="0" w:color="auto"/>
              <w:right w:val="single" w:sz="4" w:space="0" w:color="auto"/>
            </w:tcBorders>
            <w:hideMark/>
          </w:tcPr>
          <w:p w:rsidR="00D66005" w:rsidRPr="00F77964" w:rsidRDefault="00D66005" w:rsidP="00792495">
            <w:pPr>
              <w:pStyle w:val="Normal-pool"/>
              <w:spacing w:before="40" w:after="40"/>
              <w:rPr>
                <w:rFonts w:eastAsia="SimSun"/>
                <w:sz w:val="18"/>
                <w:szCs w:val="18"/>
                <w:lang w:eastAsia="zh-CN"/>
              </w:rPr>
            </w:pPr>
            <w:r w:rsidRPr="00F77964">
              <w:rPr>
                <w:rFonts w:eastAsia="SimSun"/>
                <w:sz w:val="18"/>
                <w:szCs w:val="18"/>
                <w:lang w:eastAsia="zh-CN"/>
              </w:rPr>
              <w:t>147 000</w:t>
            </w:r>
          </w:p>
        </w:tc>
      </w:tr>
      <w:tr w:rsidR="00D71955" w:rsidRPr="0061490E" w:rsidTr="00792495">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792495">
            <w:pPr>
              <w:spacing w:before="40" w:after="40" w:line="240" w:lineRule="auto"/>
              <w:rPr>
                <w:rFonts w:eastAsia="SimSun"/>
                <w:sz w:val="18"/>
                <w:szCs w:val="18"/>
                <w:lang w:eastAsia="zh-CN"/>
              </w:rPr>
            </w:pPr>
          </w:p>
        </w:tc>
        <w:tc>
          <w:tcPr>
            <w:tcW w:w="3412"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5F6BA6" w:rsidP="00792495">
            <w:pPr>
              <w:pStyle w:val="Normal-pool"/>
              <w:spacing w:before="40" w:after="40"/>
              <w:rPr>
                <w:rFonts w:eastAsia="SimSun"/>
                <w:sz w:val="18"/>
                <w:szCs w:val="18"/>
                <w:lang w:eastAsia="zh-CN"/>
              </w:rPr>
            </w:pPr>
            <w:r w:rsidRPr="00F77964">
              <w:rPr>
                <w:rFonts w:eastAsia="SimSun"/>
                <w:sz w:val="18"/>
                <w:szCs w:val="18"/>
                <w:lang w:eastAsia="zh-CN"/>
              </w:rPr>
              <w:t>Troisième réunion des auteurs (</w:t>
            </w:r>
            <w:r w:rsidR="001314CC">
              <w:rPr>
                <w:rFonts w:eastAsia="SimSun"/>
                <w:sz w:val="18"/>
                <w:szCs w:val="18"/>
                <w:lang w:eastAsia="zh-CN"/>
              </w:rPr>
              <w:t>5</w:t>
            </w:r>
            <w:r w:rsidRPr="00F77964">
              <w:rPr>
                <w:rFonts w:eastAsia="SimSun"/>
                <w:sz w:val="18"/>
                <w:szCs w:val="18"/>
                <w:lang w:eastAsia="zh-CN"/>
              </w:rPr>
              <w:t>0 </w:t>
            </w:r>
            <w:r w:rsidR="006E337B">
              <w:rPr>
                <w:rFonts w:eastAsia="SimSun"/>
                <w:sz w:val="18"/>
                <w:szCs w:val="18"/>
                <w:lang w:eastAsia="zh-CN"/>
              </w:rPr>
              <w:t>coprésidents</w:t>
            </w:r>
            <w:r w:rsidRPr="00F77964">
              <w:rPr>
                <w:rFonts w:eastAsia="SimSun"/>
                <w:sz w:val="18"/>
                <w:szCs w:val="18"/>
                <w:lang w:eastAsia="zh-CN"/>
              </w:rPr>
              <w:t>, auteurs coordonnateurs principaux et auteurs principaux</w:t>
            </w:r>
            <w:r w:rsidR="00C673C7">
              <w:rPr>
                <w:rFonts w:eastAsia="SimSun"/>
                <w:sz w:val="18"/>
                <w:szCs w:val="18"/>
                <w:lang w:eastAsia="zh-CN"/>
              </w:rPr>
              <w:t xml:space="preserve"> + </w:t>
            </w:r>
            <w:r w:rsidR="001314CC">
              <w:rPr>
                <w:rFonts w:eastAsia="SimSun"/>
                <w:sz w:val="18"/>
                <w:szCs w:val="18"/>
                <w:lang w:eastAsia="zh-CN"/>
              </w:rPr>
              <w:t>10</w:t>
            </w:r>
            <w:r w:rsidRPr="00F77964">
              <w:rPr>
                <w:rFonts w:eastAsia="SimSun"/>
                <w:sz w:val="18"/>
                <w:szCs w:val="18"/>
                <w:lang w:eastAsia="zh-CN"/>
              </w:rPr>
              <w:t> éditeurs-réviseurs</w:t>
            </w:r>
            <w:r w:rsidR="00C673C7">
              <w:rPr>
                <w:rFonts w:eastAsia="SimSun"/>
                <w:sz w:val="18"/>
                <w:szCs w:val="18"/>
                <w:lang w:eastAsia="zh-CN"/>
              </w:rPr>
              <w:t xml:space="preserve"> + </w:t>
            </w:r>
            <w:r w:rsidRPr="00F77964">
              <w:rPr>
                <w:rFonts w:eastAsia="SimSun"/>
                <w:sz w:val="18"/>
                <w:szCs w:val="18"/>
                <w:lang w:eastAsia="zh-CN"/>
              </w:rPr>
              <w:t>4 membres du Groupe d’experts multidisciplinaire/Bureau</w:t>
            </w:r>
            <w:r w:rsidR="00C673C7">
              <w:rPr>
                <w:rFonts w:eastAsia="SimSun"/>
                <w:sz w:val="18"/>
                <w:szCs w:val="18"/>
                <w:lang w:eastAsia="zh-CN"/>
              </w:rPr>
              <w:t xml:space="preserve"> + </w:t>
            </w:r>
            <w:r w:rsidRPr="00F77964">
              <w:rPr>
                <w:rFonts w:eastAsia="SimSun"/>
                <w:sz w:val="18"/>
                <w:szCs w:val="18"/>
                <w:lang w:eastAsia="zh-CN"/>
              </w:rPr>
              <w:t>1 membre du personnel d’appui technique)</w:t>
            </w:r>
          </w:p>
        </w:tc>
        <w:tc>
          <w:tcPr>
            <w:tcW w:w="3073" w:type="dxa"/>
            <w:tcBorders>
              <w:top w:val="single" w:sz="4" w:space="0" w:color="auto"/>
              <w:left w:val="single" w:sz="4" w:space="0" w:color="auto"/>
              <w:bottom w:val="single" w:sz="4" w:space="0" w:color="auto"/>
              <w:right w:val="single" w:sz="4" w:space="0" w:color="auto"/>
            </w:tcBorders>
            <w:hideMark/>
          </w:tcPr>
          <w:p w:rsidR="00D66005" w:rsidRPr="00F77964" w:rsidRDefault="00D71955" w:rsidP="00792495">
            <w:pPr>
              <w:pStyle w:val="Normal-pool"/>
              <w:spacing w:before="40" w:after="40"/>
              <w:rPr>
                <w:rFonts w:eastAsia="SimSun"/>
                <w:sz w:val="18"/>
                <w:szCs w:val="18"/>
                <w:lang w:eastAsia="zh-CN"/>
              </w:rPr>
            </w:pPr>
            <w:r w:rsidRPr="00F77964">
              <w:rPr>
                <w:rFonts w:eastAsia="SimSun"/>
                <w:sz w:val="18"/>
                <w:szCs w:val="18"/>
                <w:lang w:eastAsia="zh-CN"/>
              </w:rPr>
              <w:t>Coûts de la réunion (1 semaine, 65 participants) (25 % en nature)</w:t>
            </w:r>
          </w:p>
        </w:tc>
        <w:tc>
          <w:tcPr>
            <w:tcW w:w="838" w:type="dxa"/>
            <w:tcBorders>
              <w:top w:val="single" w:sz="4" w:space="0" w:color="auto"/>
              <w:left w:val="single" w:sz="4" w:space="0" w:color="auto"/>
              <w:bottom w:val="single" w:sz="4" w:space="0" w:color="auto"/>
              <w:right w:val="single" w:sz="4" w:space="0" w:color="auto"/>
            </w:tcBorders>
            <w:hideMark/>
          </w:tcPr>
          <w:p w:rsidR="00D66005" w:rsidRPr="00F77964" w:rsidRDefault="00D66005" w:rsidP="00792495">
            <w:pPr>
              <w:pStyle w:val="Normal-pool"/>
              <w:spacing w:before="40" w:after="40"/>
              <w:rPr>
                <w:rFonts w:eastAsia="SimSun"/>
                <w:sz w:val="18"/>
                <w:szCs w:val="18"/>
                <w:lang w:eastAsia="zh-CN"/>
              </w:rPr>
            </w:pPr>
            <w:r w:rsidRPr="00F77964">
              <w:rPr>
                <w:rFonts w:eastAsia="SimSun"/>
                <w:sz w:val="18"/>
                <w:szCs w:val="18"/>
                <w:lang w:eastAsia="zh-CN"/>
              </w:rPr>
              <w:t>15</w:t>
            </w:r>
            <w:r w:rsidR="00D71955" w:rsidRPr="00F77964">
              <w:rPr>
                <w:rFonts w:eastAsia="SimSun"/>
                <w:sz w:val="18"/>
                <w:szCs w:val="18"/>
                <w:lang w:eastAsia="zh-CN"/>
              </w:rPr>
              <w:t> </w:t>
            </w:r>
            <w:r w:rsidRPr="00F77964">
              <w:rPr>
                <w:rFonts w:eastAsia="SimSun"/>
                <w:sz w:val="18"/>
                <w:szCs w:val="18"/>
                <w:lang w:eastAsia="zh-CN"/>
              </w:rPr>
              <w:t>000</w:t>
            </w:r>
          </w:p>
        </w:tc>
      </w:tr>
      <w:tr w:rsidR="00D71955" w:rsidRPr="0061490E" w:rsidTr="00792495">
        <w:trPr>
          <w:trHeight w:val="339"/>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792495">
            <w:pPr>
              <w:spacing w:before="40" w:after="40" w:line="240" w:lineRule="auto"/>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792495">
            <w:pPr>
              <w:spacing w:before="40" w:after="40" w:line="240" w:lineRule="auto"/>
              <w:rPr>
                <w:rFonts w:eastAsia="SimSun"/>
                <w:sz w:val="18"/>
                <w:szCs w:val="18"/>
                <w:lang w:eastAsia="zh-CN"/>
              </w:rPr>
            </w:pPr>
          </w:p>
        </w:tc>
        <w:tc>
          <w:tcPr>
            <w:tcW w:w="3073" w:type="dxa"/>
            <w:tcBorders>
              <w:top w:val="single" w:sz="4" w:space="0" w:color="auto"/>
              <w:left w:val="single" w:sz="4" w:space="0" w:color="auto"/>
              <w:bottom w:val="single" w:sz="4" w:space="0" w:color="auto"/>
              <w:right w:val="single" w:sz="4" w:space="0" w:color="auto"/>
            </w:tcBorders>
            <w:hideMark/>
          </w:tcPr>
          <w:p w:rsidR="00D66005" w:rsidRPr="00F77964" w:rsidRDefault="00D972E8" w:rsidP="00792495">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00D71955" w:rsidRPr="00F77964">
              <w:rPr>
                <w:rFonts w:eastAsia="SimSun"/>
                <w:sz w:val="18"/>
                <w:szCs w:val="18"/>
                <w:lang w:eastAsia="zh-CN"/>
              </w:rPr>
              <w:t xml:space="preserve"> (49 x 3 000 dollars)</w:t>
            </w:r>
          </w:p>
        </w:tc>
        <w:tc>
          <w:tcPr>
            <w:tcW w:w="838" w:type="dxa"/>
            <w:tcBorders>
              <w:top w:val="single" w:sz="4" w:space="0" w:color="auto"/>
              <w:left w:val="single" w:sz="4" w:space="0" w:color="auto"/>
              <w:bottom w:val="single" w:sz="4" w:space="0" w:color="auto"/>
              <w:right w:val="single" w:sz="4" w:space="0" w:color="auto"/>
            </w:tcBorders>
            <w:hideMark/>
          </w:tcPr>
          <w:p w:rsidR="00D66005" w:rsidRPr="00F77964" w:rsidRDefault="00D66005" w:rsidP="00792495">
            <w:pPr>
              <w:pStyle w:val="Normal-pool"/>
              <w:spacing w:before="40" w:after="40"/>
              <w:rPr>
                <w:rFonts w:eastAsia="SimSun"/>
                <w:sz w:val="18"/>
                <w:szCs w:val="18"/>
                <w:lang w:eastAsia="zh-CN"/>
              </w:rPr>
            </w:pPr>
            <w:r w:rsidRPr="00F77964">
              <w:rPr>
                <w:rFonts w:eastAsia="SimSun"/>
                <w:sz w:val="18"/>
                <w:szCs w:val="18"/>
                <w:lang w:eastAsia="zh-CN"/>
              </w:rPr>
              <w:t>147</w:t>
            </w:r>
            <w:r w:rsidR="00D71955" w:rsidRPr="00F77964">
              <w:rPr>
                <w:rFonts w:eastAsia="SimSun"/>
                <w:sz w:val="18"/>
                <w:szCs w:val="18"/>
                <w:lang w:eastAsia="zh-CN"/>
              </w:rPr>
              <w:t> </w:t>
            </w:r>
            <w:r w:rsidRPr="00F77964">
              <w:rPr>
                <w:rFonts w:eastAsia="SimSun"/>
                <w:sz w:val="18"/>
                <w:szCs w:val="18"/>
                <w:lang w:eastAsia="zh-CN"/>
              </w:rPr>
              <w:t>000</w:t>
            </w:r>
          </w:p>
        </w:tc>
      </w:tr>
      <w:tr w:rsidR="00D71955" w:rsidRPr="0061490E" w:rsidTr="00792495">
        <w:trPr>
          <w:trHeight w:val="361"/>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792495">
            <w:pPr>
              <w:spacing w:before="40" w:after="40" w:line="240" w:lineRule="auto"/>
              <w:rPr>
                <w:rFonts w:eastAsia="SimSun"/>
                <w:sz w:val="18"/>
                <w:szCs w:val="18"/>
                <w:lang w:eastAsia="zh-CN"/>
              </w:rPr>
            </w:pPr>
          </w:p>
        </w:tc>
        <w:tc>
          <w:tcPr>
            <w:tcW w:w="3412" w:type="dxa"/>
            <w:tcBorders>
              <w:top w:val="single" w:sz="4" w:space="0" w:color="auto"/>
              <w:left w:val="single" w:sz="4" w:space="0" w:color="auto"/>
              <w:bottom w:val="single" w:sz="4" w:space="0" w:color="auto"/>
              <w:right w:val="single" w:sz="4" w:space="0" w:color="auto"/>
            </w:tcBorders>
            <w:hideMark/>
          </w:tcPr>
          <w:p w:rsidR="00D66005" w:rsidRPr="00F77964" w:rsidRDefault="005F6BA6" w:rsidP="00792495">
            <w:pPr>
              <w:pStyle w:val="Normal-pool"/>
              <w:spacing w:before="40" w:after="40"/>
              <w:rPr>
                <w:rFonts w:eastAsia="SimSun"/>
                <w:sz w:val="18"/>
                <w:szCs w:val="18"/>
                <w:lang w:eastAsia="zh-CN"/>
              </w:rPr>
            </w:pPr>
            <w:r w:rsidRPr="00F77964">
              <w:rPr>
                <w:rFonts w:eastAsia="SimSun"/>
                <w:sz w:val="18"/>
                <w:szCs w:val="18"/>
                <w:lang w:eastAsia="zh-CN"/>
              </w:rPr>
              <w:t>Appui technique</w:t>
            </w:r>
          </w:p>
        </w:tc>
        <w:tc>
          <w:tcPr>
            <w:tcW w:w="3073" w:type="dxa"/>
            <w:tcBorders>
              <w:top w:val="single" w:sz="4" w:space="0" w:color="auto"/>
              <w:left w:val="single" w:sz="4" w:space="0" w:color="auto"/>
              <w:bottom w:val="single" w:sz="4" w:space="0" w:color="auto"/>
              <w:right w:val="single" w:sz="4" w:space="0" w:color="auto"/>
            </w:tcBorders>
            <w:hideMark/>
          </w:tcPr>
          <w:p w:rsidR="00D66005" w:rsidRPr="00F77964" w:rsidRDefault="00D71955" w:rsidP="00792495">
            <w:pPr>
              <w:pStyle w:val="Normal-pool"/>
              <w:spacing w:before="40" w:after="40"/>
              <w:rPr>
                <w:rFonts w:eastAsia="SimSun"/>
                <w:sz w:val="18"/>
                <w:szCs w:val="18"/>
                <w:lang w:eastAsia="zh-CN"/>
              </w:rPr>
            </w:pPr>
            <w:r w:rsidRPr="00F77964">
              <w:rPr>
                <w:rFonts w:eastAsia="SimSun"/>
                <w:sz w:val="18"/>
                <w:szCs w:val="18"/>
                <w:lang w:eastAsia="zh-CN"/>
              </w:rPr>
              <w:t>1 poste d’administrateur équivalent plein temps (50 % en nature)</w:t>
            </w:r>
          </w:p>
        </w:tc>
        <w:tc>
          <w:tcPr>
            <w:tcW w:w="838" w:type="dxa"/>
            <w:tcBorders>
              <w:top w:val="single" w:sz="4" w:space="0" w:color="auto"/>
              <w:left w:val="single" w:sz="4" w:space="0" w:color="auto"/>
              <w:bottom w:val="single" w:sz="4" w:space="0" w:color="auto"/>
              <w:right w:val="single" w:sz="4" w:space="0" w:color="auto"/>
            </w:tcBorders>
            <w:hideMark/>
          </w:tcPr>
          <w:p w:rsidR="00D66005" w:rsidRPr="00F77964" w:rsidRDefault="00D66005" w:rsidP="00792495">
            <w:pPr>
              <w:pStyle w:val="Normal-pool"/>
              <w:spacing w:before="40" w:after="40"/>
              <w:rPr>
                <w:rFonts w:eastAsia="SimSun"/>
                <w:sz w:val="18"/>
                <w:szCs w:val="18"/>
                <w:lang w:eastAsia="zh-CN"/>
              </w:rPr>
            </w:pPr>
            <w:r w:rsidRPr="00F77964">
              <w:rPr>
                <w:rFonts w:eastAsia="SimSun"/>
                <w:sz w:val="18"/>
                <w:szCs w:val="18"/>
                <w:lang w:eastAsia="zh-CN"/>
              </w:rPr>
              <w:t>75</w:t>
            </w:r>
            <w:r w:rsidR="00D71955" w:rsidRPr="00F77964">
              <w:rPr>
                <w:rFonts w:eastAsia="SimSun"/>
                <w:sz w:val="18"/>
                <w:szCs w:val="18"/>
                <w:lang w:eastAsia="zh-CN"/>
              </w:rPr>
              <w:t> </w:t>
            </w:r>
            <w:r w:rsidRPr="00F77964">
              <w:rPr>
                <w:rFonts w:eastAsia="SimSun"/>
                <w:sz w:val="18"/>
                <w:szCs w:val="18"/>
                <w:lang w:eastAsia="zh-CN"/>
              </w:rPr>
              <w:t>000</w:t>
            </w:r>
          </w:p>
        </w:tc>
      </w:tr>
      <w:tr w:rsidR="00D71955" w:rsidRPr="0061490E" w:rsidTr="00792495">
        <w:trPr>
          <w:trHeight w:val="357"/>
        </w:trPr>
        <w:tc>
          <w:tcPr>
            <w:tcW w:w="671"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792495">
            <w:pPr>
              <w:pStyle w:val="Normal-pool"/>
              <w:keepNext/>
              <w:keepLines/>
              <w:spacing w:before="40" w:after="40"/>
              <w:rPr>
                <w:rFonts w:eastAsia="SimSun"/>
                <w:sz w:val="18"/>
                <w:szCs w:val="18"/>
                <w:lang w:eastAsia="zh-CN"/>
              </w:rPr>
            </w:pPr>
            <w:r w:rsidRPr="00F77964">
              <w:rPr>
                <w:rFonts w:eastAsia="SimSun"/>
                <w:sz w:val="18"/>
                <w:szCs w:val="18"/>
                <w:lang w:eastAsia="zh-CN"/>
              </w:rPr>
              <w:t>2016</w:t>
            </w:r>
          </w:p>
        </w:tc>
        <w:tc>
          <w:tcPr>
            <w:tcW w:w="3412" w:type="dxa"/>
            <w:tcBorders>
              <w:top w:val="single" w:sz="4" w:space="0" w:color="auto"/>
              <w:left w:val="single" w:sz="4" w:space="0" w:color="auto"/>
              <w:bottom w:val="single" w:sz="4" w:space="0" w:color="auto"/>
              <w:right w:val="single" w:sz="4" w:space="0" w:color="auto"/>
            </w:tcBorders>
            <w:hideMark/>
          </w:tcPr>
          <w:p w:rsidR="00D66005" w:rsidRPr="00F77964" w:rsidRDefault="005F6BA6" w:rsidP="00792495">
            <w:pPr>
              <w:pStyle w:val="Normal-pool"/>
              <w:keepNext/>
              <w:keepLines/>
              <w:spacing w:before="40" w:after="40"/>
              <w:rPr>
                <w:rFonts w:eastAsia="SimSun"/>
                <w:sz w:val="18"/>
                <w:szCs w:val="18"/>
                <w:lang w:eastAsia="zh-CN"/>
              </w:rPr>
            </w:pPr>
            <w:r w:rsidRPr="00F77964">
              <w:rPr>
                <w:rFonts w:eastAsia="SimSun"/>
                <w:sz w:val="18"/>
                <w:szCs w:val="18"/>
                <w:lang w:eastAsia="zh-CN"/>
              </w:rPr>
              <w:t>Participation par 2 </w:t>
            </w:r>
            <w:r w:rsidR="006E337B">
              <w:rPr>
                <w:rFonts w:eastAsia="SimSun"/>
                <w:sz w:val="18"/>
                <w:szCs w:val="18"/>
                <w:lang w:eastAsia="zh-CN"/>
              </w:rPr>
              <w:t>coprésidents</w:t>
            </w:r>
            <w:r w:rsidRPr="00F77964">
              <w:rPr>
                <w:rFonts w:eastAsia="SimSun"/>
                <w:sz w:val="18"/>
                <w:szCs w:val="18"/>
                <w:lang w:eastAsia="zh-CN"/>
              </w:rPr>
              <w:t xml:space="preserve"> et 2 auteurs coordonnateurs principaux à la quatrième session de la Plénière </w:t>
            </w:r>
          </w:p>
        </w:tc>
        <w:tc>
          <w:tcPr>
            <w:tcW w:w="3073" w:type="dxa"/>
            <w:tcBorders>
              <w:top w:val="single" w:sz="4" w:space="0" w:color="auto"/>
              <w:left w:val="single" w:sz="4" w:space="0" w:color="auto"/>
              <w:bottom w:val="single" w:sz="4" w:space="0" w:color="auto"/>
              <w:right w:val="single" w:sz="4" w:space="0" w:color="auto"/>
            </w:tcBorders>
            <w:hideMark/>
          </w:tcPr>
          <w:p w:rsidR="00D66005" w:rsidRPr="00F77964" w:rsidRDefault="00D972E8" w:rsidP="00792495">
            <w:pPr>
              <w:pStyle w:val="Normal-pool"/>
              <w:keepNext/>
              <w:keepLines/>
              <w:spacing w:before="40" w:after="40"/>
              <w:rPr>
                <w:rFonts w:eastAsia="SimSun"/>
                <w:sz w:val="18"/>
                <w:szCs w:val="18"/>
                <w:lang w:eastAsia="zh-CN"/>
              </w:rPr>
            </w:pPr>
            <w:r>
              <w:rPr>
                <w:rFonts w:eastAsia="SimSun"/>
                <w:sz w:val="18"/>
                <w:szCs w:val="18"/>
                <w:lang w:eastAsia="zh-CN"/>
              </w:rPr>
              <w:t>Frais de voyage et indemnités journalières de subsistance</w:t>
            </w:r>
            <w:r w:rsidR="00D71955" w:rsidRPr="00F77964">
              <w:rPr>
                <w:rFonts w:eastAsia="SimSun"/>
                <w:sz w:val="18"/>
                <w:szCs w:val="18"/>
                <w:lang w:eastAsia="zh-CN"/>
              </w:rPr>
              <w:t xml:space="preserve"> (3 x 3 000 dollars)</w:t>
            </w:r>
          </w:p>
        </w:tc>
        <w:tc>
          <w:tcPr>
            <w:tcW w:w="838" w:type="dxa"/>
            <w:tcBorders>
              <w:top w:val="single" w:sz="4" w:space="0" w:color="auto"/>
              <w:left w:val="single" w:sz="4" w:space="0" w:color="auto"/>
              <w:bottom w:val="single" w:sz="4" w:space="0" w:color="auto"/>
              <w:right w:val="single" w:sz="4" w:space="0" w:color="auto"/>
            </w:tcBorders>
            <w:hideMark/>
          </w:tcPr>
          <w:p w:rsidR="00D66005" w:rsidRPr="00F77964" w:rsidRDefault="00D66005" w:rsidP="00792495">
            <w:pPr>
              <w:pStyle w:val="Normal-pool"/>
              <w:keepNext/>
              <w:keepLines/>
              <w:spacing w:before="40" w:after="40"/>
              <w:rPr>
                <w:rFonts w:eastAsia="SimSun"/>
                <w:sz w:val="18"/>
                <w:szCs w:val="18"/>
                <w:lang w:eastAsia="zh-CN"/>
              </w:rPr>
            </w:pPr>
            <w:r w:rsidRPr="00F77964">
              <w:rPr>
                <w:rFonts w:eastAsia="SimSun"/>
                <w:sz w:val="18"/>
                <w:szCs w:val="18"/>
                <w:lang w:eastAsia="zh-CN"/>
              </w:rPr>
              <w:t>9</w:t>
            </w:r>
            <w:r w:rsidR="00D71955" w:rsidRPr="00F77964">
              <w:rPr>
                <w:rFonts w:eastAsia="SimSun"/>
                <w:sz w:val="18"/>
                <w:szCs w:val="18"/>
                <w:lang w:eastAsia="zh-CN"/>
              </w:rPr>
              <w:t> </w:t>
            </w:r>
            <w:r w:rsidRPr="00F77964">
              <w:rPr>
                <w:rFonts w:eastAsia="SimSun"/>
                <w:sz w:val="18"/>
                <w:szCs w:val="18"/>
                <w:lang w:eastAsia="zh-CN"/>
              </w:rPr>
              <w:t>000</w:t>
            </w:r>
          </w:p>
        </w:tc>
      </w:tr>
      <w:tr w:rsidR="00D71955" w:rsidRPr="0061490E" w:rsidTr="00792495">
        <w:trPr>
          <w:trHeight w:val="560"/>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792495">
            <w:pPr>
              <w:spacing w:before="40" w:after="40" w:line="240" w:lineRule="auto"/>
              <w:rPr>
                <w:rFonts w:eastAsia="SimSun"/>
                <w:sz w:val="18"/>
                <w:szCs w:val="18"/>
                <w:lang w:eastAsia="zh-CN"/>
              </w:rPr>
            </w:pPr>
          </w:p>
        </w:tc>
        <w:tc>
          <w:tcPr>
            <w:tcW w:w="3412" w:type="dxa"/>
            <w:tcBorders>
              <w:top w:val="single" w:sz="4" w:space="0" w:color="auto"/>
              <w:left w:val="single" w:sz="4" w:space="0" w:color="auto"/>
              <w:bottom w:val="single" w:sz="4" w:space="0" w:color="auto"/>
              <w:right w:val="single" w:sz="4" w:space="0" w:color="auto"/>
            </w:tcBorders>
            <w:hideMark/>
          </w:tcPr>
          <w:p w:rsidR="00D66005" w:rsidRPr="00F77964" w:rsidRDefault="005F6BA6" w:rsidP="00792495">
            <w:pPr>
              <w:pStyle w:val="Normal-pool"/>
              <w:keepNext/>
              <w:keepLines/>
              <w:spacing w:before="40" w:after="40"/>
              <w:rPr>
                <w:rFonts w:eastAsia="SimSun"/>
                <w:sz w:val="18"/>
                <w:szCs w:val="18"/>
                <w:lang w:eastAsia="zh-CN"/>
              </w:rPr>
            </w:pPr>
            <w:r w:rsidRPr="00F77964">
              <w:rPr>
                <w:rFonts w:eastAsia="SimSun"/>
                <w:sz w:val="18"/>
                <w:szCs w:val="18"/>
                <w:lang w:eastAsia="zh-CN"/>
              </w:rPr>
              <w:t>Diffusion (résumé à l’intention des décideurs (10 pages) et rapport (200 pages)</w:t>
            </w:r>
            <w:r w:rsidR="00D66005" w:rsidRPr="00F77964">
              <w:rPr>
                <w:rFonts w:eastAsia="SimSun"/>
                <w:sz w:val="18"/>
                <w:szCs w:val="18"/>
                <w:lang w:eastAsia="zh-CN"/>
              </w:rPr>
              <w:t xml:space="preserve"> (200 pages)) </w:t>
            </w:r>
            <w:r w:rsidR="00636B40">
              <w:rPr>
                <w:rFonts w:eastAsia="SimSun"/>
                <w:sz w:val="18"/>
                <w:szCs w:val="18"/>
                <w:lang w:eastAsia="zh-CN"/>
              </w:rPr>
              <w:t>et animation</w:t>
            </w:r>
          </w:p>
        </w:tc>
        <w:tc>
          <w:tcPr>
            <w:tcW w:w="3073" w:type="dxa"/>
            <w:tcBorders>
              <w:top w:val="single" w:sz="4" w:space="0" w:color="auto"/>
              <w:left w:val="single" w:sz="4" w:space="0" w:color="auto"/>
              <w:bottom w:val="single" w:sz="4" w:space="0" w:color="auto"/>
              <w:right w:val="single" w:sz="4" w:space="0" w:color="auto"/>
            </w:tcBorders>
            <w:hideMark/>
          </w:tcPr>
          <w:p w:rsidR="00D66005" w:rsidRPr="00F77964" w:rsidRDefault="00D71955" w:rsidP="00792495">
            <w:pPr>
              <w:pStyle w:val="Normal-pool"/>
              <w:keepNext/>
              <w:keepLines/>
              <w:spacing w:before="40" w:after="40"/>
              <w:rPr>
                <w:rFonts w:eastAsia="SimSun"/>
                <w:sz w:val="18"/>
                <w:szCs w:val="18"/>
                <w:lang w:eastAsia="zh-CN"/>
              </w:rPr>
            </w:pPr>
            <w:r w:rsidRPr="00F77964">
              <w:rPr>
                <w:rFonts w:eastAsia="SimSun"/>
                <w:sz w:val="18"/>
                <w:szCs w:val="18"/>
                <w:lang w:eastAsia="zh-CN"/>
              </w:rPr>
              <w:t>Traduction des résumés à l’intention des décideurs dans toutes les langues</w:t>
            </w:r>
            <w:r w:rsidR="001314CC">
              <w:rPr>
                <w:rFonts w:eastAsia="SimSun"/>
                <w:sz w:val="18"/>
                <w:szCs w:val="18"/>
                <w:lang w:eastAsia="zh-CN"/>
              </w:rPr>
              <w:t xml:space="preserve"> officielles</w:t>
            </w:r>
            <w:r w:rsidRPr="00F77964">
              <w:rPr>
                <w:rFonts w:eastAsia="SimSun"/>
                <w:sz w:val="18"/>
                <w:szCs w:val="18"/>
                <w:lang w:eastAsia="zh-CN"/>
              </w:rPr>
              <w:t xml:space="preserve"> de l’ONU, publication, </w:t>
            </w:r>
            <w:r w:rsidR="00F23269">
              <w:rPr>
                <w:rFonts w:eastAsia="SimSun"/>
                <w:sz w:val="18"/>
                <w:szCs w:val="18"/>
                <w:lang w:eastAsia="zh-CN"/>
              </w:rPr>
              <w:t>animation</w:t>
            </w:r>
          </w:p>
        </w:tc>
        <w:tc>
          <w:tcPr>
            <w:tcW w:w="838" w:type="dxa"/>
            <w:tcBorders>
              <w:top w:val="single" w:sz="4" w:space="0" w:color="auto"/>
              <w:left w:val="single" w:sz="4" w:space="0" w:color="auto"/>
              <w:bottom w:val="single" w:sz="4" w:space="0" w:color="auto"/>
              <w:right w:val="single" w:sz="4" w:space="0" w:color="auto"/>
            </w:tcBorders>
            <w:hideMark/>
          </w:tcPr>
          <w:p w:rsidR="00D66005" w:rsidRPr="00F77964" w:rsidRDefault="00D66005" w:rsidP="00792495">
            <w:pPr>
              <w:pStyle w:val="Normal-pool"/>
              <w:keepNext/>
              <w:keepLines/>
              <w:spacing w:before="40" w:after="40"/>
              <w:rPr>
                <w:rFonts w:eastAsia="SimSun"/>
                <w:sz w:val="18"/>
                <w:szCs w:val="18"/>
                <w:lang w:eastAsia="zh-CN"/>
              </w:rPr>
            </w:pPr>
            <w:r w:rsidRPr="00F77964">
              <w:rPr>
                <w:rFonts w:eastAsia="SimSun"/>
                <w:sz w:val="18"/>
                <w:szCs w:val="18"/>
                <w:lang w:eastAsia="zh-CN"/>
              </w:rPr>
              <w:t>117</w:t>
            </w:r>
            <w:r w:rsidR="00D71955" w:rsidRPr="00F77964">
              <w:rPr>
                <w:rFonts w:eastAsia="SimSun"/>
                <w:sz w:val="18"/>
                <w:szCs w:val="18"/>
                <w:lang w:eastAsia="zh-CN"/>
              </w:rPr>
              <w:t> </w:t>
            </w:r>
            <w:r w:rsidRPr="00F77964">
              <w:rPr>
                <w:rFonts w:eastAsia="SimSun"/>
                <w:sz w:val="18"/>
                <w:szCs w:val="18"/>
                <w:lang w:eastAsia="zh-CN"/>
              </w:rPr>
              <w:t>000</w:t>
            </w:r>
          </w:p>
        </w:tc>
      </w:tr>
      <w:tr w:rsidR="00D71955" w:rsidRPr="0061490E" w:rsidTr="00792495">
        <w:tc>
          <w:tcPr>
            <w:tcW w:w="671" w:type="dxa"/>
            <w:tcBorders>
              <w:top w:val="single" w:sz="4" w:space="0" w:color="auto"/>
              <w:left w:val="single" w:sz="4" w:space="0" w:color="auto"/>
              <w:bottom w:val="single" w:sz="4" w:space="0" w:color="auto"/>
              <w:right w:val="single" w:sz="4" w:space="0" w:color="auto"/>
            </w:tcBorders>
            <w:hideMark/>
          </w:tcPr>
          <w:p w:rsidR="00D66005" w:rsidRPr="00F77964" w:rsidRDefault="00D66005" w:rsidP="00792495">
            <w:pPr>
              <w:pStyle w:val="Normal-pool"/>
              <w:spacing w:before="40" w:after="40"/>
              <w:rPr>
                <w:rFonts w:eastAsia="SimSun"/>
                <w:b/>
                <w:sz w:val="18"/>
                <w:szCs w:val="18"/>
                <w:lang w:eastAsia="zh-CN"/>
              </w:rPr>
            </w:pPr>
            <w:r w:rsidRPr="00F77964">
              <w:rPr>
                <w:rFonts w:eastAsia="SimSun"/>
                <w:b/>
                <w:sz w:val="18"/>
                <w:szCs w:val="18"/>
                <w:lang w:eastAsia="zh-CN"/>
              </w:rPr>
              <w:t>Total</w:t>
            </w:r>
          </w:p>
        </w:tc>
        <w:tc>
          <w:tcPr>
            <w:tcW w:w="3412" w:type="dxa"/>
            <w:tcBorders>
              <w:top w:val="single" w:sz="4" w:space="0" w:color="auto"/>
              <w:left w:val="single" w:sz="4" w:space="0" w:color="auto"/>
              <w:bottom w:val="single" w:sz="4" w:space="0" w:color="auto"/>
              <w:right w:val="single" w:sz="4" w:space="0" w:color="auto"/>
            </w:tcBorders>
          </w:tcPr>
          <w:p w:rsidR="00D66005" w:rsidRPr="00F77964" w:rsidRDefault="00D66005" w:rsidP="00792495">
            <w:pPr>
              <w:pStyle w:val="Normal-pool"/>
              <w:spacing w:before="40" w:after="40"/>
              <w:rPr>
                <w:rFonts w:eastAsia="SimSun"/>
                <w:b/>
                <w:sz w:val="18"/>
                <w:szCs w:val="18"/>
                <w:lang w:eastAsia="zh-CN"/>
              </w:rPr>
            </w:pPr>
          </w:p>
        </w:tc>
        <w:tc>
          <w:tcPr>
            <w:tcW w:w="3073" w:type="dxa"/>
            <w:tcBorders>
              <w:top w:val="single" w:sz="4" w:space="0" w:color="auto"/>
              <w:left w:val="single" w:sz="4" w:space="0" w:color="auto"/>
              <w:bottom w:val="single" w:sz="4" w:space="0" w:color="auto"/>
              <w:right w:val="single" w:sz="4" w:space="0" w:color="auto"/>
            </w:tcBorders>
          </w:tcPr>
          <w:p w:rsidR="00D66005" w:rsidRPr="00F77964" w:rsidRDefault="00D66005" w:rsidP="00792495">
            <w:pPr>
              <w:pStyle w:val="Normal-pool"/>
              <w:spacing w:before="40" w:after="40"/>
              <w:rPr>
                <w:rFonts w:eastAsia="SimSun"/>
                <w:b/>
                <w:sz w:val="18"/>
                <w:szCs w:val="18"/>
                <w:lang w:eastAsia="zh-CN"/>
              </w:rPr>
            </w:pPr>
          </w:p>
        </w:tc>
        <w:tc>
          <w:tcPr>
            <w:tcW w:w="838" w:type="dxa"/>
            <w:tcBorders>
              <w:top w:val="single" w:sz="4" w:space="0" w:color="auto"/>
              <w:left w:val="single" w:sz="4" w:space="0" w:color="auto"/>
              <w:bottom w:val="single" w:sz="4" w:space="0" w:color="auto"/>
              <w:right w:val="single" w:sz="4" w:space="0" w:color="auto"/>
            </w:tcBorders>
            <w:hideMark/>
          </w:tcPr>
          <w:p w:rsidR="00D66005" w:rsidRPr="00F77964" w:rsidRDefault="00D66005" w:rsidP="00792495">
            <w:pPr>
              <w:pStyle w:val="Normal-pool"/>
              <w:spacing w:before="40" w:after="40"/>
              <w:rPr>
                <w:rFonts w:eastAsia="SimSun"/>
                <w:b/>
                <w:sz w:val="18"/>
                <w:szCs w:val="18"/>
                <w:lang w:eastAsia="zh-CN"/>
              </w:rPr>
            </w:pPr>
            <w:r w:rsidRPr="00F77964">
              <w:rPr>
                <w:rFonts w:eastAsia="SimSun"/>
                <w:b/>
                <w:sz w:val="18"/>
                <w:szCs w:val="18"/>
                <w:lang w:eastAsia="zh-CN"/>
              </w:rPr>
              <w:t>798</w:t>
            </w:r>
            <w:r w:rsidR="00D71955" w:rsidRPr="00F77964">
              <w:rPr>
                <w:rFonts w:eastAsia="SimSun"/>
                <w:b/>
                <w:sz w:val="18"/>
                <w:szCs w:val="18"/>
                <w:lang w:eastAsia="zh-CN"/>
              </w:rPr>
              <w:t> </w:t>
            </w:r>
            <w:r w:rsidRPr="00F77964">
              <w:rPr>
                <w:rFonts w:eastAsia="SimSun"/>
                <w:b/>
                <w:sz w:val="18"/>
                <w:szCs w:val="18"/>
                <w:lang w:eastAsia="zh-CN"/>
              </w:rPr>
              <w:t>750</w:t>
            </w:r>
          </w:p>
        </w:tc>
      </w:tr>
    </w:tbl>
    <w:p w:rsidR="00D66005" w:rsidRPr="00F77964" w:rsidRDefault="00D66005" w:rsidP="00D66005">
      <w:pPr>
        <w:pStyle w:val="CH3"/>
        <w:keepNext w:val="0"/>
        <w:keepLines w:val="0"/>
        <w:spacing w:before="120" w:after="0"/>
        <w:rPr>
          <w:lang w:val="fr-FR"/>
        </w:rPr>
      </w:pPr>
      <w:r w:rsidRPr="00F77964">
        <w:rPr>
          <w:sz w:val="22"/>
          <w:szCs w:val="22"/>
          <w:lang w:val="fr-FR"/>
        </w:rPr>
        <w:tab/>
      </w:r>
      <w:r w:rsidRPr="00F77964">
        <w:rPr>
          <w:sz w:val="22"/>
          <w:szCs w:val="22"/>
          <w:lang w:val="fr-FR"/>
        </w:rPr>
        <w:tab/>
      </w:r>
      <w:r w:rsidR="004E64A9" w:rsidRPr="00F77964">
        <w:rPr>
          <w:lang w:val="fr-FR"/>
        </w:rPr>
        <w:t>Produit </w:t>
      </w:r>
      <w:r w:rsidRPr="00F77964">
        <w:rPr>
          <w:lang w:val="fr-FR"/>
        </w:rPr>
        <w:t>3</w:t>
      </w:r>
      <w:r w:rsidR="00C60E45" w:rsidRPr="00F77964">
        <w:rPr>
          <w:lang w:val="fr-FR"/>
        </w:rPr>
        <w:t> </w:t>
      </w:r>
      <w:r w:rsidRPr="00F77964">
        <w:rPr>
          <w:lang w:val="fr-FR"/>
        </w:rPr>
        <w:t>c)</w:t>
      </w:r>
    </w:p>
    <w:p w:rsidR="00D66005" w:rsidRPr="00F77964" w:rsidRDefault="00D66005" w:rsidP="00D66005">
      <w:pPr>
        <w:pStyle w:val="CH3"/>
        <w:keepNext w:val="0"/>
        <w:keepLines w:val="0"/>
        <w:rPr>
          <w:lang w:val="fr-FR"/>
        </w:rPr>
      </w:pPr>
      <w:r w:rsidRPr="00F77964">
        <w:rPr>
          <w:lang w:val="fr-FR"/>
        </w:rPr>
        <w:tab/>
      </w:r>
      <w:r w:rsidRPr="00F77964">
        <w:rPr>
          <w:lang w:val="fr-FR"/>
        </w:rPr>
        <w:tab/>
      </w:r>
      <w:r w:rsidR="001314CC" w:rsidRPr="001314CC">
        <w:rPr>
          <w:lang w:val="fr-FR"/>
        </w:rPr>
        <w:t>Outils et méthodes pour l’analyse des scénarios et la modélisation de la biodiversité et des services écosystémiques (</w:t>
      </w:r>
      <w:r w:rsidR="001314CC" w:rsidRPr="001314CC">
        <w:rPr>
          <w:i/>
          <w:lang w:val="fr-FR"/>
        </w:rPr>
        <w:t xml:space="preserve">d’ici </w:t>
      </w:r>
      <w:r w:rsidR="001314CC">
        <w:rPr>
          <w:i/>
          <w:lang w:val="fr-FR"/>
        </w:rPr>
        <w:t xml:space="preserve">à </w:t>
      </w:r>
      <w:r w:rsidR="001314CC" w:rsidRPr="001314CC">
        <w:rPr>
          <w:i/>
          <w:lang w:val="fr-FR"/>
        </w:rPr>
        <w:t>mars 2017</w:t>
      </w:r>
      <w:r w:rsidRPr="00F77964">
        <w:rPr>
          <w:lang w:val="fr-FR"/>
        </w:rPr>
        <w:t xml:space="preserve">) </w:t>
      </w:r>
      <w:r w:rsidR="004E64A9" w:rsidRPr="00F77964">
        <w:rPr>
          <w:lang w:val="fr-FR"/>
        </w:rPr>
        <w:t>sur la base d’une évaluation accélérée</w:t>
      </w:r>
      <w:r w:rsidRPr="00F77964">
        <w:rPr>
          <w:lang w:val="fr-FR"/>
        </w:rPr>
        <w:t xml:space="preserve"> (</w:t>
      </w:r>
      <w:r w:rsidR="004E64A9" w:rsidRPr="00F77964">
        <w:rPr>
          <w:i/>
          <w:lang w:val="fr-FR"/>
        </w:rPr>
        <w:t>d’ici à mars </w:t>
      </w:r>
      <w:r w:rsidRPr="00F77964">
        <w:rPr>
          <w:i/>
          <w:lang w:val="fr-FR"/>
        </w:rPr>
        <w:t>2015</w:t>
      </w:r>
      <w:r w:rsidRPr="00F77964">
        <w:rPr>
          <w:lang w:val="fr-FR"/>
        </w:rPr>
        <w:t xml:space="preserve">) </w:t>
      </w:r>
      <w:r w:rsidR="004E64A9" w:rsidRPr="00F77964">
        <w:rPr>
          <w:lang w:val="fr-FR"/>
        </w:rPr>
        <w:t>et d’un guide</w:t>
      </w:r>
      <w:r w:rsidRPr="00F77964">
        <w:rPr>
          <w:lang w:val="fr-FR"/>
        </w:rPr>
        <w:t xml:space="preserve"> (</w:t>
      </w:r>
      <w:r w:rsidR="004E64A9" w:rsidRPr="00F77964">
        <w:rPr>
          <w:i/>
          <w:lang w:val="fr-FR"/>
        </w:rPr>
        <w:t>d’ici à août </w:t>
      </w:r>
      <w:r w:rsidRPr="00F77964">
        <w:rPr>
          <w:i/>
          <w:lang w:val="fr-FR"/>
        </w:rPr>
        <w:t>2015</w:t>
      </w:r>
      <w:r w:rsidRPr="00F77964">
        <w:rPr>
          <w:lang w:val="fr-FR"/>
        </w:rPr>
        <w:t>)</w:t>
      </w:r>
    </w:p>
    <w:p w:rsidR="00D66005" w:rsidRPr="00F77964" w:rsidRDefault="00D66005" w:rsidP="00D66005">
      <w:pPr>
        <w:pStyle w:val="CH3"/>
        <w:rPr>
          <w:lang w:val="fr-FR"/>
        </w:rPr>
      </w:pPr>
      <w:r w:rsidRPr="00F77964">
        <w:rPr>
          <w:rFonts w:eastAsia="Calibri"/>
          <w:lang w:val="fr-FR"/>
        </w:rPr>
        <w:tab/>
      </w:r>
      <w:r w:rsidRPr="00F77964">
        <w:rPr>
          <w:rFonts w:eastAsia="Calibri"/>
          <w:lang w:val="fr-FR"/>
        </w:rPr>
        <w:tab/>
      </w:r>
      <w:r w:rsidR="004E64A9" w:rsidRPr="00F77964">
        <w:rPr>
          <w:rFonts w:eastAsia="Calibri"/>
          <w:lang w:val="fr-FR"/>
        </w:rPr>
        <w:t>Hypothèses</w:t>
      </w:r>
    </w:p>
    <w:p w:rsidR="00D66005" w:rsidRPr="00F77964" w:rsidRDefault="00C60E45" w:rsidP="00D66005">
      <w:pPr>
        <w:pStyle w:val="Normalnumber"/>
        <w:numPr>
          <w:ilvl w:val="0"/>
          <w:numId w:val="6"/>
        </w:numPr>
        <w:tabs>
          <w:tab w:val="left" w:pos="624"/>
        </w:tabs>
        <w:ind w:left="1247" w:firstLine="0"/>
        <w:rPr>
          <w:lang w:val="fr-FR"/>
        </w:rPr>
      </w:pPr>
      <w:r w:rsidRPr="00F77964">
        <w:rPr>
          <w:rFonts w:eastAsia="Calibri"/>
          <w:lang w:val="fr-FR"/>
        </w:rPr>
        <w:t xml:space="preserve">Les membres du Groupe </w:t>
      </w:r>
      <w:r w:rsidR="004B433C" w:rsidRPr="00F77964">
        <w:rPr>
          <w:rFonts w:eastAsia="Calibri"/>
          <w:lang w:val="fr-FR"/>
        </w:rPr>
        <w:t xml:space="preserve">d’experts multidisciplinaire </w:t>
      </w:r>
      <w:r w:rsidRPr="00F77964">
        <w:rPr>
          <w:rFonts w:eastAsia="Calibri"/>
          <w:lang w:val="fr-FR"/>
        </w:rPr>
        <w:t xml:space="preserve">et du Bureau superviseront </w:t>
      </w:r>
      <w:r w:rsidR="001314CC">
        <w:rPr>
          <w:rFonts w:eastAsia="Calibri"/>
          <w:lang w:val="fr-FR"/>
        </w:rPr>
        <w:t xml:space="preserve">la mise en place </w:t>
      </w:r>
      <w:r w:rsidR="001314CC" w:rsidRPr="00F77964">
        <w:rPr>
          <w:rFonts w:eastAsia="Calibri"/>
          <w:lang w:val="fr-FR"/>
        </w:rPr>
        <w:t xml:space="preserve">d’un groupe d’experts </w:t>
      </w:r>
      <w:r w:rsidR="001314CC">
        <w:rPr>
          <w:rFonts w:eastAsia="Calibri"/>
          <w:lang w:val="fr-FR"/>
        </w:rPr>
        <w:t>doté d’un mandat précis</w:t>
      </w:r>
      <w:r w:rsidR="001314CC" w:rsidRPr="00F77964">
        <w:rPr>
          <w:rFonts w:eastAsia="Calibri"/>
          <w:lang w:val="fr-FR"/>
        </w:rPr>
        <w:t xml:space="preserve"> </w:t>
      </w:r>
      <w:r w:rsidR="001314CC">
        <w:rPr>
          <w:rFonts w:eastAsia="Calibri"/>
          <w:lang w:val="fr-FR"/>
        </w:rPr>
        <w:t xml:space="preserve">à </w:t>
      </w:r>
      <w:r w:rsidR="00AA6C94">
        <w:rPr>
          <w:rFonts w:eastAsia="Calibri"/>
          <w:lang w:val="fr-FR"/>
        </w:rPr>
        <w:t>durée déterminée pour cette évaluation</w:t>
      </w:r>
      <w:r w:rsidR="001314CC">
        <w:rPr>
          <w:rFonts w:eastAsia="Calibri"/>
          <w:lang w:val="fr-FR"/>
        </w:rPr>
        <w:t>.</w:t>
      </w:r>
      <w:r w:rsidR="001314CC" w:rsidRPr="00F77964">
        <w:rPr>
          <w:rFonts w:eastAsia="Calibri"/>
          <w:lang w:val="fr-FR"/>
        </w:rPr>
        <w:t xml:space="preserve"> </w:t>
      </w:r>
      <w:r w:rsidR="00F774B3">
        <w:rPr>
          <w:rFonts w:eastAsia="Calibri"/>
          <w:lang w:val="fr-FR"/>
        </w:rPr>
        <w:t>L</w:t>
      </w:r>
      <w:r w:rsidR="001314CC">
        <w:rPr>
          <w:rFonts w:eastAsia="Calibri"/>
          <w:lang w:val="fr-FR"/>
        </w:rPr>
        <w:t>e groupe</w:t>
      </w:r>
      <w:r w:rsidR="001314CC" w:rsidRPr="00F77964">
        <w:rPr>
          <w:rFonts w:eastAsia="Calibri"/>
          <w:lang w:val="fr-FR"/>
        </w:rPr>
        <w:t xml:space="preserve"> </w:t>
      </w:r>
      <w:r w:rsidR="00F774B3">
        <w:rPr>
          <w:rFonts w:eastAsia="Calibri"/>
          <w:lang w:val="fr-FR"/>
        </w:rPr>
        <w:t>en question comprendra des</w:t>
      </w:r>
      <w:r w:rsidR="001314CC" w:rsidRPr="00F77964">
        <w:rPr>
          <w:rFonts w:eastAsia="Calibri"/>
          <w:lang w:val="fr-FR"/>
        </w:rPr>
        <w:t xml:space="preserve"> </w:t>
      </w:r>
      <w:r w:rsidR="001314CC">
        <w:rPr>
          <w:rFonts w:eastAsia="Calibri"/>
          <w:lang w:val="fr-FR"/>
        </w:rPr>
        <w:t>coprésidents</w:t>
      </w:r>
      <w:r w:rsidR="001314CC" w:rsidRPr="00F77964">
        <w:rPr>
          <w:rFonts w:eastAsia="Calibri"/>
          <w:lang w:val="fr-FR"/>
        </w:rPr>
        <w:t xml:space="preserve">, auteurs coordonnateurs principaux, auteurs principaux et éditeurs-réviseurs. </w:t>
      </w:r>
      <w:r w:rsidR="001314CC" w:rsidRPr="00F77964">
        <w:rPr>
          <w:lang w:val="fr-FR"/>
        </w:rPr>
        <w:t>Le</w:t>
      </w:r>
      <w:r w:rsidR="001314CC">
        <w:rPr>
          <w:lang w:val="fr-FR"/>
        </w:rPr>
        <w:t xml:space="preserve">s </w:t>
      </w:r>
      <w:r w:rsidR="001314CC" w:rsidRPr="00F77964">
        <w:rPr>
          <w:lang w:val="fr-FR"/>
        </w:rPr>
        <w:t>experts ser</w:t>
      </w:r>
      <w:r w:rsidR="001314CC">
        <w:rPr>
          <w:lang w:val="fr-FR"/>
        </w:rPr>
        <w:t>ont</w:t>
      </w:r>
      <w:r w:rsidR="001314CC" w:rsidRPr="00F77964">
        <w:rPr>
          <w:lang w:val="fr-FR"/>
        </w:rPr>
        <w:t xml:space="preserve"> choisi</w:t>
      </w:r>
      <w:r w:rsidR="001314CC">
        <w:rPr>
          <w:lang w:val="fr-FR"/>
        </w:rPr>
        <w:t>s</w:t>
      </w:r>
      <w:r w:rsidR="001314CC" w:rsidRPr="00F77964">
        <w:rPr>
          <w:lang w:val="fr-FR"/>
        </w:rPr>
        <w:t xml:space="preserve"> conformément aux procédures pour l’établissement, l’examen, l’acceptation, l’adoption, l’approbation et la </w:t>
      </w:r>
      <w:r w:rsidR="001314CC" w:rsidRPr="00F77964">
        <w:rPr>
          <w:lang w:val="fr-FR"/>
        </w:rPr>
        <w:lastRenderedPageBreak/>
        <w:t>publication des rapports d’évaluation et d’autres produits de la Plateforme (voir IPBES/2/9) et travailler</w:t>
      </w:r>
      <w:r w:rsidR="001314CC">
        <w:rPr>
          <w:lang w:val="fr-FR"/>
        </w:rPr>
        <w:t>ont</w:t>
      </w:r>
      <w:r w:rsidR="001314CC" w:rsidRPr="00F77964">
        <w:rPr>
          <w:lang w:val="fr-FR"/>
        </w:rPr>
        <w:t xml:space="preserve"> sur la base des mêmes procédures</w:t>
      </w:r>
      <w:r w:rsidRPr="00F77964">
        <w:rPr>
          <w:lang w:val="fr-FR"/>
        </w:rPr>
        <w:t>. L</w:t>
      </w:r>
      <w:r w:rsidR="004B433C" w:rsidRPr="00F77964">
        <w:rPr>
          <w:lang w:val="fr-FR"/>
        </w:rPr>
        <w:t>’</w:t>
      </w:r>
      <w:r w:rsidRPr="00F77964">
        <w:rPr>
          <w:lang w:val="fr-FR"/>
        </w:rPr>
        <w:t>évaluation</w:t>
      </w:r>
      <w:r w:rsidR="004B433C" w:rsidRPr="00F77964">
        <w:rPr>
          <w:lang w:val="fr-FR"/>
        </w:rPr>
        <w:t xml:space="preserve"> méthodologique</w:t>
      </w:r>
      <w:r w:rsidRPr="00F77964">
        <w:rPr>
          <w:lang w:val="fr-FR"/>
        </w:rPr>
        <w:t xml:space="preserve"> impliquer</w:t>
      </w:r>
      <w:r w:rsidR="004B433C" w:rsidRPr="00F77964">
        <w:rPr>
          <w:lang w:val="fr-FR"/>
        </w:rPr>
        <w:t>a</w:t>
      </w:r>
      <w:r w:rsidRPr="00F77964">
        <w:rPr>
          <w:lang w:val="fr-FR"/>
        </w:rPr>
        <w:t xml:space="preserve"> </w:t>
      </w:r>
      <w:r w:rsidR="004B433C" w:rsidRPr="00F77964">
        <w:rPr>
          <w:lang w:val="fr-FR"/>
        </w:rPr>
        <w:t>7</w:t>
      </w:r>
      <w:r w:rsidRPr="00F77964">
        <w:rPr>
          <w:lang w:val="fr-FR"/>
        </w:rPr>
        <w:t xml:space="preserve">0 auteurs, </w:t>
      </w:r>
      <w:r w:rsidR="004B433C" w:rsidRPr="00F77964">
        <w:rPr>
          <w:lang w:val="fr-FR"/>
        </w:rPr>
        <w:t xml:space="preserve">qui se réuniront </w:t>
      </w:r>
      <w:r w:rsidR="001314CC">
        <w:rPr>
          <w:lang w:val="fr-FR"/>
        </w:rPr>
        <w:t xml:space="preserve">trois </w:t>
      </w:r>
      <w:r w:rsidR="004B433C" w:rsidRPr="00F77964">
        <w:rPr>
          <w:lang w:val="fr-FR"/>
        </w:rPr>
        <w:t xml:space="preserve">fois, </w:t>
      </w:r>
      <w:r w:rsidRPr="00F77964">
        <w:rPr>
          <w:lang w:val="fr-FR"/>
        </w:rPr>
        <w:t>et 1</w:t>
      </w:r>
      <w:r w:rsidR="004B433C" w:rsidRPr="00F77964">
        <w:rPr>
          <w:lang w:val="fr-FR"/>
        </w:rPr>
        <w:t>5</w:t>
      </w:r>
      <w:r w:rsidRPr="00F77964">
        <w:rPr>
          <w:lang w:val="fr-FR"/>
        </w:rPr>
        <w:t xml:space="preserve"> éditeurs-réviseurs, qui se réuniront une fois, consécutivement aux auteurs. </w:t>
      </w:r>
      <w:r w:rsidR="004B433C" w:rsidRPr="00F77964">
        <w:rPr>
          <w:lang w:val="fr-FR"/>
        </w:rPr>
        <w:t xml:space="preserve">Le résumé à l’intention des décideurs sera aussi élaboré durant les réunions d’auteurs. </w:t>
      </w:r>
      <w:r w:rsidRPr="00F77964">
        <w:rPr>
          <w:rFonts w:eastAsia="Calibri"/>
          <w:lang w:val="fr-FR"/>
        </w:rPr>
        <w:t xml:space="preserve">La portée, le bien-fondé, l’utilité et les autres hypothèses de l’évaluation sont indiquées en détail dans un document de cadrage </w:t>
      </w:r>
      <w:r w:rsidRPr="00F77964">
        <w:rPr>
          <w:lang w:val="fr-FR"/>
        </w:rPr>
        <w:t>(</w:t>
      </w:r>
      <w:r w:rsidRPr="00F77964">
        <w:rPr>
          <w:rFonts w:eastAsia="Calibri"/>
          <w:lang w:val="fr-FR"/>
        </w:rPr>
        <w:t>IPBES/2/16/Add.</w:t>
      </w:r>
      <w:r w:rsidR="004B433C" w:rsidRPr="00F77964">
        <w:rPr>
          <w:rFonts w:eastAsia="Calibri"/>
          <w:lang w:val="fr-FR"/>
        </w:rPr>
        <w:t>4</w:t>
      </w:r>
      <w:r w:rsidRPr="00F77964">
        <w:rPr>
          <w:lang w:val="fr-FR"/>
        </w:rPr>
        <w:t>)</w:t>
      </w:r>
      <w:r w:rsidRPr="00F77964">
        <w:rPr>
          <w:rFonts w:eastAsia="Calibri"/>
          <w:lang w:val="fr-FR"/>
        </w:rPr>
        <w:t>.</w:t>
      </w:r>
      <w:r w:rsidRPr="00F77964">
        <w:rPr>
          <w:lang w:val="fr-FR"/>
        </w:rPr>
        <w:t xml:space="preserve"> </w:t>
      </w:r>
      <w:r w:rsidR="005F48A5" w:rsidRPr="00F77964">
        <w:rPr>
          <w:lang w:val="fr-FR"/>
        </w:rPr>
        <w:t>Dans l</w:t>
      </w:r>
      <w:r w:rsidR="009F6F3A" w:rsidRPr="00F77964">
        <w:rPr>
          <w:lang w:val="fr-FR"/>
        </w:rPr>
        <w:t>es actions détaillées</w:t>
      </w:r>
      <w:r w:rsidR="00297947" w:rsidRPr="00F77964">
        <w:rPr>
          <w:lang w:val="fr-FR"/>
        </w:rPr>
        <w:t>, qui</w:t>
      </w:r>
      <w:r w:rsidR="009F6F3A" w:rsidRPr="00F77964">
        <w:rPr>
          <w:lang w:val="fr-FR"/>
        </w:rPr>
        <w:t xml:space="preserve"> sont exposées dans le paragraphe 34 ci-après</w:t>
      </w:r>
      <w:r w:rsidR="00297947" w:rsidRPr="00F77964">
        <w:rPr>
          <w:lang w:val="fr-FR"/>
        </w:rPr>
        <w:t>,</w:t>
      </w:r>
      <w:r w:rsidR="009F6F3A" w:rsidRPr="00F77964">
        <w:rPr>
          <w:lang w:val="fr-FR"/>
        </w:rPr>
        <w:t xml:space="preserve"> </w:t>
      </w:r>
      <w:r w:rsidR="005F48A5" w:rsidRPr="00F77964">
        <w:rPr>
          <w:lang w:val="fr-FR"/>
        </w:rPr>
        <w:t>figure</w:t>
      </w:r>
      <w:r w:rsidR="009F6F3A" w:rsidRPr="00F77964">
        <w:rPr>
          <w:lang w:val="fr-FR"/>
        </w:rPr>
        <w:t xml:space="preserve"> </w:t>
      </w:r>
      <w:r w:rsidR="00297947" w:rsidRPr="00F77964">
        <w:rPr>
          <w:lang w:val="fr-FR"/>
        </w:rPr>
        <w:t>l’</w:t>
      </w:r>
      <w:r w:rsidR="009F6F3A" w:rsidRPr="00F77964">
        <w:rPr>
          <w:lang w:val="fr-FR"/>
        </w:rPr>
        <w:t xml:space="preserve">étude de cadrage d’une deuxième phase </w:t>
      </w:r>
      <w:r w:rsidR="00FF343E" w:rsidRPr="00F77964">
        <w:rPr>
          <w:lang w:val="fr-FR"/>
        </w:rPr>
        <w:t>d</w:t>
      </w:r>
      <w:r w:rsidR="00B374EC" w:rsidRPr="00F77964">
        <w:rPr>
          <w:lang w:val="fr-FR"/>
        </w:rPr>
        <w:t>es travaux</w:t>
      </w:r>
      <w:r w:rsidR="00FF343E" w:rsidRPr="00F77964">
        <w:rPr>
          <w:lang w:val="fr-FR"/>
        </w:rPr>
        <w:t>, qu</w:t>
      </w:r>
      <w:r w:rsidR="009F6F3A" w:rsidRPr="00F77964">
        <w:rPr>
          <w:lang w:val="fr-FR"/>
        </w:rPr>
        <w:t xml:space="preserve">i devrait suivre l’évaluation méthodologique. </w:t>
      </w:r>
      <w:r w:rsidR="00F774B3">
        <w:rPr>
          <w:lang w:val="fr-FR"/>
        </w:rPr>
        <w:t>On compte faire réaliser c</w:t>
      </w:r>
      <w:r w:rsidR="00297947" w:rsidRPr="00F77964">
        <w:rPr>
          <w:lang w:val="fr-FR"/>
        </w:rPr>
        <w:t>e</w:t>
      </w:r>
      <w:r w:rsidR="00B374EC" w:rsidRPr="00F77964">
        <w:rPr>
          <w:lang w:val="fr-FR"/>
        </w:rPr>
        <w:t>s travaux</w:t>
      </w:r>
      <w:r w:rsidR="009F6F3A" w:rsidRPr="00F77964">
        <w:rPr>
          <w:lang w:val="fr-FR"/>
        </w:rPr>
        <w:t xml:space="preserve"> par un </w:t>
      </w:r>
      <w:r w:rsidR="00FF343E" w:rsidRPr="00F77964">
        <w:rPr>
          <w:lang w:val="fr-FR"/>
        </w:rPr>
        <w:t>g</w:t>
      </w:r>
      <w:r w:rsidR="009F6F3A" w:rsidRPr="00F77964">
        <w:rPr>
          <w:lang w:val="fr-FR"/>
        </w:rPr>
        <w:t>roupe d’experts comprenant :</w:t>
      </w:r>
      <w:r w:rsidR="00D66005" w:rsidRPr="00F77964">
        <w:rPr>
          <w:lang w:val="fr-FR"/>
        </w:rPr>
        <w:t xml:space="preserve"> a)</w:t>
      </w:r>
      <w:r w:rsidR="009F6F3A" w:rsidRPr="00F77964">
        <w:rPr>
          <w:lang w:val="fr-FR"/>
        </w:rPr>
        <w:t> des experts d</w:t>
      </w:r>
      <w:r w:rsidR="005F48A5" w:rsidRPr="00F77964">
        <w:rPr>
          <w:lang w:val="fr-FR"/>
        </w:rPr>
        <w:t xml:space="preserve">e la mise au point </w:t>
      </w:r>
      <w:r w:rsidR="00297947" w:rsidRPr="00F77964">
        <w:rPr>
          <w:lang w:val="fr-FR"/>
        </w:rPr>
        <w:t xml:space="preserve">et </w:t>
      </w:r>
      <w:r w:rsidR="005F48A5" w:rsidRPr="00F77964">
        <w:rPr>
          <w:lang w:val="fr-FR"/>
        </w:rPr>
        <w:t xml:space="preserve">de </w:t>
      </w:r>
      <w:r w:rsidR="009F6F3A" w:rsidRPr="00F77964">
        <w:rPr>
          <w:lang w:val="fr-FR"/>
        </w:rPr>
        <w:t xml:space="preserve">l’utilisation de scénarios et de modèles socio-économiques; </w:t>
      </w:r>
      <w:r w:rsidR="00D66005" w:rsidRPr="00F77964">
        <w:rPr>
          <w:lang w:val="fr-FR"/>
        </w:rPr>
        <w:t>b)</w:t>
      </w:r>
      <w:r w:rsidR="009F6F3A" w:rsidRPr="00F77964">
        <w:rPr>
          <w:lang w:val="fr-FR"/>
        </w:rPr>
        <w:t> des experts du Bureau et du Groupe d’experts multidisciplinaire</w:t>
      </w:r>
      <w:r w:rsidR="00297947" w:rsidRPr="00F77964">
        <w:rPr>
          <w:lang w:val="fr-FR"/>
        </w:rPr>
        <w:t>;</w:t>
      </w:r>
      <w:r w:rsidR="009F6F3A" w:rsidRPr="00F77964">
        <w:rPr>
          <w:lang w:val="fr-FR"/>
        </w:rPr>
        <w:t xml:space="preserve"> et</w:t>
      </w:r>
      <w:r w:rsidR="00D66005" w:rsidRPr="00F77964">
        <w:rPr>
          <w:lang w:val="fr-FR"/>
        </w:rPr>
        <w:t xml:space="preserve"> c)</w:t>
      </w:r>
      <w:r w:rsidR="00297947" w:rsidRPr="00F77964">
        <w:rPr>
          <w:lang w:val="fr-FR"/>
        </w:rPr>
        <w:t xml:space="preserve"> </w:t>
      </w:r>
      <w:r w:rsidR="009F6F3A" w:rsidRPr="00F77964">
        <w:rPr>
          <w:lang w:val="fr-FR"/>
        </w:rPr>
        <w:t xml:space="preserve">des décideurs. Ce </w:t>
      </w:r>
      <w:r w:rsidR="00297947" w:rsidRPr="00F77964">
        <w:rPr>
          <w:lang w:val="fr-FR"/>
        </w:rPr>
        <w:t>g</w:t>
      </w:r>
      <w:r w:rsidR="009F6F3A" w:rsidRPr="00F77964">
        <w:rPr>
          <w:lang w:val="fr-FR"/>
        </w:rPr>
        <w:t>roupe établir</w:t>
      </w:r>
      <w:r w:rsidR="00297947" w:rsidRPr="00F77964">
        <w:rPr>
          <w:lang w:val="fr-FR"/>
        </w:rPr>
        <w:t>a</w:t>
      </w:r>
      <w:r w:rsidR="009F6F3A" w:rsidRPr="00F77964">
        <w:rPr>
          <w:lang w:val="fr-FR"/>
        </w:rPr>
        <w:t xml:space="preserve"> un guide sur la façon d’utiliser les </w:t>
      </w:r>
      <w:r w:rsidR="00297947" w:rsidRPr="00F77964">
        <w:rPr>
          <w:lang w:val="fr-FR"/>
        </w:rPr>
        <w:t>méthodes d’</w:t>
      </w:r>
      <w:r w:rsidR="009F6F3A" w:rsidRPr="00F77964">
        <w:rPr>
          <w:lang w:val="fr-FR"/>
        </w:rPr>
        <w:t xml:space="preserve">analyse </w:t>
      </w:r>
      <w:r w:rsidR="00297947" w:rsidRPr="00F77964">
        <w:rPr>
          <w:lang w:val="fr-FR"/>
        </w:rPr>
        <w:t>de scénario</w:t>
      </w:r>
      <w:r w:rsidR="00317F44">
        <w:rPr>
          <w:lang w:val="fr-FR"/>
        </w:rPr>
        <w:t>s</w:t>
      </w:r>
      <w:r w:rsidR="00297947" w:rsidRPr="00F77964">
        <w:rPr>
          <w:lang w:val="fr-FR"/>
        </w:rPr>
        <w:t xml:space="preserve"> </w:t>
      </w:r>
      <w:r w:rsidR="009F6F3A" w:rsidRPr="00F77964">
        <w:rPr>
          <w:lang w:val="fr-FR"/>
        </w:rPr>
        <w:t>et de modélisation dans le contexte de l</w:t>
      </w:r>
      <w:r w:rsidR="00297947" w:rsidRPr="00F77964">
        <w:rPr>
          <w:lang w:val="fr-FR"/>
        </w:rPr>
        <w:t xml:space="preserve">a réalisation </w:t>
      </w:r>
      <w:r w:rsidR="009F6F3A" w:rsidRPr="00F77964">
        <w:rPr>
          <w:lang w:val="fr-FR"/>
        </w:rPr>
        <w:t>des évaluations régionales/sous-régionales, mo</w:t>
      </w:r>
      <w:r w:rsidR="005F48A5" w:rsidRPr="00F77964">
        <w:rPr>
          <w:lang w:val="fr-FR"/>
        </w:rPr>
        <w:t>ndiales</w:t>
      </w:r>
      <w:r w:rsidR="009F6F3A" w:rsidRPr="00F77964">
        <w:rPr>
          <w:lang w:val="fr-FR"/>
        </w:rPr>
        <w:t xml:space="preserve"> ou thématiques de la </w:t>
      </w:r>
      <w:r w:rsidR="005F48A5" w:rsidRPr="00F77964">
        <w:rPr>
          <w:lang w:val="fr-FR"/>
        </w:rPr>
        <w:t>P</w:t>
      </w:r>
      <w:r w:rsidR="009F6F3A" w:rsidRPr="00F77964">
        <w:rPr>
          <w:lang w:val="fr-FR"/>
        </w:rPr>
        <w:t xml:space="preserve">lateforme. Suite aux conclusions de l’évaluation méthodologique, le </w:t>
      </w:r>
      <w:r w:rsidR="00E35A5B" w:rsidRPr="00F77964">
        <w:rPr>
          <w:lang w:val="fr-FR"/>
        </w:rPr>
        <w:t>g</w:t>
      </w:r>
      <w:r w:rsidR="009F6F3A" w:rsidRPr="00F77964">
        <w:rPr>
          <w:lang w:val="fr-FR"/>
        </w:rPr>
        <w:t xml:space="preserve">roupe travaillera aussi par </w:t>
      </w:r>
      <w:r w:rsidR="00E35A5B" w:rsidRPr="00F77964">
        <w:rPr>
          <w:lang w:val="fr-FR"/>
        </w:rPr>
        <w:t xml:space="preserve">le biais de </w:t>
      </w:r>
      <w:r w:rsidR="009F6F3A" w:rsidRPr="00F77964">
        <w:rPr>
          <w:lang w:val="fr-FR"/>
        </w:rPr>
        <w:t xml:space="preserve">téléconférences et d’ateliers avec un large éventail d’experts pour </w:t>
      </w:r>
      <w:r w:rsidR="00E35A5B" w:rsidRPr="00F77964">
        <w:rPr>
          <w:lang w:val="fr-FR"/>
        </w:rPr>
        <w:t xml:space="preserve">encourager </w:t>
      </w:r>
      <w:r w:rsidR="009F6F3A" w:rsidRPr="00F77964">
        <w:rPr>
          <w:lang w:val="fr-FR"/>
        </w:rPr>
        <w:t>la participation aux activités de la plateforme</w:t>
      </w:r>
      <w:r w:rsidR="00E35A5B" w:rsidRPr="00F77964">
        <w:rPr>
          <w:lang w:val="fr-FR"/>
        </w:rPr>
        <w:t xml:space="preserve"> ainsi que</w:t>
      </w:r>
      <w:r w:rsidR="009F6F3A" w:rsidRPr="00F77964">
        <w:rPr>
          <w:lang w:val="fr-FR"/>
        </w:rPr>
        <w:t xml:space="preserve"> de nouvelles analyses </w:t>
      </w:r>
      <w:r w:rsidR="00061CF1">
        <w:rPr>
          <w:lang w:val="fr-FR"/>
        </w:rPr>
        <w:t>destinées à</w:t>
      </w:r>
      <w:r w:rsidR="009F6F3A" w:rsidRPr="00F77964">
        <w:rPr>
          <w:lang w:val="fr-FR"/>
        </w:rPr>
        <w:t xml:space="preserve"> </w:t>
      </w:r>
      <w:r w:rsidR="00061CF1">
        <w:rPr>
          <w:lang w:val="fr-FR"/>
        </w:rPr>
        <w:t>appuyer</w:t>
      </w:r>
      <w:r w:rsidR="009F6F3A" w:rsidRPr="00F77964">
        <w:rPr>
          <w:lang w:val="fr-FR"/>
        </w:rPr>
        <w:t xml:space="preserve"> les activités et le renforcement des capacités </w:t>
      </w:r>
      <w:r w:rsidR="00061CF1">
        <w:rPr>
          <w:lang w:val="fr-FR"/>
        </w:rPr>
        <w:t>de</w:t>
      </w:r>
      <w:r w:rsidR="00E35A5B" w:rsidRPr="00F77964">
        <w:rPr>
          <w:lang w:val="fr-FR"/>
        </w:rPr>
        <w:t xml:space="preserve"> mise au point,</w:t>
      </w:r>
      <w:r w:rsidR="009F6F3A" w:rsidRPr="00F77964">
        <w:rPr>
          <w:lang w:val="fr-FR"/>
        </w:rPr>
        <w:t xml:space="preserve"> </w:t>
      </w:r>
      <w:r w:rsidR="00061CF1">
        <w:rPr>
          <w:lang w:val="fr-FR"/>
        </w:rPr>
        <w:t>d</w:t>
      </w:r>
      <w:r w:rsidR="009F6F3A" w:rsidRPr="00F77964">
        <w:rPr>
          <w:lang w:val="fr-FR"/>
        </w:rPr>
        <w:t xml:space="preserve">’utilisation et </w:t>
      </w:r>
      <w:r w:rsidR="00061CF1">
        <w:rPr>
          <w:lang w:val="fr-FR"/>
        </w:rPr>
        <w:t>d</w:t>
      </w:r>
      <w:r w:rsidR="009F6F3A" w:rsidRPr="00F77964">
        <w:rPr>
          <w:lang w:val="fr-FR"/>
        </w:rPr>
        <w:t xml:space="preserve">’interprétation de scénarios et de modèles. </w:t>
      </w:r>
      <w:r w:rsidR="00061CF1">
        <w:rPr>
          <w:lang w:val="fr-FR"/>
        </w:rPr>
        <w:t>D</w:t>
      </w:r>
      <w:r w:rsidR="009F6F3A" w:rsidRPr="00F77964">
        <w:rPr>
          <w:lang w:val="fr-FR"/>
        </w:rPr>
        <w:t xml:space="preserve">es </w:t>
      </w:r>
      <w:r w:rsidR="00E35A5B" w:rsidRPr="00F77964">
        <w:rPr>
          <w:lang w:val="fr-FR"/>
        </w:rPr>
        <w:t>efforts seront</w:t>
      </w:r>
      <w:r w:rsidR="009F6F3A" w:rsidRPr="00F77964">
        <w:rPr>
          <w:lang w:val="fr-FR"/>
        </w:rPr>
        <w:t xml:space="preserve"> également </w:t>
      </w:r>
      <w:r w:rsidR="00061CF1">
        <w:rPr>
          <w:lang w:val="fr-FR"/>
        </w:rPr>
        <w:t xml:space="preserve">faits pour </w:t>
      </w:r>
      <w:r w:rsidR="009F6F3A" w:rsidRPr="00F77964">
        <w:rPr>
          <w:lang w:val="fr-FR"/>
        </w:rPr>
        <w:t>améliorer la disponibilité d’</w:t>
      </w:r>
      <w:r w:rsidR="00B374EC" w:rsidRPr="00F77964">
        <w:rPr>
          <w:lang w:val="fr-FR"/>
        </w:rPr>
        <w:t>instruments</w:t>
      </w:r>
      <w:r w:rsidR="009F6F3A" w:rsidRPr="00F77964">
        <w:rPr>
          <w:lang w:val="fr-FR"/>
        </w:rPr>
        <w:t xml:space="preserve"> et de données pour l</w:t>
      </w:r>
      <w:r w:rsidR="00E35A5B" w:rsidRPr="00F77964">
        <w:rPr>
          <w:lang w:val="fr-FR"/>
        </w:rPr>
        <w:t xml:space="preserve">a conception </w:t>
      </w:r>
      <w:r w:rsidR="009F6F3A" w:rsidRPr="00F77964">
        <w:rPr>
          <w:lang w:val="fr-FR"/>
        </w:rPr>
        <w:t xml:space="preserve">et l’expérimentation de </w:t>
      </w:r>
      <w:r w:rsidR="00E35A5B" w:rsidRPr="00F77964">
        <w:rPr>
          <w:lang w:val="fr-FR"/>
        </w:rPr>
        <w:t xml:space="preserve">ces </w:t>
      </w:r>
      <w:r w:rsidR="009F6F3A" w:rsidRPr="00F77964">
        <w:rPr>
          <w:lang w:val="fr-FR"/>
        </w:rPr>
        <w:t xml:space="preserve">scénarios et modèles </w:t>
      </w:r>
      <w:r w:rsidR="00061CF1">
        <w:rPr>
          <w:lang w:val="fr-FR"/>
        </w:rPr>
        <w:t>et</w:t>
      </w:r>
      <w:r w:rsidR="00E35A5B" w:rsidRPr="00F77964">
        <w:rPr>
          <w:lang w:val="fr-FR"/>
        </w:rPr>
        <w:t xml:space="preserve"> favoriser </w:t>
      </w:r>
      <w:r w:rsidR="009F6F3A" w:rsidRPr="00F77964">
        <w:rPr>
          <w:lang w:val="fr-FR"/>
        </w:rPr>
        <w:t>l’utilisation d’</w:t>
      </w:r>
      <w:r w:rsidR="00E35A5B" w:rsidRPr="00F77964">
        <w:rPr>
          <w:lang w:val="fr-FR"/>
        </w:rPr>
        <w:t xml:space="preserve">outils d’aide </w:t>
      </w:r>
      <w:r w:rsidR="00061CF1">
        <w:rPr>
          <w:lang w:val="fr-FR"/>
        </w:rPr>
        <w:t>à la décision</w:t>
      </w:r>
      <w:r w:rsidR="009F6F3A" w:rsidRPr="00F77964">
        <w:rPr>
          <w:lang w:val="fr-FR"/>
        </w:rPr>
        <w:t xml:space="preserve">. Les travaux s’appuieront sur les </w:t>
      </w:r>
      <w:r w:rsidR="00E35A5B" w:rsidRPr="00F77964">
        <w:rPr>
          <w:lang w:val="fr-FR"/>
        </w:rPr>
        <w:t>direct</w:t>
      </w:r>
      <w:r w:rsidR="00061CF1">
        <w:rPr>
          <w:lang w:val="fr-FR"/>
        </w:rPr>
        <w:t>iv</w:t>
      </w:r>
      <w:r w:rsidR="00E35A5B" w:rsidRPr="00F77964">
        <w:rPr>
          <w:lang w:val="fr-FR"/>
        </w:rPr>
        <w:t xml:space="preserve">es </w:t>
      </w:r>
      <w:r w:rsidR="009F6F3A" w:rsidRPr="00F77964">
        <w:rPr>
          <w:lang w:val="fr-FR"/>
        </w:rPr>
        <w:t>concernant l</w:t>
      </w:r>
      <w:r w:rsidR="00061CF1">
        <w:rPr>
          <w:lang w:val="fr-FR"/>
        </w:rPr>
        <w:t>’élaboration</w:t>
      </w:r>
      <w:r w:rsidR="009F6F3A" w:rsidRPr="00F77964">
        <w:rPr>
          <w:lang w:val="fr-FR"/>
        </w:rPr>
        <w:t xml:space="preserve"> </w:t>
      </w:r>
      <w:r w:rsidR="00610A1B">
        <w:rPr>
          <w:lang w:val="fr-FR"/>
        </w:rPr>
        <w:t>d’outils et de méthodes</w:t>
      </w:r>
      <w:r w:rsidR="009F6F3A" w:rsidRPr="00F77964">
        <w:rPr>
          <w:lang w:val="fr-FR"/>
        </w:rPr>
        <w:t xml:space="preserve"> d’aide </w:t>
      </w:r>
      <w:r w:rsidR="00061CF1">
        <w:rPr>
          <w:lang w:val="fr-FR"/>
        </w:rPr>
        <w:t>à la décision</w:t>
      </w:r>
      <w:r w:rsidR="00E35A5B" w:rsidRPr="00F77964">
        <w:rPr>
          <w:lang w:val="fr-FR"/>
        </w:rPr>
        <w:t xml:space="preserve"> </w:t>
      </w:r>
      <w:r w:rsidR="009F6F3A" w:rsidRPr="00F77964">
        <w:rPr>
          <w:lang w:val="fr-FR"/>
        </w:rPr>
        <w:t>(voir produit </w:t>
      </w:r>
      <w:r w:rsidR="00D66005" w:rsidRPr="00F77964">
        <w:rPr>
          <w:lang w:val="fr-FR"/>
        </w:rPr>
        <w:t>4</w:t>
      </w:r>
      <w:r w:rsidR="00E35A5B" w:rsidRPr="00F77964">
        <w:rPr>
          <w:lang w:val="fr-FR"/>
        </w:rPr>
        <w:t> </w:t>
      </w:r>
      <w:r w:rsidR="00D66005" w:rsidRPr="00F77964">
        <w:rPr>
          <w:lang w:val="fr-FR"/>
        </w:rPr>
        <w:t xml:space="preserve">b)). </w:t>
      </w:r>
      <w:r w:rsidR="00FE51F2" w:rsidRPr="00F77964">
        <w:rPr>
          <w:lang w:val="fr-FR"/>
        </w:rPr>
        <w:t>En 2017, l</w:t>
      </w:r>
      <w:r w:rsidR="009F6F3A" w:rsidRPr="00F77964">
        <w:rPr>
          <w:lang w:val="fr-FR"/>
        </w:rPr>
        <w:t xml:space="preserve">a Plénière </w:t>
      </w:r>
      <w:r w:rsidR="004621EA">
        <w:rPr>
          <w:lang w:val="fr-FR"/>
        </w:rPr>
        <w:t>étudie</w:t>
      </w:r>
      <w:r w:rsidR="00061CF1">
        <w:rPr>
          <w:lang w:val="fr-FR"/>
        </w:rPr>
        <w:t>ra</w:t>
      </w:r>
      <w:r w:rsidR="004621EA">
        <w:rPr>
          <w:lang w:val="fr-FR"/>
        </w:rPr>
        <w:t xml:space="preserve"> la possibilité de </w:t>
      </w:r>
      <w:r w:rsidR="00FE51F2" w:rsidRPr="00F77964">
        <w:rPr>
          <w:lang w:val="fr-FR"/>
        </w:rPr>
        <w:t>donner son approbation aux</w:t>
      </w:r>
      <w:r w:rsidR="0028726B" w:rsidRPr="00F77964">
        <w:rPr>
          <w:lang w:val="fr-FR"/>
        </w:rPr>
        <w:t xml:space="preserve"> outils et </w:t>
      </w:r>
      <w:r w:rsidR="00FE51F2" w:rsidRPr="00F77964">
        <w:rPr>
          <w:lang w:val="fr-FR"/>
        </w:rPr>
        <w:t xml:space="preserve">méthodes </w:t>
      </w:r>
      <w:r w:rsidR="00A72758">
        <w:rPr>
          <w:lang w:val="fr-FR"/>
        </w:rPr>
        <w:t xml:space="preserve">plus </w:t>
      </w:r>
      <w:r w:rsidR="00061CF1">
        <w:rPr>
          <w:lang w:val="fr-FR"/>
        </w:rPr>
        <w:t xml:space="preserve">élaborés </w:t>
      </w:r>
      <w:r w:rsidR="00A72758">
        <w:rPr>
          <w:lang w:val="fr-FR"/>
        </w:rPr>
        <w:t>ainsi obtenus</w:t>
      </w:r>
      <w:r w:rsidR="0028726B" w:rsidRPr="00F77964">
        <w:rPr>
          <w:lang w:val="fr-FR"/>
        </w:rPr>
        <w:t xml:space="preserve">. Le </w:t>
      </w:r>
      <w:r w:rsidR="00FE51F2" w:rsidRPr="00F77964">
        <w:rPr>
          <w:lang w:val="fr-FR"/>
        </w:rPr>
        <w:t>s</w:t>
      </w:r>
      <w:r w:rsidR="0028726B" w:rsidRPr="00F77964">
        <w:rPr>
          <w:lang w:val="fr-FR"/>
        </w:rPr>
        <w:t xml:space="preserve">ecrétariat établira les </w:t>
      </w:r>
      <w:r w:rsidR="00FE51F2" w:rsidRPr="00F77964">
        <w:rPr>
          <w:lang w:val="fr-FR"/>
        </w:rPr>
        <w:t xml:space="preserve">dispositions </w:t>
      </w:r>
      <w:r w:rsidR="0028726B" w:rsidRPr="00F77964">
        <w:rPr>
          <w:lang w:val="fr-FR"/>
        </w:rPr>
        <w:t xml:space="preserve">institutionnelles pour la fourniture d’un </w:t>
      </w:r>
      <w:r w:rsidR="00F16D98">
        <w:rPr>
          <w:lang w:val="fr-FR"/>
        </w:rPr>
        <w:t>appui technique approuvé</w:t>
      </w:r>
      <w:r w:rsidR="0028726B" w:rsidRPr="00F77964">
        <w:rPr>
          <w:lang w:val="fr-FR"/>
        </w:rPr>
        <w:t xml:space="preserve"> par le Bureau. L’appui technique sera financé en partie par la </w:t>
      </w:r>
      <w:r w:rsidR="00FE51F2" w:rsidRPr="00F77964">
        <w:rPr>
          <w:lang w:val="fr-FR"/>
        </w:rPr>
        <w:t>P</w:t>
      </w:r>
      <w:r w:rsidR="0028726B" w:rsidRPr="00F77964">
        <w:rPr>
          <w:lang w:val="fr-FR"/>
        </w:rPr>
        <w:t xml:space="preserve">lateforme et en partie par </w:t>
      </w:r>
      <w:r w:rsidR="00FE51F2" w:rsidRPr="00F77964">
        <w:rPr>
          <w:lang w:val="fr-FR"/>
        </w:rPr>
        <w:t>l</w:t>
      </w:r>
      <w:r w:rsidR="0028726B" w:rsidRPr="00F77964">
        <w:rPr>
          <w:lang w:val="fr-FR"/>
        </w:rPr>
        <w:t xml:space="preserve">es contributions en nature approuvées par la Plénière </w:t>
      </w:r>
      <w:r w:rsidR="00D66005" w:rsidRPr="00F77964">
        <w:rPr>
          <w:lang w:val="fr-FR"/>
        </w:rPr>
        <w:t>(</w:t>
      </w:r>
      <w:r w:rsidR="0028726B" w:rsidRPr="00F77964">
        <w:rPr>
          <w:lang w:val="fr-FR"/>
        </w:rPr>
        <w:t>voir</w:t>
      </w:r>
      <w:r w:rsidR="00D66005" w:rsidRPr="00F77964">
        <w:rPr>
          <w:lang w:val="fr-FR"/>
        </w:rPr>
        <w:t xml:space="preserve"> </w:t>
      </w:r>
      <w:r w:rsidR="00435D19">
        <w:rPr>
          <w:lang w:val="fr-FR"/>
        </w:rPr>
        <w:t>paragraphe</w:t>
      </w:r>
      <w:r w:rsidR="0028726B" w:rsidRPr="00F77964">
        <w:rPr>
          <w:lang w:val="fr-FR"/>
        </w:rPr>
        <w:t> </w:t>
      </w:r>
      <w:r w:rsidR="00D66005" w:rsidRPr="00F77964">
        <w:rPr>
          <w:lang w:val="fr-FR"/>
        </w:rPr>
        <w:t xml:space="preserve">35 </w:t>
      </w:r>
      <w:r w:rsidR="0028726B" w:rsidRPr="00F77964">
        <w:rPr>
          <w:lang w:val="fr-FR"/>
        </w:rPr>
        <w:t>ci-après</w:t>
      </w:r>
      <w:r w:rsidR="00D66005" w:rsidRPr="00F77964">
        <w:rPr>
          <w:lang w:val="fr-FR"/>
        </w:rPr>
        <w:t>).</w:t>
      </w:r>
    </w:p>
    <w:p w:rsidR="00D66005" w:rsidRPr="00F77964" w:rsidRDefault="00D66005" w:rsidP="00D66005">
      <w:pPr>
        <w:pStyle w:val="CH3"/>
        <w:spacing w:before="200"/>
        <w:rPr>
          <w:rFonts w:eastAsia="SimSun"/>
          <w:lang w:val="fr-FR" w:eastAsia="zh-CN"/>
        </w:rPr>
      </w:pPr>
      <w:r w:rsidRPr="00F77964">
        <w:rPr>
          <w:rFonts w:eastAsia="SimSun"/>
          <w:lang w:val="fr-FR" w:eastAsia="zh-CN"/>
        </w:rPr>
        <w:tab/>
      </w:r>
      <w:r w:rsidRPr="00F77964">
        <w:rPr>
          <w:rFonts w:eastAsia="SimSun"/>
          <w:lang w:val="fr-FR" w:eastAsia="zh-CN"/>
        </w:rPr>
        <w:tab/>
      </w:r>
      <w:r w:rsidR="00F4565D" w:rsidRPr="00F77964">
        <w:rPr>
          <w:rFonts w:eastAsia="SimSun"/>
          <w:lang w:val="fr-FR" w:eastAsia="zh-CN"/>
        </w:rPr>
        <w:t xml:space="preserve">Actions, étapes intermédiaires et dispositions institutionnelles </w:t>
      </w:r>
    </w:p>
    <w:p w:rsidR="00D66005" w:rsidRPr="00F77964" w:rsidRDefault="00F532BF" w:rsidP="00D66005">
      <w:pPr>
        <w:pStyle w:val="Normalnumber"/>
        <w:numPr>
          <w:ilvl w:val="0"/>
          <w:numId w:val="6"/>
        </w:numPr>
        <w:tabs>
          <w:tab w:val="left" w:pos="624"/>
        </w:tabs>
        <w:ind w:left="1247" w:firstLine="0"/>
        <w:rPr>
          <w:rFonts w:eastAsia="Calibri"/>
          <w:lang w:val="fr-FR"/>
        </w:rPr>
      </w:pPr>
      <w:r w:rsidRPr="00F77964">
        <w:rPr>
          <w:lang w:val="fr-FR"/>
        </w:rPr>
        <w:t xml:space="preserve">Les </w:t>
      </w:r>
      <w:r w:rsidR="00F4565D" w:rsidRPr="00F77964">
        <w:rPr>
          <w:lang w:val="fr-FR"/>
        </w:rPr>
        <w:t>actions à mener sont indiquées ci-après</w:t>
      </w:r>
      <w:r w:rsidRPr="00F77964">
        <w:rPr>
          <w:lang w:val="fr-FR"/>
        </w:rPr>
        <w:t> </w:t>
      </w:r>
      <w:r w:rsidR="00D66005" w:rsidRPr="00F77964">
        <w:rPr>
          <w:lang w:val="fr-FR"/>
        </w:rPr>
        <w:t>:</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11"/>
        <w:gridCol w:w="5920"/>
      </w:tblGrid>
      <w:tr w:rsidR="00693FD5" w:rsidRPr="0061490E" w:rsidTr="00467B2C">
        <w:trPr>
          <w:trHeight w:val="151"/>
          <w:tblHeader/>
        </w:trPr>
        <w:tc>
          <w:tcPr>
            <w:tcW w:w="2074" w:type="dxa"/>
            <w:gridSpan w:val="2"/>
            <w:tcBorders>
              <w:top w:val="single" w:sz="4" w:space="0" w:color="auto"/>
              <w:left w:val="single" w:sz="4" w:space="0" w:color="auto"/>
              <w:bottom w:val="single" w:sz="4" w:space="0" w:color="auto"/>
              <w:right w:val="single" w:sz="4" w:space="0" w:color="auto"/>
            </w:tcBorders>
            <w:hideMark/>
          </w:tcPr>
          <w:p w:rsidR="00D66005" w:rsidRPr="00F77964" w:rsidRDefault="007F5CA0" w:rsidP="007F5CA0">
            <w:pPr>
              <w:pStyle w:val="Normal-pool"/>
              <w:spacing w:before="40" w:after="40"/>
              <w:rPr>
                <w:rFonts w:eastAsia="SimSun"/>
                <w:i/>
                <w:sz w:val="18"/>
                <w:szCs w:val="18"/>
                <w:lang w:eastAsia="zh-CN"/>
              </w:rPr>
            </w:pPr>
            <w:r w:rsidRPr="00F77964">
              <w:rPr>
                <w:rFonts w:eastAsia="SimSun"/>
                <w:i/>
                <w:sz w:val="18"/>
                <w:szCs w:val="18"/>
                <w:lang w:eastAsia="zh-CN"/>
              </w:rPr>
              <w:t>Calendrier</w:t>
            </w:r>
          </w:p>
        </w:tc>
        <w:tc>
          <w:tcPr>
            <w:tcW w:w="5920"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D66005" w:rsidP="007F5CA0">
            <w:pPr>
              <w:pStyle w:val="Normal-pool"/>
              <w:spacing w:before="40" w:after="40"/>
              <w:rPr>
                <w:rFonts w:eastAsia="SimSun"/>
                <w:i/>
                <w:sz w:val="18"/>
                <w:szCs w:val="18"/>
                <w:lang w:eastAsia="zh-CN"/>
              </w:rPr>
            </w:pPr>
            <w:r w:rsidRPr="00F77964">
              <w:rPr>
                <w:rFonts w:eastAsia="SimSun"/>
                <w:i/>
                <w:sz w:val="18"/>
                <w:szCs w:val="18"/>
                <w:lang w:eastAsia="zh-CN"/>
              </w:rPr>
              <w:t>Actions/</w:t>
            </w:r>
            <w:r w:rsidR="007F5CA0" w:rsidRPr="00F77964">
              <w:rPr>
                <w:rFonts w:eastAsia="SimSun"/>
                <w:i/>
                <w:sz w:val="18"/>
                <w:szCs w:val="18"/>
                <w:lang w:eastAsia="zh-CN"/>
              </w:rPr>
              <w:t>dispositions institutionnelles</w:t>
            </w:r>
          </w:p>
        </w:tc>
      </w:tr>
      <w:tr w:rsidR="00366DD1" w:rsidRPr="0061490E" w:rsidTr="00E41FB8">
        <w:trPr>
          <w:trHeight w:val="591"/>
        </w:trPr>
        <w:tc>
          <w:tcPr>
            <w:tcW w:w="663" w:type="dxa"/>
            <w:vMerge w:val="restart"/>
            <w:tcBorders>
              <w:top w:val="single" w:sz="4" w:space="0" w:color="auto"/>
              <w:left w:val="single" w:sz="4" w:space="0" w:color="auto"/>
              <w:right w:val="single" w:sz="4" w:space="0" w:color="auto"/>
            </w:tcBorders>
            <w:hideMark/>
          </w:tcPr>
          <w:p w:rsidR="00366DD1" w:rsidRPr="00F77964" w:rsidRDefault="00366DD1">
            <w:pPr>
              <w:pStyle w:val="Normal-pool"/>
              <w:spacing w:before="20" w:after="20"/>
              <w:rPr>
                <w:rFonts w:eastAsia="SimSun"/>
                <w:sz w:val="18"/>
                <w:szCs w:val="18"/>
                <w:lang w:eastAsia="zh-CN"/>
              </w:rPr>
            </w:pPr>
            <w:r w:rsidRPr="00F77964">
              <w:rPr>
                <w:rFonts w:eastAsia="SimSun"/>
                <w:sz w:val="18"/>
                <w:szCs w:val="18"/>
                <w:lang w:eastAsia="zh-CN"/>
              </w:rPr>
              <w:t>2013</w:t>
            </w:r>
          </w:p>
        </w:tc>
        <w:tc>
          <w:tcPr>
            <w:tcW w:w="1411" w:type="dxa"/>
            <w:tcBorders>
              <w:top w:val="single" w:sz="4" w:space="0" w:color="auto"/>
              <w:left w:val="single" w:sz="4" w:space="0" w:color="auto"/>
              <w:bottom w:val="single" w:sz="4" w:space="0" w:color="auto"/>
              <w:right w:val="single" w:sz="4" w:space="0" w:color="auto"/>
            </w:tcBorders>
            <w:hideMark/>
          </w:tcPr>
          <w:p w:rsidR="00366DD1" w:rsidRPr="00F77964" w:rsidRDefault="00366DD1" w:rsidP="007F5CA0">
            <w:pPr>
              <w:pStyle w:val="Normal-pool"/>
              <w:spacing w:before="20" w:after="20"/>
              <w:rPr>
                <w:rFonts w:eastAsia="SimSun"/>
                <w:sz w:val="18"/>
                <w:szCs w:val="18"/>
                <w:lang w:eastAsia="zh-CN"/>
              </w:rPr>
            </w:pPr>
            <w:r w:rsidRPr="00F77964">
              <w:rPr>
                <w:rFonts w:eastAsia="SimSun"/>
                <w:sz w:val="18"/>
                <w:szCs w:val="18"/>
                <w:lang w:eastAsia="zh-CN"/>
              </w:rPr>
              <w:t>Quatrième trimestre</w:t>
            </w:r>
          </w:p>
        </w:tc>
        <w:tc>
          <w:tcPr>
            <w:tcW w:w="5920" w:type="dxa"/>
            <w:tcBorders>
              <w:top w:val="single" w:sz="4" w:space="0" w:color="auto"/>
              <w:left w:val="single" w:sz="4" w:space="0" w:color="auto"/>
              <w:bottom w:val="single" w:sz="4" w:space="0" w:color="auto"/>
              <w:right w:val="single" w:sz="4" w:space="0" w:color="auto"/>
            </w:tcBorders>
            <w:vAlign w:val="center"/>
            <w:hideMark/>
          </w:tcPr>
          <w:p w:rsidR="00366DD1" w:rsidRPr="00F77964" w:rsidRDefault="00366DD1" w:rsidP="00D42F00">
            <w:pPr>
              <w:pStyle w:val="Normal-pool"/>
              <w:spacing w:before="20" w:after="20"/>
              <w:rPr>
                <w:rFonts w:eastAsia="SimSun"/>
                <w:sz w:val="18"/>
                <w:szCs w:val="18"/>
                <w:lang w:eastAsia="zh-CN"/>
              </w:rPr>
            </w:pPr>
            <w:r w:rsidRPr="00F77964">
              <w:rPr>
                <w:rFonts w:eastAsia="SimSun"/>
                <w:sz w:val="18"/>
                <w:szCs w:val="18"/>
                <w:lang w:eastAsia="zh-CN"/>
              </w:rPr>
              <w:t>La Plénière, à sa deuxième session, examine et approuve l’étude initiale de cadrage établie par le Groupe d’experts multidisciplinaire (14 décembre 2013)</w:t>
            </w:r>
          </w:p>
        </w:tc>
      </w:tr>
      <w:tr w:rsidR="00366DD1" w:rsidRPr="0061490E" w:rsidTr="00E41FB8">
        <w:trPr>
          <w:trHeight w:val="387"/>
        </w:trPr>
        <w:tc>
          <w:tcPr>
            <w:tcW w:w="663" w:type="dxa"/>
            <w:vMerge/>
            <w:tcBorders>
              <w:left w:val="single" w:sz="4" w:space="0" w:color="auto"/>
              <w:bottom w:val="single" w:sz="4" w:space="0" w:color="auto"/>
              <w:right w:val="single" w:sz="4" w:space="0" w:color="auto"/>
            </w:tcBorders>
            <w:hideMark/>
          </w:tcPr>
          <w:p w:rsidR="00366DD1" w:rsidRPr="00F77964" w:rsidRDefault="00366DD1">
            <w:pPr>
              <w:pStyle w:val="Normal-pool"/>
              <w:spacing w:before="20" w:after="20"/>
              <w:rPr>
                <w:rFonts w:eastAsia="SimSun"/>
                <w:sz w:val="18"/>
                <w:szCs w:val="18"/>
                <w:lang w:eastAsia="zh-CN"/>
              </w:rPr>
            </w:pPr>
          </w:p>
        </w:tc>
        <w:tc>
          <w:tcPr>
            <w:tcW w:w="1411" w:type="dxa"/>
            <w:tcBorders>
              <w:top w:val="single" w:sz="4" w:space="0" w:color="auto"/>
              <w:left w:val="single" w:sz="4" w:space="0" w:color="auto"/>
              <w:bottom w:val="single" w:sz="4" w:space="0" w:color="auto"/>
              <w:right w:val="single" w:sz="4" w:space="0" w:color="auto"/>
            </w:tcBorders>
            <w:hideMark/>
          </w:tcPr>
          <w:p w:rsidR="00366DD1" w:rsidRPr="00F77964" w:rsidRDefault="00366DD1" w:rsidP="00D42F00">
            <w:pPr>
              <w:pStyle w:val="Normal-pool"/>
              <w:spacing w:before="20" w:after="20"/>
              <w:rPr>
                <w:rFonts w:eastAsia="SimSun"/>
                <w:sz w:val="18"/>
                <w:szCs w:val="18"/>
                <w:lang w:eastAsia="zh-CN"/>
              </w:rPr>
            </w:pPr>
            <w:r w:rsidRPr="00F77964">
              <w:rPr>
                <w:rFonts w:eastAsia="SimSun"/>
                <w:sz w:val="18"/>
                <w:szCs w:val="18"/>
                <w:lang w:eastAsia="zh-CN"/>
              </w:rPr>
              <w:t>Quatrième trimestre</w:t>
            </w:r>
          </w:p>
        </w:tc>
        <w:tc>
          <w:tcPr>
            <w:tcW w:w="5920" w:type="dxa"/>
            <w:tcBorders>
              <w:top w:val="single" w:sz="4" w:space="0" w:color="auto"/>
              <w:left w:val="single" w:sz="4" w:space="0" w:color="auto"/>
              <w:bottom w:val="single" w:sz="4" w:space="0" w:color="auto"/>
              <w:right w:val="single" w:sz="4" w:space="0" w:color="auto"/>
            </w:tcBorders>
            <w:vAlign w:val="center"/>
            <w:hideMark/>
          </w:tcPr>
          <w:p w:rsidR="00366DD1" w:rsidRPr="00F77964" w:rsidRDefault="00366DD1" w:rsidP="00FA445A">
            <w:pPr>
              <w:pStyle w:val="Normal-pool"/>
              <w:spacing w:before="20" w:after="20"/>
              <w:rPr>
                <w:rFonts w:eastAsia="SimSun"/>
                <w:sz w:val="18"/>
                <w:szCs w:val="18"/>
                <w:lang w:eastAsia="zh-CN"/>
              </w:rPr>
            </w:pPr>
            <w:r w:rsidRPr="00F77964">
              <w:rPr>
                <w:rFonts w:eastAsia="SimSun"/>
                <w:sz w:val="18"/>
                <w:szCs w:val="18"/>
                <w:lang w:eastAsia="zh-CN"/>
              </w:rPr>
              <w:t xml:space="preserve">Le Groupe d’experts multidisciplinaire, par le biais du secrétariat, </w:t>
            </w:r>
            <w:r>
              <w:rPr>
                <w:rFonts w:eastAsia="SimSun"/>
                <w:sz w:val="18"/>
                <w:szCs w:val="18"/>
                <w:lang w:eastAsia="zh-CN"/>
              </w:rPr>
              <w:t xml:space="preserve">demande </w:t>
            </w:r>
            <w:r w:rsidRPr="00F77964">
              <w:rPr>
                <w:rFonts w:eastAsia="SimSun"/>
                <w:sz w:val="18"/>
                <w:szCs w:val="18"/>
                <w:lang w:eastAsia="zh-CN"/>
              </w:rPr>
              <w:t xml:space="preserve">aux gouvernements et aux autres parties prenantes </w:t>
            </w:r>
            <w:r>
              <w:rPr>
                <w:rFonts w:eastAsia="SimSun"/>
                <w:sz w:val="18"/>
                <w:szCs w:val="18"/>
                <w:lang w:eastAsia="zh-CN"/>
              </w:rPr>
              <w:t>de</w:t>
            </w:r>
            <w:r w:rsidRPr="00F77964">
              <w:rPr>
                <w:rFonts w:eastAsia="SimSun"/>
                <w:sz w:val="18"/>
                <w:szCs w:val="18"/>
                <w:lang w:eastAsia="zh-CN"/>
              </w:rPr>
              <w:t xml:space="preserve"> désigne</w:t>
            </w:r>
            <w:r>
              <w:rPr>
                <w:rFonts w:eastAsia="SimSun"/>
                <w:sz w:val="18"/>
                <w:szCs w:val="18"/>
                <w:lang w:eastAsia="zh-CN"/>
              </w:rPr>
              <w:t>r</w:t>
            </w:r>
            <w:r w:rsidRPr="00F77964">
              <w:rPr>
                <w:rFonts w:eastAsia="SimSun"/>
                <w:sz w:val="18"/>
                <w:szCs w:val="18"/>
                <w:lang w:eastAsia="zh-CN"/>
              </w:rPr>
              <w:t xml:space="preserve"> des experts (</w:t>
            </w:r>
            <w:r>
              <w:rPr>
                <w:rFonts w:eastAsia="SimSun"/>
                <w:sz w:val="18"/>
                <w:szCs w:val="18"/>
                <w:lang w:eastAsia="zh-CN"/>
              </w:rPr>
              <w:t>coprésidents</w:t>
            </w:r>
            <w:r w:rsidRPr="00F77964">
              <w:rPr>
                <w:rFonts w:eastAsia="SimSun"/>
                <w:sz w:val="18"/>
                <w:szCs w:val="18"/>
                <w:lang w:eastAsia="zh-CN"/>
              </w:rPr>
              <w:t xml:space="preserve">, auteurs coordonnateurs principaux, auteurs principaux et éditeurs-réviseurs) pour mener l’évaluation sur la base </w:t>
            </w:r>
            <w:r>
              <w:rPr>
                <w:rFonts w:eastAsia="SimSun"/>
                <w:sz w:val="18"/>
                <w:szCs w:val="18"/>
                <w:lang w:eastAsia="zh-CN"/>
              </w:rPr>
              <w:t xml:space="preserve">des résultats </w:t>
            </w:r>
            <w:r w:rsidRPr="00F77964">
              <w:rPr>
                <w:rFonts w:eastAsia="SimSun"/>
                <w:sz w:val="18"/>
                <w:szCs w:val="18"/>
                <w:lang w:eastAsia="zh-CN"/>
              </w:rPr>
              <w:t>de l’étude de cadrage approuvée par la Plénière (9 décembre 2013– 10 janvier 2014)</w:t>
            </w:r>
          </w:p>
        </w:tc>
      </w:tr>
      <w:tr w:rsidR="00366DD1" w:rsidRPr="0061490E" w:rsidTr="00366DD1">
        <w:trPr>
          <w:trHeight w:val="279"/>
        </w:trPr>
        <w:tc>
          <w:tcPr>
            <w:tcW w:w="0" w:type="auto"/>
            <w:vMerge w:val="restart"/>
            <w:tcBorders>
              <w:top w:val="single" w:sz="4" w:space="0" w:color="auto"/>
              <w:left w:val="single" w:sz="4" w:space="0" w:color="auto"/>
              <w:right w:val="single" w:sz="4" w:space="0" w:color="auto"/>
            </w:tcBorders>
            <w:hideMark/>
          </w:tcPr>
          <w:p w:rsidR="00366DD1" w:rsidRPr="00F77964" w:rsidRDefault="00366DD1" w:rsidP="00366DD1">
            <w:pPr>
              <w:pStyle w:val="Normal-pool"/>
              <w:spacing w:before="20" w:after="20"/>
              <w:rPr>
                <w:rFonts w:eastAsia="SimSun"/>
                <w:sz w:val="18"/>
                <w:szCs w:val="18"/>
                <w:lang w:eastAsia="zh-CN"/>
              </w:rPr>
            </w:pPr>
            <w:r w:rsidRPr="00F77964">
              <w:rPr>
                <w:rFonts w:eastAsia="SimSun"/>
                <w:sz w:val="18"/>
                <w:szCs w:val="18"/>
                <w:lang w:eastAsia="zh-CN"/>
              </w:rPr>
              <w:t>2014</w:t>
            </w:r>
          </w:p>
        </w:tc>
        <w:tc>
          <w:tcPr>
            <w:tcW w:w="1411" w:type="dxa"/>
            <w:tcBorders>
              <w:top w:val="single" w:sz="4" w:space="0" w:color="auto"/>
              <w:left w:val="single" w:sz="4" w:space="0" w:color="auto"/>
              <w:bottom w:val="single" w:sz="4" w:space="0" w:color="auto"/>
              <w:right w:val="single" w:sz="4" w:space="0" w:color="auto"/>
            </w:tcBorders>
            <w:hideMark/>
          </w:tcPr>
          <w:p w:rsidR="00366DD1" w:rsidRPr="00F77964" w:rsidRDefault="00366DD1" w:rsidP="00D42F00">
            <w:pPr>
              <w:pStyle w:val="Normal-pool"/>
              <w:keepNext/>
              <w:keepLines/>
              <w:spacing w:before="20" w:after="20"/>
              <w:rPr>
                <w:rFonts w:eastAsia="SimSun"/>
                <w:sz w:val="18"/>
                <w:szCs w:val="18"/>
                <w:lang w:eastAsia="zh-CN"/>
              </w:rPr>
            </w:pPr>
            <w:r w:rsidRPr="00F77964">
              <w:rPr>
                <w:rFonts w:eastAsia="SimSun"/>
                <w:sz w:val="18"/>
                <w:szCs w:val="18"/>
                <w:lang w:eastAsia="zh-CN"/>
              </w:rPr>
              <w:t>Premier trimestre</w:t>
            </w:r>
          </w:p>
        </w:tc>
        <w:tc>
          <w:tcPr>
            <w:tcW w:w="5920" w:type="dxa"/>
            <w:tcBorders>
              <w:top w:val="single" w:sz="4" w:space="0" w:color="auto"/>
              <w:left w:val="single" w:sz="4" w:space="0" w:color="auto"/>
              <w:bottom w:val="single" w:sz="4" w:space="0" w:color="auto"/>
              <w:right w:val="single" w:sz="4" w:space="0" w:color="auto"/>
            </w:tcBorders>
            <w:vAlign w:val="center"/>
            <w:hideMark/>
          </w:tcPr>
          <w:p w:rsidR="00366DD1" w:rsidRPr="00F77964" w:rsidRDefault="00366DD1" w:rsidP="00FE51F2">
            <w:pPr>
              <w:pStyle w:val="Normal-pool"/>
              <w:keepNext/>
              <w:keepLines/>
              <w:spacing w:before="20" w:after="20"/>
              <w:rPr>
                <w:rFonts w:eastAsia="SimSun"/>
                <w:sz w:val="18"/>
                <w:szCs w:val="18"/>
                <w:lang w:eastAsia="zh-CN"/>
              </w:rPr>
            </w:pPr>
            <w:r w:rsidRPr="00F77964">
              <w:rPr>
                <w:rFonts w:eastAsia="SimSun"/>
                <w:sz w:val="18"/>
                <w:szCs w:val="18"/>
                <w:lang w:eastAsia="zh-CN"/>
              </w:rPr>
              <w:t xml:space="preserve">Le Groupe d’experts multidisciplinaire, par la voie de courriels et de téléconférences, choisit les </w:t>
            </w:r>
            <w:r>
              <w:rPr>
                <w:rFonts w:eastAsia="SimSun"/>
                <w:sz w:val="18"/>
                <w:szCs w:val="18"/>
                <w:lang w:eastAsia="zh-CN"/>
              </w:rPr>
              <w:t>coprésidents</w:t>
            </w:r>
            <w:r w:rsidRPr="00F77964">
              <w:rPr>
                <w:rFonts w:eastAsia="SimSun"/>
                <w:sz w:val="18"/>
                <w:szCs w:val="18"/>
                <w:lang w:eastAsia="zh-CN"/>
              </w:rPr>
              <w:t xml:space="preserve">, les auteurs coordonnateurs principaux, les auteurs principaux et les éditeurs-réviseurs, en utilisant les critères de sélection approuvés </w:t>
            </w:r>
            <w:r>
              <w:rPr>
                <w:rFonts w:eastAsia="SimSun"/>
                <w:sz w:val="18"/>
                <w:szCs w:val="18"/>
                <w:lang w:eastAsia="zh-CN"/>
              </w:rPr>
              <w:t xml:space="preserve">(voir IPBES/2/9) </w:t>
            </w:r>
            <w:r w:rsidRPr="00F77964">
              <w:rPr>
                <w:rFonts w:eastAsia="SimSun"/>
                <w:sz w:val="18"/>
                <w:szCs w:val="18"/>
                <w:lang w:eastAsia="zh-CN"/>
              </w:rPr>
              <w:t>(11 janvier–24 janvier)</w:t>
            </w:r>
          </w:p>
        </w:tc>
      </w:tr>
      <w:tr w:rsidR="00366DD1" w:rsidRPr="0061490E" w:rsidTr="00E41FB8">
        <w:trPr>
          <w:trHeight w:val="56"/>
        </w:trPr>
        <w:tc>
          <w:tcPr>
            <w:tcW w:w="0" w:type="auto"/>
            <w:vMerge/>
            <w:tcBorders>
              <w:left w:val="single" w:sz="4" w:space="0" w:color="auto"/>
              <w:right w:val="single" w:sz="4" w:space="0" w:color="auto"/>
            </w:tcBorders>
            <w:vAlign w:val="center"/>
            <w:hideMark/>
          </w:tcPr>
          <w:p w:rsidR="00366DD1" w:rsidRPr="0061490E" w:rsidRDefault="00366DD1">
            <w:pPr>
              <w:rPr>
                <w:rFonts w:eastAsia="SimSun"/>
                <w:sz w:val="18"/>
                <w:szCs w:val="18"/>
                <w:lang w:eastAsia="zh-CN"/>
              </w:rPr>
            </w:pPr>
          </w:p>
        </w:tc>
        <w:tc>
          <w:tcPr>
            <w:tcW w:w="1411" w:type="dxa"/>
            <w:tcBorders>
              <w:top w:val="single" w:sz="4" w:space="0" w:color="auto"/>
              <w:left w:val="single" w:sz="4" w:space="0" w:color="auto"/>
              <w:bottom w:val="single" w:sz="4" w:space="0" w:color="auto"/>
              <w:right w:val="single" w:sz="4" w:space="0" w:color="auto"/>
            </w:tcBorders>
            <w:hideMark/>
          </w:tcPr>
          <w:p w:rsidR="00366DD1" w:rsidRPr="00F77964" w:rsidRDefault="00366DD1" w:rsidP="00D42F00">
            <w:pPr>
              <w:pStyle w:val="Normal-pool"/>
              <w:keepNext/>
              <w:keepLines/>
              <w:spacing w:before="20" w:after="20"/>
              <w:rPr>
                <w:rFonts w:eastAsia="SimSun"/>
                <w:sz w:val="18"/>
                <w:szCs w:val="18"/>
                <w:lang w:eastAsia="zh-CN"/>
              </w:rPr>
            </w:pPr>
            <w:r w:rsidRPr="00F77964">
              <w:rPr>
                <w:rFonts w:eastAsia="SimSun"/>
                <w:sz w:val="18"/>
                <w:szCs w:val="18"/>
                <w:lang w:eastAsia="zh-CN"/>
              </w:rPr>
              <w:t>Premier/ deuxième/</w:t>
            </w:r>
            <w:r>
              <w:rPr>
                <w:rFonts w:eastAsia="SimSun"/>
                <w:sz w:val="18"/>
                <w:szCs w:val="18"/>
                <w:lang w:eastAsia="zh-CN"/>
              </w:rPr>
              <w:t xml:space="preserve"> </w:t>
            </w:r>
            <w:r w:rsidRPr="00F77964">
              <w:rPr>
                <w:rFonts w:eastAsia="SimSun"/>
                <w:sz w:val="18"/>
                <w:szCs w:val="18"/>
                <w:lang w:eastAsia="zh-CN"/>
              </w:rPr>
              <w:t>troisième trimestres</w:t>
            </w:r>
          </w:p>
        </w:tc>
        <w:tc>
          <w:tcPr>
            <w:tcW w:w="5920" w:type="dxa"/>
            <w:tcBorders>
              <w:top w:val="single" w:sz="4" w:space="0" w:color="auto"/>
              <w:left w:val="single" w:sz="4" w:space="0" w:color="auto"/>
              <w:bottom w:val="single" w:sz="4" w:space="0" w:color="auto"/>
              <w:right w:val="single" w:sz="4" w:space="0" w:color="auto"/>
            </w:tcBorders>
            <w:vAlign w:val="center"/>
            <w:hideMark/>
          </w:tcPr>
          <w:p w:rsidR="00366DD1" w:rsidRPr="00F77964" w:rsidRDefault="00366DD1" w:rsidP="004762CF">
            <w:pPr>
              <w:pStyle w:val="Normal-pool"/>
              <w:keepNext/>
              <w:keepLines/>
              <w:spacing w:before="20" w:after="20"/>
              <w:rPr>
                <w:rFonts w:eastAsia="SimSun"/>
                <w:sz w:val="18"/>
                <w:szCs w:val="18"/>
                <w:lang w:eastAsia="zh-CN"/>
              </w:rPr>
            </w:pPr>
            <w:r w:rsidRPr="00F77964">
              <w:rPr>
                <w:rFonts w:eastAsia="SimSun"/>
                <w:sz w:val="18"/>
                <w:szCs w:val="18"/>
                <w:lang w:eastAsia="zh-CN"/>
              </w:rPr>
              <w:t xml:space="preserve">Les </w:t>
            </w:r>
            <w:r>
              <w:rPr>
                <w:rFonts w:eastAsia="SimSun"/>
                <w:sz w:val="18"/>
                <w:szCs w:val="18"/>
                <w:lang w:eastAsia="zh-CN"/>
              </w:rPr>
              <w:t>coprésidents</w:t>
            </w:r>
            <w:r w:rsidRPr="00F77964">
              <w:rPr>
                <w:rFonts w:eastAsia="SimSun"/>
                <w:sz w:val="18"/>
                <w:szCs w:val="18"/>
                <w:lang w:eastAsia="zh-CN"/>
              </w:rPr>
              <w:t xml:space="preserve">, les auteurs coordonnateurs principaux et les auteurs principaux établissent un avant-projet de rapport et de résumé à l’intention des décideurs (25 janvier–25 juillet). </w:t>
            </w:r>
            <w:r w:rsidRPr="00F77964">
              <w:rPr>
                <w:sz w:val="18"/>
                <w:szCs w:val="18"/>
              </w:rPr>
              <w:t>Les auteurs se réunissent en février pour élabor</w:t>
            </w:r>
            <w:r>
              <w:rPr>
                <w:sz w:val="18"/>
                <w:szCs w:val="18"/>
              </w:rPr>
              <w:t>er plus avant le</w:t>
            </w:r>
            <w:r w:rsidRPr="00F77964">
              <w:rPr>
                <w:sz w:val="18"/>
                <w:szCs w:val="18"/>
              </w:rPr>
              <w:t xml:space="preserve"> plan annoté et </w:t>
            </w:r>
            <w:r>
              <w:rPr>
                <w:sz w:val="18"/>
                <w:szCs w:val="18"/>
              </w:rPr>
              <w:t>les sections et chapitres qui leur ont été assignés</w:t>
            </w:r>
            <w:r w:rsidRPr="00F77964">
              <w:rPr>
                <w:sz w:val="18"/>
                <w:szCs w:val="18"/>
              </w:rPr>
              <w:t>, et de nouveau début juillet pour finaliser le rapport et préparer le résumé à l’intention des décideurs</w:t>
            </w:r>
          </w:p>
        </w:tc>
      </w:tr>
      <w:tr w:rsidR="00366DD1" w:rsidRPr="0061490E" w:rsidTr="00E41FB8">
        <w:trPr>
          <w:trHeight w:val="217"/>
        </w:trPr>
        <w:tc>
          <w:tcPr>
            <w:tcW w:w="0" w:type="auto"/>
            <w:vMerge/>
            <w:tcBorders>
              <w:left w:val="single" w:sz="4" w:space="0" w:color="auto"/>
              <w:right w:val="single" w:sz="4" w:space="0" w:color="auto"/>
            </w:tcBorders>
            <w:vAlign w:val="center"/>
            <w:hideMark/>
          </w:tcPr>
          <w:p w:rsidR="00366DD1" w:rsidRPr="0061490E" w:rsidRDefault="00366DD1">
            <w:pPr>
              <w:rPr>
                <w:rFonts w:eastAsia="SimSun"/>
                <w:sz w:val="18"/>
                <w:szCs w:val="18"/>
                <w:lang w:eastAsia="zh-CN"/>
              </w:rPr>
            </w:pPr>
          </w:p>
        </w:tc>
        <w:tc>
          <w:tcPr>
            <w:tcW w:w="1411" w:type="dxa"/>
            <w:tcBorders>
              <w:top w:val="single" w:sz="4" w:space="0" w:color="auto"/>
              <w:left w:val="single" w:sz="4" w:space="0" w:color="auto"/>
              <w:bottom w:val="single" w:sz="4" w:space="0" w:color="auto"/>
              <w:right w:val="single" w:sz="4" w:space="0" w:color="auto"/>
            </w:tcBorders>
            <w:hideMark/>
          </w:tcPr>
          <w:p w:rsidR="00366DD1" w:rsidRPr="00F77964" w:rsidRDefault="00366DD1" w:rsidP="00D42F00">
            <w:pPr>
              <w:pStyle w:val="Normal-pool"/>
              <w:keepNext/>
              <w:keepLines/>
              <w:spacing w:before="20" w:after="20"/>
              <w:rPr>
                <w:rFonts w:eastAsia="SimSun"/>
                <w:sz w:val="18"/>
                <w:szCs w:val="18"/>
                <w:lang w:eastAsia="zh-CN"/>
              </w:rPr>
            </w:pPr>
            <w:r w:rsidRPr="00F77964">
              <w:rPr>
                <w:rFonts w:eastAsia="SimSun"/>
                <w:sz w:val="18"/>
                <w:szCs w:val="18"/>
                <w:lang w:eastAsia="zh-CN"/>
              </w:rPr>
              <w:t>Troisième trimestre</w:t>
            </w:r>
          </w:p>
        </w:tc>
        <w:tc>
          <w:tcPr>
            <w:tcW w:w="5920" w:type="dxa"/>
            <w:tcBorders>
              <w:top w:val="single" w:sz="4" w:space="0" w:color="auto"/>
              <w:left w:val="single" w:sz="4" w:space="0" w:color="auto"/>
              <w:bottom w:val="single" w:sz="4" w:space="0" w:color="auto"/>
              <w:right w:val="single" w:sz="4" w:space="0" w:color="auto"/>
            </w:tcBorders>
            <w:vAlign w:val="center"/>
            <w:hideMark/>
          </w:tcPr>
          <w:p w:rsidR="00366DD1" w:rsidRPr="00F77964" w:rsidRDefault="00366DD1" w:rsidP="004762CF">
            <w:pPr>
              <w:pStyle w:val="Normal-pool"/>
              <w:keepNext/>
              <w:keepLines/>
              <w:spacing w:before="20" w:after="20"/>
              <w:rPr>
                <w:rFonts w:eastAsia="SimSun"/>
                <w:sz w:val="18"/>
                <w:szCs w:val="18"/>
                <w:lang w:eastAsia="zh-CN"/>
              </w:rPr>
            </w:pPr>
            <w:r w:rsidRPr="00F77964">
              <w:rPr>
                <w:rFonts w:eastAsia="SimSun"/>
                <w:sz w:val="18"/>
                <w:szCs w:val="18"/>
                <w:lang w:eastAsia="zh-CN"/>
              </w:rPr>
              <w:t>Le projet de rapport et le projet de résumé à l’intention des décideurs sont examinés par les experts, les gouvernements et les autres parties prenantes (26 juillet –12 septembre)</w:t>
            </w:r>
          </w:p>
        </w:tc>
      </w:tr>
      <w:tr w:rsidR="00366DD1" w:rsidRPr="0061490E" w:rsidTr="00E41FB8">
        <w:trPr>
          <w:trHeight w:val="56"/>
        </w:trPr>
        <w:tc>
          <w:tcPr>
            <w:tcW w:w="0" w:type="auto"/>
            <w:vMerge/>
            <w:tcBorders>
              <w:left w:val="single" w:sz="4" w:space="0" w:color="auto"/>
              <w:right w:val="single" w:sz="4" w:space="0" w:color="auto"/>
            </w:tcBorders>
            <w:vAlign w:val="center"/>
            <w:hideMark/>
          </w:tcPr>
          <w:p w:rsidR="00366DD1" w:rsidRPr="0061490E" w:rsidRDefault="00366DD1">
            <w:pPr>
              <w:rPr>
                <w:rFonts w:eastAsia="SimSun"/>
                <w:sz w:val="18"/>
                <w:szCs w:val="18"/>
                <w:lang w:eastAsia="zh-CN"/>
              </w:rPr>
            </w:pPr>
          </w:p>
        </w:tc>
        <w:tc>
          <w:tcPr>
            <w:tcW w:w="1411" w:type="dxa"/>
            <w:tcBorders>
              <w:top w:val="single" w:sz="4" w:space="0" w:color="auto"/>
              <w:left w:val="single" w:sz="4" w:space="0" w:color="auto"/>
              <w:bottom w:val="single" w:sz="4" w:space="0" w:color="auto"/>
              <w:right w:val="single" w:sz="4" w:space="0" w:color="auto"/>
            </w:tcBorders>
            <w:hideMark/>
          </w:tcPr>
          <w:p w:rsidR="00366DD1" w:rsidRPr="00F77964" w:rsidRDefault="00366DD1" w:rsidP="00D42F00">
            <w:pPr>
              <w:pStyle w:val="Normal-pool"/>
              <w:keepNext/>
              <w:keepLines/>
              <w:spacing w:before="20" w:after="20"/>
              <w:rPr>
                <w:rFonts w:eastAsia="SimSun"/>
                <w:sz w:val="18"/>
                <w:szCs w:val="18"/>
                <w:lang w:eastAsia="zh-CN"/>
              </w:rPr>
            </w:pPr>
            <w:r w:rsidRPr="00F77964">
              <w:rPr>
                <w:rFonts w:eastAsia="SimSun"/>
                <w:sz w:val="18"/>
                <w:szCs w:val="18"/>
                <w:lang w:eastAsia="zh-CN"/>
              </w:rPr>
              <w:t>Troisième/ quatrième trimestres</w:t>
            </w:r>
          </w:p>
        </w:tc>
        <w:tc>
          <w:tcPr>
            <w:tcW w:w="5920" w:type="dxa"/>
            <w:tcBorders>
              <w:top w:val="single" w:sz="4" w:space="0" w:color="auto"/>
              <w:left w:val="single" w:sz="4" w:space="0" w:color="auto"/>
              <w:bottom w:val="single" w:sz="4" w:space="0" w:color="auto"/>
              <w:right w:val="single" w:sz="4" w:space="0" w:color="auto"/>
            </w:tcBorders>
            <w:vAlign w:val="center"/>
            <w:hideMark/>
          </w:tcPr>
          <w:p w:rsidR="00366DD1" w:rsidRPr="00F77964" w:rsidRDefault="00366DD1" w:rsidP="00A850DD">
            <w:pPr>
              <w:pStyle w:val="Normal-pool"/>
              <w:keepNext/>
              <w:keepLines/>
              <w:spacing w:before="20" w:after="20"/>
              <w:rPr>
                <w:rFonts w:eastAsia="SimSun"/>
                <w:sz w:val="18"/>
                <w:szCs w:val="18"/>
                <w:lang w:eastAsia="zh-CN"/>
              </w:rPr>
            </w:pPr>
            <w:r w:rsidRPr="00F77964">
              <w:rPr>
                <w:rFonts w:eastAsia="SimSun"/>
                <w:sz w:val="18"/>
                <w:szCs w:val="18"/>
                <w:lang w:eastAsia="zh-CN"/>
              </w:rPr>
              <w:t xml:space="preserve">Les </w:t>
            </w:r>
            <w:r>
              <w:rPr>
                <w:rFonts w:eastAsia="SimSun"/>
                <w:sz w:val="18"/>
                <w:szCs w:val="18"/>
                <w:lang w:eastAsia="zh-CN"/>
              </w:rPr>
              <w:t>coprésidents</w:t>
            </w:r>
            <w:r w:rsidRPr="00F77964">
              <w:rPr>
                <w:rFonts w:eastAsia="SimSun"/>
                <w:sz w:val="18"/>
                <w:szCs w:val="18"/>
                <w:lang w:eastAsia="zh-CN"/>
              </w:rPr>
              <w:t xml:space="preserve">, les auteurs coordonnateurs principaux et les auteurs principaux révisent le projet de rapport et le résumé à l’intention des décideurs sous la supervision des éditeurs-réviseurs et du Groupe d’experts multidisciplinaire (13 septembre –7 novembre). Les auteurs et les éditeurs-réviseurs, avec un petit </w:t>
            </w:r>
            <w:r>
              <w:rPr>
                <w:rFonts w:eastAsia="SimSun"/>
                <w:sz w:val="18"/>
                <w:szCs w:val="18"/>
                <w:lang w:eastAsia="zh-CN"/>
              </w:rPr>
              <w:t>nombr</w:t>
            </w:r>
            <w:r w:rsidRPr="00F77964">
              <w:rPr>
                <w:rFonts w:eastAsia="SimSun"/>
                <w:sz w:val="18"/>
                <w:szCs w:val="18"/>
                <w:lang w:eastAsia="zh-CN"/>
              </w:rPr>
              <w:t>e de membres du Groupe d’experts multidisciplinaire, se réunissent une fois pour établir la version finale du rapport et du résumé à l’intention des décideurs</w:t>
            </w:r>
            <w:r>
              <w:rPr>
                <w:rFonts w:eastAsia="SimSun"/>
                <w:sz w:val="18"/>
                <w:szCs w:val="18"/>
                <w:lang w:eastAsia="zh-CN"/>
              </w:rPr>
              <w:t xml:space="preserve"> </w:t>
            </w:r>
            <w:r w:rsidRPr="00F77964">
              <w:rPr>
                <w:sz w:val="18"/>
                <w:szCs w:val="18"/>
              </w:rPr>
              <w:t>(13 septembre–7 novembre)</w:t>
            </w:r>
          </w:p>
        </w:tc>
      </w:tr>
      <w:tr w:rsidR="00366DD1" w:rsidRPr="0061490E" w:rsidTr="00E41FB8">
        <w:trPr>
          <w:trHeight w:val="155"/>
        </w:trPr>
        <w:tc>
          <w:tcPr>
            <w:tcW w:w="0" w:type="auto"/>
            <w:vMerge/>
            <w:tcBorders>
              <w:left w:val="single" w:sz="4" w:space="0" w:color="auto"/>
              <w:right w:val="single" w:sz="4" w:space="0" w:color="auto"/>
            </w:tcBorders>
            <w:vAlign w:val="center"/>
            <w:hideMark/>
          </w:tcPr>
          <w:p w:rsidR="00366DD1" w:rsidRPr="0061490E" w:rsidRDefault="00366DD1">
            <w:pPr>
              <w:rPr>
                <w:rFonts w:eastAsia="SimSun"/>
                <w:sz w:val="18"/>
                <w:szCs w:val="18"/>
                <w:lang w:eastAsia="zh-CN"/>
              </w:rPr>
            </w:pPr>
          </w:p>
        </w:tc>
        <w:tc>
          <w:tcPr>
            <w:tcW w:w="1411" w:type="dxa"/>
            <w:tcBorders>
              <w:top w:val="single" w:sz="4" w:space="0" w:color="auto"/>
              <w:left w:val="single" w:sz="4" w:space="0" w:color="auto"/>
              <w:bottom w:val="single" w:sz="4" w:space="0" w:color="auto"/>
              <w:right w:val="single" w:sz="4" w:space="0" w:color="auto"/>
            </w:tcBorders>
            <w:hideMark/>
          </w:tcPr>
          <w:p w:rsidR="00366DD1" w:rsidRPr="00F77964" w:rsidRDefault="00366DD1" w:rsidP="00D42F00">
            <w:pPr>
              <w:pStyle w:val="Normal-pool"/>
              <w:keepNext/>
              <w:keepLines/>
              <w:spacing w:before="20" w:after="20"/>
              <w:rPr>
                <w:rFonts w:eastAsia="SimSun"/>
                <w:sz w:val="18"/>
                <w:szCs w:val="18"/>
                <w:lang w:eastAsia="zh-CN"/>
              </w:rPr>
            </w:pPr>
            <w:r w:rsidRPr="00F77964">
              <w:rPr>
                <w:rFonts w:eastAsia="SimSun"/>
                <w:sz w:val="18"/>
                <w:szCs w:val="18"/>
                <w:lang w:eastAsia="zh-CN"/>
              </w:rPr>
              <w:t>Quatrième trimestre</w:t>
            </w:r>
          </w:p>
        </w:tc>
        <w:tc>
          <w:tcPr>
            <w:tcW w:w="5920" w:type="dxa"/>
            <w:tcBorders>
              <w:top w:val="single" w:sz="4" w:space="0" w:color="auto"/>
              <w:left w:val="single" w:sz="4" w:space="0" w:color="auto"/>
              <w:bottom w:val="single" w:sz="4" w:space="0" w:color="auto"/>
              <w:right w:val="single" w:sz="4" w:space="0" w:color="auto"/>
            </w:tcBorders>
            <w:vAlign w:val="center"/>
            <w:hideMark/>
          </w:tcPr>
          <w:p w:rsidR="00366DD1" w:rsidRPr="00F77964" w:rsidRDefault="00366DD1" w:rsidP="00D42F00">
            <w:pPr>
              <w:pStyle w:val="Normal-pool"/>
              <w:keepNext/>
              <w:keepLines/>
              <w:spacing w:before="20" w:after="20"/>
              <w:rPr>
                <w:rFonts w:eastAsia="SimSun"/>
                <w:sz w:val="18"/>
                <w:szCs w:val="18"/>
                <w:lang w:eastAsia="zh-CN"/>
              </w:rPr>
            </w:pPr>
            <w:r w:rsidRPr="00F77964">
              <w:rPr>
                <w:rFonts w:eastAsia="SimSun"/>
                <w:sz w:val="18"/>
                <w:szCs w:val="18"/>
                <w:lang w:eastAsia="zh-CN"/>
              </w:rPr>
              <w:t xml:space="preserve">Le résumé à l’intention des décideurs est traduit dans toutes les langues </w:t>
            </w:r>
            <w:r>
              <w:rPr>
                <w:rFonts w:eastAsia="SimSun"/>
                <w:sz w:val="18"/>
                <w:szCs w:val="18"/>
                <w:lang w:eastAsia="zh-CN"/>
              </w:rPr>
              <w:t xml:space="preserve">officielles </w:t>
            </w:r>
            <w:r w:rsidRPr="00F77964">
              <w:rPr>
                <w:rFonts w:eastAsia="SimSun"/>
                <w:sz w:val="18"/>
                <w:szCs w:val="18"/>
                <w:lang w:eastAsia="zh-CN"/>
              </w:rPr>
              <w:t>de l’ONU (8 novembre – 5 décembre)</w:t>
            </w:r>
          </w:p>
        </w:tc>
      </w:tr>
      <w:tr w:rsidR="00366DD1" w:rsidRPr="0061490E" w:rsidTr="00E41FB8">
        <w:trPr>
          <w:trHeight w:val="56"/>
        </w:trPr>
        <w:tc>
          <w:tcPr>
            <w:tcW w:w="0" w:type="auto"/>
            <w:vMerge/>
            <w:tcBorders>
              <w:left w:val="single" w:sz="4" w:space="0" w:color="auto"/>
              <w:bottom w:val="single" w:sz="4" w:space="0" w:color="auto"/>
              <w:right w:val="single" w:sz="4" w:space="0" w:color="auto"/>
            </w:tcBorders>
            <w:vAlign w:val="center"/>
            <w:hideMark/>
          </w:tcPr>
          <w:p w:rsidR="00366DD1" w:rsidRPr="0061490E" w:rsidRDefault="00366DD1">
            <w:pPr>
              <w:rPr>
                <w:rFonts w:eastAsia="SimSun"/>
                <w:sz w:val="18"/>
                <w:szCs w:val="18"/>
                <w:lang w:eastAsia="zh-CN"/>
              </w:rPr>
            </w:pPr>
          </w:p>
        </w:tc>
        <w:tc>
          <w:tcPr>
            <w:tcW w:w="1411" w:type="dxa"/>
            <w:tcBorders>
              <w:top w:val="single" w:sz="4" w:space="0" w:color="auto"/>
              <w:left w:val="single" w:sz="4" w:space="0" w:color="auto"/>
              <w:bottom w:val="single" w:sz="4" w:space="0" w:color="auto"/>
              <w:right w:val="single" w:sz="4" w:space="0" w:color="auto"/>
            </w:tcBorders>
            <w:hideMark/>
          </w:tcPr>
          <w:p w:rsidR="00366DD1" w:rsidRPr="00F77964" w:rsidRDefault="00366DD1" w:rsidP="00D42F00">
            <w:pPr>
              <w:pStyle w:val="Normal-pool"/>
              <w:keepNext/>
              <w:keepLines/>
              <w:spacing w:before="20" w:after="20"/>
              <w:rPr>
                <w:rFonts w:eastAsia="SimSun"/>
                <w:sz w:val="18"/>
                <w:szCs w:val="18"/>
                <w:lang w:eastAsia="zh-CN"/>
              </w:rPr>
            </w:pPr>
            <w:r w:rsidRPr="00F77964">
              <w:rPr>
                <w:rFonts w:eastAsia="SimSun"/>
                <w:sz w:val="18"/>
                <w:szCs w:val="18"/>
                <w:lang w:eastAsia="zh-CN"/>
              </w:rPr>
              <w:t>Quatrième trimestre</w:t>
            </w:r>
          </w:p>
        </w:tc>
        <w:tc>
          <w:tcPr>
            <w:tcW w:w="5920" w:type="dxa"/>
            <w:tcBorders>
              <w:top w:val="single" w:sz="4" w:space="0" w:color="auto"/>
              <w:left w:val="single" w:sz="4" w:space="0" w:color="auto"/>
              <w:bottom w:val="single" w:sz="4" w:space="0" w:color="auto"/>
              <w:right w:val="single" w:sz="4" w:space="0" w:color="auto"/>
            </w:tcBorders>
            <w:vAlign w:val="center"/>
            <w:hideMark/>
          </w:tcPr>
          <w:p w:rsidR="00366DD1" w:rsidRPr="00F77964" w:rsidRDefault="00366DD1" w:rsidP="004762CF">
            <w:pPr>
              <w:pStyle w:val="Normal-pool"/>
              <w:keepNext/>
              <w:keepLines/>
              <w:spacing w:before="20" w:after="20"/>
              <w:rPr>
                <w:rFonts w:eastAsia="SimSun"/>
                <w:sz w:val="18"/>
                <w:szCs w:val="18"/>
                <w:lang w:eastAsia="zh-CN"/>
              </w:rPr>
            </w:pPr>
            <w:r w:rsidRPr="00F77964">
              <w:rPr>
                <w:rFonts w:eastAsia="SimSun"/>
                <w:sz w:val="18"/>
                <w:szCs w:val="18"/>
                <w:lang w:eastAsia="zh-CN"/>
              </w:rPr>
              <w:t xml:space="preserve">La version finale du rapport et du résumé à l’intention des décideurs est communiquée aux gouvernements et aux autres parties prenantes pour un </w:t>
            </w:r>
            <w:r w:rsidRPr="00F77964">
              <w:rPr>
                <w:rFonts w:eastAsia="SimSun"/>
                <w:sz w:val="18"/>
                <w:szCs w:val="18"/>
                <w:lang w:eastAsia="zh-CN"/>
              </w:rPr>
              <w:lastRenderedPageBreak/>
              <w:t>dernier examen (6 décembre</w:t>
            </w:r>
            <w:r>
              <w:rPr>
                <w:rFonts w:eastAsia="SimSun"/>
                <w:sz w:val="18"/>
                <w:szCs w:val="18"/>
                <w:lang w:eastAsia="zh-CN"/>
              </w:rPr>
              <w:t xml:space="preserve"> 2014 </w:t>
            </w:r>
            <w:r w:rsidRPr="00F77964">
              <w:rPr>
                <w:rFonts w:eastAsia="SimSun"/>
                <w:sz w:val="18"/>
                <w:szCs w:val="18"/>
                <w:lang w:eastAsia="zh-CN"/>
              </w:rPr>
              <w:t>–</w:t>
            </w:r>
            <w:r>
              <w:rPr>
                <w:rFonts w:eastAsia="SimSun"/>
                <w:sz w:val="18"/>
                <w:szCs w:val="18"/>
                <w:lang w:eastAsia="zh-CN"/>
              </w:rPr>
              <w:t xml:space="preserve"> </w:t>
            </w:r>
            <w:r w:rsidRPr="00F77964">
              <w:rPr>
                <w:rFonts w:eastAsia="SimSun"/>
                <w:sz w:val="18"/>
                <w:szCs w:val="18"/>
                <w:lang w:eastAsia="zh-CN"/>
              </w:rPr>
              <w:t>6 février</w:t>
            </w:r>
            <w:r>
              <w:rPr>
                <w:rFonts w:eastAsia="SimSun"/>
                <w:sz w:val="18"/>
                <w:szCs w:val="18"/>
                <w:lang w:eastAsia="zh-CN"/>
              </w:rPr>
              <w:t xml:space="preserve"> 2015</w:t>
            </w:r>
            <w:r w:rsidRPr="00F77964">
              <w:rPr>
                <w:rFonts w:eastAsia="SimSun"/>
                <w:sz w:val="18"/>
                <w:szCs w:val="18"/>
                <w:lang w:eastAsia="zh-CN"/>
              </w:rPr>
              <w:t>)</w:t>
            </w:r>
          </w:p>
        </w:tc>
      </w:tr>
      <w:tr w:rsidR="00693FD5" w:rsidRPr="0061490E" w:rsidTr="00467B2C">
        <w:trPr>
          <w:trHeight w:val="155"/>
        </w:trPr>
        <w:tc>
          <w:tcPr>
            <w:tcW w:w="663"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402CB">
            <w:pPr>
              <w:keepLines/>
              <w:tabs>
                <w:tab w:val="left" w:pos="426"/>
                <w:tab w:val="num" w:pos="1353"/>
              </w:tabs>
              <w:autoSpaceDE w:val="0"/>
              <w:autoSpaceDN w:val="0"/>
              <w:adjustRightInd w:val="0"/>
              <w:spacing w:before="20" w:after="20"/>
              <w:rPr>
                <w:rFonts w:ascii="Times New Roman" w:eastAsia="SimSun" w:hAnsi="Times New Roman"/>
                <w:sz w:val="18"/>
                <w:szCs w:val="18"/>
                <w:lang w:eastAsia="zh-CN"/>
              </w:rPr>
            </w:pPr>
            <w:r w:rsidRPr="00F77964">
              <w:rPr>
                <w:rFonts w:ascii="Times New Roman" w:eastAsia="SimSun" w:hAnsi="Times New Roman"/>
                <w:sz w:val="18"/>
                <w:szCs w:val="18"/>
                <w:lang w:eastAsia="zh-CN"/>
              </w:rPr>
              <w:lastRenderedPageBreak/>
              <w:t>20</w:t>
            </w:r>
            <w:r w:rsidR="00D66005" w:rsidRPr="00F77964">
              <w:rPr>
                <w:rFonts w:ascii="Times New Roman" w:eastAsia="SimSun" w:hAnsi="Times New Roman"/>
                <w:sz w:val="18"/>
                <w:szCs w:val="18"/>
                <w:lang w:eastAsia="zh-CN"/>
              </w:rPr>
              <w:t>15</w:t>
            </w:r>
          </w:p>
        </w:tc>
        <w:tc>
          <w:tcPr>
            <w:tcW w:w="1411" w:type="dxa"/>
            <w:tcBorders>
              <w:top w:val="single" w:sz="4" w:space="0" w:color="auto"/>
              <w:left w:val="single" w:sz="4" w:space="0" w:color="auto"/>
              <w:bottom w:val="single" w:sz="4" w:space="0" w:color="auto"/>
              <w:right w:val="single" w:sz="4" w:space="0" w:color="auto"/>
            </w:tcBorders>
            <w:hideMark/>
          </w:tcPr>
          <w:p w:rsidR="00D66005" w:rsidRPr="00F77964" w:rsidRDefault="00D42F00" w:rsidP="00D42F00">
            <w:pPr>
              <w:pStyle w:val="Normal-pool"/>
              <w:keepNext/>
              <w:keepLines/>
              <w:spacing w:before="20" w:after="20"/>
              <w:rPr>
                <w:rFonts w:eastAsia="SimSun"/>
                <w:sz w:val="18"/>
                <w:szCs w:val="18"/>
                <w:lang w:eastAsia="zh-CN"/>
              </w:rPr>
            </w:pPr>
            <w:r w:rsidRPr="00F77964">
              <w:rPr>
                <w:rFonts w:eastAsia="SimSun"/>
                <w:sz w:val="18"/>
                <w:szCs w:val="18"/>
                <w:lang w:eastAsia="zh-CN"/>
              </w:rPr>
              <w:t>Premier trimestre</w:t>
            </w:r>
          </w:p>
        </w:tc>
        <w:tc>
          <w:tcPr>
            <w:tcW w:w="5920"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A850DD" w:rsidP="00A850DD">
            <w:pPr>
              <w:pStyle w:val="Normal-pool"/>
              <w:keepNext/>
              <w:keepLines/>
              <w:spacing w:before="20" w:after="20"/>
              <w:rPr>
                <w:rFonts w:eastAsia="SimSun"/>
                <w:sz w:val="18"/>
                <w:szCs w:val="18"/>
                <w:lang w:eastAsia="zh-CN"/>
              </w:rPr>
            </w:pPr>
            <w:r w:rsidRPr="00F77964">
              <w:rPr>
                <w:sz w:val="18"/>
                <w:szCs w:val="18"/>
              </w:rPr>
              <w:t>Les gouvernements envoient au secrétariat des observations écrites sur le résumé à l’intention des décideurs</w:t>
            </w:r>
            <w:r w:rsidR="00A542D9">
              <w:rPr>
                <w:sz w:val="18"/>
                <w:szCs w:val="18"/>
              </w:rPr>
              <w:t xml:space="preserve"> </w:t>
            </w:r>
            <w:r>
              <w:rPr>
                <w:sz w:val="18"/>
                <w:szCs w:val="18"/>
              </w:rPr>
              <w:t xml:space="preserve">au plus tard le </w:t>
            </w:r>
            <w:r w:rsidRPr="00F77964">
              <w:rPr>
                <w:sz w:val="18"/>
                <w:szCs w:val="18"/>
              </w:rPr>
              <w:t>31 janvier.</w:t>
            </w:r>
          </w:p>
        </w:tc>
      </w:tr>
      <w:tr w:rsidR="00693FD5" w:rsidRPr="0061490E" w:rsidTr="00467B2C">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lang w:eastAsia="zh-CN"/>
              </w:rPr>
            </w:pPr>
          </w:p>
        </w:tc>
        <w:tc>
          <w:tcPr>
            <w:tcW w:w="1411" w:type="dxa"/>
            <w:tcBorders>
              <w:top w:val="single" w:sz="4" w:space="0" w:color="auto"/>
              <w:left w:val="single" w:sz="4" w:space="0" w:color="auto"/>
              <w:bottom w:val="single" w:sz="4" w:space="0" w:color="auto"/>
              <w:right w:val="single" w:sz="4" w:space="0" w:color="auto"/>
            </w:tcBorders>
            <w:hideMark/>
          </w:tcPr>
          <w:p w:rsidR="00D66005" w:rsidRPr="00F77964" w:rsidRDefault="00205509">
            <w:pPr>
              <w:pStyle w:val="Normal-pool"/>
              <w:keepNext/>
              <w:keepLines/>
              <w:spacing w:before="20" w:after="20"/>
              <w:rPr>
                <w:rFonts w:eastAsia="SimSun"/>
                <w:sz w:val="18"/>
                <w:szCs w:val="18"/>
                <w:lang w:eastAsia="zh-CN"/>
              </w:rPr>
            </w:pPr>
            <w:r w:rsidRPr="00F77964">
              <w:rPr>
                <w:rFonts w:eastAsia="SimSun"/>
                <w:sz w:val="18"/>
                <w:szCs w:val="18"/>
                <w:lang w:eastAsia="zh-CN"/>
              </w:rPr>
              <w:t>Premier trimestre</w:t>
            </w:r>
          </w:p>
        </w:tc>
        <w:tc>
          <w:tcPr>
            <w:tcW w:w="5920"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205509" w:rsidP="00205509">
            <w:pPr>
              <w:pStyle w:val="Normal-pool"/>
              <w:keepNext/>
              <w:keepLines/>
              <w:spacing w:before="20" w:after="20"/>
              <w:rPr>
                <w:rFonts w:eastAsia="SimSun"/>
                <w:sz w:val="18"/>
                <w:szCs w:val="18"/>
                <w:lang w:eastAsia="zh-CN"/>
              </w:rPr>
            </w:pPr>
            <w:r w:rsidRPr="00F77964">
              <w:rPr>
                <w:rFonts w:eastAsia="SimSun"/>
                <w:sz w:val="18"/>
                <w:szCs w:val="18"/>
                <w:lang w:eastAsia="zh-CN"/>
              </w:rPr>
              <w:t>La Plénière examine et accepte le rapport et approuve le résumé à l’intention des décideurs</w:t>
            </w:r>
            <w:r w:rsidR="00D66005" w:rsidRPr="00F77964">
              <w:rPr>
                <w:rFonts w:eastAsia="SimSun"/>
                <w:sz w:val="18"/>
                <w:szCs w:val="18"/>
                <w:lang w:eastAsia="zh-CN"/>
              </w:rPr>
              <w:t xml:space="preserve"> (</w:t>
            </w:r>
            <w:r w:rsidRPr="00F77964">
              <w:rPr>
                <w:rFonts w:eastAsia="SimSun"/>
                <w:sz w:val="18"/>
                <w:szCs w:val="18"/>
                <w:lang w:eastAsia="zh-CN"/>
              </w:rPr>
              <w:t>après le 8 février</w:t>
            </w:r>
            <w:r w:rsidR="00D66005" w:rsidRPr="00F77964">
              <w:rPr>
                <w:rFonts w:eastAsia="SimSun"/>
                <w:sz w:val="18"/>
                <w:szCs w:val="18"/>
                <w:lang w:eastAsia="zh-CN"/>
              </w:rPr>
              <w:t>)</w:t>
            </w:r>
          </w:p>
        </w:tc>
      </w:tr>
      <w:tr w:rsidR="00693FD5" w:rsidRPr="0061490E" w:rsidTr="00467B2C">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lang w:eastAsia="zh-CN"/>
              </w:rPr>
            </w:pPr>
          </w:p>
        </w:tc>
        <w:tc>
          <w:tcPr>
            <w:tcW w:w="1411" w:type="dxa"/>
            <w:tcBorders>
              <w:top w:val="single" w:sz="4" w:space="0" w:color="auto"/>
              <w:left w:val="single" w:sz="4" w:space="0" w:color="auto"/>
              <w:bottom w:val="single" w:sz="4" w:space="0" w:color="auto"/>
              <w:right w:val="single" w:sz="4" w:space="0" w:color="auto"/>
            </w:tcBorders>
            <w:hideMark/>
          </w:tcPr>
          <w:p w:rsidR="00D66005" w:rsidRPr="00F77964" w:rsidRDefault="00205509" w:rsidP="00205509">
            <w:pPr>
              <w:pStyle w:val="Normal-pool"/>
              <w:keepNext/>
              <w:keepLines/>
              <w:spacing w:before="20" w:after="20"/>
              <w:rPr>
                <w:rFonts w:eastAsia="SimSun"/>
                <w:sz w:val="18"/>
                <w:szCs w:val="18"/>
                <w:lang w:eastAsia="zh-CN"/>
              </w:rPr>
            </w:pPr>
            <w:r w:rsidRPr="00F77964">
              <w:rPr>
                <w:rFonts w:eastAsia="SimSun"/>
                <w:sz w:val="18"/>
                <w:szCs w:val="18"/>
                <w:lang w:eastAsia="zh-CN"/>
              </w:rPr>
              <w:t>Premier trimestre</w:t>
            </w:r>
          </w:p>
        </w:tc>
        <w:tc>
          <w:tcPr>
            <w:tcW w:w="5920"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205509" w:rsidP="0097596F">
            <w:pPr>
              <w:pStyle w:val="Normal-pool"/>
              <w:keepNext/>
              <w:keepLines/>
              <w:spacing w:before="20" w:after="20"/>
              <w:rPr>
                <w:rFonts w:eastAsia="SimSun"/>
                <w:sz w:val="18"/>
                <w:szCs w:val="18"/>
                <w:lang w:eastAsia="zh-CN"/>
              </w:rPr>
            </w:pPr>
            <w:r w:rsidRPr="00F77964">
              <w:rPr>
                <w:rFonts w:eastAsia="SimSun"/>
                <w:sz w:val="18"/>
                <w:szCs w:val="18"/>
                <w:lang w:eastAsia="zh-CN"/>
              </w:rPr>
              <w:t xml:space="preserve">Sur la base de l’évaluation méthodologique, la Plénière demande au </w:t>
            </w:r>
            <w:r w:rsidR="00D402CB" w:rsidRPr="00F77964">
              <w:rPr>
                <w:rFonts w:eastAsia="SimSun"/>
                <w:sz w:val="18"/>
                <w:szCs w:val="18"/>
                <w:lang w:eastAsia="zh-CN"/>
              </w:rPr>
              <w:t>g</w:t>
            </w:r>
            <w:r w:rsidRPr="00F77964">
              <w:rPr>
                <w:rFonts w:eastAsia="SimSun"/>
                <w:sz w:val="18"/>
                <w:szCs w:val="18"/>
                <w:lang w:eastAsia="zh-CN"/>
              </w:rPr>
              <w:t>roupe d’experts de préparer</w:t>
            </w:r>
            <w:r w:rsidR="00A850DD">
              <w:rPr>
                <w:rFonts w:eastAsia="SimSun"/>
                <w:sz w:val="18"/>
                <w:szCs w:val="18"/>
                <w:lang w:eastAsia="zh-CN"/>
              </w:rPr>
              <w:t xml:space="preserve">, </w:t>
            </w:r>
            <w:r w:rsidR="00317F44">
              <w:rPr>
                <w:rFonts w:eastAsia="SimSun"/>
                <w:sz w:val="18"/>
                <w:szCs w:val="18"/>
                <w:lang w:eastAsia="zh-CN"/>
              </w:rPr>
              <w:t xml:space="preserve">en vue d’une parution </w:t>
            </w:r>
            <w:r w:rsidR="00A850DD">
              <w:rPr>
                <w:rFonts w:eastAsia="SimSun"/>
                <w:sz w:val="18"/>
                <w:szCs w:val="18"/>
                <w:lang w:eastAsia="zh-CN"/>
              </w:rPr>
              <w:t>en</w:t>
            </w:r>
            <w:r w:rsidR="00A850DD" w:rsidRPr="00F77964">
              <w:rPr>
                <w:rFonts w:eastAsia="SimSun"/>
                <w:sz w:val="18"/>
                <w:szCs w:val="18"/>
                <w:lang w:eastAsia="zh-CN"/>
              </w:rPr>
              <w:t xml:space="preserve"> août 2015</w:t>
            </w:r>
            <w:r w:rsidR="00317F44">
              <w:rPr>
                <w:rFonts w:eastAsia="SimSun"/>
                <w:sz w:val="18"/>
                <w:szCs w:val="18"/>
                <w:lang w:eastAsia="zh-CN"/>
              </w:rPr>
              <w:t xml:space="preserve"> au plus tard</w:t>
            </w:r>
            <w:r w:rsidR="00A850DD">
              <w:rPr>
                <w:rFonts w:eastAsia="SimSun"/>
                <w:sz w:val="18"/>
                <w:szCs w:val="18"/>
                <w:lang w:eastAsia="zh-CN"/>
              </w:rPr>
              <w:t>,</w:t>
            </w:r>
            <w:r w:rsidRPr="00F77964">
              <w:rPr>
                <w:rFonts w:eastAsia="SimSun"/>
                <w:sz w:val="18"/>
                <w:szCs w:val="18"/>
                <w:lang w:eastAsia="zh-CN"/>
              </w:rPr>
              <w:t xml:space="preserve"> un guide sur l’utilis</w:t>
            </w:r>
            <w:r w:rsidR="00AD5BCB">
              <w:rPr>
                <w:rFonts w:eastAsia="SimSun"/>
                <w:sz w:val="18"/>
                <w:szCs w:val="18"/>
                <w:lang w:eastAsia="zh-CN"/>
              </w:rPr>
              <w:t>ation de</w:t>
            </w:r>
            <w:r w:rsidRPr="00F77964">
              <w:rPr>
                <w:rFonts w:eastAsia="SimSun"/>
                <w:sz w:val="18"/>
                <w:szCs w:val="18"/>
                <w:lang w:eastAsia="zh-CN"/>
              </w:rPr>
              <w:t xml:space="preserve"> méthodes d’analyse</w:t>
            </w:r>
            <w:r w:rsidR="00D402CB" w:rsidRPr="00F77964">
              <w:rPr>
                <w:rFonts w:eastAsia="SimSun"/>
                <w:sz w:val="18"/>
                <w:szCs w:val="18"/>
                <w:lang w:eastAsia="zh-CN"/>
              </w:rPr>
              <w:t xml:space="preserve"> de scénario</w:t>
            </w:r>
            <w:r w:rsidR="00317F44">
              <w:rPr>
                <w:rFonts w:eastAsia="SimSun"/>
                <w:sz w:val="18"/>
                <w:szCs w:val="18"/>
                <w:lang w:eastAsia="zh-CN"/>
              </w:rPr>
              <w:t>s</w:t>
            </w:r>
            <w:r w:rsidRPr="00F77964">
              <w:rPr>
                <w:rFonts w:eastAsia="SimSun"/>
                <w:sz w:val="18"/>
                <w:szCs w:val="18"/>
                <w:lang w:eastAsia="zh-CN"/>
              </w:rPr>
              <w:t xml:space="preserve"> et de modélisation pour la </w:t>
            </w:r>
            <w:r w:rsidR="00D402CB" w:rsidRPr="00F77964">
              <w:rPr>
                <w:rFonts w:eastAsia="SimSun"/>
                <w:sz w:val="18"/>
                <w:szCs w:val="18"/>
                <w:lang w:eastAsia="zh-CN"/>
              </w:rPr>
              <w:t>réalisation</w:t>
            </w:r>
            <w:r w:rsidRPr="00F77964">
              <w:rPr>
                <w:rFonts w:eastAsia="SimSun"/>
                <w:sz w:val="18"/>
                <w:szCs w:val="18"/>
                <w:lang w:eastAsia="zh-CN"/>
              </w:rPr>
              <w:t xml:space="preserve"> des évaluations régionales/sous-régionales, mondiales ou thématiques </w:t>
            </w:r>
            <w:r w:rsidR="00A850DD">
              <w:rPr>
                <w:rFonts w:eastAsia="SimSun"/>
                <w:sz w:val="18"/>
                <w:szCs w:val="18"/>
                <w:lang w:eastAsia="zh-CN"/>
              </w:rPr>
              <w:t xml:space="preserve">sous l’égide </w:t>
            </w:r>
            <w:r w:rsidR="00D402CB" w:rsidRPr="00F77964">
              <w:rPr>
                <w:rFonts w:eastAsia="SimSun"/>
                <w:sz w:val="18"/>
                <w:szCs w:val="18"/>
                <w:lang w:eastAsia="zh-CN"/>
              </w:rPr>
              <w:t>de la P</w:t>
            </w:r>
            <w:r w:rsidRPr="00F77964">
              <w:rPr>
                <w:rFonts w:eastAsia="SimSun"/>
                <w:sz w:val="18"/>
                <w:szCs w:val="18"/>
                <w:lang w:eastAsia="zh-CN"/>
              </w:rPr>
              <w:t>lateforme</w:t>
            </w:r>
          </w:p>
        </w:tc>
      </w:tr>
      <w:tr w:rsidR="00693FD5" w:rsidRPr="0061490E" w:rsidTr="00467B2C">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lang w:eastAsia="zh-CN"/>
              </w:rPr>
            </w:pPr>
          </w:p>
        </w:tc>
        <w:tc>
          <w:tcPr>
            <w:tcW w:w="1411" w:type="dxa"/>
            <w:tcBorders>
              <w:top w:val="single" w:sz="4" w:space="0" w:color="auto"/>
              <w:left w:val="single" w:sz="4" w:space="0" w:color="auto"/>
              <w:bottom w:val="single" w:sz="4" w:space="0" w:color="auto"/>
              <w:right w:val="single" w:sz="4" w:space="0" w:color="auto"/>
            </w:tcBorders>
            <w:hideMark/>
          </w:tcPr>
          <w:p w:rsidR="00D66005" w:rsidRPr="00F77964" w:rsidRDefault="00693FD5" w:rsidP="00693FD5">
            <w:pPr>
              <w:pStyle w:val="Normal-pool"/>
              <w:keepNext/>
              <w:keepLines/>
              <w:spacing w:before="20" w:after="20"/>
              <w:rPr>
                <w:rFonts w:eastAsia="SimSun"/>
                <w:sz w:val="18"/>
                <w:szCs w:val="18"/>
                <w:lang w:eastAsia="zh-CN"/>
              </w:rPr>
            </w:pPr>
            <w:r w:rsidRPr="00F77964">
              <w:rPr>
                <w:rFonts w:eastAsia="SimSun"/>
                <w:sz w:val="18"/>
                <w:szCs w:val="18"/>
                <w:lang w:eastAsia="zh-CN"/>
              </w:rPr>
              <w:t>Premier trimestre</w:t>
            </w:r>
          </w:p>
        </w:tc>
        <w:tc>
          <w:tcPr>
            <w:tcW w:w="5920"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693FD5" w:rsidP="00317F44">
            <w:pPr>
              <w:pStyle w:val="Normal-pool"/>
              <w:keepNext/>
              <w:keepLines/>
              <w:spacing w:before="20" w:after="20"/>
              <w:rPr>
                <w:rFonts w:eastAsia="SimSun"/>
                <w:sz w:val="18"/>
                <w:szCs w:val="18"/>
                <w:lang w:eastAsia="zh-CN"/>
              </w:rPr>
            </w:pPr>
            <w:r w:rsidRPr="00F77964">
              <w:rPr>
                <w:rFonts w:eastAsia="SimSun"/>
                <w:sz w:val="18"/>
                <w:szCs w:val="18"/>
                <w:lang w:eastAsia="zh-CN"/>
              </w:rPr>
              <w:t>Sui</w:t>
            </w:r>
            <w:r w:rsidR="00BA3EAC" w:rsidRPr="00F77964">
              <w:rPr>
                <w:rFonts w:eastAsia="SimSun"/>
                <w:sz w:val="18"/>
                <w:szCs w:val="18"/>
                <w:lang w:eastAsia="zh-CN"/>
              </w:rPr>
              <w:t>te aux</w:t>
            </w:r>
            <w:r w:rsidRPr="00F77964">
              <w:rPr>
                <w:rFonts w:eastAsia="SimSun"/>
                <w:sz w:val="18"/>
                <w:szCs w:val="18"/>
                <w:lang w:eastAsia="zh-CN"/>
              </w:rPr>
              <w:t xml:space="preserve"> recommandations de l’évaluation méthodologique, la Plénière demande au </w:t>
            </w:r>
            <w:r w:rsidR="00D402CB" w:rsidRPr="00F77964">
              <w:rPr>
                <w:rFonts w:eastAsia="SimSun"/>
                <w:sz w:val="18"/>
                <w:szCs w:val="18"/>
                <w:lang w:eastAsia="zh-CN"/>
              </w:rPr>
              <w:t>g</w:t>
            </w:r>
            <w:r w:rsidRPr="00F77964">
              <w:rPr>
                <w:rFonts w:eastAsia="SimSun"/>
                <w:sz w:val="18"/>
                <w:szCs w:val="18"/>
                <w:lang w:eastAsia="zh-CN"/>
              </w:rPr>
              <w:t>roupe d’experts d</w:t>
            </w:r>
            <w:r w:rsidR="00317F44">
              <w:rPr>
                <w:rFonts w:eastAsia="SimSun"/>
                <w:sz w:val="18"/>
                <w:szCs w:val="18"/>
                <w:lang w:eastAsia="zh-CN"/>
              </w:rPr>
              <w:t>e promouvoir</w:t>
            </w:r>
            <w:r w:rsidR="00554A8B" w:rsidRPr="00F77964">
              <w:rPr>
                <w:rFonts w:eastAsia="SimSun"/>
                <w:sz w:val="18"/>
                <w:szCs w:val="18"/>
                <w:lang w:eastAsia="zh-CN"/>
              </w:rPr>
              <w:t xml:space="preserve"> </w:t>
            </w:r>
            <w:r w:rsidR="00BA3EAC" w:rsidRPr="00F77964">
              <w:rPr>
                <w:rFonts w:eastAsia="SimSun"/>
                <w:sz w:val="18"/>
                <w:szCs w:val="18"/>
                <w:lang w:eastAsia="zh-CN"/>
              </w:rPr>
              <w:t>et d</w:t>
            </w:r>
            <w:r w:rsidR="00554A8B" w:rsidRPr="00F77964">
              <w:rPr>
                <w:rFonts w:eastAsia="SimSun"/>
                <w:sz w:val="18"/>
                <w:szCs w:val="18"/>
                <w:lang w:eastAsia="zh-CN"/>
              </w:rPr>
              <w:t>e s</w:t>
            </w:r>
            <w:r w:rsidR="00317F44">
              <w:rPr>
                <w:rFonts w:eastAsia="SimSun"/>
                <w:sz w:val="18"/>
                <w:szCs w:val="18"/>
                <w:lang w:eastAsia="zh-CN"/>
              </w:rPr>
              <w:t>timule</w:t>
            </w:r>
            <w:r w:rsidR="00554A8B" w:rsidRPr="00F77964">
              <w:rPr>
                <w:rFonts w:eastAsia="SimSun"/>
                <w:sz w:val="18"/>
                <w:szCs w:val="18"/>
                <w:lang w:eastAsia="zh-CN"/>
              </w:rPr>
              <w:t>r</w:t>
            </w:r>
            <w:r w:rsidR="00BA3EAC" w:rsidRPr="00F77964">
              <w:rPr>
                <w:rFonts w:eastAsia="SimSun"/>
                <w:sz w:val="18"/>
                <w:szCs w:val="18"/>
                <w:lang w:eastAsia="zh-CN"/>
              </w:rPr>
              <w:t xml:space="preserve"> </w:t>
            </w:r>
            <w:r w:rsidR="00A72758" w:rsidRPr="00A72758">
              <w:rPr>
                <w:rFonts w:eastAsia="SimSun"/>
                <w:sz w:val="18"/>
                <w:szCs w:val="18"/>
                <w:lang w:eastAsia="zh-CN"/>
              </w:rPr>
              <w:t>la poursuite de la mise au point</w:t>
            </w:r>
            <w:r w:rsidR="00A72758">
              <w:rPr>
                <w:rFonts w:eastAsia="SimSun"/>
                <w:sz w:val="18"/>
                <w:szCs w:val="18"/>
                <w:lang w:eastAsia="zh-CN"/>
              </w:rPr>
              <w:t xml:space="preserve"> </w:t>
            </w:r>
            <w:r w:rsidR="00610A1B">
              <w:rPr>
                <w:rFonts w:eastAsia="SimSun"/>
                <w:sz w:val="18"/>
                <w:szCs w:val="18"/>
                <w:lang w:eastAsia="zh-CN"/>
              </w:rPr>
              <w:t>d’outils et de méthodes</w:t>
            </w:r>
            <w:r w:rsidRPr="00F77964">
              <w:rPr>
                <w:rFonts w:eastAsia="SimSun"/>
                <w:sz w:val="18"/>
                <w:szCs w:val="18"/>
                <w:lang w:eastAsia="zh-CN"/>
              </w:rPr>
              <w:t xml:space="preserve"> </w:t>
            </w:r>
            <w:r w:rsidR="00317F44">
              <w:rPr>
                <w:rFonts w:eastAsia="SimSun"/>
                <w:sz w:val="18"/>
                <w:szCs w:val="18"/>
                <w:lang w:eastAsia="zh-CN"/>
              </w:rPr>
              <w:t>d’</w:t>
            </w:r>
            <w:r w:rsidRPr="00F77964">
              <w:rPr>
                <w:rFonts w:eastAsia="SimSun"/>
                <w:sz w:val="18"/>
                <w:szCs w:val="18"/>
                <w:lang w:eastAsia="zh-CN"/>
              </w:rPr>
              <w:t>analyse</w:t>
            </w:r>
            <w:r w:rsidR="00D402CB" w:rsidRPr="00F77964">
              <w:rPr>
                <w:rFonts w:eastAsia="SimSun"/>
                <w:sz w:val="18"/>
                <w:szCs w:val="18"/>
                <w:lang w:eastAsia="zh-CN"/>
              </w:rPr>
              <w:t xml:space="preserve"> de scénario</w:t>
            </w:r>
            <w:r w:rsidR="00317F44">
              <w:rPr>
                <w:rFonts w:eastAsia="SimSun"/>
                <w:sz w:val="18"/>
                <w:szCs w:val="18"/>
                <w:lang w:eastAsia="zh-CN"/>
              </w:rPr>
              <w:t>s</w:t>
            </w:r>
            <w:r w:rsidR="00D402CB" w:rsidRPr="00F77964">
              <w:rPr>
                <w:rFonts w:eastAsia="SimSun"/>
                <w:sz w:val="18"/>
                <w:szCs w:val="18"/>
                <w:lang w:eastAsia="zh-CN"/>
              </w:rPr>
              <w:t xml:space="preserve"> et </w:t>
            </w:r>
            <w:r w:rsidR="00317F44">
              <w:rPr>
                <w:rFonts w:eastAsia="SimSun"/>
                <w:sz w:val="18"/>
                <w:szCs w:val="18"/>
                <w:lang w:eastAsia="zh-CN"/>
              </w:rPr>
              <w:t>de</w:t>
            </w:r>
            <w:r w:rsidRPr="00F77964">
              <w:rPr>
                <w:rFonts w:eastAsia="SimSun"/>
                <w:sz w:val="18"/>
                <w:szCs w:val="18"/>
                <w:lang w:eastAsia="zh-CN"/>
              </w:rPr>
              <w:t xml:space="preserve"> modélisation </w:t>
            </w:r>
            <w:r w:rsidR="00317F44">
              <w:rPr>
                <w:rFonts w:eastAsia="SimSun"/>
                <w:sz w:val="18"/>
                <w:szCs w:val="18"/>
                <w:lang w:eastAsia="zh-CN"/>
              </w:rPr>
              <w:t>pour</w:t>
            </w:r>
            <w:r w:rsidRPr="00F77964">
              <w:rPr>
                <w:rFonts w:eastAsia="SimSun"/>
                <w:sz w:val="18"/>
                <w:szCs w:val="18"/>
                <w:lang w:eastAsia="zh-CN"/>
              </w:rPr>
              <w:t xml:space="preserve"> la biodiversité et </w:t>
            </w:r>
            <w:r w:rsidR="00317F44">
              <w:rPr>
                <w:rFonts w:eastAsia="SimSun"/>
                <w:sz w:val="18"/>
                <w:szCs w:val="18"/>
                <w:lang w:eastAsia="zh-CN"/>
              </w:rPr>
              <w:t>l</w:t>
            </w:r>
            <w:r w:rsidRPr="00F77964">
              <w:rPr>
                <w:rFonts w:eastAsia="SimSun"/>
                <w:sz w:val="18"/>
                <w:szCs w:val="18"/>
                <w:lang w:eastAsia="zh-CN"/>
              </w:rPr>
              <w:t>es services écosystémiques</w:t>
            </w:r>
            <w:r w:rsidR="00D402CB" w:rsidRPr="00F77964">
              <w:rPr>
                <w:rFonts w:eastAsia="SimSun"/>
                <w:sz w:val="18"/>
                <w:szCs w:val="18"/>
                <w:lang w:eastAsia="zh-CN"/>
              </w:rPr>
              <w:t xml:space="preserve"> -</w:t>
            </w:r>
            <w:r w:rsidRPr="00F77964">
              <w:rPr>
                <w:rFonts w:eastAsia="SimSun"/>
                <w:sz w:val="18"/>
                <w:szCs w:val="18"/>
                <w:lang w:eastAsia="zh-CN"/>
              </w:rPr>
              <w:t xml:space="preserve"> pour approbation en 2017</w:t>
            </w:r>
          </w:p>
        </w:tc>
      </w:tr>
      <w:tr w:rsidR="00693FD5" w:rsidRPr="0061490E" w:rsidTr="00467B2C">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lang w:eastAsia="zh-CN"/>
              </w:rPr>
            </w:pPr>
          </w:p>
        </w:tc>
        <w:tc>
          <w:tcPr>
            <w:tcW w:w="1411" w:type="dxa"/>
            <w:tcBorders>
              <w:top w:val="single" w:sz="4" w:space="0" w:color="auto"/>
              <w:left w:val="single" w:sz="4" w:space="0" w:color="auto"/>
              <w:bottom w:val="single" w:sz="4" w:space="0" w:color="auto"/>
              <w:right w:val="single" w:sz="4" w:space="0" w:color="auto"/>
            </w:tcBorders>
            <w:hideMark/>
          </w:tcPr>
          <w:p w:rsidR="00D66005" w:rsidRPr="00F77964" w:rsidRDefault="00693FD5" w:rsidP="00693FD5">
            <w:pPr>
              <w:pStyle w:val="Normal-pool"/>
              <w:keepNext/>
              <w:keepLines/>
              <w:spacing w:before="20" w:after="20"/>
              <w:rPr>
                <w:rFonts w:eastAsia="SimSun"/>
                <w:sz w:val="18"/>
                <w:szCs w:val="18"/>
                <w:lang w:eastAsia="zh-CN"/>
              </w:rPr>
            </w:pPr>
            <w:r w:rsidRPr="00F77964">
              <w:rPr>
                <w:rFonts w:eastAsia="SimSun"/>
                <w:sz w:val="18"/>
                <w:szCs w:val="18"/>
                <w:lang w:eastAsia="zh-CN"/>
              </w:rPr>
              <w:t>Deuxième</w:t>
            </w:r>
            <w:r w:rsidR="00D66005" w:rsidRPr="00F77964">
              <w:rPr>
                <w:rFonts w:eastAsia="SimSun"/>
                <w:sz w:val="18"/>
                <w:szCs w:val="18"/>
                <w:lang w:eastAsia="zh-CN"/>
              </w:rPr>
              <w:t>/</w:t>
            </w:r>
            <w:r w:rsidRPr="00F77964">
              <w:rPr>
                <w:rFonts w:eastAsia="SimSun"/>
                <w:sz w:val="18"/>
                <w:szCs w:val="18"/>
                <w:lang w:eastAsia="zh-CN"/>
              </w:rPr>
              <w:t xml:space="preserve"> troisième trimestres</w:t>
            </w:r>
          </w:p>
        </w:tc>
        <w:tc>
          <w:tcPr>
            <w:tcW w:w="5920"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693FD5" w:rsidP="002451A2">
            <w:pPr>
              <w:pStyle w:val="Normal-pool"/>
              <w:keepNext/>
              <w:keepLines/>
              <w:spacing w:before="20" w:after="20"/>
              <w:rPr>
                <w:rFonts w:eastAsia="SimSun"/>
                <w:sz w:val="18"/>
                <w:szCs w:val="18"/>
                <w:lang w:eastAsia="zh-CN"/>
              </w:rPr>
            </w:pPr>
            <w:r w:rsidRPr="00F77964">
              <w:rPr>
                <w:rFonts w:eastAsia="SimSun"/>
                <w:sz w:val="18"/>
                <w:szCs w:val="18"/>
                <w:lang w:eastAsia="zh-CN"/>
              </w:rPr>
              <w:t xml:space="preserve">Sur la base de l’évaluation méthodologique, le </w:t>
            </w:r>
            <w:r w:rsidR="00BA3EAC" w:rsidRPr="00F77964">
              <w:rPr>
                <w:rFonts w:eastAsia="SimSun"/>
                <w:sz w:val="18"/>
                <w:szCs w:val="18"/>
                <w:lang w:eastAsia="zh-CN"/>
              </w:rPr>
              <w:t>g</w:t>
            </w:r>
            <w:r w:rsidRPr="00F77964">
              <w:rPr>
                <w:rFonts w:eastAsia="SimSun"/>
                <w:sz w:val="18"/>
                <w:szCs w:val="18"/>
                <w:lang w:eastAsia="zh-CN"/>
              </w:rPr>
              <w:t xml:space="preserve">roupe d’experts établit un guide sur la façon d’utiliser les méthodes d’analyse </w:t>
            </w:r>
            <w:r w:rsidR="00BA3EAC" w:rsidRPr="00F77964">
              <w:rPr>
                <w:rFonts w:eastAsia="SimSun"/>
                <w:sz w:val="18"/>
                <w:szCs w:val="18"/>
                <w:lang w:eastAsia="zh-CN"/>
              </w:rPr>
              <w:t>de scénario</w:t>
            </w:r>
            <w:r w:rsidR="00317F44">
              <w:rPr>
                <w:rFonts w:eastAsia="SimSun"/>
                <w:sz w:val="18"/>
                <w:szCs w:val="18"/>
                <w:lang w:eastAsia="zh-CN"/>
              </w:rPr>
              <w:t>s</w:t>
            </w:r>
            <w:r w:rsidR="00BA3EAC" w:rsidRPr="00F77964">
              <w:rPr>
                <w:rFonts w:eastAsia="SimSun"/>
                <w:sz w:val="18"/>
                <w:szCs w:val="18"/>
                <w:lang w:eastAsia="zh-CN"/>
              </w:rPr>
              <w:t xml:space="preserve"> </w:t>
            </w:r>
            <w:r w:rsidRPr="00F77964">
              <w:rPr>
                <w:rFonts w:eastAsia="SimSun"/>
                <w:sz w:val="18"/>
                <w:szCs w:val="18"/>
                <w:lang w:eastAsia="zh-CN"/>
              </w:rPr>
              <w:t xml:space="preserve">et de modélisation </w:t>
            </w:r>
            <w:r w:rsidR="00BA3EAC" w:rsidRPr="00F77964">
              <w:rPr>
                <w:rFonts w:eastAsia="SimSun"/>
                <w:sz w:val="18"/>
                <w:szCs w:val="18"/>
                <w:lang w:eastAsia="zh-CN"/>
              </w:rPr>
              <w:t xml:space="preserve">pour la réalisation </w:t>
            </w:r>
            <w:r w:rsidRPr="00F77964">
              <w:rPr>
                <w:rFonts w:eastAsia="SimSun"/>
                <w:sz w:val="18"/>
                <w:szCs w:val="18"/>
                <w:lang w:eastAsia="zh-CN"/>
              </w:rPr>
              <w:t xml:space="preserve">des évaluations régionales/sous-régionales, mondiales ou thématiques </w:t>
            </w:r>
            <w:r w:rsidR="00AD5BCB">
              <w:rPr>
                <w:rFonts w:eastAsia="SimSun"/>
                <w:sz w:val="18"/>
                <w:szCs w:val="18"/>
                <w:lang w:eastAsia="zh-CN"/>
              </w:rPr>
              <w:t xml:space="preserve">sous l’égide </w:t>
            </w:r>
            <w:r w:rsidRPr="00F77964">
              <w:rPr>
                <w:rFonts w:eastAsia="SimSun"/>
                <w:sz w:val="18"/>
                <w:szCs w:val="18"/>
                <w:lang w:eastAsia="zh-CN"/>
              </w:rPr>
              <w:t xml:space="preserve">de la </w:t>
            </w:r>
            <w:r w:rsidR="00BA3EAC" w:rsidRPr="00F77964">
              <w:rPr>
                <w:rFonts w:eastAsia="SimSun"/>
                <w:sz w:val="18"/>
                <w:szCs w:val="18"/>
                <w:lang w:eastAsia="zh-CN"/>
              </w:rPr>
              <w:t>P</w:t>
            </w:r>
            <w:r w:rsidRPr="00F77964">
              <w:rPr>
                <w:rFonts w:eastAsia="SimSun"/>
                <w:sz w:val="18"/>
                <w:szCs w:val="18"/>
                <w:lang w:eastAsia="zh-CN"/>
              </w:rPr>
              <w:t>lateforme</w:t>
            </w:r>
          </w:p>
        </w:tc>
      </w:tr>
      <w:tr w:rsidR="00693FD5" w:rsidRPr="0061490E" w:rsidTr="00467B2C">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6005" w:rsidRPr="0061490E" w:rsidRDefault="00D66005">
            <w:pPr>
              <w:rPr>
                <w:rFonts w:eastAsia="SimSun"/>
                <w:lang w:eastAsia="zh-CN"/>
              </w:rPr>
            </w:pPr>
          </w:p>
        </w:tc>
        <w:tc>
          <w:tcPr>
            <w:tcW w:w="1411" w:type="dxa"/>
            <w:tcBorders>
              <w:top w:val="single" w:sz="4" w:space="0" w:color="auto"/>
              <w:left w:val="single" w:sz="4" w:space="0" w:color="auto"/>
              <w:bottom w:val="single" w:sz="4" w:space="0" w:color="auto"/>
              <w:right w:val="single" w:sz="4" w:space="0" w:color="auto"/>
            </w:tcBorders>
            <w:hideMark/>
          </w:tcPr>
          <w:p w:rsidR="00D66005" w:rsidRPr="00F77964" w:rsidRDefault="00693FD5" w:rsidP="00693FD5">
            <w:pPr>
              <w:pStyle w:val="Normal-pool"/>
              <w:keepNext/>
              <w:keepLines/>
              <w:spacing w:before="20" w:after="20"/>
              <w:rPr>
                <w:rFonts w:eastAsia="SimSun"/>
                <w:sz w:val="18"/>
                <w:szCs w:val="18"/>
                <w:lang w:eastAsia="zh-CN"/>
              </w:rPr>
            </w:pPr>
            <w:r w:rsidRPr="00F77964">
              <w:rPr>
                <w:rFonts w:eastAsia="SimSun"/>
                <w:sz w:val="18"/>
                <w:szCs w:val="18"/>
                <w:lang w:eastAsia="zh-CN"/>
              </w:rPr>
              <w:t>Deuxième</w:t>
            </w:r>
            <w:r w:rsidR="00D66005" w:rsidRPr="00F77964">
              <w:rPr>
                <w:rFonts w:eastAsia="SimSun"/>
                <w:sz w:val="18"/>
                <w:szCs w:val="18"/>
                <w:lang w:eastAsia="zh-CN"/>
              </w:rPr>
              <w:t>/</w:t>
            </w:r>
            <w:r w:rsidRPr="00F77964">
              <w:rPr>
                <w:rFonts w:eastAsia="SimSun"/>
                <w:sz w:val="18"/>
                <w:szCs w:val="18"/>
                <w:lang w:eastAsia="zh-CN"/>
              </w:rPr>
              <w:t xml:space="preserve"> troisième</w:t>
            </w:r>
            <w:r w:rsidR="00D66005" w:rsidRPr="00F77964">
              <w:rPr>
                <w:rFonts w:eastAsia="SimSun"/>
                <w:sz w:val="18"/>
                <w:szCs w:val="18"/>
                <w:lang w:eastAsia="zh-CN"/>
              </w:rPr>
              <w:t xml:space="preserve">/ </w:t>
            </w:r>
            <w:r w:rsidRPr="00F77964">
              <w:rPr>
                <w:rFonts w:eastAsia="SimSun"/>
                <w:sz w:val="18"/>
                <w:szCs w:val="18"/>
                <w:lang w:eastAsia="zh-CN"/>
              </w:rPr>
              <w:t>quatrième trimestres</w:t>
            </w:r>
          </w:p>
        </w:tc>
        <w:tc>
          <w:tcPr>
            <w:tcW w:w="5920" w:type="dxa"/>
            <w:tcBorders>
              <w:top w:val="single" w:sz="4" w:space="0" w:color="auto"/>
              <w:left w:val="single" w:sz="4" w:space="0" w:color="auto"/>
              <w:bottom w:val="single" w:sz="4" w:space="0" w:color="auto"/>
              <w:right w:val="single" w:sz="4" w:space="0" w:color="auto"/>
            </w:tcBorders>
            <w:vAlign w:val="center"/>
            <w:hideMark/>
          </w:tcPr>
          <w:p w:rsidR="00D66005" w:rsidRPr="00F77964" w:rsidRDefault="00693FD5" w:rsidP="00A72758">
            <w:pPr>
              <w:pStyle w:val="Normal-pool"/>
              <w:keepNext/>
              <w:keepLines/>
              <w:spacing w:before="20" w:after="20"/>
              <w:rPr>
                <w:rFonts w:eastAsia="SimSun"/>
                <w:sz w:val="18"/>
                <w:szCs w:val="18"/>
                <w:lang w:eastAsia="zh-CN"/>
              </w:rPr>
            </w:pPr>
            <w:r w:rsidRPr="00F77964">
              <w:rPr>
                <w:rFonts w:eastAsia="SimSun"/>
                <w:sz w:val="18"/>
                <w:szCs w:val="18"/>
                <w:lang w:eastAsia="zh-CN"/>
              </w:rPr>
              <w:t xml:space="preserve">Suite aux recommandations de l’évaluation méthodologique, le </w:t>
            </w:r>
            <w:r w:rsidR="00554A8B" w:rsidRPr="00F77964">
              <w:rPr>
                <w:rFonts w:eastAsia="SimSun"/>
                <w:sz w:val="18"/>
                <w:szCs w:val="18"/>
                <w:lang w:eastAsia="zh-CN"/>
              </w:rPr>
              <w:t>g</w:t>
            </w:r>
            <w:r w:rsidRPr="00F77964">
              <w:rPr>
                <w:rFonts w:eastAsia="SimSun"/>
                <w:sz w:val="18"/>
                <w:szCs w:val="18"/>
                <w:lang w:eastAsia="zh-CN"/>
              </w:rPr>
              <w:t xml:space="preserve">roupe d’experts encourage et </w:t>
            </w:r>
            <w:r w:rsidR="00A72758">
              <w:rPr>
                <w:rFonts w:eastAsia="SimSun"/>
                <w:sz w:val="18"/>
                <w:szCs w:val="18"/>
                <w:lang w:eastAsia="zh-CN"/>
              </w:rPr>
              <w:t>stimul</w:t>
            </w:r>
            <w:r w:rsidR="00AD5BCB">
              <w:rPr>
                <w:rFonts w:eastAsia="SimSun"/>
                <w:sz w:val="18"/>
                <w:szCs w:val="18"/>
                <w:lang w:eastAsia="zh-CN"/>
              </w:rPr>
              <w:t xml:space="preserve">e </w:t>
            </w:r>
            <w:r w:rsidR="00A72758" w:rsidRPr="00A72758">
              <w:rPr>
                <w:rFonts w:eastAsia="SimSun"/>
                <w:sz w:val="18"/>
                <w:szCs w:val="18"/>
                <w:lang w:eastAsia="zh-CN"/>
              </w:rPr>
              <w:t>la poursuite de la mise au point</w:t>
            </w:r>
            <w:r w:rsidR="00610A1B">
              <w:rPr>
                <w:rFonts w:eastAsia="SimSun"/>
                <w:sz w:val="18"/>
                <w:szCs w:val="18"/>
                <w:lang w:eastAsia="zh-CN"/>
              </w:rPr>
              <w:t>d’outils et de méthodes</w:t>
            </w:r>
            <w:r w:rsidRPr="00F77964">
              <w:rPr>
                <w:rFonts w:eastAsia="SimSun"/>
                <w:sz w:val="18"/>
                <w:szCs w:val="18"/>
                <w:lang w:eastAsia="zh-CN"/>
              </w:rPr>
              <w:t xml:space="preserve"> </w:t>
            </w:r>
            <w:r w:rsidR="00AD5BCB">
              <w:rPr>
                <w:rFonts w:eastAsia="SimSun"/>
                <w:sz w:val="18"/>
                <w:szCs w:val="18"/>
                <w:lang w:eastAsia="zh-CN"/>
              </w:rPr>
              <w:t>d’</w:t>
            </w:r>
            <w:r w:rsidRPr="00F77964">
              <w:rPr>
                <w:rFonts w:eastAsia="SimSun"/>
                <w:sz w:val="18"/>
                <w:szCs w:val="18"/>
                <w:lang w:eastAsia="zh-CN"/>
              </w:rPr>
              <w:t>analyse</w:t>
            </w:r>
            <w:r w:rsidR="00554A8B" w:rsidRPr="00F77964">
              <w:rPr>
                <w:rFonts w:eastAsia="SimSun"/>
                <w:sz w:val="18"/>
                <w:szCs w:val="18"/>
                <w:lang w:eastAsia="zh-CN"/>
              </w:rPr>
              <w:t xml:space="preserve"> de scénario</w:t>
            </w:r>
            <w:r w:rsidR="00AD5BCB">
              <w:rPr>
                <w:rFonts w:eastAsia="SimSun"/>
                <w:sz w:val="18"/>
                <w:szCs w:val="18"/>
                <w:lang w:eastAsia="zh-CN"/>
              </w:rPr>
              <w:t>s</w:t>
            </w:r>
            <w:r w:rsidRPr="00F77964">
              <w:rPr>
                <w:rFonts w:eastAsia="SimSun"/>
                <w:sz w:val="18"/>
                <w:szCs w:val="18"/>
                <w:lang w:eastAsia="zh-CN"/>
              </w:rPr>
              <w:t xml:space="preserve"> et </w:t>
            </w:r>
            <w:r w:rsidR="00AD5BCB">
              <w:rPr>
                <w:rFonts w:eastAsia="SimSun"/>
                <w:sz w:val="18"/>
                <w:szCs w:val="18"/>
                <w:lang w:eastAsia="zh-CN"/>
              </w:rPr>
              <w:t>de</w:t>
            </w:r>
            <w:r w:rsidRPr="00F77964">
              <w:rPr>
                <w:rFonts w:eastAsia="SimSun"/>
                <w:sz w:val="18"/>
                <w:szCs w:val="18"/>
                <w:lang w:eastAsia="zh-CN"/>
              </w:rPr>
              <w:t xml:space="preserve"> modélisation </w:t>
            </w:r>
            <w:r w:rsidR="00AD5BCB">
              <w:rPr>
                <w:rFonts w:eastAsia="SimSun"/>
                <w:sz w:val="18"/>
                <w:szCs w:val="18"/>
                <w:lang w:eastAsia="zh-CN"/>
              </w:rPr>
              <w:t>pour</w:t>
            </w:r>
            <w:r w:rsidRPr="00F77964">
              <w:rPr>
                <w:rFonts w:eastAsia="SimSun"/>
                <w:sz w:val="18"/>
                <w:szCs w:val="18"/>
                <w:lang w:eastAsia="zh-CN"/>
              </w:rPr>
              <w:t xml:space="preserve"> la biodiversité et </w:t>
            </w:r>
            <w:r w:rsidR="00AD5BCB">
              <w:rPr>
                <w:rFonts w:eastAsia="SimSun"/>
                <w:sz w:val="18"/>
                <w:szCs w:val="18"/>
                <w:lang w:eastAsia="zh-CN"/>
              </w:rPr>
              <w:t>l</w:t>
            </w:r>
            <w:r w:rsidRPr="00F77964">
              <w:rPr>
                <w:rFonts w:eastAsia="SimSun"/>
                <w:sz w:val="18"/>
                <w:szCs w:val="18"/>
                <w:lang w:eastAsia="zh-CN"/>
              </w:rPr>
              <w:t>es services écosyst</w:t>
            </w:r>
            <w:r w:rsidR="00554A8B" w:rsidRPr="00F77964">
              <w:rPr>
                <w:rFonts w:eastAsia="SimSun"/>
                <w:sz w:val="18"/>
                <w:szCs w:val="18"/>
                <w:lang w:eastAsia="zh-CN"/>
              </w:rPr>
              <w:t>é</w:t>
            </w:r>
            <w:r w:rsidRPr="00F77964">
              <w:rPr>
                <w:rFonts w:eastAsia="SimSun"/>
                <w:sz w:val="18"/>
                <w:szCs w:val="18"/>
                <w:lang w:eastAsia="zh-CN"/>
              </w:rPr>
              <w:t>miques</w:t>
            </w:r>
            <w:r w:rsidR="00554A8B" w:rsidRPr="00F77964">
              <w:rPr>
                <w:rFonts w:eastAsia="SimSun"/>
                <w:sz w:val="18"/>
                <w:szCs w:val="18"/>
                <w:lang w:eastAsia="zh-CN"/>
              </w:rPr>
              <w:t xml:space="preserve"> -</w:t>
            </w:r>
            <w:r w:rsidRPr="00F77964">
              <w:rPr>
                <w:rFonts w:eastAsia="SimSun"/>
                <w:sz w:val="18"/>
                <w:szCs w:val="18"/>
                <w:lang w:eastAsia="zh-CN"/>
              </w:rPr>
              <w:t xml:space="preserve"> pour approbation en</w:t>
            </w:r>
            <w:r w:rsidR="00D66005" w:rsidRPr="00F77964">
              <w:rPr>
                <w:rFonts w:eastAsia="SimSun"/>
                <w:sz w:val="18"/>
                <w:szCs w:val="18"/>
                <w:lang w:eastAsia="zh-CN"/>
              </w:rPr>
              <w:t xml:space="preserve"> 2017</w:t>
            </w:r>
          </w:p>
        </w:tc>
      </w:tr>
      <w:tr w:rsidR="00467B2C" w:rsidRPr="0061490E" w:rsidTr="00467B2C">
        <w:trPr>
          <w:trHeight w:val="631"/>
        </w:trPr>
        <w:tc>
          <w:tcPr>
            <w:tcW w:w="663" w:type="dxa"/>
            <w:tcBorders>
              <w:top w:val="single" w:sz="4" w:space="0" w:color="auto"/>
              <w:left w:val="single" w:sz="4" w:space="0" w:color="auto"/>
              <w:bottom w:val="single" w:sz="4" w:space="0" w:color="auto"/>
              <w:right w:val="single" w:sz="4" w:space="0" w:color="auto"/>
            </w:tcBorders>
            <w:hideMark/>
          </w:tcPr>
          <w:p w:rsidR="00467B2C" w:rsidRPr="00F77964" w:rsidRDefault="00467B2C">
            <w:pPr>
              <w:keepLines/>
              <w:tabs>
                <w:tab w:val="left" w:pos="426"/>
                <w:tab w:val="num" w:pos="1353"/>
              </w:tabs>
              <w:autoSpaceDE w:val="0"/>
              <w:autoSpaceDN w:val="0"/>
              <w:adjustRightInd w:val="0"/>
              <w:spacing w:before="20" w:after="20"/>
              <w:rPr>
                <w:rFonts w:ascii="Times New Roman" w:eastAsia="SimSun" w:hAnsi="Times New Roman"/>
                <w:sz w:val="18"/>
                <w:szCs w:val="18"/>
                <w:lang w:eastAsia="zh-CN"/>
              </w:rPr>
            </w:pPr>
            <w:r w:rsidRPr="00F77964">
              <w:rPr>
                <w:rFonts w:ascii="Times New Roman" w:eastAsia="SimSun" w:hAnsi="Times New Roman"/>
                <w:sz w:val="18"/>
                <w:szCs w:val="18"/>
                <w:lang w:eastAsia="zh-CN"/>
              </w:rPr>
              <w:t>2016</w:t>
            </w:r>
          </w:p>
        </w:tc>
        <w:tc>
          <w:tcPr>
            <w:tcW w:w="1411" w:type="dxa"/>
            <w:tcBorders>
              <w:top w:val="single" w:sz="4" w:space="0" w:color="auto"/>
              <w:left w:val="single" w:sz="4" w:space="0" w:color="auto"/>
              <w:bottom w:val="single" w:sz="4" w:space="0" w:color="auto"/>
              <w:right w:val="single" w:sz="4" w:space="0" w:color="auto"/>
            </w:tcBorders>
            <w:hideMark/>
          </w:tcPr>
          <w:p w:rsidR="00467B2C" w:rsidRPr="00F77964" w:rsidRDefault="00AD5BCB" w:rsidP="00272882">
            <w:pPr>
              <w:pStyle w:val="Normal-pool"/>
              <w:keepNext/>
              <w:keepLines/>
              <w:spacing w:before="20" w:after="20"/>
              <w:rPr>
                <w:rFonts w:eastAsia="SimSun"/>
                <w:sz w:val="18"/>
                <w:szCs w:val="18"/>
                <w:lang w:eastAsia="zh-CN"/>
              </w:rPr>
            </w:pPr>
            <w:r>
              <w:rPr>
                <w:rFonts w:eastAsia="SimSun"/>
                <w:sz w:val="18"/>
                <w:szCs w:val="18"/>
                <w:lang w:eastAsia="zh-CN"/>
              </w:rPr>
              <w:t>Premier/ d</w:t>
            </w:r>
            <w:r w:rsidR="00467B2C" w:rsidRPr="00F77964">
              <w:rPr>
                <w:rFonts w:eastAsia="SimSun"/>
                <w:sz w:val="18"/>
                <w:szCs w:val="18"/>
                <w:lang w:eastAsia="zh-CN"/>
              </w:rPr>
              <w:t>euxième/ troisième/ quatrième trimestres</w:t>
            </w:r>
          </w:p>
        </w:tc>
        <w:tc>
          <w:tcPr>
            <w:tcW w:w="5920" w:type="dxa"/>
            <w:tcBorders>
              <w:top w:val="single" w:sz="4" w:space="0" w:color="auto"/>
              <w:left w:val="single" w:sz="4" w:space="0" w:color="auto"/>
              <w:bottom w:val="single" w:sz="4" w:space="0" w:color="auto"/>
              <w:right w:val="single" w:sz="4" w:space="0" w:color="auto"/>
            </w:tcBorders>
            <w:vAlign w:val="center"/>
            <w:hideMark/>
          </w:tcPr>
          <w:p w:rsidR="00467B2C" w:rsidRPr="00F77964" w:rsidRDefault="00467B2C" w:rsidP="00A72758">
            <w:pPr>
              <w:pStyle w:val="Normal-pool"/>
              <w:keepNext/>
              <w:keepLines/>
              <w:spacing w:before="20" w:after="20"/>
              <w:rPr>
                <w:rFonts w:eastAsia="SimSun"/>
                <w:sz w:val="18"/>
                <w:szCs w:val="18"/>
                <w:lang w:eastAsia="zh-CN"/>
              </w:rPr>
            </w:pPr>
            <w:r w:rsidRPr="00F77964">
              <w:rPr>
                <w:rFonts w:eastAsia="SimSun"/>
                <w:sz w:val="18"/>
                <w:szCs w:val="18"/>
                <w:lang w:eastAsia="zh-CN"/>
              </w:rPr>
              <w:t xml:space="preserve">Suite aux recommandations de l’évaluation méthodologique, le </w:t>
            </w:r>
            <w:r w:rsidR="00554A8B" w:rsidRPr="00F77964">
              <w:rPr>
                <w:rFonts w:eastAsia="SimSun"/>
                <w:sz w:val="18"/>
                <w:szCs w:val="18"/>
                <w:lang w:eastAsia="zh-CN"/>
              </w:rPr>
              <w:t>g</w:t>
            </w:r>
            <w:r w:rsidRPr="00F77964">
              <w:rPr>
                <w:rFonts w:eastAsia="SimSun"/>
                <w:sz w:val="18"/>
                <w:szCs w:val="18"/>
                <w:lang w:eastAsia="zh-CN"/>
              </w:rPr>
              <w:t xml:space="preserve">roupe d’experts encourage et </w:t>
            </w:r>
            <w:r w:rsidR="00A72758">
              <w:rPr>
                <w:rFonts w:eastAsia="SimSun"/>
                <w:sz w:val="18"/>
                <w:szCs w:val="18"/>
                <w:lang w:eastAsia="zh-CN"/>
              </w:rPr>
              <w:t xml:space="preserve">stimule </w:t>
            </w:r>
            <w:r w:rsidR="00A72758" w:rsidRPr="00A72758">
              <w:rPr>
                <w:rFonts w:eastAsia="SimSun"/>
                <w:sz w:val="18"/>
                <w:szCs w:val="18"/>
                <w:lang w:eastAsia="zh-CN"/>
              </w:rPr>
              <w:t>la poursuite de la mise au point</w:t>
            </w:r>
            <w:r w:rsidR="00AD5BCB" w:rsidRPr="00F77964">
              <w:rPr>
                <w:rFonts w:eastAsia="SimSun"/>
                <w:sz w:val="18"/>
                <w:szCs w:val="18"/>
                <w:lang w:eastAsia="zh-CN"/>
              </w:rPr>
              <w:t xml:space="preserve"> </w:t>
            </w:r>
            <w:r w:rsidR="00610A1B">
              <w:rPr>
                <w:rFonts w:eastAsia="SimSun"/>
                <w:sz w:val="18"/>
                <w:szCs w:val="18"/>
                <w:lang w:eastAsia="zh-CN"/>
              </w:rPr>
              <w:t>d’outils et de méthodes</w:t>
            </w:r>
            <w:r w:rsidR="00AD5BCB" w:rsidRPr="00F77964">
              <w:rPr>
                <w:rFonts w:eastAsia="SimSun"/>
                <w:sz w:val="18"/>
                <w:szCs w:val="18"/>
                <w:lang w:eastAsia="zh-CN"/>
              </w:rPr>
              <w:t xml:space="preserve"> </w:t>
            </w:r>
            <w:r w:rsidR="00AD5BCB">
              <w:rPr>
                <w:rFonts w:eastAsia="SimSun"/>
                <w:sz w:val="18"/>
                <w:szCs w:val="18"/>
                <w:lang w:eastAsia="zh-CN"/>
              </w:rPr>
              <w:t>d’</w:t>
            </w:r>
            <w:r w:rsidR="00AD5BCB" w:rsidRPr="00F77964">
              <w:rPr>
                <w:rFonts w:eastAsia="SimSun"/>
                <w:sz w:val="18"/>
                <w:szCs w:val="18"/>
                <w:lang w:eastAsia="zh-CN"/>
              </w:rPr>
              <w:t>analyse de scénario</w:t>
            </w:r>
            <w:r w:rsidR="00AD5BCB">
              <w:rPr>
                <w:rFonts w:eastAsia="SimSun"/>
                <w:sz w:val="18"/>
                <w:szCs w:val="18"/>
                <w:lang w:eastAsia="zh-CN"/>
              </w:rPr>
              <w:t>s</w:t>
            </w:r>
            <w:r w:rsidR="00AD5BCB" w:rsidRPr="00F77964">
              <w:rPr>
                <w:rFonts w:eastAsia="SimSun"/>
                <w:sz w:val="18"/>
                <w:szCs w:val="18"/>
                <w:lang w:eastAsia="zh-CN"/>
              </w:rPr>
              <w:t xml:space="preserve"> et </w:t>
            </w:r>
            <w:r w:rsidR="00AD5BCB">
              <w:rPr>
                <w:rFonts w:eastAsia="SimSun"/>
                <w:sz w:val="18"/>
                <w:szCs w:val="18"/>
                <w:lang w:eastAsia="zh-CN"/>
              </w:rPr>
              <w:t>de</w:t>
            </w:r>
            <w:r w:rsidR="00AD5BCB" w:rsidRPr="00F77964">
              <w:rPr>
                <w:rFonts w:eastAsia="SimSun"/>
                <w:sz w:val="18"/>
                <w:szCs w:val="18"/>
                <w:lang w:eastAsia="zh-CN"/>
              </w:rPr>
              <w:t xml:space="preserve"> modélisation </w:t>
            </w:r>
            <w:r w:rsidR="00AD5BCB">
              <w:rPr>
                <w:rFonts w:eastAsia="SimSun"/>
                <w:sz w:val="18"/>
                <w:szCs w:val="18"/>
                <w:lang w:eastAsia="zh-CN"/>
              </w:rPr>
              <w:t>pour</w:t>
            </w:r>
            <w:r w:rsidR="00AD5BCB" w:rsidRPr="00F77964">
              <w:rPr>
                <w:rFonts w:eastAsia="SimSun"/>
                <w:sz w:val="18"/>
                <w:szCs w:val="18"/>
                <w:lang w:eastAsia="zh-CN"/>
              </w:rPr>
              <w:t xml:space="preserve"> la biodiversité et </w:t>
            </w:r>
            <w:r w:rsidR="00AD5BCB">
              <w:rPr>
                <w:rFonts w:eastAsia="SimSun"/>
                <w:sz w:val="18"/>
                <w:szCs w:val="18"/>
                <w:lang w:eastAsia="zh-CN"/>
              </w:rPr>
              <w:t>l</w:t>
            </w:r>
            <w:r w:rsidR="00AD5BCB" w:rsidRPr="00F77964">
              <w:rPr>
                <w:rFonts w:eastAsia="SimSun"/>
                <w:sz w:val="18"/>
                <w:szCs w:val="18"/>
                <w:lang w:eastAsia="zh-CN"/>
              </w:rPr>
              <w:t>es services écosystémiques</w:t>
            </w:r>
            <w:r w:rsidR="00554A8B" w:rsidRPr="00F77964">
              <w:rPr>
                <w:rFonts w:eastAsia="SimSun"/>
                <w:sz w:val="18"/>
                <w:szCs w:val="18"/>
                <w:lang w:eastAsia="zh-CN"/>
              </w:rPr>
              <w:t xml:space="preserve"> -</w:t>
            </w:r>
            <w:r w:rsidRPr="00F77964">
              <w:rPr>
                <w:rFonts w:eastAsia="SimSun"/>
                <w:sz w:val="18"/>
                <w:szCs w:val="18"/>
                <w:lang w:eastAsia="zh-CN"/>
              </w:rPr>
              <w:t xml:space="preserve"> pour approbation en 2017</w:t>
            </w:r>
          </w:p>
        </w:tc>
      </w:tr>
      <w:tr w:rsidR="00467B2C" w:rsidRPr="0061490E" w:rsidTr="00467B2C">
        <w:trPr>
          <w:trHeight w:val="321"/>
        </w:trPr>
        <w:tc>
          <w:tcPr>
            <w:tcW w:w="663" w:type="dxa"/>
            <w:tcBorders>
              <w:top w:val="single" w:sz="4" w:space="0" w:color="auto"/>
              <w:left w:val="single" w:sz="4" w:space="0" w:color="auto"/>
              <w:bottom w:val="single" w:sz="4" w:space="0" w:color="auto"/>
              <w:right w:val="single" w:sz="4" w:space="0" w:color="auto"/>
            </w:tcBorders>
            <w:hideMark/>
          </w:tcPr>
          <w:p w:rsidR="00467B2C" w:rsidRPr="00F77964" w:rsidRDefault="00467B2C">
            <w:pPr>
              <w:keepLines/>
              <w:tabs>
                <w:tab w:val="left" w:pos="426"/>
                <w:tab w:val="num" w:pos="1353"/>
              </w:tabs>
              <w:autoSpaceDE w:val="0"/>
              <w:autoSpaceDN w:val="0"/>
              <w:adjustRightInd w:val="0"/>
              <w:spacing w:before="20" w:after="20"/>
              <w:rPr>
                <w:rFonts w:ascii="Times New Roman" w:eastAsia="SimSun" w:hAnsi="Times New Roman"/>
                <w:sz w:val="18"/>
                <w:szCs w:val="18"/>
                <w:lang w:eastAsia="zh-CN"/>
              </w:rPr>
            </w:pPr>
            <w:r w:rsidRPr="00F77964">
              <w:rPr>
                <w:rFonts w:ascii="Times New Roman" w:eastAsia="SimSun" w:hAnsi="Times New Roman"/>
                <w:sz w:val="18"/>
                <w:szCs w:val="18"/>
                <w:lang w:eastAsia="zh-CN"/>
              </w:rPr>
              <w:t>2017</w:t>
            </w:r>
          </w:p>
        </w:tc>
        <w:tc>
          <w:tcPr>
            <w:tcW w:w="1411" w:type="dxa"/>
            <w:tcBorders>
              <w:top w:val="single" w:sz="4" w:space="0" w:color="auto"/>
              <w:left w:val="single" w:sz="4" w:space="0" w:color="auto"/>
              <w:bottom w:val="single" w:sz="4" w:space="0" w:color="auto"/>
              <w:right w:val="single" w:sz="4" w:space="0" w:color="auto"/>
            </w:tcBorders>
            <w:hideMark/>
          </w:tcPr>
          <w:p w:rsidR="00467B2C" w:rsidRPr="00F77964" w:rsidRDefault="00467B2C" w:rsidP="00467B2C">
            <w:pPr>
              <w:pStyle w:val="Normal-pool"/>
              <w:keepNext/>
              <w:keepLines/>
              <w:spacing w:before="20" w:after="20"/>
              <w:rPr>
                <w:rFonts w:eastAsia="SimSun"/>
                <w:sz w:val="18"/>
                <w:szCs w:val="18"/>
                <w:lang w:eastAsia="zh-CN"/>
              </w:rPr>
            </w:pPr>
            <w:r w:rsidRPr="00F77964">
              <w:rPr>
                <w:rFonts w:eastAsia="SimSun"/>
                <w:sz w:val="18"/>
                <w:szCs w:val="18"/>
                <w:lang w:eastAsia="zh-CN"/>
              </w:rPr>
              <w:t>Premier trimestre</w:t>
            </w:r>
          </w:p>
        </w:tc>
        <w:tc>
          <w:tcPr>
            <w:tcW w:w="5920" w:type="dxa"/>
            <w:tcBorders>
              <w:top w:val="single" w:sz="4" w:space="0" w:color="auto"/>
              <w:left w:val="single" w:sz="4" w:space="0" w:color="auto"/>
              <w:bottom w:val="single" w:sz="4" w:space="0" w:color="auto"/>
              <w:right w:val="single" w:sz="4" w:space="0" w:color="auto"/>
            </w:tcBorders>
            <w:vAlign w:val="center"/>
            <w:hideMark/>
          </w:tcPr>
          <w:p w:rsidR="00467B2C" w:rsidRPr="00F77964" w:rsidRDefault="00467B2C" w:rsidP="00A72758">
            <w:pPr>
              <w:pStyle w:val="Normal-pool"/>
              <w:keepNext/>
              <w:keepLines/>
              <w:spacing w:before="20" w:after="20"/>
              <w:rPr>
                <w:rFonts w:eastAsia="SimSun"/>
                <w:sz w:val="18"/>
                <w:szCs w:val="18"/>
                <w:lang w:eastAsia="zh-CN"/>
              </w:rPr>
            </w:pPr>
            <w:r w:rsidRPr="00F77964">
              <w:rPr>
                <w:rFonts w:eastAsia="SimSun"/>
                <w:sz w:val="18"/>
                <w:szCs w:val="18"/>
                <w:lang w:eastAsia="zh-CN"/>
              </w:rPr>
              <w:t>La Plénière</w:t>
            </w:r>
            <w:r w:rsidR="002451A2" w:rsidRPr="00F77964">
              <w:rPr>
                <w:rFonts w:eastAsia="SimSun"/>
                <w:sz w:val="18"/>
                <w:szCs w:val="18"/>
                <w:lang w:eastAsia="zh-CN"/>
              </w:rPr>
              <w:t xml:space="preserve"> </w:t>
            </w:r>
            <w:r w:rsidR="004621EA">
              <w:rPr>
                <w:rFonts w:eastAsia="SimSun"/>
                <w:sz w:val="18"/>
                <w:szCs w:val="18"/>
                <w:lang w:eastAsia="zh-CN"/>
              </w:rPr>
              <w:t xml:space="preserve">étudie la possibilité de </w:t>
            </w:r>
            <w:r w:rsidR="002451A2" w:rsidRPr="00F77964">
              <w:rPr>
                <w:rFonts w:eastAsia="SimSun"/>
                <w:sz w:val="18"/>
                <w:szCs w:val="18"/>
                <w:lang w:eastAsia="zh-CN"/>
              </w:rPr>
              <w:t>donner son approbation aux</w:t>
            </w:r>
            <w:r w:rsidRPr="00F77964">
              <w:rPr>
                <w:rFonts w:eastAsia="SimSun"/>
                <w:sz w:val="18"/>
                <w:szCs w:val="18"/>
                <w:lang w:eastAsia="zh-CN"/>
              </w:rPr>
              <w:t xml:space="preserve"> outils et méthodes </w:t>
            </w:r>
            <w:r w:rsidR="00AD5BCB">
              <w:rPr>
                <w:rFonts w:eastAsia="SimSun"/>
                <w:sz w:val="18"/>
                <w:szCs w:val="18"/>
                <w:lang w:eastAsia="zh-CN"/>
              </w:rPr>
              <w:t>d’</w:t>
            </w:r>
            <w:r w:rsidR="00AD5BCB" w:rsidRPr="00F77964">
              <w:rPr>
                <w:rFonts w:eastAsia="SimSun"/>
                <w:sz w:val="18"/>
                <w:szCs w:val="18"/>
                <w:lang w:eastAsia="zh-CN"/>
              </w:rPr>
              <w:t>analyse de scénario</w:t>
            </w:r>
            <w:r w:rsidR="00AD5BCB">
              <w:rPr>
                <w:rFonts w:eastAsia="SimSun"/>
                <w:sz w:val="18"/>
                <w:szCs w:val="18"/>
                <w:lang w:eastAsia="zh-CN"/>
              </w:rPr>
              <w:t>s</w:t>
            </w:r>
            <w:r w:rsidR="00AD5BCB" w:rsidRPr="00F77964">
              <w:rPr>
                <w:rFonts w:eastAsia="SimSun"/>
                <w:sz w:val="18"/>
                <w:szCs w:val="18"/>
                <w:lang w:eastAsia="zh-CN"/>
              </w:rPr>
              <w:t xml:space="preserve"> et </w:t>
            </w:r>
            <w:r w:rsidR="00AD5BCB">
              <w:rPr>
                <w:rFonts w:eastAsia="SimSun"/>
                <w:sz w:val="18"/>
                <w:szCs w:val="18"/>
                <w:lang w:eastAsia="zh-CN"/>
              </w:rPr>
              <w:t>de</w:t>
            </w:r>
            <w:r w:rsidR="00AD5BCB" w:rsidRPr="00F77964">
              <w:rPr>
                <w:rFonts w:eastAsia="SimSun"/>
                <w:sz w:val="18"/>
                <w:szCs w:val="18"/>
                <w:lang w:eastAsia="zh-CN"/>
              </w:rPr>
              <w:t xml:space="preserve"> modélisation</w:t>
            </w:r>
            <w:r w:rsidR="00AD5BCB">
              <w:rPr>
                <w:rFonts w:eastAsia="SimSun"/>
                <w:sz w:val="18"/>
                <w:szCs w:val="18"/>
                <w:lang w:eastAsia="zh-CN"/>
              </w:rPr>
              <w:t xml:space="preserve"> </w:t>
            </w:r>
            <w:r w:rsidR="00A72758">
              <w:rPr>
                <w:rFonts w:eastAsia="SimSun"/>
                <w:sz w:val="18"/>
                <w:szCs w:val="18"/>
                <w:lang w:eastAsia="zh-CN"/>
              </w:rPr>
              <w:t xml:space="preserve">mis au point de façon plus poussée </w:t>
            </w:r>
            <w:r w:rsidRPr="00F77964">
              <w:rPr>
                <w:rFonts w:eastAsia="SimSun"/>
                <w:sz w:val="18"/>
                <w:szCs w:val="18"/>
                <w:lang w:eastAsia="zh-CN"/>
              </w:rPr>
              <w:t xml:space="preserve">pour </w:t>
            </w:r>
            <w:r w:rsidR="002451A2" w:rsidRPr="00F77964">
              <w:rPr>
                <w:rFonts w:eastAsia="SimSun"/>
                <w:sz w:val="18"/>
                <w:szCs w:val="18"/>
                <w:lang w:eastAsia="zh-CN"/>
              </w:rPr>
              <w:t>la</w:t>
            </w:r>
            <w:r w:rsidRPr="00F77964">
              <w:rPr>
                <w:rFonts w:eastAsia="SimSun"/>
                <w:sz w:val="18"/>
                <w:szCs w:val="18"/>
                <w:lang w:eastAsia="zh-CN"/>
              </w:rPr>
              <w:t xml:space="preserve"> biodiversité et </w:t>
            </w:r>
            <w:r w:rsidR="00AD5BCB">
              <w:rPr>
                <w:rFonts w:eastAsia="SimSun"/>
                <w:sz w:val="18"/>
                <w:szCs w:val="18"/>
                <w:lang w:eastAsia="zh-CN"/>
              </w:rPr>
              <w:t>l</w:t>
            </w:r>
            <w:r w:rsidRPr="00F77964">
              <w:rPr>
                <w:rFonts w:eastAsia="SimSun"/>
                <w:sz w:val="18"/>
                <w:szCs w:val="18"/>
                <w:lang w:eastAsia="zh-CN"/>
              </w:rPr>
              <w:t>es services écosystémiques</w:t>
            </w:r>
          </w:p>
        </w:tc>
      </w:tr>
    </w:tbl>
    <w:p w:rsidR="00D66005" w:rsidRPr="00F77964" w:rsidRDefault="00D66005" w:rsidP="00D66005">
      <w:pPr>
        <w:pStyle w:val="CH3"/>
        <w:spacing w:before="200"/>
        <w:rPr>
          <w:rFonts w:eastAsia="SimSun"/>
          <w:lang w:val="fr-FR" w:eastAsia="zh-CN"/>
        </w:rPr>
      </w:pPr>
      <w:r w:rsidRPr="00F77964">
        <w:rPr>
          <w:rFonts w:eastAsia="SimSun"/>
          <w:lang w:val="fr-FR" w:eastAsia="zh-CN"/>
        </w:rPr>
        <w:tab/>
      </w:r>
      <w:r w:rsidRPr="00F77964">
        <w:rPr>
          <w:rFonts w:eastAsia="SimSun"/>
          <w:lang w:val="fr-FR" w:eastAsia="zh-CN"/>
        </w:rPr>
        <w:tab/>
      </w:r>
      <w:r w:rsidR="00467B2C" w:rsidRPr="00F77964">
        <w:rPr>
          <w:rFonts w:eastAsia="SimSun"/>
          <w:lang w:val="fr-FR" w:eastAsia="zh-CN"/>
        </w:rPr>
        <w:t>Prévisions de coûts</w:t>
      </w:r>
    </w:p>
    <w:p w:rsidR="00D66005" w:rsidRPr="00F77964" w:rsidRDefault="00467B2C" w:rsidP="00D66005">
      <w:pPr>
        <w:pStyle w:val="Normalnumber"/>
        <w:numPr>
          <w:ilvl w:val="0"/>
          <w:numId w:val="6"/>
        </w:numPr>
        <w:tabs>
          <w:tab w:val="left" w:pos="624"/>
        </w:tabs>
        <w:ind w:left="1247" w:firstLine="0"/>
        <w:rPr>
          <w:lang w:val="fr-FR"/>
        </w:rPr>
      </w:pPr>
      <w:r w:rsidRPr="00F77964">
        <w:rPr>
          <w:lang w:val="fr-FR"/>
        </w:rPr>
        <w:t>Les prévisions de coûts sont les suivantes :</w:t>
      </w:r>
    </w:p>
    <w:p w:rsidR="00D66005" w:rsidRPr="00F77964" w:rsidRDefault="00D66005" w:rsidP="00D66005">
      <w:pPr>
        <w:pStyle w:val="Normalnumber"/>
        <w:tabs>
          <w:tab w:val="left" w:pos="624"/>
        </w:tabs>
        <w:spacing w:before="120" w:after="0"/>
        <w:ind w:left="1247"/>
        <w:rPr>
          <w:sz w:val="18"/>
          <w:szCs w:val="18"/>
          <w:lang w:val="fr-FR"/>
        </w:rPr>
      </w:pPr>
      <w:r w:rsidRPr="00F77964">
        <w:rPr>
          <w:sz w:val="18"/>
          <w:szCs w:val="18"/>
          <w:lang w:val="fr-FR"/>
        </w:rPr>
        <w:t>(</w:t>
      </w:r>
      <w:r w:rsidR="001D0F4C">
        <w:rPr>
          <w:sz w:val="18"/>
          <w:szCs w:val="18"/>
          <w:lang w:val="fr-FR"/>
        </w:rPr>
        <w:t>dollars des É</w:t>
      </w:r>
      <w:r w:rsidR="004D2BEE" w:rsidRPr="00F77964">
        <w:rPr>
          <w:sz w:val="18"/>
          <w:szCs w:val="18"/>
          <w:lang w:val="fr-FR"/>
        </w:rPr>
        <w:t>tats-Unis</w:t>
      </w:r>
      <w:r w:rsidRPr="00F77964">
        <w:rPr>
          <w:sz w:val="18"/>
          <w:szCs w:val="18"/>
          <w:lang w:val="fr-FR"/>
        </w:rPr>
        <w:t>)</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3108"/>
        <w:gridCol w:w="2923"/>
        <w:gridCol w:w="936"/>
      </w:tblGrid>
      <w:tr w:rsidR="00614C81" w:rsidRPr="0061490E" w:rsidTr="001D6913">
        <w:trPr>
          <w:tblHeader/>
        </w:trPr>
        <w:tc>
          <w:tcPr>
            <w:tcW w:w="1027" w:type="dxa"/>
            <w:tcBorders>
              <w:top w:val="single" w:sz="4" w:space="0" w:color="auto"/>
              <w:left w:val="single" w:sz="4" w:space="0" w:color="auto"/>
              <w:bottom w:val="single" w:sz="4" w:space="0" w:color="auto"/>
              <w:right w:val="single" w:sz="4" w:space="0" w:color="auto"/>
            </w:tcBorders>
            <w:hideMark/>
          </w:tcPr>
          <w:p w:rsidR="00D66005" w:rsidRPr="00F77964" w:rsidRDefault="00614C81" w:rsidP="00FC5607">
            <w:pPr>
              <w:pStyle w:val="Normal-pool"/>
              <w:keepNext/>
              <w:keepLines/>
              <w:spacing w:before="40" w:after="40"/>
              <w:rPr>
                <w:rFonts w:eastAsia="SimSun"/>
                <w:i/>
                <w:sz w:val="18"/>
                <w:szCs w:val="18"/>
                <w:lang w:eastAsia="zh-CN"/>
              </w:rPr>
            </w:pPr>
            <w:r w:rsidRPr="00F77964">
              <w:rPr>
                <w:rFonts w:eastAsia="SimSun"/>
                <w:i/>
                <w:sz w:val="18"/>
                <w:szCs w:val="18"/>
                <w:lang w:eastAsia="zh-CN"/>
              </w:rPr>
              <w:t>Année</w:t>
            </w:r>
          </w:p>
        </w:tc>
        <w:tc>
          <w:tcPr>
            <w:tcW w:w="3108" w:type="dxa"/>
            <w:tcBorders>
              <w:top w:val="single" w:sz="4" w:space="0" w:color="auto"/>
              <w:left w:val="single" w:sz="4" w:space="0" w:color="auto"/>
              <w:bottom w:val="single" w:sz="4" w:space="0" w:color="auto"/>
              <w:right w:val="single" w:sz="4" w:space="0" w:color="auto"/>
            </w:tcBorders>
            <w:hideMark/>
          </w:tcPr>
          <w:p w:rsidR="00D66005" w:rsidRPr="00F77964" w:rsidRDefault="00D972E8" w:rsidP="00614C81">
            <w:pPr>
              <w:pStyle w:val="Normal-pool"/>
              <w:keepNext/>
              <w:keepLines/>
              <w:spacing w:before="40" w:after="40"/>
              <w:rPr>
                <w:rFonts w:eastAsia="SimSun"/>
                <w:i/>
                <w:sz w:val="18"/>
                <w:szCs w:val="18"/>
                <w:lang w:eastAsia="zh-CN"/>
              </w:rPr>
            </w:pPr>
            <w:r>
              <w:rPr>
                <w:rFonts w:eastAsia="SimSun"/>
                <w:i/>
                <w:sz w:val="18"/>
                <w:szCs w:val="18"/>
                <w:lang w:eastAsia="zh-CN"/>
              </w:rPr>
              <w:t>Postes de dépense</w:t>
            </w:r>
          </w:p>
        </w:tc>
        <w:tc>
          <w:tcPr>
            <w:tcW w:w="2923" w:type="dxa"/>
            <w:tcBorders>
              <w:top w:val="single" w:sz="4" w:space="0" w:color="auto"/>
              <w:left w:val="single" w:sz="4" w:space="0" w:color="auto"/>
              <w:bottom w:val="single" w:sz="4" w:space="0" w:color="auto"/>
              <w:right w:val="single" w:sz="4" w:space="0" w:color="auto"/>
            </w:tcBorders>
            <w:hideMark/>
          </w:tcPr>
          <w:p w:rsidR="00D66005" w:rsidRPr="00F77964" w:rsidRDefault="00614C81" w:rsidP="00614C81">
            <w:pPr>
              <w:pStyle w:val="Normal-pool"/>
              <w:keepNext/>
              <w:keepLines/>
              <w:spacing w:before="40" w:after="40"/>
              <w:rPr>
                <w:rFonts w:eastAsia="SimSun"/>
                <w:i/>
                <w:sz w:val="18"/>
                <w:szCs w:val="18"/>
                <w:lang w:eastAsia="zh-CN"/>
              </w:rPr>
            </w:pPr>
            <w:r w:rsidRPr="00F77964">
              <w:rPr>
                <w:rFonts w:eastAsia="SimSun"/>
                <w:i/>
                <w:sz w:val="18"/>
                <w:szCs w:val="18"/>
                <w:lang w:eastAsia="zh-CN"/>
              </w:rPr>
              <w:t>Hypothèses</w:t>
            </w:r>
          </w:p>
        </w:tc>
        <w:tc>
          <w:tcPr>
            <w:tcW w:w="936" w:type="dxa"/>
            <w:tcBorders>
              <w:top w:val="single" w:sz="4" w:space="0" w:color="auto"/>
              <w:left w:val="single" w:sz="4" w:space="0" w:color="auto"/>
              <w:bottom w:val="single" w:sz="4" w:space="0" w:color="auto"/>
              <w:right w:val="single" w:sz="4" w:space="0" w:color="auto"/>
            </w:tcBorders>
            <w:hideMark/>
          </w:tcPr>
          <w:p w:rsidR="00D66005" w:rsidRPr="00F77964" w:rsidRDefault="00D66005" w:rsidP="00614C81">
            <w:pPr>
              <w:pStyle w:val="Normal-pool"/>
              <w:keepNext/>
              <w:keepLines/>
              <w:spacing w:before="40" w:after="40"/>
              <w:jc w:val="right"/>
              <w:rPr>
                <w:rFonts w:eastAsia="SimSun"/>
                <w:i/>
                <w:sz w:val="18"/>
                <w:szCs w:val="18"/>
                <w:lang w:eastAsia="zh-CN"/>
              </w:rPr>
            </w:pPr>
            <w:r w:rsidRPr="00F77964">
              <w:rPr>
                <w:rFonts w:eastAsia="SimSun"/>
                <w:i/>
                <w:sz w:val="18"/>
                <w:szCs w:val="18"/>
                <w:lang w:eastAsia="zh-CN"/>
              </w:rPr>
              <w:t>Co</w:t>
            </w:r>
            <w:r w:rsidR="00614C81" w:rsidRPr="00F77964">
              <w:rPr>
                <w:rFonts w:eastAsia="SimSun"/>
                <w:i/>
                <w:sz w:val="18"/>
                <w:szCs w:val="18"/>
                <w:lang w:eastAsia="zh-CN"/>
              </w:rPr>
              <w:t>ût</w:t>
            </w:r>
            <w:r w:rsidRPr="00F77964">
              <w:rPr>
                <w:rFonts w:eastAsia="SimSun"/>
                <w:i/>
                <w:sz w:val="18"/>
                <w:szCs w:val="18"/>
                <w:lang w:eastAsia="zh-CN"/>
              </w:rPr>
              <w:t xml:space="preserve"> </w:t>
            </w:r>
          </w:p>
        </w:tc>
      </w:tr>
      <w:tr w:rsidR="00614C81" w:rsidRPr="0061490E" w:rsidTr="000E0AA1">
        <w:tc>
          <w:tcPr>
            <w:tcW w:w="1027"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0E0AA1">
            <w:pPr>
              <w:pStyle w:val="Normal-pool"/>
              <w:keepNext/>
              <w:keepLines/>
              <w:spacing w:before="40" w:after="40"/>
              <w:rPr>
                <w:rFonts w:eastAsia="SimSun"/>
                <w:sz w:val="18"/>
                <w:szCs w:val="18"/>
                <w:lang w:eastAsia="zh-CN"/>
              </w:rPr>
            </w:pPr>
            <w:r w:rsidRPr="00F77964">
              <w:rPr>
                <w:rFonts w:eastAsia="SimSun"/>
                <w:sz w:val="18"/>
                <w:szCs w:val="18"/>
                <w:lang w:eastAsia="zh-CN"/>
              </w:rPr>
              <w:t>2014</w:t>
            </w:r>
          </w:p>
        </w:tc>
        <w:tc>
          <w:tcPr>
            <w:tcW w:w="3108"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614C81" w:rsidP="000E0AA1">
            <w:pPr>
              <w:pStyle w:val="Normal-pool"/>
              <w:keepNext/>
              <w:keepLines/>
              <w:spacing w:before="40" w:after="40"/>
              <w:rPr>
                <w:rFonts w:eastAsia="SimSun"/>
                <w:sz w:val="18"/>
                <w:szCs w:val="18"/>
                <w:lang w:eastAsia="zh-CN"/>
              </w:rPr>
            </w:pPr>
            <w:r w:rsidRPr="00F77964">
              <w:rPr>
                <w:rFonts w:eastAsia="SimSun"/>
                <w:sz w:val="18"/>
                <w:szCs w:val="18"/>
                <w:lang w:eastAsia="zh-CN"/>
              </w:rPr>
              <w:t>Première réunion des auteurs (70 coprésidents, auteurs coordonnateurs principaux et auteurs principaux</w:t>
            </w:r>
            <w:r w:rsidR="00D972E8">
              <w:rPr>
                <w:rFonts w:eastAsia="SimSun"/>
                <w:sz w:val="18"/>
                <w:szCs w:val="18"/>
                <w:lang w:eastAsia="zh-CN"/>
              </w:rPr>
              <w:t xml:space="preserve"> + </w:t>
            </w:r>
            <w:r w:rsidRPr="00F77964">
              <w:rPr>
                <w:rFonts w:eastAsia="SimSun"/>
                <w:sz w:val="18"/>
                <w:szCs w:val="18"/>
                <w:lang w:eastAsia="zh-CN"/>
              </w:rPr>
              <w:t>4 membres du Groupe d’experts multidisciplinaire/Bureau</w:t>
            </w:r>
            <w:r w:rsidR="00D972E8">
              <w:rPr>
                <w:rFonts w:eastAsia="SimSun"/>
                <w:sz w:val="18"/>
                <w:szCs w:val="18"/>
                <w:lang w:eastAsia="zh-CN"/>
              </w:rPr>
              <w:t xml:space="preserve"> + </w:t>
            </w:r>
            <w:r w:rsidRPr="00F77964">
              <w:rPr>
                <w:rFonts w:eastAsia="SimSun"/>
                <w:sz w:val="18"/>
                <w:szCs w:val="18"/>
                <w:lang w:eastAsia="zh-CN"/>
              </w:rPr>
              <w:t>1 agent des services d’appui technique)</w:t>
            </w:r>
          </w:p>
        </w:tc>
        <w:tc>
          <w:tcPr>
            <w:tcW w:w="2923" w:type="dxa"/>
            <w:tcBorders>
              <w:top w:val="single" w:sz="4" w:space="0" w:color="auto"/>
              <w:left w:val="single" w:sz="4" w:space="0" w:color="auto"/>
              <w:bottom w:val="single" w:sz="4" w:space="0" w:color="auto"/>
              <w:right w:val="single" w:sz="4" w:space="0" w:color="auto"/>
            </w:tcBorders>
            <w:hideMark/>
          </w:tcPr>
          <w:p w:rsidR="00D66005" w:rsidRPr="00F77964" w:rsidRDefault="00614C81" w:rsidP="000E0AA1">
            <w:pPr>
              <w:pStyle w:val="Normal-pool"/>
              <w:keepNext/>
              <w:keepLines/>
              <w:spacing w:before="40" w:after="40"/>
              <w:rPr>
                <w:rFonts w:eastAsia="SimSun"/>
                <w:sz w:val="18"/>
                <w:szCs w:val="18"/>
                <w:lang w:eastAsia="zh-CN"/>
              </w:rPr>
            </w:pPr>
            <w:r w:rsidRPr="00F77964">
              <w:rPr>
                <w:rFonts w:eastAsia="SimSun"/>
                <w:sz w:val="18"/>
                <w:szCs w:val="18"/>
                <w:lang w:eastAsia="zh-CN"/>
              </w:rPr>
              <w:t>Coûts de la réunion (1 semaine, 75 participants) (25 % en nature)</w:t>
            </w:r>
          </w:p>
        </w:tc>
        <w:tc>
          <w:tcPr>
            <w:tcW w:w="936" w:type="dxa"/>
            <w:tcBorders>
              <w:top w:val="single" w:sz="4" w:space="0" w:color="auto"/>
              <w:left w:val="single" w:sz="4" w:space="0" w:color="auto"/>
              <w:bottom w:val="single" w:sz="4" w:space="0" w:color="auto"/>
              <w:right w:val="single" w:sz="4" w:space="0" w:color="auto"/>
            </w:tcBorders>
            <w:hideMark/>
          </w:tcPr>
          <w:p w:rsidR="00D66005" w:rsidRPr="00F77964" w:rsidRDefault="00D66005" w:rsidP="000E0AA1">
            <w:pPr>
              <w:pStyle w:val="Normal-pool"/>
              <w:keepNext/>
              <w:keepLines/>
              <w:spacing w:before="40" w:after="40"/>
              <w:rPr>
                <w:rFonts w:eastAsia="SimSun"/>
                <w:sz w:val="18"/>
                <w:szCs w:val="18"/>
                <w:lang w:eastAsia="zh-CN"/>
              </w:rPr>
            </w:pPr>
            <w:r w:rsidRPr="00F77964">
              <w:rPr>
                <w:rFonts w:eastAsia="SimSun"/>
                <w:sz w:val="18"/>
                <w:szCs w:val="18"/>
                <w:lang w:eastAsia="zh-CN"/>
              </w:rPr>
              <w:t>15</w:t>
            </w:r>
            <w:r w:rsidR="00FC5607" w:rsidRPr="00F77964">
              <w:rPr>
                <w:rFonts w:eastAsia="SimSun"/>
                <w:sz w:val="18"/>
                <w:szCs w:val="18"/>
                <w:lang w:eastAsia="zh-CN"/>
              </w:rPr>
              <w:t> </w:t>
            </w:r>
            <w:r w:rsidRPr="00F77964">
              <w:rPr>
                <w:rFonts w:eastAsia="SimSun"/>
                <w:sz w:val="18"/>
                <w:szCs w:val="18"/>
                <w:lang w:eastAsia="zh-CN"/>
              </w:rPr>
              <w:t>000</w:t>
            </w:r>
          </w:p>
        </w:tc>
      </w:tr>
      <w:tr w:rsidR="00614C81" w:rsidRPr="0061490E" w:rsidTr="000E0AA1">
        <w:trPr>
          <w:trHeight w:val="337"/>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0E0AA1">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0E0AA1">
            <w:pPr>
              <w:rPr>
                <w:rFonts w:eastAsia="SimSun"/>
                <w:sz w:val="18"/>
                <w:szCs w:val="18"/>
                <w:lang w:eastAsia="zh-CN"/>
              </w:rPr>
            </w:pPr>
          </w:p>
        </w:tc>
        <w:tc>
          <w:tcPr>
            <w:tcW w:w="2923" w:type="dxa"/>
            <w:tcBorders>
              <w:top w:val="single" w:sz="4" w:space="0" w:color="auto"/>
              <w:left w:val="single" w:sz="4" w:space="0" w:color="auto"/>
              <w:bottom w:val="single" w:sz="4" w:space="0" w:color="auto"/>
              <w:right w:val="single" w:sz="4" w:space="0" w:color="auto"/>
            </w:tcBorders>
            <w:hideMark/>
          </w:tcPr>
          <w:p w:rsidR="00D66005" w:rsidRPr="00F77964" w:rsidRDefault="00D972E8" w:rsidP="000E0AA1">
            <w:pPr>
              <w:pStyle w:val="Normal-pool"/>
              <w:keepNext/>
              <w:keepLines/>
              <w:spacing w:before="40" w:after="40"/>
              <w:rPr>
                <w:rFonts w:eastAsia="SimSun"/>
                <w:sz w:val="18"/>
                <w:szCs w:val="18"/>
                <w:lang w:eastAsia="zh-CN"/>
              </w:rPr>
            </w:pPr>
            <w:r>
              <w:rPr>
                <w:rFonts w:eastAsia="SimSun"/>
                <w:sz w:val="18"/>
                <w:szCs w:val="18"/>
                <w:lang w:eastAsia="zh-CN"/>
              </w:rPr>
              <w:t>Frais de voyage et indemnités journalières de subsistance</w:t>
            </w:r>
            <w:r w:rsidR="00614C81" w:rsidRPr="00F77964">
              <w:rPr>
                <w:rFonts w:eastAsia="SimSun"/>
                <w:sz w:val="18"/>
                <w:szCs w:val="18"/>
                <w:lang w:eastAsia="zh-CN"/>
              </w:rPr>
              <w:t xml:space="preserve"> (56 x 3 000 dollars)</w:t>
            </w:r>
          </w:p>
        </w:tc>
        <w:tc>
          <w:tcPr>
            <w:tcW w:w="936" w:type="dxa"/>
            <w:tcBorders>
              <w:top w:val="single" w:sz="4" w:space="0" w:color="auto"/>
              <w:left w:val="single" w:sz="4" w:space="0" w:color="auto"/>
              <w:bottom w:val="single" w:sz="4" w:space="0" w:color="auto"/>
              <w:right w:val="single" w:sz="4" w:space="0" w:color="auto"/>
            </w:tcBorders>
            <w:hideMark/>
          </w:tcPr>
          <w:p w:rsidR="00D66005" w:rsidRPr="00F77964" w:rsidRDefault="00D66005" w:rsidP="000E0AA1">
            <w:pPr>
              <w:pStyle w:val="Normal-pool"/>
              <w:keepNext/>
              <w:keepLines/>
              <w:spacing w:before="40" w:after="40"/>
              <w:rPr>
                <w:rFonts w:eastAsia="SimSun"/>
                <w:sz w:val="18"/>
                <w:szCs w:val="18"/>
                <w:lang w:eastAsia="zh-CN"/>
              </w:rPr>
            </w:pPr>
            <w:r w:rsidRPr="00F77964">
              <w:rPr>
                <w:rFonts w:eastAsia="SimSun"/>
                <w:sz w:val="18"/>
                <w:szCs w:val="18"/>
                <w:lang w:eastAsia="zh-CN"/>
              </w:rPr>
              <w:t>168</w:t>
            </w:r>
            <w:r w:rsidR="00FC5607" w:rsidRPr="00F77964">
              <w:rPr>
                <w:rFonts w:eastAsia="SimSun"/>
                <w:sz w:val="18"/>
                <w:szCs w:val="18"/>
                <w:lang w:eastAsia="zh-CN"/>
              </w:rPr>
              <w:t> </w:t>
            </w:r>
            <w:r w:rsidRPr="00F77964">
              <w:rPr>
                <w:rFonts w:eastAsia="SimSun"/>
                <w:sz w:val="18"/>
                <w:szCs w:val="18"/>
                <w:lang w:eastAsia="zh-CN"/>
              </w:rPr>
              <w:t>000</w:t>
            </w:r>
          </w:p>
        </w:tc>
      </w:tr>
      <w:tr w:rsidR="00614C81" w:rsidRPr="0061490E" w:rsidTr="000E0AA1">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0E0AA1">
            <w:pPr>
              <w:rPr>
                <w:rFonts w:eastAsia="SimSun"/>
                <w:sz w:val="18"/>
                <w:szCs w:val="18"/>
                <w:lang w:eastAsia="zh-CN"/>
              </w:rPr>
            </w:pPr>
          </w:p>
        </w:tc>
        <w:tc>
          <w:tcPr>
            <w:tcW w:w="3108" w:type="dxa"/>
            <w:vMerge w:val="restart"/>
            <w:tcBorders>
              <w:top w:val="single" w:sz="4" w:space="0" w:color="auto"/>
              <w:left w:val="single" w:sz="4" w:space="0" w:color="auto"/>
              <w:bottom w:val="single" w:sz="4" w:space="0" w:color="auto"/>
              <w:right w:val="single" w:sz="4" w:space="0" w:color="auto"/>
            </w:tcBorders>
          </w:tcPr>
          <w:p w:rsidR="00D66005" w:rsidRPr="00F77964" w:rsidRDefault="00FC5607" w:rsidP="000E0AA1">
            <w:pPr>
              <w:pStyle w:val="Normal-pool"/>
              <w:spacing w:before="40" w:after="40"/>
              <w:rPr>
                <w:rFonts w:eastAsia="SimSun"/>
                <w:sz w:val="18"/>
                <w:szCs w:val="18"/>
                <w:lang w:eastAsia="zh-CN"/>
              </w:rPr>
            </w:pPr>
            <w:r w:rsidRPr="00F77964">
              <w:rPr>
                <w:rFonts w:eastAsia="SimSun"/>
                <w:sz w:val="18"/>
                <w:szCs w:val="18"/>
                <w:lang w:eastAsia="zh-CN"/>
              </w:rPr>
              <w:t>Deuxième réunion des auteurs (70 coprésidents, auteurs coordonnateurs principaux et auteurs principaux</w:t>
            </w:r>
            <w:r w:rsidR="00D972E8">
              <w:rPr>
                <w:rFonts w:eastAsia="SimSun"/>
                <w:sz w:val="18"/>
                <w:szCs w:val="18"/>
                <w:lang w:eastAsia="zh-CN"/>
              </w:rPr>
              <w:t xml:space="preserve"> + </w:t>
            </w:r>
            <w:r w:rsidRPr="00F77964">
              <w:rPr>
                <w:rFonts w:eastAsia="SimSun"/>
                <w:sz w:val="18"/>
                <w:szCs w:val="18"/>
                <w:lang w:eastAsia="zh-CN"/>
              </w:rPr>
              <w:t>4 membres du Groupe d’experts multidisciplinaire/Bureau</w:t>
            </w:r>
            <w:r w:rsidR="00D972E8">
              <w:rPr>
                <w:rFonts w:eastAsia="SimSun"/>
                <w:sz w:val="18"/>
                <w:szCs w:val="18"/>
                <w:lang w:eastAsia="zh-CN"/>
              </w:rPr>
              <w:t xml:space="preserve"> + </w:t>
            </w:r>
            <w:r w:rsidRPr="00F77964">
              <w:rPr>
                <w:rFonts w:eastAsia="SimSun"/>
                <w:sz w:val="18"/>
                <w:szCs w:val="18"/>
                <w:lang w:eastAsia="zh-CN"/>
              </w:rPr>
              <w:t>1 agent des services d’appui technique)</w:t>
            </w:r>
          </w:p>
          <w:p w:rsidR="00D66005" w:rsidRPr="00F77964" w:rsidRDefault="00D66005" w:rsidP="000E0AA1">
            <w:pPr>
              <w:pStyle w:val="Normal-pool"/>
              <w:spacing w:before="40" w:after="40"/>
              <w:rPr>
                <w:rFonts w:eastAsia="SimSun"/>
                <w:sz w:val="18"/>
                <w:szCs w:val="18"/>
                <w:lang w:eastAsia="zh-CN"/>
              </w:rPr>
            </w:pPr>
          </w:p>
        </w:tc>
        <w:tc>
          <w:tcPr>
            <w:tcW w:w="2923" w:type="dxa"/>
            <w:tcBorders>
              <w:top w:val="single" w:sz="4" w:space="0" w:color="auto"/>
              <w:left w:val="single" w:sz="4" w:space="0" w:color="auto"/>
              <w:bottom w:val="single" w:sz="4" w:space="0" w:color="auto"/>
              <w:right w:val="single" w:sz="4" w:space="0" w:color="auto"/>
            </w:tcBorders>
            <w:hideMark/>
          </w:tcPr>
          <w:p w:rsidR="00D66005" w:rsidRPr="00F77964" w:rsidRDefault="00614C81" w:rsidP="000E0AA1">
            <w:pPr>
              <w:pStyle w:val="Normal-pool"/>
              <w:spacing w:before="40" w:after="40"/>
              <w:rPr>
                <w:rFonts w:eastAsia="SimSun"/>
                <w:sz w:val="18"/>
                <w:szCs w:val="18"/>
                <w:lang w:eastAsia="zh-CN"/>
              </w:rPr>
            </w:pPr>
            <w:r w:rsidRPr="00F77964">
              <w:rPr>
                <w:rFonts w:eastAsia="SimSun"/>
                <w:sz w:val="18"/>
                <w:szCs w:val="18"/>
                <w:lang w:eastAsia="zh-CN"/>
              </w:rPr>
              <w:t>Coûts de la réunion (1 semaine, 75 participants) (25 % en nature)</w:t>
            </w:r>
          </w:p>
        </w:tc>
        <w:tc>
          <w:tcPr>
            <w:tcW w:w="936" w:type="dxa"/>
            <w:tcBorders>
              <w:top w:val="single" w:sz="4" w:space="0" w:color="auto"/>
              <w:left w:val="single" w:sz="4" w:space="0" w:color="auto"/>
              <w:bottom w:val="single" w:sz="4" w:space="0" w:color="auto"/>
              <w:right w:val="single" w:sz="4" w:space="0" w:color="auto"/>
            </w:tcBorders>
            <w:hideMark/>
          </w:tcPr>
          <w:p w:rsidR="00D66005" w:rsidRPr="00F77964" w:rsidRDefault="00D66005" w:rsidP="000E0AA1">
            <w:pPr>
              <w:pStyle w:val="Normal-pool"/>
              <w:spacing w:before="40" w:after="40"/>
              <w:rPr>
                <w:rFonts w:eastAsia="SimSun"/>
                <w:sz w:val="18"/>
                <w:szCs w:val="18"/>
                <w:lang w:eastAsia="zh-CN"/>
              </w:rPr>
            </w:pPr>
            <w:r w:rsidRPr="00F77964">
              <w:rPr>
                <w:rFonts w:eastAsia="SimSun"/>
                <w:sz w:val="18"/>
                <w:szCs w:val="18"/>
                <w:lang w:eastAsia="zh-CN"/>
              </w:rPr>
              <w:t>15</w:t>
            </w:r>
            <w:r w:rsidR="00FC5607" w:rsidRPr="00F77964">
              <w:rPr>
                <w:rFonts w:eastAsia="SimSun"/>
                <w:sz w:val="18"/>
                <w:szCs w:val="18"/>
                <w:lang w:eastAsia="zh-CN"/>
              </w:rPr>
              <w:t> </w:t>
            </w:r>
            <w:r w:rsidRPr="00F77964">
              <w:rPr>
                <w:rFonts w:eastAsia="SimSun"/>
                <w:sz w:val="18"/>
                <w:szCs w:val="18"/>
                <w:lang w:eastAsia="zh-CN"/>
              </w:rPr>
              <w:t>000</w:t>
            </w:r>
          </w:p>
        </w:tc>
      </w:tr>
      <w:tr w:rsidR="00614C81" w:rsidRPr="0061490E" w:rsidTr="000E0AA1">
        <w:trPr>
          <w:trHeight w:val="337"/>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0E0AA1">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0E0AA1">
            <w:pPr>
              <w:rPr>
                <w:rFonts w:eastAsia="SimSun"/>
                <w:sz w:val="18"/>
                <w:szCs w:val="18"/>
                <w:lang w:eastAsia="zh-CN"/>
              </w:rPr>
            </w:pPr>
          </w:p>
        </w:tc>
        <w:tc>
          <w:tcPr>
            <w:tcW w:w="2923" w:type="dxa"/>
            <w:tcBorders>
              <w:top w:val="single" w:sz="4" w:space="0" w:color="auto"/>
              <w:left w:val="single" w:sz="4" w:space="0" w:color="auto"/>
              <w:bottom w:val="single" w:sz="4" w:space="0" w:color="auto"/>
              <w:right w:val="single" w:sz="4" w:space="0" w:color="auto"/>
            </w:tcBorders>
            <w:hideMark/>
          </w:tcPr>
          <w:p w:rsidR="00D66005" w:rsidRPr="00F77964" w:rsidRDefault="00D972E8" w:rsidP="000E0AA1">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00614C81" w:rsidRPr="00F77964">
              <w:rPr>
                <w:rFonts w:eastAsia="SimSun"/>
                <w:sz w:val="18"/>
                <w:szCs w:val="18"/>
                <w:lang w:eastAsia="zh-CN"/>
              </w:rPr>
              <w:t xml:space="preserve"> (56 x 3 000 dollars)</w:t>
            </w:r>
          </w:p>
        </w:tc>
        <w:tc>
          <w:tcPr>
            <w:tcW w:w="936" w:type="dxa"/>
            <w:tcBorders>
              <w:top w:val="single" w:sz="4" w:space="0" w:color="auto"/>
              <w:left w:val="single" w:sz="4" w:space="0" w:color="auto"/>
              <w:bottom w:val="single" w:sz="4" w:space="0" w:color="auto"/>
              <w:right w:val="single" w:sz="4" w:space="0" w:color="auto"/>
            </w:tcBorders>
            <w:hideMark/>
          </w:tcPr>
          <w:p w:rsidR="00D66005" w:rsidRPr="00F77964" w:rsidRDefault="00D66005" w:rsidP="000E0AA1">
            <w:pPr>
              <w:pStyle w:val="Normal-pool"/>
              <w:spacing w:before="40" w:after="40"/>
              <w:rPr>
                <w:rFonts w:eastAsia="SimSun"/>
                <w:sz w:val="18"/>
                <w:szCs w:val="18"/>
                <w:lang w:eastAsia="zh-CN"/>
              </w:rPr>
            </w:pPr>
            <w:r w:rsidRPr="00F77964">
              <w:rPr>
                <w:rFonts w:eastAsia="SimSun"/>
                <w:sz w:val="18"/>
                <w:szCs w:val="18"/>
                <w:lang w:eastAsia="zh-CN"/>
              </w:rPr>
              <w:t>168</w:t>
            </w:r>
            <w:r w:rsidR="00FC5607" w:rsidRPr="00F77964">
              <w:rPr>
                <w:rFonts w:eastAsia="SimSun"/>
                <w:sz w:val="18"/>
                <w:szCs w:val="18"/>
                <w:lang w:eastAsia="zh-CN"/>
              </w:rPr>
              <w:t> </w:t>
            </w:r>
            <w:r w:rsidRPr="00F77964">
              <w:rPr>
                <w:rFonts w:eastAsia="SimSun"/>
                <w:sz w:val="18"/>
                <w:szCs w:val="18"/>
                <w:lang w:eastAsia="zh-CN"/>
              </w:rPr>
              <w:t>000</w:t>
            </w:r>
          </w:p>
        </w:tc>
      </w:tr>
      <w:tr w:rsidR="00614C81" w:rsidRPr="0061490E" w:rsidTr="000E0AA1">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0E0AA1">
            <w:pPr>
              <w:rPr>
                <w:rFonts w:eastAsia="SimSun"/>
                <w:sz w:val="18"/>
                <w:szCs w:val="18"/>
                <w:lang w:eastAsia="zh-CN"/>
              </w:rPr>
            </w:pPr>
          </w:p>
        </w:tc>
        <w:tc>
          <w:tcPr>
            <w:tcW w:w="3108"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FC5607" w:rsidP="000E0AA1">
            <w:pPr>
              <w:pStyle w:val="Normal-pool"/>
              <w:spacing w:before="40" w:after="40"/>
              <w:rPr>
                <w:rFonts w:eastAsia="SimSun"/>
                <w:sz w:val="18"/>
                <w:szCs w:val="18"/>
                <w:lang w:eastAsia="zh-CN"/>
              </w:rPr>
            </w:pPr>
            <w:r w:rsidRPr="00F77964">
              <w:rPr>
                <w:rFonts w:eastAsia="SimSun"/>
                <w:sz w:val="18"/>
                <w:szCs w:val="18"/>
                <w:lang w:eastAsia="zh-CN"/>
              </w:rPr>
              <w:t>Troisième réunion des auteurs (70 coprésidents, auteurs coordonnateurs principaux et auteurs principaux</w:t>
            </w:r>
            <w:r w:rsidR="00C673C7">
              <w:rPr>
                <w:rFonts w:eastAsia="SimSun"/>
                <w:sz w:val="18"/>
                <w:szCs w:val="18"/>
                <w:lang w:eastAsia="zh-CN"/>
              </w:rPr>
              <w:t xml:space="preserve"> + </w:t>
            </w:r>
            <w:r w:rsidRPr="00F77964">
              <w:rPr>
                <w:rFonts w:eastAsia="SimSun"/>
                <w:sz w:val="18"/>
                <w:szCs w:val="18"/>
                <w:lang w:eastAsia="zh-CN"/>
              </w:rPr>
              <w:t>15 éditeurs-réviseurs</w:t>
            </w:r>
            <w:r w:rsidR="00D972E8">
              <w:rPr>
                <w:rFonts w:eastAsia="SimSun"/>
                <w:sz w:val="18"/>
                <w:szCs w:val="18"/>
                <w:lang w:eastAsia="zh-CN"/>
              </w:rPr>
              <w:t xml:space="preserve"> + </w:t>
            </w:r>
            <w:r w:rsidRPr="00F77964">
              <w:rPr>
                <w:rFonts w:eastAsia="SimSun"/>
                <w:sz w:val="18"/>
                <w:szCs w:val="18"/>
                <w:lang w:eastAsia="zh-CN"/>
              </w:rPr>
              <w:t>4 membres du Groupe d’experts multidisciplinaire/Bureau</w:t>
            </w:r>
            <w:r w:rsidR="00D972E8">
              <w:rPr>
                <w:rFonts w:eastAsia="SimSun"/>
                <w:sz w:val="18"/>
                <w:szCs w:val="18"/>
                <w:lang w:eastAsia="zh-CN"/>
              </w:rPr>
              <w:t xml:space="preserve"> + </w:t>
            </w:r>
            <w:r w:rsidRPr="00F77964">
              <w:rPr>
                <w:rFonts w:eastAsia="SimSun"/>
                <w:sz w:val="18"/>
                <w:szCs w:val="18"/>
                <w:lang w:eastAsia="zh-CN"/>
              </w:rPr>
              <w:t>1 agent des services d’appui technique)</w:t>
            </w:r>
          </w:p>
        </w:tc>
        <w:tc>
          <w:tcPr>
            <w:tcW w:w="2923" w:type="dxa"/>
            <w:tcBorders>
              <w:top w:val="single" w:sz="4" w:space="0" w:color="auto"/>
              <w:left w:val="single" w:sz="4" w:space="0" w:color="auto"/>
              <w:bottom w:val="single" w:sz="4" w:space="0" w:color="auto"/>
              <w:right w:val="single" w:sz="4" w:space="0" w:color="auto"/>
            </w:tcBorders>
            <w:hideMark/>
          </w:tcPr>
          <w:p w:rsidR="00D66005" w:rsidRPr="00F77964" w:rsidRDefault="00614C81" w:rsidP="000E0AA1">
            <w:pPr>
              <w:pStyle w:val="Normal-pool"/>
              <w:spacing w:before="40" w:after="40"/>
              <w:rPr>
                <w:rFonts w:eastAsia="SimSun"/>
                <w:sz w:val="18"/>
                <w:szCs w:val="18"/>
                <w:lang w:eastAsia="zh-CN"/>
              </w:rPr>
            </w:pPr>
            <w:r w:rsidRPr="00F77964">
              <w:rPr>
                <w:rFonts w:eastAsia="SimSun"/>
                <w:sz w:val="18"/>
                <w:szCs w:val="18"/>
                <w:lang w:eastAsia="zh-CN"/>
              </w:rPr>
              <w:t xml:space="preserve">Coûts de la réunion (1 semaine, </w:t>
            </w:r>
            <w:r w:rsidR="00FC5607" w:rsidRPr="00F77964">
              <w:rPr>
                <w:rFonts w:eastAsia="SimSun"/>
                <w:sz w:val="18"/>
                <w:szCs w:val="18"/>
                <w:lang w:eastAsia="zh-CN"/>
              </w:rPr>
              <w:t>90</w:t>
            </w:r>
            <w:r w:rsidRPr="00F77964">
              <w:rPr>
                <w:rFonts w:eastAsia="SimSun"/>
                <w:sz w:val="18"/>
                <w:szCs w:val="18"/>
                <w:lang w:eastAsia="zh-CN"/>
              </w:rPr>
              <w:t> participants) (25 % en nature)</w:t>
            </w:r>
          </w:p>
        </w:tc>
        <w:tc>
          <w:tcPr>
            <w:tcW w:w="936" w:type="dxa"/>
            <w:tcBorders>
              <w:top w:val="single" w:sz="4" w:space="0" w:color="auto"/>
              <w:left w:val="single" w:sz="4" w:space="0" w:color="auto"/>
              <w:bottom w:val="single" w:sz="4" w:space="0" w:color="auto"/>
              <w:right w:val="single" w:sz="4" w:space="0" w:color="auto"/>
            </w:tcBorders>
            <w:hideMark/>
          </w:tcPr>
          <w:p w:rsidR="00D66005" w:rsidRPr="00F77964" w:rsidRDefault="00D66005" w:rsidP="000E0AA1">
            <w:pPr>
              <w:pStyle w:val="Normal-pool"/>
              <w:spacing w:before="40" w:after="40"/>
              <w:rPr>
                <w:rFonts w:eastAsia="SimSun"/>
                <w:sz w:val="18"/>
                <w:szCs w:val="18"/>
                <w:lang w:eastAsia="zh-CN"/>
              </w:rPr>
            </w:pPr>
            <w:r w:rsidRPr="00F77964">
              <w:rPr>
                <w:rFonts w:eastAsia="SimSun"/>
                <w:sz w:val="18"/>
                <w:szCs w:val="18"/>
                <w:lang w:eastAsia="zh-CN"/>
              </w:rPr>
              <w:t>18</w:t>
            </w:r>
            <w:r w:rsidR="00FC5607" w:rsidRPr="00F77964">
              <w:rPr>
                <w:rFonts w:eastAsia="SimSun"/>
                <w:sz w:val="18"/>
                <w:szCs w:val="18"/>
                <w:lang w:eastAsia="zh-CN"/>
              </w:rPr>
              <w:t> </w:t>
            </w:r>
            <w:r w:rsidRPr="00F77964">
              <w:rPr>
                <w:rFonts w:eastAsia="SimSun"/>
                <w:sz w:val="18"/>
                <w:szCs w:val="18"/>
                <w:lang w:eastAsia="zh-CN"/>
              </w:rPr>
              <w:t>750</w:t>
            </w:r>
          </w:p>
        </w:tc>
      </w:tr>
      <w:tr w:rsidR="00614C81" w:rsidRPr="0061490E" w:rsidTr="000E0AA1">
        <w:trPr>
          <w:trHeight w:val="339"/>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0E0AA1">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0E0AA1">
            <w:pPr>
              <w:rPr>
                <w:rFonts w:eastAsia="SimSun"/>
                <w:sz w:val="18"/>
                <w:szCs w:val="18"/>
                <w:lang w:eastAsia="zh-CN"/>
              </w:rPr>
            </w:pPr>
          </w:p>
        </w:tc>
        <w:tc>
          <w:tcPr>
            <w:tcW w:w="2923" w:type="dxa"/>
            <w:tcBorders>
              <w:top w:val="single" w:sz="4" w:space="0" w:color="auto"/>
              <w:left w:val="single" w:sz="4" w:space="0" w:color="auto"/>
              <w:bottom w:val="single" w:sz="4" w:space="0" w:color="auto"/>
              <w:right w:val="single" w:sz="4" w:space="0" w:color="auto"/>
            </w:tcBorders>
            <w:hideMark/>
          </w:tcPr>
          <w:p w:rsidR="00D66005" w:rsidRPr="00F77964" w:rsidRDefault="00D972E8" w:rsidP="000E0AA1">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00614C81" w:rsidRPr="00F77964">
              <w:rPr>
                <w:rFonts w:eastAsia="SimSun"/>
                <w:sz w:val="18"/>
                <w:szCs w:val="18"/>
                <w:lang w:eastAsia="zh-CN"/>
              </w:rPr>
              <w:t xml:space="preserve"> (</w:t>
            </w:r>
            <w:r w:rsidR="00FC5607" w:rsidRPr="00F77964">
              <w:rPr>
                <w:rFonts w:eastAsia="SimSun"/>
                <w:sz w:val="18"/>
                <w:szCs w:val="18"/>
                <w:lang w:eastAsia="zh-CN"/>
              </w:rPr>
              <w:t>68</w:t>
            </w:r>
            <w:r w:rsidR="00614C81" w:rsidRPr="00F77964">
              <w:rPr>
                <w:rFonts w:eastAsia="SimSun"/>
                <w:sz w:val="18"/>
                <w:szCs w:val="18"/>
                <w:lang w:eastAsia="zh-CN"/>
              </w:rPr>
              <w:t> x 3 000 dollars)</w:t>
            </w:r>
          </w:p>
        </w:tc>
        <w:tc>
          <w:tcPr>
            <w:tcW w:w="936" w:type="dxa"/>
            <w:tcBorders>
              <w:top w:val="single" w:sz="4" w:space="0" w:color="auto"/>
              <w:left w:val="single" w:sz="4" w:space="0" w:color="auto"/>
              <w:bottom w:val="single" w:sz="4" w:space="0" w:color="auto"/>
              <w:right w:val="single" w:sz="4" w:space="0" w:color="auto"/>
            </w:tcBorders>
            <w:hideMark/>
          </w:tcPr>
          <w:p w:rsidR="00D66005" w:rsidRPr="00F77964" w:rsidRDefault="00D66005" w:rsidP="000E0AA1">
            <w:pPr>
              <w:pStyle w:val="Normal-pool"/>
              <w:spacing w:before="40" w:after="40"/>
              <w:rPr>
                <w:rFonts w:eastAsia="SimSun"/>
                <w:sz w:val="18"/>
                <w:szCs w:val="18"/>
                <w:lang w:eastAsia="zh-CN"/>
              </w:rPr>
            </w:pPr>
            <w:r w:rsidRPr="00F77964">
              <w:rPr>
                <w:rFonts w:eastAsia="SimSun"/>
                <w:sz w:val="18"/>
                <w:szCs w:val="18"/>
                <w:lang w:eastAsia="zh-CN"/>
              </w:rPr>
              <w:t>20</w:t>
            </w:r>
            <w:r w:rsidR="00FC5607" w:rsidRPr="00F77964">
              <w:rPr>
                <w:rFonts w:eastAsia="SimSun"/>
                <w:sz w:val="18"/>
                <w:szCs w:val="18"/>
                <w:lang w:eastAsia="zh-CN"/>
              </w:rPr>
              <w:t>4 </w:t>
            </w:r>
            <w:r w:rsidRPr="00F77964">
              <w:rPr>
                <w:rFonts w:eastAsia="SimSun"/>
                <w:sz w:val="18"/>
                <w:szCs w:val="18"/>
                <w:lang w:eastAsia="zh-CN"/>
              </w:rPr>
              <w:t>000</w:t>
            </w:r>
          </w:p>
        </w:tc>
      </w:tr>
      <w:tr w:rsidR="00614C81" w:rsidRPr="0061490E" w:rsidTr="000E0AA1">
        <w:trPr>
          <w:trHeight w:val="361"/>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0E0AA1">
            <w:pPr>
              <w:rPr>
                <w:rFonts w:eastAsia="SimSun"/>
                <w:sz w:val="18"/>
                <w:szCs w:val="18"/>
                <w:lang w:eastAsia="zh-CN"/>
              </w:rPr>
            </w:pPr>
          </w:p>
        </w:tc>
        <w:tc>
          <w:tcPr>
            <w:tcW w:w="3108" w:type="dxa"/>
            <w:tcBorders>
              <w:top w:val="single" w:sz="4" w:space="0" w:color="auto"/>
              <w:left w:val="single" w:sz="4" w:space="0" w:color="auto"/>
              <w:bottom w:val="single" w:sz="4" w:space="0" w:color="auto"/>
              <w:right w:val="single" w:sz="4" w:space="0" w:color="auto"/>
            </w:tcBorders>
            <w:hideMark/>
          </w:tcPr>
          <w:p w:rsidR="00D66005" w:rsidRPr="00F77964" w:rsidRDefault="00FC5607" w:rsidP="000E0AA1">
            <w:pPr>
              <w:pStyle w:val="Normal-pool"/>
              <w:spacing w:before="40" w:after="40"/>
              <w:rPr>
                <w:rFonts w:eastAsia="SimSun"/>
                <w:sz w:val="18"/>
                <w:szCs w:val="18"/>
                <w:lang w:eastAsia="zh-CN"/>
              </w:rPr>
            </w:pPr>
            <w:r w:rsidRPr="00F77964">
              <w:rPr>
                <w:rFonts w:eastAsia="SimSun"/>
                <w:sz w:val="18"/>
                <w:szCs w:val="18"/>
                <w:lang w:eastAsia="zh-CN"/>
              </w:rPr>
              <w:t>Appui technique</w:t>
            </w:r>
          </w:p>
        </w:tc>
        <w:tc>
          <w:tcPr>
            <w:tcW w:w="2923" w:type="dxa"/>
            <w:tcBorders>
              <w:top w:val="single" w:sz="4" w:space="0" w:color="auto"/>
              <w:left w:val="single" w:sz="4" w:space="0" w:color="auto"/>
              <w:bottom w:val="single" w:sz="4" w:space="0" w:color="auto"/>
              <w:right w:val="single" w:sz="4" w:space="0" w:color="auto"/>
            </w:tcBorders>
            <w:hideMark/>
          </w:tcPr>
          <w:p w:rsidR="00D66005" w:rsidRPr="00F77964" w:rsidRDefault="00D66005" w:rsidP="000E0AA1">
            <w:pPr>
              <w:pStyle w:val="Normal-pool"/>
              <w:spacing w:before="40" w:after="40"/>
              <w:rPr>
                <w:rFonts w:eastAsia="SimSun"/>
                <w:sz w:val="18"/>
                <w:szCs w:val="18"/>
                <w:lang w:eastAsia="zh-CN"/>
              </w:rPr>
            </w:pPr>
            <w:r w:rsidRPr="00F77964">
              <w:rPr>
                <w:rFonts w:eastAsia="SimSun"/>
                <w:sz w:val="18"/>
                <w:szCs w:val="18"/>
                <w:lang w:eastAsia="zh-CN"/>
              </w:rPr>
              <w:t xml:space="preserve">1 </w:t>
            </w:r>
            <w:r w:rsidR="00FC5607" w:rsidRPr="00F77964">
              <w:rPr>
                <w:rFonts w:eastAsia="SimSun"/>
                <w:sz w:val="18"/>
                <w:szCs w:val="18"/>
                <w:lang w:eastAsia="zh-CN"/>
              </w:rPr>
              <w:t>poste d’administrateur équivalent plein temps</w:t>
            </w:r>
            <w:r w:rsidRPr="00F77964">
              <w:rPr>
                <w:rFonts w:eastAsia="SimSun"/>
                <w:sz w:val="18"/>
                <w:szCs w:val="18"/>
                <w:lang w:eastAsia="zh-CN"/>
              </w:rPr>
              <w:t xml:space="preserve"> (50</w:t>
            </w:r>
            <w:r w:rsidR="00FC5607" w:rsidRPr="00F77964">
              <w:rPr>
                <w:rFonts w:eastAsia="SimSun"/>
                <w:sz w:val="18"/>
                <w:szCs w:val="18"/>
                <w:lang w:eastAsia="zh-CN"/>
              </w:rPr>
              <w:t> % en nature)</w:t>
            </w:r>
          </w:p>
        </w:tc>
        <w:tc>
          <w:tcPr>
            <w:tcW w:w="936" w:type="dxa"/>
            <w:tcBorders>
              <w:top w:val="single" w:sz="4" w:space="0" w:color="auto"/>
              <w:left w:val="single" w:sz="4" w:space="0" w:color="auto"/>
              <w:bottom w:val="single" w:sz="4" w:space="0" w:color="auto"/>
              <w:right w:val="single" w:sz="4" w:space="0" w:color="auto"/>
            </w:tcBorders>
            <w:hideMark/>
          </w:tcPr>
          <w:p w:rsidR="00D66005" w:rsidRPr="00F77964" w:rsidRDefault="00D66005" w:rsidP="000E0AA1">
            <w:pPr>
              <w:pStyle w:val="Normal-pool"/>
              <w:spacing w:before="40" w:after="40"/>
              <w:rPr>
                <w:rFonts w:eastAsia="SimSun"/>
                <w:sz w:val="18"/>
                <w:szCs w:val="18"/>
                <w:lang w:eastAsia="zh-CN"/>
              </w:rPr>
            </w:pPr>
            <w:r w:rsidRPr="00F77964">
              <w:rPr>
                <w:rFonts w:eastAsia="SimSun"/>
                <w:sz w:val="18"/>
                <w:szCs w:val="18"/>
                <w:lang w:eastAsia="zh-CN"/>
              </w:rPr>
              <w:t>75</w:t>
            </w:r>
            <w:r w:rsidR="00FC5607" w:rsidRPr="00F77964">
              <w:rPr>
                <w:rFonts w:eastAsia="SimSun"/>
                <w:sz w:val="18"/>
                <w:szCs w:val="18"/>
                <w:lang w:eastAsia="zh-CN"/>
              </w:rPr>
              <w:t> </w:t>
            </w:r>
            <w:r w:rsidRPr="00F77964">
              <w:rPr>
                <w:rFonts w:eastAsia="SimSun"/>
                <w:sz w:val="18"/>
                <w:szCs w:val="18"/>
                <w:lang w:eastAsia="zh-CN"/>
              </w:rPr>
              <w:t>000</w:t>
            </w:r>
          </w:p>
        </w:tc>
      </w:tr>
      <w:tr w:rsidR="00614C81" w:rsidRPr="0061490E" w:rsidTr="000E0AA1">
        <w:trPr>
          <w:trHeight w:val="317"/>
        </w:trPr>
        <w:tc>
          <w:tcPr>
            <w:tcW w:w="1027"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D66005" w:rsidP="000E0AA1">
            <w:pPr>
              <w:pStyle w:val="Normal-pool"/>
              <w:spacing w:before="40" w:after="40"/>
              <w:rPr>
                <w:rFonts w:eastAsia="SimSun"/>
                <w:sz w:val="18"/>
                <w:szCs w:val="18"/>
                <w:lang w:eastAsia="zh-CN"/>
              </w:rPr>
            </w:pPr>
            <w:r w:rsidRPr="00F77964">
              <w:rPr>
                <w:rFonts w:eastAsia="SimSun"/>
                <w:sz w:val="18"/>
                <w:szCs w:val="18"/>
                <w:lang w:eastAsia="zh-CN"/>
              </w:rPr>
              <w:t>2015</w:t>
            </w:r>
          </w:p>
        </w:tc>
        <w:tc>
          <w:tcPr>
            <w:tcW w:w="3108" w:type="dxa"/>
            <w:tcBorders>
              <w:top w:val="single" w:sz="4" w:space="0" w:color="auto"/>
              <w:left w:val="single" w:sz="4" w:space="0" w:color="auto"/>
              <w:bottom w:val="single" w:sz="4" w:space="0" w:color="auto"/>
              <w:right w:val="single" w:sz="4" w:space="0" w:color="auto"/>
            </w:tcBorders>
            <w:hideMark/>
          </w:tcPr>
          <w:p w:rsidR="00D66005" w:rsidRPr="00F77964" w:rsidRDefault="00FC5607" w:rsidP="000E0AA1">
            <w:pPr>
              <w:pStyle w:val="Normal-pool"/>
              <w:spacing w:before="40" w:after="40"/>
              <w:rPr>
                <w:rFonts w:eastAsia="SimSun"/>
                <w:sz w:val="18"/>
                <w:szCs w:val="18"/>
                <w:lang w:eastAsia="zh-CN"/>
              </w:rPr>
            </w:pPr>
            <w:r w:rsidRPr="00F77964">
              <w:rPr>
                <w:rFonts w:eastAsia="SimSun"/>
                <w:sz w:val="18"/>
                <w:szCs w:val="18"/>
                <w:lang w:eastAsia="zh-CN"/>
              </w:rPr>
              <w:t>Participation de 2 </w:t>
            </w:r>
            <w:r w:rsidR="006E337B">
              <w:rPr>
                <w:rFonts w:eastAsia="SimSun"/>
                <w:sz w:val="18"/>
                <w:szCs w:val="18"/>
                <w:lang w:eastAsia="zh-CN"/>
              </w:rPr>
              <w:t>coprésidents</w:t>
            </w:r>
            <w:r w:rsidRPr="00F77964">
              <w:rPr>
                <w:rFonts w:eastAsia="SimSun"/>
                <w:sz w:val="18"/>
                <w:szCs w:val="18"/>
                <w:lang w:eastAsia="zh-CN"/>
              </w:rPr>
              <w:t xml:space="preserve"> et de 2 auteurs coordonnateurs principaux</w:t>
            </w:r>
            <w:r w:rsidR="00AA6C94">
              <w:rPr>
                <w:rFonts w:eastAsia="SimSun"/>
                <w:sz w:val="18"/>
                <w:szCs w:val="18"/>
                <w:lang w:eastAsia="zh-CN"/>
              </w:rPr>
              <w:t xml:space="preserve"> </w:t>
            </w:r>
            <w:r w:rsidR="00AA6C94" w:rsidRPr="00F77964">
              <w:rPr>
                <w:rFonts w:eastAsia="SimSun"/>
                <w:sz w:val="18"/>
                <w:szCs w:val="18"/>
                <w:lang w:eastAsia="zh-CN"/>
              </w:rPr>
              <w:t xml:space="preserve">à </w:t>
            </w:r>
            <w:r w:rsidR="00AA6C94" w:rsidRPr="00F77964">
              <w:rPr>
                <w:rFonts w:eastAsia="SimSun"/>
                <w:sz w:val="18"/>
                <w:szCs w:val="18"/>
                <w:lang w:eastAsia="zh-CN"/>
              </w:rPr>
              <w:lastRenderedPageBreak/>
              <w:t xml:space="preserve">la troisième session de la Plénière </w:t>
            </w:r>
          </w:p>
        </w:tc>
        <w:tc>
          <w:tcPr>
            <w:tcW w:w="2923" w:type="dxa"/>
            <w:tcBorders>
              <w:top w:val="single" w:sz="4" w:space="0" w:color="auto"/>
              <w:left w:val="single" w:sz="4" w:space="0" w:color="auto"/>
              <w:bottom w:val="single" w:sz="4" w:space="0" w:color="auto"/>
              <w:right w:val="single" w:sz="4" w:space="0" w:color="auto"/>
            </w:tcBorders>
            <w:hideMark/>
          </w:tcPr>
          <w:p w:rsidR="00D66005" w:rsidRPr="00F77964" w:rsidRDefault="00D972E8" w:rsidP="000E0AA1">
            <w:pPr>
              <w:pStyle w:val="Normal-pool"/>
              <w:spacing w:before="40" w:after="40"/>
              <w:rPr>
                <w:rFonts w:eastAsia="SimSun"/>
                <w:sz w:val="18"/>
                <w:szCs w:val="18"/>
                <w:lang w:eastAsia="zh-CN"/>
              </w:rPr>
            </w:pPr>
            <w:r>
              <w:rPr>
                <w:rFonts w:eastAsia="SimSun"/>
                <w:sz w:val="18"/>
                <w:szCs w:val="18"/>
                <w:lang w:eastAsia="zh-CN"/>
              </w:rPr>
              <w:lastRenderedPageBreak/>
              <w:t>Frais de voyage et indemnités journalières de subsistance</w:t>
            </w:r>
            <w:r w:rsidR="00614C81" w:rsidRPr="00F77964">
              <w:rPr>
                <w:rFonts w:eastAsia="SimSun"/>
                <w:sz w:val="18"/>
                <w:szCs w:val="18"/>
                <w:lang w:eastAsia="zh-CN"/>
              </w:rPr>
              <w:t xml:space="preserve"> </w:t>
            </w:r>
            <w:r w:rsidR="00614C81" w:rsidRPr="00F77964">
              <w:rPr>
                <w:rFonts w:eastAsia="SimSun"/>
                <w:sz w:val="18"/>
                <w:szCs w:val="18"/>
                <w:lang w:eastAsia="zh-CN"/>
              </w:rPr>
              <w:lastRenderedPageBreak/>
              <w:t>(</w:t>
            </w:r>
            <w:r w:rsidR="00FC5607" w:rsidRPr="00F77964">
              <w:rPr>
                <w:rFonts w:eastAsia="SimSun"/>
                <w:sz w:val="18"/>
                <w:szCs w:val="18"/>
                <w:lang w:eastAsia="zh-CN"/>
              </w:rPr>
              <w:t>3</w:t>
            </w:r>
            <w:r w:rsidR="00614C81" w:rsidRPr="00F77964">
              <w:rPr>
                <w:rFonts w:eastAsia="SimSun"/>
                <w:sz w:val="18"/>
                <w:szCs w:val="18"/>
                <w:lang w:eastAsia="zh-CN"/>
              </w:rPr>
              <w:t> x 3 000 dollars)</w:t>
            </w:r>
          </w:p>
        </w:tc>
        <w:tc>
          <w:tcPr>
            <w:tcW w:w="936" w:type="dxa"/>
            <w:tcBorders>
              <w:top w:val="single" w:sz="4" w:space="0" w:color="auto"/>
              <w:left w:val="single" w:sz="4" w:space="0" w:color="auto"/>
              <w:bottom w:val="single" w:sz="4" w:space="0" w:color="auto"/>
              <w:right w:val="single" w:sz="4" w:space="0" w:color="auto"/>
            </w:tcBorders>
            <w:hideMark/>
          </w:tcPr>
          <w:p w:rsidR="00D66005" w:rsidRPr="00F77964" w:rsidRDefault="00D66005" w:rsidP="000E0AA1">
            <w:pPr>
              <w:pStyle w:val="Normal-pool"/>
              <w:spacing w:before="40" w:after="40"/>
              <w:rPr>
                <w:rFonts w:eastAsia="SimSun"/>
                <w:sz w:val="18"/>
                <w:szCs w:val="18"/>
                <w:lang w:eastAsia="zh-CN"/>
              </w:rPr>
            </w:pPr>
            <w:r w:rsidRPr="00F77964">
              <w:rPr>
                <w:rFonts w:eastAsia="SimSun"/>
                <w:sz w:val="18"/>
                <w:szCs w:val="18"/>
                <w:lang w:eastAsia="zh-CN"/>
              </w:rPr>
              <w:lastRenderedPageBreak/>
              <w:t>9</w:t>
            </w:r>
            <w:r w:rsidR="00FC5607" w:rsidRPr="00F77964">
              <w:rPr>
                <w:rFonts w:eastAsia="SimSun"/>
                <w:sz w:val="18"/>
                <w:szCs w:val="18"/>
                <w:lang w:eastAsia="zh-CN"/>
              </w:rPr>
              <w:t> </w:t>
            </w:r>
            <w:r w:rsidRPr="00F77964">
              <w:rPr>
                <w:rFonts w:eastAsia="SimSun"/>
                <w:sz w:val="18"/>
                <w:szCs w:val="18"/>
                <w:lang w:eastAsia="zh-CN"/>
              </w:rPr>
              <w:t>000</w:t>
            </w:r>
          </w:p>
        </w:tc>
      </w:tr>
      <w:tr w:rsidR="00614C81" w:rsidRPr="0061490E" w:rsidTr="000E0AA1">
        <w:trPr>
          <w:trHeight w:val="560"/>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0E0AA1">
            <w:pPr>
              <w:rPr>
                <w:rFonts w:eastAsia="SimSun"/>
                <w:sz w:val="18"/>
                <w:szCs w:val="18"/>
                <w:lang w:eastAsia="zh-CN"/>
              </w:rPr>
            </w:pPr>
          </w:p>
        </w:tc>
        <w:tc>
          <w:tcPr>
            <w:tcW w:w="3108" w:type="dxa"/>
            <w:tcBorders>
              <w:top w:val="single" w:sz="4" w:space="0" w:color="auto"/>
              <w:left w:val="single" w:sz="4" w:space="0" w:color="auto"/>
              <w:bottom w:val="single" w:sz="4" w:space="0" w:color="auto"/>
              <w:right w:val="single" w:sz="4" w:space="0" w:color="auto"/>
            </w:tcBorders>
            <w:hideMark/>
          </w:tcPr>
          <w:p w:rsidR="00D66005" w:rsidRPr="00F77964" w:rsidRDefault="00FC5607" w:rsidP="000E0AA1">
            <w:pPr>
              <w:pStyle w:val="Normal-pool"/>
              <w:spacing w:before="40" w:after="40"/>
              <w:rPr>
                <w:rFonts w:eastAsia="SimSun"/>
                <w:sz w:val="18"/>
                <w:szCs w:val="18"/>
                <w:lang w:eastAsia="zh-CN"/>
              </w:rPr>
            </w:pPr>
            <w:r w:rsidRPr="00F77964">
              <w:rPr>
                <w:rFonts w:eastAsia="SimSun"/>
                <w:sz w:val="18"/>
                <w:szCs w:val="18"/>
                <w:lang w:eastAsia="zh-CN"/>
              </w:rPr>
              <w:t xml:space="preserve">Diffusion </w:t>
            </w:r>
            <w:r w:rsidR="00F23269">
              <w:rPr>
                <w:rFonts w:eastAsia="SimSun"/>
                <w:sz w:val="18"/>
                <w:szCs w:val="18"/>
                <w:lang w:eastAsia="zh-CN"/>
              </w:rPr>
              <w:t>(résumé à l’intention des déci</w:t>
            </w:r>
            <w:r w:rsidR="001D0F4C">
              <w:rPr>
                <w:rFonts w:eastAsia="SimSun"/>
                <w:sz w:val="18"/>
                <w:szCs w:val="18"/>
                <w:lang w:eastAsia="zh-CN"/>
              </w:rPr>
              <w:t>deurs (10 pages) et rapport 200 </w:t>
            </w:r>
            <w:r w:rsidR="00F23269">
              <w:rPr>
                <w:rFonts w:eastAsia="SimSun"/>
                <w:sz w:val="18"/>
                <w:szCs w:val="18"/>
                <w:lang w:eastAsia="zh-CN"/>
              </w:rPr>
              <w:t xml:space="preserve">pages)) et animation </w:t>
            </w:r>
          </w:p>
        </w:tc>
        <w:tc>
          <w:tcPr>
            <w:tcW w:w="2923" w:type="dxa"/>
            <w:tcBorders>
              <w:top w:val="single" w:sz="4" w:space="0" w:color="auto"/>
              <w:left w:val="single" w:sz="4" w:space="0" w:color="auto"/>
              <w:bottom w:val="single" w:sz="4" w:space="0" w:color="auto"/>
              <w:right w:val="single" w:sz="4" w:space="0" w:color="auto"/>
            </w:tcBorders>
            <w:hideMark/>
          </w:tcPr>
          <w:p w:rsidR="00D66005" w:rsidRPr="00F77964" w:rsidRDefault="00D66005" w:rsidP="000E0AA1">
            <w:pPr>
              <w:pStyle w:val="Normal-pool"/>
              <w:spacing w:before="40" w:after="40"/>
              <w:rPr>
                <w:rFonts w:eastAsia="SimSun"/>
                <w:sz w:val="18"/>
                <w:szCs w:val="18"/>
                <w:lang w:eastAsia="zh-CN"/>
              </w:rPr>
            </w:pPr>
            <w:r w:rsidRPr="00F77964">
              <w:rPr>
                <w:rFonts w:eastAsia="SimSun"/>
                <w:sz w:val="18"/>
                <w:szCs w:val="18"/>
                <w:lang w:eastAsia="zh-CN"/>
              </w:rPr>
              <w:t>Tra</w:t>
            </w:r>
            <w:r w:rsidR="001D6913" w:rsidRPr="00F77964">
              <w:rPr>
                <w:rFonts w:eastAsia="SimSun"/>
                <w:sz w:val="18"/>
                <w:szCs w:val="18"/>
                <w:lang w:eastAsia="zh-CN"/>
              </w:rPr>
              <w:t>duction du résumé à l’intention des décideurs dans toutes les langues officielles de l’ONU,</w:t>
            </w:r>
            <w:r w:rsidRPr="00F77964">
              <w:rPr>
                <w:rFonts w:eastAsia="SimSun"/>
                <w:sz w:val="18"/>
                <w:szCs w:val="18"/>
                <w:lang w:eastAsia="zh-CN"/>
              </w:rPr>
              <w:t xml:space="preserve"> publication, </w:t>
            </w:r>
            <w:r w:rsidR="00F23269">
              <w:rPr>
                <w:rFonts w:eastAsia="SimSun"/>
                <w:sz w:val="18"/>
                <w:szCs w:val="18"/>
                <w:lang w:eastAsia="zh-CN"/>
              </w:rPr>
              <w:t>animation</w:t>
            </w:r>
          </w:p>
        </w:tc>
        <w:tc>
          <w:tcPr>
            <w:tcW w:w="936" w:type="dxa"/>
            <w:tcBorders>
              <w:top w:val="single" w:sz="4" w:space="0" w:color="auto"/>
              <w:left w:val="single" w:sz="4" w:space="0" w:color="auto"/>
              <w:bottom w:val="single" w:sz="4" w:space="0" w:color="auto"/>
              <w:right w:val="single" w:sz="4" w:space="0" w:color="auto"/>
            </w:tcBorders>
            <w:hideMark/>
          </w:tcPr>
          <w:p w:rsidR="00D66005" w:rsidRPr="00F77964" w:rsidRDefault="00D66005" w:rsidP="000E0AA1">
            <w:pPr>
              <w:pStyle w:val="Normal-pool"/>
              <w:spacing w:before="40" w:after="40"/>
              <w:rPr>
                <w:rFonts w:eastAsia="SimSun"/>
                <w:sz w:val="18"/>
                <w:szCs w:val="18"/>
                <w:lang w:eastAsia="zh-CN"/>
              </w:rPr>
            </w:pPr>
            <w:r w:rsidRPr="00F77964">
              <w:rPr>
                <w:rFonts w:eastAsia="SimSun"/>
                <w:sz w:val="18"/>
                <w:szCs w:val="18"/>
                <w:lang w:eastAsia="zh-CN"/>
              </w:rPr>
              <w:t>117</w:t>
            </w:r>
            <w:r w:rsidR="001D6913" w:rsidRPr="00F77964">
              <w:rPr>
                <w:rFonts w:eastAsia="SimSun"/>
                <w:sz w:val="18"/>
                <w:szCs w:val="18"/>
                <w:lang w:eastAsia="zh-CN"/>
              </w:rPr>
              <w:t> </w:t>
            </w:r>
            <w:r w:rsidRPr="00F77964">
              <w:rPr>
                <w:rFonts w:eastAsia="SimSun"/>
                <w:sz w:val="18"/>
                <w:szCs w:val="18"/>
                <w:lang w:eastAsia="zh-CN"/>
              </w:rPr>
              <w:t>000</w:t>
            </w:r>
          </w:p>
        </w:tc>
      </w:tr>
      <w:tr w:rsidR="00614C81" w:rsidRPr="0061490E" w:rsidTr="000E0AA1">
        <w:trPr>
          <w:trHeight w:val="317"/>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0E0AA1">
            <w:pPr>
              <w:rPr>
                <w:rFonts w:eastAsia="SimSun"/>
                <w:sz w:val="18"/>
                <w:szCs w:val="18"/>
                <w:lang w:eastAsia="zh-CN"/>
              </w:rPr>
            </w:pPr>
          </w:p>
        </w:tc>
        <w:tc>
          <w:tcPr>
            <w:tcW w:w="3108" w:type="dxa"/>
            <w:vMerge w:val="restart"/>
            <w:tcBorders>
              <w:top w:val="single" w:sz="4" w:space="0" w:color="auto"/>
              <w:left w:val="single" w:sz="4" w:space="0" w:color="auto"/>
              <w:bottom w:val="single" w:sz="4" w:space="0" w:color="auto"/>
              <w:right w:val="single" w:sz="4" w:space="0" w:color="auto"/>
            </w:tcBorders>
            <w:hideMark/>
          </w:tcPr>
          <w:p w:rsidR="00D66005" w:rsidRPr="00F77964" w:rsidRDefault="001D6913" w:rsidP="000E0AA1">
            <w:pPr>
              <w:pStyle w:val="Normal-pool"/>
              <w:spacing w:before="40" w:after="40"/>
              <w:rPr>
                <w:rFonts w:eastAsia="SimSun"/>
                <w:sz w:val="18"/>
                <w:szCs w:val="18"/>
                <w:lang w:eastAsia="zh-CN"/>
              </w:rPr>
            </w:pPr>
            <w:r w:rsidRPr="00F77964">
              <w:rPr>
                <w:rFonts w:eastAsia="SimSun"/>
                <w:sz w:val="18"/>
                <w:szCs w:val="18"/>
                <w:lang w:eastAsia="zh-CN"/>
              </w:rPr>
              <w:t>Réunion du groupe d’experts pour établir le guide</w:t>
            </w:r>
            <w:r w:rsidR="00D66005" w:rsidRPr="00F77964">
              <w:rPr>
                <w:rFonts w:eastAsia="SimSun"/>
                <w:sz w:val="18"/>
                <w:szCs w:val="18"/>
                <w:lang w:eastAsia="zh-CN"/>
              </w:rPr>
              <w:t xml:space="preserve"> (5</w:t>
            </w:r>
            <w:r w:rsidRPr="00F77964">
              <w:rPr>
                <w:rFonts w:eastAsia="SimSun"/>
                <w:sz w:val="18"/>
                <w:szCs w:val="18"/>
                <w:lang w:eastAsia="zh-CN"/>
              </w:rPr>
              <w:t> membres du Groupe d’experts multidisciplinaire/</w:t>
            </w:r>
            <w:r w:rsidR="00D66005" w:rsidRPr="00F77964">
              <w:rPr>
                <w:rFonts w:eastAsia="SimSun"/>
                <w:sz w:val="18"/>
                <w:szCs w:val="18"/>
                <w:lang w:eastAsia="zh-CN"/>
              </w:rPr>
              <w:t>Bureau</w:t>
            </w:r>
            <w:r w:rsidR="00C673C7">
              <w:rPr>
                <w:rFonts w:eastAsia="SimSun"/>
                <w:sz w:val="18"/>
                <w:szCs w:val="18"/>
                <w:lang w:eastAsia="zh-CN"/>
              </w:rPr>
              <w:t xml:space="preserve"> + </w:t>
            </w:r>
            <w:r w:rsidR="00D66005" w:rsidRPr="00F77964">
              <w:rPr>
                <w:rFonts w:eastAsia="SimSun"/>
                <w:sz w:val="18"/>
                <w:szCs w:val="18"/>
                <w:lang w:eastAsia="zh-CN"/>
              </w:rPr>
              <w:t>20</w:t>
            </w:r>
            <w:r w:rsidRPr="00F77964">
              <w:rPr>
                <w:rFonts w:eastAsia="SimSun"/>
                <w:sz w:val="18"/>
                <w:szCs w:val="18"/>
                <w:lang w:eastAsia="zh-CN"/>
              </w:rPr>
              <w:t> </w:t>
            </w:r>
            <w:r w:rsidR="006E337B">
              <w:rPr>
                <w:rFonts w:eastAsia="SimSun"/>
                <w:sz w:val="18"/>
                <w:szCs w:val="18"/>
                <w:lang w:eastAsia="zh-CN"/>
              </w:rPr>
              <w:t>coprésidents</w:t>
            </w:r>
            <w:r w:rsidRPr="00F77964">
              <w:rPr>
                <w:rFonts w:eastAsia="SimSun"/>
                <w:sz w:val="18"/>
                <w:szCs w:val="18"/>
                <w:lang w:eastAsia="zh-CN"/>
              </w:rPr>
              <w:t xml:space="preserve"> et auteurs coordonnateurs principaux</w:t>
            </w:r>
            <w:r w:rsidR="00D66005" w:rsidRPr="00F77964">
              <w:rPr>
                <w:rFonts w:eastAsia="SimSun"/>
                <w:sz w:val="18"/>
                <w:szCs w:val="18"/>
                <w:lang w:eastAsia="zh-CN"/>
              </w:rPr>
              <w:t>)</w:t>
            </w:r>
          </w:p>
        </w:tc>
        <w:tc>
          <w:tcPr>
            <w:tcW w:w="2923" w:type="dxa"/>
            <w:tcBorders>
              <w:top w:val="single" w:sz="4" w:space="0" w:color="auto"/>
              <w:left w:val="single" w:sz="4" w:space="0" w:color="auto"/>
              <w:bottom w:val="single" w:sz="4" w:space="0" w:color="auto"/>
              <w:right w:val="single" w:sz="4" w:space="0" w:color="auto"/>
            </w:tcBorders>
            <w:hideMark/>
          </w:tcPr>
          <w:p w:rsidR="00D66005" w:rsidRPr="00F77964" w:rsidRDefault="00614C81" w:rsidP="000E0AA1">
            <w:pPr>
              <w:pStyle w:val="Normal-pool"/>
              <w:spacing w:before="40" w:after="40"/>
              <w:rPr>
                <w:rFonts w:eastAsia="SimSun"/>
                <w:sz w:val="18"/>
                <w:szCs w:val="18"/>
                <w:lang w:eastAsia="zh-CN"/>
              </w:rPr>
            </w:pPr>
            <w:r w:rsidRPr="00F77964">
              <w:rPr>
                <w:rFonts w:eastAsia="SimSun"/>
                <w:sz w:val="18"/>
                <w:szCs w:val="18"/>
                <w:lang w:eastAsia="zh-CN"/>
              </w:rPr>
              <w:t xml:space="preserve">Coûts de la réunion (1 semaine, </w:t>
            </w:r>
            <w:r w:rsidR="001D6913" w:rsidRPr="00F77964">
              <w:rPr>
                <w:rFonts w:eastAsia="SimSun"/>
                <w:sz w:val="18"/>
                <w:szCs w:val="18"/>
                <w:lang w:eastAsia="zh-CN"/>
              </w:rPr>
              <w:t>2</w:t>
            </w:r>
            <w:r w:rsidRPr="00F77964">
              <w:rPr>
                <w:rFonts w:eastAsia="SimSun"/>
                <w:sz w:val="18"/>
                <w:szCs w:val="18"/>
                <w:lang w:eastAsia="zh-CN"/>
              </w:rPr>
              <w:t>5 participants) (25 % en nature)</w:t>
            </w:r>
          </w:p>
        </w:tc>
        <w:tc>
          <w:tcPr>
            <w:tcW w:w="936" w:type="dxa"/>
            <w:tcBorders>
              <w:top w:val="single" w:sz="4" w:space="0" w:color="auto"/>
              <w:left w:val="single" w:sz="4" w:space="0" w:color="auto"/>
              <w:bottom w:val="single" w:sz="4" w:space="0" w:color="auto"/>
              <w:right w:val="single" w:sz="4" w:space="0" w:color="auto"/>
            </w:tcBorders>
            <w:hideMark/>
          </w:tcPr>
          <w:p w:rsidR="00D66005" w:rsidRPr="00F77964" w:rsidRDefault="00D66005" w:rsidP="000E0AA1">
            <w:pPr>
              <w:pStyle w:val="Normal-pool"/>
              <w:spacing w:before="40" w:after="40"/>
              <w:rPr>
                <w:rFonts w:eastAsia="SimSun"/>
                <w:sz w:val="18"/>
                <w:szCs w:val="18"/>
                <w:lang w:eastAsia="zh-CN"/>
              </w:rPr>
            </w:pPr>
            <w:r w:rsidRPr="00F77964">
              <w:rPr>
                <w:rFonts w:eastAsia="SimSun"/>
                <w:sz w:val="18"/>
                <w:szCs w:val="18"/>
                <w:lang w:eastAsia="zh-CN"/>
              </w:rPr>
              <w:t>7</w:t>
            </w:r>
            <w:r w:rsidR="001D6913" w:rsidRPr="00F77964">
              <w:rPr>
                <w:rFonts w:eastAsia="SimSun"/>
                <w:sz w:val="18"/>
                <w:szCs w:val="18"/>
                <w:lang w:eastAsia="zh-CN"/>
              </w:rPr>
              <w:t> </w:t>
            </w:r>
            <w:r w:rsidRPr="00F77964">
              <w:rPr>
                <w:rFonts w:eastAsia="SimSun"/>
                <w:sz w:val="18"/>
                <w:szCs w:val="18"/>
                <w:lang w:eastAsia="zh-CN"/>
              </w:rPr>
              <w:t>500</w:t>
            </w:r>
          </w:p>
        </w:tc>
      </w:tr>
      <w:tr w:rsidR="00614C81" w:rsidRPr="0061490E" w:rsidTr="000E0AA1">
        <w:trPr>
          <w:trHeight w:val="317"/>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0E0AA1">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0E0AA1">
            <w:pPr>
              <w:rPr>
                <w:rFonts w:eastAsia="SimSun"/>
                <w:sz w:val="18"/>
                <w:szCs w:val="18"/>
                <w:lang w:eastAsia="zh-CN"/>
              </w:rPr>
            </w:pPr>
          </w:p>
        </w:tc>
        <w:tc>
          <w:tcPr>
            <w:tcW w:w="2923" w:type="dxa"/>
            <w:tcBorders>
              <w:top w:val="single" w:sz="4" w:space="0" w:color="auto"/>
              <w:left w:val="single" w:sz="4" w:space="0" w:color="auto"/>
              <w:bottom w:val="single" w:sz="4" w:space="0" w:color="auto"/>
              <w:right w:val="single" w:sz="4" w:space="0" w:color="auto"/>
            </w:tcBorders>
            <w:hideMark/>
          </w:tcPr>
          <w:p w:rsidR="00D66005" w:rsidRPr="00F77964" w:rsidRDefault="00D972E8" w:rsidP="000E0AA1">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00614C81" w:rsidRPr="00F77964">
              <w:rPr>
                <w:rFonts w:eastAsia="SimSun"/>
                <w:sz w:val="18"/>
                <w:szCs w:val="18"/>
                <w:lang w:eastAsia="zh-CN"/>
              </w:rPr>
              <w:t xml:space="preserve"> (</w:t>
            </w:r>
            <w:r w:rsidR="001D6913" w:rsidRPr="00F77964">
              <w:rPr>
                <w:rFonts w:eastAsia="SimSun"/>
                <w:sz w:val="18"/>
                <w:szCs w:val="18"/>
                <w:lang w:eastAsia="zh-CN"/>
              </w:rPr>
              <w:t>19</w:t>
            </w:r>
            <w:r w:rsidR="00614C81" w:rsidRPr="00F77964">
              <w:rPr>
                <w:rFonts w:eastAsia="SimSun"/>
                <w:sz w:val="18"/>
                <w:szCs w:val="18"/>
                <w:lang w:eastAsia="zh-CN"/>
              </w:rPr>
              <w:t> x 3 000 dollars)</w:t>
            </w:r>
          </w:p>
        </w:tc>
        <w:tc>
          <w:tcPr>
            <w:tcW w:w="936" w:type="dxa"/>
            <w:tcBorders>
              <w:top w:val="single" w:sz="4" w:space="0" w:color="auto"/>
              <w:left w:val="single" w:sz="4" w:space="0" w:color="auto"/>
              <w:bottom w:val="single" w:sz="4" w:space="0" w:color="auto"/>
              <w:right w:val="single" w:sz="4" w:space="0" w:color="auto"/>
            </w:tcBorders>
            <w:hideMark/>
          </w:tcPr>
          <w:p w:rsidR="00D66005" w:rsidRPr="00F77964" w:rsidRDefault="00D66005" w:rsidP="000E0AA1">
            <w:pPr>
              <w:pStyle w:val="Normal-pool"/>
              <w:spacing w:before="40" w:after="40"/>
              <w:rPr>
                <w:rFonts w:eastAsia="SimSun"/>
                <w:sz w:val="18"/>
                <w:szCs w:val="18"/>
                <w:lang w:eastAsia="zh-CN"/>
              </w:rPr>
            </w:pPr>
            <w:r w:rsidRPr="00F77964">
              <w:rPr>
                <w:rFonts w:eastAsia="SimSun"/>
                <w:sz w:val="18"/>
                <w:szCs w:val="18"/>
                <w:lang w:eastAsia="zh-CN"/>
              </w:rPr>
              <w:t>57</w:t>
            </w:r>
            <w:r w:rsidR="001D6913" w:rsidRPr="00F77964">
              <w:rPr>
                <w:rFonts w:eastAsia="SimSun"/>
                <w:sz w:val="18"/>
                <w:szCs w:val="18"/>
                <w:lang w:eastAsia="zh-CN"/>
              </w:rPr>
              <w:t> </w:t>
            </w:r>
            <w:r w:rsidRPr="00F77964">
              <w:rPr>
                <w:rFonts w:eastAsia="SimSun"/>
                <w:sz w:val="18"/>
                <w:szCs w:val="18"/>
                <w:lang w:eastAsia="zh-CN"/>
              </w:rPr>
              <w:t>000</w:t>
            </w:r>
          </w:p>
        </w:tc>
      </w:tr>
      <w:tr w:rsidR="00614C81" w:rsidRPr="0061490E" w:rsidTr="000E0AA1">
        <w:trPr>
          <w:trHeight w:val="317"/>
        </w:trPr>
        <w:tc>
          <w:tcPr>
            <w:tcW w:w="0" w:type="auto"/>
            <w:vMerge/>
            <w:tcBorders>
              <w:top w:val="single" w:sz="4" w:space="0" w:color="auto"/>
              <w:left w:val="single" w:sz="4" w:space="0" w:color="auto"/>
              <w:bottom w:val="single" w:sz="4" w:space="0" w:color="auto"/>
              <w:right w:val="single" w:sz="4" w:space="0" w:color="auto"/>
            </w:tcBorders>
            <w:hideMark/>
          </w:tcPr>
          <w:p w:rsidR="00D66005" w:rsidRPr="0061490E" w:rsidRDefault="00D66005" w:rsidP="000E0AA1">
            <w:pPr>
              <w:rPr>
                <w:rFonts w:eastAsia="SimSun"/>
                <w:sz w:val="18"/>
                <w:szCs w:val="18"/>
                <w:lang w:eastAsia="zh-CN"/>
              </w:rPr>
            </w:pPr>
          </w:p>
        </w:tc>
        <w:tc>
          <w:tcPr>
            <w:tcW w:w="3108" w:type="dxa"/>
            <w:tcBorders>
              <w:top w:val="single" w:sz="4" w:space="0" w:color="auto"/>
              <w:left w:val="single" w:sz="4" w:space="0" w:color="auto"/>
              <w:bottom w:val="single" w:sz="4" w:space="0" w:color="auto"/>
              <w:right w:val="single" w:sz="4" w:space="0" w:color="auto"/>
            </w:tcBorders>
            <w:hideMark/>
          </w:tcPr>
          <w:p w:rsidR="00D66005" w:rsidRPr="00F77964" w:rsidRDefault="00AA6C94" w:rsidP="000E0AA1">
            <w:pPr>
              <w:pStyle w:val="Normal-pool"/>
              <w:spacing w:before="40" w:after="40"/>
              <w:rPr>
                <w:rFonts w:eastAsia="SimSun"/>
                <w:sz w:val="18"/>
                <w:szCs w:val="18"/>
                <w:lang w:eastAsia="zh-CN"/>
              </w:rPr>
            </w:pPr>
            <w:r>
              <w:rPr>
                <w:rFonts w:eastAsia="SimSun"/>
                <w:sz w:val="18"/>
                <w:szCs w:val="18"/>
                <w:lang w:eastAsia="zh-CN"/>
              </w:rPr>
              <w:t>P</w:t>
            </w:r>
            <w:r w:rsidR="00D66005" w:rsidRPr="00F77964">
              <w:rPr>
                <w:rFonts w:eastAsia="SimSun"/>
                <w:sz w:val="18"/>
                <w:szCs w:val="18"/>
                <w:lang w:eastAsia="zh-CN"/>
              </w:rPr>
              <w:t xml:space="preserve">romotion </w:t>
            </w:r>
            <w:r w:rsidR="001D6913" w:rsidRPr="00F77964">
              <w:rPr>
                <w:rFonts w:eastAsia="SimSun"/>
                <w:sz w:val="18"/>
                <w:szCs w:val="18"/>
                <w:lang w:eastAsia="zh-CN"/>
              </w:rPr>
              <w:t>et d</w:t>
            </w:r>
            <w:r>
              <w:rPr>
                <w:rFonts w:eastAsia="SimSun"/>
                <w:sz w:val="18"/>
                <w:szCs w:val="18"/>
                <w:lang w:eastAsia="zh-CN"/>
              </w:rPr>
              <w:t>iffusion</w:t>
            </w:r>
            <w:r w:rsidR="001D6913" w:rsidRPr="00F77964">
              <w:rPr>
                <w:rFonts w:eastAsia="SimSun"/>
                <w:sz w:val="18"/>
                <w:szCs w:val="18"/>
                <w:lang w:eastAsia="zh-CN"/>
              </w:rPr>
              <w:t xml:space="preserve"> </w:t>
            </w:r>
            <w:r>
              <w:rPr>
                <w:rFonts w:eastAsia="SimSun"/>
                <w:sz w:val="18"/>
                <w:szCs w:val="18"/>
                <w:lang w:eastAsia="zh-CN"/>
              </w:rPr>
              <w:t xml:space="preserve">de la poursuite </w:t>
            </w:r>
            <w:r w:rsidR="001D6913" w:rsidRPr="00F77964">
              <w:rPr>
                <w:rFonts w:eastAsia="SimSun"/>
                <w:sz w:val="18"/>
                <w:szCs w:val="18"/>
                <w:lang w:eastAsia="zh-CN"/>
              </w:rPr>
              <w:t xml:space="preserve">de la mise au point </w:t>
            </w:r>
            <w:r w:rsidR="00610A1B">
              <w:rPr>
                <w:rFonts w:eastAsia="SimSun"/>
                <w:sz w:val="18"/>
                <w:szCs w:val="18"/>
                <w:lang w:eastAsia="zh-CN"/>
              </w:rPr>
              <w:t>d’outils et de méthodes</w:t>
            </w:r>
          </w:p>
        </w:tc>
        <w:tc>
          <w:tcPr>
            <w:tcW w:w="2923" w:type="dxa"/>
            <w:tcBorders>
              <w:top w:val="single" w:sz="4" w:space="0" w:color="auto"/>
              <w:left w:val="single" w:sz="4" w:space="0" w:color="auto"/>
              <w:bottom w:val="single" w:sz="4" w:space="0" w:color="auto"/>
              <w:right w:val="single" w:sz="4" w:space="0" w:color="auto"/>
            </w:tcBorders>
            <w:hideMark/>
          </w:tcPr>
          <w:p w:rsidR="00D66005" w:rsidRPr="00F77964" w:rsidRDefault="001D0F4C" w:rsidP="000E0AA1">
            <w:pPr>
              <w:pStyle w:val="Normal-pool"/>
              <w:spacing w:before="40" w:after="40"/>
              <w:rPr>
                <w:rFonts w:eastAsia="SimSun"/>
                <w:sz w:val="18"/>
                <w:szCs w:val="18"/>
                <w:lang w:eastAsia="zh-CN"/>
              </w:rPr>
            </w:pPr>
            <w:r>
              <w:rPr>
                <w:rFonts w:eastAsia="SimSun"/>
                <w:sz w:val="18"/>
                <w:szCs w:val="18"/>
                <w:lang w:eastAsia="zh-CN"/>
              </w:rPr>
              <w:t>À</w:t>
            </w:r>
            <w:r w:rsidR="001D6913" w:rsidRPr="00F77964">
              <w:rPr>
                <w:rFonts w:eastAsia="SimSun"/>
                <w:sz w:val="18"/>
                <w:szCs w:val="18"/>
                <w:lang w:eastAsia="zh-CN"/>
              </w:rPr>
              <w:t xml:space="preserve"> définir</w:t>
            </w:r>
            <w:r w:rsidR="00D66005" w:rsidRPr="00F77964">
              <w:rPr>
                <w:rFonts w:eastAsia="SimSun"/>
                <w:sz w:val="18"/>
                <w:szCs w:val="18"/>
                <w:lang w:eastAsia="zh-CN"/>
              </w:rPr>
              <w:t>/d</w:t>
            </w:r>
            <w:r w:rsidR="001D6913" w:rsidRPr="00F77964">
              <w:rPr>
                <w:rFonts w:eastAsia="SimSun"/>
                <w:sz w:val="18"/>
                <w:szCs w:val="18"/>
                <w:lang w:eastAsia="zh-CN"/>
              </w:rPr>
              <w:t>é</w:t>
            </w:r>
            <w:r w:rsidR="00D66005" w:rsidRPr="00F77964">
              <w:rPr>
                <w:rFonts w:eastAsia="SimSun"/>
                <w:sz w:val="18"/>
                <w:szCs w:val="18"/>
                <w:lang w:eastAsia="zh-CN"/>
              </w:rPr>
              <w:t>termin</w:t>
            </w:r>
            <w:r w:rsidR="001D6913" w:rsidRPr="00F77964">
              <w:rPr>
                <w:rFonts w:eastAsia="SimSun"/>
                <w:sz w:val="18"/>
                <w:szCs w:val="18"/>
                <w:lang w:eastAsia="zh-CN"/>
              </w:rPr>
              <w:t>er</w:t>
            </w:r>
          </w:p>
        </w:tc>
        <w:tc>
          <w:tcPr>
            <w:tcW w:w="936" w:type="dxa"/>
            <w:tcBorders>
              <w:top w:val="single" w:sz="4" w:space="0" w:color="auto"/>
              <w:left w:val="single" w:sz="4" w:space="0" w:color="auto"/>
              <w:bottom w:val="single" w:sz="4" w:space="0" w:color="auto"/>
              <w:right w:val="single" w:sz="4" w:space="0" w:color="auto"/>
            </w:tcBorders>
            <w:hideMark/>
          </w:tcPr>
          <w:p w:rsidR="00D66005" w:rsidRPr="00F77964" w:rsidRDefault="00D66005" w:rsidP="000E0AA1">
            <w:pPr>
              <w:pStyle w:val="Normal-pool"/>
              <w:spacing w:before="40" w:after="40"/>
              <w:rPr>
                <w:rFonts w:eastAsia="SimSun"/>
                <w:sz w:val="18"/>
                <w:szCs w:val="18"/>
                <w:lang w:eastAsia="zh-CN"/>
              </w:rPr>
            </w:pPr>
            <w:r w:rsidRPr="00F77964">
              <w:rPr>
                <w:rFonts w:eastAsia="SimSun"/>
                <w:sz w:val="18"/>
                <w:szCs w:val="18"/>
                <w:lang w:eastAsia="zh-CN"/>
              </w:rPr>
              <w:t>150</w:t>
            </w:r>
            <w:r w:rsidR="001D6913" w:rsidRPr="00F77964">
              <w:rPr>
                <w:rFonts w:eastAsia="SimSun"/>
                <w:sz w:val="18"/>
                <w:szCs w:val="18"/>
                <w:lang w:eastAsia="zh-CN"/>
              </w:rPr>
              <w:t> </w:t>
            </w:r>
            <w:r w:rsidRPr="00F77964">
              <w:rPr>
                <w:rFonts w:eastAsia="SimSun"/>
                <w:sz w:val="18"/>
                <w:szCs w:val="18"/>
                <w:lang w:eastAsia="zh-CN"/>
              </w:rPr>
              <w:t>000</w:t>
            </w:r>
          </w:p>
        </w:tc>
      </w:tr>
      <w:tr w:rsidR="00614C81" w:rsidRPr="0061490E" w:rsidTr="000E0AA1">
        <w:trPr>
          <w:trHeight w:val="317"/>
        </w:trPr>
        <w:tc>
          <w:tcPr>
            <w:tcW w:w="1027" w:type="dxa"/>
            <w:tcBorders>
              <w:top w:val="single" w:sz="4" w:space="0" w:color="auto"/>
              <w:left w:val="single" w:sz="4" w:space="0" w:color="auto"/>
              <w:bottom w:val="single" w:sz="4" w:space="0" w:color="auto"/>
              <w:right w:val="single" w:sz="4" w:space="0" w:color="auto"/>
            </w:tcBorders>
            <w:hideMark/>
          </w:tcPr>
          <w:p w:rsidR="00D66005" w:rsidRPr="00F77964" w:rsidRDefault="00D66005" w:rsidP="000E0AA1">
            <w:pPr>
              <w:pStyle w:val="Normal-pool"/>
              <w:spacing w:before="40" w:after="40"/>
              <w:rPr>
                <w:rFonts w:eastAsia="SimSun"/>
                <w:sz w:val="18"/>
                <w:szCs w:val="18"/>
                <w:lang w:eastAsia="zh-CN"/>
              </w:rPr>
            </w:pPr>
            <w:r w:rsidRPr="00F77964">
              <w:rPr>
                <w:rFonts w:eastAsia="SimSun"/>
                <w:sz w:val="18"/>
                <w:szCs w:val="18"/>
                <w:lang w:eastAsia="zh-CN"/>
              </w:rPr>
              <w:t>2016</w:t>
            </w:r>
          </w:p>
        </w:tc>
        <w:tc>
          <w:tcPr>
            <w:tcW w:w="3108" w:type="dxa"/>
            <w:tcBorders>
              <w:top w:val="single" w:sz="4" w:space="0" w:color="auto"/>
              <w:left w:val="single" w:sz="4" w:space="0" w:color="auto"/>
              <w:bottom w:val="single" w:sz="4" w:space="0" w:color="auto"/>
              <w:right w:val="single" w:sz="4" w:space="0" w:color="auto"/>
            </w:tcBorders>
            <w:hideMark/>
          </w:tcPr>
          <w:p w:rsidR="00D66005" w:rsidRPr="00F77964" w:rsidRDefault="00AA6C94" w:rsidP="000E0AA1">
            <w:pPr>
              <w:pStyle w:val="Normal-pool"/>
              <w:spacing w:before="40" w:after="40"/>
              <w:rPr>
                <w:rFonts w:eastAsia="SimSun"/>
                <w:sz w:val="18"/>
                <w:szCs w:val="18"/>
                <w:lang w:eastAsia="zh-CN"/>
              </w:rPr>
            </w:pPr>
            <w:r>
              <w:rPr>
                <w:rFonts w:eastAsia="SimSun"/>
                <w:sz w:val="18"/>
                <w:szCs w:val="18"/>
                <w:lang w:eastAsia="zh-CN"/>
              </w:rPr>
              <w:t>P</w:t>
            </w:r>
            <w:r w:rsidRPr="00F77964">
              <w:rPr>
                <w:rFonts w:eastAsia="SimSun"/>
                <w:sz w:val="18"/>
                <w:szCs w:val="18"/>
                <w:lang w:eastAsia="zh-CN"/>
              </w:rPr>
              <w:t>romotion et d</w:t>
            </w:r>
            <w:r>
              <w:rPr>
                <w:rFonts w:eastAsia="SimSun"/>
                <w:sz w:val="18"/>
                <w:szCs w:val="18"/>
                <w:lang w:eastAsia="zh-CN"/>
              </w:rPr>
              <w:t>iffusion</w:t>
            </w:r>
            <w:r w:rsidRPr="00F77964">
              <w:rPr>
                <w:rFonts w:eastAsia="SimSun"/>
                <w:sz w:val="18"/>
                <w:szCs w:val="18"/>
                <w:lang w:eastAsia="zh-CN"/>
              </w:rPr>
              <w:t xml:space="preserve"> </w:t>
            </w:r>
            <w:r>
              <w:rPr>
                <w:rFonts w:eastAsia="SimSun"/>
                <w:sz w:val="18"/>
                <w:szCs w:val="18"/>
                <w:lang w:eastAsia="zh-CN"/>
              </w:rPr>
              <w:t xml:space="preserve">de la poursuite </w:t>
            </w:r>
            <w:r w:rsidRPr="00F77964">
              <w:rPr>
                <w:rFonts w:eastAsia="SimSun"/>
                <w:sz w:val="18"/>
                <w:szCs w:val="18"/>
                <w:lang w:eastAsia="zh-CN"/>
              </w:rPr>
              <w:t xml:space="preserve">de la mise au point </w:t>
            </w:r>
            <w:r w:rsidR="00610A1B">
              <w:rPr>
                <w:rFonts w:eastAsia="SimSun"/>
                <w:sz w:val="18"/>
                <w:szCs w:val="18"/>
                <w:lang w:eastAsia="zh-CN"/>
              </w:rPr>
              <w:t>d’outils et de méthodes</w:t>
            </w:r>
          </w:p>
        </w:tc>
        <w:tc>
          <w:tcPr>
            <w:tcW w:w="2923" w:type="dxa"/>
            <w:tcBorders>
              <w:top w:val="single" w:sz="4" w:space="0" w:color="auto"/>
              <w:left w:val="single" w:sz="4" w:space="0" w:color="auto"/>
              <w:bottom w:val="single" w:sz="4" w:space="0" w:color="auto"/>
              <w:right w:val="single" w:sz="4" w:space="0" w:color="auto"/>
            </w:tcBorders>
            <w:hideMark/>
          </w:tcPr>
          <w:p w:rsidR="00D66005" w:rsidRPr="00F77964" w:rsidRDefault="001D0F4C" w:rsidP="000E0AA1">
            <w:pPr>
              <w:pStyle w:val="Normal-pool"/>
              <w:spacing w:before="40" w:after="40"/>
              <w:rPr>
                <w:rFonts w:eastAsia="SimSun"/>
                <w:sz w:val="18"/>
                <w:szCs w:val="18"/>
                <w:lang w:eastAsia="zh-CN"/>
              </w:rPr>
            </w:pPr>
            <w:r>
              <w:rPr>
                <w:rFonts w:eastAsia="SimSun"/>
                <w:sz w:val="18"/>
                <w:szCs w:val="18"/>
                <w:lang w:eastAsia="zh-CN"/>
              </w:rPr>
              <w:t>À</w:t>
            </w:r>
            <w:r w:rsidR="001D6913" w:rsidRPr="00F77964">
              <w:rPr>
                <w:rFonts w:eastAsia="SimSun"/>
                <w:sz w:val="18"/>
                <w:szCs w:val="18"/>
                <w:lang w:eastAsia="zh-CN"/>
              </w:rPr>
              <w:t xml:space="preserve"> définir</w:t>
            </w:r>
            <w:r w:rsidR="00D66005" w:rsidRPr="00F77964">
              <w:rPr>
                <w:rFonts w:eastAsia="SimSun"/>
                <w:sz w:val="18"/>
                <w:szCs w:val="18"/>
                <w:lang w:eastAsia="zh-CN"/>
              </w:rPr>
              <w:t>/d</w:t>
            </w:r>
            <w:r w:rsidR="001D6913" w:rsidRPr="00F77964">
              <w:rPr>
                <w:rFonts w:eastAsia="SimSun"/>
                <w:sz w:val="18"/>
                <w:szCs w:val="18"/>
                <w:lang w:eastAsia="zh-CN"/>
              </w:rPr>
              <w:t>é</w:t>
            </w:r>
            <w:r w:rsidR="00D66005" w:rsidRPr="00F77964">
              <w:rPr>
                <w:rFonts w:eastAsia="SimSun"/>
                <w:sz w:val="18"/>
                <w:szCs w:val="18"/>
                <w:lang w:eastAsia="zh-CN"/>
              </w:rPr>
              <w:t>termine</w:t>
            </w:r>
            <w:r w:rsidR="001D6913" w:rsidRPr="00F77964">
              <w:rPr>
                <w:rFonts w:eastAsia="SimSun"/>
                <w:sz w:val="18"/>
                <w:szCs w:val="18"/>
                <w:lang w:eastAsia="zh-CN"/>
              </w:rPr>
              <w:t>r</w:t>
            </w:r>
          </w:p>
        </w:tc>
        <w:tc>
          <w:tcPr>
            <w:tcW w:w="936" w:type="dxa"/>
            <w:tcBorders>
              <w:top w:val="single" w:sz="4" w:space="0" w:color="auto"/>
              <w:left w:val="single" w:sz="4" w:space="0" w:color="auto"/>
              <w:bottom w:val="single" w:sz="4" w:space="0" w:color="auto"/>
              <w:right w:val="single" w:sz="4" w:space="0" w:color="auto"/>
            </w:tcBorders>
            <w:hideMark/>
          </w:tcPr>
          <w:p w:rsidR="00D66005" w:rsidRPr="00F77964" w:rsidRDefault="00D66005" w:rsidP="000E0AA1">
            <w:pPr>
              <w:pStyle w:val="Normal-pool"/>
              <w:spacing w:before="40" w:after="40"/>
              <w:rPr>
                <w:rFonts w:eastAsia="SimSun"/>
                <w:sz w:val="18"/>
                <w:szCs w:val="18"/>
                <w:lang w:eastAsia="zh-CN"/>
              </w:rPr>
            </w:pPr>
            <w:r w:rsidRPr="00F77964">
              <w:rPr>
                <w:rFonts w:eastAsia="SimSun"/>
                <w:sz w:val="18"/>
                <w:szCs w:val="18"/>
                <w:lang w:eastAsia="zh-CN"/>
              </w:rPr>
              <w:t>150</w:t>
            </w:r>
            <w:r w:rsidR="001D6913" w:rsidRPr="00F77964">
              <w:rPr>
                <w:rFonts w:eastAsia="SimSun"/>
                <w:sz w:val="18"/>
                <w:szCs w:val="18"/>
                <w:lang w:eastAsia="zh-CN"/>
              </w:rPr>
              <w:t> </w:t>
            </w:r>
            <w:r w:rsidRPr="00F77964">
              <w:rPr>
                <w:rFonts w:eastAsia="SimSun"/>
                <w:sz w:val="18"/>
                <w:szCs w:val="18"/>
                <w:lang w:eastAsia="zh-CN"/>
              </w:rPr>
              <w:t>000</w:t>
            </w:r>
          </w:p>
        </w:tc>
      </w:tr>
      <w:tr w:rsidR="00614C81" w:rsidRPr="0061490E" w:rsidTr="000E0AA1">
        <w:trPr>
          <w:trHeight w:val="317"/>
        </w:trPr>
        <w:tc>
          <w:tcPr>
            <w:tcW w:w="1027" w:type="dxa"/>
            <w:tcBorders>
              <w:top w:val="single" w:sz="4" w:space="0" w:color="auto"/>
              <w:left w:val="single" w:sz="4" w:space="0" w:color="auto"/>
              <w:bottom w:val="single" w:sz="4" w:space="0" w:color="auto"/>
              <w:right w:val="single" w:sz="4" w:space="0" w:color="auto"/>
            </w:tcBorders>
            <w:hideMark/>
          </w:tcPr>
          <w:p w:rsidR="00D66005" w:rsidRPr="00F77964" w:rsidRDefault="00D66005" w:rsidP="000E0AA1">
            <w:pPr>
              <w:pStyle w:val="Normal-pool"/>
              <w:spacing w:before="40" w:after="40"/>
              <w:rPr>
                <w:rFonts w:eastAsia="SimSun"/>
                <w:sz w:val="18"/>
                <w:szCs w:val="18"/>
                <w:lang w:eastAsia="zh-CN"/>
              </w:rPr>
            </w:pPr>
            <w:r w:rsidRPr="00F77964">
              <w:rPr>
                <w:rFonts w:eastAsia="SimSun"/>
                <w:sz w:val="18"/>
                <w:szCs w:val="18"/>
                <w:lang w:eastAsia="zh-CN"/>
              </w:rPr>
              <w:t>2017</w:t>
            </w:r>
          </w:p>
        </w:tc>
        <w:tc>
          <w:tcPr>
            <w:tcW w:w="3108" w:type="dxa"/>
            <w:tcBorders>
              <w:top w:val="single" w:sz="4" w:space="0" w:color="auto"/>
              <w:left w:val="single" w:sz="4" w:space="0" w:color="auto"/>
              <w:bottom w:val="single" w:sz="4" w:space="0" w:color="auto"/>
              <w:right w:val="single" w:sz="4" w:space="0" w:color="auto"/>
            </w:tcBorders>
            <w:hideMark/>
          </w:tcPr>
          <w:p w:rsidR="00D66005" w:rsidRPr="00F77964" w:rsidRDefault="00D66005" w:rsidP="000E0AA1">
            <w:pPr>
              <w:pStyle w:val="Normal-pool"/>
              <w:spacing w:before="40" w:after="40"/>
              <w:rPr>
                <w:rFonts w:eastAsia="SimSun"/>
                <w:sz w:val="18"/>
                <w:szCs w:val="18"/>
                <w:lang w:eastAsia="zh-CN"/>
              </w:rPr>
            </w:pPr>
            <w:r w:rsidRPr="00F77964">
              <w:rPr>
                <w:rFonts w:eastAsia="SimSun"/>
                <w:sz w:val="18"/>
                <w:szCs w:val="18"/>
                <w:lang w:eastAsia="zh-CN"/>
              </w:rPr>
              <w:t>Di</w:t>
            </w:r>
            <w:r w:rsidR="001D6913" w:rsidRPr="00F77964">
              <w:rPr>
                <w:rFonts w:eastAsia="SimSun"/>
                <w:sz w:val="18"/>
                <w:szCs w:val="18"/>
                <w:lang w:eastAsia="zh-CN"/>
              </w:rPr>
              <w:t xml:space="preserve">ffusion des outils d’aide </w:t>
            </w:r>
            <w:r w:rsidR="00AA6C94">
              <w:rPr>
                <w:rFonts w:eastAsia="SimSun"/>
                <w:sz w:val="18"/>
                <w:szCs w:val="18"/>
                <w:lang w:eastAsia="zh-CN"/>
              </w:rPr>
              <w:t>à la décision</w:t>
            </w:r>
          </w:p>
        </w:tc>
        <w:tc>
          <w:tcPr>
            <w:tcW w:w="2923" w:type="dxa"/>
            <w:tcBorders>
              <w:top w:val="single" w:sz="4" w:space="0" w:color="auto"/>
              <w:left w:val="single" w:sz="4" w:space="0" w:color="auto"/>
              <w:bottom w:val="single" w:sz="4" w:space="0" w:color="auto"/>
              <w:right w:val="single" w:sz="4" w:space="0" w:color="auto"/>
            </w:tcBorders>
            <w:hideMark/>
          </w:tcPr>
          <w:p w:rsidR="00D66005" w:rsidRPr="00F77964" w:rsidRDefault="00483C59" w:rsidP="000E0AA1">
            <w:pPr>
              <w:pStyle w:val="Normal-pool"/>
              <w:spacing w:before="40" w:after="40"/>
              <w:rPr>
                <w:rFonts w:eastAsia="SimSun"/>
                <w:sz w:val="18"/>
                <w:szCs w:val="18"/>
                <w:lang w:eastAsia="zh-CN"/>
              </w:rPr>
            </w:pPr>
            <w:r w:rsidRPr="00F77964">
              <w:rPr>
                <w:rFonts w:eastAsia="SimSun"/>
                <w:sz w:val="18"/>
                <w:szCs w:val="18"/>
                <w:lang w:eastAsia="zh-CN"/>
              </w:rPr>
              <w:t>Traduction des résumés à l’intention des décideurs dans toutes les langues officielles de l’ONU,</w:t>
            </w:r>
            <w:r w:rsidR="00D66005" w:rsidRPr="00F77964">
              <w:rPr>
                <w:rFonts w:eastAsia="SimSun"/>
                <w:sz w:val="18"/>
                <w:szCs w:val="18"/>
                <w:lang w:eastAsia="zh-CN"/>
              </w:rPr>
              <w:t xml:space="preserve"> publication, </w:t>
            </w:r>
            <w:r w:rsidR="00F23269">
              <w:rPr>
                <w:rFonts w:eastAsia="SimSun"/>
                <w:sz w:val="18"/>
                <w:szCs w:val="18"/>
                <w:lang w:eastAsia="zh-CN"/>
              </w:rPr>
              <w:t>animation</w:t>
            </w:r>
          </w:p>
        </w:tc>
        <w:tc>
          <w:tcPr>
            <w:tcW w:w="936" w:type="dxa"/>
            <w:tcBorders>
              <w:top w:val="single" w:sz="4" w:space="0" w:color="auto"/>
              <w:left w:val="single" w:sz="4" w:space="0" w:color="auto"/>
              <w:bottom w:val="single" w:sz="4" w:space="0" w:color="auto"/>
              <w:right w:val="single" w:sz="4" w:space="0" w:color="auto"/>
            </w:tcBorders>
            <w:hideMark/>
          </w:tcPr>
          <w:p w:rsidR="00D66005" w:rsidRPr="00F77964" w:rsidRDefault="00D66005" w:rsidP="000E0AA1">
            <w:pPr>
              <w:pStyle w:val="Normal-pool"/>
              <w:spacing w:before="40" w:after="40"/>
              <w:rPr>
                <w:rFonts w:eastAsia="SimSun"/>
                <w:sz w:val="18"/>
                <w:szCs w:val="18"/>
                <w:lang w:eastAsia="zh-CN"/>
              </w:rPr>
            </w:pPr>
            <w:r w:rsidRPr="00F77964">
              <w:rPr>
                <w:rFonts w:eastAsia="SimSun"/>
                <w:sz w:val="18"/>
                <w:szCs w:val="18"/>
                <w:lang w:eastAsia="zh-CN"/>
              </w:rPr>
              <w:t>50</w:t>
            </w:r>
            <w:r w:rsidR="001D6913" w:rsidRPr="00F77964">
              <w:rPr>
                <w:rFonts w:eastAsia="SimSun"/>
                <w:sz w:val="18"/>
                <w:szCs w:val="18"/>
                <w:lang w:eastAsia="zh-CN"/>
              </w:rPr>
              <w:t> </w:t>
            </w:r>
            <w:r w:rsidRPr="00F77964">
              <w:rPr>
                <w:rFonts w:eastAsia="SimSun"/>
                <w:sz w:val="18"/>
                <w:szCs w:val="18"/>
                <w:lang w:eastAsia="zh-CN"/>
              </w:rPr>
              <w:t>000</w:t>
            </w:r>
          </w:p>
        </w:tc>
      </w:tr>
      <w:tr w:rsidR="00614C81" w:rsidRPr="0061490E" w:rsidTr="000E0AA1">
        <w:tc>
          <w:tcPr>
            <w:tcW w:w="1027" w:type="dxa"/>
            <w:tcBorders>
              <w:top w:val="single" w:sz="4" w:space="0" w:color="auto"/>
              <w:left w:val="single" w:sz="4" w:space="0" w:color="auto"/>
              <w:bottom w:val="single" w:sz="4" w:space="0" w:color="auto"/>
              <w:right w:val="single" w:sz="4" w:space="0" w:color="auto"/>
            </w:tcBorders>
            <w:hideMark/>
          </w:tcPr>
          <w:p w:rsidR="00D66005" w:rsidRPr="00F77964" w:rsidRDefault="00D66005" w:rsidP="000E0AA1">
            <w:pPr>
              <w:pStyle w:val="Normal-pool"/>
              <w:spacing w:before="40" w:after="40"/>
              <w:rPr>
                <w:rFonts w:eastAsia="SimSun"/>
                <w:b/>
                <w:sz w:val="18"/>
                <w:szCs w:val="18"/>
                <w:lang w:eastAsia="zh-CN"/>
              </w:rPr>
            </w:pPr>
            <w:r w:rsidRPr="00F77964">
              <w:rPr>
                <w:rFonts w:eastAsia="SimSun"/>
                <w:b/>
                <w:sz w:val="18"/>
                <w:szCs w:val="18"/>
                <w:lang w:eastAsia="zh-CN"/>
              </w:rPr>
              <w:t>Total</w:t>
            </w:r>
          </w:p>
        </w:tc>
        <w:tc>
          <w:tcPr>
            <w:tcW w:w="3108" w:type="dxa"/>
            <w:tcBorders>
              <w:top w:val="single" w:sz="4" w:space="0" w:color="auto"/>
              <w:left w:val="single" w:sz="4" w:space="0" w:color="auto"/>
              <w:bottom w:val="single" w:sz="4" w:space="0" w:color="auto"/>
              <w:right w:val="single" w:sz="4" w:space="0" w:color="auto"/>
            </w:tcBorders>
          </w:tcPr>
          <w:p w:rsidR="00D66005" w:rsidRPr="00F77964" w:rsidRDefault="00D66005" w:rsidP="000E0AA1">
            <w:pPr>
              <w:pStyle w:val="Normal-pool"/>
              <w:spacing w:before="40" w:after="40"/>
              <w:rPr>
                <w:rFonts w:eastAsia="SimSun"/>
                <w:b/>
                <w:sz w:val="18"/>
                <w:szCs w:val="18"/>
                <w:lang w:eastAsia="zh-CN"/>
              </w:rPr>
            </w:pPr>
          </w:p>
        </w:tc>
        <w:tc>
          <w:tcPr>
            <w:tcW w:w="2923" w:type="dxa"/>
            <w:tcBorders>
              <w:top w:val="single" w:sz="4" w:space="0" w:color="auto"/>
              <w:left w:val="single" w:sz="4" w:space="0" w:color="auto"/>
              <w:bottom w:val="single" w:sz="4" w:space="0" w:color="auto"/>
              <w:right w:val="single" w:sz="4" w:space="0" w:color="auto"/>
            </w:tcBorders>
          </w:tcPr>
          <w:p w:rsidR="00D66005" w:rsidRPr="00F77964" w:rsidRDefault="00D66005" w:rsidP="000E0AA1">
            <w:pPr>
              <w:pStyle w:val="Normal-pool"/>
              <w:spacing w:before="40" w:after="40"/>
              <w:rPr>
                <w:rFonts w:eastAsia="SimSun"/>
                <w:b/>
                <w:sz w:val="18"/>
                <w:szCs w:val="18"/>
                <w:lang w:eastAsia="zh-CN"/>
              </w:rPr>
            </w:pPr>
          </w:p>
        </w:tc>
        <w:tc>
          <w:tcPr>
            <w:tcW w:w="936" w:type="dxa"/>
            <w:tcBorders>
              <w:top w:val="single" w:sz="4" w:space="0" w:color="auto"/>
              <w:left w:val="single" w:sz="4" w:space="0" w:color="auto"/>
              <w:bottom w:val="single" w:sz="4" w:space="0" w:color="auto"/>
              <w:right w:val="single" w:sz="4" w:space="0" w:color="auto"/>
            </w:tcBorders>
            <w:hideMark/>
          </w:tcPr>
          <w:p w:rsidR="00D66005" w:rsidRPr="00F77964" w:rsidRDefault="00D66005" w:rsidP="000E0AA1">
            <w:pPr>
              <w:pStyle w:val="Normal-pool"/>
              <w:spacing w:before="40" w:after="40"/>
              <w:rPr>
                <w:rFonts w:eastAsia="SimSun"/>
                <w:b/>
                <w:sz w:val="18"/>
                <w:szCs w:val="18"/>
                <w:lang w:eastAsia="zh-CN"/>
              </w:rPr>
            </w:pPr>
            <w:r w:rsidRPr="00F77964">
              <w:rPr>
                <w:rFonts w:eastAsia="SimSun"/>
                <w:b/>
                <w:sz w:val="18"/>
                <w:szCs w:val="18"/>
                <w:lang w:eastAsia="zh-CN"/>
              </w:rPr>
              <w:t>1</w:t>
            </w:r>
            <w:r w:rsidR="001D6913" w:rsidRPr="00F77964">
              <w:rPr>
                <w:rFonts w:eastAsia="SimSun"/>
                <w:b/>
                <w:sz w:val="18"/>
                <w:szCs w:val="18"/>
                <w:lang w:eastAsia="zh-CN"/>
              </w:rPr>
              <w:t> </w:t>
            </w:r>
            <w:r w:rsidRPr="00F77964">
              <w:rPr>
                <w:rFonts w:eastAsia="SimSun"/>
                <w:b/>
                <w:sz w:val="18"/>
                <w:szCs w:val="18"/>
                <w:lang w:eastAsia="zh-CN"/>
              </w:rPr>
              <w:t>204</w:t>
            </w:r>
            <w:r w:rsidR="001D6913" w:rsidRPr="00F77964">
              <w:rPr>
                <w:rFonts w:eastAsia="SimSun"/>
                <w:b/>
                <w:sz w:val="18"/>
                <w:szCs w:val="18"/>
                <w:lang w:eastAsia="zh-CN"/>
              </w:rPr>
              <w:t> </w:t>
            </w:r>
            <w:r w:rsidRPr="00F77964">
              <w:rPr>
                <w:rFonts w:eastAsia="SimSun"/>
                <w:b/>
                <w:sz w:val="18"/>
                <w:szCs w:val="18"/>
                <w:lang w:eastAsia="zh-CN"/>
              </w:rPr>
              <w:t>250</w:t>
            </w:r>
          </w:p>
        </w:tc>
      </w:tr>
    </w:tbl>
    <w:p w:rsidR="001D6913" w:rsidRPr="00F77964" w:rsidRDefault="001D6913" w:rsidP="001D6913">
      <w:pPr>
        <w:pStyle w:val="CH3"/>
        <w:keepNext w:val="0"/>
        <w:keepLines w:val="0"/>
        <w:spacing w:before="120" w:after="0"/>
        <w:rPr>
          <w:lang w:val="fr-FR"/>
        </w:rPr>
      </w:pPr>
      <w:r w:rsidRPr="00F77964">
        <w:rPr>
          <w:lang w:val="fr-FR"/>
        </w:rPr>
        <w:tab/>
      </w:r>
      <w:r w:rsidRPr="00F77964">
        <w:rPr>
          <w:lang w:val="fr-FR"/>
        </w:rPr>
        <w:tab/>
        <w:t>Produit 3 d)</w:t>
      </w:r>
    </w:p>
    <w:p w:rsidR="001D6913" w:rsidRPr="00F77964" w:rsidRDefault="001D6913" w:rsidP="001D6913">
      <w:pPr>
        <w:pStyle w:val="CH3"/>
        <w:keepNext w:val="0"/>
        <w:keepLines w:val="0"/>
        <w:rPr>
          <w:lang w:val="fr-FR"/>
        </w:rPr>
      </w:pPr>
      <w:r w:rsidRPr="00F77964">
        <w:rPr>
          <w:lang w:val="fr-FR"/>
        </w:rPr>
        <w:tab/>
      </w:r>
      <w:r w:rsidRPr="00F77964">
        <w:rPr>
          <w:lang w:val="fr-FR"/>
        </w:rPr>
        <w:tab/>
        <w:t>Outils et méthodes d’</w:t>
      </w:r>
      <w:r w:rsidR="00AA6C94">
        <w:rPr>
          <w:lang w:val="fr-FR"/>
        </w:rPr>
        <w:t>aide à la décision</w:t>
      </w:r>
      <w:r w:rsidR="00351533" w:rsidRPr="00F77964">
        <w:rPr>
          <w:lang w:val="fr-FR"/>
        </w:rPr>
        <w:t xml:space="preserve"> </w:t>
      </w:r>
      <w:r w:rsidRPr="00F77964">
        <w:rPr>
          <w:lang w:val="fr-FR"/>
        </w:rPr>
        <w:t xml:space="preserve">concernant la </w:t>
      </w:r>
      <w:r w:rsidR="0016678B">
        <w:rPr>
          <w:lang w:val="fr-FR"/>
        </w:rPr>
        <w:t>définition, la détermination</w:t>
      </w:r>
      <w:r w:rsidRPr="00F77964">
        <w:rPr>
          <w:lang w:val="fr-FR"/>
        </w:rPr>
        <w:t xml:space="preserve"> et la </w:t>
      </w:r>
      <w:r w:rsidR="00F77964" w:rsidRPr="00F77964">
        <w:rPr>
          <w:lang w:val="fr-FR"/>
        </w:rPr>
        <w:t>comptabilisation</w:t>
      </w:r>
      <w:r w:rsidRPr="00F77964">
        <w:rPr>
          <w:lang w:val="fr-FR"/>
        </w:rPr>
        <w:t xml:space="preserve"> </w:t>
      </w:r>
      <w:r w:rsidR="0016678B">
        <w:rPr>
          <w:lang w:val="fr-FR"/>
        </w:rPr>
        <w:t xml:space="preserve">de la valeur </w:t>
      </w:r>
      <w:r w:rsidRPr="00F77964">
        <w:rPr>
          <w:lang w:val="fr-FR"/>
        </w:rPr>
        <w:t>de la biodiversité et des services écosystémiques (</w:t>
      </w:r>
      <w:r w:rsidR="00960E6C" w:rsidRPr="0097596F">
        <w:rPr>
          <w:i/>
          <w:lang w:val="fr-FR"/>
        </w:rPr>
        <w:t>d’ici</w:t>
      </w:r>
      <w:r w:rsidRPr="0097596F">
        <w:rPr>
          <w:i/>
          <w:lang w:val="fr-FR"/>
        </w:rPr>
        <w:t xml:space="preserve"> à mars 2017</w:t>
      </w:r>
      <w:r w:rsidRPr="00F77964">
        <w:rPr>
          <w:lang w:val="fr-FR"/>
        </w:rPr>
        <w:t>), sur la base d’une évaluation accélérée (</w:t>
      </w:r>
      <w:r w:rsidRPr="0097596F">
        <w:rPr>
          <w:i/>
          <w:lang w:val="fr-FR"/>
        </w:rPr>
        <w:t>d’ici à mars 2015</w:t>
      </w:r>
      <w:r w:rsidRPr="00F77964">
        <w:rPr>
          <w:lang w:val="fr-FR"/>
        </w:rPr>
        <w:t>) et d’un guide (</w:t>
      </w:r>
      <w:r w:rsidRPr="0097596F">
        <w:rPr>
          <w:i/>
          <w:lang w:val="fr-FR"/>
        </w:rPr>
        <w:t>d’ici à août 2015</w:t>
      </w:r>
      <w:r w:rsidRPr="00F77964">
        <w:rPr>
          <w:lang w:val="fr-FR"/>
        </w:rPr>
        <w:t>)</w:t>
      </w:r>
    </w:p>
    <w:p w:rsidR="001D6913" w:rsidRPr="00F77964" w:rsidRDefault="001D6913" w:rsidP="001D6913">
      <w:pPr>
        <w:pStyle w:val="CH3"/>
        <w:rPr>
          <w:lang w:val="fr-FR"/>
        </w:rPr>
      </w:pPr>
      <w:r w:rsidRPr="00F77964">
        <w:rPr>
          <w:rFonts w:eastAsia="Calibri"/>
          <w:lang w:val="fr-FR"/>
        </w:rPr>
        <w:tab/>
      </w:r>
      <w:r w:rsidRPr="00F77964">
        <w:rPr>
          <w:rFonts w:eastAsia="Calibri"/>
          <w:lang w:val="fr-FR"/>
        </w:rPr>
        <w:tab/>
        <w:t>Hypothèses</w:t>
      </w:r>
    </w:p>
    <w:p w:rsidR="001D6913" w:rsidRPr="00F90D8B" w:rsidRDefault="00351533" w:rsidP="00F90D8B">
      <w:pPr>
        <w:pStyle w:val="Normalnumber"/>
        <w:numPr>
          <w:ilvl w:val="0"/>
          <w:numId w:val="6"/>
        </w:numPr>
        <w:tabs>
          <w:tab w:val="left" w:pos="624"/>
        </w:tabs>
        <w:ind w:left="1247" w:firstLine="0"/>
        <w:rPr>
          <w:lang w:val="fr-FR"/>
        </w:rPr>
      </w:pPr>
      <w:r w:rsidRPr="00F90D8B">
        <w:rPr>
          <w:lang w:val="fr-FR"/>
        </w:rPr>
        <w:t xml:space="preserve">Les membres du Groupe d’experts multidisciplinaire et du Bureau superviseront </w:t>
      </w:r>
      <w:r w:rsidR="00F774B3" w:rsidRPr="00F90D8B">
        <w:rPr>
          <w:lang w:val="fr-FR"/>
        </w:rPr>
        <w:t xml:space="preserve">la mise en place </w:t>
      </w:r>
      <w:r w:rsidRPr="00F90D8B">
        <w:rPr>
          <w:lang w:val="fr-FR"/>
        </w:rPr>
        <w:t xml:space="preserve">d’un groupe d’experts </w:t>
      </w:r>
      <w:r w:rsidR="00F774B3" w:rsidRPr="00F90D8B">
        <w:rPr>
          <w:lang w:val="fr-FR"/>
        </w:rPr>
        <w:t xml:space="preserve">doté d’un </w:t>
      </w:r>
      <w:r w:rsidR="004621EA" w:rsidRPr="00F90D8B">
        <w:rPr>
          <w:lang w:val="fr-FR"/>
        </w:rPr>
        <w:t>mandat précis</w:t>
      </w:r>
      <w:r w:rsidRPr="00F90D8B">
        <w:rPr>
          <w:lang w:val="fr-FR"/>
        </w:rPr>
        <w:t xml:space="preserve"> </w:t>
      </w:r>
      <w:r w:rsidR="004621EA" w:rsidRPr="00F90D8B">
        <w:rPr>
          <w:lang w:val="fr-FR"/>
        </w:rPr>
        <w:t xml:space="preserve">à </w:t>
      </w:r>
      <w:r w:rsidR="00AA6C94" w:rsidRPr="00F90D8B">
        <w:rPr>
          <w:lang w:val="fr-FR"/>
        </w:rPr>
        <w:t xml:space="preserve">durée déterminée pour </w:t>
      </w:r>
      <w:r w:rsidR="00F774B3" w:rsidRPr="00F90D8B">
        <w:rPr>
          <w:lang w:val="fr-FR"/>
        </w:rPr>
        <w:t>l’</w:t>
      </w:r>
      <w:r w:rsidR="00AA6C94" w:rsidRPr="00F90D8B">
        <w:rPr>
          <w:lang w:val="fr-FR"/>
        </w:rPr>
        <w:t>évaluation</w:t>
      </w:r>
      <w:r w:rsidRPr="00F90D8B">
        <w:rPr>
          <w:lang w:val="fr-FR"/>
        </w:rPr>
        <w:t xml:space="preserve"> des méthodes </w:t>
      </w:r>
      <w:r w:rsidR="00D54C23" w:rsidRPr="00F90D8B">
        <w:rPr>
          <w:lang w:val="fr-FR"/>
        </w:rPr>
        <w:t xml:space="preserve">de </w:t>
      </w:r>
      <w:r w:rsidR="0016678B" w:rsidRPr="00F90D8B">
        <w:rPr>
          <w:lang w:val="fr-FR"/>
        </w:rPr>
        <w:t xml:space="preserve">définition, détermination </w:t>
      </w:r>
      <w:r w:rsidR="00D54C23" w:rsidRPr="00F90D8B">
        <w:rPr>
          <w:lang w:val="fr-FR"/>
        </w:rPr>
        <w:t>et comptabilisation</w:t>
      </w:r>
      <w:r w:rsidR="0016678B" w:rsidRPr="00F90D8B">
        <w:rPr>
          <w:lang w:val="fr-FR"/>
        </w:rPr>
        <w:t xml:space="preserve"> de la valeur</w:t>
      </w:r>
      <w:r w:rsidRPr="00F90D8B">
        <w:rPr>
          <w:lang w:val="fr-FR"/>
        </w:rPr>
        <w:t xml:space="preserve">, qui </w:t>
      </w:r>
      <w:r w:rsidR="00F774B3" w:rsidRPr="00F90D8B">
        <w:rPr>
          <w:lang w:val="fr-FR"/>
        </w:rPr>
        <w:t>comprendra des</w:t>
      </w:r>
      <w:r w:rsidRPr="00F90D8B">
        <w:rPr>
          <w:lang w:val="fr-FR"/>
        </w:rPr>
        <w:t xml:space="preserve"> </w:t>
      </w:r>
      <w:r w:rsidR="006E337B" w:rsidRPr="00F90D8B">
        <w:rPr>
          <w:lang w:val="fr-FR"/>
        </w:rPr>
        <w:t>coprésidents</w:t>
      </w:r>
      <w:r w:rsidRPr="00F90D8B">
        <w:rPr>
          <w:lang w:val="fr-FR"/>
        </w:rPr>
        <w:t>, des auteurs coordonnateurs principaux, des auteurs principaux et des éditeurs-réviseurs. Le</w:t>
      </w:r>
      <w:r w:rsidR="00F774B3" w:rsidRPr="00F90D8B">
        <w:rPr>
          <w:lang w:val="fr-FR"/>
        </w:rPr>
        <w:t>s</w:t>
      </w:r>
      <w:r w:rsidRPr="00F90D8B">
        <w:rPr>
          <w:lang w:val="fr-FR"/>
        </w:rPr>
        <w:t xml:space="preserve"> experts ser</w:t>
      </w:r>
      <w:r w:rsidR="00F774B3" w:rsidRPr="00F90D8B">
        <w:rPr>
          <w:lang w:val="fr-FR"/>
        </w:rPr>
        <w:t>ont</w:t>
      </w:r>
      <w:r w:rsidRPr="00F90D8B">
        <w:rPr>
          <w:lang w:val="fr-FR"/>
        </w:rPr>
        <w:t xml:space="preserve"> choisi</w:t>
      </w:r>
      <w:r w:rsidR="00F774B3" w:rsidRPr="00F90D8B">
        <w:rPr>
          <w:lang w:val="fr-FR"/>
        </w:rPr>
        <w:t>s</w:t>
      </w:r>
      <w:r w:rsidRPr="00F90D8B">
        <w:rPr>
          <w:lang w:val="fr-FR"/>
        </w:rPr>
        <w:t xml:space="preserve"> conformément aux procédures pour l’établissement, l’examen, l’acceptation, l’adoption, l’approbation et la publication des rapports d’évaluation et d’autres produits de la Plateforme (voir IPBES/2/9) et travailler</w:t>
      </w:r>
      <w:r w:rsidR="00F774B3" w:rsidRPr="00F90D8B">
        <w:rPr>
          <w:lang w:val="fr-FR"/>
        </w:rPr>
        <w:t>ont</w:t>
      </w:r>
      <w:r w:rsidRPr="00F90D8B">
        <w:rPr>
          <w:lang w:val="fr-FR"/>
        </w:rPr>
        <w:t xml:space="preserve"> sur la base des mêmes procédures. L’évaluation méthodologique impliquera </w:t>
      </w:r>
      <w:r w:rsidR="00D54C23" w:rsidRPr="00F90D8B">
        <w:rPr>
          <w:lang w:val="fr-FR"/>
        </w:rPr>
        <w:t>8</w:t>
      </w:r>
      <w:r w:rsidRPr="00F90D8B">
        <w:rPr>
          <w:lang w:val="fr-FR"/>
        </w:rPr>
        <w:t>0 auteurs, qui se réuniront deux fois, et 1</w:t>
      </w:r>
      <w:r w:rsidR="00D54C23" w:rsidRPr="00F90D8B">
        <w:rPr>
          <w:lang w:val="fr-FR"/>
        </w:rPr>
        <w:t>8</w:t>
      </w:r>
      <w:r w:rsidRPr="00F90D8B">
        <w:rPr>
          <w:lang w:val="fr-FR"/>
        </w:rPr>
        <w:t> éditeurs-réviseurs, qui se réuniront une fois, consécutivement aux auteurs. Le résumé à l’intention des décideurs sera aussi élaboré durant les réunions d</w:t>
      </w:r>
      <w:r w:rsidR="00F774B3" w:rsidRPr="00F90D8B">
        <w:rPr>
          <w:lang w:val="fr-FR"/>
        </w:rPr>
        <w:t xml:space="preserve">es </w:t>
      </w:r>
      <w:r w:rsidRPr="00F90D8B">
        <w:rPr>
          <w:lang w:val="fr-FR"/>
        </w:rPr>
        <w:t>auteurs. La portée, le bien-fondé, l’utilité et les autres hypothèses de l’évaluation sont indiquées en détail dans un document de cadrage (IPBES/2/16/Add.</w:t>
      </w:r>
      <w:r w:rsidR="00D54C23" w:rsidRPr="00F90D8B">
        <w:rPr>
          <w:lang w:val="fr-FR"/>
        </w:rPr>
        <w:t>5</w:t>
      </w:r>
      <w:r w:rsidRPr="00F90D8B">
        <w:rPr>
          <w:lang w:val="fr-FR"/>
        </w:rPr>
        <w:t>). Dans les actions détaillées, qui sont exposées dans le paragraphe 3</w:t>
      </w:r>
      <w:r w:rsidR="00D54C23" w:rsidRPr="00F90D8B">
        <w:rPr>
          <w:lang w:val="fr-FR"/>
        </w:rPr>
        <w:t>7</w:t>
      </w:r>
      <w:r w:rsidRPr="00F90D8B">
        <w:rPr>
          <w:lang w:val="fr-FR"/>
        </w:rPr>
        <w:t xml:space="preserve"> ci-après, figure l’étude de cadrage d’une deuxième phase d</w:t>
      </w:r>
      <w:r w:rsidR="00B374EC" w:rsidRPr="00F90D8B">
        <w:rPr>
          <w:lang w:val="fr-FR"/>
        </w:rPr>
        <w:t>es travaux</w:t>
      </w:r>
      <w:r w:rsidRPr="00F90D8B">
        <w:rPr>
          <w:lang w:val="fr-FR"/>
        </w:rPr>
        <w:t xml:space="preserve">, qui devrait suivre l’évaluation méthodologique. </w:t>
      </w:r>
      <w:r w:rsidR="00F774B3" w:rsidRPr="00F90D8B">
        <w:rPr>
          <w:lang w:val="fr-FR"/>
        </w:rPr>
        <w:t>On compte faire réaliser c</w:t>
      </w:r>
      <w:r w:rsidRPr="00F90D8B">
        <w:rPr>
          <w:lang w:val="fr-FR"/>
        </w:rPr>
        <w:t>e</w:t>
      </w:r>
      <w:r w:rsidR="00B374EC" w:rsidRPr="00F90D8B">
        <w:rPr>
          <w:lang w:val="fr-FR"/>
        </w:rPr>
        <w:t xml:space="preserve">s travaux </w:t>
      </w:r>
      <w:r w:rsidRPr="00F90D8B">
        <w:rPr>
          <w:lang w:val="fr-FR"/>
        </w:rPr>
        <w:t xml:space="preserve">par un groupe d’experts </w:t>
      </w:r>
      <w:r w:rsidR="00D54C23" w:rsidRPr="00F90D8B">
        <w:rPr>
          <w:lang w:val="fr-FR"/>
        </w:rPr>
        <w:t xml:space="preserve">qui établira un guide sur la façon d’utiliser les méthodes de </w:t>
      </w:r>
      <w:r w:rsidR="0016678B" w:rsidRPr="00F90D8B">
        <w:rPr>
          <w:lang w:val="fr-FR"/>
        </w:rPr>
        <w:t>définition, détermination et</w:t>
      </w:r>
      <w:r w:rsidR="00D54C23" w:rsidRPr="00F90D8B">
        <w:rPr>
          <w:lang w:val="fr-FR"/>
        </w:rPr>
        <w:t xml:space="preserve"> comptabilisation </w:t>
      </w:r>
      <w:r w:rsidR="0016678B" w:rsidRPr="00F90D8B">
        <w:rPr>
          <w:lang w:val="fr-FR"/>
        </w:rPr>
        <w:t>de la valeur lors</w:t>
      </w:r>
      <w:r w:rsidRPr="00F90D8B">
        <w:rPr>
          <w:lang w:val="fr-FR"/>
        </w:rPr>
        <w:t xml:space="preserve"> des évaluations régionales/sous-régionales, mondiales ou thématiques </w:t>
      </w:r>
      <w:r w:rsidR="0016678B" w:rsidRPr="00F90D8B">
        <w:rPr>
          <w:lang w:val="fr-FR"/>
        </w:rPr>
        <w:t xml:space="preserve">dans le cadre </w:t>
      </w:r>
      <w:r w:rsidRPr="00F90D8B">
        <w:rPr>
          <w:lang w:val="fr-FR"/>
        </w:rPr>
        <w:t xml:space="preserve">de la Plateforme. </w:t>
      </w:r>
      <w:r w:rsidR="00D54C23" w:rsidRPr="00F90D8B">
        <w:rPr>
          <w:lang w:val="fr-FR"/>
        </w:rPr>
        <w:t>En outre, s</w:t>
      </w:r>
      <w:r w:rsidRPr="00F90D8B">
        <w:rPr>
          <w:lang w:val="fr-FR"/>
        </w:rPr>
        <w:t xml:space="preserve">uite aux conclusions de l’évaluation méthodologique, le groupe </w:t>
      </w:r>
      <w:r w:rsidR="00D54C23" w:rsidRPr="00F90D8B">
        <w:rPr>
          <w:lang w:val="fr-FR"/>
        </w:rPr>
        <w:t xml:space="preserve">d’experts s’emploiera à promouvoir et </w:t>
      </w:r>
      <w:r w:rsidR="00E25F8D" w:rsidRPr="00F90D8B">
        <w:rPr>
          <w:lang w:val="fr-FR"/>
        </w:rPr>
        <w:t xml:space="preserve">stimuler </w:t>
      </w:r>
      <w:r w:rsidR="00D54C23" w:rsidRPr="00F90D8B">
        <w:rPr>
          <w:lang w:val="fr-FR"/>
        </w:rPr>
        <w:t>l</w:t>
      </w:r>
      <w:r w:rsidR="000B7A62" w:rsidRPr="00F90D8B">
        <w:rPr>
          <w:lang w:val="fr-FR"/>
        </w:rPr>
        <w:t xml:space="preserve">a </w:t>
      </w:r>
      <w:r w:rsidR="00E25F8D" w:rsidRPr="00F90D8B">
        <w:rPr>
          <w:lang w:val="fr-FR"/>
        </w:rPr>
        <w:t xml:space="preserve">poursuite de la </w:t>
      </w:r>
      <w:r w:rsidR="000B7A62" w:rsidRPr="00F90D8B">
        <w:rPr>
          <w:lang w:val="fr-FR"/>
        </w:rPr>
        <w:t>mise au point d</w:t>
      </w:r>
      <w:r w:rsidR="00E25F8D" w:rsidRPr="00F90D8B">
        <w:rPr>
          <w:lang w:val="fr-FR"/>
        </w:rPr>
        <w:t>’</w:t>
      </w:r>
      <w:r w:rsidR="000B7A62" w:rsidRPr="00F90D8B">
        <w:rPr>
          <w:lang w:val="fr-FR"/>
        </w:rPr>
        <w:t>outils pour la</w:t>
      </w:r>
      <w:r w:rsidR="00D54C23" w:rsidRPr="00F90D8B">
        <w:rPr>
          <w:lang w:val="fr-FR"/>
        </w:rPr>
        <w:t xml:space="preserve"> </w:t>
      </w:r>
      <w:r w:rsidR="0016678B" w:rsidRPr="00F90D8B">
        <w:rPr>
          <w:lang w:val="fr-FR"/>
        </w:rPr>
        <w:t>définition, la détermination</w:t>
      </w:r>
      <w:r w:rsidR="00D54C23" w:rsidRPr="00F90D8B">
        <w:rPr>
          <w:lang w:val="fr-FR"/>
        </w:rPr>
        <w:t xml:space="preserve"> et la comptabili</w:t>
      </w:r>
      <w:r w:rsidR="000B7A62" w:rsidRPr="00F90D8B">
        <w:rPr>
          <w:lang w:val="fr-FR"/>
        </w:rPr>
        <w:t xml:space="preserve">sation </w:t>
      </w:r>
      <w:r w:rsidR="0016678B" w:rsidRPr="00F90D8B">
        <w:rPr>
          <w:lang w:val="fr-FR"/>
        </w:rPr>
        <w:t xml:space="preserve">de la valeur </w:t>
      </w:r>
      <w:r w:rsidR="00D54C23" w:rsidRPr="00F90D8B">
        <w:rPr>
          <w:lang w:val="fr-FR"/>
        </w:rPr>
        <w:t xml:space="preserve">de la biodiversité et des services écosystémiques, par exemple en rendant </w:t>
      </w:r>
      <w:r w:rsidR="005B5904" w:rsidRPr="00F90D8B">
        <w:rPr>
          <w:lang w:val="fr-FR"/>
        </w:rPr>
        <w:t xml:space="preserve">ces outils </w:t>
      </w:r>
      <w:r w:rsidR="00D54C23" w:rsidRPr="00F90D8B">
        <w:rPr>
          <w:lang w:val="fr-FR"/>
        </w:rPr>
        <w:t xml:space="preserve">accessibles </w:t>
      </w:r>
      <w:r w:rsidR="0016678B" w:rsidRPr="00F90D8B">
        <w:rPr>
          <w:lang w:val="fr-FR"/>
        </w:rPr>
        <w:t>aux responsables nationaux et locaux des</w:t>
      </w:r>
      <w:r w:rsidR="00D54C23" w:rsidRPr="00F90D8B">
        <w:rPr>
          <w:lang w:val="fr-FR"/>
        </w:rPr>
        <w:t xml:space="preserve"> stratégies </w:t>
      </w:r>
      <w:r w:rsidR="000B7A62" w:rsidRPr="00F90D8B">
        <w:rPr>
          <w:lang w:val="fr-FR"/>
        </w:rPr>
        <w:t xml:space="preserve">et de </w:t>
      </w:r>
      <w:r w:rsidR="0016678B" w:rsidRPr="00F90D8B">
        <w:rPr>
          <w:lang w:val="fr-FR"/>
        </w:rPr>
        <w:t xml:space="preserve">la </w:t>
      </w:r>
      <w:r w:rsidR="000B7A62" w:rsidRPr="00F90D8B">
        <w:rPr>
          <w:lang w:val="fr-FR"/>
        </w:rPr>
        <w:t xml:space="preserve">planification </w:t>
      </w:r>
      <w:r w:rsidR="0016678B" w:rsidRPr="00F90D8B">
        <w:rPr>
          <w:lang w:val="fr-FR"/>
        </w:rPr>
        <w:t>en matière de développement ou de</w:t>
      </w:r>
      <w:r w:rsidR="00D54C23" w:rsidRPr="00F90D8B">
        <w:rPr>
          <w:lang w:val="fr-FR"/>
        </w:rPr>
        <w:t xml:space="preserve"> réduction de la pauvreté ou en </w:t>
      </w:r>
      <w:r w:rsidR="0016678B" w:rsidRPr="00F90D8B">
        <w:rPr>
          <w:lang w:val="fr-FR"/>
        </w:rPr>
        <w:t>assur</w:t>
      </w:r>
      <w:r w:rsidR="000B7A62" w:rsidRPr="00F90D8B">
        <w:rPr>
          <w:lang w:val="fr-FR"/>
        </w:rPr>
        <w:t>ant la prise en compte de</w:t>
      </w:r>
      <w:r w:rsidR="0016678B" w:rsidRPr="00F90D8B">
        <w:rPr>
          <w:lang w:val="fr-FR"/>
        </w:rPr>
        <w:t>s</w:t>
      </w:r>
      <w:r w:rsidR="00D54C23" w:rsidRPr="00F90D8B">
        <w:rPr>
          <w:lang w:val="fr-FR"/>
        </w:rPr>
        <w:t xml:space="preserve"> valeurs économiques, sanitaires et sociales dans l</w:t>
      </w:r>
      <w:r w:rsidR="0016678B" w:rsidRPr="00F90D8B">
        <w:rPr>
          <w:lang w:val="fr-FR"/>
        </w:rPr>
        <w:t>es processus</w:t>
      </w:r>
      <w:r w:rsidR="00D54C23" w:rsidRPr="00F90D8B">
        <w:rPr>
          <w:lang w:val="fr-FR"/>
        </w:rPr>
        <w:t xml:space="preserve"> décision</w:t>
      </w:r>
      <w:r w:rsidR="0016678B" w:rsidRPr="00F90D8B">
        <w:rPr>
          <w:lang w:val="fr-FR"/>
        </w:rPr>
        <w:t>nel</w:t>
      </w:r>
      <w:r w:rsidR="00D54C23" w:rsidRPr="00F90D8B">
        <w:rPr>
          <w:lang w:val="fr-FR"/>
        </w:rPr>
        <w:t xml:space="preserve">s aux niveaux </w:t>
      </w:r>
      <w:r w:rsidR="0016678B" w:rsidRPr="00F90D8B">
        <w:rPr>
          <w:lang w:val="fr-FR"/>
        </w:rPr>
        <w:t xml:space="preserve">des autorités </w:t>
      </w:r>
      <w:r w:rsidR="00D54C23" w:rsidRPr="00F90D8B">
        <w:rPr>
          <w:lang w:val="fr-FR"/>
        </w:rPr>
        <w:t>gouvernemental</w:t>
      </w:r>
      <w:r w:rsidR="0016678B" w:rsidRPr="00F90D8B">
        <w:rPr>
          <w:lang w:val="fr-FR"/>
        </w:rPr>
        <w:t>es</w:t>
      </w:r>
      <w:r w:rsidR="00D54C23" w:rsidRPr="00F90D8B">
        <w:rPr>
          <w:lang w:val="fr-FR"/>
        </w:rPr>
        <w:t xml:space="preserve">, </w:t>
      </w:r>
      <w:r w:rsidR="0016678B" w:rsidRPr="00F90D8B">
        <w:rPr>
          <w:lang w:val="fr-FR"/>
        </w:rPr>
        <w:t>du</w:t>
      </w:r>
      <w:r w:rsidR="00D54C23" w:rsidRPr="00F90D8B">
        <w:rPr>
          <w:lang w:val="fr-FR"/>
        </w:rPr>
        <w:t xml:space="preserve"> secteur privé et </w:t>
      </w:r>
      <w:r w:rsidR="0016678B" w:rsidRPr="00F90D8B">
        <w:rPr>
          <w:lang w:val="fr-FR"/>
        </w:rPr>
        <w:t>de</w:t>
      </w:r>
      <w:r w:rsidR="00D54C23" w:rsidRPr="00F90D8B">
        <w:rPr>
          <w:lang w:val="fr-FR"/>
        </w:rPr>
        <w:t xml:space="preserve"> la société civile.</w:t>
      </w:r>
      <w:r w:rsidRPr="00F90D8B">
        <w:rPr>
          <w:lang w:val="fr-FR"/>
        </w:rPr>
        <w:t xml:space="preserve"> Les travaux s’appuieront sur les direct</w:t>
      </w:r>
      <w:r w:rsidR="0016678B" w:rsidRPr="00F90D8B">
        <w:rPr>
          <w:lang w:val="fr-FR"/>
        </w:rPr>
        <w:t>iv</w:t>
      </w:r>
      <w:r w:rsidRPr="00F90D8B">
        <w:rPr>
          <w:lang w:val="fr-FR"/>
        </w:rPr>
        <w:t>es concernant l</w:t>
      </w:r>
      <w:r w:rsidR="0016678B" w:rsidRPr="00F90D8B">
        <w:rPr>
          <w:lang w:val="fr-FR"/>
        </w:rPr>
        <w:t>’élaboration</w:t>
      </w:r>
      <w:r w:rsidRPr="00F90D8B">
        <w:rPr>
          <w:lang w:val="fr-FR"/>
        </w:rPr>
        <w:t xml:space="preserve"> </w:t>
      </w:r>
      <w:r w:rsidR="00610A1B">
        <w:rPr>
          <w:lang w:val="fr-FR"/>
        </w:rPr>
        <w:t>d’outils et de méthodes</w:t>
      </w:r>
      <w:r w:rsidRPr="00F90D8B">
        <w:rPr>
          <w:lang w:val="fr-FR"/>
        </w:rPr>
        <w:t xml:space="preserve"> d’</w:t>
      </w:r>
      <w:r w:rsidR="00AA6C94" w:rsidRPr="00F90D8B">
        <w:rPr>
          <w:lang w:val="fr-FR"/>
        </w:rPr>
        <w:t>aide à la décision</w:t>
      </w:r>
      <w:r w:rsidRPr="00F90D8B">
        <w:rPr>
          <w:lang w:val="fr-FR"/>
        </w:rPr>
        <w:t xml:space="preserve"> (voir produit 4 b)). En 2017, la Plénière </w:t>
      </w:r>
      <w:r w:rsidR="004621EA" w:rsidRPr="00F90D8B">
        <w:rPr>
          <w:lang w:val="fr-FR"/>
        </w:rPr>
        <w:t>étudie</w:t>
      </w:r>
      <w:r w:rsidR="007B3192" w:rsidRPr="00F90D8B">
        <w:rPr>
          <w:lang w:val="fr-FR"/>
        </w:rPr>
        <w:t>ra</w:t>
      </w:r>
      <w:r w:rsidR="004621EA" w:rsidRPr="00F90D8B">
        <w:rPr>
          <w:lang w:val="fr-FR"/>
        </w:rPr>
        <w:t xml:space="preserve"> la possibilité de </w:t>
      </w:r>
      <w:r w:rsidRPr="00F90D8B">
        <w:rPr>
          <w:lang w:val="fr-FR"/>
        </w:rPr>
        <w:t xml:space="preserve">donner son approbation aux outils et méthodes </w:t>
      </w:r>
      <w:r w:rsidR="007B3192" w:rsidRPr="00F90D8B">
        <w:rPr>
          <w:lang w:val="fr-FR"/>
        </w:rPr>
        <w:t>plus élaborés ainsi obtenus</w:t>
      </w:r>
      <w:r w:rsidRPr="00F90D8B">
        <w:rPr>
          <w:lang w:val="fr-FR"/>
        </w:rPr>
        <w:t xml:space="preserve">. Le secrétariat établira les dispositions institutionnelles pour la fourniture d’un </w:t>
      </w:r>
      <w:r w:rsidR="00F16D98" w:rsidRPr="00F90D8B">
        <w:rPr>
          <w:lang w:val="fr-FR"/>
        </w:rPr>
        <w:t>appui technique approuvé</w:t>
      </w:r>
      <w:r w:rsidRPr="00F90D8B">
        <w:rPr>
          <w:lang w:val="fr-FR"/>
        </w:rPr>
        <w:t xml:space="preserve"> par le Bureau. L’appui technique sera financé en partie par la Plateforme et en partie par les contributions en nature approuvées par la Plénière (voir </w:t>
      </w:r>
      <w:r w:rsidR="00435D19" w:rsidRPr="00F90D8B">
        <w:rPr>
          <w:lang w:val="fr-FR"/>
        </w:rPr>
        <w:t>paragraphe</w:t>
      </w:r>
      <w:r w:rsidRPr="00F90D8B">
        <w:rPr>
          <w:lang w:val="fr-FR"/>
        </w:rPr>
        <w:t> 3</w:t>
      </w:r>
      <w:r w:rsidR="000B7A62" w:rsidRPr="00F90D8B">
        <w:rPr>
          <w:lang w:val="fr-FR"/>
        </w:rPr>
        <w:t>8</w:t>
      </w:r>
      <w:r w:rsidRPr="00F90D8B">
        <w:rPr>
          <w:lang w:val="fr-FR"/>
        </w:rPr>
        <w:t xml:space="preserve"> ci-après).</w:t>
      </w:r>
    </w:p>
    <w:p w:rsidR="001D6913" w:rsidRPr="00F77964" w:rsidRDefault="001D6913" w:rsidP="001D6913">
      <w:pPr>
        <w:pStyle w:val="CH3"/>
        <w:spacing w:before="200"/>
        <w:rPr>
          <w:rFonts w:eastAsia="SimSun"/>
          <w:lang w:val="fr-FR" w:eastAsia="zh-CN"/>
        </w:rPr>
      </w:pPr>
      <w:r w:rsidRPr="00F77964">
        <w:rPr>
          <w:rFonts w:eastAsia="SimSun"/>
          <w:b w:val="0"/>
          <w:lang w:val="fr-FR" w:eastAsia="zh-CN"/>
        </w:rPr>
        <w:lastRenderedPageBreak/>
        <w:tab/>
      </w:r>
      <w:r w:rsidRPr="00F77964">
        <w:rPr>
          <w:rFonts w:eastAsia="SimSun"/>
          <w:lang w:val="fr-FR" w:eastAsia="zh-CN"/>
        </w:rPr>
        <w:tab/>
        <w:t>Actions, étapes intermédiaires et dispositions institutionnelles</w:t>
      </w:r>
    </w:p>
    <w:p w:rsidR="001D6913" w:rsidRPr="00F90D8B" w:rsidRDefault="001D6913" w:rsidP="00F90D8B">
      <w:pPr>
        <w:pStyle w:val="Normalnumber"/>
        <w:numPr>
          <w:ilvl w:val="0"/>
          <w:numId w:val="6"/>
        </w:numPr>
        <w:tabs>
          <w:tab w:val="left" w:pos="624"/>
        </w:tabs>
        <w:ind w:left="1247" w:firstLine="0"/>
        <w:rPr>
          <w:lang w:val="fr-FR"/>
        </w:rPr>
      </w:pPr>
      <w:r w:rsidRPr="00F90D8B">
        <w:rPr>
          <w:lang w:val="fr-FR"/>
        </w:rPr>
        <w:t>Les actions à mener sont indiquées ci-après :</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11"/>
        <w:gridCol w:w="5920"/>
      </w:tblGrid>
      <w:tr w:rsidR="00005DED" w:rsidRPr="0061490E" w:rsidTr="00005DED">
        <w:tc>
          <w:tcPr>
            <w:tcW w:w="2074" w:type="dxa"/>
            <w:gridSpan w:val="2"/>
            <w:tcBorders>
              <w:top w:val="single" w:sz="4" w:space="0" w:color="auto"/>
              <w:left w:val="single" w:sz="4" w:space="0" w:color="auto"/>
              <w:bottom w:val="single" w:sz="4" w:space="0" w:color="auto"/>
              <w:right w:val="single" w:sz="4" w:space="0" w:color="auto"/>
            </w:tcBorders>
          </w:tcPr>
          <w:p w:rsidR="00005DED" w:rsidRPr="00F77964" w:rsidRDefault="00005DED" w:rsidP="00E41FB8">
            <w:pPr>
              <w:pStyle w:val="Normal-pool"/>
              <w:keepNext/>
              <w:keepLines/>
              <w:spacing w:before="40" w:after="40"/>
              <w:rPr>
                <w:rFonts w:eastAsia="SimSun"/>
                <w:i/>
                <w:sz w:val="18"/>
                <w:szCs w:val="18"/>
                <w:lang w:eastAsia="zh-CN"/>
              </w:rPr>
            </w:pPr>
            <w:r w:rsidRPr="00F77964">
              <w:rPr>
                <w:rFonts w:eastAsia="SimSun"/>
                <w:i/>
                <w:sz w:val="18"/>
                <w:szCs w:val="18"/>
                <w:lang w:eastAsia="zh-CN"/>
              </w:rPr>
              <w:t>Calendrier</w:t>
            </w:r>
          </w:p>
        </w:tc>
        <w:tc>
          <w:tcPr>
            <w:tcW w:w="5920" w:type="dxa"/>
            <w:tcBorders>
              <w:top w:val="single" w:sz="4" w:space="0" w:color="auto"/>
              <w:left w:val="single" w:sz="4" w:space="0" w:color="auto"/>
              <w:bottom w:val="single" w:sz="4" w:space="0" w:color="auto"/>
              <w:right w:val="single" w:sz="4" w:space="0" w:color="auto"/>
            </w:tcBorders>
          </w:tcPr>
          <w:p w:rsidR="00005DED" w:rsidRPr="00F77964" w:rsidRDefault="00005DED" w:rsidP="00E41FB8">
            <w:pPr>
              <w:pStyle w:val="Normal-pool"/>
              <w:keepNext/>
              <w:keepLines/>
              <w:spacing w:before="40" w:after="40"/>
              <w:rPr>
                <w:rFonts w:eastAsia="SimSun"/>
                <w:i/>
                <w:sz w:val="18"/>
                <w:szCs w:val="18"/>
                <w:lang w:eastAsia="zh-CN"/>
              </w:rPr>
            </w:pPr>
            <w:r w:rsidRPr="00F77964">
              <w:rPr>
                <w:rFonts w:eastAsia="SimSun"/>
                <w:i/>
                <w:sz w:val="18"/>
                <w:szCs w:val="18"/>
                <w:lang w:eastAsia="zh-CN"/>
              </w:rPr>
              <w:t>Actions/dispositions institutionnelles</w:t>
            </w:r>
          </w:p>
        </w:tc>
      </w:tr>
      <w:tr w:rsidR="00005DED" w:rsidRPr="0061490E" w:rsidTr="001D0F4C">
        <w:trPr>
          <w:trHeight w:val="591"/>
        </w:trPr>
        <w:tc>
          <w:tcPr>
            <w:tcW w:w="663" w:type="dxa"/>
            <w:vMerge w:val="restart"/>
            <w:tcBorders>
              <w:top w:val="single" w:sz="4" w:space="0" w:color="auto"/>
              <w:left w:val="single" w:sz="4" w:space="0" w:color="auto"/>
              <w:right w:val="single" w:sz="4" w:space="0" w:color="auto"/>
            </w:tcBorders>
            <w:hideMark/>
          </w:tcPr>
          <w:p w:rsidR="00005DED" w:rsidRPr="00F77964" w:rsidRDefault="00005DED" w:rsidP="001D0F4C">
            <w:pPr>
              <w:pStyle w:val="Normal-pool"/>
              <w:spacing w:before="20" w:after="20"/>
              <w:rPr>
                <w:rFonts w:eastAsia="SimSun"/>
                <w:sz w:val="18"/>
                <w:szCs w:val="18"/>
                <w:lang w:eastAsia="zh-CN"/>
              </w:rPr>
            </w:pPr>
            <w:r w:rsidRPr="00F77964">
              <w:rPr>
                <w:rFonts w:eastAsia="SimSun"/>
                <w:sz w:val="18"/>
                <w:szCs w:val="18"/>
                <w:lang w:eastAsia="zh-CN"/>
              </w:rPr>
              <w:t>2013</w:t>
            </w:r>
          </w:p>
        </w:tc>
        <w:tc>
          <w:tcPr>
            <w:tcW w:w="1411" w:type="dxa"/>
            <w:tcBorders>
              <w:top w:val="single" w:sz="4" w:space="0" w:color="auto"/>
              <w:left w:val="single" w:sz="4" w:space="0" w:color="auto"/>
              <w:bottom w:val="single" w:sz="4" w:space="0" w:color="auto"/>
              <w:right w:val="single" w:sz="4" w:space="0" w:color="auto"/>
            </w:tcBorders>
            <w:hideMark/>
          </w:tcPr>
          <w:p w:rsidR="00005DED" w:rsidRPr="00F77964" w:rsidRDefault="00005DED" w:rsidP="001D0F4C">
            <w:pPr>
              <w:pStyle w:val="Normal-pool"/>
              <w:spacing w:before="20" w:after="20"/>
              <w:rPr>
                <w:rFonts w:eastAsia="SimSun"/>
                <w:sz w:val="18"/>
                <w:szCs w:val="18"/>
                <w:lang w:eastAsia="zh-CN"/>
              </w:rPr>
            </w:pPr>
            <w:r w:rsidRPr="00F77964">
              <w:rPr>
                <w:sz w:val="20"/>
                <w:szCs w:val="20"/>
              </w:rPr>
              <w:t>Quatrième tri</w:t>
            </w:r>
            <w:r w:rsidRPr="00F77964">
              <w:rPr>
                <w:rFonts w:eastAsia="SimSun"/>
                <w:sz w:val="18"/>
                <w:szCs w:val="18"/>
                <w:lang w:eastAsia="zh-CN"/>
              </w:rPr>
              <w:t>mestre</w:t>
            </w:r>
          </w:p>
        </w:tc>
        <w:tc>
          <w:tcPr>
            <w:tcW w:w="5920" w:type="dxa"/>
            <w:tcBorders>
              <w:top w:val="single" w:sz="4" w:space="0" w:color="auto"/>
              <w:left w:val="single" w:sz="4" w:space="0" w:color="auto"/>
              <w:bottom w:val="single" w:sz="4" w:space="0" w:color="auto"/>
              <w:right w:val="single" w:sz="4" w:space="0" w:color="auto"/>
            </w:tcBorders>
            <w:hideMark/>
          </w:tcPr>
          <w:p w:rsidR="00005DED" w:rsidRPr="00F77964" w:rsidRDefault="00005DED" w:rsidP="001D0F4C">
            <w:pPr>
              <w:pStyle w:val="Normal-pool"/>
              <w:spacing w:before="20" w:after="20"/>
              <w:rPr>
                <w:rFonts w:eastAsia="SimSun"/>
                <w:sz w:val="18"/>
                <w:szCs w:val="18"/>
                <w:lang w:eastAsia="zh-CN"/>
              </w:rPr>
            </w:pPr>
            <w:r w:rsidRPr="00F77964">
              <w:rPr>
                <w:rFonts w:eastAsia="SimSun"/>
                <w:sz w:val="18"/>
                <w:szCs w:val="18"/>
                <w:lang w:eastAsia="zh-CN"/>
              </w:rPr>
              <w:t>La Plénière, à sa deuxième session, examine et approuve l’étude initiale de cadrage établie par le Groupe d’experts multidisciplinaire (14 décembre 2013)</w:t>
            </w:r>
          </w:p>
        </w:tc>
      </w:tr>
      <w:tr w:rsidR="00005DED" w:rsidRPr="0061490E" w:rsidTr="001D0F4C">
        <w:trPr>
          <w:trHeight w:val="387"/>
        </w:trPr>
        <w:tc>
          <w:tcPr>
            <w:tcW w:w="663" w:type="dxa"/>
            <w:vMerge/>
            <w:tcBorders>
              <w:left w:val="single" w:sz="4" w:space="0" w:color="auto"/>
              <w:bottom w:val="single" w:sz="4" w:space="0" w:color="auto"/>
              <w:right w:val="single" w:sz="4" w:space="0" w:color="auto"/>
            </w:tcBorders>
            <w:hideMark/>
          </w:tcPr>
          <w:p w:rsidR="00005DED" w:rsidRPr="00F77964" w:rsidRDefault="00005DED" w:rsidP="001D0F4C">
            <w:pPr>
              <w:pStyle w:val="Normal-pool"/>
              <w:spacing w:before="20" w:after="20"/>
              <w:rPr>
                <w:rFonts w:eastAsia="SimSun"/>
                <w:sz w:val="18"/>
                <w:szCs w:val="18"/>
                <w:lang w:eastAsia="zh-CN"/>
              </w:rPr>
            </w:pPr>
          </w:p>
        </w:tc>
        <w:tc>
          <w:tcPr>
            <w:tcW w:w="1411" w:type="dxa"/>
            <w:tcBorders>
              <w:top w:val="single" w:sz="4" w:space="0" w:color="auto"/>
              <w:left w:val="single" w:sz="4" w:space="0" w:color="auto"/>
              <w:bottom w:val="single" w:sz="4" w:space="0" w:color="auto"/>
              <w:right w:val="single" w:sz="4" w:space="0" w:color="auto"/>
            </w:tcBorders>
            <w:hideMark/>
          </w:tcPr>
          <w:p w:rsidR="00005DED" w:rsidRPr="00F77964" w:rsidRDefault="00005DED" w:rsidP="001D0F4C">
            <w:pPr>
              <w:pStyle w:val="Normal-pool"/>
              <w:spacing w:before="20" w:after="20"/>
              <w:rPr>
                <w:rFonts w:eastAsia="SimSun"/>
                <w:sz w:val="18"/>
                <w:szCs w:val="18"/>
                <w:lang w:eastAsia="zh-CN"/>
              </w:rPr>
            </w:pPr>
            <w:r w:rsidRPr="00F77964">
              <w:rPr>
                <w:sz w:val="20"/>
                <w:szCs w:val="20"/>
              </w:rPr>
              <w:t>Quatrième tri</w:t>
            </w:r>
            <w:r w:rsidRPr="00F77964">
              <w:rPr>
                <w:rFonts w:eastAsia="SimSun"/>
                <w:sz w:val="18"/>
                <w:szCs w:val="18"/>
                <w:lang w:eastAsia="zh-CN"/>
              </w:rPr>
              <w:t>mestre</w:t>
            </w:r>
          </w:p>
        </w:tc>
        <w:tc>
          <w:tcPr>
            <w:tcW w:w="5920" w:type="dxa"/>
            <w:tcBorders>
              <w:top w:val="single" w:sz="4" w:space="0" w:color="auto"/>
              <w:left w:val="single" w:sz="4" w:space="0" w:color="auto"/>
              <w:bottom w:val="single" w:sz="4" w:space="0" w:color="auto"/>
              <w:right w:val="single" w:sz="4" w:space="0" w:color="auto"/>
            </w:tcBorders>
            <w:hideMark/>
          </w:tcPr>
          <w:p w:rsidR="00005DED" w:rsidRPr="00F77964" w:rsidRDefault="00005DED" w:rsidP="001D0F4C">
            <w:pPr>
              <w:pStyle w:val="Normal-pool"/>
              <w:spacing w:before="20" w:after="20"/>
              <w:rPr>
                <w:rFonts w:eastAsia="SimSun"/>
                <w:sz w:val="18"/>
                <w:szCs w:val="18"/>
                <w:lang w:eastAsia="zh-CN"/>
              </w:rPr>
            </w:pPr>
            <w:r w:rsidRPr="00F77964">
              <w:rPr>
                <w:rFonts w:eastAsia="SimSun"/>
                <w:sz w:val="18"/>
                <w:szCs w:val="18"/>
                <w:lang w:eastAsia="zh-CN"/>
              </w:rPr>
              <w:t xml:space="preserve">Le Groupe d’experts multidisciplinaire, par le biais du secrétariat, </w:t>
            </w:r>
            <w:r>
              <w:rPr>
                <w:rFonts w:eastAsia="SimSun"/>
                <w:sz w:val="18"/>
                <w:szCs w:val="18"/>
                <w:lang w:eastAsia="zh-CN"/>
              </w:rPr>
              <w:t xml:space="preserve">demande </w:t>
            </w:r>
            <w:r w:rsidRPr="00F77964">
              <w:rPr>
                <w:rFonts w:eastAsia="SimSun"/>
                <w:sz w:val="18"/>
                <w:szCs w:val="18"/>
                <w:lang w:eastAsia="zh-CN"/>
              </w:rPr>
              <w:t xml:space="preserve">aux gouvernements et aux autres parties prenantes </w:t>
            </w:r>
            <w:r>
              <w:rPr>
                <w:rFonts w:eastAsia="SimSun"/>
                <w:sz w:val="18"/>
                <w:szCs w:val="18"/>
                <w:lang w:eastAsia="zh-CN"/>
              </w:rPr>
              <w:t>de</w:t>
            </w:r>
            <w:r w:rsidRPr="00F77964">
              <w:rPr>
                <w:rFonts w:eastAsia="SimSun"/>
                <w:sz w:val="18"/>
                <w:szCs w:val="18"/>
                <w:lang w:eastAsia="zh-CN"/>
              </w:rPr>
              <w:t xml:space="preserve"> désigne</w:t>
            </w:r>
            <w:r>
              <w:rPr>
                <w:rFonts w:eastAsia="SimSun"/>
                <w:sz w:val="18"/>
                <w:szCs w:val="18"/>
                <w:lang w:eastAsia="zh-CN"/>
              </w:rPr>
              <w:t>r</w:t>
            </w:r>
            <w:r w:rsidRPr="00F77964">
              <w:rPr>
                <w:rFonts w:eastAsia="SimSun"/>
                <w:sz w:val="18"/>
                <w:szCs w:val="18"/>
                <w:lang w:eastAsia="zh-CN"/>
              </w:rPr>
              <w:t xml:space="preserve"> des experts (</w:t>
            </w:r>
            <w:r>
              <w:rPr>
                <w:rFonts w:eastAsia="SimSun"/>
                <w:sz w:val="18"/>
                <w:szCs w:val="18"/>
                <w:lang w:eastAsia="zh-CN"/>
              </w:rPr>
              <w:t>coprésidents</w:t>
            </w:r>
            <w:r w:rsidRPr="00F77964">
              <w:rPr>
                <w:rFonts w:eastAsia="SimSun"/>
                <w:sz w:val="18"/>
                <w:szCs w:val="18"/>
                <w:lang w:eastAsia="zh-CN"/>
              </w:rPr>
              <w:t xml:space="preserve">, auteurs coordonnateurs principaux, auteurs principaux et éditeurs-réviseurs) pour mener l’évaluation sur la base </w:t>
            </w:r>
            <w:r>
              <w:rPr>
                <w:rFonts w:eastAsia="SimSun"/>
                <w:sz w:val="18"/>
                <w:szCs w:val="18"/>
                <w:lang w:eastAsia="zh-CN"/>
              </w:rPr>
              <w:t xml:space="preserve">des résultats </w:t>
            </w:r>
            <w:r w:rsidRPr="00F77964">
              <w:rPr>
                <w:rFonts w:eastAsia="SimSun"/>
                <w:sz w:val="18"/>
                <w:szCs w:val="18"/>
                <w:lang w:eastAsia="zh-CN"/>
              </w:rPr>
              <w:t>de l’étude de cadrage approuvée par la Plénière (9 décembre 2013– 10 janvier 2014)</w:t>
            </w:r>
          </w:p>
        </w:tc>
      </w:tr>
      <w:tr w:rsidR="00005DED" w:rsidRPr="0061490E" w:rsidTr="001D0F4C">
        <w:trPr>
          <w:trHeight w:val="279"/>
        </w:trPr>
        <w:tc>
          <w:tcPr>
            <w:tcW w:w="0" w:type="auto"/>
            <w:vMerge w:val="restart"/>
            <w:tcBorders>
              <w:top w:val="single" w:sz="4" w:space="0" w:color="auto"/>
              <w:left w:val="single" w:sz="4" w:space="0" w:color="auto"/>
              <w:right w:val="single" w:sz="4" w:space="0" w:color="auto"/>
            </w:tcBorders>
            <w:hideMark/>
          </w:tcPr>
          <w:p w:rsidR="00005DED" w:rsidRPr="0061490E" w:rsidRDefault="00005DED" w:rsidP="001D0F4C">
            <w:pPr>
              <w:rPr>
                <w:rFonts w:eastAsia="SimSun"/>
                <w:sz w:val="18"/>
                <w:szCs w:val="18"/>
                <w:lang w:eastAsia="zh-CN"/>
              </w:rPr>
            </w:pPr>
            <w:r w:rsidRPr="0061490E">
              <w:rPr>
                <w:rFonts w:eastAsia="SimSun"/>
                <w:sz w:val="18"/>
                <w:szCs w:val="18"/>
                <w:lang w:eastAsia="zh-CN"/>
              </w:rPr>
              <w:t>2014</w:t>
            </w:r>
          </w:p>
        </w:tc>
        <w:tc>
          <w:tcPr>
            <w:tcW w:w="1411" w:type="dxa"/>
            <w:tcBorders>
              <w:top w:val="single" w:sz="4" w:space="0" w:color="auto"/>
              <w:left w:val="single" w:sz="4" w:space="0" w:color="auto"/>
              <w:bottom w:val="single" w:sz="4" w:space="0" w:color="auto"/>
              <w:right w:val="single" w:sz="4" w:space="0" w:color="auto"/>
            </w:tcBorders>
            <w:hideMark/>
          </w:tcPr>
          <w:p w:rsidR="00005DED" w:rsidRPr="00F77964" w:rsidRDefault="00005DED" w:rsidP="001D0F4C">
            <w:pPr>
              <w:pStyle w:val="Normal-pool"/>
              <w:keepNext/>
              <w:keepLines/>
              <w:spacing w:before="20" w:after="20"/>
              <w:rPr>
                <w:rFonts w:eastAsia="SimSun"/>
                <w:sz w:val="18"/>
                <w:szCs w:val="18"/>
                <w:lang w:eastAsia="zh-CN"/>
              </w:rPr>
            </w:pPr>
            <w:r w:rsidRPr="00F77964">
              <w:rPr>
                <w:rFonts w:eastAsia="SimSun"/>
                <w:sz w:val="18"/>
                <w:szCs w:val="18"/>
                <w:lang w:eastAsia="zh-CN"/>
              </w:rPr>
              <w:t>Premier trimestre</w:t>
            </w:r>
          </w:p>
        </w:tc>
        <w:tc>
          <w:tcPr>
            <w:tcW w:w="5920" w:type="dxa"/>
            <w:tcBorders>
              <w:top w:val="single" w:sz="4" w:space="0" w:color="auto"/>
              <w:left w:val="single" w:sz="4" w:space="0" w:color="auto"/>
              <w:bottom w:val="single" w:sz="4" w:space="0" w:color="auto"/>
              <w:right w:val="single" w:sz="4" w:space="0" w:color="auto"/>
            </w:tcBorders>
            <w:hideMark/>
          </w:tcPr>
          <w:p w:rsidR="00005DED" w:rsidRPr="00F77964" w:rsidRDefault="00005DED" w:rsidP="001D0F4C">
            <w:pPr>
              <w:pStyle w:val="Normal-pool"/>
              <w:keepNext/>
              <w:keepLines/>
              <w:spacing w:before="20" w:after="20"/>
              <w:rPr>
                <w:rFonts w:eastAsia="SimSun"/>
                <w:sz w:val="18"/>
                <w:szCs w:val="18"/>
                <w:lang w:eastAsia="zh-CN"/>
              </w:rPr>
            </w:pPr>
            <w:r w:rsidRPr="00F77964">
              <w:rPr>
                <w:rFonts w:eastAsia="SimSun"/>
                <w:sz w:val="18"/>
                <w:szCs w:val="18"/>
                <w:lang w:eastAsia="zh-CN"/>
              </w:rPr>
              <w:t xml:space="preserve">Le Groupe d’experts multidisciplinaire, par la voie de courriels et de téléconférences, choisit les </w:t>
            </w:r>
            <w:r>
              <w:rPr>
                <w:rFonts w:eastAsia="SimSun"/>
                <w:sz w:val="18"/>
                <w:szCs w:val="18"/>
                <w:lang w:eastAsia="zh-CN"/>
              </w:rPr>
              <w:t>coprésidents</w:t>
            </w:r>
            <w:r w:rsidRPr="00F77964">
              <w:rPr>
                <w:rFonts w:eastAsia="SimSun"/>
                <w:sz w:val="18"/>
                <w:szCs w:val="18"/>
                <w:lang w:eastAsia="zh-CN"/>
              </w:rPr>
              <w:t xml:space="preserve">, les auteurs coordonnateurs principaux, les auteurs principaux et les éditeurs-réviseurs, en utilisant les critères de sélection approuvés </w:t>
            </w:r>
            <w:r>
              <w:rPr>
                <w:rFonts w:eastAsia="SimSun"/>
                <w:sz w:val="18"/>
                <w:szCs w:val="18"/>
                <w:lang w:eastAsia="zh-CN"/>
              </w:rPr>
              <w:t xml:space="preserve">(voir IPBES/2/9) </w:t>
            </w:r>
            <w:r w:rsidRPr="00F77964">
              <w:rPr>
                <w:rFonts w:eastAsia="SimSun"/>
                <w:sz w:val="18"/>
                <w:szCs w:val="18"/>
                <w:lang w:eastAsia="zh-CN"/>
              </w:rPr>
              <w:t>(11 janvier–24 janvier)</w:t>
            </w:r>
          </w:p>
        </w:tc>
      </w:tr>
      <w:tr w:rsidR="00C15C80" w:rsidRPr="0061490E" w:rsidTr="001D0F4C">
        <w:trPr>
          <w:trHeight w:val="56"/>
        </w:trPr>
        <w:tc>
          <w:tcPr>
            <w:tcW w:w="0" w:type="auto"/>
            <w:vMerge/>
            <w:tcBorders>
              <w:left w:val="single" w:sz="4" w:space="0" w:color="auto"/>
              <w:right w:val="single" w:sz="4" w:space="0" w:color="auto"/>
            </w:tcBorders>
            <w:hideMark/>
          </w:tcPr>
          <w:p w:rsidR="00C15C80" w:rsidRPr="0061490E" w:rsidRDefault="00C15C80" w:rsidP="001D0F4C">
            <w:pPr>
              <w:rPr>
                <w:rFonts w:eastAsia="SimSun"/>
                <w:sz w:val="18"/>
                <w:szCs w:val="18"/>
                <w:lang w:eastAsia="zh-CN"/>
              </w:rPr>
            </w:pPr>
          </w:p>
        </w:tc>
        <w:tc>
          <w:tcPr>
            <w:tcW w:w="1411" w:type="dxa"/>
            <w:tcBorders>
              <w:top w:val="single" w:sz="4" w:space="0" w:color="auto"/>
              <w:left w:val="single" w:sz="4" w:space="0" w:color="auto"/>
              <w:bottom w:val="single" w:sz="4" w:space="0" w:color="auto"/>
              <w:right w:val="single" w:sz="4" w:space="0" w:color="auto"/>
            </w:tcBorders>
            <w:hideMark/>
          </w:tcPr>
          <w:p w:rsidR="00C15C80" w:rsidRPr="00F77964" w:rsidRDefault="00C15C80" w:rsidP="001D0F4C">
            <w:pPr>
              <w:pStyle w:val="Normal-pool"/>
              <w:keepNext/>
              <w:keepLines/>
              <w:spacing w:before="20" w:after="20"/>
              <w:rPr>
                <w:rFonts w:eastAsia="SimSun"/>
                <w:sz w:val="18"/>
                <w:szCs w:val="18"/>
                <w:lang w:eastAsia="zh-CN"/>
              </w:rPr>
            </w:pPr>
            <w:r w:rsidRPr="00F77964">
              <w:rPr>
                <w:rFonts w:eastAsia="SimSun"/>
                <w:sz w:val="18"/>
                <w:szCs w:val="18"/>
                <w:lang w:eastAsia="zh-CN"/>
              </w:rPr>
              <w:t>Premier/ deuxième/</w:t>
            </w:r>
            <w:r>
              <w:rPr>
                <w:rFonts w:eastAsia="SimSun"/>
                <w:sz w:val="18"/>
                <w:szCs w:val="18"/>
                <w:lang w:eastAsia="zh-CN"/>
              </w:rPr>
              <w:t xml:space="preserve"> </w:t>
            </w:r>
            <w:r w:rsidRPr="00F77964">
              <w:rPr>
                <w:rFonts w:eastAsia="SimSun"/>
                <w:sz w:val="18"/>
                <w:szCs w:val="18"/>
                <w:lang w:eastAsia="zh-CN"/>
              </w:rPr>
              <w:t>troisième trimestres</w:t>
            </w:r>
          </w:p>
        </w:tc>
        <w:tc>
          <w:tcPr>
            <w:tcW w:w="5920" w:type="dxa"/>
            <w:tcBorders>
              <w:top w:val="single" w:sz="4" w:space="0" w:color="auto"/>
              <w:left w:val="single" w:sz="4" w:space="0" w:color="auto"/>
              <w:bottom w:val="single" w:sz="4" w:space="0" w:color="auto"/>
              <w:right w:val="single" w:sz="4" w:space="0" w:color="auto"/>
            </w:tcBorders>
            <w:hideMark/>
          </w:tcPr>
          <w:p w:rsidR="00C15C80" w:rsidRPr="00F77964" w:rsidRDefault="00C15C80" w:rsidP="001D0F4C">
            <w:pPr>
              <w:pStyle w:val="Normal-pool"/>
              <w:keepNext/>
              <w:keepLines/>
              <w:spacing w:before="20" w:after="20"/>
              <w:rPr>
                <w:rFonts w:eastAsia="SimSun"/>
                <w:sz w:val="18"/>
                <w:szCs w:val="18"/>
                <w:lang w:eastAsia="zh-CN"/>
              </w:rPr>
            </w:pPr>
            <w:r w:rsidRPr="00F77964">
              <w:rPr>
                <w:rFonts w:eastAsia="SimSun"/>
                <w:sz w:val="18"/>
                <w:szCs w:val="18"/>
                <w:lang w:eastAsia="zh-CN"/>
              </w:rPr>
              <w:t xml:space="preserve">Les </w:t>
            </w:r>
            <w:r>
              <w:rPr>
                <w:rFonts w:eastAsia="SimSun"/>
                <w:sz w:val="18"/>
                <w:szCs w:val="18"/>
                <w:lang w:eastAsia="zh-CN"/>
              </w:rPr>
              <w:t>coprésidents</w:t>
            </w:r>
            <w:r w:rsidRPr="00F77964">
              <w:rPr>
                <w:rFonts w:eastAsia="SimSun"/>
                <w:sz w:val="18"/>
                <w:szCs w:val="18"/>
                <w:lang w:eastAsia="zh-CN"/>
              </w:rPr>
              <w:t>, les auteurs coordonnateurs principaux et les auteurs principaux établissent un avant-projet de rapport et de résumé à l’intention des décideurs (25 janvier–25 juillet</w:t>
            </w:r>
            <w:r w:rsidR="0097596F">
              <w:rPr>
                <w:rFonts w:eastAsia="SimSun"/>
                <w:sz w:val="18"/>
                <w:szCs w:val="18"/>
                <w:lang w:eastAsia="zh-CN"/>
              </w:rPr>
              <w:t xml:space="preserve"> 2014</w:t>
            </w:r>
            <w:r w:rsidRPr="00F77964">
              <w:rPr>
                <w:rFonts w:eastAsia="SimSun"/>
                <w:sz w:val="18"/>
                <w:szCs w:val="18"/>
                <w:lang w:eastAsia="zh-CN"/>
              </w:rPr>
              <w:t xml:space="preserve">). </w:t>
            </w:r>
            <w:r w:rsidRPr="00F77964">
              <w:rPr>
                <w:sz w:val="18"/>
                <w:szCs w:val="18"/>
              </w:rPr>
              <w:t>Les auteurs se réunissent en février pour élabor</w:t>
            </w:r>
            <w:r>
              <w:rPr>
                <w:sz w:val="18"/>
                <w:szCs w:val="18"/>
              </w:rPr>
              <w:t>er plus avant le</w:t>
            </w:r>
            <w:r w:rsidRPr="00F77964">
              <w:rPr>
                <w:sz w:val="18"/>
                <w:szCs w:val="18"/>
              </w:rPr>
              <w:t xml:space="preserve"> plan annoté et </w:t>
            </w:r>
            <w:r>
              <w:rPr>
                <w:sz w:val="18"/>
                <w:szCs w:val="18"/>
              </w:rPr>
              <w:t>les sections et chapitres qui leur ont été assignés</w:t>
            </w:r>
            <w:r w:rsidRPr="00F77964">
              <w:rPr>
                <w:sz w:val="18"/>
                <w:szCs w:val="18"/>
              </w:rPr>
              <w:t>, et de nouveau début juillet pour finaliser le rapport et préparer le résumé à l’intention des décideurs</w:t>
            </w:r>
          </w:p>
        </w:tc>
      </w:tr>
      <w:tr w:rsidR="00005DED" w:rsidRPr="0061490E" w:rsidTr="001D0F4C">
        <w:trPr>
          <w:trHeight w:val="217"/>
        </w:trPr>
        <w:tc>
          <w:tcPr>
            <w:tcW w:w="0" w:type="auto"/>
            <w:vMerge/>
            <w:tcBorders>
              <w:left w:val="single" w:sz="4" w:space="0" w:color="auto"/>
              <w:right w:val="single" w:sz="4" w:space="0" w:color="auto"/>
            </w:tcBorders>
            <w:hideMark/>
          </w:tcPr>
          <w:p w:rsidR="00005DED" w:rsidRPr="0061490E" w:rsidRDefault="00005DED" w:rsidP="001D0F4C">
            <w:pPr>
              <w:rPr>
                <w:rFonts w:eastAsia="SimSun"/>
                <w:sz w:val="18"/>
                <w:szCs w:val="18"/>
                <w:lang w:eastAsia="zh-CN"/>
              </w:rPr>
            </w:pPr>
          </w:p>
        </w:tc>
        <w:tc>
          <w:tcPr>
            <w:tcW w:w="1411" w:type="dxa"/>
            <w:tcBorders>
              <w:top w:val="single" w:sz="4" w:space="0" w:color="auto"/>
              <w:left w:val="single" w:sz="4" w:space="0" w:color="auto"/>
              <w:bottom w:val="single" w:sz="4" w:space="0" w:color="auto"/>
              <w:right w:val="single" w:sz="4" w:space="0" w:color="auto"/>
            </w:tcBorders>
            <w:hideMark/>
          </w:tcPr>
          <w:p w:rsidR="00005DED" w:rsidRPr="00F77964" w:rsidRDefault="00005DED" w:rsidP="001D0F4C">
            <w:pPr>
              <w:pStyle w:val="Normal-pool"/>
              <w:keepNext/>
              <w:keepLines/>
              <w:spacing w:before="20" w:after="20"/>
              <w:rPr>
                <w:rFonts w:eastAsia="SimSun"/>
                <w:sz w:val="18"/>
                <w:szCs w:val="18"/>
                <w:lang w:eastAsia="zh-CN"/>
              </w:rPr>
            </w:pPr>
            <w:r w:rsidRPr="00F77964">
              <w:rPr>
                <w:rFonts w:eastAsia="SimSun"/>
                <w:sz w:val="18"/>
                <w:szCs w:val="18"/>
                <w:lang w:eastAsia="zh-CN"/>
              </w:rPr>
              <w:t>Troisième trimestre</w:t>
            </w:r>
          </w:p>
        </w:tc>
        <w:tc>
          <w:tcPr>
            <w:tcW w:w="5920" w:type="dxa"/>
            <w:tcBorders>
              <w:top w:val="single" w:sz="4" w:space="0" w:color="auto"/>
              <w:left w:val="single" w:sz="4" w:space="0" w:color="auto"/>
              <w:bottom w:val="single" w:sz="4" w:space="0" w:color="auto"/>
              <w:right w:val="single" w:sz="4" w:space="0" w:color="auto"/>
            </w:tcBorders>
            <w:hideMark/>
          </w:tcPr>
          <w:p w:rsidR="00005DED" w:rsidRPr="00F77964" w:rsidRDefault="00005DED" w:rsidP="001D0F4C">
            <w:pPr>
              <w:pStyle w:val="Normal-pool"/>
              <w:keepNext/>
              <w:keepLines/>
              <w:spacing w:before="20" w:after="20"/>
              <w:rPr>
                <w:rFonts w:eastAsia="SimSun"/>
                <w:sz w:val="18"/>
                <w:szCs w:val="18"/>
                <w:lang w:eastAsia="zh-CN"/>
              </w:rPr>
            </w:pPr>
            <w:r w:rsidRPr="00F77964">
              <w:rPr>
                <w:rFonts w:eastAsia="SimSun"/>
                <w:sz w:val="18"/>
                <w:szCs w:val="18"/>
                <w:lang w:eastAsia="zh-CN"/>
              </w:rPr>
              <w:t>Le projet de rapport et le projet de résumé à l’intention des décideurs sont examinés par les experts, les gouvernements et les autres parties prenantes (26 juillet –12 septembre</w:t>
            </w:r>
            <w:r w:rsidR="0097596F">
              <w:rPr>
                <w:rFonts w:eastAsia="SimSun"/>
                <w:sz w:val="18"/>
                <w:szCs w:val="18"/>
                <w:lang w:eastAsia="zh-CN"/>
              </w:rPr>
              <w:t xml:space="preserve"> 2014</w:t>
            </w:r>
            <w:r w:rsidRPr="00F77964">
              <w:rPr>
                <w:rFonts w:eastAsia="SimSun"/>
                <w:sz w:val="18"/>
                <w:szCs w:val="18"/>
                <w:lang w:eastAsia="zh-CN"/>
              </w:rPr>
              <w:t>)</w:t>
            </w:r>
          </w:p>
        </w:tc>
      </w:tr>
      <w:tr w:rsidR="00005DED" w:rsidRPr="0061490E" w:rsidTr="001D0F4C">
        <w:trPr>
          <w:trHeight w:val="56"/>
        </w:trPr>
        <w:tc>
          <w:tcPr>
            <w:tcW w:w="0" w:type="auto"/>
            <w:vMerge/>
            <w:tcBorders>
              <w:left w:val="single" w:sz="4" w:space="0" w:color="auto"/>
              <w:right w:val="single" w:sz="4" w:space="0" w:color="auto"/>
            </w:tcBorders>
            <w:hideMark/>
          </w:tcPr>
          <w:p w:rsidR="00005DED" w:rsidRPr="0061490E" w:rsidRDefault="00005DED" w:rsidP="001D0F4C">
            <w:pPr>
              <w:rPr>
                <w:rFonts w:eastAsia="SimSun"/>
                <w:sz w:val="18"/>
                <w:szCs w:val="18"/>
                <w:lang w:eastAsia="zh-CN"/>
              </w:rPr>
            </w:pPr>
          </w:p>
        </w:tc>
        <w:tc>
          <w:tcPr>
            <w:tcW w:w="1411" w:type="dxa"/>
            <w:tcBorders>
              <w:top w:val="single" w:sz="4" w:space="0" w:color="auto"/>
              <w:left w:val="single" w:sz="4" w:space="0" w:color="auto"/>
              <w:bottom w:val="single" w:sz="4" w:space="0" w:color="auto"/>
              <w:right w:val="single" w:sz="4" w:space="0" w:color="auto"/>
            </w:tcBorders>
            <w:hideMark/>
          </w:tcPr>
          <w:p w:rsidR="00005DED" w:rsidRPr="00F77964" w:rsidRDefault="00005DED" w:rsidP="001D0F4C">
            <w:pPr>
              <w:pStyle w:val="Normal-pool"/>
              <w:keepNext/>
              <w:keepLines/>
              <w:spacing w:before="20" w:after="20"/>
              <w:rPr>
                <w:rFonts w:eastAsia="SimSun"/>
                <w:sz w:val="18"/>
                <w:szCs w:val="18"/>
                <w:lang w:eastAsia="zh-CN"/>
              </w:rPr>
            </w:pPr>
            <w:r w:rsidRPr="00F77964">
              <w:rPr>
                <w:rFonts w:eastAsia="SimSun"/>
                <w:sz w:val="18"/>
                <w:szCs w:val="18"/>
                <w:lang w:eastAsia="zh-CN"/>
              </w:rPr>
              <w:t>Troisième/ quatrième trimestres</w:t>
            </w:r>
          </w:p>
        </w:tc>
        <w:tc>
          <w:tcPr>
            <w:tcW w:w="5920" w:type="dxa"/>
            <w:tcBorders>
              <w:top w:val="single" w:sz="4" w:space="0" w:color="auto"/>
              <w:left w:val="single" w:sz="4" w:space="0" w:color="auto"/>
              <w:bottom w:val="single" w:sz="4" w:space="0" w:color="auto"/>
              <w:right w:val="single" w:sz="4" w:space="0" w:color="auto"/>
            </w:tcBorders>
            <w:hideMark/>
          </w:tcPr>
          <w:p w:rsidR="00005DED" w:rsidRPr="00F77964" w:rsidRDefault="00005DED" w:rsidP="001D0F4C">
            <w:pPr>
              <w:pStyle w:val="Normal-pool"/>
              <w:keepNext/>
              <w:keepLines/>
              <w:spacing w:before="20" w:after="20"/>
              <w:rPr>
                <w:rFonts w:eastAsia="SimSun"/>
                <w:sz w:val="18"/>
                <w:szCs w:val="18"/>
                <w:lang w:eastAsia="zh-CN"/>
              </w:rPr>
            </w:pPr>
            <w:r w:rsidRPr="00F77964">
              <w:rPr>
                <w:rFonts w:eastAsia="SimSun"/>
                <w:sz w:val="18"/>
                <w:szCs w:val="18"/>
                <w:lang w:eastAsia="zh-CN"/>
              </w:rPr>
              <w:t xml:space="preserve">Les </w:t>
            </w:r>
            <w:r>
              <w:rPr>
                <w:rFonts w:eastAsia="SimSun"/>
                <w:sz w:val="18"/>
                <w:szCs w:val="18"/>
                <w:lang w:eastAsia="zh-CN"/>
              </w:rPr>
              <w:t>coprésidents</w:t>
            </w:r>
            <w:r w:rsidRPr="00F77964">
              <w:rPr>
                <w:rFonts w:eastAsia="SimSun"/>
                <w:sz w:val="18"/>
                <w:szCs w:val="18"/>
                <w:lang w:eastAsia="zh-CN"/>
              </w:rPr>
              <w:t xml:space="preserve">, les auteurs coordonnateurs principaux et les auteurs principaux révisent le projet de rapport et le résumé à l’intention des décideurs, sous la supervision des éditeurs-réviseurs et du Groupe d’experts multidisciplinaire. Les auteurs et les éditeurs-réviseurs, avec un petit </w:t>
            </w:r>
            <w:r w:rsidR="00E41FB8">
              <w:rPr>
                <w:rFonts w:eastAsia="SimSun"/>
                <w:sz w:val="18"/>
                <w:szCs w:val="18"/>
                <w:lang w:eastAsia="zh-CN"/>
              </w:rPr>
              <w:t>nombr</w:t>
            </w:r>
            <w:r w:rsidRPr="00F77964">
              <w:rPr>
                <w:rFonts w:eastAsia="SimSun"/>
                <w:sz w:val="18"/>
                <w:szCs w:val="18"/>
                <w:lang w:eastAsia="zh-CN"/>
              </w:rPr>
              <w:t>e de membres du Groupe d’experts multidisciplinaire, se réunissent une fois pour établir la version finale du rapport et du résumé à l’intention des décideurs</w:t>
            </w:r>
            <w:r w:rsidR="0097596F" w:rsidRPr="00F77964">
              <w:rPr>
                <w:rFonts w:eastAsia="SimSun"/>
                <w:sz w:val="18"/>
                <w:szCs w:val="18"/>
                <w:lang w:eastAsia="zh-CN"/>
              </w:rPr>
              <w:t xml:space="preserve"> (13 septembre –7 novembre)</w:t>
            </w:r>
          </w:p>
        </w:tc>
      </w:tr>
      <w:tr w:rsidR="00005DED" w:rsidRPr="0061490E" w:rsidTr="001D0F4C">
        <w:trPr>
          <w:trHeight w:val="155"/>
        </w:trPr>
        <w:tc>
          <w:tcPr>
            <w:tcW w:w="0" w:type="auto"/>
            <w:vMerge/>
            <w:tcBorders>
              <w:left w:val="single" w:sz="4" w:space="0" w:color="auto"/>
              <w:right w:val="single" w:sz="4" w:space="0" w:color="auto"/>
            </w:tcBorders>
            <w:hideMark/>
          </w:tcPr>
          <w:p w:rsidR="00005DED" w:rsidRPr="0061490E" w:rsidRDefault="00005DED" w:rsidP="001D0F4C">
            <w:pPr>
              <w:rPr>
                <w:rFonts w:eastAsia="SimSun"/>
                <w:sz w:val="18"/>
                <w:szCs w:val="18"/>
                <w:lang w:eastAsia="zh-CN"/>
              </w:rPr>
            </w:pPr>
          </w:p>
        </w:tc>
        <w:tc>
          <w:tcPr>
            <w:tcW w:w="1411" w:type="dxa"/>
            <w:tcBorders>
              <w:top w:val="single" w:sz="4" w:space="0" w:color="auto"/>
              <w:left w:val="single" w:sz="4" w:space="0" w:color="auto"/>
              <w:bottom w:val="single" w:sz="4" w:space="0" w:color="auto"/>
              <w:right w:val="single" w:sz="4" w:space="0" w:color="auto"/>
            </w:tcBorders>
            <w:hideMark/>
          </w:tcPr>
          <w:p w:rsidR="00005DED" w:rsidRPr="00F77964" w:rsidRDefault="00005DED" w:rsidP="001D0F4C">
            <w:pPr>
              <w:pStyle w:val="Normal-pool"/>
              <w:keepNext/>
              <w:keepLines/>
              <w:spacing w:before="20" w:after="20"/>
              <w:rPr>
                <w:rFonts w:eastAsia="SimSun"/>
                <w:sz w:val="18"/>
                <w:szCs w:val="18"/>
                <w:lang w:eastAsia="zh-CN"/>
              </w:rPr>
            </w:pPr>
            <w:r w:rsidRPr="00F77964">
              <w:rPr>
                <w:rFonts w:eastAsia="SimSun"/>
                <w:sz w:val="18"/>
                <w:szCs w:val="18"/>
                <w:lang w:eastAsia="zh-CN"/>
              </w:rPr>
              <w:t>Quatrième trimestre</w:t>
            </w:r>
          </w:p>
        </w:tc>
        <w:tc>
          <w:tcPr>
            <w:tcW w:w="5920" w:type="dxa"/>
            <w:tcBorders>
              <w:top w:val="single" w:sz="4" w:space="0" w:color="auto"/>
              <w:left w:val="single" w:sz="4" w:space="0" w:color="auto"/>
              <w:bottom w:val="single" w:sz="4" w:space="0" w:color="auto"/>
              <w:right w:val="single" w:sz="4" w:space="0" w:color="auto"/>
            </w:tcBorders>
            <w:hideMark/>
          </w:tcPr>
          <w:p w:rsidR="00005DED" w:rsidRPr="00F77964" w:rsidRDefault="00005DED" w:rsidP="001D0F4C">
            <w:pPr>
              <w:pStyle w:val="Normal-pool"/>
              <w:keepNext/>
              <w:keepLines/>
              <w:spacing w:before="20" w:after="20"/>
              <w:rPr>
                <w:rFonts w:eastAsia="SimSun"/>
                <w:sz w:val="18"/>
                <w:szCs w:val="18"/>
                <w:lang w:eastAsia="zh-CN"/>
              </w:rPr>
            </w:pPr>
            <w:r w:rsidRPr="00F77964">
              <w:rPr>
                <w:rFonts w:eastAsia="SimSun"/>
                <w:sz w:val="18"/>
                <w:szCs w:val="18"/>
                <w:lang w:eastAsia="zh-CN"/>
              </w:rPr>
              <w:t>Le résumé à l’intention des décideurs est traduit dans toutes les langues de l’ONU (8 novembre – 5 décembre</w:t>
            </w:r>
            <w:r w:rsidR="0097596F">
              <w:rPr>
                <w:rFonts w:eastAsia="SimSun"/>
                <w:sz w:val="18"/>
                <w:szCs w:val="18"/>
                <w:lang w:eastAsia="zh-CN"/>
              </w:rPr>
              <w:t xml:space="preserve"> 2014</w:t>
            </w:r>
            <w:r w:rsidRPr="00F77964">
              <w:rPr>
                <w:rFonts w:eastAsia="SimSun"/>
                <w:sz w:val="18"/>
                <w:szCs w:val="18"/>
                <w:lang w:eastAsia="zh-CN"/>
              </w:rPr>
              <w:t>)</w:t>
            </w:r>
          </w:p>
        </w:tc>
      </w:tr>
      <w:tr w:rsidR="00005DED" w:rsidRPr="0061490E" w:rsidTr="001D0F4C">
        <w:trPr>
          <w:trHeight w:val="56"/>
        </w:trPr>
        <w:tc>
          <w:tcPr>
            <w:tcW w:w="0" w:type="auto"/>
            <w:vMerge/>
            <w:tcBorders>
              <w:left w:val="single" w:sz="4" w:space="0" w:color="auto"/>
              <w:bottom w:val="single" w:sz="4" w:space="0" w:color="auto"/>
              <w:right w:val="single" w:sz="4" w:space="0" w:color="auto"/>
            </w:tcBorders>
            <w:hideMark/>
          </w:tcPr>
          <w:p w:rsidR="00005DED" w:rsidRPr="0061490E" w:rsidRDefault="00005DED" w:rsidP="001D0F4C">
            <w:pPr>
              <w:rPr>
                <w:rFonts w:eastAsia="SimSun"/>
                <w:sz w:val="18"/>
                <w:szCs w:val="18"/>
                <w:lang w:eastAsia="zh-CN"/>
              </w:rPr>
            </w:pPr>
          </w:p>
        </w:tc>
        <w:tc>
          <w:tcPr>
            <w:tcW w:w="1411" w:type="dxa"/>
            <w:tcBorders>
              <w:top w:val="single" w:sz="4" w:space="0" w:color="auto"/>
              <w:left w:val="single" w:sz="4" w:space="0" w:color="auto"/>
              <w:bottom w:val="single" w:sz="4" w:space="0" w:color="auto"/>
              <w:right w:val="single" w:sz="4" w:space="0" w:color="auto"/>
            </w:tcBorders>
            <w:hideMark/>
          </w:tcPr>
          <w:p w:rsidR="00005DED" w:rsidRPr="00F77964" w:rsidRDefault="00005DED" w:rsidP="001D0F4C">
            <w:pPr>
              <w:pStyle w:val="Normal-pool"/>
              <w:keepNext/>
              <w:keepLines/>
              <w:spacing w:before="20" w:after="20"/>
              <w:rPr>
                <w:rFonts w:eastAsia="SimSun"/>
                <w:sz w:val="18"/>
                <w:szCs w:val="18"/>
                <w:lang w:eastAsia="zh-CN"/>
              </w:rPr>
            </w:pPr>
            <w:r w:rsidRPr="00F77964">
              <w:rPr>
                <w:rFonts w:eastAsia="SimSun"/>
                <w:sz w:val="18"/>
                <w:szCs w:val="18"/>
                <w:lang w:eastAsia="zh-CN"/>
              </w:rPr>
              <w:t>Quatrième trimestre</w:t>
            </w:r>
          </w:p>
        </w:tc>
        <w:tc>
          <w:tcPr>
            <w:tcW w:w="5920" w:type="dxa"/>
            <w:tcBorders>
              <w:top w:val="single" w:sz="4" w:space="0" w:color="auto"/>
              <w:left w:val="single" w:sz="4" w:space="0" w:color="auto"/>
              <w:bottom w:val="single" w:sz="4" w:space="0" w:color="auto"/>
              <w:right w:val="single" w:sz="4" w:space="0" w:color="auto"/>
            </w:tcBorders>
            <w:hideMark/>
          </w:tcPr>
          <w:p w:rsidR="00005DED" w:rsidRPr="00F77964" w:rsidRDefault="00005DED" w:rsidP="001D0F4C">
            <w:pPr>
              <w:pStyle w:val="Normal-pool"/>
              <w:keepNext/>
              <w:keepLines/>
              <w:spacing w:before="20" w:after="20"/>
              <w:rPr>
                <w:rFonts w:eastAsia="SimSun"/>
                <w:sz w:val="18"/>
                <w:szCs w:val="18"/>
                <w:lang w:eastAsia="zh-CN"/>
              </w:rPr>
            </w:pPr>
            <w:r w:rsidRPr="00F77964">
              <w:rPr>
                <w:rFonts w:eastAsia="SimSun"/>
                <w:sz w:val="18"/>
                <w:szCs w:val="18"/>
                <w:lang w:eastAsia="zh-CN"/>
              </w:rPr>
              <w:t>La version finale du rapport et du résumé à l’intention des décideurs est communiquée aux gouvernements et aux autres parties prenantes pour un dernier examen (6 décembre</w:t>
            </w:r>
            <w:r w:rsidR="0097596F">
              <w:rPr>
                <w:rFonts w:eastAsia="SimSun"/>
                <w:sz w:val="18"/>
                <w:szCs w:val="18"/>
                <w:lang w:eastAsia="zh-CN"/>
              </w:rPr>
              <w:t xml:space="preserve"> 2014 </w:t>
            </w:r>
            <w:r w:rsidRPr="00F77964">
              <w:rPr>
                <w:rFonts w:eastAsia="SimSun"/>
                <w:sz w:val="18"/>
                <w:szCs w:val="18"/>
                <w:lang w:eastAsia="zh-CN"/>
              </w:rPr>
              <w:t>–</w:t>
            </w:r>
            <w:r w:rsidR="0097596F">
              <w:rPr>
                <w:rFonts w:eastAsia="SimSun"/>
                <w:sz w:val="18"/>
                <w:szCs w:val="18"/>
                <w:lang w:eastAsia="zh-CN"/>
              </w:rPr>
              <w:t xml:space="preserve"> </w:t>
            </w:r>
            <w:r w:rsidRPr="00F77964">
              <w:rPr>
                <w:rFonts w:eastAsia="SimSun"/>
                <w:sz w:val="18"/>
                <w:szCs w:val="18"/>
                <w:lang w:eastAsia="zh-CN"/>
              </w:rPr>
              <w:t>6 février</w:t>
            </w:r>
            <w:r w:rsidR="0097596F">
              <w:rPr>
                <w:rFonts w:eastAsia="SimSun"/>
                <w:sz w:val="18"/>
                <w:szCs w:val="18"/>
                <w:lang w:eastAsia="zh-CN"/>
              </w:rPr>
              <w:t xml:space="preserve"> 2015</w:t>
            </w:r>
            <w:r w:rsidRPr="00F77964">
              <w:rPr>
                <w:rFonts w:eastAsia="SimSun"/>
                <w:sz w:val="18"/>
                <w:szCs w:val="18"/>
                <w:lang w:eastAsia="zh-CN"/>
              </w:rPr>
              <w:t>)</w:t>
            </w:r>
          </w:p>
        </w:tc>
      </w:tr>
      <w:tr w:rsidR="00005DED" w:rsidRPr="0061490E" w:rsidTr="001D0F4C">
        <w:trPr>
          <w:trHeight w:val="155"/>
        </w:trPr>
        <w:tc>
          <w:tcPr>
            <w:tcW w:w="663" w:type="dxa"/>
            <w:vMerge w:val="restart"/>
            <w:tcBorders>
              <w:top w:val="single" w:sz="4" w:space="0" w:color="auto"/>
              <w:left w:val="single" w:sz="4" w:space="0" w:color="auto"/>
              <w:bottom w:val="single" w:sz="4" w:space="0" w:color="auto"/>
              <w:right w:val="single" w:sz="4" w:space="0" w:color="auto"/>
            </w:tcBorders>
            <w:hideMark/>
          </w:tcPr>
          <w:p w:rsidR="00005DED" w:rsidRPr="00F77964" w:rsidRDefault="00005DED" w:rsidP="001D0F4C">
            <w:pPr>
              <w:keepLines/>
              <w:tabs>
                <w:tab w:val="left" w:pos="426"/>
                <w:tab w:val="num" w:pos="1353"/>
              </w:tabs>
              <w:autoSpaceDE w:val="0"/>
              <w:autoSpaceDN w:val="0"/>
              <w:adjustRightInd w:val="0"/>
              <w:spacing w:before="20" w:after="20"/>
              <w:rPr>
                <w:rFonts w:ascii="Times New Roman" w:eastAsia="SimSun" w:hAnsi="Times New Roman"/>
                <w:sz w:val="18"/>
                <w:szCs w:val="18"/>
                <w:lang w:eastAsia="zh-CN"/>
              </w:rPr>
            </w:pPr>
            <w:r w:rsidRPr="00F77964">
              <w:rPr>
                <w:rFonts w:ascii="Times New Roman" w:eastAsia="SimSun" w:hAnsi="Times New Roman"/>
                <w:sz w:val="18"/>
                <w:szCs w:val="18"/>
                <w:lang w:eastAsia="zh-CN"/>
              </w:rPr>
              <w:t>2015</w:t>
            </w:r>
          </w:p>
        </w:tc>
        <w:tc>
          <w:tcPr>
            <w:tcW w:w="1411" w:type="dxa"/>
            <w:tcBorders>
              <w:top w:val="single" w:sz="4" w:space="0" w:color="auto"/>
              <w:left w:val="single" w:sz="4" w:space="0" w:color="auto"/>
              <w:bottom w:val="single" w:sz="4" w:space="0" w:color="auto"/>
              <w:right w:val="single" w:sz="4" w:space="0" w:color="auto"/>
            </w:tcBorders>
            <w:hideMark/>
          </w:tcPr>
          <w:p w:rsidR="00005DED" w:rsidRPr="00F77964" w:rsidRDefault="00005DED" w:rsidP="001D0F4C">
            <w:pPr>
              <w:pStyle w:val="Normal-pool"/>
              <w:keepNext/>
              <w:keepLines/>
              <w:spacing w:before="20" w:after="20"/>
              <w:rPr>
                <w:rFonts w:eastAsia="SimSun"/>
                <w:sz w:val="18"/>
                <w:szCs w:val="18"/>
                <w:lang w:eastAsia="zh-CN"/>
              </w:rPr>
            </w:pPr>
            <w:r w:rsidRPr="00F77964">
              <w:rPr>
                <w:rFonts w:eastAsia="SimSun"/>
                <w:sz w:val="18"/>
                <w:szCs w:val="18"/>
                <w:lang w:eastAsia="zh-CN"/>
              </w:rPr>
              <w:t>Premier trimestre</w:t>
            </w:r>
          </w:p>
        </w:tc>
        <w:tc>
          <w:tcPr>
            <w:tcW w:w="5920" w:type="dxa"/>
            <w:tcBorders>
              <w:top w:val="single" w:sz="4" w:space="0" w:color="auto"/>
              <w:left w:val="single" w:sz="4" w:space="0" w:color="auto"/>
              <w:bottom w:val="single" w:sz="4" w:space="0" w:color="auto"/>
              <w:right w:val="single" w:sz="4" w:space="0" w:color="auto"/>
            </w:tcBorders>
            <w:hideMark/>
          </w:tcPr>
          <w:p w:rsidR="00005DED" w:rsidRPr="00F77964" w:rsidRDefault="0097596F" w:rsidP="001D0F4C">
            <w:pPr>
              <w:pStyle w:val="Normal-pool"/>
              <w:keepNext/>
              <w:keepLines/>
              <w:spacing w:before="20" w:after="20"/>
              <w:rPr>
                <w:rFonts w:eastAsia="SimSun"/>
                <w:sz w:val="18"/>
                <w:szCs w:val="18"/>
                <w:lang w:eastAsia="zh-CN"/>
              </w:rPr>
            </w:pPr>
            <w:r w:rsidRPr="00F77964">
              <w:rPr>
                <w:sz w:val="18"/>
                <w:szCs w:val="18"/>
              </w:rPr>
              <w:t>Les gouvernements envoient au secrétariat des observations écrites sur le résumé à l’intention des décideurs</w:t>
            </w:r>
            <w:r w:rsidR="00A542D9">
              <w:rPr>
                <w:sz w:val="18"/>
                <w:szCs w:val="18"/>
              </w:rPr>
              <w:t xml:space="preserve"> </w:t>
            </w:r>
            <w:r>
              <w:rPr>
                <w:sz w:val="18"/>
                <w:szCs w:val="18"/>
              </w:rPr>
              <w:t xml:space="preserve">au plus tard le </w:t>
            </w:r>
            <w:r w:rsidRPr="00F77964">
              <w:rPr>
                <w:sz w:val="18"/>
                <w:szCs w:val="18"/>
              </w:rPr>
              <w:t>31 janvier</w:t>
            </w:r>
          </w:p>
        </w:tc>
      </w:tr>
      <w:tr w:rsidR="00005DED" w:rsidRPr="0061490E" w:rsidTr="001D0F4C">
        <w:trPr>
          <w:trHeight w:val="56"/>
        </w:trPr>
        <w:tc>
          <w:tcPr>
            <w:tcW w:w="0" w:type="auto"/>
            <w:vMerge/>
            <w:tcBorders>
              <w:top w:val="single" w:sz="4" w:space="0" w:color="auto"/>
              <w:left w:val="single" w:sz="4" w:space="0" w:color="auto"/>
              <w:bottom w:val="single" w:sz="4" w:space="0" w:color="auto"/>
              <w:right w:val="single" w:sz="4" w:space="0" w:color="auto"/>
            </w:tcBorders>
            <w:hideMark/>
          </w:tcPr>
          <w:p w:rsidR="00005DED" w:rsidRPr="0061490E" w:rsidRDefault="00005DED" w:rsidP="001D0F4C">
            <w:pPr>
              <w:rPr>
                <w:rFonts w:eastAsia="SimSun"/>
                <w:lang w:eastAsia="zh-CN"/>
              </w:rPr>
            </w:pPr>
          </w:p>
        </w:tc>
        <w:tc>
          <w:tcPr>
            <w:tcW w:w="1411" w:type="dxa"/>
            <w:tcBorders>
              <w:top w:val="single" w:sz="4" w:space="0" w:color="auto"/>
              <w:left w:val="single" w:sz="4" w:space="0" w:color="auto"/>
              <w:bottom w:val="single" w:sz="4" w:space="0" w:color="auto"/>
              <w:right w:val="single" w:sz="4" w:space="0" w:color="auto"/>
            </w:tcBorders>
            <w:hideMark/>
          </w:tcPr>
          <w:p w:rsidR="00005DED" w:rsidRPr="00F77964" w:rsidRDefault="00005DED" w:rsidP="001D0F4C">
            <w:pPr>
              <w:pStyle w:val="Normal-pool"/>
              <w:keepNext/>
              <w:keepLines/>
              <w:spacing w:before="20" w:after="20"/>
              <w:rPr>
                <w:rFonts w:eastAsia="SimSun"/>
                <w:sz w:val="18"/>
                <w:szCs w:val="18"/>
                <w:lang w:eastAsia="zh-CN"/>
              </w:rPr>
            </w:pPr>
            <w:r w:rsidRPr="00F77964">
              <w:rPr>
                <w:rFonts w:eastAsia="SimSun"/>
                <w:sz w:val="18"/>
                <w:szCs w:val="18"/>
                <w:lang w:eastAsia="zh-CN"/>
              </w:rPr>
              <w:t>Premier trimestre</w:t>
            </w:r>
          </w:p>
        </w:tc>
        <w:tc>
          <w:tcPr>
            <w:tcW w:w="5920" w:type="dxa"/>
            <w:tcBorders>
              <w:top w:val="single" w:sz="4" w:space="0" w:color="auto"/>
              <w:left w:val="single" w:sz="4" w:space="0" w:color="auto"/>
              <w:bottom w:val="single" w:sz="4" w:space="0" w:color="auto"/>
              <w:right w:val="single" w:sz="4" w:space="0" w:color="auto"/>
            </w:tcBorders>
            <w:hideMark/>
          </w:tcPr>
          <w:p w:rsidR="00005DED" w:rsidRPr="00F77964" w:rsidRDefault="00005DED" w:rsidP="001D0F4C">
            <w:pPr>
              <w:pStyle w:val="Normal-pool"/>
              <w:keepNext/>
              <w:keepLines/>
              <w:spacing w:before="20" w:after="20"/>
              <w:rPr>
                <w:rFonts w:eastAsia="SimSun"/>
                <w:sz w:val="18"/>
                <w:szCs w:val="18"/>
                <w:lang w:eastAsia="zh-CN"/>
              </w:rPr>
            </w:pPr>
            <w:r w:rsidRPr="00F77964">
              <w:rPr>
                <w:rFonts w:eastAsia="SimSun"/>
                <w:sz w:val="18"/>
                <w:szCs w:val="18"/>
                <w:lang w:eastAsia="zh-CN"/>
              </w:rPr>
              <w:t>La Plénière examine et accepte le rapport et approuve le résumé à l’intention des décideurs (après le 8 février)</w:t>
            </w:r>
          </w:p>
        </w:tc>
      </w:tr>
      <w:tr w:rsidR="00005DED" w:rsidRPr="0061490E" w:rsidTr="001D0F4C">
        <w:trPr>
          <w:trHeight w:val="155"/>
        </w:trPr>
        <w:tc>
          <w:tcPr>
            <w:tcW w:w="0" w:type="auto"/>
            <w:vMerge/>
            <w:tcBorders>
              <w:top w:val="single" w:sz="4" w:space="0" w:color="auto"/>
              <w:left w:val="single" w:sz="4" w:space="0" w:color="auto"/>
              <w:bottom w:val="single" w:sz="4" w:space="0" w:color="auto"/>
              <w:right w:val="single" w:sz="4" w:space="0" w:color="auto"/>
            </w:tcBorders>
            <w:hideMark/>
          </w:tcPr>
          <w:p w:rsidR="00005DED" w:rsidRPr="0061490E" w:rsidRDefault="00005DED" w:rsidP="001D0F4C">
            <w:pPr>
              <w:rPr>
                <w:rFonts w:eastAsia="SimSun"/>
                <w:lang w:eastAsia="zh-CN"/>
              </w:rPr>
            </w:pPr>
          </w:p>
        </w:tc>
        <w:tc>
          <w:tcPr>
            <w:tcW w:w="1411" w:type="dxa"/>
            <w:tcBorders>
              <w:top w:val="single" w:sz="4" w:space="0" w:color="auto"/>
              <w:left w:val="single" w:sz="4" w:space="0" w:color="auto"/>
              <w:bottom w:val="single" w:sz="4" w:space="0" w:color="auto"/>
              <w:right w:val="single" w:sz="4" w:space="0" w:color="auto"/>
            </w:tcBorders>
            <w:hideMark/>
          </w:tcPr>
          <w:p w:rsidR="00005DED" w:rsidRPr="00F77964" w:rsidRDefault="00005DED" w:rsidP="001D0F4C">
            <w:pPr>
              <w:pStyle w:val="Normal-pool"/>
              <w:keepNext/>
              <w:keepLines/>
              <w:spacing w:before="20" w:after="20"/>
              <w:rPr>
                <w:rFonts w:eastAsia="SimSun"/>
                <w:sz w:val="18"/>
                <w:szCs w:val="18"/>
                <w:lang w:eastAsia="zh-CN"/>
              </w:rPr>
            </w:pPr>
            <w:r w:rsidRPr="00F77964">
              <w:rPr>
                <w:rFonts w:eastAsia="SimSun"/>
                <w:sz w:val="18"/>
                <w:szCs w:val="18"/>
                <w:lang w:eastAsia="zh-CN"/>
              </w:rPr>
              <w:t>Premier trimestre</w:t>
            </w:r>
          </w:p>
        </w:tc>
        <w:tc>
          <w:tcPr>
            <w:tcW w:w="5920" w:type="dxa"/>
            <w:tcBorders>
              <w:top w:val="single" w:sz="4" w:space="0" w:color="auto"/>
              <w:left w:val="single" w:sz="4" w:space="0" w:color="auto"/>
              <w:bottom w:val="single" w:sz="4" w:space="0" w:color="auto"/>
              <w:right w:val="single" w:sz="4" w:space="0" w:color="auto"/>
            </w:tcBorders>
            <w:hideMark/>
          </w:tcPr>
          <w:p w:rsidR="00005DED" w:rsidRPr="00F77964" w:rsidRDefault="00005DED" w:rsidP="001D0F4C">
            <w:pPr>
              <w:pStyle w:val="Normal-pool"/>
              <w:keepNext/>
              <w:keepLines/>
              <w:spacing w:before="20" w:after="20"/>
              <w:rPr>
                <w:rFonts w:eastAsia="SimSun"/>
                <w:sz w:val="18"/>
                <w:szCs w:val="18"/>
                <w:lang w:eastAsia="zh-CN"/>
              </w:rPr>
            </w:pPr>
            <w:r w:rsidRPr="00F77964">
              <w:rPr>
                <w:rFonts w:eastAsia="SimSun"/>
                <w:sz w:val="18"/>
                <w:szCs w:val="18"/>
                <w:lang w:eastAsia="zh-CN"/>
              </w:rPr>
              <w:t xml:space="preserve">Sur la base de l’évaluation méthodologique, la Plénière demande au groupe d’experts de préparer un guide sur la façon d’utiliser les méthodes </w:t>
            </w:r>
            <w:r w:rsidR="00DD6F31">
              <w:rPr>
                <w:rFonts w:eastAsia="SimSun"/>
                <w:sz w:val="18"/>
                <w:szCs w:val="18"/>
                <w:lang w:eastAsia="zh-CN"/>
              </w:rPr>
              <w:t>de définition, détermination et comptabilisation de la valeur</w:t>
            </w:r>
            <w:r w:rsidRPr="00F77964">
              <w:rPr>
                <w:rFonts w:eastAsia="SimSun"/>
                <w:sz w:val="18"/>
                <w:szCs w:val="18"/>
                <w:lang w:eastAsia="zh-CN"/>
              </w:rPr>
              <w:t xml:space="preserve"> de la biodiversité et des services écosystémiques pour la réalisation des évaluations régionales/sous-régionales, mondiales ou thématiques </w:t>
            </w:r>
            <w:r w:rsidR="00DD6F31">
              <w:rPr>
                <w:rFonts w:eastAsia="SimSun"/>
                <w:sz w:val="18"/>
                <w:szCs w:val="18"/>
                <w:lang w:eastAsia="zh-CN"/>
              </w:rPr>
              <w:t xml:space="preserve">dans le cadre </w:t>
            </w:r>
            <w:r w:rsidRPr="00F77964">
              <w:rPr>
                <w:rFonts w:eastAsia="SimSun"/>
                <w:sz w:val="18"/>
                <w:szCs w:val="18"/>
                <w:lang w:eastAsia="zh-CN"/>
              </w:rPr>
              <w:t>de la Plateforme - à produire d’ici à août 2015.</w:t>
            </w:r>
          </w:p>
        </w:tc>
      </w:tr>
      <w:tr w:rsidR="00005DED" w:rsidRPr="0061490E" w:rsidTr="001D0F4C">
        <w:trPr>
          <w:trHeight w:val="56"/>
        </w:trPr>
        <w:tc>
          <w:tcPr>
            <w:tcW w:w="0" w:type="auto"/>
            <w:vMerge/>
            <w:tcBorders>
              <w:top w:val="single" w:sz="4" w:space="0" w:color="auto"/>
              <w:left w:val="single" w:sz="4" w:space="0" w:color="auto"/>
              <w:bottom w:val="single" w:sz="4" w:space="0" w:color="auto"/>
              <w:right w:val="single" w:sz="4" w:space="0" w:color="auto"/>
            </w:tcBorders>
            <w:hideMark/>
          </w:tcPr>
          <w:p w:rsidR="00005DED" w:rsidRPr="0061490E" w:rsidRDefault="00005DED" w:rsidP="001D0F4C">
            <w:pPr>
              <w:rPr>
                <w:rFonts w:eastAsia="SimSun"/>
                <w:lang w:eastAsia="zh-CN"/>
              </w:rPr>
            </w:pPr>
          </w:p>
        </w:tc>
        <w:tc>
          <w:tcPr>
            <w:tcW w:w="1411" w:type="dxa"/>
            <w:tcBorders>
              <w:top w:val="single" w:sz="4" w:space="0" w:color="auto"/>
              <w:left w:val="single" w:sz="4" w:space="0" w:color="auto"/>
              <w:bottom w:val="single" w:sz="4" w:space="0" w:color="auto"/>
              <w:right w:val="single" w:sz="4" w:space="0" w:color="auto"/>
            </w:tcBorders>
            <w:hideMark/>
          </w:tcPr>
          <w:p w:rsidR="00005DED" w:rsidRPr="00F77964" w:rsidRDefault="00005DED" w:rsidP="001D0F4C">
            <w:pPr>
              <w:pStyle w:val="Normal-pool"/>
              <w:keepNext/>
              <w:keepLines/>
              <w:spacing w:before="20" w:after="20"/>
              <w:rPr>
                <w:rFonts w:eastAsia="SimSun"/>
                <w:sz w:val="18"/>
                <w:szCs w:val="18"/>
                <w:lang w:eastAsia="zh-CN"/>
              </w:rPr>
            </w:pPr>
            <w:r w:rsidRPr="00F77964">
              <w:rPr>
                <w:rFonts w:eastAsia="SimSun"/>
                <w:sz w:val="18"/>
                <w:szCs w:val="18"/>
                <w:lang w:eastAsia="zh-CN"/>
              </w:rPr>
              <w:t>Premier trimestre</w:t>
            </w:r>
          </w:p>
        </w:tc>
        <w:tc>
          <w:tcPr>
            <w:tcW w:w="5920" w:type="dxa"/>
            <w:tcBorders>
              <w:top w:val="single" w:sz="4" w:space="0" w:color="auto"/>
              <w:left w:val="single" w:sz="4" w:space="0" w:color="auto"/>
              <w:bottom w:val="single" w:sz="4" w:space="0" w:color="auto"/>
              <w:right w:val="single" w:sz="4" w:space="0" w:color="auto"/>
            </w:tcBorders>
            <w:hideMark/>
          </w:tcPr>
          <w:p w:rsidR="00005DED" w:rsidRPr="00F77964" w:rsidRDefault="00005DED" w:rsidP="001D0F4C">
            <w:pPr>
              <w:pStyle w:val="Normal-pool"/>
              <w:keepNext/>
              <w:keepLines/>
              <w:spacing w:before="20" w:after="20"/>
              <w:rPr>
                <w:rFonts w:eastAsia="SimSun"/>
                <w:sz w:val="18"/>
                <w:szCs w:val="18"/>
                <w:lang w:eastAsia="zh-CN"/>
              </w:rPr>
            </w:pPr>
            <w:r w:rsidRPr="00F77964">
              <w:rPr>
                <w:rFonts w:eastAsia="SimSun"/>
                <w:sz w:val="18"/>
                <w:szCs w:val="18"/>
                <w:lang w:eastAsia="zh-CN"/>
              </w:rPr>
              <w:t xml:space="preserve">Suite aux recommandations de l’évaluation méthodologique, la Plénière demande au groupe d’experts d’encourager et de </w:t>
            </w:r>
            <w:r w:rsidR="00DD6F31">
              <w:rPr>
                <w:rFonts w:eastAsia="SimSun"/>
                <w:sz w:val="18"/>
                <w:szCs w:val="18"/>
                <w:lang w:eastAsia="zh-CN"/>
              </w:rPr>
              <w:t xml:space="preserve">stimuler la poursuite de </w:t>
            </w:r>
            <w:r w:rsidRPr="00F77964">
              <w:rPr>
                <w:rFonts w:eastAsia="SimSun"/>
                <w:sz w:val="18"/>
                <w:szCs w:val="18"/>
                <w:lang w:eastAsia="zh-CN"/>
              </w:rPr>
              <w:t xml:space="preserve">la mise au point </w:t>
            </w:r>
            <w:r w:rsidR="00610A1B">
              <w:rPr>
                <w:rFonts w:eastAsia="SimSun"/>
                <w:sz w:val="18"/>
                <w:szCs w:val="18"/>
                <w:lang w:eastAsia="zh-CN"/>
              </w:rPr>
              <w:t>d’outils et de méthodes</w:t>
            </w:r>
            <w:r w:rsidRPr="00F77964">
              <w:rPr>
                <w:rFonts w:eastAsia="SimSun"/>
                <w:sz w:val="18"/>
                <w:szCs w:val="18"/>
                <w:lang w:eastAsia="zh-CN"/>
              </w:rPr>
              <w:t xml:space="preserve"> </w:t>
            </w:r>
            <w:r w:rsidR="00DD6F31">
              <w:rPr>
                <w:rFonts w:eastAsia="SimSun"/>
                <w:sz w:val="18"/>
                <w:szCs w:val="18"/>
                <w:lang w:eastAsia="zh-CN"/>
              </w:rPr>
              <w:t xml:space="preserve">de définition, détermination et comptabilisation de la valeur </w:t>
            </w:r>
            <w:r w:rsidRPr="00F77964">
              <w:rPr>
                <w:rFonts w:eastAsia="SimSun"/>
                <w:sz w:val="18"/>
                <w:szCs w:val="18"/>
                <w:lang w:eastAsia="zh-CN"/>
              </w:rPr>
              <w:t>de la biodiversité et des services écosystémiques - pour approbation en 2017</w:t>
            </w:r>
          </w:p>
        </w:tc>
      </w:tr>
      <w:tr w:rsidR="00005DED" w:rsidRPr="0061490E" w:rsidTr="001D0F4C">
        <w:trPr>
          <w:trHeight w:val="155"/>
        </w:trPr>
        <w:tc>
          <w:tcPr>
            <w:tcW w:w="0" w:type="auto"/>
            <w:vMerge/>
            <w:tcBorders>
              <w:top w:val="single" w:sz="4" w:space="0" w:color="auto"/>
              <w:left w:val="single" w:sz="4" w:space="0" w:color="auto"/>
              <w:bottom w:val="single" w:sz="4" w:space="0" w:color="auto"/>
              <w:right w:val="single" w:sz="4" w:space="0" w:color="auto"/>
            </w:tcBorders>
            <w:hideMark/>
          </w:tcPr>
          <w:p w:rsidR="00005DED" w:rsidRPr="0061490E" w:rsidRDefault="00005DED" w:rsidP="001D0F4C">
            <w:pPr>
              <w:rPr>
                <w:rFonts w:eastAsia="SimSun"/>
                <w:lang w:eastAsia="zh-CN"/>
              </w:rPr>
            </w:pPr>
          </w:p>
        </w:tc>
        <w:tc>
          <w:tcPr>
            <w:tcW w:w="1411" w:type="dxa"/>
            <w:tcBorders>
              <w:top w:val="single" w:sz="4" w:space="0" w:color="auto"/>
              <w:left w:val="single" w:sz="4" w:space="0" w:color="auto"/>
              <w:bottom w:val="single" w:sz="4" w:space="0" w:color="auto"/>
              <w:right w:val="single" w:sz="4" w:space="0" w:color="auto"/>
            </w:tcBorders>
            <w:hideMark/>
          </w:tcPr>
          <w:p w:rsidR="00005DED" w:rsidRPr="00F77964" w:rsidRDefault="00005DED" w:rsidP="001D0F4C">
            <w:pPr>
              <w:pStyle w:val="Normal-pool"/>
              <w:keepNext/>
              <w:keepLines/>
              <w:spacing w:before="20" w:after="20"/>
              <w:rPr>
                <w:rFonts w:eastAsia="SimSun"/>
                <w:sz w:val="18"/>
                <w:szCs w:val="18"/>
                <w:lang w:eastAsia="zh-CN"/>
              </w:rPr>
            </w:pPr>
            <w:r w:rsidRPr="00F77964">
              <w:rPr>
                <w:rFonts w:eastAsia="SimSun"/>
                <w:sz w:val="18"/>
                <w:szCs w:val="18"/>
                <w:lang w:eastAsia="zh-CN"/>
              </w:rPr>
              <w:t>Deuxième/ troisième trimestres</w:t>
            </w:r>
          </w:p>
        </w:tc>
        <w:tc>
          <w:tcPr>
            <w:tcW w:w="5920" w:type="dxa"/>
            <w:tcBorders>
              <w:top w:val="single" w:sz="4" w:space="0" w:color="auto"/>
              <w:left w:val="single" w:sz="4" w:space="0" w:color="auto"/>
              <w:bottom w:val="single" w:sz="4" w:space="0" w:color="auto"/>
              <w:right w:val="single" w:sz="4" w:space="0" w:color="auto"/>
            </w:tcBorders>
            <w:hideMark/>
          </w:tcPr>
          <w:p w:rsidR="00005DED" w:rsidRPr="00F77964" w:rsidRDefault="00005DED" w:rsidP="001D0F4C">
            <w:pPr>
              <w:pStyle w:val="Normal-pool"/>
              <w:keepNext/>
              <w:keepLines/>
              <w:spacing w:before="20" w:after="20"/>
              <w:rPr>
                <w:rFonts w:eastAsia="SimSun"/>
                <w:sz w:val="18"/>
                <w:szCs w:val="18"/>
                <w:lang w:eastAsia="zh-CN"/>
              </w:rPr>
            </w:pPr>
            <w:r w:rsidRPr="00F77964">
              <w:rPr>
                <w:rFonts w:eastAsia="SimSun"/>
                <w:sz w:val="18"/>
                <w:szCs w:val="18"/>
                <w:lang w:eastAsia="zh-CN"/>
              </w:rPr>
              <w:t xml:space="preserve">Sur la base de l’évaluation méthodologique, le groupe d’experts établit un guide sur la façon d’utiliser les méthodes </w:t>
            </w:r>
            <w:r w:rsidR="00DD6F31">
              <w:rPr>
                <w:rFonts w:eastAsia="SimSun"/>
                <w:sz w:val="18"/>
                <w:szCs w:val="18"/>
                <w:lang w:eastAsia="zh-CN"/>
              </w:rPr>
              <w:t>de définition, détermination et comptabilisation de la valeur</w:t>
            </w:r>
            <w:r w:rsidRPr="00F77964">
              <w:rPr>
                <w:rFonts w:eastAsia="SimSun"/>
                <w:sz w:val="18"/>
                <w:szCs w:val="18"/>
                <w:lang w:eastAsia="zh-CN"/>
              </w:rPr>
              <w:t xml:space="preserve"> de la biodiversité et des services écosystémiques pour la réalisation des évaluations régionales/sous-régionales, mondiales ou thématiques </w:t>
            </w:r>
            <w:r w:rsidR="00DD6F31">
              <w:rPr>
                <w:rFonts w:eastAsia="SimSun"/>
                <w:sz w:val="18"/>
                <w:szCs w:val="18"/>
                <w:lang w:eastAsia="zh-CN"/>
              </w:rPr>
              <w:t xml:space="preserve">dans le cadre </w:t>
            </w:r>
            <w:r w:rsidRPr="00F77964">
              <w:rPr>
                <w:rFonts w:eastAsia="SimSun"/>
                <w:sz w:val="18"/>
                <w:szCs w:val="18"/>
                <w:lang w:eastAsia="zh-CN"/>
              </w:rPr>
              <w:t>de la Plateforme</w:t>
            </w:r>
          </w:p>
        </w:tc>
      </w:tr>
      <w:tr w:rsidR="00005DED" w:rsidRPr="0061490E" w:rsidTr="001D0F4C">
        <w:trPr>
          <w:trHeight w:val="56"/>
        </w:trPr>
        <w:tc>
          <w:tcPr>
            <w:tcW w:w="0" w:type="auto"/>
            <w:vMerge/>
            <w:tcBorders>
              <w:top w:val="single" w:sz="4" w:space="0" w:color="auto"/>
              <w:left w:val="single" w:sz="4" w:space="0" w:color="auto"/>
              <w:bottom w:val="single" w:sz="4" w:space="0" w:color="auto"/>
              <w:right w:val="single" w:sz="4" w:space="0" w:color="auto"/>
            </w:tcBorders>
            <w:hideMark/>
          </w:tcPr>
          <w:p w:rsidR="00005DED" w:rsidRPr="0061490E" w:rsidRDefault="00005DED" w:rsidP="001D0F4C">
            <w:pPr>
              <w:rPr>
                <w:rFonts w:eastAsia="SimSun"/>
                <w:lang w:eastAsia="zh-CN"/>
              </w:rPr>
            </w:pPr>
          </w:p>
        </w:tc>
        <w:tc>
          <w:tcPr>
            <w:tcW w:w="1411" w:type="dxa"/>
            <w:tcBorders>
              <w:top w:val="single" w:sz="4" w:space="0" w:color="auto"/>
              <w:left w:val="single" w:sz="4" w:space="0" w:color="auto"/>
              <w:bottom w:val="single" w:sz="4" w:space="0" w:color="auto"/>
              <w:right w:val="single" w:sz="4" w:space="0" w:color="auto"/>
            </w:tcBorders>
            <w:hideMark/>
          </w:tcPr>
          <w:p w:rsidR="00005DED" w:rsidRPr="00F77964" w:rsidRDefault="00005DED" w:rsidP="001D0F4C">
            <w:pPr>
              <w:pStyle w:val="Normal-pool"/>
              <w:keepNext/>
              <w:keepLines/>
              <w:spacing w:before="20" w:after="20"/>
              <w:rPr>
                <w:rFonts w:eastAsia="SimSun"/>
                <w:sz w:val="18"/>
                <w:szCs w:val="18"/>
                <w:lang w:eastAsia="zh-CN"/>
              </w:rPr>
            </w:pPr>
            <w:r w:rsidRPr="00F77964">
              <w:rPr>
                <w:rFonts w:eastAsia="SimSun"/>
                <w:sz w:val="18"/>
                <w:szCs w:val="18"/>
                <w:lang w:eastAsia="zh-CN"/>
              </w:rPr>
              <w:t>Deuxième/ troisième/ quatrième trimestres</w:t>
            </w:r>
          </w:p>
        </w:tc>
        <w:tc>
          <w:tcPr>
            <w:tcW w:w="5920" w:type="dxa"/>
            <w:tcBorders>
              <w:top w:val="single" w:sz="4" w:space="0" w:color="auto"/>
              <w:left w:val="single" w:sz="4" w:space="0" w:color="auto"/>
              <w:bottom w:val="single" w:sz="4" w:space="0" w:color="auto"/>
              <w:right w:val="single" w:sz="4" w:space="0" w:color="auto"/>
            </w:tcBorders>
            <w:hideMark/>
          </w:tcPr>
          <w:p w:rsidR="00005DED" w:rsidRPr="00F77964" w:rsidRDefault="00005DED" w:rsidP="001D0F4C">
            <w:pPr>
              <w:pStyle w:val="Normal-pool"/>
              <w:keepNext/>
              <w:keepLines/>
              <w:spacing w:before="20" w:after="20"/>
              <w:rPr>
                <w:rFonts w:eastAsia="SimSun"/>
                <w:sz w:val="18"/>
                <w:szCs w:val="18"/>
                <w:lang w:eastAsia="zh-CN"/>
              </w:rPr>
            </w:pPr>
            <w:r w:rsidRPr="00F77964">
              <w:rPr>
                <w:rFonts w:eastAsia="SimSun"/>
                <w:sz w:val="18"/>
                <w:szCs w:val="18"/>
                <w:lang w:eastAsia="zh-CN"/>
              </w:rPr>
              <w:t>Suite aux recommandations de l’évaluation méthodologique, le groupe d’experts encourage et s</w:t>
            </w:r>
            <w:r w:rsidR="00DD6F31">
              <w:rPr>
                <w:rFonts w:eastAsia="SimSun"/>
                <w:sz w:val="18"/>
                <w:szCs w:val="18"/>
                <w:lang w:eastAsia="zh-CN"/>
              </w:rPr>
              <w:t>timule la poursuite de</w:t>
            </w:r>
            <w:r w:rsidRPr="00F77964">
              <w:rPr>
                <w:rFonts w:eastAsia="SimSun"/>
                <w:sz w:val="18"/>
                <w:szCs w:val="18"/>
                <w:lang w:eastAsia="zh-CN"/>
              </w:rPr>
              <w:t xml:space="preserve"> la mise au point </w:t>
            </w:r>
            <w:r w:rsidR="00610A1B">
              <w:rPr>
                <w:rFonts w:eastAsia="SimSun"/>
                <w:sz w:val="18"/>
                <w:szCs w:val="18"/>
                <w:lang w:eastAsia="zh-CN"/>
              </w:rPr>
              <w:t>d’outils et de méthodes</w:t>
            </w:r>
            <w:r w:rsidRPr="00F77964">
              <w:rPr>
                <w:rFonts w:eastAsia="SimSun"/>
                <w:sz w:val="18"/>
                <w:szCs w:val="18"/>
                <w:lang w:eastAsia="zh-CN"/>
              </w:rPr>
              <w:t xml:space="preserve"> </w:t>
            </w:r>
            <w:r w:rsidR="00DD6F31">
              <w:rPr>
                <w:rFonts w:eastAsia="SimSun"/>
                <w:sz w:val="18"/>
                <w:szCs w:val="18"/>
                <w:lang w:eastAsia="zh-CN"/>
              </w:rPr>
              <w:t>de définition, détermination et comptabilisation de la valeur</w:t>
            </w:r>
            <w:r w:rsidRPr="00F77964">
              <w:rPr>
                <w:rFonts w:eastAsia="SimSun"/>
                <w:sz w:val="18"/>
                <w:szCs w:val="18"/>
                <w:lang w:eastAsia="zh-CN"/>
              </w:rPr>
              <w:t xml:space="preserve"> de la biodiversité et des services écosystémiques - pour approbation en 2017</w:t>
            </w:r>
          </w:p>
        </w:tc>
      </w:tr>
      <w:tr w:rsidR="00005DED" w:rsidRPr="0061490E" w:rsidTr="001D0F4C">
        <w:trPr>
          <w:trHeight w:val="631"/>
        </w:trPr>
        <w:tc>
          <w:tcPr>
            <w:tcW w:w="663" w:type="dxa"/>
            <w:tcBorders>
              <w:top w:val="single" w:sz="4" w:space="0" w:color="auto"/>
              <w:left w:val="single" w:sz="4" w:space="0" w:color="auto"/>
              <w:bottom w:val="single" w:sz="4" w:space="0" w:color="auto"/>
              <w:right w:val="single" w:sz="4" w:space="0" w:color="auto"/>
            </w:tcBorders>
            <w:hideMark/>
          </w:tcPr>
          <w:p w:rsidR="00005DED" w:rsidRPr="00F77964" w:rsidRDefault="00005DED" w:rsidP="001D0F4C">
            <w:pPr>
              <w:keepLines/>
              <w:tabs>
                <w:tab w:val="left" w:pos="426"/>
                <w:tab w:val="num" w:pos="1353"/>
              </w:tabs>
              <w:autoSpaceDE w:val="0"/>
              <w:autoSpaceDN w:val="0"/>
              <w:adjustRightInd w:val="0"/>
              <w:spacing w:before="20" w:after="20"/>
              <w:rPr>
                <w:rFonts w:ascii="Times New Roman" w:eastAsia="SimSun" w:hAnsi="Times New Roman"/>
                <w:sz w:val="18"/>
                <w:szCs w:val="18"/>
                <w:lang w:eastAsia="zh-CN"/>
              </w:rPr>
            </w:pPr>
            <w:r w:rsidRPr="00F77964">
              <w:rPr>
                <w:rFonts w:ascii="Times New Roman" w:eastAsia="SimSun" w:hAnsi="Times New Roman"/>
                <w:sz w:val="18"/>
                <w:szCs w:val="18"/>
                <w:lang w:eastAsia="zh-CN"/>
              </w:rPr>
              <w:t>2016</w:t>
            </w:r>
          </w:p>
        </w:tc>
        <w:tc>
          <w:tcPr>
            <w:tcW w:w="1411" w:type="dxa"/>
            <w:tcBorders>
              <w:top w:val="single" w:sz="4" w:space="0" w:color="auto"/>
              <w:left w:val="single" w:sz="4" w:space="0" w:color="auto"/>
              <w:bottom w:val="single" w:sz="4" w:space="0" w:color="auto"/>
              <w:right w:val="single" w:sz="4" w:space="0" w:color="auto"/>
            </w:tcBorders>
            <w:hideMark/>
          </w:tcPr>
          <w:p w:rsidR="00005DED" w:rsidRPr="00F77964" w:rsidRDefault="00005DED" w:rsidP="001D0F4C">
            <w:pPr>
              <w:pStyle w:val="Normal-pool"/>
              <w:keepNext/>
              <w:keepLines/>
              <w:spacing w:before="20" w:after="20"/>
              <w:rPr>
                <w:rFonts w:eastAsia="SimSun"/>
                <w:sz w:val="18"/>
                <w:szCs w:val="18"/>
                <w:lang w:eastAsia="zh-CN"/>
              </w:rPr>
            </w:pPr>
            <w:r w:rsidRPr="00F77964">
              <w:rPr>
                <w:rFonts w:eastAsia="SimSun"/>
                <w:sz w:val="18"/>
                <w:szCs w:val="18"/>
                <w:lang w:eastAsia="zh-CN"/>
              </w:rPr>
              <w:t xml:space="preserve">Deuxième/ troisième/ quatrième </w:t>
            </w:r>
            <w:r w:rsidRPr="00F77964">
              <w:rPr>
                <w:rFonts w:eastAsia="SimSun"/>
                <w:sz w:val="18"/>
                <w:szCs w:val="18"/>
                <w:lang w:eastAsia="zh-CN"/>
              </w:rPr>
              <w:lastRenderedPageBreak/>
              <w:t>trimestres</w:t>
            </w:r>
          </w:p>
        </w:tc>
        <w:tc>
          <w:tcPr>
            <w:tcW w:w="5920" w:type="dxa"/>
            <w:tcBorders>
              <w:top w:val="single" w:sz="4" w:space="0" w:color="auto"/>
              <w:left w:val="single" w:sz="4" w:space="0" w:color="auto"/>
              <w:bottom w:val="single" w:sz="4" w:space="0" w:color="auto"/>
              <w:right w:val="single" w:sz="4" w:space="0" w:color="auto"/>
            </w:tcBorders>
            <w:hideMark/>
          </w:tcPr>
          <w:p w:rsidR="00005DED" w:rsidRPr="00F77964" w:rsidRDefault="00005DED" w:rsidP="001D0F4C">
            <w:pPr>
              <w:pStyle w:val="Normal-pool"/>
              <w:keepNext/>
              <w:keepLines/>
              <w:spacing w:before="20" w:after="20"/>
              <w:rPr>
                <w:rFonts w:eastAsia="SimSun"/>
                <w:sz w:val="18"/>
                <w:szCs w:val="18"/>
                <w:lang w:eastAsia="zh-CN"/>
              </w:rPr>
            </w:pPr>
            <w:r w:rsidRPr="00F77964">
              <w:rPr>
                <w:rFonts w:eastAsia="SimSun"/>
                <w:sz w:val="18"/>
                <w:szCs w:val="18"/>
                <w:lang w:eastAsia="zh-CN"/>
              </w:rPr>
              <w:lastRenderedPageBreak/>
              <w:t xml:space="preserve">Suite aux recommandations de l’évaluation méthodologique, le groupe d’experts encourage et </w:t>
            </w:r>
            <w:r w:rsidR="00DD6F31">
              <w:rPr>
                <w:rFonts w:eastAsia="SimSun"/>
                <w:sz w:val="18"/>
                <w:szCs w:val="18"/>
                <w:lang w:eastAsia="zh-CN"/>
              </w:rPr>
              <w:t xml:space="preserve">stimule la poursuite de </w:t>
            </w:r>
            <w:r w:rsidRPr="00F77964">
              <w:rPr>
                <w:rFonts w:eastAsia="SimSun"/>
                <w:sz w:val="18"/>
                <w:szCs w:val="18"/>
                <w:lang w:eastAsia="zh-CN"/>
              </w:rPr>
              <w:t xml:space="preserve">la mise au point </w:t>
            </w:r>
            <w:r w:rsidR="00610A1B">
              <w:rPr>
                <w:rFonts w:eastAsia="SimSun"/>
                <w:sz w:val="18"/>
                <w:szCs w:val="18"/>
                <w:lang w:eastAsia="zh-CN"/>
              </w:rPr>
              <w:t>d’outils et de méthodes</w:t>
            </w:r>
            <w:r w:rsidRPr="00F77964">
              <w:rPr>
                <w:rFonts w:eastAsia="SimSun"/>
                <w:sz w:val="18"/>
                <w:szCs w:val="18"/>
                <w:lang w:eastAsia="zh-CN"/>
              </w:rPr>
              <w:t xml:space="preserve"> </w:t>
            </w:r>
            <w:r w:rsidR="00DD6F31">
              <w:rPr>
                <w:rFonts w:eastAsia="SimSun"/>
                <w:sz w:val="18"/>
                <w:szCs w:val="18"/>
                <w:lang w:eastAsia="zh-CN"/>
              </w:rPr>
              <w:t>de définition, détermination et comptabilisation de la valeur</w:t>
            </w:r>
            <w:r w:rsidRPr="00F77964">
              <w:rPr>
                <w:rFonts w:eastAsia="SimSun"/>
                <w:sz w:val="18"/>
                <w:szCs w:val="18"/>
                <w:lang w:eastAsia="zh-CN"/>
              </w:rPr>
              <w:t xml:space="preserve"> de la </w:t>
            </w:r>
            <w:r w:rsidRPr="00F77964">
              <w:rPr>
                <w:rFonts w:eastAsia="SimSun"/>
                <w:sz w:val="18"/>
                <w:szCs w:val="18"/>
                <w:lang w:eastAsia="zh-CN"/>
              </w:rPr>
              <w:lastRenderedPageBreak/>
              <w:t>biodiversité et des services écosystémiques - pour approbation en 2017</w:t>
            </w:r>
          </w:p>
        </w:tc>
      </w:tr>
      <w:tr w:rsidR="00005DED" w:rsidRPr="0061490E" w:rsidTr="001D0F4C">
        <w:trPr>
          <w:trHeight w:val="321"/>
        </w:trPr>
        <w:tc>
          <w:tcPr>
            <w:tcW w:w="663" w:type="dxa"/>
            <w:tcBorders>
              <w:top w:val="single" w:sz="4" w:space="0" w:color="auto"/>
              <w:left w:val="single" w:sz="4" w:space="0" w:color="auto"/>
              <w:bottom w:val="single" w:sz="4" w:space="0" w:color="auto"/>
              <w:right w:val="single" w:sz="4" w:space="0" w:color="auto"/>
            </w:tcBorders>
            <w:hideMark/>
          </w:tcPr>
          <w:p w:rsidR="00005DED" w:rsidRPr="00F77964" w:rsidRDefault="00005DED" w:rsidP="001D0F4C">
            <w:pPr>
              <w:keepLines/>
              <w:tabs>
                <w:tab w:val="left" w:pos="426"/>
                <w:tab w:val="num" w:pos="1353"/>
              </w:tabs>
              <w:autoSpaceDE w:val="0"/>
              <w:autoSpaceDN w:val="0"/>
              <w:adjustRightInd w:val="0"/>
              <w:spacing w:before="20" w:after="20"/>
              <w:rPr>
                <w:rFonts w:ascii="Times New Roman" w:eastAsia="SimSun" w:hAnsi="Times New Roman"/>
                <w:sz w:val="18"/>
                <w:szCs w:val="18"/>
                <w:lang w:eastAsia="zh-CN"/>
              </w:rPr>
            </w:pPr>
            <w:r w:rsidRPr="00F77964">
              <w:rPr>
                <w:rFonts w:ascii="Times New Roman" w:eastAsia="SimSun" w:hAnsi="Times New Roman"/>
                <w:sz w:val="18"/>
                <w:szCs w:val="18"/>
                <w:lang w:eastAsia="zh-CN"/>
              </w:rPr>
              <w:lastRenderedPageBreak/>
              <w:t>2017</w:t>
            </w:r>
          </w:p>
        </w:tc>
        <w:tc>
          <w:tcPr>
            <w:tcW w:w="1411" w:type="dxa"/>
            <w:tcBorders>
              <w:top w:val="single" w:sz="4" w:space="0" w:color="auto"/>
              <w:left w:val="single" w:sz="4" w:space="0" w:color="auto"/>
              <w:bottom w:val="single" w:sz="4" w:space="0" w:color="auto"/>
              <w:right w:val="single" w:sz="4" w:space="0" w:color="auto"/>
            </w:tcBorders>
            <w:hideMark/>
          </w:tcPr>
          <w:p w:rsidR="00005DED" w:rsidRPr="00F77964" w:rsidRDefault="00005DED" w:rsidP="001D0F4C">
            <w:pPr>
              <w:pStyle w:val="Normal-pool"/>
              <w:keepNext/>
              <w:keepLines/>
              <w:spacing w:before="20" w:after="20"/>
              <w:rPr>
                <w:rFonts w:eastAsia="SimSun"/>
                <w:sz w:val="18"/>
                <w:szCs w:val="18"/>
                <w:lang w:eastAsia="zh-CN"/>
              </w:rPr>
            </w:pPr>
            <w:r w:rsidRPr="00F77964">
              <w:rPr>
                <w:rFonts w:eastAsia="SimSun"/>
                <w:sz w:val="18"/>
                <w:szCs w:val="18"/>
                <w:lang w:eastAsia="zh-CN"/>
              </w:rPr>
              <w:t>Premier trimestre</w:t>
            </w:r>
          </w:p>
        </w:tc>
        <w:tc>
          <w:tcPr>
            <w:tcW w:w="5920" w:type="dxa"/>
            <w:tcBorders>
              <w:top w:val="single" w:sz="4" w:space="0" w:color="auto"/>
              <w:left w:val="single" w:sz="4" w:space="0" w:color="auto"/>
              <w:bottom w:val="single" w:sz="4" w:space="0" w:color="auto"/>
              <w:right w:val="single" w:sz="4" w:space="0" w:color="auto"/>
            </w:tcBorders>
            <w:hideMark/>
          </w:tcPr>
          <w:p w:rsidR="00005DED" w:rsidRPr="00F77964" w:rsidRDefault="00005DED" w:rsidP="001D0F4C">
            <w:pPr>
              <w:pStyle w:val="Normal-pool"/>
              <w:keepNext/>
              <w:keepLines/>
              <w:spacing w:before="20" w:after="20"/>
              <w:rPr>
                <w:rFonts w:eastAsia="SimSun"/>
                <w:sz w:val="18"/>
                <w:szCs w:val="18"/>
                <w:lang w:eastAsia="zh-CN"/>
              </w:rPr>
            </w:pPr>
            <w:r w:rsidRPr="00F77964">
              <w:rPr>
                <w:rFonts w:eastAsia="SimSun"/>
                <w:sz w:val="18"/>
                <w:szCs w:val="18"/>
                <w:lang w:eastAsia="zh-CN"/>
              </w:rPr>
              <w:t xml:space="preserve">La Plénière </w:t>
            </w:r>
            <w:r>
              <w:rPr>
                <w:rFonts w:eastAsia="SimSun"/>
                <w:sz w:val="18"/>
                <w:szCs w:val="18"/>
                <w:lang w:eastAsia="zh-CN"/>
              </w:rPr>
              <w:t xml:space="preserve">étudie la possibilité de </w:t>
            </w:r>
            <w:r w:rsidRPr="00F77964">
              <w:rPr>
                <w:rFonts w:eastAsia="SimSun"/>
                <w:sz w:val="18"/>
                <w:szCs w:val="18"/>
                <w:lang w:eastAsia="zh-CN"/>
              </w:rPr>
              <w:t xml:space="preserve">donner son approbation aux outils et méthodes </w:t>
            </w:r>
            <w:r w:rsidR="00DD6F31">
              <w:rPr>
                <w:rFonts w:eastAsia="SimSun"/>
                <w:sz w:val="18"/>
                <w:szCs w:val="18"/>
                <w:lang w:eastAsia="zh-CN"/>
              </w:rPr>
              <w:t>plus élaborés de définition, détermination et comptabilisation de la valeur</w:t>
            </w:r>
            <w:r w:rsidRPr="00F77964">
              <w:rPr>
                <w:rFonts w:eastAsia="SimSun"/>
                <w:sz w:val="18"/>
                <w:szCs w:val="18"/>
                <w:lang w:eastAsia="zh-CN"/>
              </w:rPr>
              <w:t xml:space="preserve"> de la biodiversité et des services écosystémiques</w:t>
            </w:r>
          </w:p>
        </w:tc>
      </w:tr>
    </w:tbl>
    <w:p w:rsidR="001D6913" w:rsidRPr="00F77964" w:rsidRDefault="001D6913" w:rsidP="001D6913">
      <w:pPr>
        <w:pStyle w:val="CH3"/>
        <w:spacing w:before="240"/>
        <w:rPr>
          <w:lang w:val="fr-FR"/>
        </w:rPr>
      </w:pPr>
      <w:r w:rsidRPr="00F77964">
        <w:rPr>
          <w:lang w:val="fr-FR"/>
        </w:rPr>
        <w:tab/>
      </w:r>
      <w:r w:rsidRPr="00F77964">
        <w:rPr>
          <w:lang w:val="fr-FR"/>
        </w:rPr>
        <w:tab/>
        <w:t>Prévisions de coûts</w:t>
      </w:r>
    </w:p>
    <w:p w:rsidR="001D6913" w:rsidRPr="00F90D8B" w:rsidRDefault="001D6913" w:rsidP="00F90D8B">
      <w:pPr>
        <w:pStyle w:val="Normalnumber"/>
        <w:numPr>
          <w:ilvl w:val="0"/>
          <w:numId w:val="6"/>
        </w:numPr>
        <w:tabs>
          <w:tab w:val="left" w:pos="624"/>
        </w:tabs>
        <w:ind w:left="1247" w:firstLine="0"/>
        <w:rPr>
          <w:lang w:val="fr-FR"/>
        </w:rPr>
      </w:pPr>
      <w:r w:rsidRPr="00F90D8B">
        <w:rPr>
          <w:lang w:val="fr-FR"/>
        </w:rPr>
        <w:t>Les prévisions de coûts sont les suivantes :</w:t>
      </w:r>
    </w:p>
    <w:p w:rsidR="001D6913" w:rsidRPr="00F77964" w:rsidRDefault="001D6913" w:rsidP="001D6913">
      <w:pPr>
        <w:pStyle w:val="Normalnumber"/>
        <w:spacing w:before="120" w:after="0"/>
        <w:rPr>
          <w:sz w:val="18"/>
          <w:szCs w:val="18"/>
          <w:lang w:val="fr-FR"/>
        </w:rPr>
      </w:pPr>
      <w:r w:rsidRPr="00F77964">
        <w:rPr>
          <w:lang w:val="fr-FR"/>
        </w:rPr>
        <w:tab/>
      </w:r>
      <w:r w:rsidRPr="00F77964">
        <w:rPr>
          <w:lang w:val="fr-FR"/>
        </w:rPr>
        <w:tab/>
      </w:r>
      <w:r w:rsidRPr="00F77964">
        <w:rPr>
          <w:sz w:val="18"/>
          <w:szCs w:val="18"/>
          <w:lang w:val="fr-FR"/>
        </w:rPr>
        <w:t>(</w:t>
      </w:r>
      <w:r w:rsidR="006E2836" w:rsidRPr="00F77964">
        <w:rPr>
          <w:sz w:val="18"/>
          <w:szCs w:val="18"/>
          <w:lang w:val="fr-FR"/>
        </w:rPr>
        <w:t>d</w:t>
      </w:r>
      <w:r w:rsidRPr="00F77964">
        <w:rPr>
          <w:sz w:val="18"/>
          <w:szCs w:val="18"/>
          <w:lang w:val="fr-FR"/>
        </w:rPr>
        <w:t>ollars des États-Unis)</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341"/>
        <w:gridCol w:w="3010"/>
        <w:gridCol w:w="936"/>
      </w:tblGrid>
      <w:tr w:rsidR="006E2836" w:rsidRPr="0061490E" w:rsidTr="00461358">
        <w:trPr>
          <w:tblHeader/>
        </w:trPr>
        <w:tc>
          <w:tcPr>
            <w:tcW w:w="707" w:type="dxa"/>
            <w:tcBorders>
              <w:top w:val="single" w:sz="4" w:space="0" w:color="auto"/>
              <w:left w:val="single" w:sz="4" w:space="0" w:color="auto"/>
              <w:bottom w:val="single" w:sz="4" w:space="0" w:color="auto"/>
              <w:right w:val="single" w:sz="4" w:space="0" w:color="auto"/>
            </w:tcBorders>
            <w:hideMark/>
          </w:tcPr>
          <w:p w:rsidR="006E2836" w:rsidRPr="00DD6F31" w:rsidRDefault="006E2836" w:rsidP="00DD6F31">
            <w:pPr>
              <w:pStyle w:val="Normal-pool"/>
              <w:keepNext/>
              <w:spacing w:before="40" w:after="40"/>
              <w:rPr>
                <w:rFonts w:eastAsia="SimSun"/>
                <w:i/>
                <w:sz w:val="18"/>
                <w:szCs w:val="18"/>
                <w:lang w:eastAsia="zh-CN"/>
              </w:rPr>
            </w:pPr>
            <w:r w:rsidRPr="00DD6F31">
              <w:rPr>
                <w:rFonts w:eastAsia="SimSun"/>
                <w:i/>
                <w:sz w:val="18"/>
                <w:szCs w:val="18"/>
                <w:lang w:eastAsia="zh-CN"/>
              </w:rPr>
              <w:t>Année</w:t>
            </w:r>
          </w:p>
        </w:tc>
        <w:tc>
          <w:tcPr>
            <w:tcW w:w="3341" w:type="dxa"/>
            <w:tcBorders>
              <w:top w:val="single" w:sz="4" w:space="0" w:color="auto"/>
              <w:left w:val="single" w:sz="4" w:space="0" w:color="auto"/>
              <w:bottom w:val="single" w:sz="4" w:space="0" w:color="auto"/>
              <w:right w:val="single" w:sz="4" w:space="0" w:color="auto"/>
            </w:tcBorders>
            <w:hideMark/>
          </w:tcPr>
          <w:p w:rsidR="006E2836" w:rsidRPr="00DD6F31" w:rsidRDefault="00D972E8" w:rsidP="00DD6F31">
            <w:pPr>
              <w:pStyle w:val="Normal-pool"/>
              <w:keepNext/>
              <w:spacing w:before="40" w:after="40"/>
              <w:rPr>
                <w:rFonts w:eastAsia="SimSun"/>
                <w:i/>
                <w:sz w:val="18"/>
                <w:szCs w:val="18"/>
                <w:lang w:eastAsia="zh-CN"/>
              </w:rPr>
            </w:pPr>
            <w:r w:rsidRPr="00DD6F31">
              <w:rPr>
                <w:rFonts w:eastAsia="SimSun"/>
                <w:i/>
                <w:sz w:val="18"/>
                <w:szCs w:val="18"/>
                <w:lang w:eastAsia="zh-CN"/>
              </w:rPr>
              <w:t>Postes de dépense</w:t>
            </w:r>
          </w:p>
        </w:tc>
        <w:tc>
          <w:tcPr>
            <w:tcW w:w="3010" w:type="dxa"/>
            <w:tcBorders>
              <w:top w:val="single" w:sz="4" w:space="0" w:color="auto"/>
              <w:left w:val="single" w:sz="4" w:space="0" w:color="auto"/>
              <w:bottom w:val="single" w:sz="4" w:space="0" w:color="auto"/>
              <w:right w:val="single" w:sz="4" w:space="0" w:color="auto"/>
            </w:tcBorders>
            <w:hideMark/>
          </w:tcPr>
          <w:p w:rsidR="006E2836" w:rsidRPr="00DD6F31" w:rsidRDefault="006E2836" w:rsidP="00DD6F31">
            <w:pPr>
              <w:pStyle w:val="Normal-pool"/>
              <w:keepNext/>
              <w:spacing w:before="40" w:after="40"/>
              <w:rPr>
                <w:rFonts w:eastAsia="SimSun"/>
                <w:i/>
                <w:sz w:val="18"/>
                <w:szCs w:val="18"/>
                <w:lang w:eastAsia="zh-CN"/>
              </w:rPr>
            </w:pPr>
            <w:r w:rsidRPr="00DD6F31">
              <w:rPr>
                <w:rFonts w:eastAsia="SimSun"/>
                <w:i/>
                <w:sz w:val="18"/>
                <w:szCs w:val="18"/>
                <w:lang w:eastAsia="zh-CN"/>
              </w:rPr>
              <w:t>Hypothèses</w:t>
            </w:r>
          </w:p>
        </w:tc>
        <w:tc>
          <w:tcPr>
            <w:tcW w:w="936" w:type="dxa"/>
            <w:tcBorders>
              <w:top w:val="single" w:sz="4" w:space="0" w:color="auto"/>
              <w:left w:val="single" w:sz="4" w:space="0" w:color="auto"/>
              <w:bottom w:val="single" w:sz="4" w:space="0" w:color="auto"/>
              <w:right w:val="single" w:sz="4" w:space="0" w:color="auto"/>
            </w:tcBorders>
            <w:hideMark/>
          </w:tcPr>
          <w:p w:rsidR="006E2836" w:rsidRPr="00DD6F31" w:rsidRDefault="006E2836" w:rsidP="00DD6F31">
            <w:pPr>
              <w:pStyle w:val="Normal-pool"/>
              <w:keepNext/>
              <w:spacing w:before="40" w:after="40"/>
              <w:jc w:val="right"/>
              <w:rPr>
                <w:rFonts w:eastAsia="SimSun"/>
                <w:i/>
                <w:sz w:val="18"/>
                <w:szCs w:val="18"/>
                <w:lang w:eastAsia="zh-CN"/>
              </w:rPr>
            </w:pPr>
            <w:r w:rsidRPr="00DD6F31">
              <w:rPr>
                <w:rFonts w:eastAsia="SimSun"/>
                <w:i/>
                <w:sz w:val="18"/>
                <w:szCs w:val="18"/>
                <w:lang w:eastAsia="zh-CN"/>
              </w:rPr>
              <w:t xml:space="preserve">Coût </w:t>
            </w:r>
          </w:p>
        </w:tc>
      </w:tr>
      <w:tr w:rsidR="00461358" w:rsidRPr="0061490E" w:rsidTr="00461358">
        <w:trPr>
          <w:tblHeader/>
        </w:trPr>
        <w:tc>
          <w:tcPr>
            <w:tcW w:w="707" w:type="dxa"/>
            <w:tcBorders>
              <w:top w:val="single" w:sz="4" w:space="0" w:color="auto"/>
              <w:left w:val="single" w:sz="4" w:space="0" w:color="auto"/>
              <w:bottom w:val="nil"/>
              <w:right w:val="single" w:sz="4" w:space="0" w:color="auto"/>
            </w:tcBorders>
            <w:hideMark/>
          </w:tcPr>
          <w:p w:rsidR="00461358" w:rsidRPr="00F77964" w:rsidRDefault="00461358" w:rsidP="006E2836">
            <w:pPr>
              <w:pStyle w:val="Normal-pool"/>
              <w:spacing w:before="40" w:after="40"/>
              <w:rPr>
                <w:rFonts w:eastAsia="SimSun"/>
                <w:sz w:val="18"/>
                <w:szCs w:val="18"/>
                <w:lang w:eastAsia="zh-CN"/>
              </w:rPr>
            </w:pPr>
            <w:r w:rsidRPr="00F77964">
              <w:rPr>
                <w:rFonts w:eastAsia="SimSun"/>
                <w:sz w:val="18"/>
                <w:szCs w:val="18"/>
                <w:lang w:eastAsia="zh-CN"/>
              </w:rPr>
              <w:t>2014</w:t>
            </w:r>
          </w:p>
        </w:tc>
        <w:tc>
          <w:tcPr>
            <w:tcW w:w="3341" w:type="dxa"/>
            <w:vMerge w:val="restart"/>
            <w:tcBorders>
              <w:top w:val="single" w:sz="4" w:space="0" w:color="auto"/>
              <w:left w:val="single" w:sz="4" w:space="0" w:color="auto"/>
              <w:right w:val="single" w:sz="4" w:space="0" w:color="auto"/>
            </w:tcBorders>
            <w:hideMark/>
          </w:tcPr>
          <w:p w:rsidR="00461358" w:rsidRPr="00F77964" w:rsidRDefault="00461358" w:rsidP="0022142B">
            <w:pPr>
              <w:pStyle w:val="Normal-pool"/>
              <w:spacing w:before="40" w:after="40"/>
              <w:rPr>
                <w:rFonts w:eastAsia="SimSun"/>
                <w:sz w:val="18"/>
                <w:szCs w:val="18"/>
                <w:lang w:eastAsia="zh-CN"/>
              </w:rPr>
            </w:pPr>
            <w:r w:rsidRPr="00F77964">
              <w:rPr>
                <w:rFonts w:eastAsia="SimSun"/>
                <w:sz w:val="18"/>
                <w:szCs w:val="18"/>
                <w:lang w:eastAsia="zh-CN"/>
              </w:rPr>
              <w:t>Première réunion des auteurs (80 coprésidents, auteurs coordonnateurs principaux et auteurs principaux</w:t>
            </w:r>
            <w:r>
              <w:rPr>
                <w:rFonts w:eastAsia="SimSun"/>
                <w:sz w:val="18"/>
                <w:szCs w:val="18"/>
                <w:lang w:eastAsia="zh-CN"/>
              </w:rPr>
              <w:t xml:space="preserve"> + </w:t>
            </w:r>
            <w:r w:rsidRPr="00F77964">
              <w:rPr>
                <w:rFonts w:eastAsia="SimSun"/>
                <w:sz w:val="18"/>
                <w:szCs w:val="18"/>
                <w:lang w:eastAsia="zh-CN"/>
              </w:rPr>
              <w:t>4 membres du Groupe d’experts multidisciplinaire/Bureau</w:t>
            </w:r>
            <w:r>
              <w:rPr>
                <w:rFonts w:eastAsia="SimSun"/>
                <w:sz w:val="18"/>
                <w:szCs w:val="18"/>
                <w:lang w:eastAsia="zh-CN"/>
              </w:rPr>
              <w:t xml:space="preserve"> + </w:t>
            </w:r>
            <w:r w:rsidRPr="00F77964">
              <w:rPr>
                <w:rFonts w:eastAsia="SimSun"/>
                <w:sz w:val="18"/>
                <w:szCs w:val="18"/>
                <w:lang w:eastAsia="zh-CN"/>
              </w:rPr>
              <w:t>1 agent des services d’appui technique)</w:t>
            </w:r>
          </w:p>
        </w:tc>
        <w:tc>
          <w:tcPr>
            <w:tcW w:w="3010" w:type="dxa"/>
            <w:tcBorders>
              <w:top w:val="single" w:sz="4" w:space="0" w:color="auto"/>
              <w:left w:val="single" w:sz="4" w:space="0" w:color="auto"/>
              <w:bottom w:val="single" w:sz="4" w:space="0" w:color="auto"/>
              <w:right w:val="single" w:sz="4" w:space="0" w:color="auto"/>
            </w:tcBorders>
            <w:hideMark/>
          </w:tcPr>
          <w:p w:rsidR="00461358" w:rsidRPr="00F77964" w:rsidRDefault="00461358" w:rsidP="0022142B">
            <w:pPr>
              <w:pStyle w:val="Normal-pool"/>
              <w:spacing w:before="40" w:after="40"/>
              <w:rPr>
                <w:rFonts w:eastAsia="SimSun"/>
                <w:sz w:val="18"/>
                <w:szCs w:val="18"/>
                <w:lang w:eastAsia="zh-CN"/>
              </w:rPr>
            </w:pPr>
            <w:r w:rsidRPr="00F77964">
              <w:rPr>
                <w:rFonts w:eastAsia="SimSun"/>
                <w:sz w:val="18"/>
                <w:szCs w:val="18"/>
                <w:lang w:eastAsia="zh-CN"/>
              </w:rPr>
              <w:t>Coûts de la réunion (1 semaine, 85 participants) (25 % en nature)</w:t>
            </w:r>
          </w:p>
        </w:tc>
        <w:tc>
          <w:tcPr>
            <w:tcW w:w="936" w:type="dxa"/>
            <w:tcBorders>
              <w:top w:val="single" w:sz="4" w:space="0" w:color="auto"/>
              <w:left w:val="single" w:sz="4" w:space="0" w:color="auto"/>
              <w:bottom w:val="single" w:sz="4" w:space="0" w:color="auto"/>
              <w:right w:val="single" w:sz="4" w:space="0" w:color="auto"/>
            </w:tcBorders>
            <w:hideMark/>
          </w:tcPr>
          <w:p w:rsidR="00461358" w:rsidRPr="00F77964" w:rsidRDefault="00461358" w:rsidP="006E2836">
            <w:pPr>
              <w:pStyle w:val="Normal-pool"/>
              <w:spacing w:before="40" w:after="40"/>
              <w:jc w:val="right"/>
              <w:rPr>
                <w:rFonts w:eastAsia="SimSun"/>
                <w:sz w:val="18"/>
                <w:szCs w:val="18"/>
                <w:lang w:eastAsia="zh-CN"/>
              </w:rPr>
            </w:pPr>
            <w:r w:rsidRPr="00F77964">
              <w:rPr>
                <w:rFonts w:eastAsia="SimSun"/>
                <w:sz w:val="18"/>
                <w:szCs w:val="18"/>
                <w:lang w:eastAsia="zh-CN"/>
              </w:rPr>
              <w:t>15 000</w:t>
            </w:r>
          </w:p>
        </w:tc>
      </w:tr>
      <w:tr w:rsidR="00461358" w:rsidRPr="0061490E" w:rsidTr="00461358">
        <w:trPr>
          <w:tblHeader/>
        </w:trPr>
        <w:tc>
          <w:tcPr>
            <w:tcW w:w="707" w:type="dxa"/>
            <w:tcBorders>
              <w:top w:val="nil"/>
              <w:left w:val="single" w:sz="4" w:space="0" w:color="auto"/>
              <w:bottom w:val="nil"/>
              <w:right w:val="single" w:sz="4" w:space="0" w:color="auto"/>
            </w:tcBorders>
            <w:hideMark/>
          </w:tcPr>
          <w:p w:rsidR="00461358" w:rsidRPr="00F77964" w:rsidRDefault="00461358" w:rsidP="006E2836">
            <w:pPr>
              <w:pStyle w:val="Normal-pool"/>
              <w:spacing w:before="40" w:after="40"/>
              <w:rPr>
                <w:rFonts w:eastAsia="SimSun"/>
                <w:sz w:val="18"/>
                <w:szCs w:val="18"/>
                <w:lang w:eastAsia="zh-CN"/>
              </w:rPr>
            </w:pPr>
          </w:p>
        </w:tc>
        <w:tc>
          <w:tcPr>
            <w:tcW w:w="3341" w:type="dxa"/>
            <w:vMerge/>
            <w:tcBorders>
              <w:left w:val="single" w:sz="4" w:space="0" w:color="auto"/>
              <w:bottom w:val="single" w:sz="4" w:space="0" w:color="auto"/>
              <w:right w:val="single" w:sz="4" w:space="0" w:color="auto"/>
            </w:tcBorders>
            <w:hideMark/>
          </w:tcPr>
          <w:p w:rsidR="00461358" w:rsidRPr="00F77964" w:rsidRDefault="00461358" w:rsidP="006E2836">
            <w:pPr>
              <w:pStyle w:val="Normal-pool"/>
              <w:spacing w:before="40" w:after="40"/>
              <w:rPr>
                <w:rFonts w:eastAsia="SimSun"/>
                <w:sz w:val="18"/>
                <w:szCs w:val="18"/>
                <w:lang w:eastAsia="zh-CN"/>
              </w:rPr>
            </w:pPr>
          </w:p>
        </w:tc>
        <w:tc>
          <w:tcPr>
            <w:tcW w:w="3010" w:type="dxa"/>
            <w:tcBorders>
              <w:top w:val="single" w:sz="4" w:space="0" w:color="auto"/>
              <w:left w:val="single" w:sz="4" w:space="0" w:color="auto"/>
              <w:bottom w:val="single" w:sz="4" w:space="0" w:color="auto"/>
              <w:right w:val="single" w:sz="4" w:space="0" w:color="auto"/>
            </w:tcBorders>
            <w:hideMark/>
          </w:tcPr>
          <w:p w:rsidR="00461358" w:rsidRPr="00F77964" w:rsidRDefault="00461358" w:rsidP="0022142B">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Pr="00F77964">
              <w:rPr>
                <w:rFonts w:eastAsia="SimSun"/>
                <w:sz w:val="18"/>
                <w:szCs w:val="18"/>
                <w:lang w:eastAsia="zh-CN"/>
              </w:rPr>
              <w:t xml:space="preserve"> (64 x 3 000 dollars)</w:t>
            </w:r>
          </w:p>
        </w:tc>
        <w:tc>
          <w:tcPr>
            <w:tcW w:w="936" w:type="dxa"/>
            <w:tcBorders>
              <w:top w:val="single" w:sz="4" w:space="0" w:color="auto"/>
              <w:left w:val="single" w:sz="4" w:space="0" w:color="auto"/>
              <w:bottom w:val="single" w:sz="4" w:space="0" w:color="auto"/>
              <w:right w:val="single" w:sz="4" w:space="0" w:color="auto"/>
            </w:tcBorders>
            <w:hideMark/>
          </w:tcPr>
          <w:p w:rsidR="00461358" w:rsidRPr="00F77964" w:rsidRDefault="00461358" w:rsidP="0022142B">
            <w:pPr>
              <w:pStyle w:val="Normal-pool"/>
              <w:spacing w:before="40" w:after="40"/>
              <w:jc w:val="right"/>
              <w:rPr>
                <w:rFonts w:eastAsia="SimSun"/>
                <w:sz w:val="18"/>
                <w:szCs w:val="18"/>
                <w:lang w:eastAsia="zh-CN"/>
              </w:rPr>
            </w:pPr>
            <w:r w:rsidRPr="00F77964">
              <w:rPr>
                <w:rFonts w:eastAsia="SimSun"/>
                <w:sz w:val="18"/>
                <w:szCs w:val="18"/>
                <w:lang w:eastAsia="zh-CN"/>
              </w:rPr>
              <w:t>192 000</w:t>
            </w:r>
          </w:p>
        </w:tc>
      </w:tr>
      <w:tr w:rsidR="00461358" w:rsidRPr="0061490E" w:rsidTr="00461358">
        <w:trPr>
          <w:tblHeader/>
        </w:trPr>
        <w:tc>
          <w:tcPr>
            <w:tcW w:w="707" w:type="dxa"/>
            <w:tcBorders>
              <w:top w:val="nil"/>
              <w:left w:val="single" w:sz="4" w:space="0" w:color="auto"/>
              <w:bottom w:val="nil"/>
              <w:right w:val="single" w:sz="4" w:space="0" w:color="auto"/>
            </w:tcBorders>
            <w:hideMark/>
          </w:tcPr>
          <w:p w:rsidR="00461358" w:rsidRPr="00F77964" w:rsidRDefault="00461358" w:rsidP="006E2836">
            <w:pPr>
              <w:pStyle w:val="Normal-pool"/>
              <w:spacing w:before="40" w:after="40"/>
              <w:rPr>
                <w:rFonts w:eastAsia="SimSun"/>
                <w:sz w:val="18"/>
                <w:szCs w:val="18"/>
                <w:lang w:eastAsia="zh-CN"/>
              </w:rPr>
            </w:pPr>
          </w:p>
        </w:tc>
        <w:tc>
          <w:tcPr>
            <w:tcW w:w="3341" w:type="dxa"/>
            <w:vMerge w:val="restart"/>
            <w:tcBorders>
              <w:top w:val="single" w:sz="4" w:space="0" w:color="auto"/>
              <w:left w:val="single" w:sz="4" w:space="0" w:color="auto"/>
              <w:right w:val="single" w:sz="4" w:space="0" w:color="auto"/>
            </w:tcBorders>
            <w:hideMark/>
          </w:tcPr>
          <w:p w:rsidR="00461358" w:rsidRPr="00F77964" w:rsidRDefault="00461358" w:rsidP="006E2836">
            <w:pPr>
              <w:pStyle w:val="Normal-pool"/>
              <w:spacing w:before="40" w:after="40"/>
              <w:rPr>
                <w:rFonts w:eastAsia="SimSun"/>
                <w:sz w:val="18"/>
                <w:szCs w:val="18"/>
                <w:lang w:eastAsia="zh-CN"/>
              </w:rPr>
            </w:pPr>
            <w:r w:rsidRPr="00F77964">
              <w:rPr>
                <w:rFonts w:eastAsia="SimSun"/>
                <w:sz w:val="18"/>
                <w:szCs w:val="18"/>
                <w:lang w:eastAsia="zh-CN"/>
              </w:rPr>
              <w:t>Deuxième réunion des auteurs (80 coprésidents, auteurs coordonnateurs principaux et auteurs principaux</w:t>
            </w:r>
            <w:r>
              <w:rPr>
                <w:rFonts w:eastAsia="SimSun"/>
                <w:sz w:val="18"/>
                <w:szCs w:val="18"/>
                <w:lang w:eastAsia="zh-CN"/>
              </w:rPr>
              <w:t xml:space="preserve"> + </w:t>
            </w:r>
            <w:r w:rsidRPr="00F77964">
              <w:rPr>
                <w:rFonts w:eastAsia="SimSun"/>
                <w:sz w:val="18"/>
                <w:szCs w:val="18"/>
                <w:lang w:eastAsia="zh-CN"/>
              </w:rPr>
              <w:t>4 membres du Groupe d’experts multidisciplinaire/Bureau</w:t>
            </w:r>
            <w:r>
              <w:rPr>
                <w:rFonts w:eastAsia="SimSun"/>
                <w:sz w:val="18"/>
                <w:szCs w:val="18"/>
                <w:lang w:eastAsia="zh-CN"/>
              </w:rPr>
              <w:t xml:space="preserve"> + </w:t>
            </w:r>
            <w:r w:rsidRPr="00F77964">
              <w:rPr>
                <w:rFonts w:eastAsia="SimSun"/>
                <w:sz w:val="18"/>
                <w:szCs w:val="18"/>
                <w:lang w:eastAsia="zh-CN"/>
              </w:rPr>
              <w:t>1 agent des services d’appui technique)</w:t>
            </w:r>
          </w:p>
        </w:tc>
        <w:tc>
          <w:tcPr>
            <w:tcW w:w="3010" w:type="dxa"/>
            <w:tcBorders>
              <w:top w:val="single" w:sz="4" w:space="0" w:color="auto"/>
              <w:left w:val="single" w:sz="4" w:space="0" w:color="auto"/>
              <w:bottom w:val="single" w:sz="4" w:space="0" w:color="auto"/>
              <w:right w:val="single" w:sz="4" w:space="0" w:color="auto"/>
            </w:tcBorders>
            <w:hideMark/>
          </w:tcPr>
          <w:p w:rsidR="00461358" w:rsidRPr="00F77964" w:rsidRDefault="00461358" w:rsidP="0022142B">
            <w:pPr>
              <w:pStyle w:val="Normal-pool"/>
              <w:spacing w:before="40" w:after="40"/>
              <w:rPr>
                <w:rFonts w:eastAsia="SimSun"/>
                <w:sz w:val="18"/>
                <w:szCs w:val="18"/>
                <w:lang w:eastAsia="zh-CN"/>
              </w:rPr>
            </w:pPr>
            <w:r w:rsidRPr="00F77964">
              <w:rPr>
                <w:rFonts w:eastAsia="SimSun"/>
                <w:sz w:val="18"/>
                <w:szCs w:val="18"/>
                <w:lang w:eastAsia="zh-CN"/>
              </w:rPr>
              <w:t>Coûts de la réunion (1 semaine, 85 participants) (25 % en nature)</w:t>
            </w:r>
          </w:p>
        </w:tc>
        <w:tc>
          <w:tcPr>
            <w:tcW w:w="936" w:type="dxa"/>
            <w:tcBorders>
              <w:top w:val="single" w:sz="4" w:space="0" w:color="auto"/>
              <w:left w:val="single" w:sz="4" w:space="0" w:color="auto"/>
              <w:bottom w:val="single" w:sz="4" w:space="0" w:color="auto"/>
              <w:right w:val="single" w:sz="4" w:space="0" w:color="auto"/>
            </w:tcBorders>
            <w:hideMark/>
          </w:tcPr>
          <w:p w:rsidR="00461358" w:rsidRPr="00F77964" w:rsidRDefault="00461358" w:rsidP="006E2836">
            <w:pPr>
              <w:pStyle w:val="Normal-pool"/>
              <w:spacing w:before="40" w:after="40"/>
              <w:jc w:val="right"/>
              <w:rPr>
                <w:rFonts w:eastAsia="SimSun"/>
                <w:sz w:val="18"/>
                <w:szCs w:val="18"/>
                <w:lang w:eastAsia="zh-CN"/>
              </w:rPr>
            </w:pPr>
            <w:r w:rsidRPr="00F77964">
              <w:rPr>
                <w:rFonts w:eastAsia="SimSun"/>
                <w:sz w:val="18"/>
                <w:szCs w:val="18"/>
                <w:lang w:eastAsia="zh-CN"/>
              </w:rPr>
              <w:t>15 000</w:t>
            </w:r>
          </w:p>
        </w:tc>
      </w:tr>
      <w:tr w:rsidR="00461358" w:rsidRPr="0061490E" w:rsidTr="00461358">
        <w:trPr>
          <w:tblHeader/>
        </w:trPr>
        <w:tc>
          <w:tcPr>
            <w:tcW w:w="707" w:type="dxa"/>
            <w:tcBorders>
              <w:top w:val="nil"/>
              <w:left w:val="single" w:sz="4" w:space="0" w:color="auto"/>
              <w:bottom w:val="nil"/>
              <w:right w:val="single" w:sz="4" w:space="0" w:color="auto"/>
            </w:tcBorders>
            <w:hideMark/>
          </w:tcPr>
          <w:p w:rsidR="00461358" w:rsidRPr="00F77964" w:rsidRDefault="00461358" w:rsidP="006E2836">
            <w:pPr>
              <w:pStyle w:val="Normal-pool"/>
              <w:spacing w:before="40" w:after="40"/>
              <w:rPr>
                <w:rFonts w:eastAsia="SimSun"/>
                <w:sz w:val="18"/>
                <w:szCs w:val="18"/>
                <w:lang w:eastAsia="zh-CN"/>
              </w:rPr>
            </w:pPr>
          </w:p>
        </w:tc>
        <w:tc>
          <w:tcPr>
            <w:tcW w:w="3341" w:type="dxa"/>
            <w:vMerge/>
            <w:tcBorders>
              <w:left w:val="single" w:sz="4" w:space="0" w:color="auto"/>
              <w:bottom w:val="single" w:sz="4" w:space="0" w:color="auto"/>
              <w:right w:val="single" w:sz="4" w:space="0" w:color="auto"/>
            </w:tcBorders>
            <w:hideMark/>
          </w:tcPr>
          <w:p w:rsidR="00461358" w:rsidRPr="00F77964" w:rsidRDefault="00461358" w:rsidP="006E2836">
            <w:pPr>
              <w:pStyle w:val="Normal-pool"/>
              <w:spacing w:before="40" w:after="40"/>
              <w:rPr>
                <w:rFonts w:eastAsia="SimSun"/>
                <w:sz w:val="18"/>
                <w:szCs w:val="18"/>
                <w:lang w:eastAsia="zh-CN"/>
              </w:rPr>
            </w:pPr>
          </w:p>
        </w:tc>
        <w:tc>
          <w:tcPr>
            <w:tcW w:w="3010" w:type="dxa"/>
            <w:tcBorders>
              <w:top w:val="single" w:sz="4" w:space="0" w:color="auto"/>
              <w:left w:val="single" w:sz="4" w:space="0" w:color="auto"/>
              <w:bottom w:val="single" w:sz="4" w:space="0" w:color="auto"/>
              <w:right w:val="single" w:sz="4" w:space="0" w:color="auto"/>
            </w:tcBorders>
            <w:hideMark/>
          </w:tcPr>
          <w:p w:rsidR="00461358" w:rsidRPr="00F77964" w:rsidRDefault="00461358" w:rsidP="0022142B">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Pr="00F77964">
              <w:rPr>
                <w:rFonts w:eastAsia="SimSun"/>
                <w:sz w:val="18"/>
                <w:szCs w:val="18"/>
                <w:lang w:eastAsia="zh-CN"/>
              </w:rPr>
              <w:t xml:space="preserve"> (64 x 3 000 dollars)</w:t>
            </w:r>
          </w:p>
        </w:tc>
        <w:tc>
          <w:tcPr>
            <w:tcW w:w="936" w:type="dxa"/>
            <w:tcBorders>
              <w:top w:val="single" w:sz="4" w:space="0" w:color="auto"/>
              <w:left w:val="single" w:sz="4" w:space="0" w:color="auto"/>
              <w:bottom w:val="single" w:sz="4" w:space="0" w:color="auto"/>
              <w:right w:val="single" w:sz="4" w:space="0" w:color="auto"/>
            </w:tcBorders>
            <w:hideMark/>
          </w:tcPr>
          <w:p w:rsidR="00461358" w:rsidRPr="00F77964" w:rsidRDefault="00461358" w:rsidP="0022142B">
            <w:pPr>
              <w:pStyle w:val="Normal-pool"/>
              <w:spacing w:before="40" w:after="40"/>
              <w:jc w:val="right"/>
              <w:rPr>
                <w:rFonts w:eastAsia="SimSun"/>
                <w:sz w:val="18"/>
                <w:szCs w:val="18"/>
                <w:lang w:eastAsia="zh-CN"/>
              </w:rPr>
            </w:pPr>
            <w:r w:rsidRPr="00F77964">
              <w:rPr>
                <w:rFonts w:eastAsia="SimSun"/>
                <w:sz w:val="18"/>
                <w:szCs w:val="18"/>
                <w:lang w:eastAsia="zh-CN"/>
              </w:rPr>
              <w:t>192 000</w:t>
            </w:r>
          </w:p>
        </w:tc>
      </w:tr>
      <w:tr w:rsidR="00461358" w:rsidRPr="0061490E" w:rsidTr="00461358">
        <w:trPr>
          <w:tblHeader/>
        </w:trPr>
        <w:tc>
          <w:tcPr>
            <w:tcW w:w="707" w:type="dxa"/>
            <w:tcBorders>
              <w:top w:val="nil"/>
              <w:left w:val="single" w:sz="4" w:space="0" w:color="auto"/>
              <w:bottom w:val="nil"/>
              <w:right w:val="single" w:sz="4" w:space="0" w:color="auto"/>
            </w:tcBorders>
            <w:hideMark/>
          </w:tcPr>
          <w:p w:rsidR="00461358" w:rsidRPr="00F77964" w:rsidRDefault="00461358" w:rsidP="006E2836">
            <w:pPr>
              <w:pStyle w:val="Normal-pool"/>
              <w:spacing w:before="40" w:after="40"/>
              <w:rPr>
                <w:rFonts w:eastAsia="SimSun"/>
                <w:sz w:val="18"/>
                <w:szCs w:val="18"/>
                <w:lang w:eastAsia="zh-CN"/>
              </w:rPr>
            </w:pPr>
          </w:p>
        </w:tc>
        <w:tc>
          <w:tcPr>
            <w:tcW w:w="3341" w:type="dxa"/>
            <w:vMerge w:val="restart"/>
            <w:tcBorders>
              <w:top w:val="single" w:sz="4" w:space="0" w:color="auto"/>
              <w:left w:val="single" w:sz="4" w:space="0" w:color="auto"/>
              <w:right w:val="single" w:sz="4" w:space="0" w:color="auto"/>
            </w:tcBorders>
            <w:hideMark/>
          </w:tcPr>
          <w:p w:rsidR="00461358" w:rsidRPr="00F77964" w:rsidRDefault="00461358" w:rsidP="0022142B">
            <w:pPr>
              <w:pStyle w:val="Normal-pool"/>
              <w:spacing w:before="40" w:after="40"/>
              <w:rPr>
                <w:rFonts w:eastAsia="SimSun"/>
                <w:sz w:val="18"/>
                <w:szCs w:val="18"/>
                <w:lang w:eastAsia="zh-CN"/>
              </w:rPr>
            </w:pPr>
            <w:r w:rsidRPr="00F77964">
              <w:rPr>
                <w:rFonts w:eastAsia="SimSun"/>
                <w:sz w:val="18"/>
                <w:szCs w:val="18"/>
                <w:lang w:eastAsia="zh-CN"/>
              </w:rPr>
              <w:t>Troisième réunion des auteurs (80 coprésidents, auteurs coordonnateurs principaux et auteurs principaux</w:t>
            </w:r>
            <w:r>
              <w:rPr>
                <w:rFonts w:eastAsia="SimSun"/>
                <w:sz w:val="18"/>
                <w:szCs w:val="18"/>
                <w:lang w:eastAsia="zh-CN"/>
              </w:rPr>
              <w:t xml:space="preserve"> + </w:t>
            </w:r>
            <w:r w:rsidRPr="00F77964">
              <w:rPr>
                <w:rFonts w:eastAsia="SimSun"/>
                <w:sz w:val="18"/>
                <w:szCs w:val="18"/>
                <w:lang w:eastAsia="zh-CN"/>
              </w:rPr>
              <w:t>18 éditeurs-réviseurs</w:t>
            </w:r>
            <w:r>
              <w:rPr>
                <w:rFonts w:eastAsia="SimSun"/>
                <w:sz w:val="18"/>
                <w:szCs w:val="18"/>
                <w:lang w:eastAsia="zh-CN"/>
              </w:rPr>
              <w:t xml:space="preserve"> + </w:t>
            </w:r>
            <w:r w:rsidRPr="00F77964">
              <w:rPr>
                <w:rFonts w:eastAsia="SimSun"/>
                <w:sz w:val="18"/>
                <w:szCs w:val="18"/>
                <w:lang w:eastAsia="zh-CN"/>
              </w:rPr>
              <w:t>4 membres du Groupe d’experts multidisciplinaire/Bureau</w:t>
            </w:r>
            <w:r>
              <w:rPr>
                <w:rFonts w:eastAsia="SimSun"/>
                <w:sz w:val="18"/>
                <w:szCs w:val="18"/>
                <w:lang w:eastAsia="zh-CN"/>
              </w:rPr>
              <w:t xml:space="preserve"> + </w:t>
            </w:r>
            <w:r w:rsidRPr="00F77964">
              <w:rPr>
                <w:rFonts w:eastAsia="SimSun"/>
                <w:sz w:val="18"/>
                <w:szCs w:val="18"/>
                <w:lang w:eastAsia="zh-CN"/>
              </w:rPr>
              <w:t>1 agent des services d’appui technique)</w:t>
            </w:r>
          </w:p>
        </w:tc>
        <w:tc>
          <w:tcPr>
            <w:tcW w:w="3010" w:type="dxa"/>
            <w:tcBorders>
              <w:top w:val="single" w:sz="4" w:space="0" w:color="auto"/>
              <w:left w:val="single" w:sz="4" w:space="0" w:color="auto"/>
              <w:bottom w:val="single" w:sz="4" w:space="0" w:color="auto"/>
              <w:right w:val="single" w:sz="4" w:space="0" w:color="auto"/>
            </w:tcBorders>
            <w:hideMark/>
          </w:tcPr>
          <w:p w:rsidR="00461358" w:rsidRPr="00F77964" w:rsidRDefault="00461358" w:rsidP="0022142B">
            <w:pPr>
              <w:pStyle w:val="Normal-pool"/>
              <w:spacing w:before="40" w:after="40"/>
              <w:rPr>
                <w:rFonts w:eastAsia="SimSun"/>
                <w:sz w:val="18"/>
                <w:szCs w:val="18"/>
                <w:lang w:eastAsia="zh-CN"/>
              </w:rPr>
            </w:pPr>
            <w:r w:rsidRPr="00F77964">
              <w:rPr>
                <w:rFonts w:eastAsia="SimSun"/>
                <w:sz w:val="18"/>
                <w:szCs w:val="18"/>
                <w:lang w:eastAsia="zh-CN"/>
              </w:rPr>
              <w:t xml:space="preserve">Coûts de la réunion (1 semaine, </w:t>
            </w:r>
            <w:r>
              <w:rPr>
                <w:rFonts w:eastAsia="SimSun"/>
                <w:sz w:val="18"/>
                <w:szCs w:val="18"/>
                <w:lang w:eastAsia="zh-CN"/>
              </w:rPr>
              <w:t>103</w:t>
            </w:r>
            <w:r w:rsidRPr="00F77964">
              <w:rPr>
                <w:rFonts w:eastAsia="SimSun"/>
                <w:sz w:val="18"/>
                <w:szCs w:val="18"/>
                <w:lang w:eastAsia="zh-CN"/>
              </w:rPr>
              <w:t> participants) (25 % en nature)</w:t>
            </w:r>
          </w:p>
        </w:tc>
        <w:tc>
          <w:tcPr>
            <w:tcW w:w="936" w:type="dxa"/>
            <w:tcBorders>
              <w:top w:val="single" w:sz="4" w:space="0" w:color="auto"/>
              <w:left w:val="single" w:sz="4" w:space="0" w:color="auto"/>
              <w:bottom w:val="single" w:sz="4" w:space="0" w:color="auto"/>
              <w:right w:val="single" w:sz="4" w:space="0" w:color="auto"/>
            </w:tcBorders>
            <w:hideMark/>
          </w:tcPr>
          <w:p w:rsidR="00461358" w:rsidRPr="00F77964" w:rsidRDefault="00461358" w:rsidP="006E2836">
            <w:pPr>
              <w:pStyle w:val="Normal-pool"/>
              <w:spacing w:before="40" w:after="40"/>
              <w:jc w:val="right"/>
              <w:rPr>
                <w:rFonts w:eastAsia="SimSun"/>
                <w:sz w:val="18"/>
                <w:szCs w:val="18"/>
                <w:lang w:eastAsia="zh-CN"/>
              </w:rPr>
            </w:pPr>
            <w:r w:rsidRPr="00F77964">
              <w:rPr>
                <w:rFonts w:eastAsia="SimSun"/>
                <w:sz w:val="18"/>
                <w:szCs w:val="18"/>
                <w:lang w:eastAsia="zh-CN"/>
              </w:rPr>
              <w:t>18 750</w:t>
            </w:r>
          </w:p>
        </w:tc>
      </w:tr>
      <w:tr w:rsidR="00461358" w:rsidRPr="0061490E" w:rsidTr="00461358">
        <w:trPr>
          <w:tblHeader/>
        </w:trPr>
        <w:tc>
          <w:tcPr>
            <w:tcW w:w="707" w:type="dxa"/>
            <w:tcBorders>
              <w:top w:val="nil"/>
              <w:left w:val="single" w:sz="4" w:space="0" w:color="auto"/>
              <w:bottom w:val="nil"/>
              <w:right w:val="single" w:sz="4" w:space="0" w:color="auto"/>
            </w:tcBorders>
            <w:hideMark/>
          </w:tcPr>
          <w:p w:rsidR="00461358" w:rsidRPr="00F77964" w:rsidRDefault="00461358" w:rsidP="006E2836">
            <w:pPr>
              <w:pStyle w:val="Normal-pool"/>
              <w:spacing w:before="40" w:after="40"/>
              <w:rPr>
                <w:rFonts w:eastAsia="SimSun"/>
                <w:sz w:val="18"/>
                <w:szCs w:val="18"/>
                <w:lang w:eastAsia="zh-CN"/>
              </w:rPr>
            </w:pPr>
          </w:p>
        </w:tc>
        <w:tc>
          <w:tcPr>
            <w:tcW w:w="3341" w:type="dxa"/>
            <w:vMerge/>
            <w:tcBorders>
              <w:left w:val="single" w:sz="4" w:space="0" w:color="auto"/>
              <w:bottom w:val="single" w:sz="4" w:space="0" w:color="auto"/>
              <w:right w:val="single" w:sz="4" w:space="0" w:color="auto"/>
            </w:tcBorders>
            <w:hideMark/>
          </w:tcPr>
          <w:p w:rsidR="00461358" w:rsidRPr="00F77964" w:rsidRDefault="00461358" w:rsidP="006E2836">
            <w:pPr>
              <w:pStyle w:val="Normal-pool"/>
              <w:spacing w:before="40" w:after="40"/>
              <w:rPr>
                <w:rFonts w:eastAsia="SimSun"/>
                <w:sz w:val="18"/>
                <w:szCs w:val="18"/>
                <w:lang w:eastAsia="zh-CN"/>
              </w:rPr>
            </w:pPr>
          </w:p>
        </w:tc>
        <w:tc>
          <w:tcPr>
            <w:tcW w:w="3010" w:type="dxa"/>
            <w:tcBorders>
              <w:top w:val="single" w:sz="4" w:space="0" w:color="auto"/>
              <w:left w:val="single" w:sz="4" w:space="0" w:color="auto"/>
              <w:bottom w:val="single" w:sz="4" w:space="0" w:color="auto"/>
              <w:right w:val="single" w:sz="4" w:space="0" w:color="auto"/>
            </w:tcBorders>
            <w:hideMark/>
          </w:tcPr>
          <w:p w:rsidR="00461358" w:rsidRPr="00F77964" w:rsidRDefault="00461358" w:rsidP="0022142B">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Pr="00F77964">
              <w:rPr>
                <w:rFonts w:eastAsia="SimSun"/>
                <w:sz w:val="18"/>
                <w:szCs w:val="18"/>
                <w:lang w:eastAsia="zh-CN"/>
              </w:rPr>
              <w:t xml:space="preserve"> (78 x 3 000 dollars)</w:t>
            </w:r>
          </w:p>
        </w:tc>
        <w:tc>
          <w:tcPr>
            <w:tcW w:w="936" w:type="dxa"/>
            <w:tcBorders>
              <w:top w:val="single" w:sz="4" w:space="0" w:color="auto"/>
              <w:left w:val="single" w:sz="4" w:space="0" w:color="auto"/>
              <w:bottom w:val="single" w:sz="4" w:space="0" w:color="auto"/>
              <w:right w:val="single" w:sz="4" w:space="0" w:color="auto"/>
            </w:tcBorders>
            <w:hideMark/>
          </w:tcPr>
          <w:p w:rsidR="00461358" w:rsidRPr="00F77964" w:rsidRDefault="00461358" w:rsidP="0022142B">
            <w:pPr>
              <w:pStyle w:val="Normal-pool"/>
              <w:spacing w:before="40" w:after="40"/>
              <w:jc w:val="right"/>
              <w:rPr>
                <w:rFonts w:eastAsia="SimSun"/>
                <w:sz w:val="18"/>
                <w:szCs w:val="18"/>
                <w:lang w:eastAsia="zh-CN"/>
              </w:rPr>
            </w:pPr>
            <w:r w:rsidRPr="00F77964">
              <w:rPr>
                <w:rFonts w:eastAsia="SimSun"/>
                <w:sz w:val="18"/>
                <w:szCs w:val="18"/>
                <w:lang w:eastAsia="zh-CN"/>
              </w:rPr>
              <w:t>234 000</w:t>
            </w:r>
          </w:p>
        </w:tc>
      </w:tr>
      <w:tr w:rsidR="006E2836" w:rsidRPr="0061490E" w:rsidTr="00461358">
        <w:trPr>
          <w:tblHeader/>
        </w:trPr>
        <w:tc>
          <w:tcPr>
            <w:tcW w:w="707" w:type="dxa"/>
            <w:tcBorders>
              <w:top w:val="nil"/>
              <w:left w:val="single" w:sz="4" w:space="0" w:color="auto"/>
              <w:bottom w:val="single" w:sz="4" w:space="0" w:color="auto"/>
              <w:right w:val="single" w:sz="4" w:space="0" w:color="auto"/>
            </w:tcBorders>
            <w:hideMark/>
          </w:tcPr>
          <w:p w:rsidR="006E2836" w:rsidRPr="00F77964" w:rsidRDefault="006E2836" w:rsidP="006E2836">
            <w:pPr>
              <w:pStyle w:val="Normal-pool"/>
              <w:spacing w:before="40" w:after="40"/>
              <w:rPr>
                <w:rFonts w:eastAsia="SimSun"/>
                <w:sz w:val="18"/>
                <w:szCs w:val="18"/>
                <w:lang w:eastAsia="zh-CN"/>
              </w:rPr>
            </w:pPr>
          </w:p>
        </w:tc>
        <w:tc>
          <w:tcPr>
            <w:tcW w:w="3341" w:type="dxa"/>
            <w:tcBorders>
              <w:top w:val="single" w:sz="4" w:space="0" w:color="auto"/>
              <w:left w:val="single" w:sz="4" w:space="0" w:color="auto"/>
              <w:bottom w:val="single" w:sz="4" w:space="0" w:color="auto"/>
              <w:right w:val="single" w:sz="4" w:space="0" w:color="auto"/>
            </w:tcBorders>
            <w:hideMark/>
          </w:tcPr>
          <w:p w:rsidR="006E2836" w:rsidRPr="00F77964" w:rsidRDefault="006E2836" w:rsidP="006E2836">
            <w:pPr>
              <w:pStyle w:val="Normal-pool"/>
              <w:spacing w:before="40" w:after="40"/>
              <w:rPr>
                <w:rFonts w:eastAsia="SimSun"/>
                <w:sz w:val="18"/>
                <w:szCs w:val="18"/>
                <w:lang w:eastAsia="zh-CN"/>
              </w:rPr>
            </w:pPr>
            <w:r w:rsidRPr="00F77964">
              <w:rPr>
                <w:rFonts w:eastAsia="SimSun"/>
                <w:sz w:val="18"/>
                <w:szCs w:val="18"/>
                <w:lang w:eastAsia="zh-CN"/>
              </w:rPr>
              <w:t>Appui technique</w:t>
            </w:r>
          </w:p>
        </w:tc>
        <w:tc>
          <w:tcPr>
            <w:tcW w:w="3010" w:type="dxa"/>
            <w:tcBorders>
              <w:top w:val="single" w:sz="4" w:space="0" w:color="auto"/>
              <w:left w:val="single" w:sz="4" w:space="0" w:color="auto"/>
              <w:bottom w:val="single" w:sz="4" w:space="0" w:color="auto"/>
              <w:right w:val="single" w:sz="4" w:space="0" w:color="auto"/>
            </w:tcBorders>
            <w:hideMark/>
          </w:tcPr>
          <w:p w:rsidR="006E2836" w:rsidRPr="00F77964" w:rsidRDefault="006E2836" w:rsidP="006E2836">
            <w:pPr>
              <w:pStyle w:val="Normal-pool"/>
              <w:spacing w:before="40" w:after="40"/>
              <w:rPr>
                <w:rFonts w:eastAsia="SimSun"/>
                <w:sz w:val="18"/>
                <w:szCs w:val="18"/>
                <w:lang w:eastAsia="zh-CN"/>
              </w:rPr>
            </w:pPr>
            <w:r w:rsidRPr="00F77964">
              <w:rPr>
                <w:rFonts w:eastAsia="SimSun"/>
                <w:sz w:val="18"/>
                <w:szCs w:val="18"/>
                <w:lang w:eastAsia="zh-CN"/>
              </w:rPr>
              <w:t>1 poste d’administrateur équivalent plein temps (50 % en nature)</w:t>
            </w:r>
          </w:p>
        </w:tc>
        <w:tc>
          <w:tcPr>
            <w:tcW w:w="936" w:type="dxa"/>
            <w:tcBorders>
              <w:top w:val="single" w:sz="4" w:space="0" w:color="auto"/>
              <w:left w:val="single" w:sz="4" w:space="0" w:color="auto"/>
              <w:bottom w:val="single" w:sz="4" w:space="0" w:color="auto"/>
              <w:right w:val="single" w:sz="4" w:space="0" w:color="auto"/>
            </w:tcBorders>
            <w:hideMark/>
          </w:tcPr>
          <w:p w:rsidR="006E2836" w:rsidRPr="00F77964" w:rsidRDefault="006E2836" w:rsidP="006E2836">
            <w:pPr>
              <w:pStyle w:val="Normal-pool"/>
              <w:spacing w:before="40" w:after="40"/>
              <w:jc w:val="right"/>
              <w:rPr>
                <w:rFonts w:eastAsia="SimSun"/>
                <w:sz w:val="18"/>
                <w:szCs w:val="18"/>
                <w:lang w:eastAsia="zh-CN"/>
              </w:rPr>
            </w:pPr>
            <w:r w:rsidRPr="00F77964">
              <w:rPr>
                <w:rFonts w:eastAsia="SimSun"/>
                <w:sz w:val="18"/>
                <w:szCs w:val="18"/>
                <w:lang w:eastAsia="zh-CN"/>
              </w:rPr>
              <w:t>75 000</w:t>
            </w:r>
          </w:p>
        </w:tc>
      </w:tr>
      <w:tr w:rsidR="006E2836" w:rsidRPr="0061490E" w:rsidTr="00461358">
        <w:trPr>
          <w:tblHeader/>
        </w:trPr>
        <w:tc>
          <w:tcPr>
            <w:tcW w:w="707" w:type="dxa"/>
            <w:tcBorders>
              <w:top w:val="single" w:sz="4" w:space="0" w:color="auto"/>
              <w:left w:val="single" w:sz="4" w:space="0" w:color="auto"/>
              <w:bottom w:val="nil"/>
              <w:right w:val="single" w:sz="4" w:space="0" w:color="auto"/>
            </w:tcBorders>
            <w:hideMark/>
          </w:tcPr>
          <w:p w:rsidR="006E2836" w:rsidRPr="00F77964" w:rsidRDefault="006E2836" w:rsidP="006E2836">
            <w:pPr>
              <w:pStyle w:val="Normal-pool"/>
              <w:spacing w:before="40" w:after="40"/>
              <w:rPr>
                <w:rFonts w:eastAsia="SimSun"/>
                <w:sz w:val="18"/>
                <w:szCs w:val="18"/>
                <w:lang w:eastAsia="zh-CN"/>
              </w:rPr>
            </w:pPr>
            <w:r w:rsidRPr="00F77964">
              <w:rPr>
                <w:rFonts w:eastAsia="SimSun"/>
                <w:sz w:val="18"/>
                <w:szCs w:val="18"/>
                <w:lang w:eastAsia="zh-CN"/>
              </w:rPr>
              <w:t>2015</w:t>
            </w:r>
          </w:p>
        </w:tc>
        <w:tc>
          <w:tcPr>
            <w:tcW w:w="3341" w:type="dxa"/>
            <w:tcBorders>
              <w:top w:val="single" w:sz="4" w:space="0" w:color="auto"/>
              <w:left w:val="single" w:sz="4" w:space="0" w:color="auto"/>
              <w:bottom w:val="single" w:sz="4" w:space="0" w:color="auto"/>
              <w:right w:val="single" w:sz="4" w:space="0" w:color="auto"/>
            </w:tcBorders>
            <w:hideMark/>
          </w:tcPr>
          <w:p w:rsidR="006E2836" w:rsidRPr="00F77964" w:rsidRDefault="006E2836" w:rsidP="00461358">
            <w:pPr>
              <w:pStyle w:val="Normal-pool"/>
              <w:spacing w:before="40" w:after="40"/>
              <w:rPr>
                <w:rFonts w:eastAsia="SimSun"/>
                <w:sz w:val="18"/>
                <w:szCs w:val="18"/>
                <w:lang w:eastAsia="zh-CN"/>
              </w:rPr>
            </w:pPr>
            <w:r w:rsidRPr="00F77964">
              <w:rPr>
                <w:rFonts w:eastAsia="SimSun"/>
                <w:sz w:val="18"/>
                <w:szCs w:val="18"/>
                <w:lang w:eastAsia="zh-CN"/>
              </w:rPr>
              <w:t>Participation de 2 </w:t>
            </w:r>
            <w:r w:rsidR="006E337B">
              <w:rPr>
                <w:rFonts w:eastAsia="SimSun"/>
                <w:sz w:val="18"/>
                <w:szCs w:val="18"/>
                <w:lang w:eastAsia="zh-CN"/>
              </w:rPr>
              <w:t>coprésidents</w:t>
            </w:r>
            <w:r w:rsidRPr="00F77964">
              <w:rPr>
                <w:rFonts w:eastAsia="SimSun"/>
                <w:sz w:val="18"/>
                <w:szCs w:val="18"/>
                <w:lang w:eastAsia="zh-CN"/>
              </w:rPr>
              <w:t xml:space="preserve"> et de 2 auteurs coordonnateurs principaux</w:t>
            </w:r>
            <w:r w:rsidR="00461358" w:rsidRPr="00F77964">
              <w:rPr>
                <w:rFonts w:eastAsia="SimSun"/>
                <w:sz w:val="18"/>
                <w:szCs w:val="18"/>
                <w:lang w:eastAsia="zh-CN"/>
              </w:rPr>
              <w:t xml:space="preserve"> à la troisième session de la Plénière</w:t>
            </w:r>
          </w:p>
        </w:tc>
        <w:tc>
          <w:tcPr>
            <w:tcW w:w="3010" w:type="dxa"/>
            <w:tcBorders>
              <w:top w:val="single" w:sz="4" w:space="0" w:color="auto"/>
              <w:left w:val="single" w:sz="4" w:space="0" w:color="auto"/>
              <w:bottom w:val="single" w:sz="4" w:space="0" w:color="auto"/>
              <w:right w:val="single" w:sz="4" w:space="0" w:color="auto"/>
            </w:tcBorders>
            <w:hideMark/>
          </w:tcPr>
          <w:p w:rsidR="006E2836" w:rsidRPr="00F77964" w:rsidRDefault="00D972E8" w:rsidP="006E2836">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006E2836" w:rsidRPr="00F77964">
              <w:rPr>
                <w:rFonts w:eastAsia="SimSun"/>
                <w:sz w:val="18"/>
                <w:szCs w:val="18"/>
                <w:lang w:eastAsia="zh-CN"/>
              </w:rPr>
              <w:t xml:space="preserve"> (3 x 3 000 dollars)</w:t>
            </w:r>
          </w:p>
        </w:tc>
        <w:tc>
          <w:tcPr>
            <w:tcW w:w="936" w:type="dxa"/>
            <w:tcBorders>
              <w:top w:val="single" w:sz="4" w:space="0" w:color="auto"/>
              <w:left w:val="single" w:sz="4" w:space="0" w:color="auto"/>
              <w:bottom w:val="single" w:sz="4" w:space="0" w:color="auto"/>
              <w:right w:val="single" w:sz="4" w:space="0" w:color="auto"/>
            </w:tcBorders>
            <w:hideMark/>
          </w:tcPr>
          <w:p w:rsidR="006E2836" w:rsidRPr="00F77964" w:rsidRDefault="006E2836" w:rsidP="006E2836">
            <w:pPr>
              <w:pStyle w:val="Normal-pool"/>
              <w:spacing w:before="40" w:after="40"/>
              <w:jc w:val="right"/>
              <w:rPr>
                <w:rFonts w:eastAsia="SimSun"/>
                <w:sz w:val="18"/>
                <w:szCs w:val="18"/>
                <w:lang w:eastAsia="zh-CN"/>
              </w:rPr>
            </w:pPr>
            <w:r w:rsidRPr="00F77964">
              <w:rPr>
                <w:rFonts w:eastAsia="SimSun"/>
                <w:sz w:val="18"/>
                <w:szCs w:val="18"/>
                <w:lang w:eastAsia="zh-CN"/>
              </w:rPr>
              <w:t>9 000</w:t>
            </w:r>
          </w:p>
        </w:tc>
      </w:tr>
      <w:tr w:rsidR="006E2836" w:rsidRPr="0061490E" w:rsidTr="00461358">
        <w:trPr>
          <w:tblHeader/>
        </w:trPr>
        <w:tc>
          <w:tcPr>
            <w:tcW w:w="707" w:type="dxa"/>
            <w:tcBorders>
              <w:top w:val="nil"/>
              <w:left w:val="single" w:sz="4" w:space="0" w:color="auto"/>
              <w:bottom w:val="nil"/>
              <w:right w:val="single" w:sz="4" w:space="0" w:color="auto"/>
            </w:tcBorders>
            <w:hideMark/>
          </w:tcPr>
          <w:p w:rsidR="006E2836" w:rsidRPr="00F77964" w:rsidRDefault="006E2836" w:rsidP="006E2836">
            <w:pPr>
              <w:pStyle w:val="Normal-pool"/>
              <w:spacing w:before="40" w:after="40"/>
              <w:rPr>
                <w:rFonts w:eastAsia="SimSun"/>
                <w:sz w:val="18"/>
                <w:szCs w:val="18"/>
                <w:lang w:eastAsia="zh-CN"/>
              </w:rPr>
            </w:pPr>
          </w:p>
        </w:tc>
        <w:tc>
          <w:tcPr>
            <w:tcW w:w="3341" w:type="dxa"/>
            <w:tcBorders>
              <w:top w:val="single" w:sz="4" w:space="0" w:color="auto"/>
              <w:left w:val="single" w:sz="4" w:space="0" w:color="auto"/>
              <w:bottom w:val="single" w:sz="4" w:space="0" w:color="auto"/>
              <w:right w:val="single" w:sz="4" w:space="0" w:color="auto"/>
            </w:tcBorders>
            <w:hideMark/>
          </w:tcPr>
          <w:p w:rsidR="006E2836" w:rsidRPr="00F77964" w:rsidRDefault="006E2836" w:rsidP="006E2836">
            <w:pPr>
              <w:pStyle w:val="Normal-pool"/>
              <w:spacing w:before="40" w:after="40"/>
              <w:rPr>
                <w:rFonts w:eastAsia="SimSun"/>
                <w:sz w:val="18"/>
                <w:szCs w:val="18"/>
                <w:lang w:eastAsia="zh-CN"/>
              </w:rPr>
            </w:pPr>
            <w:r w:rsidRPr="00F77964">
              <w:rPr>
                <w:rFonts w:eastAsia="SimSun"/>
                <w:sz w:val="18"/>
                <w:szCs w:val="18"/>
                <w:lang w:eastAsia="zh-CN"/>
              </w:rPr>
              <w:t xml:space="preserve">Diffusion </w:t>
            </w:r>
            <w:r w:rsidR="00F23269">
              <w:rPr>
                <w:rFonts w:eastAsia="SimSun"/>
                <w:sz w:val="18"/>
                <w:szCs w:val="18"/>
                <w:lang w:eastAsia="zh-CN"/>
              </w:rPr>
              <w:t xml:space="preserve">(résumé à l’intention des décideurs (10 pages) et rapport 200 pages)) et animation </w:t>
            </w:r>
          </w:p>
        </w:tc>
        <w:tc>
          <w:tcPr>
            <w:tcW w:w="3010" w:type="dxa"/>
            <w:tcBorders>
              <w:top w:val="single" w:sz="4" w:space="0" w:color="auto"/>
              <w:left w:val="single" w:sz="4" w:space="0" w:color="auto"/>
              <w:bottom w:val="single" w:sz="4" w:space="0" w:color="auto"/>
              <w:right w:val="single" w:sz="4" w:space="0" w:color="auto"/>
            </w:tcBorders>
            <w:hideMark/>
          </w:tcPr>
          <w:p w:rsidR="006E2836" w:rsidRPr="00F77964" w:rsidRDefault="006E2836" w:rsidP="006E2836">
            <w:pPr>
              <w:pStyle w:val="Normal-pool"/>
              <w:spacing w:before="40" w:after="40"/>
              <w:rPr>
                <w:rFonts w:eastAsia="SimSun"/>
                <w:sz w:val="18"/>
                <w:szCs w:val="18"/>
                <w:lang w:eastAsia="zh-CN"/>
              </w:rPr>
            </w:pPr>
            <w:r w:rsidRPr="00F77964">
              <w:rPr>
                <w:rFonts w:eastAsia="SimSun"/>
                <w:sz w:val="18"/>
                <w:szCs w:val="18"/>
                <w:lang w:eastAsia="zh-CN"/>
              </w:rPr>
              <w:t xml:space="preserve">Traduction du résumé à l’intention des décideurs dans toutes les langues officielles de l’ONU, publication, </w:t>
            </w:r>
            <w:r w:rsidR="00F23269">
              <w:rPr>
                <w:rFonts w:eastAsia="SimSun"/>
                <w:sz w:val="18"/>
                <w:szCs w:val="18"/>
                <w:lang w:eastAsia="zh-CN"/>
              </w:rPr>
              <w:t>animation</w:t>
            </w:r>
          </w:p>
        </w:tc>
        <w:tc>
          <w:tcPr>
            <w:tcW w:w="936" w:type="dxa"/>
            <w:tcBorders>
              <w:top w:val="single" w:sz="4" w:space="0" w:color="auto"/>
              <w:left w:val="single" w:sz="4" w:space="0" w:color="auto"/>
              <w:bottom w:val="single" w:sz="4" w:space="0" w:color="auto"/>
              <w:right w:val="single" w:sz="4" w:space="0" w:color="auto"/>
            </w:tcBorders>
            <w:hideMark/>
          </w:tcPr>
          <w:p w:rsidR="006E2836" w:rsidRPr="00F77964" w:rsidRDefault="006E2836" w:rsidP="006E2836">
            <w:pPr>
              <w:pStyle w:val="Normal-pool"/>
              <w:spacing w:before="40" w:after="40"/>
              <w:jc w:val="right"/>
              <w:rPr>
                <w:rFonts w:eastAsia="SimSun"/>
                <w:sz w:val="18"/>
                <w:szCs w:val="18"/>
                <w:lang w:eastAsia="zh-CN"/>
              </w:rPr>
            </w:pPr>
            <w:r w:rsidRPr="00F77964">
              <w:rPr>
                <w:rFonts w:eastAsia="SimSun"/>
                <w:sz w:val="18"/>
                <w:szCs w:val="18"/>
                <w:lang w:eastAsia="zh-CN"/>
              </w:rPr>
              <w:t>117 000</w:t>
            </w:r>
          </w:p>
        </w:tc>
      </w:tr>
      <w:tr w:rsidR="00461358" w:rsidRPr="0061490E" w:rsidTr="00461358">
        <w:trPr>
          <w:tblHeader/>
        </w:trPr>
        <w:tc>
          <w:tcPr>
            <w:tcW w:w="707" w:type="dxa"/>
            <w:tcBorders>
              <w:top w:val="nil"/>
              <w:left w:val="single" w:sz="4" w:space="0" w:color="auto"/>
              <w:bottom w:val="nil"/>
              <w:right w:val="single" w:sz="4" w:space="0" w:color="auto"/>
            </w:tcBorders>
            <w:hideMark/>
          </w:tcPr>
          <w:p w:rsidR="00461358" w:rsidRPr="00F77964" w:rsidRDefault="00461358" w:rsidP="006E2836">
            <w:pPr>
              <w:pStyle w:val="Normal-pool"/>
              <w:spacing w:before="40" w:after="40"/>
              <w:rPr>
                <w:rFonts w:eastAsia="SimSun"/>
                <w:sz w:val="18"/>
                <w:szCs w:val="18"/>
                <w:lang w:eastAsia="zh-CN"/>
              </w:rPr>
            </w:pPr>
          </w:p>
        </w:tc>
        <w:tc>
          <w:tcPr>
            <w:tcW w:w="3341" w:type="dxa"/>
            <w:vMerge w:val="restart"/>
            <w:tcBorders>
              <w:top w:val="single" w:sz="4" w:space="0" w:color="auto"/>
              <w:left w:val="single" w:sz="4" w:space="0" w:color="auto"/>
              <w:right w:val="single" w:sz="4" w:space="0" w:color="auto"/>
            </w:tcBorders>
            <w:hideMark/>
          </w:tcPr>
          <w:p w:rsidR="00461358" w:rsidRPr="00F77964" w:rsidRDefault="00461358" w:rsidP="006E2836">
            <w:pPr>
              <w:pStyle w:val="Normal-pool"/>
              <w:spacing w:before="40" w:after="40"/>
              <w:rPr>
                <w:rFonts w:eastAsia="SimSun"/>
                <w:sz w:val="18"/>
                <w:szCs w:val="18"/>
                <w:lang w:eastAsia="zh-CN"/>
              </w:rPr>
            </w:pPr>
            <w:r w:rsidRPr="00F77964">
              <w:rPr>
                <w:rFonts w:eastAsia="SimSun"/>
                <w:sz w:val="18"/>
                <w:szCs w:val="18"/>
                <w:lang w:eastAsia="zh-CN"/>
              </w:rPr>
              <w:t>Réunion du groupe d’experts pour établir le guide (5 membres du Groupe d’experts multidisciplinaire/Bureau</w:t>
            </w:r>
            <w:r>
              <w:rPr>
                <w:rFonts w:eastAsia="SimSun"/>
                <w:sz w:val="18"/>
                <w:szCs w:val="18"/>
                <w:lang w:eastAsia="zh-CN"/>
              </w:rPr>
              <w:t xml:space="preserve"> + </w:t>
            </w:r>
            <w:r w:rsidRPr="00F77964">
              <w:rPr>
                <w:rFonts w:eastAsia="SimSun"/>
                <w:sz w:val="18"/>
                <w:szCs w:val="18"/>
                <w:lang w:eastAsia="zh-CN"/>
              </w:rPr>
              <w:t>20 </w:t>
            </w:r>
            <w:r>
              <w:rPr>
                <w:rFonts w:eastAsia="SimSun"/>
                <w:sz w:val="18"/>
                <w:szCs w:val="18"/>
                <w:lang w:eastAsia="zh-CN"/>
              </w:rPr>
              <w:t>coprésidents</w:t>
            </w:r>
            <w:r w:rsidRPr="00F77964">
              <w:rPr>
                <w:rFonts w:eastAsia="SimSun"/>
                <w:sz w:val="18"/>
                <w:szCs w:val="18"/>
                <w:lang w:eastAsia="zh-CN"/>
              </w:rPr>
              <w:t xml:space="preserve"> et auteurs coordonnateurs principaux)</w:t>
            </w:r>
          </w:p>
        </w:tc>
        <w:tc>
          <w:tcPr>
            <w:tcW w:w="3010" w:type="dxa"/>
            <w:tcBorders>
              <w:top w:val="single" w:sz="4" w:space="0" w:color="auto"/>
              <w:left w:val="single" w:sz="4" w:space="0" w:color="auto"/>
              <w:bottom w:val="single" w:sz="4" w:space="0" w:color="auto"/>
              <w:right w:val="single" w:sz="4" w:space="0" w:color="auto"/>
            </w:tcBorders>
            <w:hideMark/>
          </w:tcPr>
          <w:p w:rsidR="00461358" w:rsidRPr="00F77964" w:rsidRDefault="00461358" w:rsidP="006E2836">
            <w:pPr>
              <w:pStyle w:val="Normal-pool"/>
              <w:spacing w:before="40" w:after="40"/>
              <w:rPr>
                <w:rFonts w:eastAsia="SimSun"/>
                <w:sz w:val="18"/>
                <w:szCs w:val="18"/>
                <w:lang w:eastAsia="zh-CN"/>
              </w:rPr>
            </w:pPr>
            <w:r w:rsidRPr="00F77964">
              <w:rPr>
                <w:rFonts w:eastAsia="SimSun"/>
                <w:sz w:val="18"/>
                <w:szCs w:val="18"/>
                <w:lang w:eastAsia="zh-CN"/>
              </w:rPr>
              <w:t>Coûts de la réunion (1 semaine, 25 participants) (25 % en nature)</w:t>
            </w:r>
          </w:p>
        </w:tc>
        <w:tc>
          <w:tcPr>
            <w:tcW w:w="936" w:type="dxa"/>
            <w:tcBorders>
              <w:top w:val="single" w:sz="4" w:space="0" w:color="auto"/>
              <w:left w:val="single" w:sz="4" w:space="0" w:color="auto"/>
              <w:bottom w:val="single" w:sz="4" w:space="0" w:color="auto"/>
              <w:right w:val="single" w:sz="4" w:space="0" w:color="auto"/>
            </w:tcBorders>
            <w:hideMark/>
          </w:tcPr>
          <w:p w:rsidR="00461358" w:rsidRPr="00F77964" w:rsidRDefault="00461358" w:rsidP="006E2836">
            <w:pPr>
              <w:pStyle w:val="Normal-pool"/>
              <w:spacing w:before="40" w:after="40"/>
              <w:jc w:val="right"/>
              <w:rPr>
                <w:rFonts w:eastAsia="SimSun"/>
                <w:sz w:val="18"/>
                <w:szCs w:val="18"/>
                <w:lang w:eastAsia="zh-CN"/>
              </w:rPr>
            </w:pPr>
            <w:r w:rsidRPr="00F77964">
              <w:rPr>
                <w:rFonts w:eastAsia="SimSun"/>
                <w:sz w:val="18"/>
                <w:szCs w:val="18"/>
                <w:lang w:eastAsia="zh-CN"/>
              </w:rPr>
              <w:t>7 500</w:t>
            </w:r>
          </w:p>
        </w:tc>
      </w:tr>
      <w:tr w:rsidR="00461358" w:rsidRPr="0061490E" w:rsidTr="00461358">
        <w:trPr>
          <w:tblHeader/>
        </w:trPr>
        <w:tc>
          <w:tcPr>
            <w:tcW w:w="707" w:type="dxa"/>
            <w:tcBorders>
              <w:top w:val="nil"/>
              <w:left w:val="single" w:sz="4" w:space="0" w:color="auto"/>
              <w:bottom w:val="nil"/>
              <w:right w:val="single" w:sz="4" w:space="0" w:color="auto"/>
            </w:tcBorders>
            <w:hideMark/>
          </w:tcPr>
          <w:p w:rsidR="00461358" w:rsidRPr="00F77964" w:rsidRDefault="00461358" w:rsidP="006E2836">
            <w:pPr>
              <w:pStyle w:val="Normal-pool"/>
              <w:spacing w:before="40" w:after="40"/>
              <w:rPr>
                <w:rFonts w:eastAsia="SimSun"/>
                <w:sz w:val="18"/>
                <w:szCs w:val="18"/>
                <w:lang w:eastAsia="zh-CN"/>
              </w:rPr>
            </w:pPr>
          </w:p>
        </w:tc>
        <w:tc>
          <w:tcPr>
            <w:tcW w:w="3341" w:type="dxa"/>
            <w:vMerge/>
            <w:tcBorders>
              <w:left w:val="single" w:sz="4" w:space="0" w:color="auto"/>
              <w:bottom w:val="single" w:sz="4" w:space="0" w:color="auto"/>
              <w:right w:val="single" w:sz="4" w:space="0" w:color="auto"/>
            </w:tcBorders>
            <w:hideMark/>
          </w:tcPr>
          <w:p w:rsidR="00461358" w:rsidRPr="00F77964" w:rsidRDefault="00461358" w:rsidP="006E2836">
            <w:pPr>
              <w:pStyle w:val="Normal-pool"/>
              <w:spacing w:before="40" w:after="40"/>
              <w:rPr>
                <w:rFonts w:eastAsia="SimSun"/>
                <w:sz w:val="18"/>
                <w:szCs w:val="18"/>
                <w:lang w:eastAsia="zh-CN"/>
              </w:rPr>
            </w:pPr>
          </w:p>
        </w:tc>
        <w:tc>
          <w:tcPr>
            <w:tcW w:w="3010" w:type="dxa"/>
            <w:tcBorders>
              <w:top w:val="single" w:sz="4" w:space="0" w:color="auto"/>
              <w:left w:val="single" w:sz="4" w:space="0" w:color="auto"/>
              <w:bottom w:val="single" w:sz="4" w:space="0" w:color="auto"/>
              <w:right w:val="single" w:sz="4" w:space="0" w:color="auto"/>
            </w:tcBorders>
            <w:hideMark/>
          </w:tcPr>
          <w:p w:rsidR="00461358" w:rsidRPr="00F77964" w:rsidRDefault="00461358" w:rsidP="006E2836">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Pr="00F77964">
              <w:rPr>
                <w:rFonts w:eastAsia="SimSun"/>
                <w:sz w:val="18"/>
                <w:szCs w:val="18"/>
                <w:lang w:eastAsia="zh-CN"/>
              </w:rPr>
              <w:t xml:space="preserve"> (19 x 3 000 dollars)</w:t>
            </w:r>
          </w:p>
        </w:tc>
        <w:tc>
          <w:tcPr>
            <w:tcW w:w="936" w:type="dxa"/>
            <w:tcBorders>
              <w:top w:val="single" w:sz="4" w:space="0" w:color="auto"/>
              <w:left w:val="single" w:sz="4" w:space="0" w:color="auto"/>
              <w:bottom w:val="single" w:sz="4" w:space="0" w:color="auto"/>
              <w:right w:val="single" w:sz="4" w:space="0" w:color="auto"/>
            </w:tcBorders>
            <w:hideMark/>
          </w:tcPr>
          <w:p w:rsidR="00461358" w:rsidRPr="00F77964" w:rsidRDefault="00461358" w:rsidP="006E2836">
            <w:pPr>
              <w:pStyle w:val="Normal-pool"/>
              <w:spacing w:before="40" w:after="40"/>
              <w:jc w:val="right"/>
              <w:rPr>
                <w:rFonts w:eastAsia="SimSun"/>
                <w:sz w:val="18"/>
                <w:szCs w:val="18"/>
                <w:lang w:eastAsia="zh-CN"/>
              </w:rPr>
            </w:pPr>
            <w:r w:rsidRPr="00F77964">
              <w:rPr>
                <w:rFonts w:eastAsia="SimSun"/>
                <w:sz w:val="18"/>
                <w:szCs w:val="18"/>
                <w:lang w:eastAsia="zh-CN"/>
              </w:rPr>
              <w:t>57 000</w:t>
            </w:r>
          </w:p>
        </w:tc>
      </w:tr>
      <w:tr w:rsidR="006E2836" w:rsidRPr="0061490E" w:rsidTr="00461358">
        <w:trPr>
          <w:tblHeader/>
        </w:trPr>
        <w:tc>
          <w:tcPr>
            <w:tcW w:w="707" w:type="dxa"/>
            <w:tcBorders>
              <w:top w:val="nil"/>
              <w:left w:val="single" w:sz="4" w:space="0" w:color="auto"/>
              <w:bottom w:val="single" w:sz="4" w:space="0" w:color="auto"/>
              <w:right w:val="single" w:sz="4" w:space="0" w:color="auto"/>
            </w:tcBorders>
            <w:hideMark/>
          </w:tcPr>
          <w:p w:rsidR="006E2836" w:rsidRPr="00F77964" w:rsidRDefault="006E2836" w:rsidP="006E2836">
            <w:pPr>
              <w:pStyle w:val="Normal-pool"/>
              <w:spacing w:before="40" w:after="40"/>
              <w:rPr>
                <w:rFonts w:eastAsia="SimSun"/>
                <w:sz w:val="18"/>
                <w:szCs w:val="18"/>
                <w:lang w:eastAsia="zh-CN"/>
              </w:rPr>
            </w:pPr>
          </w:p>
        </w:tc>
        <w:tc>
          <w:tcPr>
            <w:tcW w:w="3341" w:type="dxa"/>
            <w:tcBorders>
              <w:top w:val="single" w:sz="4" w:space="0" w:color="auto"/>
              <w:left w:val="single" w:sz="4" w:space="0" w:color="auto"/>
              <w:bottom w:val="single" w:sz="4" w:space="0" w:color="auto"/>
              <w:right w:val="single" w:sz="4" w:space="0" w:color="auto"/>
            </w:tcBorders>
            <w:hideMark/>
          </w:tcPr>
          <w:p w:rsidR="006E2836" w:rsidRPr="00F77964" w:rsidRDefault="00461358" w:rsidP="00461358">
            <w:pPr>
              <w:pStyle w:val="Normal-pool"/>
              <w:spacing w:before="40" w:after="40"/>
              <w:rPr>
                <w:rFonts w:eastAsia="SimSun"/>
                <w:sz w:val="18"/>
                <w:szCs w:val="18"/>
                <w:lang w:eastAsia="zh-CN"/>
              </w:rPr>
            </w:pPr>
            <w:r>
              <w:rPr>
                <w:rFonts w:eastAsia="SimSun"/>
                <w:sz w:val="18"/>
                <w:szCs w:val="18"/>
                <w:lang w:eastAsia="zh-CN"/>
              </w:rPr>
              <w:t>P</w:t>
            </w:r>
            <w:r w:rsidR="006E2836" w:rsidRPr="00F77964">
              <w:rPr>
                <w:rFonts w:eastAsia="SimSun"/>
                <w:sz w:val="18"/>
                <w:szCs w:val="18"/>
                <w:lang w:eastAsia="zh-CN"/>
              </w:rPr>
              <w:t xml:space="preserve">romotion et </w:t>
            </w:r>
            <w:r>
              <w:rPr>
                <w:rFonts w:eastAsia="SimSun"/>
                <w:sz w:val="18"/>
                <w:szCs w:val="18"/>
                <w:lang w:eastAsia="zh-CN"/>
              </w:rPr>
              <w:t>catalysation de la poursuite</w:t>
            </w:r>
            <w:r w:rsidR="006E2836" w:rsidRPr="00F77964">
              <w:rPr>
                <w:rFonts w:eastAsia="SimSun"/>
                <w:sz w:val="18"/>
                <w:szCs w:val="18"/>
                <w:lang w:eastAsia="zh-CN"/>
              </w:rPr>
              <w:t xml:space="preserve"> de la mise au point </w:t>
            </w:r>
            <w:r w:rsidR="00610A1B">
              <w:rPr>
                <w:rFonts w:eastAsia="SimSun"/>
                <w:sz w:val="18"/>
                <w:szCs w:val="18"/>
                <w:lang w:eastAsia="zh-CN"/>
              </w:rPr>
              <w:t>d’outils et de méthodes</w:t>
            </w:r>
          </w:p>
        </w:tc>
        <w:tc>
          <w:tcPr>
            <w:tcW w:w="3010" w:type="dxa"/>
            <w:tcBorders>
              <w:top w:val="single" w:sz="4" w:space="0" w:color="auto"/>
              <w:left w:val="single" w:sz="4" w:space="0" w:color="auto"/>
              <w:bottom w:val="single" w:sz="4" w:space="0" w:color="auto"/>
              <w:right w:val="single" w:sz="4" w:space="0" w:color="auto"/>
            </w:tcBorders>
            <w:hideMark/>
          </w:tcPr>
          <w:p w:rsidR="006E2836" w:rsidRPr="00F77964" w:rsidRDefault="001D0F4C" w:rsidP="006E2836">
            <w:pPr>
              <w:pStyle w:val="Normal-pool"/>
              <w:spacing w:before="40" w:after="40"/>
              <w:rPr>
                <w:rFonts w:eastAsia="SimSun"/>
                <w:sz w:val="18"/>
                <w:szCs w:val="18"/>
                <w:lang w:eastAsia="zh-CN"/>
              </w:rPr>
            </w:pPr>
            <w:r>
              <w:rPr>
                <w:rFonts w:eastAsia="SimSun"/>
                <w:sz w:val="18"/>
                <w:szCs w:val="18"/>
                <w:lang w:eastAsia="zh-CN"/>
              </w:rPr>
              <w:t>À</w:t>
            </w:r>
            <w:r w:rsidR="006E2836" w:rsidRPr="00F77964">
              <w:rPr>
                <w:rFonts w:eastAsia="SimSun"/>
                <w:sz w:val="18"/>
                <w:szCs w:val="18"/>
                <w:lang w:eastAsia="zh-CN"/>
              </w:rPr>
              <w:t xml:space="preserve"> définir/déterminer</w:t>
            </w:r>
          </w:p>
        </w:tc>
        <w:tc>
          <w:tcPr>
            <w:tcW w:w="936" w:type="dxa"/>
            <w:tcBorders>
              <w:top w:val="single" w:sz="4" w:space="0" w:color="auto"/>
              <w:left w:val="single" w:sz="4" w:space="0" w:color="auto"/>
              <w:bottom w:val="single" w:sz="4" w:space="0" w:color="auto"/>
              <w:right w:val="single" w:sz="4" w:space="0" w:color="auto"/>
            </w:tcBorders>
            <w:hideMark/>
          </w:tcPr>
          <w:p w:rsidR="006E2836" w:rsidRPr="00F77964" w:rsidRDefault="006E2836" w:rsidP="006E2836">
            <w:pPr>
              <w:pStyle w:val="Normal-pool"/>
              <w:spacing w:before="40" w:after="40"/>
              <w:jc w:val="right"/>
              <w:rPr>
                <w:rFonts w:eastAsia="SimSun"/>
                <w:sz w:val="18"/>
                <w:szCs w:val="18"/>
                <w:lang w:eastAsia="zh-CN"/>
              </w:rPr>
            </w:pPr>
            <w:r w:rsidRPr="00F77964">
              <w:rPr>
                <w:rFonts w:eastAsia="SimSun"/>
                <w:sz w:val="18"/>
                <w:szCs w:val="18"/>
                <w:lang w:eastAsia="zh-CN"/>
              </w:rPr>
              <w:t>150 000</w:t>
            </w:r>
          </w:p>
        </w:tc>
      </w:tr>
      <w:tr w:rsidR="00461358" w:rsidRPr="0061490E" w:rsidTr="0022142B">
        <w:trPr>
          <w:tblHeader/>
        </w:trPr>
        <w:tc>
          <w:tcPr>
            <w:tcW w:w="707" w:type="dxa"/>
            <w:tcBorders>
              <w:top w:val="single" w:sz="4" w:space="0" w:color="auto"/>
              <w:left w:val="single" w:sz="4" w:space="0" w:color="auto"/>
              <w:bottom w:val="single" w:sz="4" w:space="0" w:color="auto"/>
              <w:right w:val="single" w:sz="4" w:space="0" w:color="auto"/>
            </w:tcBorders>
            <w:hideMark/>
          </w:tcPr>
          <w:p w:rsidR="00461358" w:rsidRPr="00F77964" w:rsidRDefault="00461358" w:rsidP="006E2836">
            <w:pPr>
              <w:pStyle w:val="Normal-pool"/>
              <w:spacing w:before="40" w:after="40"/>
              <w:rPr>
                <w:rFonts w:eastAsia="SimSun"/>
                <w:sz w:val="18"/>
                <w:szCs w:val="18"/>
                <w:lang w:eastAsia="zh-CN"/>
              </w:rPr>
            </w:pPr>
            <w:r w:rsidRPr="00F77964">
              <w:rPr>
                <w:rFonts w:eastAsia="SimSun"/>
                <w:sz w:val="18"/>
                <w:szCs w:val="18"/>
                <w:lang w:eastAsia="zh-CN"/>
              </w:rPr>
              <w:t>2016</w:t>
            </w:r>
          </w:p>
        </w:tc>
        <w:tc>
          <w:tcPr>
            <w:tcW w:w="3341" w:type="dxa"/>
            <w:tcBorders>
              <w:top w:val="single" w:sz="4" w:space="0" w:color="auto"/>
              <w:left w:val="single" w:sz="4" w:space="0" w:color="auto"/>
              <w:bottom w:val="single" w:sz="4" w:space="0" w:color="auto"/>
              <w:right w:val="single" w:sz="4" w:space="0" w:color="auto"/>
            </w:tcBorders>
            <w:hideMark/>
          </w:tcPr>
          <w:p w:rsidR="00461358" w:rsidRPr="00F77964" w:rsidRDefault="00461358" w:rsidP="007146B7">
            <w:pPr>
              <w:pStyle w:val="Normal-pool"/>
              <w:spacing w:before="40" w:after="40"/>
              <w:rPr>
                <w:rFonts w:eastAsia="SimSun"/>
                <w:sz w:val="18"/>
                <w:szCs w:val="18"/>
                <w:lang w:eastAsia="zh-CN"/>
              </w:rPr>
            </w:pPr>
            <w:r>
              <w:rPr>
                <w:rFonts w:eastAsia="SimSun"/>
                <w:sz w:val="18"/>
                <w:szCs w:val="18"/>
                <w:lang w:eastAsia="zh-CN"/>
              </w:rPr>
              <w:t>P</w:t>
            </w:r>
            <w:r w:rsidRPr="00F77964">
              <w:rPr>
                <w:rFonts w:eastAsia="SimSun"/>
                <w:sz w:val="18"/>
                <w:szCs w:val="18"/>
                <w:lang w:eastAsia="zh-CN"/>
              </w:rPr>
              <w:t xml:space="preserve">romotion et </w:t>
            </w:r>
            <w:r>
              <w:rPr>
                <w:rFonts w:eastAsia="SimSun"/>
                <w:sz w:val="18"/>
                <w:szCs w:val="18"/>
                <w:lang w:eastAsia="zh-CN"/>
              </w:rPr>
              <w:t>catalysation de la poursuite</w:t>
            </w:r>
            <w:r w:rsidRPr="00F77964">
              <w:rPr>
                <w:rFonts w:eastAsia="SimSun"/>
                <w:sz w:val="18"/>
                <w:szCs w:val="18"/>
                <w:lang w:eastAsia="zh-CN"/>
              </w:rPr>
              <w:t xml:space="preserve"> de la mise au point </w:t>
            </w:r>
            <w:r w:rsidR="00610A1B">
              <w:rPr>
                <w:rFonts w:eastAsia="SimSun"/>
                <w:sz w:val="18"/>
                <w:szCs w:val="18"/>
                <w:lang w:eastAsia="zh-CN"/>
              </w:rPr>
              <w:t>d’outils et de méthodes</w:t>
            </w:r>
          </w:p>
        </w:tc>
        <w:tc>
          <w:tcPr>
            <w:tcW w:w="3010" w:type="dxa"/>
            <w:tcBorders>
              <w:top w:val="single" w:sz="4" w:space="0" w:color="auto"/>
              <w:left w:val="single" w:sz="4" w:space="0" w:color="auto"/>
              <w:bottom w:val="single" w:sz="4" w:space="0" w:color="auto"/>
              <w:right w:val="single" w:sz="4" w:space="0" w:color="auto"/>
            </w:tcBorders>
            <w:hideMark/>
          </w:tcPr>
          <w:p w:rsidR="00461358" w:rsidRPr="00F77964" w:rsidRDefault="001D0F4C" w:rsidP="006E2836">
            <w:pPr>
              <w:pStyle w:val="Normal-pool"/>
              <w:spacing w:before="40" w:after="40"/>
              <w:rPr>
                <w:rFonts w:eastAsia="SimSun"/>
                <w:sz w:val="18"/>
                <w:szCs w:val="18"/>
                <w:lang w:eastAsia="zh-CN"/>
              </w:rPr>
            </w:pPr>
            <w:r>
              <w:rPr>
                <w:rFonts w:eastAsia="SimSun"/>
                <w:sz w:val="18"/>
                <w:szCs w:val="18"/>
                <w:lang w:eastAsia="zh-CN"/>
              </w:rPr>
              <w:t>À</w:t>
            </w:r>
            <w:r w:rsidR="00461358" w:rsidRPr="00F77964">
              <w:rPr>
                <w:rFonts w:eastAsia="SimSun"/>
                <w:sz w:val="18"/>
                <w:szCs w:val="18"/>
                <w:lang w:eastAsia="zh-CN"/>
              </w:rPr>
              <w:t xml:space="preserve"> définir/déterminer</w:t>
            </w:r>
          </w:p>
        </w:tc>
        <w:tc>
          <w:tcPr>
            <w:tcW w:w="936" w:type="dxa"/>
            <w:tcBorders>
              <w:top w:val="single" w:sz="4" w:space="0" w:color="auto"/>
              <w:left w:val="single" w:sz="4" w:space="0" w:color="auto"/>
              <w:bottom w:val="single" w:sz="4" w:space="0" w:color="auto"/>
              <w:right w:val="single" w:sz="4" w:space="0" w:color="auto"/>
            </w:tcBorders>
            <w:hideMark/>
          </w:tcPr>
          <w:p w:rsidR="00461358" w:rsidRPr="00F77964" w:rsidRDefault="00461358" w:rsidP="006E2836">
            <w:pPr>
              <w:pStyle w:val="Normal-pool"/>
              <w:spacing w:before="40" w:after="40"/>
              <w:jc w:val="right"/>
              <w:rPr>
                <w:rFonts w:eastAsia="SimSun"/>
                <w:sz w:val="18"/>
                <w:szCs w:val="18"/>
                <w:lang w:eastAsia="zh-CN"/>
              </w:rPr>
            </w:pPr>
            <w:r w:rsidRPr="00F77964">
              <w:rPr>
                <w:rFonts w:eastAsia="SimSun"/>
                <w:sz w:val="18"/>
                <w:szCs w:val="18"/>
                <w:lang w:eastAsia="zh-CN"/>
              </w:rPr>
              <w:t>150 000</w:t>
            </w:r>
          </w:p>
        </w:tc>
      </w:tr>
      <w:tr w:rsidR="006E2836" w:rsidRPr="0061490E" w:rsidTr="0022142B">
        <w:trPr>
          <w:tblHeader/>
        </w:trPr>
        <w:tc>
          <w:tcPr>
            <w:tcW w:w="707" w:type="dxa"/>
            <w:tcBorders>
              <w:top w:val="single" w:sz="4" w:space="0" w:color="auto"/>
              <w:left w:val="single" w:sz="4" w:space="0" w:color="auto"/>
              <w:bottom w:val="single" w:sz="4" w:space="0" w:color="auto"/>
              <w:right w:val="single" w:sz="4" w:space="0" w:color="auto"/>
            </w:tcBorders>
            <w:hideMark/>
          </w:tcPr>
          <w:p w:rsidR="006E2836" w:rsidRPr="00F77964" w:rsidRDefault="006E2836" w:rsidP="006E2836">
            <w:pPr>
              <w:pStyle w:val="Normal-pool"/>
              <w:spacing w:before="40" w:after="40"/>
              <w:rPr>
                <w:rFonts w:eastAsia="SimSun"/>
                <w:sz w:val="18"/>
                <w:szCs w:val="18"/>
                <w:lang w:eastAsia="zh-CN"/>
              </w:rPr>
            </w:pPr>
            <w:r w:rsidRPr="00F77964">
              <w:rPr>
                <w:rFonts w:eastAsia="SimSun"/>
                <w:sz w:val="18"/>
                <w:szCs w:val="18"/>
                <w:lang w:eastAsia="zh-CN"/>
              </w:rPr>
              <w:t>2017</w:t>
            </w:r>
          </w:p>
        </w:tc>
        <w:tc>
          <w:tcPr>
            <w:tcW w:w="3341" w:type="dxa"/>
            <w:tcBorders>
              <w:top w:val="single" w:sz="4" w:space="0" w:color="auto"/>
              <w:left w:val="single" w:sz="4" w:space="0" w:color="auto"/>
              <w:bottom w:val="single" w:sz="4" w:space="0" w:color="auto"/>
              <w:right w:val="single" w:sz="4" w:space="0" w:color="auto"/>
            </w:tcBorders>
            <w:hideMark/>
          </w:tcPr>
          <w:p w:rsidR="006E2836" w:rsidRPr="00F77964" w:rsidRDefault="006E2836" w:rsidP="006E2836">
            <w:pPr>
              <w:pStyle w:val="Normal-pool"/>
              <w:spacing w:before="40" w:after="40"/>
              <w:rPr>
                <w:rFonts w:eastAsia="SimSun"/>
                <w:sz w:val="18"/>
                <w:szCs w:val="18"/>
                <w:lang w:eastAsia="zh-CN"/>
              </w:rPr>
            </w:pPr>
            <w:r w:rsidRPr="00F77964">
              <w:rPr>
                <w:rFonts w:eastAsia="SimSun"/>
                <w:sz w:val="18"/>
                <w:szCs w:val="18"/>
                <w:lang w:eastAsia="zh-CN"/>
              </w:rPr>
              <w:t>Diffusion des outils d’</w:t>
            </w:r>
            <w:r w:rsidR="00AA6C94">
              <w:rPr>
                <w:rFonts w:eastAsia="SimSun"/>
                <w:sz w:val="18"/>
                <w:szCs w:val="18"/>
                <w:lang w:eastAsia="zh-CN"/>
              </w:rPr>
              <w:t>aide à la décision</w:t>
            </w:r>
          </w:p>
        </w:tc>
        <w:tc>
          <w:tcPr>
            <w:tcW w:w="3010" w:type="dxa"/>
            <w:tcBorders>
              <w:top w:val="single" w:sz="4" w:space="0" w:color="auto"/>
              <w:left w:val="single" w:sz="4" w:space="0" w:color="auto"/>
              <w:bottom w:val="single" w:sz="4" w:space="0" w:color="auto"/>
              <w:right w:val="single" w:sz="4" w:space="0" w:color="auto"/>
            </w:tcBorders>
            <w:hideMark/>
          </w:tcPr>
          <w:p w:rsidR="006E2836" w:rsidRPr="00F77964" w:rsidRDefault="006E2836" w:rsidP="006E2836">
            <w:pPr>
              <w:pStyle w:val="Normal-pool"/>
              <w:spacing w:before="40" w:after="40"/>
              <w:rPr>
                <w:rFonts w:eastAsia="SimSun"/>
                <w:sz w:val="18"/>
                <w:szCs w:val="18"/>
                <w:lang w:eastAsia="zh-CN"/>
              </w:rPr>
            </w:pPr>
            <w:r w:rsidRPr="00F77964">
              <w:rPr>
                <w:rFonts w:eastAsia="SimSun"/>
                <w:sz w:val="18"/>
                <w:szCs w:val="18"/>
                <w:lang w:eastAsia="zh-CN"/>
              </w:rPr>
              <w:t xml:space="preserve">Traduction des résumés à l’intention des décideurs dans toutes les langues officielles de l’ONU, publication, </w:t>
            </w:r>
            <w:r w:rsidR="00F23269">
              <w:rPr>
                <w:rFonts w:eastAsia="SimSun"/>
                <w:sz w:val="18"/>
                <w:szCs w:val="18"/>
                <w:lang w:eastAsia="zh-CN"/>
              </w:rPr>
              <w:t>animation</w:t>
            </w:r>
          </w:p>
        </w:tc>
        <w:tc>
          <w:tcPr>
            <w:tcW w:w="936" w:type="dxa"/>
            <w:tcBorders>
              <w:top w:val="single" w:sz="4" w:space="0" w:color="auto"/>
              <w:left w:val="single" w:sz="4" w:space="0" w:color="auto"/>
              <w:bottom w:val="single" w:sz="4" w:space="0" w:color="auto"/>
              <w:right w:val="single" w:sz="4" w:space="0" w:color="auto"/>
            </w:tcBorders>
            <w:hideMark/>
          </w:tcPr>
          <w:p w:rsidR="006E2836" w:rsidRPr="00F77964" w:rsidRDefault="006E2836" w:rsidP="006E2836">
            <w:pPr>
              <w:pStyle w:val="Normal-pool"/>
              <w:spacing w:before="40" w:after="40"/>
              <w:jc w:val="right"/>
              <w:rPr>
                <w:rFonts w:eastAsia="SimSun"/>
                <w:sz w:val="18"/>
                <w:szCs w:val="18"/>
                <w:lang w:eastAsia="zh-CN"/>
              </w:rPr>
            </w:pPr>
            <w:r w:rsidRPr="00F77964">
              <w:rPr>
                <w:rFonts w:eastAsia="SimSun"/>
                <w:sz w:val="18"/>
                <w:szCs w:val="18"/>
                <w:lang w:eastAsia="zh-CN"/>
              </w:rPr>
              <w:t>50 000</w:t>
            </w:r>
          </w:p>
        </w:tc>
      </w:tr>
      <w:tr w:rsidR="006E2836" w:rsidRPr="001D0F4C" w:rsidTr="0022142B">
        <w:trPr>
          <w:tblHeader/>
        </w:trPr>
        <w:tc>
          <w:tcPr>
            <w:tcW w:w="707" w:type="dxa"/>
            <w:tcBorders>
              <w:top w:val="single" w:sz="4" w:space="0" w:color="auto"/>
              <w:left w:val="single" w:sz="4" w:space="0" w:color="auto"/>
              <w:bottom w:val="single" w:sz="4" w:space="0" w:color="auto"/>
              <w:right w:val="single" w:sz="4" w:space="0" w:color="auto"/>
            </w:tcBorders>
            <w:hideMark/>
          </w:tcPr>
          <w:p w:rsidR="006E2836" w:rsidRPr="001D0F4C" w:rsidRDefault="006E2836" w:rsidP="006E2836">
            <w:pPr>
              <w:pStyle w:val="Normal-pool"/>
              <w:spacing w:before="40" w:after="40"/>
              <w:rPr>
                <w:rFonts w:eastAsia="SimSun"/>
                <w:b/>
                <w:sz w:val="18"/>
                <w:szCs w:val="18"/>
                <w:lang w:eastAsia="zh-CN"/>
              </w:rPr>
            </w:pPr>
            <w:r w:rsidRPr="001D0F4C">
              <w:rPr>
                <w:rFonts w:eastAsia="SimSun"/>
                <w:b/>
                <w:sz w:val="18"/>
                <w:szCs w:val="18"/>
                <w:lang w:eastAsia="zh-CN"/>
              </w:rPr>
              <w:t>Total</w:t>
            </w:r>
          </w:p>
        </w:tc>
        <w:tc>
          <w:tcPr>
            <w:tcW w:w="3341" w:type="dxa"/>
            <w:tcBorders>
              <w:top w:val="single" w:sz="4" w:space="0" w:color="auto"/>
              <w:left w:val="single" w:sz="4" w:space="0" w:color="auto"/>
              <w:bottom w:val="single" w:sz="4" w:space="0" w:color="auto"/>
              <w:right w:val="single" w:sz="4" w:space="0" w:color="auto"/>
            </w:tcBorders>
            <w:hideMark/>
          </w:tcPr>
          <w:p w:rsidR="006E2836" w:rsidRPr="001D0F4C" w:rsidRDefault="006E2836" w:rsidP="006E2836">
            <w:pPr>
              <w:pStyle w:val="Normal-pool"/>
              <w:spacing w:before="40" w:after="40"/>
              <w:rPr>
                <w:rFonts w:eastAsia="SimSun"/>
                <w:b/>
                <w:sz w:val="18"/>
                <w:szCs w:val="18"/>
                <w:lang w:eastAsia="zh-CN"/>
              </w:rPr>
            </w:pPr>
          </w:p>
        </w:tc>
        <w:tc>
          <w:tcPr>
            <w:tcW w:w="3010" w:type="dxa"/>
            <w:tcBorders>
              <w:top w:val="single" w:sz="4" w:space="0" w:color="auto"/>
              <w:left w:val="single" w:sz="4" w:space="0" w:color="auto"/>
              <w:bottom w:val="single" w:sz="4" w:space="0" w:color="auto"/>
              <w:right w:val="single" w:sz="4" w:space="0" w:color="auto"/>
            </w:tcBorders>
            <w:hideMark/>
          </w:tcPr>
          <w:p w:rsidR="006E2836" w:rsidRPr="001D0F4C" w:rsidRDefault="006E2836" w:rsidP="006E2836">
            <w:pPr>
              <w:pStyle w:val="Normal-pool"/>
              <w:spacing w:before="40" w:after="40"/>
              <w:rPr>
                <w:rFonts w:eastAsia="SimSun"/>
                <w:b/>
                <w:sz w:val="18"/>
                <w:szCs w:val="18"/>
                <w:lang w:eastAsia="zh-CN"/>
              </w:rPr>
            </w:pPr>
          </w:p>
        </w:tc>
        <w:tc>
          <w:tcPr>
            <w:tcW w:w="936" w:type="dxa"/>
            <w:tcBorders>
              <w:top w:val="single" w:sz="4" w:space="0" w:color="auto"/>
              <w:left w:val="single" w:sz="4" w:space="0" w:color="auto"/>
              <w:bottom w:val="single" w:sz="4" w:space="0" w:color="auto"/>
              <w:right w:val="single" w:sz="4" w:space="0" w:color="auto"/>
            </w:tcBorders>
            <w:hideMark/>
          </w:tcPr>
          <w:p w:rsidR="006E2836" w:rsidRPr="001D0F4C" w:rsidRDefault="006E2836" w:rsidP="0022142B">
            <w:pPr>
              <w:pStyle w:val="Normal-pool"/>
              <w:spacing w:before="40" w:after="40"/>
              <w:jc w:val="right"/>
              <w:rPr>
                <w:rFonts w:eastAsia="SimSun"/>
                <w:b/>
                <w:sz w:val="18"/>
                <w:szCs w:val="18"/>
                <w:lang w:eastAsia="zh-CN"/>
              </w:rPr>
            </w:pPr>
            <w:r w:rsidRPr="001D0F4C">
              <w:rPr>
                <w:rFonts w:eastAsia="SimSun"/>
                <w:b/>
                <w:sz w:val="18"/>
                <w:szCs w:val="18"/>
                <w:lang w:eastAsia="zh-CN"/>
              </w:rPr>
              <w:t>1 2</w:t>
            </w:r>
            <w:r w:rsidR="0022142B" w:rsidRPr="001D0F4C">
              <w:rPr>
                <w:rFonts w:eastAsia="SimSun"/>
                <w:b/>
                <w:sz w:val="18"/>
                <w:szCs w:val="18"/>
                <w:lang w:eastAsia="zh-CN"/>
              </w:rPr>
              <w:t>82</w:t>
            </w:r>
            <w:r w:rsidRPr="001D0F4C">
              <w:rPr>
                <w:rFonts w:eastAsia="SimSun"/>
                <w:b/>
                <w:sz w:val="18"/>
                <w:szCs w:val="18"/>
                <w:lang w:eastAsia="zh-CN"/>
              </w:rPr>
              <w:t> 250</w:t>
            </w:r>
          </w:p>
        </w:tc>
      </w:tr>
    </w:tbl>
    <w:p w:rsidR="001D6913" w:rsidRPr="00F77964" w:rsidRDefault="001D6913" w:rsidP="001D6913">
      <w:pPr>
        <w:pStyle w:val="CH3"/>
        <w:spacing w:before="120" w:after="0"/>
        <w:rPr>
          <w:lang w:val="fr-FR"/>
        </w:rPr>
      </w:pPr>
      <w:r w:rsidRPr="00F77964">
        <w:rPr>
          <w:lang w:val="fr-FR"/>
        </w:rPr>
        <w:lastRenderedPageBreak/>
        <w:tab/>
      </w:r>
      <w:r w:rsidRPr="00F77964">
        <w:rPr>
          <w:lang w:val="fr-FR"/>
        </w:rPr>
        <w:tab/>
        <w:t>Objectif 4</w:t>
      </w:r>
    </w:p>
    <w:p w:rsidR="001D6913" w:rsidRPr="00F77964" w:rsidRDefault="001D6913" w:rsidP="001D6913">
      <w:pPr>
        <w:pStyle w:val="CH3"/>
        <w:rPr>
          <w:lang w:val="fr-FR"/>
        </w:rPr>
      </w:pPr>
      <w:r w:rsidRPr="00F77964">
        <w:rPr>
          <w:lang w:val="fr-FR"/>
        </w:rPr>
        <w:tab/>
      </w:r>
      <w:r w:rsidRPr="00F77964">
        <w:rPr>
          <w:lang w:val="fr-FR"/>
        </w:rPr>
        <w:tab/>
      </w:r>
      <w:r w:rsidR="0022142B" w:rsidRPr="00F77964">
        <w:rPr>
          <w:lang w:val="fr-FR"/>
        </w:rPr>
        <w:t xml:space="preserve">Faire connaître et évaluer </w:t>
      </w:r>
      <w:r w:rsidR="00F90D8B" w:rsidRPr="006031C5">
        <w:t>les activités de la Plateforme, ses produits et ses conclusions</w:t>
      </w:r>
    </w:p>
    <w:p w:rsidR="001D6913" w:rsidRPr="00F77964" w:rsidRDefault="001D6913" w:rsidP="001D6913">
      <w:pPr>
        <w:pStyle w:val="CH3"/>
        <w:spacing w:before="120" w:after="0"/>
        <w:rPr>
          <w:lang w:val="fr-FR"/>
        </w:rPr>
      </w:pPr>
      <w:r w:rsidRPr="00F77964">
        <w:rPr>
          <w:lang w:val="fr-FR"/>
        </w:rPr>
        <w:tab/>
      </w:r>
      <w:r w:rsidRPr="00F77964">
        <w:rPr>
          <w:lang w:val="fr-FR"/>
        </w:rPr>
        <w:tab/>
        <w:t>Produit 4 a)</w:t>
      </w:r>
    </w:p>
    <w:p w:rsidR="001D6913" w:rsidRPr="00F77964" w:rsidRDefault="001D6913" w:rsidP="001D6913">
      <w:pPr>
        <w:pStyle w:val="CH3"/>
        <w:rPr>
          <w:lang w:val="fr-FR"/>
        </w:rPr>
      </w:pPr>
      <w:r w:rsidRPr="00F77964">
        <w:rPr>
          <w:lang w:val="fr-FR"/>
        </w:rPr>
        <w:tab/>
      </w:r>
      <w:r w:rsidRPr="00F77964">
        <w:rPr>
          <w:lang w:val="fr-FR"/>
        </w:rPr>
        <w:tab/>
        <w:t>Catalogue des évaluations pertinentes (</w:t>
      </w:r>
      <w:r w:rsidRPr="00F77964">
        <w:rPr>
          <w:i/>
          <w:lang w:val="fr-FR"/>
        </w:rPr>
        <w:t>à compter de 2014</w:t>
      </w:r>
      <w:r w:rsidRPr="00F77964">
        <w:rPr>
          <w:lang w:val="fr-FR"/>
        </w:rPr>
        <w:t>)</w:t>
      </w:r>
      <w:r w:rsidRPr="00F77964">
        <w:rPr>
          <w:rStyle w:val="FootnoteReference"/>
          <w:lang w:val="fr-FR"/>
        </w:rPr>
        <w:footnoteReference w:id="2"/>
      </w:r>
    </w:p>
    <w:p w:rsidR="001D6913" w:rsidRPr="00F77964" w:rsidRDefault="001D6913" w:rsidP="001D6913">
      <w:pPr>
        <w:pStyle w:val="CH3"/>
        <w:rPr>
          <w:lang w:val="fr-FR"/>
        </w:rPr>
      </w:pPr>
      <w:r w:rsidRPr="00F77964">
        <w:rPr>
          <w:rFonts w:eastAsia="Calibri"/>
          <w:lang w:val="fr-FR"/>
        </w:rPr>
        <w:tab/>
      </w:r>
      <w:r w:rsidRPr="00F77964">
        <w:rPr>
          <w:rFonts w:eastAsia="Calibri"/>
          <w:lang w:val="fr-FR"/>
        </w:rPr>
        <w:tab/>
        <w:t>Hypothèses</w:t>
      </w:r>
    </w:p>
    <w:p w:rsidR="001D6913" w:rsidRPr="00F77964" w:rsidRDefault="001D6913" w:rsidP="00F90D8B">
      <w:pPr>
        <w:pStyle w:val="Normalnumber"/>
        <w:numPr>
          <w:ilvl w:val="0"/>
          <w:numId w:val="6"/>
        </w:numPr>
        <w:tabs>
          <w:tab w:val="left" w:pos="624"/>
        </w:tabs>
        <w:ind w:left="1247" w:firstLine="0"/>
        <w:rPr>
          <w:lang w:val="fr-FR"/>
        </w:rPr>
      </w:pPr>
      <w:r w:rsidRPr="00F77964">
        <w:rPr>
          <w:lang w:val="fr-FR"/>
        </w:rPr>
        <w:t xml:space="preserve">Le catalogue des évaluations pertinentes servira de base à des examens critiques périodiques </w:t>
      </w:r>
      <w:r w:rsidR="00502120">
        <w:rPr>
          <w:lang w:val="fr-FR"/>
        </w:rPr>
        <w:t>du paysage</w:t>
      </w:r>
      <w:r w:rsidRPr="00F77964">
        <w:rPr>
          <w:lang w:val="fr-FR"/>
        </w:rPr>
        <w:t xml:space="preserve"> des évaluations et des </w:t>
      </w:r>
      <w:r w:rsidR="004F6FD5">
        <w:rPr>
          <w:lang w:val="fr-FR"/>
        </w:rPr>
        <w:t>enseignements qu’elles procurent</w:t>
      </w:r>
      <w:r w:rsidRPr="00F77964">
        <w:rPr>
          <w:lang w:val="fr-FR"/>
        </w:rPr>
        <w:t xml:space="preserve"> et couvrira les évaluations thématiques et exhaustives pertinentes au niveau national</w:t>
      </w:r>
      <w:r w:rsidR="00D2068D" w:rsidRPr="00F77964">
        <w:rPr>
          <w:lang w:val="fr-FR"/>
        </w:rPr>
        <w:t xml:space="preserve">, </w:t>
      </w:r>
      <w:r w:rsidRPr="00F77964">
        <w:rPr>
          <w:lang w:val="fr-FR"/>
        </w:rPr>
        <w:t xml:space="preserve">les évaluations </w:t>
      </w:r>
      <w:r w:rsidR="00BC5346">
        <w:rPr>
          <w:lang w:val="fr-FR"/>
        </w:rPr>
        <w:t xml:space="preserve">aussi bien </w:t>
      </w:r>
      <w:r w:rsidRPr="00F77964">
        <w:rPr>
          <w:lang w:val="fr-FR"/>
        </w:rPr>
        <w:t xml:space="preserve">en cours </w:t>
      </w:r>
      <w:r w:rsidR="00BC5346">
        <w:rPr>
          <w:lang w:val="fr-FR"/>
        </w:rPr>
        <w:t>que</w:t>
      </w:r>
      <w:r w:rsidRPr="00F77964">
        <w:rPr>
          <w:lang w:val="fr-FR"/>
        </w:rPr>
        <w:t xml:space="preserve"> prévues </w:t>
      </w:r>
      <w:r w:rsidR="00BC5346">
        <w:rPr>
          <w:lang w:val="fr-FR"/>
        </w:rPr>
        <w:t>et</w:t>
      </w:r>
      <w:r w:rsidRPr="00F77964">
        <w:rPr>
          <w:lang w:val="fr-FR"/>
        </w:rPr>
        <w:t xml:space="preserve"> les études pertinentes concernant les différents systèmes de connaissances, y compris les connaissances autochtones et locales ou l</w:t>
      </w:r>
      <w:r w:rsidR="00D2068D" w:rsidRPr="00F77964">
        <w:rPr>
          <w:lang w:val="fr-FR"/>
        </w:rPr>
        <w:t>es</w:t>
      </w:r>
      <w:r w:rsidRPr="00F77964">
        <w:rPr>
          <w:lang w:val="fr-FR"/>
        </w:rPr>
        <w:t xml:space="preserve"> science</w:t>
      </w:r>
      <w:r w:rsidR="00D2068D" w:rsidRPr="00F77964">
        <w:rPr>
          <w:lang w:val="fr-FR"/>
        </w:rPr>
        <w:t>s</w:t>
      </w:r>
      <w:r w:rsidRPr="00F77964">
        <w:rPr>
          <w:lang w:val="fr-FR"/>
        </w:rPr>
        <w:t xml:space="preserve"> citoyenne</w:t>
      </w:r>
      <w:r w:rsidR="00D2068D" w:rsidRPr="00F77964">
        <w:rPr>
          <w:lang w:val="fr-FR"/>
        </w:rPr>
        <w:t>s</w:t>
      </w:r>
      <w:r w:rsidRPr="00F77964">
        <w:rPr>
          <w:lang w:val="fr-FR"/>
        </w:rPr>
        <w:t>. Le catalogue continuera à être géré en ligne de manière à ce que les spécialistes des évaluations puissent ajouter des informations sur leurs propres travaux</w:t>
      </w:r>
      <w:r w:rsidR="00D2068D" w:rsidRPr="00F77964">
        <w:rPr>
          <w:lang w:val="fr-FR"/>
        </w:rPr>
        <w:t xml:space="preserve">, ce qui </w:t>
      </w:r>
      <w:r w:rsidRPr="00F77964">
        <w:rPr>
          <w:lang w:val="fr-FR"/>
        </w:rPr>
        <w:t>permettra d</w:t>
      </w:r>
      <w:r w:rsidR="0096609A">
        <w:rPr>
          <w:lang w:val="fr-FR"/>
        </w:rPr>
        <w:t>e faire en sorte</w:t>
      </w:r>
      <w:r w:rsidRPr="00F77964">
        <w:rPr>
          <w:lang w:val="fr-FR"/>
        </w:rPr>
        <w:t xml:space="preserve"> qu’il s</w:t>
      </w:r>
      <w:r w:rsidR="0096609A">
        <w:rPr>
          <w:lang w:val="fr-FR"/>
        </w:rPr>
        <w:t>oit</w:t>
      </w:r>
      <w:r w:rsidRPr="00F77964">
        <w:rPr>
          <w:lang w:val="fr-FR"/>
        </w:rPr>
        <w:t xml:space="preserve"> efficacement tir</w:t>
      </w:r>
      <w:r w:rsidR="00D2068D" w:rsidRPr="00F77964">
        <w:rPr>
          <w:lang w:val="fr-FR"/>
        </w:rPr>
        <w:t>é</w:t>
      </w:r>
      <w:r w:rsidRPr="00F77964">
        <w:rPr>
          <w:lang w:val="fr-FR"/>
        </w:rPr>
        <w:t xml:space="preserve"> parti de</w:t>
      </w:r>
      <w:r w:rsidR="00D2068D" w:rsidRPr="00F77964">
        <w:rPr>
          <w:lang w:val="fr-FR"/>
        </w:rPr>
        <w:t xml:space="preserve">s données d’expérience de ceux qui connaissent bien </w:t>
      </w:r>
      <w:r w:rsidRPr="00F77964">
        <w:rPr>
          <w:lang w:val="fr-FR"/>
        </w:rPr>
        <w:t>les évaluations et qu</w:t>
      </w:r>
      <w:r w:rsidR="00E051CE" w:rsidRPr="00F77964">
        <w:rPr>
          <w:lang w:val="fr-FR"/>
        </w:rPr>
        <w:t>’il s</w:t>
      </w:r>
      <w:r w:rsidR="0096609A">
        <w:rPr>
          <w:lang w:val="fr-FR"/>
        </w:rPr>
        <w:t>oit</w:t>
      </w:r>
      <w:r w:rsidR="00E051CE" w:rsidRPr="00F77964">
        <w:rPr>
          <w:lang w:val="fr-FR"/>
        </w:rPr>
        <w:t xml:space="preserve"> tenu compte de ces</w:t>
      </w:r>
      <w:r w:rsidRPr="00F77964">
        <w:rPr>
          <w:lang w:val="fr-FR"/>
        </w:rPr>
        <w:t xml:space="preserve"> enseignements dans les activités de la </w:t>
      </w:r>
      <w:r w:rsidR="00D2068D" w:rsidRPr="00F77964">
        <w:rPr>
          <w:lang w:val="fr-FR"/>
        </w:rPr>
        <w:t>P</w:t>
      </w:r>
      <w:r w:rsidRPr="00F77964">
        <w:rPr>
          <w:lang w:val="fr-FR"/>
        </w:rPr>
        <w:t>lateforme. Une catégorie spécifique couvrant les évaluations en cours, prévues et envisag</w:t>
      </w:r>
      <w:r w:rsidR="00D2068D" w:rsidRPr="00F77964">
        <w:rPr>
          <w:lang w:val="fr-FR"/>
        </w:rPr>
        <w:t>ées</w:t>
      </w:r>
      <w:r w:rsidRPr="00F77964">
        <w:rPr>
          <w:lang w:val="fr-FR"/>
        </w:rPr>
        <w:t xml:space="preserve"> sera créée et régulièrement mise à jour à compter de 2014 pour suivre </w:t>
      </w:r>
      <w:r w:rsidR="00D2068D" w:rsidRPr="00F77964">
        <w:rPr>
          <w:lang w:val="fr-FR"/>
        </w:rPr>
        <w:t>l</w:t>
      </w:r>
      <w:r w:rsidR="0096609A">
        <w:rPr>
          <w:lang w:val="fr-FR"/>
        </w:rPr>
        <w:t xml:space="preserve">es </w:t>
      </w:r>
      <w:r w:rsidR="00D2068D" w:rsidRPr="00F77964">
        <w:rPr>
          <w:lang w:val="fr-FR"/>
        </w:rPr>
        <w:t>évolution</w:t>
      </w:r>
      <w:r w:rsidR="0096609A">
        <w:rPr>
          <w:lang w:val="fr-FR"/>
        </w:rPr>
        <w:t>s</w:t>
      </w:r>
      <w:r w:rsidR="00D2068D" w:rsidRPr="00F77964">
        <w:rPr>
          <w:lang w:val="fr-FR"/>
        </w:rPr>
        <w:t xml:space="preserve"> </w:t>
      </w:r>
      <w:r w:rsidR="0096609A">
        <w:rPr>
          <w:lang w:val="fr-FR"/>
        </w:rPr>
        <w:t>du paysage des</w:t>
      </w:r>
      <w:r w:rsidRPr="00F77964">
        <w:rPr>
          <w:lang w:val="fr-FR"/>
        </w:rPr>
        <w:t xml:space="preserve"> évaluations. C</w:t>
      </w:r>
      <w:r w:rsidR="00D2068D" w:rsidRPr="00F77964">
        <w:rPr>
          <w:lang w:val="fr-FR"/>
        </w:rPr>
        <w:t xml:space="preserve">elles-ci </w:t>
      </w:r>
      <w:r w:rsidR="00E051CE" w:rsidRPr="00F77964">
        <w:rPr>
          <w:lang w:val="fr-FR"/>
        </w:rPr>
        <w:t>pourront ainsi être prises en considération lors de la</w:t>
      </w:r>
      <w:r w:rsidRPr="00F77964">
        <w:rPr>
          <w:lang w:val="fr-FR"/>
        </w:rPr>
        <w:t xml:space="preserve"> hiérarchisation et d</w:t>
      </w:r>
      <w:r w:rsidR="00E051CE" w:rsidRPr="00F77964">
        <w:rPr>
          <w:lang w:val="fr-FR"/>
        </w:rPr>
        <w:t>u</w:t>
      </w:r>
      <w:r w:rsidRPr="00F77964">
        <w:rPr>
          <w:lang w:val="fr-FR"/>
        </w:rPr>
        <w:t xml:space="preserve"> cadrage </w:t>
      </w:r>
      <w:r w:rsidR="00E051CE" w:rsidRPr="00F77964">
        <w:rPr>
          <w:lang w:val="fr-FR"/>
        </w:rPr>
        <w:t>des évaluations de la P</w:t>
      </w:r>
      <w:r w:rsidRPr="00F77964">
        <w:rPr>
          <w:lang w:val="fr-FR"/>
        </w:rPr>
        <w:t xml:space="preserve">lateforme, </w:t>
      </w:r>
      <w:r w:rsidR="00E051CE" w:rsidRPr="00F77964">
        <w:rPr>
          <w:lang w:val="fr-FR"/>
        </w:rPr>
        <w:t xml:space="preserve">afin </w:t>
      </w:r>
      <w:r w:rsidRPr="00F77964">
        <w:rPr>
          <w:lang w:val="fr-FR"/>
        </w:rPr>
        <w:t xml:space="preserve">d’éviter les </w:t>
      </w:r>
      <w:r w:rsidR="00E051CE" w:rsidRPr="00F77964">
        <w:rPr>
          <w:lang w:val="fr-FR"/>
        </w:rPr>
        <w:t>chevauchements et</w:t>
      </w:r>
      <w:r w:rsidRPr="00F77964">
        <w:rPr>
          <w:lang w:val="fr-FR"/>
        </w:rPr>
        <w:t xml:space="preserve"> d’envisager les collaborations possibles. </w:t>
      </w:r>
      <w:r w:rsidR="00E051CE" w:rsidRPr="00F77964">
        <w:rPr>
          <w:lang w:val="fr-FR"/>
        </w:rPr>
        <w:t>Ce</w:t>
      </w:r>
      <w:r w:rsidRPr="00F77964">
        <w:rPr>
          <w:lang w:val="fr-FR"/>
        </w:rPr>
        <w:t xml:space="preserve"> catalogue dynamique </w:t>
      </w:r>
      <w:r w:rsidR="00E051CE" w:rsidRPr="00F77964">
        <w:rPr>
          <w:lang w:val="fr-FR"/>
        </w:rPr>
        <w:t xml:space="preserve">devrait </w:t>
      </w:r>
      <w:r w:rsidRPr="00F77964">
        <w:rPr>
          <w:lang w:val="fr-FR"/>
        </w:rPr>
        <w:t>dev</w:t>
      </w:r>
      <w:r w:rsidR="00E051CE" w:rsidRPr="00F77964">
        <w:rPr>
          <w:lang w:val="fr-FR"/>
        </w:rPr>
        <w:t>enir</w:t>
      </w:r>
      <w:r w:rsidRPr="00F77964">
        <w:rPr>
          <w:lang w:val="fr-FR"/>
        </w:rPr>
        <w:t xml:space="preserve"> un </w:t>
      </w:r>
      <w:r w:rsidR="00E051CE" w:rsidRPr="00F77964">
        <w:rPr>
          <w:lang w:val="fr-FR"/>
        </w:rPr>
        <w:t xml:space="preserve">important </w:t>
      </w:r>
      <w:r w:rsidR="0096609A" w:rsidRPr="00F77964">
        <w:rPr>
          <w:lang w:val="fr-FR"/>
        </w:rPr>
        <w:t xml:space="preserve">mécanisme </w:t>
      </w:r>
      <w:r w:rsidR="0096609A">
        <w:rPr>
          <w:lang w:val="fr-FR"/>
        </w:rPr>
        <w:t>d</w:t>
      </w:r>
      <w:r w:rsidR="00E051CE" w:rsidRPr="00F77964">
        <w:rPr>
          <w:lang w:val="fr-FR"/>
        </w:rPr>
        <w:t>’</w:t>
      </w:r>
      <w:r w:rsidRPr="00F77964">
        <w:rPr>
          <w:lang w:val="fr-FR"/>
        </w:rPr>
        <w:t>échange d</w:t>
      </w:r>
      <w:r w:rsidR="0096609A">
        <w:rPr>
          <w:lang w:val="fr-FR"/>
        </w:rPr>
        <w:t>’</w:t>
      </w:r>
      <w:r w:rsidRPr="00F77964">
        <w:rPr>
          <w:lang w:val="fr-FR"/>
        </w:rPr>
        <w:t xml:space="preserve">informations </w:t>
      </w:r>
      <w:r w:rsidR="00E051CE" w:rsidRPr="00F77964">
        <w:rPr>
          <w:lang w:val="fr-FR"/>
        </w:rPr>
        <w:t>pertinentes sur l</w:t>
      </w:r>
      <w:r w:rsidR="0096609A">
        <w:rPr>
          <w:lang w:val="fr-FR"/>
        </w:rPr>
        <w:t>a situation au plan</w:t>
      </w:r>
      <w:r w:rsidR="00E051CE" w:rsidRPr="00F77964">
        <w:rPr>
          <w:lang w:val="fr-FR"/>
        </w:rPr>
        <w:t xml:space="preserve"> des</w:t>
      </w:r>
      <w:r w:rsidRPr="00F77964">
        <w:rPr>
          <w:lang w:val="fr-FR"/>
        </w:rPr>
        <w:t xml:space="preserve"> évaluations </w:t>
      </w:r>
      <w:r w:rsidR="005D3C3B">
        <w:rPr>
          <w:lang w:val="fr-FR"/>
        </w:rPr>
        <w:t>présentant un intérêt pour</w:t>
      </w:r>
      <w:r w:rsidRPr="00F77964">
        <w:rPr>
          <w:lang w:val="fr-FR"/>
        </w:rPr>
        <w:t xml:space="preserve"> la biodiversité et les services écosystémiques. C’est le </w:t>
      </w:r>
      <w:r w:rsidR="00E051CE" w:rsidRPr="00F77964">
        <w:rPr>
          <w:lang w:val="fr-FR"/>
        </w:rPr>
        <w:t>s</w:t>
      </w:r>
      <w:r w:rsidRPr="00F77964">
        <w:rPr>
          <w:lang w:val="fr-FR"/>
        </w:rPr>
        <w:t xml:space="preserve">ecrétariat, sous les auspices du Groupe d’experts multidisciplinaire et du Bureau, qui sera </w:t>
      </w:r>
      <w:r w:rsidR="00E051CE" w:rsidRPr="00F77964">
        <w:rPr>
          <w:lang w:val="fr-FR"/>
        </w:rPr>
        <w:t>chargé</w:t>
      </w:r>
      <w:r w:rsidRPr="00F77964">
        <w:rPr>
          <w:lang w:val="fr-FR"/>
        </w:rPr>
        <w:t xml:space="preserve"> de la gestion d</w:t>
      </w:r>
      <w:r w:rsidR="008B02A1">
        <w:rPr>
          <w:lang w:val="fr-FR"/>
        </w:rPr>
        <w:t>e ce catalogue</w:t>
      </w:r>
      <w:r w:rsidRPr="00F77964">
        <w:rPr>
          <w:lang w:val="fr-FR"/>
        </w:rPr>
        <w:t>, ainsi que de l’examen des enseignements tirés.</w:t>
      </w:r>
    </w:p>
    <w:p w:rsidR="001D6913" w:rsidRPr="00F77964" w:rsidRDefault="001D6913" w:rsidP="001D6913">
      <w:pPr>
        <w:pStyle w:val="CH3"/>
        <w:spacing w:before="200"/>
        <w:rPr>
          <w:rFonts w:eastAsia="SimSun"/>
          <w:lang w:val="fr-FR" w:eastAsia="zh-CN"/>
        </w:rPr>
      </w:pPr>
      <w:r w:rsidRPr="00F77964">
        <w:rPr>
          <w:rFonts w:eastAsia="SimSun"/>
          <w:lang w:val="fr-FR" w:eastAsia="zh-CN"/>
        </w:rPr>
        <w:tab/>
      </w:r>
      <w:r w:rsidRPr="00F77964">
        <w:rPr>
          <w:rFonts w:eastAsia="SimSun"/>
          <w:lang w:val="fr-FR" w:eastAsia="zh-CN"/>
        </w:rPr>
        <w:tab/>
        <w:t>Actions, étapes intermédiaires et dispositions institutionnelles</w:t>
      </w:r>
    </w:p>
    <w:p w:rsidR="001D6913" w:rsidRPr="00F77964" w:rsidRDefault="001D6913" w:rsidP="00F90D8B">
      <w:pPr>
        <w:pStyle w:val="Normalnumber"/>
        <w:numPr>
          <w:ilvl w:val="0"/>
          <w:numId w:val="6"/>
        </w:numPr>
        <w:tabs>
          <w:tab w:val="left" w:pos="624"/>
        </w:tabs>
        <w:ind w:left="1247" w:firstLine="0"/>
        <w:rPr>
          <w:lang w:val="fr-FR"/>
        </w:rPr>
      </w:pPr>
      <w:r w:rsidRPr="00F90D8B">
        <w:rPr>
          <w:lang w:val="fr-FR"/>
        </w:rPr>
        <w:t>Les actions à mener sont indiquées ci-après</w:t>
      </w:r>
      <w:r w:rsidRPr="00F77964">
        <w:rPr>
          <w:lang w:val="fr-FR"/>
        </w:rPr>
        <w:t>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1656"/>
        <w:gridCol w:w="5520"/>
      </w:tblGrid>
      <w:tr w:rsidR="001D6913" w:rsidRPr="0061490E" w:rsidTr="001D0F4C">
        <w:trPr>
          <w:trHeight w:val="253"/>
          <w:tblHeader/>
        </w:trPr>
        <w:tc>
          <w:tcPr>
            <w:tcW w:w="2480" w:type="dxa"/>
            <w:gridSpan w:val="2"/>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spacing w:before="40" w:after="40"/>
              <w:rPr>
                <w:rFonts w:eastAsia="SimSun"/>
                <w:i/>
                <w:sz w:val="18"/>
                <w:szCs w:val="18"/>
                <w:lang w:eastAsia="zh-CN"/>
              </w:rPr>
            </w:pPr>
            <w:r w:rsidRPr="00F77964">
              <w:rPr>
                <w:rFonts w:eastAsia="SimSun"/>
                <w:i/>
                <w:sz w:val="18"/>
                <w:szCs w:val="18"/>
                <w:lang w:eastAsia="zh-CN"/>
              </w:rPr>
              <w:t>Calendrier</w:t>
            </w:r>
          </w:p>
        </w:tc>
        <w:tc>
          <w:tcPr>
            <w:tcW w:w="5520" w:type="dxa"/>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spacing w:before="40" w:after="40"/>
              <w:rPr>
                <w:rFonts w:eastAsia="SimSun"/>
                <w:i/>
                <w:sz w:val="18"/>
                <w:szCs w:val="18"/>
                <w:lang w:eastAsia="zh-CN"/>
              </w:rPr>
            </w:pPr>
            <w:r w:rsidRPr="00F77964">
              <w:rPr>
                <w:rFonts w:eastAsia="SimSun"/>
                <w:i/>
                <w:sz w:val="18"/>
                <w:szCs w:val="18"/>
                <w:lang w:eastAsia="zh-CN"/>
              </w:rPr>
              <w:t>Actions/dispositions institutionnelles</w:t>
            </w:r>
          </w:p>
        </w:tc>
      </w:tr>
      <w:tr w:rsidR="001D6913" w:rsidRPr="0061490E" w:rsidTr="001D0F4C">
        <w:trPr>
          <w:trHeight w:val="591"/>
        </w:trPr>
        <w:tc>
          <w:tcPr>
            <w:tcW w:w="824" w:type="dxa"/>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keepNext/>
              <w:keepLines/>
              <w:spacing w:before="40" w:after="40"/>
              <w:rPr>
                <w:rFonts w:eastAsia="SimSun"/>
                <w:sz w:val="18"/>
                <w:szCs w:val="18"/>
                <w:lang w:eastAsia="zh-CN"/>
              </w:rPr>
            </w:pPr>
            <w:r w:rsidRPr="00F77964">
              <w:rPr>
                <w:rFonts w:eastAsia="SimSun"/>
                <w:sz w:val="18"/>
                <w:szCs w:val="18"/>
                <w:lang w:eastAsia="zh-CN"/>
              </w:rPr>
              <w:t>2013</w:t>
            </w:r>
          </w:p>
        </w:tc>
        <w:tc>
          <w:tcPr>
            <w:tcW w:w="1656" w:type="dxa"/>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keepNext/>
              <w:keepLines/>
              <w:spacing w:before="40" w:after="40"/>
              <w:rPr>
                <w:rFonts w:eastAsia="SimSun"/>
                <w:sz w:val="18"/>
                <w:szCs w:val="18"/>
                <w:lang w:eastAsia="zh-CN"/>
              </w:rPr>
            </w:pPr>
            <w:r w:rsidRPr="00F77964">
              <w:rPr>
                <w:rFonts w:eastAsia="SimSun"/>
                <w:sz w:val="18"/>
                <w:szCs w:val="18"/>
                <w:lang w:eastAsia="zh-CN"/>
              </w:rPr>
              <w:t>Quatrième trimestre</w:t>
            </w:r>
          </w:p>
        </w:tc>
        <w:tc>
          <w:tcPr>
            <w:tcW w:w="5520" w:type="dxa"/>
            <w:tcBorders>
              <w:top w:val="single" w:sz="4" w:space="0" w:color="auto"/>
              <w:left w:val="single" w:sz="4" w:space="0" w:color="auto"/>
              <w:bottom w:val="single" w:sz="4" w:space="0" w:color="auto"/>
              <w:right w:val="single" w:sz="4" w:space="0" w:color="auto"/>
            </w:tcBorders>
            <w:hideMark/>
          </w:tcPr>
          <w:p w:rsidR="001D6913" w:rsidRPr="00F77964" w:rsidRDefault="001D6913" w:rsidP="005D3C3B">
            <w:pPr>
              <w:pStyle w:val="Normal-pool"/>
              <w:keepNext/>
              <w:keepLines/>
              <w:spacing w:before="40" w:after="40"/>
              <w:rPr>
                <w:rFonts w:eastAsia="SimSun"/>
                <w:sz w:val="18"/>
                <w:szCs w:val="18"/>
                <w:lang w:eastAsia="zh-CN"/>
              </w:rPr>
            </w:pPr>
            <w:r w:rsidRPr="00F77964">
              <w:rPr>
                <w:rFonts w:eastAsia="SimSun"/>
                <w:sz w:val="18"/>
                <w:szCs w:val="18"/>
                <w:lang w:eastAsia="zh-CN"/>
              </w:rPr>
              <w:t xml:space="preserve">La Plénière, à sa deuxième session, demande au </w:t>
            </w:r>
            <w:r w:rsidR="00E051CE" w:rsidRPr="00F77964">
              <w:rPr>
                <w:rFonts w:eastAsia="SimSun"/>
                <w:sz w:val="18"/>
                <w:szCs w:val="18"/>
                <w:lang w:eastAsia="zh-CN"/>
              </w:rPr>
              <w:t>s</w:t>
            </w:r>
            <w:r w:rsidRPr="00F77964">
              <w:rPr>
                <w:rFonts w:eastAsia="SimSun"/>
                <w:sz w:val="18"/>
                <w:szCs w:val="18"/>
                <w:lang w:eastAsia="zh-CN"/>
              </w:rPr>
              <w:t>ecrétariat de continuer à gérer le catalogue en ligne</w:t>
            </w:r>
            <w:r w:rsidR="00E051CE" w:rsidRPr="00F77964">
              <w:rPr>
                <w:rFonts w:eastAsia="SimSun"/>
                <w:sz w:val="18"/>
                <w:szCs w:val="18"/>
                <w:lang w:eastAsia="zh-CN"/>
              </w:rPr>
              <w:t xml:space="preserve"> des évaluations</w:t>
            </w:r>
            <w:r w:rsidR="009779F1">
              <w:rPr>
                <w:rFonts w:eastAsia="SimSun"/>
                <w:sz w:val="18"/>
                <w:szCs w:val="18"/>
                <w:lang w:eastAsia="zh-CN"/>
              </w:rPr>
              <w:t xml:space="preserve"> et</w:t>
            </w:r>
            <w:r w:rsidRPr="00F77964">
              <w:rPr>
                <w:rFonts w:eastAsia="SimSun"/>
                <w:sz w:val="18"/>
                <w:szCs w:val="18"/>
                <w:lang w:eastAsia="zh-CN"/>
              </w:rPr>
              <w:t xml:space="preserve"> </w:t>
            </w:r>
            <w:r w:rsidR="009779F1">
              <w:rPr>
                <w:rFonts w:eastAsia="SimSun"/>
                <w:sz w:val="18"/>
                <w:szCs w:val="18"/>
                <w:lang w:eastAsia="zh-CN"/>
              </w:rPr>
              <w:t>à</w:t>
            </w:r>
            <w:r w:rsidRPr="00F77964">
              <w:rPr>
                <w:rFonts w:eastAsia="SimSun"/>
                <w:sz w:val="18"/>
                <w:szCs w:val="18"/>
                <w:lang w:eastAsia="zh-CN"/>
              </w:rPr>
              <w:t xml:space="preserve"> </w:t>
            </w:r>
            <w:r w:rsidR="00F15911">
              <w:rPr>
                <w:rFonts w:eastAsia="SimSun"/>
                <w:sz w:val="18"/>
                <w:szCs w:val="18"/>
                <w:lang w:eastAsia="zh-CN"/>
              </w:rPr>
              <w:t xml:space="preserve">l’améliorer en </w:t>
            </w:r>
            <w:r w:rsidRPr="00F77964">
              <w:rPr>
                <w:rFonts w:eastAsia="SimSun"/>
                <w:sz w:val="18"/>
                <w:szCs w:val="18"/>
                <w:lang w:eastAsia="zh-CN"/>
              </w:rPr>
              <w:t>collabor</w:t>
            </w:r>
            <w:r w:rsidR="00F15911">
              <w:rPr>
                <w:rFonts w:eastAsia="SimSun"/>
                <w:sz w:val="18"/>
                <w:szCs w:val="18"/>
                <w:lang w:eastAsia="zh-CN"/>
              </w:rPr>
              <w:t>ation</w:t>
            </w:r>
            <w:r w:rsidRPr="00F77964">
              <w:rPr>
                <w:rFonts w:eastAsia="SimSun"/>
                <w:sz w:val="18"/>
                <w:szCs w:val="18"/>
                <w:lang w:eastAsia="zh-CN"/>
              </w:rPr>
              <w:t xml:space="preserve"> avec les réseaux </w:t>
            </w:r>
            <w:r w:rsidR="00E051CE" w:rsidRPr="00F77964">
              <w:rPr>
                <w:rFonts w:eastAsia="SimSun"/>
                <w:sz w:val="18"/>
                <w:szCs w:val="18"/>
                <w:lang w:eastAsia="zh-CN"/>
              </w:rPr>
              <w:t>et i</w:t>
            </w:r>
            <w:r w:rsidRPr="00F77964">
              <w:rPr>
                <w:rFonts w:eastAsia="SimSun"/>
                <w:sz w:val="18"/>
                <w:szCs w:val="18"/>
                <w:lang w:eastAsia="zh-CN"/>
              </w:rPr>
              <w:t>nitiatives existants</w:t>
            </w:r>
            <w:r w:rsidR="009779F1">
              <w:rPr>
                <w:rFonts w:eastAsia="SimSun"/>
                <w:sz w:val="18"/>
                <w:szCs w:val="18"/>
                <w:lang w:eastAsia="zh-CN"/>
              </w:rPr>
              <w:t>,</w:t>
            </w:r>
            <w:r w:rsidRPr="00F77964">
              <w:rPr>
                <w:rFonts w:eastAsia="SimSun"/>
                <w:sz w:val="18"/>
                <w:szCs w:val="18"/>
                <w:lang w:eastAsia="zh-CN"/>
              </w:rPr>
              <w:t xml:space="preserve"> et d</w:t>
            </w:r>
            <w:r w:rsidR="00E051CE" w:rsidRPr="00F77964">
              <w:rPr>
                <w:rFonts w:eastAsia="SimSun"/>
                <w:sz w:val="18"/>
                <w:szCs w:val="18"/>
                <w:lang w:eastAsia="zh-CN"/>
              </w:rPr>
              <w:t>e pr</w:t>
            </w:r>
            <w:r w:rsidR="005D3C3B">
              <w:rPr>
                <w:rFonts w:eastAsia="SimSun"/>
                <w:sz w:val="18"/>
                <w:szCs w:val="18"/>
                <w:lang w:eastAsia="zh-CN"/>
              </w:rPr>
              <w:t>ésenter</w:t>
            </w:r>
            <w:r w:rsidRPr="00F77964">
              <w:rPr>
                <w:rFonts w:eastAsia="SimSun"/>
                <w:sz w:val="18"/>
                <w:szCs w:val="18"/>
                <w:lang w:eastAsia="zh-CN"/>
              </w:rPr>
              <w:t xml:space="preserve"> un autre </w:t>
            </w:r>
            <w:r w:rsidR="005D3C3B">
              <w:rPr>
                <w:rFonts w:eastAsia="SimSun"/>
                <w:sz w:val="18"/>
                <w:szCs w:val="18"/>
                <w:lang w:eastAsia="zh-CN"/>
              </w:rPr>
              <w:t>tour d’horizon</w:t>
            </w:r>
            <w:r w:rsidRPr="00F77964">
              <w:rPr>
                <w:rFonts w:eastAsia="SimSun"/>
                <w:sz w:val="18"/>
                <w:szCs w:val="18"/>
                <w:lang w:eastAsia="zh-CN"/>
              </w:rPr>
              <w:t xml:space="preserve"> des évaluations et des enseignements tirés </w:t>
            </w:r>
            <w:r w:rsidR="00F15911">
              <w:rPr>
                <w:rFonts w:eastAsia="SimSun"/>
                <w:sz w:val="18"/>
                <w:szCs w:val="18"/>
                <w:lang w:eastAsia="zh-CN"/>
              </w:rPr>
              <w:t xml:space="preserve">suffisamment tôt </w:t>
            </w:r>
            <w:r w:rsidRPr="00F77964">
              <w:rPr>
                <w:rFonts w:eastAsia="SimSun"/>
                <w:sz w:val="18"/>
                <w:szCs w:val="18"/>
                <w:lang w:eastAsia="zh-CN"/>
              </w:rPr>
              <w:t xml:space="preserve">pour </w:t>
            </w:r>
            <w:r w:rsidR="003459ED">
              <w:rPr>
                <w:rFonts w:eastAsia="SimSun"/>
                <w:sz w:val="18"/>
                <w:szCs w:val="18"/>
                <w:lang w:eastAsia="zh-CN"/>
              </w:rPr>
              <w:t>éclairer</w:t>
            </w:r>
            <w:r w:rsidRPr="00F77964">
              <w:rPr>
                <w:rFonts w:eastAsia="SimSun"/>
                <w:sz w:val="18"/>
                <w:szCs w:val="18"/>
                <w:lang w:eastAsia="zh-CN"/>
              </w:rPr>
              <w:t xml:space="preserve"> l’examen de la </w:t>
            </w:r>
            <w:r w:rsidR="00E051CE" w:rsidRPr="00F77964">
              <w:rPr>
                <w:rFonts w:eastAsia="SimSun"/>
                <w:sz w:val="18"/>
                <w:szCs w:val="18"/>
                <w:lang w:eastAsia="zh-CN"/>
              </w:rPr>
              <w:t>P</w:t>
            </w:r>
            <w:r w:rsidRPr="00F77964">
              <w:rPr>
                <w:rFonts w:eastAsia="SimSun"/>
                <w:sz w:val="18"/>
                <w:szCs w:val="18"/>
                <w:lang w:eastAsia="zh-CN"/>
              </w:rPr>
              <w:t>lateforme (voir produit 4</w:t>
            </w:r>
            <w:r w:rsidR="00E051CE" w:rsidRPr="00F77964">
              <w:rPr>
                <w:rFonts w:eastAsia="SimSun"/>
                <w:sz w:val="18"/>
                <w:szCs w:val="18"/>
                <w:lang w:eastAsia="zh-CN"/>
              </w:rPr>
              <w:t> </w:t>
            </w:r>
            <w:r w:rsidRPr="00F77964">
              <w:rPr>
                <w:rFonts w:eastAsia="SimSun"/>
                <w:sz w:val="18"/>
                <w:szCs w:val="18"/>
                <w:lang w:eastAsia="zh-CN"/>
              </w:rPr>
              <w:t xml:space="preserve">d)) et </w:t>
            </w:r>
            <w:r w:rsidR="003459ED">
              <w:rPr>
                <w:rFonts w:eastAsia="SimSun"/>
                <w:sz w:val="18"/>
                <w:szCs w:val="18"/>
                <w:lang w:eastAsia="zh-CN"/>
              </w:rPr>
              <w:t>les</w:t>
            </w:r>
            <w:r w:rsidRPr="00F77964">
              <w:rPr>
                <w:rFonts w:eastAsia="SimSun"/>
                <w:sz w:val="18"/>
                <w:szCs w:val="18"/>
                <w:lang w:eastAsia="zh-CN"/>
              </w:rPr>
              <w:t xml:space="preserve"> d</w:t>
            </w:r>
            <w:r w:rsidR="00E051CE" w:rsidRPr="00F77964">
              <w:rPr>
                <w:rFonts w:eastAsia="SimSun"/>
                <w:sz w:val="18"/>
                <w:szCs w:val="18"/>
                <w:lang w:eastAsia="zh-CN"/>
              </w:rPr>
              <w:t>ébats</w:t>
            </w:r>
            <w:r w:rsidRPr="00F77964">
              <w:rPr>
                <w:rFonts w:eastAsia="SimSun"/>
                <w:sz w:val="18"/>
                <w:szCs w:val="18"/>
                <w:lang w:eastAsia="zh-CN"/>
              </w:rPr>
              <w:t xml:space="preserve"> sur le prochain programme de travail</w:t>
            </w:r>
          </w:p>
        </w:tc>
      </w:tr>
      <w:tr w:rsidR="001D6913" w:rsidRPr="0061490E" w:rsidTr="001D0F4C">
        <w:trPr>
          <w:trHeight w:val="754"/>
        </w:trPr>
        <w:tc>
          <w:tcPr>
            <w:tcW w:w="824" w:type="dxa"/>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keepNext/>
              <w:keepLines/>
              <w:spacing w:before="40" w:after="40"/>
              <w:rPr>
                <w:rFonts w:eastAsia="SimSun"/>
                <w:sz w:val="18"/>
                <w:szCs w:val="18"/>
                <w:lang w:eastAsia="zh-CN"/>
              </w:rPr>
            </w:pPr>
            <w:r w:rsidRPr="00F77964">
              <w:rPr>
                <w:rFonts w:eastAsia="SimSun"/>
                <w:sz w:val="18"/>
                <w:szCs w:val="18"/>
                <w:lang w:eastAsia="zh-CN"/>
              </w:rPr>
              <w:t>2014</w:t>
            </w:r>
          </w:p>
        </w:tc>
        <w:tc>
          <w:tcPr>
            <w:tcW w:w="1656" w:type="dxa"/>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keepNext/>
              <w:keepLines/>
              <w:spacing w:before="40" w:after="40"/>
              <w:rPr>
                <w:rFonts w:eastAsia="SimSun"/>
                <w:sz w:val="18"/>
                <w:szCs w:val="18"/>
                <w:lang w:eastAsia="zh-CN"/>
              </w:rPr>
            </w:pPr>
            <w:r w:rsidRPr="00F77964">
              <w:rPr>
                <w:rFonts w:eastAsia="SimSun"/>
                <w:sz w:val="18"/>
                <w:szCs w:val="18"/>
                <w:lang w:eastAsia="zh-CN"/>
              </w:rPr>
              <w:t>Premier/deuxième/ troisième/quatrième trimestres</w:t>
            </w:r>
          </w:p>
        </w:tc>
        <w:tc>
          <w:tcPr>
            <w:tcW w:w="5520" w:type="dxa"/>
            <w:tcBorders>
              <w:top w:val="single" w:sz="4" w:space="0" w:color="auto"/>
              <w:left w:val="single" w:sz="4" w:space="0" w:color="auto"/>
              <w:bottom w:val="single" w:sz="4" w:space="0" w:color="auto"/>
              <w:right w:val="single" w:sz="4" w:space="0" w:color="auto"/>
            </w:tcBorders>
            <w:hideMark/>
          </w:tcPr>
          <w:p w:rsidR="001D6913" w:rsidRPr="00F77964" w:rsidRDefault="001D6913" w:rsidP="003459ED">
            <w:pPr>
              <w:pStyle w:val="Normal-pool"/>
              <w:keepNext/>
              <w:keepLines/>
              <w:spacing w:before="40" w:after="40"/>
              <w:rPr>
                <w:rFonts w:eastAsia="SimSun"/>
                <w:sz w:val="18"/>
                <w:szCs w:val="18"/>
                <w:lang w:eastAsia="zh-CN"/>
              </w:rPr>
            </w:pPr>
            <w:r w:rsidRPr="00F77964">
              <w:rPr>
                <w:rFonts w:eastAsia="SimSun"/>
                <w:sz w:val="18"/>
                <w:szCs w:val="18"/>
                <w:lang w:eastAsia="zh-CN"/>
              </w:rPr>
              <w:t xml:space="preserve">Le </w:t>
            </w:r>
            <w:r w:rsidR="00E051CE" w:rsidRPr="00F77964">
              <w:rPr>
                <w:rFonts w:eastAsia="SimSun"/>
                <w:sz w:val="18"/>
                <w:szCs w:val="18"/>
                <w:lang w:eastAsia="zh-CN"/>
              </w:rPr>
              <w:t>s</w:t>
            </w:r>
            <w:r w:rsidRPr="00F77964">
              <w:rPr>
                <w:rFonts w:eastAsia="SimSun"/>
                <w:sz w:val="18"/>
                <w:szCs w:val="18"/>
                <w:lang w:eastAsia="zh-CN"/>
              </w:rPr>
              <w:t>ecrétariat continue</w:t>
            </w:r>
            <w:r w:rsidR="00E051CE" w:rsidRPr="00F77964">
              <w:rPr>
                <w:rFonts w:eastAsia="SimSun"/>
                <w:sz w:val="18"/>
                <w:szCs w:val="18"/>
                <w:lang w:eastAsia="zh-CN"/>
              </w:rPr>
              <w:t xml:space="preserve"> </w:t>
            </w:r>
            <w:r w:rsidR="00F15911">
              <w:rPr>
                <w:rFonts w:eastAsia="SimSun"/>
                <w:sz w:val="18"/>
                <w:szCs w:val="18"/>
                <w:lang w:eastAsia="zh-CN"/>
              </w:rPr>
              <w:t>à</w:t>
            </w:r>
            <w:r w:rsidRPr="00F77964">
              <w:rPr>
                <w:rFonts w:eastAsia="SimSun"/>
                <w:sz w:val="18"/>
                <w:szCs w:val="18"/>
                <w:lang w:eastAsia="zh-CN"/>
              </w:rPr>
              <w:t xml:space="preserve"> gérer le catalogue en ligne des évaluations, </w:t>
            </w:r>
            <w:r w:rsidR="00F15911">
              <w:rPr>
                <w:rFonts w:eastAsia="SimSun"/>
                <w:sz w:val="18"/>
                <w:szCs w:val="18"/>
                <w:lang w:eastAsia="zh-CN"/>
              </w:rPr>
              <w:t>à l’améliorer en</w:t>
            </w:r>
            <w:r w:rsidRPr="00F77964">
              <w:rPr>
                <w:rFonts w:eastAsia="SimSun"/>
                <w:sz w:val="18"/>
                <w:szCs w:val="18"/>
                <w:lang w:eastAsia="zh-CN"/>
              </w:rPr>
              <w:t xml:space="preserve"> collabor</w:t>
            </w:r>
            <w:r w:rsidR="00F15911">
              <w:rPr>
                <w:rFonts w:eastAsia="SimSun"/>
                <w:sz w:val="18"/>
                <w:szCs w:val="18"/>
                <w:lang w:eastAsia="zh-CN"/>
              </w:rPr>
              <w:t>ation</w:t>
            </w:r>
            <w:r w:rsidRPr="00F77964">
              <w:rPr>
                <w:rFonts w:eastAsia="SimSun"/>
                <w:sz w:val="18"/>
                <w:szCs w:val="18"/>
                <w:lang w:eastAsia="zh-CN"/>
              </w:rPr>
              <w:t xml:space="preserve"> avec les réseaux </w:t>
            </w:r>
            <w:r w:rsidR="00E051CE" w:rsidRPr="00F77964">
              <w:rPr>
                <w:rFonts w:eastAsia="SimSun"/>
                <w:sz w:val="18"/>
                <w:szCs w:val="18"/>
                <w:lang w:eastAsia="zh-CN"/>
              </w:rPr>
              <w:t>et i</w:t>
            </w:r>
            <w:r w:rsidRPr="00F77964">
              <w:rPr>
                <w:rFonts w:eastAsia="SimSun"/>
                <w:sz w:val="18"/>
                <w:szCs w:val="18"/>
                <w:lang w:eastAsia="zh-CN"/>
              </w:rPr>
              <w:t xml:space="preserve">nitiatives existants et </w:t>
            </w:r>
            <w:r w:rsidR="00F15911">
              <w:rPr>
                <w:rFonts w:eastAsia="SimSun"/>
                <w:sz w:val="18"/>
                <w:szCs w:val="18"/>
                <w:lang w:eastAsia="zh-CN"/>
              </w:rPr>
              <w:t xml:space="preserve">à </w:t>
            </w:r>
            <w:r w:rsidR="003459ED">
              <w:rPr>
                <w:rFonts w:eastAsia="SimSun"/>
                <w:sz w:val="18"/>
                <w:szCs w:val="18"/>
                <w:lang w:eastAsia="zh-CN"/>
              </w:rPr>
              <w:t>établir des tours d’horizon d</w:t>
            </w:r>
            <w:r w:rsidRPr="00F77964">
              <w:rPr>
                <w:rFonts w:eastAsia="SimSun"/>
                <w:sz w:val="18"/>
                <w:szCs w:val="18"/>
                <w:lang w:eastAsia="zh-CN"/>
              </w:rPr>
              <w:t xml:space="preserve">es évaluations et </w:t>
            </w:r>
            <w:r w:rsidR="003459ED">
              <w:rPr>
                <w:rFonts w:eastAsia="SimSun"/>
                <w:sz w:val="18"/>
                <w:szCs w:val="18"/>
                <w:lang w:eastAsia="zh-CN"/>
              </w:rPr>
              <w:t>d</w:t>
            </w:r>
            <w:r w:rsidRPr="00F77964">
              <w:rPr>
                <w:rFonts w:eastAsia="SimSun"/>
                <w:sz w:val="18"/>
                <w:szCs w:val="18"/>
                <w:lang w:eastAsia="zh-CN"/>
              </w:rPr>
              <w:t>es enseignements tirés</w:t>
            </w:r>
            <w:r w:rsidR="003459ED">
              <w:rPr>
                <w:rFonts w:eastAsia="SimSun"/>
                <w:sz w:val="18"/>
                <w:szCs w:val="18"/>
                <w:lang w:eastAsia="zh-CN"/>
              </w:rPr>
              <w:t xml:space="preserve"> de ces dernières,</w:t>
            </w:r>
            <w:r w:rsidR="00F258F8" w:rsidRPr="00F77964">
              <w:rPr>
                <w:rFonts w:eastAsia="SimSun"/>
                <w:sz w:val="18"/>
                <w:szCs w:val="18"/>
                <w:lang w:eastAsia="zh-CN"/>
              </w:rPr>
              <w:t xml:space="preserve"> selon que de besoin</w:t>
            </w:r>
          </w:p>
        </w:tc>
      </w:tr>
      <w:tr w:rsidR="003459ED" w:rsidRPr="0061490E" w:rsidTr="001D0F4C">
        <w:trPr>
          <w:trHeight w:val="641"/>
        </w:trPr>
        <w:tc>
          <w:tcPr>
            <w:tcW w:w="824" w:type="dxa"/>
            <w:tcBorders>
              <w:top w:val="single" w:sz="4" w:space="0" w:color="auto"/>
              <w:left w:val="single" w:sz="4" w:space="0" w:color="auto"/>
              <w:bottom w:val="single" w:sz="4" w:space="0" w:color="auto"/>
              <w:right w:val="single" w:sz="4" w:space="0" w:color="auto"/>
            </w:tcBorders>
            <w:hideMark/>
          </w:tcPr>
          <w:p w:rsidR="003459ED" w:rsidRPr="00F77964" w:rsidRDefault="003459ED" w:rsidP="001D6913">
            <w:pPr>
              <w:pStyle w:val="Normal-pool"/>
              <w:spacing w:before="40" w:after="40"/>
              <w:rPr>
                <w:rFonts w:eastAsia="SimSun"/>
                <w:sz w:val="18"/>
                <w:szCs w:val="18"/>
                <w:lang w:eastAsia="zh-CN"/>
              </w:rPr>
            </w:pPr>
            <w:r w:rsidRPr="00F77964">
              <w:rPr>
                <w:rFonts w:eastAsia="SimSun"/>
                <w:sz w:val="18"/>
                <w:szCs w:val="18"/>
                <w:lang w:eastAsia="zh-CN"/>
              </w:rPr>
              <w:t>2015</w:t>
            </w:r>
          </w:p>
        </w:tc>
        <w:tc>
          <w:tcPr>
            <w:tcW w:w="1656" w:type="dxa"/>
            <w:tcBorders>
              <w:top w:val="single" w:sz="4" w:space="0" w:color="auto"/>
              <w:left w:val="single" w:sz="4" w:space="0" w:color="auto"/>
              <w:bottom w:val="single" w:sz="4" w:space="0" w:color="auto"/>
              <w:right w:val="single" w:sz="4" w:space="0" w:color="auto"/>
            </w:tcBorders>
            <w:hideMark/>
          </w:tcPr>
          <w:p w:rsidR="003459ED" w:rsidRPr="00F77964" w:rsidRDefault="003459ED" w:rsidP="001D6913">
            <w:pPr>
              <w:pStyle w:val="Normal-pool"/>
              <w:spacing w:before="40" w:after="40"/>
              <w:rPr>
                <w:rFonts w:eastAsia="SimSun"/>
                <w:sz w:val="18"/>
                <w:szCs w:val="18"/>
                <w:lang w:eastAsia="zh-CN"/>
              </w:rPr>
            </w:pPr>
            <w:r w:rsidRPr="00F77964">
              <w:rPr>
                <w:rFonts w:eastAsia="SimSun"/>
                <w:sz w:val="18"/>
                <w:szCs w:val="18"/>
                <w:lang w:eastAsia="zh-CN"/>
              </w:rPr>
              <w:t>Premier/deuxième/ troisième/quatrième trimestres</w:t>
            </w:r>
          </w:p>
        </w:tc>
        <w:tc>
          <w:tcPr>
            <w:tcW w:w="5520" w:type="dxa"/>
            <w:tcBorders>
              <w:top w:val="single" w:sz="4" w:space="0" w:color="auto"/>
              <w:left w:val="single" w:sz="4" w:space="0" w:color="auto"/>
              <w:bottom w:val="single" w:sz="4" w:space="0" w:color="auto"/>
              <w:right w:val="single" w:sz="4" w:space="0" w:color="auto"/>
            </w:tcBorders>
            <w:hideMark/>
          </w:tcPr>
          <w:p w:rsidR="003459ED" w:rsidRPr="00F77964" w:rsidRDefault="003459ED" w:rsidP="007146B7">
            <w:pPr>
              <w:pStyle w:val="Normal-pool"/>
              <w:keepNext/>
              <w:keepLines/>
              <w:spacing w:before="40" w:after="40"/>
              <w:rPr>
                <w:rFonts w:eastAsia="SimSun"/>
                <w:sz w:val="18"/>
                <w:szCs w:val="18"/>
                <w:lang w:eastAsia="zh-CN"/>
              </w:rPr>
            </w:pPr>
            <w:r w:rsidRPr="00F77964">
              <w:rPr>
                <w:rFonts w:eastAsia="SimSun"/>
                <w:sz w:val="18"/>
                <w:szCs w:val="18"/>
                <w:lang w:eastAsia="zh-CN"/>
              </w:rPr>
              <w:t xml:space="preserve">Le secrétariat continue </w:t>
            </w:r>
            <w:r>
              <w:rPr>
                <w:rFonts w:eastAsia="SimSun"/>
                <w:sz w:val="18"/>
                <w:szCs w:val="18"/>
                <w:lang w:eastAsia="zh-CN"/>
              </w:rPr>
              <w:t>à</w:t>
            </w:r>
            <w:r w:rsidRPr="00F77964">
              <w:rPr>
                <w:rFonts w:eastAsia="SimSun"/>
                <w:sz w:val="18"/>
                <w:szCs w:val="18"/>
                <w:lang w:eastAsia="zh-CN"/>
              </w:rPr>
              <w:t xml:space="preserve"> gérer le catalogue en ligne des évaluations, </w:t>
            </w:r>
            <w:r>
              <w:rPr>
                <w:rFonts w:eastAsia="SimSun"/>
                <w:sz w:val="18"/>
                <w:szCs w:val="18"/>
                <w:lang w:eastAsia="zh-CN"/>
              </w:rPr>
              <w:t>à l’améliorer en</w:t>
            </w:r>
            <w:r w:rsidRPr="00F77964">
              <w:rPr>
                <w:rFonts w:eastAsia="SimSun"/>
                <w:sz w:val="18"/>
                <w:szCs w:val="18"/>
                <w:lang w:eastAsia="zh-CN"/>
              </w:rPr>
              <w:t xml:space="preserve"> collabor</w:t>
            </w:r>
            <w:r>
              <w:rPr>
                <w:rFonts w:eastAsia="SimSun"/>
                <w:sz w:val="18"/>
                <w:szCs w:val="18"/>
                <w:lang w:eastAsia="zh-CN"/>
              </w:rPr>
              <w:t>ation</w:t>
            </w:r>
            <w:r w:rsidRPr="00F77964">
              <w:rPr>
                <w:rFonts w:eastAsia="SimSun"/>
                <w:sz w:val="18"/>
                <w:szCs w:val="18"/>
                <w:lang w:eastAsia="zh-CN"/>
              </w:rPr>
              <w:t xml:space="preserve"> avec les réseaux et initiatives existants et </w:t>
            </w:r>
            <w:r>
              <w:rPr>
                <w:rFonts w:eastAsia="SimSun"/>
                <w:sz w:val="18"/>
                <w:szCs w:val="18"/>
                <w:lang w:eastAsia="zh-CN"/>
              </w:rPr>
              <w:t>à établir des tours d’horizon d</w:t>
            </w:r>
            <w:r w:rsidRPr="00F77964">
              <w:rPr>
                <w:rFonts w:eastAsia="SimSun"/>
                <w:sz w:val="18"/>
                <w:szCs w:val="18"/>
                <w:lang w:eastAsia="zh-CN"/>
              </w:rPr>
              <w:t xml:space="preserve">es évaluations et </w:t>
            </w:r>
            <w:r>
              <w:rPr>
                <w:rFonts w:eastAsia="SimSun"/>
                <w:sz w:val="18"/>
                <w:szCs w:val="18"/>
                <w:lang w:eastAsia="zh-CN"/>
              </w:rPr>
              <w:t>d</w:t>
            </w:r>
            <w:r w:rsidRPr="00F77964">
              <w:rPr>
                <w:rFonts w:eastAsia="SimSun"/>
                <w:sz w:val="18"/>
                <w:szCs w:val="18"/>
                <w:lang w:eastAsia="zh-CN"/>
              </w:rPr>
              <w:t>es enseignements tirés</w:t>
            </w:r>
            <w:r>
              <w:rPr>
                <w:rFonts w:eastAsia="SimSun"/>
                <w:sz w:val="18"/>
                <w:szCs w:val="18"/>
                <w:lang w:eastAsia="zh-CN"/>
              </w:rPr>
              <w:t xml:space="preserve"> de ces dernières,</w:t>
            </w:r>
            <w:r w:rsidRPr="00F77964">
              <w:rPr>
                <w:rFonts w:eastAsia="SimSun"/>
                <w:sz w:val="18"/>
                <w:szCs w:val="18"/>
                <w:lang w:eastAsia="zh-CN"/>
              </w:rPr>
              <w:t xml:space="preserve"> selon que de besoin</w:t>
            </w:r>
          </w:p>
        </w:tc>
      </w:tr>
      <w:tr w:rsidR="003459ED" w:rsidRPr="0061490E" w:rsidTr="001D0F4C">
        <w:trPr>
          <w:trHeight w:val="641"/>
        </w:trPr>
        <w:tc>
          <w:tcPr>
            <w:tcW w:w="824" w:type="dxa"/>
            <w:tcBorders>
              <w:top w:val="single" w:sz="4" w:space="0" w:color="auto"/>
              <w:left w:val="single" w:sz="4" w:space="0" w:color="auto"/>
              <w:bottom w:val="single" w:sz="4" w:space="0" w:color="auto"/>
              <w:right w:val="single" w:sz="4" w:space="0" w:color="auto"/>
            </w:tcBorders>
            <w:hideMark/>
          </w:tcPr>
          <w:p w:rsidR="003459ED" w:rsidRPr="00F77964" w:rsidRDefault="003459ED" w:rsidP="001D6913">
            <w:pPr>
              <w:pStyle w:val="Normal-pool"/>
              <w:spacing w:before="40" w:after="40"/>
              <w:rPr>
                <w:rFonts w:eastAsia="SimSun"/>
                <w:sz w:val="18"/>
                <w:szCs w:val="18"/>
                <w:lang w:eastAsia="zh-CN"/>
              </w:rPr>
            </w:pPr>
            <w:r w:rsidRPr="00F77964">
              <w:rPr>
                <w:rFonts w:eastAsia="SimSun"/>
                <w:sz w:val="18"/>
                <w:szCs w:val="18"/>
                <w:lang w:eastAsia="zh-CN"/>
              </w:rPr>
              <w:t>2016</w:t>
            </w:r>
          </w:p>
        </w:tc>
        <w:tc>
          <w:tcPr>
            <w:tcW w:w="1656" w:type="dxa"/>
            <w:tcBorders>
              <w:top w:val="single" w:sz="4" w:space="0" w:color="auto"/>
              <w:left w:val="single" w:sz="4" w:space="0" w:color="auto"/>
              <w:bottom w:val="single" w:sz="4" w:space="0" w:color="auto"/>
              <w:right w:val="single" w:sz="4" w:space="0" w:color="auto"/>
            </w:tcBorders>
            <w:hideMark/>
          </w:tcPr>
          <w:p w:rsidR="003459ED" w:rsidRPr="00F77964" w:rsidRDefault="003459ED" w:rsidP="001D6913">
            <w:pPr>
              <w:pStyle w:val="Normal-pool"/>
              <w:spacing w:before="40" w:after="40"/>
              <w:rPr>
                <w:rFonts w:eastAsia="SimSun"/>
                <w:sz w:val="18"/>
                <w:szCs w:val="18"/>
                <w:lang w:eastAsia="zh-CN"/>
              </w:rPr>
            </w:pPr>
            <w:r w:rsidRPr="00F77964">
              <w:rPr>
                <w:rFonts w:eastAsia="SimSun"/>
                <w:sz w:val="18"/>
                <w:szCs w:val="18"/>
                <w:lang w:eastAsia="zh-CN"/>
              </w:rPr>
              <w:t>Premier/deuxième/ troisième/quatrième trimestres</w:t>
            </w:r>
          </w:p>
        </w:tc>
        <w:tc>
          <w:tcPr>
            <w:tcW w:w="5520" w:type="dxa"/>
            <w:tcBorders>
              <w:top w:val="single" w:sz="4" w:space="0" w:color="auto"/>
              <w:left w:val="single" w:sz="4" w:space="0" w:color="auto"/>
              <w:bottom w:val="single" w:sz="4" w:space="0" w:color="auto"/>
              <w:right w:val="single" w:sz="4" w:space="0" w:color="auto"/>
            </w:tcBorders>
            <w:hideMark/>
          </w:tcPr>
          <w:p w:rsidR="003459ED" w:rsidRPr="00F77964" w:rsidRDefault="003459ED" w:rsidP="007146B7">
            <w:pPr>
              <w:pStyle w:val="Normal-pool"/>
              <w:keepNext/>
              <w:keepLines/>
              <w:spacing w:before="40" w:after="40"/>
              <w:rPr>
                <w:rFonts w:eastAsia="SimSun"/>
                <w:sz w:val="18"/>
                <w:szCs w:val="18"/>
                <w:lang w:eastAsia="zh-CN"/>
              </w:rPr>
            </w:pPr>
            <w:r w:rsidRPr="00F77964">
              <w:rPr>
                <w:rFonts w:eastAsia="SimSun"/>
                <w:sz w:val="18"/>
                <w:szCs w:val="18"/>
                <w:lang w:eastAsia="zh-CN"/>
              </w:rPr>
              <w:t xml:space="preserve">Le secrétariat continue </w:t>
            </w:r>
            <w:r>
              <w:rPr>
                <w:rFonts w:eastAsia="SimSun"/>
                <w:sz w:val="18"/>
                <w:szCs w:val="18"/>
                <w:lang w:eastAsia="zh-CN"/>
              </w:rPr>
              <w:t>à</w:t>
            </w:r>
            <w:r w:rsidRPr="00F77964">
              <w:rPr>
                <w:rFonts w:eastAsia="SimSun"/>
                <w:sz w:val="18"/>
                <w:szCs w:val="18"/>
                <w:lang w:eastAsia="zh-CN"/>
              </w:rPr>
              <w:t xml:space="preserve"> gérer le catalogue en ligne des évaluations, </w:t>
            </w:r>
            <w:r>
              <w:rPr>
                <w:rFonts w:eastAsia="SimSun"/>
                <w:sz w:val="18"/>
                <w:szCs w:val="18"/>
                <w:lang w:eastAsia="zh-CN"/>
              </w:rPr>
              <w:t>à l’améliorer en</w:t>
            </w:r>
            <w:r w:rsidRPr="00F77964">
              <w:rPr>
                <w:rFonts w:eastAsia="SimSun"/>
                <w:sz w:val="18"/>
                <w:szCs w:val="18"/>
                <w:lang w:eastAsia="zh-CN"/>
              </w:rPr>
              <w:t xml:space="preserve"> collabor</w:t>
            </w:r>
            <w:r>
              <w:rPr>
                <w:rFonts w:eastAsia="SimSun"/>
                <w:sz w:val="18"/>
                <w:szCs w:val="18"/>
                <w:lang w:eastAsia="zh-CN"/>
              </w:rPr>
              <w:t>ation</w:t>
            </w:r>
            <w:r w:rsidRPr="00F77964">
              <w:rPr>
                <w:rFonts w:eastAsia="SimSun"/>
                <w:sz w:val="18"/>
                <w:szCs w:val="18"/>
                <w:lang w:eastAsia="zh-CN"/>
              </w:rPr>
              <w:t xml:space="preserve"> avec les réseaux et initiatives existants et </w:t>
            </w:r>
            <w:r>
              <w:rPr>
                <w:rFonts w:eastAsia="SimSun"/>
                <w:sz w:val="18"/>
                <w:szCs w:val="18"/>
                <w:lang w:eastAsia="zh-CN"/>
              </w:rPr>
              <w:t>à établir des tours d’horizon d</w:t>
            </w:r>
            <w:r w:rsidRPr="00F77964">
              <w:rPr>
                <w:rFonts w:eastAsia="SimSun"/>
                <w:sz w:val="18"/>
                <w:szCs w:val="18"/>
                <w:lang w:eastAsia="zh-CN"/>
              </w:rPr>
              <w:t xml:space="preserve">es évaluations et </w:t>
            </w:r>
            <w:r>
              <w:rPr>
                <w:rFonts w:eastAsia="SimSun"/>
                <w:sz w:val="18"/>
                <w:szCs w:val="18"/>
                <w:lang w:eastAsia="zh-CN"/>
              </w:rPr>
              <w:t>d</w:t>
            </w:r>
            <w:r w:rsidRPr="00F77964">
              <w:rPr>
                <w:rFonts w:eastAsia="SimSun"/>
                <w:sz w:val="18"/>
                <w:szCs w:val="18"/>
                <w:lang w:eastAsia="zh-CN"/>
              </w:rPr>
              <w:t>es enseignements tirés</w:t>
            </w:r>
            <w:r>
              <w:rPr>
                <w:rFonts w:eastAsia="SimSun"/>
                <w:sz w:val="18"/>
                <w:szCs w:val="18"/>
                <w:lang w:eastAsia="zh-CN"/>
              </w:rPr>
              <w:t xml:space="preserve"> de ces dernières,</w:t>
            </w:r>
            <w:r w:rsidRPr="00F77964">
              <w:rPr>
                <w:rFonts w:eastAsia="SimSun"/>
                <w:sz w:val="18"/>
                <w:szCs w:val="18"/>
                <w:lang w:eastAsia="zh-CN"/>
              </w:rPr>
              <w:t xml:space="preserve"> selon que de besoin</w:t>
            </w:r>
          </w:p>
        </w:tc>
      </w:tr>
      <w:tr w:rsidR="001D6913" w:rsidRPr="0061490E" w:rsidTr="001D0F4C">
        <w:trPr>
          <w:trHeight w:val="641"/>
        </w:trPr>
        <w:tc>
          <w:tcPr>
            <w:tcW w:w="824" w:type="dxa"/>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2017</w:t>
            </w:r>
          </w:p>
        </w:tc>
        <w:tc>
          <w:tcPr>
            <w:tcW w:w="1656" w:type="dxa"/>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Premier/deuxième/ troisième/quatrième trimestres</w:t>
            </w:r>
          </w:p>
        </w:tc>
        <w:tc>
          <w:tcPr>
            <w:tcW w:w="5520" w:type="dxa"/>
            <w:tcBorders>
              <w:top w:val="single" w:sz="4" w:space="0" w:color="auto"/>
              <w:left w:val="single" w:sz="4" w:space="0" w:color="auto"/>
              <w:bottom w:val="single" w:sz="4" w:space="0" w:color="auto"/>
              <w:right w:val="single" w:sz="4" w:space="0" w:color="auto"/>
            </w:tcBorders>
            <w:hideMark/>
          </w:tcPr>
          <w:p w:rsidR="001D6913" w:rsidRPr="00F77964" w:rsidRDefault="003459ED" w:rsidP="003459ED">
            <w:pPr>
              <w:pStyle w:val="Normal-pool"/>
              <w:spacing w:before="40" w:after="40"/>
              <w:rPr>
                <w:rFonts w:eastAsia="SimSun"/>
                <w:sz w:val="18"/>
                <w:szCs w:val="18"/>
                <w:lang w:eastAsia="zh-CN"/>
              </w:rPr>
            </w:pPr>
            <w:r w:rsidRPr="00F77964">
              <w:rPr>
                <w:rFonts w:eastAsia="SimSun"/>
                <w:sz w:val="18"/>
                <w:szCs w:val="18"/>
                <w:lang w:eastAsia="zh-CN"/>
              </w:rPr>
              <w:t xml:space="preserve">Le secrétariat continue </w:t>
            </w:r>
            <w:r>
              <w:rPr>
                <w:rFonts w:eastAsia="SimSun"/>
                <w:sz w:val="18"/>
                <w:szCs w:val="18"/>
                <w:lang w:eastAsia="zh-CN"/>
              </w:rPr>
              <w:t>à</w:t>
            </w:r>
            <w:r w:rsidRPr="00F77964">
              <w:rPr>
                <w:rFonts w:eastAsia="SimSun"/>
                <w:sz w:val="18"/>
                <w:szCs w:val="18"/>
                <w:lang w:eastAsia="zh-CN"/>
              </w:rPr>
              <w:t xml:space="preserve"> gérer le catalogue en ligne des évaluations, </w:t>
            </w:r>
            <w:r>
              <w:rPr>
                <w:rFonts w:eastAsia="SimSun"/>
                <w:sz w:val="18"/>
                <w:szCs w:val="18"/>
                <w:lang w:eastAsia="zh-CN"/>
              </w:rPr>
              <w:t>à l’améliorer en</w:t>
            </w:r>
            <w:r w:rsidRPr="00F77964">
              <w:rPr>
                <w:rFonts w:eastAsia="SimSun"/>
                <w:sz w:val="18"/>
                <w:szCs w:val="18"/>
                <w:lang w:eastAsia="zh-CN"/>
              </w:rPr>
              <w:t xml:space="preserve"> collabor</w:t>
            </w:r>
            <w:r>
              <w:rPr>
                <w:rFonts w:eastAsia="SimSun"/>
                <w:sz w:val="18"/>
                <w:szCs w:val="18"/>
                <w:lang w:eastAsia="zh-CN"/>
              </w:rPr>
              <w:t>ation</w:t>
            </w:r>
            <w:r w:rsidRPr="00F77964">
              <w:rPr>
                <w:rFonts w:eastAsia="SimSun"/>
                <w:sz w:val="18"/>
                <w:szCs w:val="18"/>
                <w:lang w:eastAsia="zh-CN"/>
              </w:rPr>
              <w:t xml:space="preserve"> avec les réseaux et initiatives existants et </w:t>
            </w:r>
            <w:r>
              <w:rPr>
                <w:rFonts w:eastAsia="SimSun"/>
                <w:sz w:val="18"/>
                <w:szCs w:val="18"/>
                <w:lang w:eastAsia="zh-CN"/>
              </w:rPr>
              <w:t>à établir des tours d’horizon d</w:t>
            </w:r>
            <w:r w:rsidRPr="00F77964">
              <w:rPr>
                <w:rFonts w:eastAsia="SimSun"/>
                <w:sz w:val="18"/>
                <w:szCs w:val="18"/>
                <w:lang w:eastAsia="zh-CN"/>
              </w:rPr>
              <w:t xml:space="preserve">es évaluations et </w:t>
            </w:r>
            <w:r>
              <w:rPr>
                <w:rFonts w:eastAsia="SimSun"/>
                <w:sz w:val="18"/>
                <w:szCs w:val="18"/>
                <w:lang w:eastAsia="zh-CN"/>
              </w:rPr>
              <w:t>d</w:t>
            </w:r>
            <w:r w:rsidRPr="00F77964">
              <w:rPr>
                <w:rFonts w:eastAsia="SimSun"/>
                <w:sz w:val="18"/>
                <w:szCs w:val="18"/>
                <w:lang w:eastAsia="zh-CN"/>
              </w:rPr>
              <w:t>es enseignements tirés</w:t>
            </w:r>
            <w:r>
              <w:rPr>
                <w:rFonts w:eastAsia="SimSun"/>
                <w:sz w:val="18"/>
                <w:szCs w:val="18"/>
                <w:lang w:eastAsia="zh-CN"/>
              </w:rPr>
              <w:t xml:space="preserve"> de ces dernières suffisamment tôt </w:t>
            </w:r>
            <w:r w:rsidRPr="00F77964">
              <w:rPr>
                <w:rFonts w:eastAsia="SimSun"/>
                <w:sz w:val="18"/>
                <w:szCs w:val="18"/>
                <w:lang w:eastAsia="zh-CN"/>
              </w:rPr>
              <w:t xml:space="preserve">pour </w:t>
            </w:r>
            <w:r>
              <w:rPr>
                <w:rFonts w:eastAsia="SimSun"/>
                <w:sz w:val="18"/>
                <w:szCs w:val="18"/>
                <w:lang w:eastAsia="zh-CN"/>
              </w:rPr>
              <w:t>éclairer</w:t>
            </w:r>
            <w:r w:rsidRPr="00F77964">
              <w:rPr>
                <w:rFonts w:eastAsia="SimSun"/>
                <w:sz w:val="18"/>
                <w:szCs w:val="18"/>
                <w:lang w:eastAsia="zh-CN"/>
              </w:rPr>
              <w:t xml:space="preserve"> l’examen de la Plateforme</w:t>
            </w:r>
            <w:r w:rsidR="001D6913" w:rsidRPr="00F77964">
              <w:rPr>
                <w:rFonts w:eastAsia="SimSun"/>
                <w:sz w:val="18"/>
                <w:szCs w:val="18"/>
                <w:lang w:eastAsia="zh-CN"/>
              </w:rPr>
              <w:t xml:space="preserve"> (voir produit 4</w:t>
            </w:r>
            <w:r w:rsidR="00F258F8" w:rsidRPr="00F77964">
              <w:rPr>
                <w:rFonts w:eastAsia="SimSun"/>
                <w:sz w:val="18"/>
                <w:szCs w:val="18"/>
                <w:lang w:eastAsia="zh-CN"/>
              </w:rPr>
              <w:t> </w:t>
            </w:r>
            <w:r w:rsidR="001D6913" w:rsidRPr="00F77964">
              <w:rPr>
                <w:rFonts w:eastAsia="SimSun"/>
                <w:sz w:val="18"/>
                <w:szCs w:val="18"/>
                <w:lang w:eastAsia="zh-CN"/>
              </w:rPr>
              <w:t>d))</w:t>
            </w:r>
          </w:p>
        </w:tc>
      </w:tr>
      <w:tr w:rsidR="001D6913" w:rsidRPr="0061490E" w:rsidTr="001D0F4C">
        <w:trPr>
          <w:trHeight w:val="641"/>
        </w:trPr>
        <w:tc>
          <w:tcPr>
            <w:tcW w:w="824" w:type="dxa"/>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2018</w:t>
            </w:r>
          </w:p>
        </w:tc>
        <w:tc>
          <w:tcPr>
            <w:tcW w:w="1656" w:type="dxa"/>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Premier/deuxième/ troisième/quatrième trimestres</w:t>
            </w:r>
          </w:p>
        </w:tc>
        <w:tc>
          <w:tcPr>
            <w:tcW w:w="5520" w:type="dxa"/>
            <w:tcBorders>
              <w:top w:val="single" w:sz="4" w:space="0" w:color="auto"/>
              <w:left w:val="single" w:sz="4" w:space="0" w:color="auto"/>
              <w:bottom w:val="single" w:sz="4" w:space="0" w:color="auto"/>
              <w:right w:val="single" w:sz="4" w:space="0" w:color="auto"/>
            </w:tcBorders>
            <w:hideMark/>
          </w:tcPr>
          <w:p w:rsidR="001D6913" w:rsidRPr="00F77964" w:rsidRDefault="003459ED" w:rsidP="003459ED">
            <w:pPr>
              <w:pStyle w:val="Normal-pool"/>
              <w:spacing w:before="40" w:after="40"/>
              <w:rPr>
                <w:rFonts w:eastAsia="SimSun"/>
                <w:sz w:val="18"/>
                <w:szCs w:val="18"/>
                <w:lang w:eastAsia="zh-CN"/>
              </w:rPr>
            </w:pPr>
            <w:r w:rsidRPr="00F77964">
              <w:rPr>
                <w:rFonts w:eastAsia="SimSun"/>
                <w:sz w:val="18"/>
                <w:szCs w:val="18"/>
                <w:lang w:eastAsia="zh-CN"/>
              </w:rPr>
              <w:t xml:space="preserve">Le secrétariat continue </w:t>
            </w:r>
            <w:r>
              <w:rPr>
                <w:rFonts w:eastAsia="SimSun"/>
                <w:sz w:val="18"/>
                <w:szCs w:val="18"/>
                <w:lang w:eastAsia="zh-CN"/>
              </w:rPr>
              <w:t>à</w:t>
            </w:r>
            <w:r w:rsidRPr="00F77964">
              <w:rPr>
                <w:rFonts w:eastAsia="SimSun"/>
                <w:sz w:val="18"/>
                <w:szCs w:val="18"/>
                <w:lang w:eastAsia="zh-CN"/>
              </w:rPr>
              <w:t xml:space="preserve"> gérer le catalogue en ligne des évaluations, </w:t>
            </w:r>
            <w:r>
              <w:rPr>
                <w:rFonts w:eastAsia="SimSun"/>
                <w:sz w:val="18"/>
                <w:szCs w:val="18"/>
                <w:lang w:eastAsia="zh-CN"/>
              </w:rPr>
              <w:t>à l’améliorer en</w:t>
            </w:r>
            <w:r w:rsidRPr="00F77964">
              <w:rPr>
                <w:rFonts w:eastAsia="SimSun"/>
                <w:sz w:val="18"/>
                <w:szCs w:val="18"/>
                <w:lang w:eastAsia="zh-CN"/>
              </w:rPr>
              <w:t xml:space="preserve"> collabor</w:t>
            </w:r>
            <w:r>
              <w:rPr>
                <w:rFonts w:eastAsia="SimSun"/>
                <w:sz w:val="18"/>
                <w:szCs w:val="18"/>
                <w:lang w:eastAsia="zh-CN"/>
              </w:rPr>
              <w:t>ation</w:t>
            </w:r>
            <w:r w:rsidRPr="00F77964">
              <w:rPr>
                <w:rFonts w:eastAsia="SimSun"/>
                <w:sz w:val="18"/>
                <w:szCs w:val="18"/>
                <w:lang w:eastAsia="zh-CN"/>
              </w:rPr>
              <w:t xml:space="preserve"> avec les réseaux et initiatives existants et </w:t>
            </w:r>
            <w:r>
              <w:rPr>
                <w:rFonts w:eastAsia="SimSun"/>
                <w:sz w:val="18"/>
                <w:szCs w:val="18"/>
                <w:lang w:eastAsia="zh-CN"/>
              </w:rPr>
              <w:t>à établir des tours d’horizon d</w:t>
            </w:r>
            <w:r w:rsidRPr="00F77964">
              <w:rPr>
                <w:rFonts w:eastAsia="SimSun"/>
                <w:sz w:val="18"/>
                <w:szCs w:val="18"/>
                <w:lang w:eastAsia="zh-CN"/>
              </w:rPr>
              <w:t xml:space="preserve">es évaluations et </w:t>
            </w:r>
            <w:r>
              <w:rPr>
                <w:rFonts w:eastAsia="SimSun"/>
                <w:sz w:val="18"/>
                <w:szCs w:val="18"/>
                <w:lang w:eastAsia="zh-CN"/>
              </w:rPr>
              <w:t>d</w:t>
            </w:r>
            <w:r w:rsidRPr="00F77964">
              <w:rPr>
                <w:rFonts w:eastAsia="SimSun"/>
                <w:sz w:val="18"/>
                <w:szCs w:val="18"/>
                <w:lang w:eastAsia="zh-CN"/>
              </w:rPr>
              <w:t>es enseignements tirés</w:t>
            </w:r>
            <w:r>
              <w:rPr>
                <w:rFonts w:eastAsia="SimSun"/>
                <w:sz w:val="18"/>
                <w:szCs w:val="18"/>
                <w:lang w:eastAsia="zh-CN"/>
              </w:rPr>
              <w:t xml:space="preserve"> de ces dernières suffisamment tôt </w:t>
            </w:r>
            <w:r w:rsidR="001D6913" w:rsidRPr="00F77964">
              <w:rPr>
                <w:rFonts w:eastAsia="SimSun"/>
                <w:sz w:val="18"/>
                <w:szCs w:val="18"/>
                <w:lang w:eastAsia="zh-CN"/>
              </w:rPr>
              <w:t xml:space="preserve">pour </w:t>
            </w:r>
            <w:r>
              <w:rPr>
                <w:rFonts w:eastAsia="SimSun"/>
                <w:sz w:val="18"/>
                <w:szCs w:val="18"/>
                <w:lang w:eastAsia="zh-CN"/>
              </w:rPr>
              <w:t>éclairer</w:t>
            </w:r>
            <w:r w:rsidRPr="00F77964">
              <w:rPr>
                <w:rFonts w:eastAsia="SimSun"/>
                <w:sz w:val="18"/>
                <w:szCs w:val="18"/>
                <w:lang w:eastAsia="zh-CN"/>
              </w:rPr>
              <w:t xml:space="preserve"> </w:t>
            </w:r>
            <w:r>
              <w:rPr>
                <w:rFonts w:eastAsia="SimSun"/>
                <w:sz w:val="18"/>
                <w:szCs w:val="18"/>
                <w:lang w:eastAsia="zh-CN"/>
              </w:rPr>
              <w:t>les</w:t>
            </w:r>
            <w:r w:rsidRPr="00F77964">
              <w:rPr>
                <w:rFonts w:eastAsia="SimSun"/>
                <w:sz w:val="18"/>
                <w:szCs w:val="18"/>
                <w:lang w:eastAsia="zh-CN"/>
              </w:rPr>
              <w:t xml:space="preserve"> débats sur le prochain programme de travail</w:t>
            </w:r>
          </w:p>
        </w:tc>
      </w:tr>
    </w:tbl>
    <w:p w:rsidR="001D6913" w:rsidRPr="00F77964" w:rsidRDefault="001D6913" w:rsidP="001D6913">
      <w:pPr>
        <w:pStyle w:val="CH3"/>
        <w:spacing w:before="200"/>
        <w:rPr>
          <w:rFonts w:eastAsia="SimSun"/>
          <w:lang w:val="fr-FR" w:eastAsia="zh-CN"/>
        </w:rPr>
      </w:pPr>
      <w:r w:rsidRPr="00F77964">
        <w:rPr>
          <w:rFonts w:eastAsia="SimSun"/>
          <w:lang w:val="fr-FR" w:eastAsia="zh-CN"/>
        </w:rPr>
        <w:lastRenderedPageBreak/>
        <w:tab/>
      </w:r>
      <w:r w:rsidRPr="00F77964">
        <w:rPr>
          <w:rFonts w:eastAsia="SimSun"/>
          <w:lang w:val="fr-FR" w:eastAsia="zh-CN"/>
        </w:rPr>
        <w:tab/>
        <w:t>Prévisions de coûts</w:t>
      </w:r>
    </w:p>
    <w:p w:rsidR="001D6913" w:rsidRPr="00F77964" w:rsidRDefault="001D6913" w:rsidP="00F90D8B">
      <w:pPr>
        <w:pStyle w:val="Normalnumber"/>
        <w:numPr>
          <w:ilvl w:val="0"/>
          <w:numId w:val="6"/>
        </w:numPr>
        <w:tabs>
          <w:tab w:val="left" w:pos="624"/>
        </w:tabs>
        <w:ind w:left="1247" w:firstLine="0"/>
        <w:rPr>
          <w:lang w:val="fr-FR"/>
        </w:rPr>
      </w:pPr>
      <w:r w:rsidRPr="00F90D8B">
        <w:rPr>
          <w:lang w:val="fr-FR"/>
        </w:rPr>
        <w:t>Les prévisions de coûts sont les suivantes</w:t>
      </w:r>
      <w:r w:rsidRPr="00F77964">
        <w:rPr>
          <w:lang w:val="fr-FR"/>
        </w:rPr>
        <w:t> :</w:t>
      </w:r>
    </w:p>
    <w:p w:rsidR="001D6913" w:rsidRPr="00F77964" w:rsidRDefault="001D6913" w:rsidP="001D6913">
      <w:pPr>
        <w:pStyle w:val="Normalnumber"/>
        <w:rPr>
          <w:rFonts w:eastAsia="SimSun"/>
          <w:sz w:val="18"/>
          <w:szCs w:val="18"/>
          <w:lang w:val="fr-FR" w:eastAsia="zh-CN"/>
        </w:rPr>
      </w:pPr>
      <w:r w:rsidRPr="00F77964">
        <w:rPr>
          <w:rFonts w:eastAsia="SimSun"/>
          <w:lang w:val="fr-FR" w:eastAsia="zh-CN"/>
        </w:rPr>
        <w:tab/>
      </w:r>
      <w:r w:rsidRPr="00F77964">
        <w:rPr>
          <w:rFonts w:eastAsia="SimSun"/>
          <w:lang w:val="fr-FR" w:eastAsia="zh-CN"/>
        </w:rPr>
        <w:tab/>
      </w:r>
      <w:r w:rsidRPr="00F77964">
        <w:rPr>
          <w:rFonts w:eastAsia="SimSun"/>
          <w:sz w:val="18"/>
          <w:szCs w:val="18"/>
          <w:lang w:val="fr-FR" w:eastAsia="zh-CN"/>
        </w:rPr>
        <w:t>(</w:t>
      </w:r>
      <w:r w:rsidR="00F258F8" w:rsidRPr="00F77964">
        <w:rPr>
          <w:rFonts w:eastAsia="SimSun"/>
          <w:sz w:val="18"/>
          <w:szCs w:val="18"/>
          <w:lang w:val="fr-FR" w:eastAsia="zh-CN"/>
        </w:rPr>
        <w:t>d</w:t>
      </w:r>
      <w:r w:rsidRPr="00F77964">
        <w:rPr>
          <w:rFonts w:eastAsia="SimSun"/>
          <w:sz w:val="18"/>
          <w:szCs w:val="18"/>
          <w:lang w:val="fr-FR" w:eastAsia="zh-CN"/>
        </w:rPr>
        <w:t>ollars des États-Unis)</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606"/>
        <w:gridCol w:w="3279"/>
        <w:gridCol w:w="1438"/>
      </w:tblGrid>
      <w:tr w:rsidR="001D6913" w:rsidRPr="0061490E" w:rsidTr="001D6913">
        <w:tc>
          <w:tcPr>
            <w:tcW w:w="672" w:type="dxa"/>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spacing w:before="40" w:after="40"/>
              <w:rPr>
                <w:rFonts w:eastAsia="SimSun"/>
                <w:i/>
                <w:sz w:val="18"/>
                <w:szCs w:val="18"/>
                <w:lang w:eastAsia="zh-CN"/>
              </w:rPr>
            </w:pPr>
            <w:r w:rsidRPr="00F77964">
              <w:rPr>
                <w:rFonts w:eastAsia="SimSun"/>
                <w:i/>
                <w:sz w:val="18"/>
                <w:szCs w:val="18"/>
                <w:lang w:eastAsia="zh-CN"/>
              </w:rPr>
              <w:t>Année</w:t>
            </w:r>
          </w:p>
        </w:tc>
        <w:tc>
          <w:tcPr>
            <w:tcW w:w="2929" w:type="dxa"/>
            <w:tcBorders>
              <w:top w:val="single" w:sz="4" w:space="0" w:color="auto"/>
              <w:left w:val="single" w:sz="4" w:space="0" w:color="auto"/>
              <w:bottom w:val="single" w:sz="4" w:space="0" w:color="auto"/>
              <w:right w:val="single" w:sz="4" w:space="0" w:color="auto"/>
            </w:tcBorders>
            <w:hideMark/>
          </w:tcPr>
          <w:p w:rsidR="001D6913" w:rsidRPr="00F77964" w:rsidRDefault="00D972E8" w:rsidP="00F258F8">
            <w:pPr>
              <w:pStyle w:val="Normal-pool"/>
              <w:spacing w:before="40" w:after="40"/>
              <w:rPr>
                <w:rFonts w:eastAsia="SimSun"/>
                <w:i/>
                <w:sz w:val="18"/>
                <w:szCs w:val="18"/>
                <w:lang w:eastAsia="zh-CN"/>
              </w:rPr>
            </w:pPr>
            <w:r>
              <w:rPr>
                <w:rFonts w:eastAsia="SimSun"/>
                <w:i/>
                <w:sz w:val="18"/>
                <w:szCs w:val="18"/>
                <w:lang w:eastAsia="zh-CN"/>
              </w:rPr>
              <w:t>Postes de dépense</w:t>
            </w:r>
          </w:p>
        </w:tc>
        <w:tc>
          <w:tcPr>
            <w:tcW w:w="3623" w:type="dxa"/>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spacing w:before="40" w:after="40"/>
              <w:rPr>
                <w:rFonts w:eastAsia="SimSun"/>
                <w:i/>
                <w:sz w:val="18"/>
                <w:szCs w:val="18"/>
                <w:lang w:eastAsia="zh-CN"/>
              </w:rPr>
            </w:pPr>
            <w:r w:rsidRPr="00F77964">
              <w:rPr>
                <w:rFonts w:eastAsia="SimSun"/>
                <w:i/>
                <w:sz w:val="18"/>
                <w:szCs w:val="18"/>
                <w:lang w:eastAsia="zh-CN"/>
              </w:rPr>
              <w:t>Hypothèses</w:t>
            </w:r>
          </w:p>
        </w:tc>
        <w:tc>
          <w:tcPr>
            <w:tcW w:w="1560" w:type="dxa"/>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spacing w:before="40" w:after="40"/>
              <w:jc w:val="right"/>
              <w:rPr>
                <w:rFonts w:eastAsia="SimSun"/>
                <w:i/>
                <w:sz w:val="18"/>
                <w:szCs w:val="18"/>
                <w:lang w:eastAsia="zh-CN"/>
              </w:rPr>
            </w:pPr>
            <w:r w:rsidRPr="00F77964">
              <w:rPr>
                <w:rFonts w:eastAsia="SimSun"/>
                <w:i/>
                <w:sz w:val="18"/>
                <w:szCs w:val="18"/>
                <w:lang w:eastAsia="zh-CN"/>
              </w:rPr>
              <w:t>Coût</w:t>
            </w:r>
          </w:p>
        </w:tc>
      </w:tr>
      <w:tr w:rsidR="001D6913" w:rsidRPr="0061490E" w:rsidTr="001D6913">
        <w:trPr>
          <w:trHeight w:val="317"/>
        </w:trPr>
        <w:tc>
          <w:tcPr>
            <w:tcW w:w="672" w:type="dxa"/>
            <w:tcBorders>
              <w:top w:val="single" w:sz="4" w:space="0" w:color="auto"/>
              <w:left w:val="single" w:sz="4" w:space="0" w:color="auto"/>
              <w:bottom w:val="single" w:sz="4" w:space="0" w:color="auto"/>
              <w:right w:val="single" w:sz="4" w:space="0" w:color="auto"/>
            </w:tcBorders>
            <w:vAlign w:val="center"/>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2014</w:t>
            </w:r>
          </w:p>
        </w:tc>
        <w:tc>
          <w:tcPr>
            <w:tcW w:w="2929" w:type="dxa"/>
            <w:tcBorders>
              <w:top w:val="single" w:sz="4" w:space="0" w:color="auto"/>
              <w:left w:val="single" w:sz="4" w:space="0" w:color="auto"/>
              <w:bottom w:val="single" w:sz="4" w:space="0" w:color="auto"/>
              <w:right w:val="single" w:sz="4" w:space="0" w:color="auto"/>
            </w:tcBorders>
            <w:vAlign w:val="center"/>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Appui technique</w:t>
            </w:r>
          </w:p>
        </w:tc>
        <w:tc>
          <w:tcPr>
            <w:tcW w:w="3623" w:type="dxa"/>
            <w:tcBorders>
              <w:top w:val="single" w:sz="4" w:space="0" w:color="auto"/>
              <w:left w:val="single" w:sz="4" w:space="0" w:color="auto"/>
              <w:bottom w:val="single" w:sz="4" w:space="0" w:color="auto"/>
              <w:right w:val="single" w:sz="4" w:space="0" w:color="auto"/>
            </w:tcBorders>
            <w:hideMark/>
          </w:tcPr>
          <w:p w:rsidR="001D6913" w:rsidRPr="00F77964" w:rsidRDefault="001D6913" w:rsidP="00F258F8">
            <w:pPr>
              <w:pStyle w:val="Normal-pool"/>
              <w:spacing w:before="40" w:after="40"/>
              <w:rPr>
                <w:rFonts w:eastAsia="SimSun"/>
                <w:sz w:val="18"/>
                <w:szCs w:val="18"/>
                <w:lang w:eastAsia="zh-CN"/>
              </w:rPr>
            </w:pPr>
            <w:r w:rsidRPr="00F77964">
              <w:rPr>
                <w:rFonts w:eastAsia="SimSun"/>
                <w:sz w:val="18"/>
                <w:szCs w:val="18"/>
                <w:lang w:eastAsia="zh-CN"/>
              </w:rPr>
              <w:t>0</w:t>
            </w:r>
            <w:r w:rsidR="00F258F8" w:rsidRPr="00F77964">
              <w:rPr>
                <w:rFonts w:eastAsia="SimSun"/>
                <w:sz w:val="18"/>
                <w:szCs w:val="18"/>
                <w:lang w:eastAsia="zh-CN"/>
              </w:rPr>
              <w:t>,</w:t>
            </w:r>
            <w:r w:rsidRPr="00F77964">
              <w:rPr>
                <w:rFonts w:eastAsia="SimSun"/>
                <w:sz w:val="18"/>
                <w:szCs w:val="18"/>
                <w:lang w:eastAsia="zh-CN"/>
              </w:rPr>
              <w:t>2 poste d’administrateurs équivalent plein temps</w:t>
            </w:r>
          </w:p>
        </w:tc>
        <w:tc>
          <w:tcPr>
            <w:tcW w:w="1560" w:type="dxa"/>
            <w:tcBorders>
              <w:top w:val="single" w:sz="4" w:space="0" w:color="auto"/>
              <w:left w:val="single" w:sz="4" w:space="0" w:color="auto"/>
              <w:bottom w:val="single" w:sz="4" w:space="0" w:color="auto"/>
              <w:right w:val="single" w:sz="4" w:space="0" w:color="auto"/>
            </w:tcBorders>
            <w:hideMark/>
          </w:tcPr>
          <w:p w:rsidR="001D6913" w:rsidRPr="00F77964" w:rsidRDefault="001D6913" w:rsidP="00F258F8">
            <w:pPr>
              <w:pStyle w:val="Normal-pool"/>
              <w:spacing w:before="40" w:after="40"/>
              <w:jc w:val="right"/>
              <w:rPr>
                <w:rFonts w:eastAsia="SimSun"/>
                <w:sz w:val="18"/>
                <w:szCs w:val="18"/>
                <w:lang w:eastAsia="zh-CN"/>
              </w:rPr>
            </w:pPr>
            <w:r w:rsidRPr="00F77964">
              <w:rPr>
                <w:rFonts w:eastAsia="SimSun"/>
                <w:sz w:val="18"/>
                <w:szCs w:val="18"/>
                <w:lang w:eastAsia="zh-CN"/>
              </w:rPr>
              <w:t>30</w:t>
            </w:r>
            <w:r w:rsidR="00F258F8" w:rsidRPr="00F77964">
              <w:rPr>
                <w:rFonts w:eastAsia="SimSun"/>
                <w:sz w:val="18"/>
                <w:szCs w:val="18"/>
                <w:lang w:eastAsia="zh-CN"/>
              </w:rPr>
              <w:t> </w:t>
            </w:r>
            <w:r w:rsidRPr="00F77964">
              <w:rPr>
                <w:rFonts w:eastAsia="SimSun"/>
                <w:sz w:val="18"/>
                <w:szCs w:val="18"/>
                <w:lang w:eastAsia="zh-CN"/>
              </w:rPr>
              <w:t>000</w:t>
            </w:r>
          </w:p>
        </w:tc>
      </w:tr>
      <w:tr w:rsidR="001D6913" w:rsidRPr="0061490E" w:rsidTr="001D6913">
        <w:trPr>
          <w:trHeight w:val="317"/>
        </w:trPr>
        <w:tc>
          <w:tcPr>
            <w:tcW w:w="672" w:type="dxa"/>
            <w:tcBorders>
              <w:top w:val="single" w:sz="4" w:space="0" w:color="auto"/>
              <w:left w:val="single" w:sz="4" w:space="0" w:color="auto"/>
              <w:bottom w:val="single" w:sz="4" w:space="0" w:color="auto"/>
              <w:right w:val="single" w:sz="4" w:space="0" w:color="auto"/>
            </w:tcBorders>
            <w:vAlign w:val="center"/>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2015</w:t>
            </w:r>
          </w:p>
        </w:tc>
        <w:tc>
          <w:tcPr>
            <w:tcW w:w="2929" w:type="dxa"/>
            <w:tcBorders>
              <w:top w:val="single" w:sz="4" w:space="0" w:color="auto"/>
              <w:left w:val="single" w:sz="4" w:space="0" w:color="auto"/>
              <w:bottom w:val="single" w:sz="4" w:space="0" w:color="auto"/>
              <w:right w:val="single" w:sz="4" w:space="0" w:color="auto"/>
            </w:tcBorders>
            <w:vAlign w:val="center"/>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Appui technique</w:t>
            </w:r>
          </w:p>
        </w:tc>
        <w:tc>
          <w:tcPr>
            <w:tcW w:w="3623" w:type="dxa"/>
            <w:tcBorders>
              <w:top w:val="single" w:sz="4" w:space="0" w:color="auto"/>
              <w:left w:val="single" w:sz="4" w:space="0" w:color="auto"/>
              <w:bottom w:val="single" w:sz="4" w:space="0" w:color="auto"/>
              <w:right w:val="single" w:sz="4" w:space="0" w:color="auto"/>
            </w:tcBorders>
            <w:hideMark/>
          </w:tcPr>
          <w:p w:rsidR="001D6913" w:rsidRPr="00F77964" w:rsidRDefault="001D6913" w:rsidP="00F258F8">
            <w:pPr>
              <w:pStyle w:val="Normal-pool"/>
              <w:spacing w:before="40" w:after="40"/>
              <w:rPr>
                <w:rFonts w:eastAsia="SimSun"/>
                <w:sz w:val="18"/>
                <w:szCs w:val="18"/>
                <w:lang w:eastAsia="zh-CN"/>
              </w:rPr>
            </w:pPr>
            <w:r w:rsidRPr="00F77964">
              <w:rPr>
                <w:rFonts w:eastAsia="SimSun"/>
                <w:sz w:val="18"/>
                <w:szCs w:val="18"/>
                <w:lang w:eastAsia="zh-CN"/>
              </w:rPr>
              <w:t>0</w:t>
            </w:r>
            <w:r w:rsidR="00F258F8" w:rsidRPr="00F77964">
              <w:rPr>
                <w:rFonts w:eastAsia="SimSun"/>
                <w:sz w:val="18"/>
                <w:szCs w:val="18"/>
                <w:lang w:eastAsia="zh-CN"/>
              </w:rPr>
              <w:t>,</w:t>
            </w:r>
            <w:r w:rsidRPr="00F77964">
              <w:rPr>
                <w:rFonts w:eastAsia="SimSun"/>
                <w:sz w:val="18"/>
                <w:szCs w:val="18"/>
                <w:lang w:eastAsia="zh-CN"/>
              </w:rPr>
              <w:t>2 poste d’administrateurs équivalent plein temps</w:t>
            </w:r>
          </w:p>
        </w:tc>
        <w:tc>
          <w:tcPr>
            <w:tcW w:w="1560" w:type="dxa"/>
            <w:tcBorders>
              <w:top w:val="single" w:sz="4" w:space="0" w:color="auto"/>
              <w:left w:val="single" w:sz="4" w:space="0" w:color="auto"/>
              <w:bottom w:val="single" w:sz="4" w:space="0" w:color="auto"/>
              <w:right w:val="single" w:sz="4" w:space="0" w:color="auto"/>
            </w:tcBorders>
            <w:hideMark/>
          </w:tcPr>
          <w:p w:rsidR="001D6913" w:rsidRPr="00F77964" w:rsidRDefault="001D6913" w:rsidP="00F258F8">
            <w:pPr>
              <w:pStyle w:val="Normal-pool"/>
              <w:spacing w:before="40" w:after="40"/>
              <w:jc w:val="right"/>
              <w:rPr>
                <w:rFonts w:eastAsia="SimSun"/>
                <w:sz w:val="18"/>
                <w:szCs w:val="18"/>
                <w:lang w:eastAsia="zh-CN"/>
              </w:rPr>
            </w:pPr>
            <w:r w:rsidRPr="00F77964">
              <w:rPr>
                <w:rFonts w:eastAsia="SimSun"/>
                <w:sz w:val="18"/>
                <w:szCs w:val="18"/>
                <w:lang w:eastAsia="zh-CN"/>
              </w:rPr>
              <w:t>30</w:t>
            </w:r>
            <w:r w:rsidR="00F258F8" w:rsidRPr="00F77964">
              <w:rPr>
                <w:rFonts w:eastAsia="SimSun"/>
                <w:sz w:val="18"/>
                <w:szCs w:val="18"/>
                <w:lang w:eastAsia="zh-CN"/>
              </w:rPr>
              <w:t> </w:t>
            </w:r>
            <w:r w:rsidRPr="00F77964">
              <w:rPr>
                <w:rFonts w:eastAsia="SimSun"/>
                <w:sz w:val="18"/>
                <w:szCs w:val="18"/>
                <w:lang w:eastAsia="zh-CN"/>
              </w:rPr>
              <w:t>000</w:t>
            </w:r>
          </w:p>
        </w:tc>
      </w:tr>
      <w:tr w:rsidR="001D6913" w:rsidRPr="0061490E" w:rsidTr="001D6913">
        <w:trPr>
          <w:trHeight w:val="317"/>
        </w:trPr>
        <w:tc>
          <w:tcPr>
            <w:tcW w:w="672" w:type="dxa"/>
            <w:tcBorders>
              <w:top w:val="single" w:sz="4" w:space="0" w:color="auto"/>
              <w:left w:val="single" w:sz="4" w:space="0" w:color="auto"/>
              <w:bottom w:val="single" w:sz="4" w:space="0" w:color="auto"/>
              <w:right w:val="single" w:sz="4" w:space="0" w:color="auto"/>
            </w:tcBorders>
            <w:vAlign w:val="center"/>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2016</w:t>
            </w:r>
          </w:p>
        </w:tc>
        <w:tc>
          <w:tcPr>
            <w:tcW w:w="2929" w:type="dxa"/>
            <w:tcBorders>
              <w:top w:val="single" w:sz="4" w:space="0" w:color="auto"/>
              <w:left w:val="single" w:sz="4" w:space="0" w:color="auto"/>
              <w:bottom w:val="single" w:sz="4" w:space="0" w:color="auto"/>
              <w:right w:val="single" w:sz="4" w:space="0" w:color="auto"/>
            </w:tcBorders>
            <w:vAlign w:val="center"/>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Appui technique</w:t>
            </w:r>
          </w:p>
        </w:tc>
        <w:tc>
          <w:tcPr>
            <w:tcW w:w="3623" w:type="dxa"/>
            <w:tcBorders>
              <w:top w:val="single" w:sz="4" w:space="0" w:color="auto"/>
              <w:left w:val="single" w:sz="4" w:space="0" w:color="auto"/>
              <w:bottom w:val="single" w:sz="4" w:space="0" w:color="auto"/>
              <w:right w:val="single" w:sz="4" w:space="0" w:color="auto"/>
            </w:tcBorders>
            <w:hideMark/>
          </w:tcPr>
          <w:p w:rsidR="001D6913" w:rsidRPr="00F77964" w:rsidRDefault="001D6913" w:rsidP="00F258F8">
            <w:pPr>
              <w:pStyle w:val="Normal-pool"/>
              <w:spacing w:before="40" w:after="40"/>
              <w:rPr>
                <w:rFonts w:eastAsia="SimSun"/>
                <w:sz w:val="18"/>
                <w:szCs w:val="18"/>
                <w:lang w:eastAsia="zh-CN"/>
              </w:rPr>
            </w:pPr>
            <w:r w:rsidRPr="00F77964">
              <w:rPr>
                <w:rFonts w:eastAsia="SimSun"/>
                <w:sz w:val="18"/>
                <w:szCs w:val="18"/>
                <w:lang w:eastAsia="zh-CN"/>
              </w:rPr>
              <w:t>0</w:t>
            </w:r>
            <w:r w:rsidR="00F258F8" w:rsidRPr="00F77964">
              <w:rPr>
                <w:rFonts w:eastAsia="SimSun"/>
                <w:sz w:val="18"/>
                <w:szCs w:val="18"/>
                <w:lang w:eastAsia="zh-CN"/>
              </w:rPr>
              <w:t>,</w:t>
            </w:r>
            <w:r w:rsidRPr="00F77964">
              <w:rPr>
                <w:rFonts w:eastAsia="SimSun"/>
                <w:sz w:val="18"/>
                <w:szCs w:val="18"/>
                <w:lang w:eastAsia="zh-CN"/>
              </w:rPr>
              <w:t>2 poste d’administrateurs équivalent plein temps</w:t>
            </w:r>
          </w:p>
        </w:tc>
        <w:tc>
          <w:tcPr>
            <w:tcW w:w="1560" w:type="dxa"/>
            <w:tcBorders>
              <w:top w:val="single" w:sz="4" w:space="0" w:color="auto"/>
              <w:left w:val="single" w:sz="4" w:space="0" w:color="auto"/>
              <w:bottom w:val="single" w:sz="4" w:space="0" w:color="auto"/>
              <w:right w:val="single" w:sz="4" w:space="0" w:color="auto"/>
            </w:tcBorders>
            <w:hideMark/>
          </w:tcPr>
          <w:p w:rsidR="001D6913" w:rsidRPr="00F77964" w:rsidRDefault="001D6913" w:rsidP="00F258F8">
            <w:pPr>
              <w:pStyle w:val="Normal-pool"/>
              <w:spacing w:before="40" w:after="40"/>
              <w:jc w:val="right"/>
              <w:rPr>
                <w:rFonts w:eastAsia="SimSun"/>
                <w:sz w:val="18"/>
                <w:szCs w:val="18"/>
                <w:lang w:eastAsia="zh-CN"/>
              </w:rPr>
            </w:pPr>
            <w:r w:rsidRPr="00F77964">
              <w:rPr>
                <w:rFonts w:eastAsia="SimSun"/>
                <w:sz w:val="18"/>
                <w:szCs w:val="18"/>
                <w:lang w:eastAsia="zh-CN"/>
              </w:rPr>
              <w:t>30</w:t>
            </w:r>
            <w:r w:rsidR="00F258F8" w:rsidRPr="00F77964">
              <w:rPr>
                <w:rFonts w:eastAsia="SimSun"/>
                <w:sz w:val="18"/>
                <w:szCs w:val="18"/>
                <w:lang w:eastAsia="zh-CN"/>
              </w:rPr>
              <w:t> </w:t>
            </w:r>
            <w:r w:rsidRPr="00F77964">
              <w:rPr>
                <w:rFonts w:eastAsia="SimSun"/>
                <w:sz w:val="18"/>
                <w:szCs w:val="18"/>
                <w:lang w:eastAsia="zh-CN"/>
              </w:rPr>
              <w:t>000</w:t>
            </w:r>
          </w:p>
        </w:tc>
      </w:tr>
      <w:tr w:rsidR="001D6913" w:rsidRPr="0061490E" w:rsidTr="001D6913">
        <w:trPr>
          <w:trHeight w:val="317"/>
        </w:trPr>
        <w:tc>
          <w:tcPr>
            <w:tcW w:w="672" w:type="dxa"/>
            <w:tcBorders>
              <w:top w:val="single" w:sz="4" w:space="0" w:color="auto"/>
              <w:left w:val="single" w:sz="4" w:space="0" w:color="auto"/>
              <w:bottom w:val="single" w:sz="4" w:space="0" w:color="auto"/>
              <w:right w:val="single" w:sz="4" w:space="0" w:color="auto"/>
            </w:tcBorders>
            <w:vAlign w:val="center"/>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2017</w:t>
            </w:r>
          </w:p>
        </w:tc>
        <w:tc>
          <w:tcPr>
            <w:tcW w:w="2929" w:type="dxa"/>
            <w:tcBorders>
              <w:top w:val="single" w:sz="4" w:space="0" w:color="auto"/>
              <w:left w:val="single" w:sz="4" w:space="0" w:color="auto"/>
              <w:bottom w:val="single" w:sz="4" w:space="0" w:color="auto"/>
              <w:right w:val="single" w:sz="4" w:space="0" w:color="auto"/>
            </w:tcBorders>
            <w:vAlign w:val="center"/>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Appui technique</w:t>
            </w:r>
          </w:p>
        </w:tc>
        <w:tc>
          <w:tcPr>
            <w:tcW w:w="3623" w:type="dxa"/>
            <w:tcBorders>
              <w:top w:val="single" w:sz="4" w:space="0" w:color="auto"/>
              <w:left w:val="single" w:sz="4" w:space="0" w:color="auto"/>
              <w:bottom w:val="single" w:sz="4" w:space="0" w:color="auto"/>
              <w:right w:val="single" w:sz="4" w:space="0" w:color="auto"/>
            </w:tcBorders>
            <w:hideMark/>
          </w:tcPr>
          <w:p w:rsidR="001D6913" w:rsidRPr="00F77964" w:rsidRDefault="001D6913" w:rsidP="00F258F8">
            <w:pPr>
              <w:pStyle w:val="Normal-pool"/>
              <w:spacing w:before="40" w:after="40"/>
              <w:rPr>
                <w:rFonts w:eastAsia="SimSun"/>
                <w:sz w:val="18"/>
                <w:szCs w:val="18"/>
                <w:lang w:eastAsia="zh-CN"/>
              </w:rPr>
            </w:pPr>
            <w:r w:rsidRPr="00F77964">
              <w:rPr>
                <w:rFonts w:eastAsia="SimSun"/>
                <w:sz w:val="18"/>
                <w:szCs w:val="18"/>
                <w:lang w:eastAsia="zh-CN"/>
              </w:rPr>
              <w:t>0</w:t>
            </w:r>
            <w:r w:rsidR="00F258F8" w:rsidRPr="00F77964">
              <w:rPr>
                <w:rFonts w:eastAsia="SimSun"/>
                <w:sz w:val="18"/>
                <w:szCs w:val="18"/>
                <w:lang w:eastAsia="zh-CN"/>
              </w:rPr>
              <w:t>,</w:t>
            </w:r>
            <w:r w:rsidRPr="00F77964">
              <w:rPr>
                <w:rFonts w:eastAsia="SimSun"/>
                <w:sz w:val="18"/>
                <w:szCs w:val="18"/>
                <w:lang w:eastAsia="zh-CN"/>
              </w:rPr>
              <w:t>2 poste d’administrateurs équivalent plein temps</w:t>
            </w:r>
          </w:p>
        </w:tc>
        <w:tc>
          <w:tcPr>
            <w:tcW w:w="1560" w:type="dxa"/>
            <w:tcBorders>
              <w:top w:val="single" w:sz="4" w:space="0" w:color="auto"/>
              <w:left w:val="single" w:sz="4" w:space="0" w:color="auto"/>
              <w:bottom w:val="single" w:sz="4" w:space="0" w:color="auto"/>
              <w:right w:val="single" w:sz="4" w:space="0" w:color="auto"/>
            </w:tcBorders>
            <w:hideMark/>
          </w:tcPr>
          <w:p w:rsidR="001D6913" w:rsidRPr="00F77964" w:rsidRDefault="001D6913" w:rsidP="00F258F8">
            <w:pPr>
              <w:pStyle w:val="Normal-pool"/>
              <w:spacing w:before="40" w:after="40"/>
              <w:jc w:val="right"/>
              <w:rPr>
                <w:rFonts w:eastAsia="SimSun"/>
                <w:sz w:val="18"/>
                <w:szCs w:val="18"/>
                <w:lang w:eastAsia="zh-CN"/>
              </w:rPr>
            </w:pPr>
            <w:r w:rsidRPr="00F77964">
              <w:rPr>
                <w:rFonts w:eastAsia="SimSun"/>
                <w:sz w:val="18"/>
                <w:szCs w:val="18"/>
                <w:lang w:eastAsia="zh-CN"/>
              </w:rPr>
              <w:t>30</w:t>
            </w:r>
            <w:r w:rsidR="00F258F8" w:rsidRPr="00F77964">
              <w:rPr>
                <w:rFonts w:eastAsia="SimSun"/>
                <w:sz w:val="18"/>
                <w:szCs w:val="18"/>
                <w:lang w:eastAsia="zh-CN"/>
              </w:rPr>
              <w:t> </w:t>
            </w:r>
            <w:r w:rsidRPr="00F77964">
              <w:rPr>
                <w:rFonts w:eastAsia="SimSun"/>
                <w:sz w:val="18"/>
                <w:szCs w:val="18"/>
                <w:lang w:eastAsia="zh-CN"/>
              </w:rPr>
              <w:t>000</w:t>
            </w:r>
          </w:p>
        </w:tc>
      </w:tr>
      <w:tr w:rsidR="001D6913" w:rsidRPr="0061490E" w:rsidTr="001D6913">
        <w:trPr>
          <w:trHeight w:val="317"/>
        </w:trPr>
        <w:tc>
          <w:tcPr>
            <w:tcW w:w="672" w:type="dxa"/>
            <w:tcBorders>
              <w:top w:val="single" w:sz="4" w:space="0" w:color="auto"/>
              <w:left w:val="single" w:sz="4" w:space="0" w:color="auto"/>
              <w:bottom w:val="single" w:sz="4" w:space="0" w:color="auto"/>
              <w:right w:val="single" w:sz="4" w:space="0" w:color="auto"/>
            </w:tcBorders>
            <w:vAlign w:val="center"/>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2018</w:t>
            </w:r>
          </w:p>
        </w:tc>
        <w:tc>
          <w:tcPr>
            <w:tcW w:w="2929" w:type="dxa"/>
            <w:tcBorders>
              <w:top w:val="single" w:sz="4" w:space="0" w:color="auto"/>
              <w:left w:val="single" w:sz="4" w:space="0" w:color="auto"/>
              <w:bottom w:val="single" w:sz="4" w:space="0" w:color="auto"/>
              <w:right w:val="single" w:sz="4" w:space="0" w:color="auto"/>
            </w:tcBorders>
            <w:vAlign w:val="center"/>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Appui technique</w:t>
            </w:r>
          </w:p>
        </w:tc>
        <w:tc>
          <w:tcPr>
            <w:tcW w:w="3623" w:type="dxa"/>
            <w:tcBorders>
              <w:top w:val="single" w:sz="4" w:space="0" w:color="auto"/>
              <w:left w:val="single" w:sz="4" w:space="0" w:color="auto"/>
              <w:bottom w:val="single" w:sz="4" w:space="0" w:color="auto"/>
              <w:right w:val="single" w:sz="4" w:space="0" w:color="auto"/>
            </w:tcBorders>
            <w:hideMark/>
          </w:tcPr>
          <w:p w:rsidR="001D6913" w:rsidRPr="00F77964" w:rsidRDefault="001D6913" w:rsidP="00F258F8">
            <w:pPr>
              <w:pStyle w:val="Normal-pool"/>
              <w:spacing w:before="40" w:after="40"/>
              <w:rPr>
                <w:rFonts w:eastAsia="SimSun"/>
                <w:sz w:val="18"/>
                <w:szCs w:val="18"/>
                <w:lang w:eastAsia="zh-CN"/>
              </w:rPr>
            </w:pPr>
            <w:r w:rsidRPr="00F77964">
              <w:rPr>
                <w:rFonts w:eastAsia="SimSun"/>
                <w:sz w:val="18"/>
                <w:szCs w:val="18"/>
                <w:lang w:eastAsia="zh-CN"/>
              </w:rPr>
              <w:t>0</w:t>
            </w:r>
            <w:r w:rsidR="00F258F8" w:rsidRPr="00F77964">
              <w:rPr>
                <w:rFonts w:eastAsia="SimSun"/>
                <w:sz w:val="18"/>
                <w:szCs w:val="18"/>
                <w:lang w:eastAsia="zh-CN"/>
              </w:rPr>
              <w:t>,</w:t>
            </w:r>
            <w:r w:rsidRPr="00F77964">
              <w:rPr>
                <w:rFonts w:eastAsia="SimSun"/>
                <w:sz w:val="18"/>
                <w:szCs w:val="18"/>
                <w:lang w:eastAsia="zh-CN"/>
              </w:rPr>
              <w:t>2 poste d’administrateurs équivalent plein temps</w:t>
            </w:r>
          </w:p>
        </w:tc>
        <w:tc>
          <w:tcPr>
            <w:tcW w:w="1560" w:type="dxa"/>
            <w:tcBorders>
              <w:top w:val="single" w:sz="4" w:space="0" w:color="auto"/>
              <w:left w:val="single" w:sz="4" w:space="0" w:color="auto"/>
              <w:bottom w:val="single" w:sz="4" w:space="0" w:color="auto"/>
              <w:right w:val="single" w:sz="4" w:space="0" w:color="auto"/>
            </w:tcBorders>
            <w:hideMark/>
          </w:tcPr>
          <w:p w:rsidR="001D6913" w:rsidRPr="00F77964" w:rsidRDefault="001D6913" w:rsidP="00F258F8">
            <w:pPr>
              <w:pStyle w:val="Normal-pool"/>
              <w:spacing w:before="40" w:after="40"/>
              <w:jc w:val="right"/>
              <w:rPr>
                <w:rFonts w:eastAsia="SimSun"/>
                <w:sz w:val="18"/>
                <w:szCs w:val="18"/>
                <w:lang w:eastAsia="zh-CN"/>
              </w:rPr>
            </w:pPr>
            <w:r w:rsidRPr="00F77964">
              <w:rPr>
                <w:rFonts w:eastAsia="SimSun"/>
                <w:sz w:val="18"/>
                <w:szCs w:val="18"/>
                <w:lang w:eastAsia="zh-CN"/>
              </w:rPr>
              <w:t>30</w:t>
            </w:r>
            <w:r w:rsidR="00F258F8" w:rsidRPr="00F77964">
              <w:rPr>
                <w:rFonts w:eastAsia="SimSun"/>
                <w:sz w:val="18"/>
                <w:szCs w:val="18"/>
                <w:lang w:eastAsia="zh-CN"/>
              </w:rPr>
              <w:t> </w:t>
            </w:r>
            <w:r w:rsidRPr="00F77964">
              <w:rPr>
                <w:rFonts w:eastAsia="SimSun"/>
                <w:sz w:val="18"/>
                <w:szCs w:val="18"/>
                <w:lang w:eastAsia="zh-CN"/>
              </w:rPr>
              <w:t>000</w:t>
            </w:r>
          </w:p>
        </w:tc>
      </w:tr>
      <w:tr w:rsidR="001D6913" w:rsidRPr="0061490E" w:rsidTr="001D6913">
        <w:tc>
          <w:tcPr>
            <w:tcW w:w="672" w:type="dxa"/>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spacing w:before="40" w:after="40"/>
              <w:rPr>
                <w:rFonts w:eastAsia="SimSun"/>
                <w:b/>
                <w:sz w:val="18"/>
                <w:szCs w:val="18"/>
                <w:lang w:eastAsia="zh-CN"/>
              </w:rPr>
            </w:pPr>
            <w:r w:rsidRPr="00F77964">
              <w:rPr>
                <w:rFonts w:eastAsia="SimSun"/>
                <w:b/>
                <w:sz w:val="18"/>
                <w:szCs w:val="18"/>
                <w:lang w:eastAsia="zh-CN"/>
              </w:rPr>
              <w:t>Total</w:t>
            </w:r>
          </w:p>
        </w:tc>
        <w:tc>
          <w:tcPr>
            <w:tcW w:w="2929" w:type="dxa"/>
            <w:tcBorders>
              <w:top w:val="single" w:sz="4" w:space="0" w:color="auto"/>
              <w:left w:val="single" w:sz="4" w:space="0" w:color="auto"/>
              <w:bottom w:val="single" w:sz="4" w:space="0" w:color="auto"/>
              <w:right w:val="single" w:sz="4" w:space="0" w:color="auto"/>
            </w:tcBorders>
          </w:tcPr>
          <w:p w:rsidR="001D6913" w:rsidRPr="00F77964" w:rsidRDefault="001D6913" w:rsidP="001D6913">
            <w:pPr>
              <w:pStyle w:val="Normal-pool"/>
              <w:spacing w:before="40" w:after="40"/>
              <w:rPr>
                <w:rFonts w:eastAsia="SimSun"/>
                <w:sz w:val="18"/>
                <w:szCs w:val="18"/>
                <w:lang w:eastAsia="zh-CN"/>
              </w:rPr>
            </w:pPr>
          </w:p>
        </w:tc>
        <w:tc>
          <w:tcPr>
            <w:tcW w:w="3623" w:type="dxa"/>
            <w:tcBorders>
              <w:top w:val="single" w:sz="4" w:space="0" w:color="auto"/>
              <w:left w:val="single" w:sz="4" w:space="0" w:color="auto"/>
              <w:bottom w:val="single" w:sz="4" w:space="0" w:color="auto"/>
              <w:right w:val="single" w:sz="4" w:space="0" w:color="auto"/>
            </w:tcBorders>
          </w:tcPr>
          <w:p w:rsidR="001D6913" w:rsidRPr="00F77964" w:rsidRDefault="001D6913" w:rsidP="001D6913">
            <w:pPr>
              <w:pStyle w:val="Normal-pool"/>
              <w:spacing w:before="40" w:after="40"/>
              <w:rPr>
                <w:rFonts w:eastAsia="SimSun"/>
                <w:sz w:val="18"/>
                <w:szCs w:val="18"/>
                <w:lang w:eastAsia="zh-CN"/>
              </w:rPr>
            </w:pPr>
          </w:p>
        </w:tc>
        <w:tc>
          <w:tcPr>
            <w:tcW w:w="1560" w:type="dxa"/>
            <w:tcBorders>
              <w:top w:val="single" w:sz="4" w:space="0" w:color="auto"/>
              <w:left w:val="single" w:sz="4" w:space="0" w:color="auto"/>
              <w:bottom w:val="single" w:sz="4" w:space="0" w:color="auto"/>
              <w:right w:val="single" w:sz="4" w:space="0" w:color="auto"/>
            </w:tcBorders>
            <w:hideMark/>
          </w:tcPr>
          <w:p w:rsidR="001D6913" w:rsidRPr="00F77964" w:rsidRDefault="001D6913" w:rsidP="00F258F8">
            <w:pPr>
              <w:pStyle w:val="Normal-pool"/>
              <w:spacing w:before="40" w:after="40"/>
              <w:jc w:val="right"/>
              <w:rPr>
                <w:rFonts w:eastAsia="SimSun"/>
                <w:b/>
                <w:sz w:val="18"/>
                <w:szCs w:val="18"/>
                <w:lang w:eastAsia="zh-CN"/>
              </w:rPr>
            </w:pPr>
            <w:r w:rsidRPr="00F77964">
              <w:rPr>
                <w:rFonts w:eastAsia="SimSun"/>
                <w:b/>
                <w:sz w:val="18"/>
                <w:szCs w:val="18"/>
                <w:lang w:eastAsia="zh-CN"/>
              </w:rPr>
              <w:t>150</w:t>
            </w:r>
            <w:r w:rsidR="00F258F8" w:rsidRPr="00F77964">
              <w:rPr>
                <w:rFonts w:eastAsia="SimSun"/>
                <w:b/>
                <w:sz w:val="18"/>
                <w:szCs w:val="18"/>
                <w:lang w:eastAsia="zh-CN"/>
              </w:rPr>
              <w:t> </w:t>
            </w:r>
            <w:r w:rsidRPr="00F77964">
              <w:rPr>
                <w:rFonts w:eastAsia="SimSun"/>
                <w:b/>
                <w:sz w:val="18"/>
                <w:szCs w:val="18"/>
                <w:lang w:eastAsia="zh-CN"/>
              </w:rPr>
              <w:t>000</w:t>
            </w:r>
          </w:p>
        </w:tc>
      </w:tr>
    </w:tbl>
    <w:p w:rsidR="001D6913" w:rsidRPr="00F77964" w:rsidRDefault="001D6913" w:rsidP="001D6913">
      <w:pPr>
        <w:pStyle w:val="CH3"/>
        <w:spacing w:before="120" w:after="0"/>
        <w:rPr>
          <w:lang w:val="fr-FR"/>
        </w:rPr>
      </w:pPr>
      <w:r w:rsidRPr="00F77964">
        <w:rPr>
          <w:lang w:val="fr-FR"/>
        </w:rPr>
        <w:tab/>
      </w:r>
      <w:r w:rsidRPr="00F77964">
        <w:rPr>
          <w:lang w:val="fr-FR"/>
        </w:rPr>
        <w:tab/>
        <w:t>Produit 4 b)</w:t>
      </w:r>
    </w:p>
    <w:p w:rsidR="001D6913" w:rsidRPr="00F77964" w:rsidRDefault="001D6913" w:rsidP="001D6913">
      <w:pPr>
        <w:pStyle w:val="CH3"/>
        <w:rPr>
          <w:lang w:val="fr-FR"/>
        </w:rPr>
      </w:pPr>
      <w:r w:rsidRPr="00F77964">
        <w:rPr>
          <w:lang w:val="fr-FR"/>
        </w:rPr>
        <w:tab/>
      </w:r>
      <w:r w:rsidRPr="00F77964">
        <w:rPr>
          <w:lang w:val="fr-FR"/>
        </w:rPr>
        <w:tab/>
        <w:t>Catalogue d</w:t>
      </w:r>
      <w:r w:rsidR="00610A1B">
        <w:rPr>
          <w:lang w:val="fr-FR"/>
        </w:rPr>
        <w:t>’</w:t>
      </w:r>
      <w:r w:rsidRPr="00F77964">
        <w:rPr>
          <w:lang w:val="fr-FR"/>
        </w:rPr>
        <w:t xml:space="preserve">outils et </w:t>
      </w:r>
      <w:r w:rsidR="00610A1B">
        <w:rPr>
          <w:lang w:val="fr-FR"/>
        </w:rPr>
        <w:t xml:space="preserve">de </w:t>
      </w:r>
      <w:r w:rsidRPr="00F77964">
        <w:rPr>
          <w:lang w:val="fr-FR"/>
        </w:rPr>
        <w:t>méthod</w:t>
      </w:r>
      <w:r w:rsidR="00F258F8" w:rsidRPr="00F77964">
        <w:rPr>
          <w:lang w:val="fr-FR"/>
        </w:rPr>
        <w:t>es d’</w:t>
      </w:r>
      <w:r w:rsidR="00AA6C94">
        <w:rPr>
          <w:lang w:val="fr-FR"/>
        </w:rPr>
        <w:t>aide à la décision</w:t>
      </w:r>
      <w:r w:rsidRPr="00F77964">
        <w:rPr>
          <w:lang w:val="fr-FR"/>
        </w:rPr>
        <w:t xml:space="preserve"> </w:t>
      </w:r>
      <w:r w:rsidR="00610A1B" w:rsidRPr="006031C5">
        <w:rPr>
          <w:i/>
          <w:color w:val="000000"/>
          <w:lang w:val="fr-FR"/>
        </w:rPr>
        <w:t>(</w:t>
      </w:r>
      <w:r w:rsidR="00610A1B">
        <w:rPr>
          <w:i/>
          <w:color w:val="000000"/>
          <w:lang w:val="fr-FR"/>
        </w:rPr>
        <w:t xml:space="preserve">élaboration en </w:t>
      </w:r>
      <w:r w:rsidR="00610A1B" w:rsidRPr="006031C5">
        <w:rPr>
          <w:i/>
          <w:iCs/>
          <w:color w:val="000000"/>
          <w:lang w:val="fr-FR"/>
        </w:rPr>
        <w:t>2014</w:t>
      </w:r>
      <w:r w:rsidR="00610A1B">
        <w:rPr>
          <w:i/>
          <w:iCs/>
          <w:color w:val="000000"/>
          <w:lang w:val="fr-FR"/>
        </w:rPr>
        <w:t xml:space="preserve"> et publication en 2015</w:t>
      </w:r>
      <w:r w:rsidR="00610A1B" w:rsidRPr="006031C5">
        <w:rPr>
          <w:i/>
          <w:iCs/>
          <w:color w:val="000000"/>
          <w:lang w:val="fr-FR"/>
        </w:rPr>
        <w:t>)</w:t>
      </w:r>
    </w:p>
    <w:p w:rsidR="001D6913" w:rsidRPr="00F77964" w:rsidRDefault="001D6913" w:rsidP="001D6913">
      <w:pPr>
        <w:pStyle w:val="CH3"/>
        <w:rPr>
          <w:lang w:val="fr-FR"/>
        </w:rPr>
      </w:pPr>
      <w:r w:rsidRPr="00F77964">
        <w:rPr>
          <w:lang w:val="fr-FR"/>
        </w:rPr>
        <w:tab/>
      </w:r>
      <w:r w:rsidRPr="00F77964">
        <w:rPr>
          <w:lang w:val="fr-FR"/>
        </w:rPr>
        <w:tab/>
        <w:t>Hypothèses</w:t>
      </w:r>
    </w:p>
    <w:p w:rsidR="001D6913" w:rsidRPr="00F90D8B" w:rsidRDefault="00D519C7" w:rsidP="00F90D8B">
      <w:pPr>
        <w:pStyle w:val="Normalnumber"/>
        <w:numPr>
          <w:ilvl w:val="0"/>
          <w:numId w:val="6"/>
        </w:numPr>
        <w:tabs>
          <w:tab w:val="left" w:pos="624"/>
        </w:tabs>
        <w:ind w:left="1247" w:firstLine="0"/>
        <w:rPr>
          <w:lang w:val="fr-FR"/>
        </w:rPr>
      </w:pPr>
      <w:r>
        <w:rPr>
          <w:lang w:val="fr-FR"/>
        </w:rPr>
        <w:t>Il e</w:t>
      </w:r>
      <w:r w:rsidR="001B6FA6">
        <w:rPr>
          <w:lang w:val="fr-FR"/>
        </w:rPr>
        <w:t>xiste u</w:t>
      </w:r>
      <w:r>
        <w:rPr>
          <w:lang w:val="fr-FR"/>
        </w:rPr>
        <w:t xml:space="preserve">n </w:t>
      </w:r>
      <w:r w:rsidRPr="00F90D8B">
        <w:rPr>
          <w:lang w:val="fr-FR"/>
        </w:rPr>
        <w:t xml:space="preserve">large éventail </w:t>
      </w:r>
      <w:r>
        <w:rPr>
          <w:lang w:val="fr-FR"/>
        </w:rPr>
        <w:t xml:space="preserve">d’outils et de méthodes </w:t>
      </w:r>
      <w:r w:rsidR="001B6FA6">
        <w:rPr>
          <w:lang w:val="fr-FR"/>
        </w:rPr>
        <w:t>qui présentent un intérêt</w:t>
      </w:r>
      <w:r w:rsidR="00A542D9">
        <w:rPr>
          <w:lang w:val="fr-FR"/>
        </w:rPr>
        <w:t xml:space="preserve"> </w:t>
      </w:r>
      <w:r w:rsidRPr="00F77964">
        <w:rPr>
          <w:lang w:val="fr-FR"/>
        </w:rPr>
        <w:t>pour</w:t>
      </w:r>
      <w:r>
        <w:rPr>
          <w:lang w:val="fr-FR"/>
        </w:rPr>
        <w:t xml:space="preserve"> l</w:t>
      </w:r>
      <w:r w:rsidR="001D6913" w:rsidRPr="00F90D8B">
        <w:rPr>
          <w:lang w:val="fr-FR"/>
        </w:rPr>
        <w:t xml:space="preserve">a </w:t>
      </w:r>
      <w:r w:rsidR="00F258F8" w:rsidRPr="00F90D8B">
        <w:rPr>
          <w:lang w:val="fr-FR"/>
        </w:rPr>
        <w:t>P</w:t>
      </w:r>
      <w:r w:rsidR="001D6913" w:rsidRPr="00F90D8B">
        <w:rPr>
          <w:lang w:val="fr-FR"/>
        </w:rPr>
        <w:t>lateforme et les activités connexes</w:t>
      </w:r>
      <w:r w:rsidR="00734D7F">
        <w:rPr>
          <w:lang w:val="fr-FR"/>
        </w:rPr>
        <w:t>, dont</w:t>
      </w:r>
      <w:r w:rsidR="001D6913" w:rsidRPr="00F90D8B">
        <w:rPr>
          <w:lang w:val="fr-FR"/>
        </w:rPr>
        <w:t xml:space="preserve"> les suivants : modélisation et suivi des modes de production et de consommation et </w:t>
      </w:r>
      <w:r w:rsidR="0088298D" w:rsidRPr="00F90D8B">
        <w:rPr>
          <w:lang w:val="fr-FR"/>
        </w:rPr>
        <w:t xml:space="preserve">de </w:t>
      </w:r>
      <w:r w:rsidR="001D6913" w:rsidRPr="00F90D8B">
        <w:rPr>
          <w:lang w:val="fr-FR"/>
        </w:rPr>
        <w:t>leurs incidences sur la biodiversité et les services écosystémiques; scénarios et autres techniques de prévision; analyse des risques</w:t>
      </w:r>
      <w:r w:rsidR="0088298D" w:rsidRPr="00F90D8B">
        <w:rPr>
          <w:lang w:val="fr-FR"/>
        </w:rPr>
        <w:t>;</w:t>
      </w:r>
      <w:r w:rsidR="001D6913" w:rsidRPr="00F90D8B">
        <w:rPr>
          <w:lang w:val="fr-FR"/>
        </w:rPr>
        <w:t xml:space="preserve"> analyse coûts-avantages; méthodes </w:t>
      </w:r>
      <w:r w:rsidR="00DD6F31" w:rsidRPr="00F90D8B">
        <w:rPr>
          <w:lang w:val="fr-FR"/>
        </w:rPr>
        <w:t>de définition, détermination et comptabilisation de la valeur</w:t>
      </w:r>
      <w:r w:rsidR="001D6913" w:rsidRPr="00F90D8B">
        <w:rPr>
          <w:lang w:val="fr-FR"/>
        </w:rPr>
        <w:t>; indicateurs</w:t>
      </w:r>
      <w:r w:rsidR="0088298D" w:rsidRPr="00F90D8B">
        <w:rPr>
          <w:lang w:val="fr-FR"/>
        </w:rPr>
        <w:t>;</w:t>
      </w:r>
      <w:r w:rsidR="001D6913" w:rsidRPr="00F90D8B">
        <w:rPr>
          <w:lang w:val="fr-FR"/>
        </w:rPr>
        <w:t xml:space="preserve"> et méthodes d’évaluation. </w:t>
      </w:r>
      <w:r w:rsidR="0088298D" w:rsidRPr="00F90D8B">
        <w:rPr>
          <w:lang w:val="fr-FR"/>
        </w:rPr>
        <w:t>Le</w:t>
      </w:r>
      <w:r w:rsidR="001D6913" w:rsidRPr="00F90D8B">
        <w:rPr>
          <w:lang w:val="fr-FR"/>
        </w:rPr>
        <w:t xml:space="preserve"> catalogue dynamique des outils et méthod</w:t>
      </w:r>
      <w:r w:rsidR="0088298D" w:rsidRPr="00F90D8B">
        <w:rPr>
          <w:lang w:val="fr-FR"/>
        </w:rPr>
        <w:t>es devrait</w:t>
      </w:r>
      <w:r w:rsidR="001D6913" w:rsidRPr="00F90D8B">
        <w:rPr>
          <w:lang w:val="fr-FR"/>
        </w:rPr>
        <w:t xml:space="preserve"> constituer un </w:t>
      </w:r>
      <w:r w:rsidR="0088298D" w:rsidRPr="00F90D8B">
        <w:rPr>
          <w:lang w:val="fr-FR"/>
        </w:rPr>
        <w:t xml:space="preserve">important </w:t>
      </w:r>
      <w:r w:rsidR="00734D7F" w:rsidRPr="00F90D8B">
        <w:rPr>
          <w:lang w:val="fr-FR"/>
        </w:rPr>
        <w:t xml:space="preserve">mécanisme </w:t>
      </w:r>
      <w:r w:rsidR="00734D7F">
        <w:rPr>
          <w:lang w:val="fr-FR"/>
        </w:rPr>
        <w:t>d</w:t>
      </w:r>
      <w:r w:rsidR="001D6913" w:rsidRPr="00F90D8B">
        <w:rPr>
          <w:lang w:val="fr-FR"/>
        </w:rPr>
        <w:t>’échange d</w:t>
      </w:r>
      <w:r w:rsidR="0088298D" w:rsidRPr="00F90D8B">
        <w:rPr>
          <w:lang w:val="fr-FR"/>
        </w:rPr>
        <w:t>’</w:t>
      </w:r>
      <w:r w:rsidR="001D6913" w:rsidRPr="00F90D8B">
        <w:rPr>
          <w:lang w:val="fr-FR"/>
        </w:rPr>
        <w:t>informations pertinentes sur les outils et méthod</w:t>
      </w:r>
      <w:r w:rsidR="0088298D" w:rsidRPr="00F90D8B">
        <w:rPr>
          <w:lang w:val="fr-FR"/>
        </w:rPr>
        <w:t>es</w:t>
      </w:r>
      <w:r w:rsidR="001D6913" w:rsidRPr="00F90D8B">
        <w:rPr>
          <w:lang w:val="fr-FR"/>
        </w:rPr>
        <w:t xml:space="preserve"> intéressant la biodiversité et les services écosystémiques. Un </w:t>
      </w:r>
      <w:r w:rsidR="0088298D" w:rsidRPr="00F90D8B">
        <w:rPr>
          <w:lang w:val="fr-FR"/>
        </w:rPr>
        <w:t>g</w:t>
      </w:r>
      <w:r w:rsidR="001D6913" w:rsidRPr="00F90D8B">
        <w:rPr>
          <w:lang w:val="fr-FR"/>
        </w:rPr>
        <w:t xml:space="preserve">roupe d’experts doté d’un </w:t>
      </w:r>
      <w:r w:rsidR="004621EA" w:rsidRPr="00F90D8B">
        <w:rPr>
          <w:lang w:val="fr-FR"/>
        </w:rPr>
        <w:t>mandat précis</w:t>
      </w:r>
      <w:r w:rsidR="001D6913" w:rsidRPr="00F90D8B">
        <w:rPr>
          <w:lang w:val="fr-FR"/>
        </w:rPr>
        <w:t xml:space="preserve"> </w:t>
      </w:r>
      <w:r w:rsidR="004621EA" w:rsidRPr="00F90D8B">
        <w:rPr>
          <w:lang w:val="fr-FR"/>
        </w:rPr>
        <w:t>à durée déterminée</w:t>
      </w:r>
      <w:r w:rsidR="001D6913" w:rsidRPr="00F90D8B">
        <w:rPr>
          <w:lang w:val="fr-FR"/>
        </w:rPr>
        <w:t xml:space="preserve">, dirigé par le Groupe d’experts multidisciplinaire et le Bureau, sera établi pour un an afin de mettre au point le catalogue et </w:t>
      </w:r>
      <w:r w:rsidR="00E26AF7" w:rsidRPr="00F90D8B">
        <w:rPr>
          <w:lang w:val="fr-FR"/>
        </w:rPr>
        <w:t xml:space="preserve">de définir </w:t>
      </w:r>
      <w:r w:rsidR="00264BB9" w:rsidRPr="00F90D8B">
        <w:rPr>
          <w:lang w:val="fr-FR"/>
        </w:rPr>
        <w:t>des orientations</w:t>
      </w:r>
      <w:r w:rsidR="001D6913" w:rsidRPr="00F90D8B">
        <w:rPr>
          <w:lang w:val="fr-FR"/>
        </w:rPr>
        <w:t xml:space="preserve"> sur la façon dont l</w:t>
      </w:r>
      <w:r w:rsidR="00734D7F">
        <w:rPr>
          <w:lang w:val="fr-FR"/>
        </w:rPr>
        <w:t xml:space="preserve">a poursuite de la mise au point </w:t>
      </w:r>
      <w:r w:rsidR="00610A1B">
        <w:rPr>
          <w:lang w:val="fr-FR"/>
        </w:rPr>
        <w:t>d’outils et de méthodes</w:t>
      </w:r>
      <w:r w:rsidR="001D6913" w:rsidRPr="00F90D8B">
        <w:rPr>
          <w:lang w:val="fr-FR"/>
        </w:rPr>
        <w:t xml:space="preserve"> d’</w:t>
      </w:r>
      <w:r w:rsidR="00AA6C94" w:rsidRPr="00F90D8B">
        <w:rPr>
          <w:lang w:val="fr-FR"/>
        </w:rPr>
        <w:t>aide à la décision</w:t>
      </w:r>
      <w:r w:rsidR="001D6913" w:rsidRPr="00F90D8B">
        <w:rPr>
          <w:lang w:val="fr-FR"/>
        </w:rPr>
        <w:t xml:space="preserve"> pourrait être encouragé</w:t>
      </w:r>
      <w:r w:rsidR="00734D7F">
        <w:rPr>
          <w:lang w:val="fr-FR"/>
        </w:rPr>
        <w:t>e</w:t>
      </w:r>
      <w:r w:rsidR="001D6913" w:rsidRPr="00F90D8B">
        <w:rPr>
          <w:lang w:val="fr-FR"/>
        </w:rPr>
        <w:t xml:space="preserve"> et catalysé</w:t>
      </w:r>
      <w:r w:rsidR="00734D7F">
        <w:rPr>
          <w:lang w:val="fr-FR"/>
        </w:rPr>
        <w:t>e</w:t>
      </w:r>
      <w:r w:rsidR="001D6913" w:rsidRPr="00F90D8B">
        <w:rPr>
          <w:lang w:val="fr-FR"/>
        </w:rPr>
        <w:t xml:space="preserve"> dans le c</w:t>
      </w:r>
      <w:r w:rsidR="0088298D" w:rsidRPr="00F90D8B">
        <w:rPr>
          <w:lang w:val="fr-FR"/>
        </w:rPr>
        <w:t>adre de la P</w:t>
      </w:r>
      <w:r w:rsidR="001D6913" w:rsidRPr="00F90D8B">
        <w:rPr>
          <w:lang w:val="fr-FR"/>
        </w:rPr>
        <w:t xml:space="preserve">lateforme. </w:t>
      </w:r>
      <w:r w:rsidR="0088298D" w:rsidRPr="00F90D8B">
        <w:rPr>
          <w:lang w:val="fr-FR"/>
        </w:rPr>
        <w:t>C</w:t>
      </w:r>
      <w:r w:rsidR="001D6913" w:rsidRPr="00F90D8B">
        <w:rPr>
          <w:lang w:val="fr-FR"/>
        </w:rPr>
        <w:t xml:space="preserve">e </w:t>
      </w:r>
      <w:r w:rsidR="0088298D" w:rsidRPr="00F90D8B">
        <w:rPr>
          <w:lang w:val="fr-FR"/>
        </w:rPr>
        <w:t>g</w:t>
      </w:r>
      <w:r w:rsidR="001D6913" w:rsidRPr="00F90D8B">
        <w:rPr>
          <w:lang w:val="fr-FR"/>
        </w:rPr>
        <w:t>roupe sera composé de 50 experts</w:t>
      </w:r>
      <w:r w:rsidR="0088298D" w:rsidRPr="00F90D8B">
        <w:rPr>
          <w:lang w:val="fr-FR"/>
        </w:rPr>
        <w:t>, notamment des</w:t>
      </w:r>
      <w:r w:rsidR="001D6913" w:rsidRPr="00F90D8B">
        <w:rPr>
          <w:lang w:val="fr-FR"/>
        </w:rPr>
        <w:t xml:space="preserve"> membres du Bureau, du Groupe d’experts multidisciplinaire, de l’équipe spéciale sur le renforcement des capacités, de l’équipe spéciale sur les connaissances </w:t>
      </w:r>
      <w:r w:rsidR="0088298D" w:rsidRPr="00F90D8B">
        <w:rPr>
          <w:lang w:val="fr-FR"/>
        </w:rPr>
        <w:t>et les</w:t>
      </w:r>
      <w:r w:rsidR="001D6913" w:rsidRPr="00F90D8B">
        <w:rPr>
          <w:lang w:val="fr-FR"/>
        </w:rPr>
        <w:t xml:space="preserve"> données </w:t>
      </w:r>
      <w:r w:rsidR="0088298D" w:rsidRPr="00F90D8B">
        <w:rPr>
          <w:lang w:val="fr-FR"/>
        </w:rPr>
        <w:t>ainsi que d</w:t>
      </w:r>
      <w:r w:rsidR="00734D7F">
        <w:rPr>
          <w:lang w:val="fr-FR"/>
        </w:rPr>
        <w:t>’autr</w:t>
      </w:r>
      <w:r w:rsidR="0088298D" w:rsidRPr="00F90D8B">
        <w:rPr>
          <w:lang w:val="fr-FR"/>
        </w:rPr>
        <w:t xml:space="preserve">es </w:t>
      </w:r>
      <w:r w:rsidR="001D6913" w:rsidRPr="00F90D8B">
        <w:rPr>
          <w:lang w:val="fr-FR"/>
        </w:rPr>
        <w:t xml:space="preserve">experts désignés. Il recevra l’appui du </w:t>
      </w:r>
      <w:r w:rsidR="0088298D" w:rsidRPr="00F90D8B">
        <w:rPr>
          <w:lang w:val="fr-FR"/>
        </w:rPr>
        <w:t>s</w:t>
      </w:r>
      <w:r w:rsidR="001D6913" w:rsidRPr="00F90D8B">
        <w:rPr>
          <w:lang w:val="fr-FR"/>
        </w:rPr>
        <w:t xml:space="preserve">ecrétariat. C’est au </w:t>
      </w:r>
      <w:r w:rsidR="0088298D" w:rsidRPr="00F90D8B">
        <w:rPr>
          <w:lang w:val="fr-FR"/>
        </w:rPr>
        <w:t>s</w:t>
      </w:r>
      <w:r w:rsidR="001D6913" w:rsidRPr="00F90D8B">
        <w:rPr>
          <w:lang w:val="fr-FR"/>
        </w:rPr>
        <w:t>ecrétariat, sous les auspices du Groupe d’experts multidisciplinaire et du Bureau</w:t>
      </w:r>
      <w:r w:rsidR="0088298D" w:rsidRPr="00F90D8B">
        <w:rPr>
          <w:lang w:val="fr-FR"/>
        </w:rPr>
        <w:t>,</w:t>
      </w:r>
      <w:r w:rsidR="001D6913" w:rsidRPr="00F90D8B">
        <w:rPr>
          <w:lang w:val="fr-FR"/>
        </w:rPr>
        <w:t xml:space="preserve"> qu’il appartiendra de gérer le catalogue des outils et méthod</w:t>
      </w:r>
      <w:r w:rsidR="0088298D" w:rsidRPr="00F90D8B">
        <w:rPr>
          <w:lang w:val="fr-FR"/>
        </w:rPr>
        <w:t>es pertinents d’</w:t>
      </w:r>
      <w:r w:rsidR="00AA6C94" w:rsidRPr="00F90D8B">
        <w:rPr>
          <w:lang w:val="fr-FR"/>
        </w:rPr>
        <w:t>aide à la décision</w:t>
      </w:r>
      <w:r w:rsidR="001D6913" w:rsidRPr="00F90D8B">
        <w:rPr>
          <w:lang w:val="fr-FR"/>
        </w:rPr>
        <w:t xml:space="preserve">. </w:t>
      </w:r>
    </w:p>
    <w:p w:rsidR="001D6913" w:rsidRPr="00F77964" w:rsidRDefault="001D6913" w:rsidP="00C00335">
      <w:pPr>
        <w:pStyle w:val="CH3"/>
        <w:spacing w:before="120"/>
        <w:rPr>
          <w:rFonts w:eastAsia="SimSun"/>
          <w:lang w:val="fr-FR" w:eastAsia="zh-CN"/>
        </w:rPr>
      </w:pPr>
      <w:r w:rsidRPr="00F77964">
        <w:rPr>
          <w:rFonts w:eastAsia="SimSun"/>
          <w:b w:val="0"/>
          <w:lang w:val="fr-FR" w:eastAsia="zh-CN"/>
        </w:rPr>
        <w:tab/>
      </w:r>
      <w:r w:rsidRPr="00F77964">
        <w:rPr>
          <w:rFonts w:eastAsia="SimSun"/>
          <w:b w:val="0"/>
          <w:lang w:val="fr-FR" w:eastAsia="zh-CN"/>
        </w:rPr>
        <w:tab/>
      </w:r>
      <w:r w:rsidRPr="00F77964">
        <w:rPr>
          <w:rFonts w:eastAsia="SimSun"/>
          <w:lang w:val="fr-FR" w:eastAsia="zh-CN"/>
        </w:rPr>
        <w:t>Actions, étapes intermédiaires et dispositions institutionnelles</w:t>
      </w:r>
    </w:p>
    <w:p w:rsidR="001D6913" w:rsidRPr="00F90D8B" w:rsidRDefault="001D6913" w:rsidP="00F90D8B">
      <w:pPr>
        <w:pStyle w:val="Normalnumber"/>
        <w:numPr>
          <w:ilvl w:val="0"/>
          <w:numId w:val="6"/>
        </w:numPr>
        <w:tabs>
          <w:tab w:val="left" w:pos="624"/>
        </w:tabs>
        <w:ind w:left="1247" w:firstLine="0"/>
        <w:rPr>
          <w:lang w:val="fr-FR"/>
        </w:rPr>
      </w:pPr>
      <w:r w:rsidRPr="00F90D8B">
        <w:rPr>
          <w:lang w:val="fr-FR"/>
        </w:rPr>
        <w:t>Les actions à mener sont indiquées ci-après</w:t>
      </w:r>
      <w:r w:rsidR="00EF3F0B" w:rsidRPr="00F90D8B">
        <w:rPr>
          <w:lang w:val="fr-FR"/>
        </w:rPr>
        <w:t> </w:t>
      </w:r>
      <w:r w:rsidRPr="00F90D8B">
        <w:rPr>
          <w:lang w:val="fr-FR"/>
        </w:rPr>
        <w:t>:</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345"/>
        <w:gridCol w:w="6015"/>
      </w:tblGrid>
      <w:tr w:rsidR="00D55211" w:rsidRPr="0061490E" w:rsidTr="007A7412">
        <w:trPr>
          <w:trHeight w:val="249"/>
          <w:tblHeader/>
        </w:trPr>
        <w:tc>
          <w:tcPr>
            <w:tcW w:w="1979" w:type="dxa"/>
            <w:gridSpan w:val="2"/>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spacing w:before="40" w:after="40"/>
              <w:rPr>
                <w:rFonts w:eastAsia="SimSun"/>
                <w:i/>
                <w:sz w:val="18"/>
                <w:szCs w:val="18"/>
                <w:lang w:eastAsia="zh-CN"/>
              </w:rPr>
            </w:pPr>
            <w:r w:rsidRPr="00F77964">
              <w:rPr>
                <w:rFonts w:eastAsia="SimSun"/>
                <w:i/>
                <w:sz w:val="18"/>
                <w:szCs w:val="18"/>
                <w:lang w:eastAsia="zh-CN"/>
              </w:rPr>
              <w:t>Calendrier</w:t>
            </w:r>
          </w:p>
        </w:tc>
        <w:tc>
          <w:tcPr>
            <w:tcW w:w="6015" w:type="dxa"/>
            <w:tcBorders>
              <w:top w:val="single" w:sz="4" w:space="0" w:color="auto"/>
              <w:left w:val="single" w:sz="4" w:space="0" w:color="auto"/>
              <w:bottom w:val="single" w:sz="4" w:space="0" w:color="auto"/>
              <w:right w:val="single" w:sz="4" w:space="0" w:color="auto"/>
            </w:tcBorders>
            <w:vAlign w:val="center"/>
            <w:hideMark/>
          </w:tcPr>
          <w:p w:rsidR="001D6913" w:rsidRPr="00F77964" w:rsidRDefault="001D6913" w:rsidP="001D6913">
            <w:pPr>
              <w:pStyle w:val="Normal-pool"/>
              <w:spacing w:before="40" w:after="40"/>
              <w:rPr>
                <w:rFonts w:eastAsia="SimSun"/>
                <w:i/>
                <w:sz w:val="18"/>
                <w:szCs w:val="18"/>
                <w:lang w:eastAsia="zh-CN"/>
              </w:rPr>
            </w:pPr>
            <w:r w:rsidRPr="00F77964">
              <w:rPr>
                <w:rFonts w:eastAsia="SimSun"/>
                <w:i/>
                <w:sz w:val="18"/>
                <w:szCs w:val="18"/>
                <w:lang w:eastAsia="zh-CN"/>
              </w:rPr>
              <w:t>Actions/dispositions institutionnelles</w:t>
            </w:r>
          </w:p>
        </w:tc>
      </w:tr>
      <w:tr w:rsidR="00D55211" w:rsidRPr="0061490E" w:rsidTr="007A7412">
        <w:trPr>
          <w:trHeight w:val="1277"/>
        </w:trPr>
        <w:tc>
          <w:tcPr>
            <w:tcW w:w="634" w:type="dxa"/>
            <w:tcBorders>
              <w:top w:val="single" w:sz="4" w:space="0" w:color="auto"/>
              <w:left w:val="single" w:sz="4" w:space="0" w:color="auto"/>
              <w:bottom w:val="single" w:sz="4" w:space="0" w:color="auto"/>
              <w:right w:val="single" w:sz="4" w:space="0" w:color="auto"/>
            </w:tcBorders>
            <w:hideMark/>
          </w:tcPr>
          <w:p w:rsidR="001D6913" w:rsidRPr="00F77964" w:rsidRDefault="001D6913" w:rsidP="00C00335">
            <w:pPr>
              <w:pStyle w:val="Normal-pool"/>
              <w:spacing w:before="40" w:after="40"/>
              <w:rPr>
                <w:rFonts w:eastAsia="SimSun"/>
                <w:sz w:val="18"/>
                <w:szCs w:val="18"/>
                <w:lang w:eastAsia="zh-CN"/>
              </w:rPr>
            </w:pPr>
            <w:r w:rsidRPr="00F77964">
              <w:rPr>
                <w:rFonts w:eastAsia="SimSun"/>
                <w:sz w:val="18"/>
                <w:szCs w:val="18"/>
                <w:lang w:eastAsia="zh-CN"/>
              </w:rPr>
              <w:t>2013</w:t>
            </w:r>
          </w:p>
        </w:tc>
        <w:tc>
          <w:tcPr>
            <w:tcW w:w="1345" w:type="dxa"/>
            <w:tcBorders>
              <w:top w:val="single" w:sz="4" w:space="0" w:color="auto"/>
              <w:left w:val="single" w:sz="4" w:space="0" w:color="auto"/>
              <w:bottom w:val="single" w:sz="4" w:space="0" w:color="auto"/>
              <w:right w:val="single" w:sz="4" w:space="0" w:color="auto"/>
            </w:tcBorders>
            <w:hideMark/>
          </w:tcPr>
          <w:p w:rsidR="001D6913" w:rsidRPr="00F77964" w:rsidRDefault="001D6913" w:rsidP="00C00335">
            <w:pPr>
              <w:pStyle w:val="Normal-pool"/>
              <w:spacing w:before="40" w:after="40"/>
              <w:rPr>
                <w:rFonts w:eastAsia="SimSun"/>
                <w:sz w:val="18"/>
                <w:szCs w:val="18"/>
                <w:lang w:eastAsia="zh-CN"/>
              </w:rPr>
            </w:pPr>
            <w:r w:rsidRPr="00F77964">
              <w:rPr>
                <w:rFonts w:eastAsia="SimSun"/>
                <w:sz w:val="18"/>
                <w:szCs w:val="18"/>
                <w:lang w:eastAsia="zh-CN"/>
              </w:rPr>
              <w:t>Quatrième trimestre</w:t>
            </w:r>
          </w:p>
        </w:tc>
        <w:tc>
          <w:tcPr>
            <w:tcW w:w="6015" w:type="dxa"/>
            <w:tcBorders>
              <w:top w:val="single" w:sz="4" w:space="0" w:color="auto"/>
              <w:left w:val="single" w:sz="4" w:space="0" w:color="auto"/>
              <w:bottom w:val="single" w:sz="4" w:space="0" w:color="auto"/>
              <w:right w:val="single" w:sz="4" w:space="0" w:color="auto"/>
            </w:tcBorders>
            <w:hideMark/>
          </w:tcPr>
          <w:p w:rsidR="001D6913" w:rsidRPr="00F77964" w:rsidRDefault="001D6913" w:rsidP="00C00335">
            <w:pPr>
              <w:pStyle w:val="Normal-pool"/>
              <w:spacing w:before="40" w:after="40"/>
              <w:rPr>
                <w:rFonts w:eastAsia="SimSun"/>
                <w:sz w:val="18"/>
                <w:szCs w:val="18"/>
                <w:lang w:eastAsia="zh-CN"/>
              </w:rPr>
            </w:pPr>
            <w:r w:rsidRPr="00F77964">
              <w:rPr>
                <w:rFonts w:eastAsia="SimSun"/>
                <w:sz w:val="18"/>
                <w:szCs w:val="18"/>
                <w:lang w:eastAsia="zh-CN"/>
              </w:rPr>
              <w:t xml:space="preserve">La Plénière, à sa deuxième session, demande au Groupe d’experts multidisciplinaire et au Bureau, </w:t>
            </w:r>
            <w:r w:rsidR="001F333A" w:rsidRPr="00F77964">
              <w:rPr>
                <w:rFonts w:eastAsia="SimSun"/>
                <w:sz w:val="18"/>
                <w:szCs w:val="18"/>
                <w:lang w:eastAsia="zh-CN"/>
              </w:rPr>
              <w:t>avec le concours d’</w:t>
            </w:r>
            <w:r w:rsidRPr="00F77964">
              <w:rPr>
                <w:rFonts w:eastAsia="SimSun"/>
                <w:sz w:val="18"/>
                <w:szCs w:val="18"/>
                <w:lang w:eastAsia="zh-CN"/>
              </w:rPr>
              <w:t xml:space="preserve">un </w:t>
            </w:r>
            <w:r w:rsidR="001F333A" w:rsidRPr="00F77964">
              <w:rPr>
                <w:rFonts w:eastAsia="SimSun"/>
                <w:sz w:val="18"/>
                <w:szCs w:val="18"/>
                <w:lang w:eastAsia="zh-CN"/>
              </w:rPr>
              <w:t>g</w:t>
            </w:r>
            <w:r w:rsidRPr="00F77964">
              <w:rPr>
                <w:rFonts w:eastAsia="SimSun"/>
                <w:sz w:val="18"/>
                <w:szCs w:val="18"/>
                <w:lang w:eastAsia="zh-CN"/>
              </w:rPr>
              <w:t xml:space="preserve">roupe d’experts doté d’un </w:t>
            </w:r>
            <w:r w:rsidR="004621EA">
              <w:rPr>
                <w:rFonts w:eastAsia="SimSun"/>
                <w:sz w:val="18"/>
                <w:szCs w:val="18"/>
                <w:lang w:eastAsia="zh-CN"/>
              </w:rPr>
              <w:t>mandat précis</w:t>
            </w:r>
            <w:r w:rsidRPr="00F77964">
              <w:rPr>
                <w:rFonts w:eastAsia="SimSun"/>
                <w:sz w:val="18"/>
                <w:szCs w:val="18"/>
                <w:lang w:eastAsia="zh-CN"/>
              </w:rPr>
              <w:t xml:space="preserve"> </w:t>
            </w:r>
            <w:r w:rsidR="004621EA">
              <w:rPr>
                <w:rFonts w:eastAsia="SimSun"/>
                <w:sz w:val="18"/>
                <w:szCs w:val="18"/>
                <w:lang w:eastAsia="zh-CN"/>
              </w:rPr>
              <w:t>à durée déterminée</w:t>
            </w:r>
            <w:r w:rsidRPr="00F77964">
              <w:rPr>
                <w:rFonts w:eastAsia="SimSun"/>
                <w:sz w:val="18"/>
                <w:szCs w:val="18"/>
                <w:lang w:eastAsia="zh-CN"/>
              </w:rPr>
              <w:t>, de mettre au point un catalogue des outils et méthodes</w:t>
            </w:r>
            <w:r w:rsidR="001F333A" w:rsidRPr="00F77964">
              <w:rPr>
                <w:rFonts w:eastAsia="SimSun"/>
                <w:sz w:val="18"/>
                <w:szCs w:val="18"/>
                <w:lang w:eastAsia="zh-CN"/>
              </w:rPr>
              <w:t xml:space="preserve"> d’</w:t>
            </w:r>
            <w:r w:rsidR="00AA6C94">
              <w:rPr>
                <w:rFonts w:eastAsia="SimSun"/>
                <w:sz w:val="18"/>
                <w:szCs w:val="18"/>
                <w:lang w:eastAsia="zh-CN"/>
              </w:rPr>
              <w:t>aide à la décision</w:t>
            </w:r>
            <w:r w:rsidRPr="00F77964">
              <w:rPr>
                <w:rFonts w:eastAsia="SimSun"/>
                <w:sz w:val="18"/>
                <w:szCs w:val="18"/>
                <w:lang w:eastAsia="zh-CN"/>
              </w:rPr>
              <w:t xml:space="preserve">, </w:t>
            </w:r>
            <w:r w:rsidR="001F333A" w:rsidRPr="00F77964">
              <w:rPr>
                <w:rFonts w:eastAsia="SimSun"/>
                <w:sz w:val="18"/>
                <w:szCs w:val="18"/>
                <w:lang w:eastAsia="zh-CN"/>
              </w:rPr>
              <w:t>de définir</w:t>
            </w:r>
            <w:r w:rsidRPr="00F77964">
              <w:rPr>
                <w:rFonts w:eastAsia="SimSun"/>
                <w:sz w:val="18"/>
                <w:szCs w:val="18"/>
                <w:lang w:eastAsia="zh-CN"/>
              </w:rPr>
              <w:t xml:space="preserve"> des orientations sur la façon dont l</w:t>
            </w:r>
            <w:r w:rsidR="00734D7F">
              <w:rPr>
                <w:rFonts w:eastAsia="SimSun"/>
                <w:sz w:val="18"/>
                <w:szCs w:val="18"/>
                <w:lang w:eastAsia="zh-CN"/>
              </w:rPr>
              <w:t>’élaboration plus poussée</w:t>
            </w:r>
            <w:r w:rsidRPr="00F77964">
              <w:rPr>
                <w:rFonts w:eastAsia="SimSun"/>
                <w:sz w:val="18"/>
                <w:szCs w:val="18"/>
                <w:lang w:eastAsia="zh-CN"/>
              </w:rPr>
              <w:t xml:space="preserve"> de ces outils et méthod</w:t>
            </w:r>
            <w:r w:rsidR="001F333A" w:rsidRPr="00F77964">
              <w:rPr>
                <w:rFonts w:eastAsia="SimSun"/>
                <w:sz w:val="18"/>
                <w:szCs w:val="18"/>
                <w:lang w:eastAsia="zh-CN"/>
              </w:rPr>
              <w:t>es</w:t>
            </w:r>
            <w:r w:rsidRPr="00F77964">
              <w:rPr>
                <w:rFonts w:eastAsia="SimSun"/>
                <w:sz w:val="18"/>
                <w:szCs w:val="18"/>
                <w:lang w:eastAsia="zh-CN"/>
              </w:rPr>
              <w:t xml:space="preserve"> pourrait être encouragé</w:t>
            </w:r>
            <w:r w:rsidR="00734D7F">
              <w:rPr>
                <w:rFonts w:eastAsia="SimSun"/>
                <w:sz w:val="18"/>
                <w:szCs w:val="18"/>
                <w:lang w:eastAsia="zh-CN"/>
              </w:rPr>
              <w:t>e</w:t>
            </w:r>
            <w:r w:rsidRPr="00F77964">
              <w:rPr>
                <w:rFonts w:eastAsia="SimSun"/>
                <w:sz w:val="18"/>
                <w:szCs w:val="18"/>
                <w:lang w:eastAsia="zh-CN"/>
              </w:rPr>
              <w:t xml:space="preserve"> et catalysé</w:t>
            </w:r>
            <w:r w:rsidR="00734D7F">
              <w:rPr>
                <w:rFonts w:eastAsia="SimSun"/>
                <w:sz w:val="18"/>
                <w:szCs w:val="18"/>
                <w:lang w:eastAsia="zh-CN"/>
              </w:rPr>
              <w:t>e</w:t>
            </w:r>
            <w:r w:rsidRPr="00F77964">
              <w:rPr>
                <w:rFonts w:eastAsia="SimSun"/>
                <w:sz w:val="18"/>
                <w:szCs w:val="18"/>
                <w:lang w:eastAsia="zh-CN"/>
              </w:rPr>
              <w:t xml:space="preserve"> dans le c</w:t>
            </w:r>
            <w:r w:rsidR="001F333A" w:rsidRPr="00F77964">
              <w:rPr>
                <w:rFonts w:eastAsia="SimSun"/>
                <w:sz w:val="18"/>
                <w:szCs w:val="18"/>
                <w:lang w:eastAsia="zh-CN"/>
              </w:rPr>
              <w:t>adre de</w:t>
            </w:r>
            <w:r w:rsidRPr="00F77964">
              <w:rPr>
                <w:rFonts w:eastAsia="SimSun"/>
                <w:sz w:val="18"/>
                <w:szCs w:val="18"/>
                <w:lang w:eastAsia="zh-CN"/>
              </w:rPr>
              <w:t xml:space="preserve"> la </w:t>
            </w:r>
            <w:r w:rsidR="001F333A" w:rsidRPr="00F77964">
              <w:rPr>
                <w:rFonts w:eastAsia="SimSun"/>
                <w:sz w:val="18"/>
                <w:szCs w:val="18"/>
                <w:lang w:eastAsia="zh-CN"/>
              </w:rPr>
              <w:t>P</w:t>
            </w:r>
            <w:r w:rsidRPr="00F77964">
              <w:rPr>
                <w:rFonts w:eastAsia="SimSun"/>
                <w:sz w:val="18"/>
                <w:szCs w:val="18"/>
                <w:lang w:eastAsia="zh-CN"/>
              </w:rPr>
              <w:t>lateforme</w:t>
            </w:r>
            <w:r w:rsidR="001F333A" w:rsidRPr="00F77964">
              <w:rPr>
                <w:rFonts w:eastAsia="SimSun"/>
                <w:sz w:val="18"/>
                <w:szCs w:val="18"/>
                <w:lang w:eastAsia="zh-CN"/>
              </w:rPr>
              <w:t xml:space="preserve"> et de</w:t>
            </w:r>
            <w:r w:rsidRPr="00F77964">
              <w:rPr>
                <w:rFonts w:eastAsia="SimSun"/>
                <w:sz w:val="18"/>
                <w:szCs w:val="18"/>
                <w:lang w:eastAsia="zh-CN"/>
              </w:rPr>
              <w:t xml:space="preserve"> soumettre le catalogue et les orientations pour examen par la Plénière à sa troisième session</w:t>
            </w:r>
          </w:p>
        </w:tc>
      </w:tr>
      <w:tr w:rsidR="00D55211" w:rsidRPr="0061490E" w:rsidTr="007A7412">
        <w:trPr>
          <w:trHeight w:val="416"/>
        </w:trPr>
        <w:tc>
          <w:tcPr>
            <w:tcW w:w="634" w:type="dxa"/>
            <w:vMerge w:val="restart"/>
            <w:tcBorders>
              <w:top w:val="single" w:sz="4" w:space="0" w:color="auto"/>
              <w:left w:val="single" w:sz="4" w:space="0" w:color="auto"/>
              <w:bottom w:val="single" w:sz="4" w:space="0" w:color="auto"/>
              <w:right w:val="single" w:sz="4" w:space="0" w:color="auto"/>
            </w:tcBorders>
            <w:hideMark/>
          </w:tcPr>
          <w:p w:rsidR="001D6913" w:rsidRPr="00F77964" w:rsidRDefault="001D6913" w:rsidP="00C00335">
            <w:pPr>
              <w:pStyle w:val="Normal-pool"/>
              <w:spacing w:before="40" w:after="40"/>
              <w:rPr>
                <w:rFonts w:eastAsia="SimSun"/>
                <w:sz w:val="18"/>
                <w:szCs w:val="18"/>
                <w:lang w:eastAsia="zh-CN"/>
              </w:rPr>
            </w:pPr>
            <w:r w:rsidRPr="00F77964">
              <w:rPr>
                <w:rFonts w:eastAsia="SimSun"/>
                <w:sz w:val="18"/>
                <w:szCs w:val="18"/>
                <w:lang w:eastAsia="zh-CN"/>
              </w:rPr>
              <w:t>2014</w:t>
            </w:r>
          </w:p>
        </w:tc>
        <w:tc>
          <w:tcPr>
            <w:tcW w:w="1345" w:type="dxa"/>
            <w:tcBorders>
              <w:top w:val="single" w:sz="4" w:space="0" w:color="auto"/>
              <w:left w:val="single" w:sz="4" w:space="0" w:color="auto"/>
              <w:bottom w:val="single" w:sz="4" w:space="0" w:color="auto"/>
              <w:right w:val="single" w:sz="4" w:space="0" w:color="auto"/>
            </w:tcBorders>
            <w:hideMark/>
          </w:tcPr>
          <w:p w:rsidR="001D6913" w:rsidRPr="00F77964" w:rsidRDefault="001D6913" w:rsidP="00C00335">
            <w:pPr>
              <w:pStyle w:val="Normal-pool"/>
              <w:spacing w:before="40" w:after="40"/>
              <w:rPr>
                <w:rFonts w:eastAsia="SimSun"/>
                <w:sz w:val="18"/>
                <w:szCs w:val="18"/>
                <w:lang w:eastAsia="zh-CN"/>
              </w:rPr>
            </w:pPr>
            <w:r w:rsidRPr="00F77964">
              <w:rPr>
                <w:rFonts w:eastAsia="SimSun"/>
                <w:sz w:val="18"/>
                <w:szCs w:val="18"/>
                <w:lang w:eastAsia="zh-CN"/>
              </w:rPr>
              <w:t>Premier trimestre</w:t>
            </w:r>
          </w:p>
        </w:tc>
        <w:tc>
          <w:tcPr>
            <w:tcW w:w="6015" w:type="dxa"/>
            <w:tcBorders>
              <w:top w:val="single" w:sz="4" w:space="0" w:color="auto"/>
              <w:left w:val="single" w:sz="4" w:space="0" w:color="auto"/>
              <w:bottom w:val="single" w:sz="4" w:space="0" w:color="auto"/>
              <w:right w:val="single" w:sz="4" w:space="0" w:color="auto"/>
            </w:tcBorders>
            <w:hideMark/>
          </w:tcPr>
          <w:p w:rsidR="001D6913" w:rsidRPr="00F77964" w:rsidRDefault="001D6913" w:rsidP="00C00335">
            <w:pPr>
              <w:pStyle w:val="Normal-pool"/>
              <w:spacing w:before="40" w:after="40"/>
              <w:rPr>
                <w:rFonts w:eastAsia="SimSun"/>
                <w:sz w:val="18"/>
                <w:szCs w:val="18"/>
                <w:lang w:eastAsia="zh-CN"/>
              </w:rPr>
            </w:pPr>
            <w:r w:rsidRPr="00F77964">
              <w:rPr>
                <w:rFonts w:eastAsia="SimSun"/>
                <w:sz w:val="18"/>
                <w:szCs w:val="18"/>
                <w:lang w:eastAsia="zh-CN"/>
              </w:rPr>
              <w:t xml:space="preserve">Le Groupe d’experts multidisciplinaire et le Bureau demandent </w:t>
            </w:r>
            <w:r w:rsidR="001F333A" w:rsidRPr="00F77964">
              <w:rPr>
                <w:rFonts w:eastAsia="SimSun"/>
                <w:sz w:val="18"/>
                <w:szCs w:val="18"/>
                <w:lang w:eastAsia="zh-CN"/>
              </w:rPr>
              <w:t>que des candidatures d’</w:t>
            </w:r>
            <w:r w:rsidRPr="00F77964">
              <w:rPr>
                <w:rFonts w:eastAsia="SimSun"/>
                <w:sz w:val="18"/>
                <w:szCs w:val="18"/>
                <w:lang w:eastAsia="zh-CN"/>
              </w:rPr>
              <w:t xml:space="preserve">experts </w:t>
            </w:r>
            <w:r w:rsidR="001F333A" w:rsidRPr="00F77964">
              <w:rPr>
                <w:rFonts w:eastAsia="SimSun"/>
                <w:sz w:val="18"/>
                <w:szCs w:val="18"/>
                <w:lang w:eastAsia="zh-CN"/>
              </w:rPr>
              <w:t xml:space="preserve">soient présentées </w:t>
            </w:r>
            <w:r w:rsidRPr="00F77964">
              <w:rPr>
                <w:rFonts w:eastAsia="SimSun"/>
                <w:sz w:val="18"/>
                <w:szCs w:val="18"/>
                <w:lang w:eastAsia="zh-CN"/>
              </w:rPr>
              <w:t>et sélectionnent des experts conformément aux règles de la plateforme</w:t>
            </w:r>
          </w:p>
        </w:tc>
      </w:tr>
      <w:tr w:rsidR="00D55211" w:rsidRPr="0061490E" w:rsidTr="007A7412">
        <w:trPr>
          <w:trHeight w:val="1030"/>
        </w:trPr>
        <w:tc>
          <w:tcPr>
            <w:tcW w:w="634" w:type="dxa"/>
            <w:vMerge/>
            <w:tcBorders>
              <w:top w:val="single" w:sz="4" w:space="0" w:color="auto"/>
              <w:left w:val="single" w:sz="4" w:space="0" w:color="auto"/>
              <w:bottom w:val="single" w:sz="4" w:space="0" w:color="auto"/>
              <w:right w:val="single" w:sz="4" w:space="0" w:color="auto"/>
            </w:tcBorders>
            <w:hideMark/>
          </w:tcPr>
          <w:p w:rsidR="001D6913" w:rsidRPr="0061490E" w:rsidRDefault="001D6913" w:rsidP="00C00335">
            <w:pPr>
              <w:rPr>
                <w:rFonts w:eastAsia="SimSun"/>
                <w:sz w:val="18"/>
                <w:szCs w:val="18"/>
                <w:lang w:eastAsia="zh-CN"/>
              </w:rPr>
            </w:pPr>
          </w:p>
        </w:tc>
        <w:tc>
          <w:tcPr>
            <w:tcW w:w="1345" w:type="dxa"/>
            <w:tcBorders>
              <w:top w:val="single" w:sz="4" w:space="0" w:color="auto"/>
              <w:left w:val="single" w:sz="4" w:space="0" w:color="auto"/>
              <w:bottom w:val="single" w:sz="4" w:space="0" w:color="auto"/>
              <w:right w:val="single" w:sz="4" w:space="0" w:color="auto"/>
            </w:tcBorders>
            <w:hideMark/>
          </w:tcPr>
          <w:p w:rsidR="001D6913" w:rsidRPr="00F77964" w:rsidRDefault="001D6913" w:rsidP="00C00335">
            <w:pPr>
              <w:pStyle w:val="Normal-pool"/>
              <w:spacing w:before="40" w:after="40"/>
              <w:rPr>
                <w:rFonts w:eastAsia="SimSun"/>
                <w:sz w:val="18"/>
                <w:szCs w:val="18"/>
                <w:lang w:eastAsia="zh-CN"/>
              </w:rPr>
            </w:pPr>
            <w:r w:rsidRPr="00F77964">
              <w:rPr>
                <w:rFonts w:eastAsia="SimSun"/>
                <w:sz w:val="18"/>
                <w:szCs w:val="18"/>
                <w:lang w:eastAsia="zh-CN"/>
              </w:rPr>
              <w:t>Deuxième</w:t>
            </w:r>
            <w:r w:rsidR="00734D7F">
              <w:rPr>
                <w:rFonts w:eastAsia="SimSun"/>
                <w:sz w:val="18"/>
                <w:szCs w:val="18"/>
                <w:lang w:eastAsia="zh-CN"/>
              </w:rPr>
              <w:t xml:space="preserve"> </w:t>
            </w:r>
            <w:r w:rsidRPr="00F77964">
              <w:rPr>
                <w:rFonts w:eastAsia="SimSun"/>
                <w:sz w:val="18"/>
                <w:szCs w:val="18"/>
                <w:lang w:eastAsia="zh-CN"/>
              </w:rPr>
              <w:t>/ troisième</w:t>
            </w:r>
            <w:r w:rsidR="00734D7F">
              <w:rPr>
                <w:rFonts w:eastAsia="SimSun"/>
                <w:sz w:val="18"/>
                <w:szCs w:val="18"/>
                <w:lang w:eastAsia="zh-CN"/>
              </w:rPr>
              <w:t xml:space="preserve"> </w:t>
            </w:r>
            <w:r w:rsidRPr="00F77964">
              <w:rPr>
                <w:rFonts w:eastAsia="SimSun"/>
                <w:sz w:val="18"/>
                <w:szCs w:val="18"/>
                <w:lang w:eastAsia="zh-CN"/>
              </w:rPr>
              <w:t>/</w:t>
            </w:r>
            <w:r w:rsidR="00734D7F">
              <w:rPr>
                <w:rFonts w:eastAsia="SimSun"/>
                <w:sz w:val="18"/>
                <w:szCs w:val="18"/>
                <w:lang w:eastAsia="zh-CN"/>
              </w:rPr>
              <w:t xml:space="preserve"> q</w:t>
            </w:r>
            <w:r w:rsidRPr="00F77964">
              <w:rPr>
                <w:rFonts w:eastAsia="SimSun"/>
                <w:sz w:val="18"/>
                <w:szCs w:val="18"/>
                <w:lang w:eastAsia="zh-CN"/>
              </w:rPr>
              <w:t>uatrième trimestres</w:t>
            </w:r>
          </w:p>
        </w:tc>
        <w:tc>
          <w:tcPr>
            <w:tcW w:w="6015" w:type="dxa"/>
            <w:tcBorders>
              <w:top w:val="single" w:sz="4" w:space="0" w:color="auto"/>
              <w:left w:val="single" w:sz="4" w:space="0" w:color="auto"/>
              <w:bottom w:val="single" w:sz="4" w:space="0" w:color="auto"/>
              <w:right w:val="single" w:sz="4" w:space="0" w:color="auto"/>
            </w:tcBorders>
            <w:hideMark/>
          </w:tcPr>
          <w:p w:rsidR="001D6913" w:rsidRPr="00F77964" w:rsidRDefault="001D6913" w:rsidP="00C00335">
            <w:pPr>
              <w:pStyle w:val="Normal-pool"/>
              <w:spacing w:before="40" w:after="40"/>
              <w:rPr>
                <w:rFonts w:eastAsia="SimSun"/>
                <w:sz w:val="18"/>
                <w:szCs w:val="18"/>
                <w:lang w:eastAsia="zh-CN"/>
              </w:rPr>
            </w:pPr>
            <w:r w:rsidRPr="00F77964">
              <w:rPr>
                <w:rFonts w:eastAsia="SimSun"/>
                <w:sz w:val="18"/>
                <w:szCs w:val="18"/>
                <w:lang w:eastAsia="zh-CN"/>
              </w:rPr>
              <w:t xml:space="preserve">Le </w:t>
            </w:r>
            <w:r w:rsidR="001F333A" w:rsidRPr="00F77964">
              <w:rPr>
                <w:rFonts w:eastAsia="SimSun"/>
                <w:sz w:val="18"/>
                <w:szCs w:val="18"/>
                <w:lang w:eastAsia="zh-CN"/>
              </w:rPr>
              <w:t>g</w:t>
            </w:r>
            <w:r w:rsidRPr="00F77964">
              <w:rPr>
                <w:rFonts w:eastAsia="SimSun"/>
                <w:sz w:val="18"/>
                <w:szCs w:val="18"/>
                <w:lang w:eastAsia="zh-CN"/>
              </w:rPr>
              <w:t xml:space="preserve">roupe d’experts, sous la direction du Groupe d’experts </w:t>
            </w:r>
            <w:r w:rsidR="00200881" w:rsidRPr="00F77964">
              <w:rPr>
                <w:rFonts w:eastAsia="SimSun"/>
                <w:sz w:val="18"/>
                <w:szCs w:val="18"/>
                <w:lang w:eastAsia="zh-CN"/>
              </w:rPr>
              <w:t>multi</w:t>
            </w:r>
            <w:r w:rsidRPr="00F77964">
              <w:rPr>
                <w:rFonts w:eastAsia="SimSun"/>
                <w:sz w:val="18"/>
                <w:szCs w:val="18"/>
                <w:lang w:eastAsia="zh-CN"/>
              </w:rPr>
              <w:t>disciplinaire et du Bureau</w:t>
            </w:r>
            <w:r w:rsidR="001F333A" w:rsidRPr="00F77964">
              <w:rPr>
                <w:rFonts w:eastAsia="SimSun"/>
                <w:sz w:val="18"/>
                <w:szCs w:val="18"/>
                <w:lang w:eastAsia="zh-CN"/>
              </w:rPr>
              <w:t>,</w:t>
            </w:r>
            <w:r w:rsidRPr="00F77964">
              <w:rPr>
                <w:rFonts w:eastAsia="SimSun"/>
                <w:sz w:val="18"/>
                <w:szCs w:val="18"/>
                <w:lang w:eastAsia="zh-CN"/>
              </w:rPr>
              <w:t xml:space="preserve"> met au point un catalogue d</w:t>
            </w:r>
            <w:r w:rsidR="001F333A" w:rsidRPr="00F77964">
              <w:rPr>
                <w:rFonts w:eastAsia="SimSun"/>
                <w:sz w:val="18"/>
                <w:szCs w:val="18"/>
                <w:lang w:eastAsia="zh-CN"/>
              </w:rPr>
              <w:t xml:space="preserve">es </w:t>
            </w:r>
            <w:r w:rsidRPr="00F77964">
              <w:rPr>
                <w:rFonts w:eastAsia="SimSun"/>
                <w:sz w:val="18"/>
                <w:szCs w:val="18"/>
                <w:lang w:eastAsia="zh-CN"/>
              </w:rPr>
              <w:t>outils et méthod</w:t>
            </w:r>
            <w:r w:rsidR="001F333A" w:rsidRPr="00F77964">
              <w:rPr>
                <w:rFonts w:eastAsia="SimSun"/>
                <w:sz w:val="18"/>
                <w:szCs w:val="18"/>
                <w:lang w:eastAsia="zh-CN"/>
              </w:rPr>
              <w:t>es</w:t>
            </w:r>
            <w:r w:rsidRPr="00F77964">
              <w:rPr>
                <w:rFonts w:eastAsia="SimSun"/>
                <w:sz w:val="18"/>
                <w:szCs w:val="18"/>
                <w:lang w:eastAsia="zh-CN"/>
              </w:rPr>
              <w:t xml:space="preserve"> d’</w:t>
            </w:r>
            <w:r w:rsidR="00AA6C94">
              <w:rPr>
                <w:rFonts w:eastAsia="SimSun"/>
                <w:sz w:val="18"/>
                <w:szCs w:val="18"/>
                <w:lang w:eastAsia="zh-CN"/>
              </w:rPr>
              <w:t>aide à la décision</w:t>
            </w:r>
            <w:r w:rsidR="001F333A" w:rsidRPr="00F77964">
              <w:rPr>
                <w:rFonts w:eastAsia="SimSun"/>
                <w:sz w:val="18"/>
                <w:szCs w:val="18"/>
                <w:lang w:eastAsia="zh-CN"/>
              </w:rPr>
              <w:t xml:space="preserve">, </w:t>
            </w:r>
            <w:r w:rsidRPr="00F77964">
              <w:rPr>
                <w:rFonts w:eastAsia="SimSun"/>
                <w:sz w:val="18"/>
                <w:szCs w:val="18"/>
                <w:lang w:eastAsia="zh-CN"/>
              </w:rPr>
              <w:t>qui servir</w:t>
            </w:r>
            <w:r w:rsidR="003F6360">
              <w:rPr>
                <w:rFonts w:eastAsia="SimSun"/>
                <w:sz w:val="18"/>
                <w:szCs w:val="18"/>
                <w:lang w:eastAsia="zh-CN"/>
              </w:rPr>
              <w:t>a</w:t>
            </w:r>
            <w:r w:rsidRPr="00F77964">
              <w:rPr>
                <w:rFonts w:eastAsia="SimSun"/>
                <w:sz w:val="18"/>
                <w:szCs w:val="18"/>
                <w:lang w:eastAsia="zh-CN"/>
              </w:rPr>
              <w:t xml:space="preserve"> de base à un portefeuille évolutif </w:t>
            </w:r>
            <w:r w:rsidR="00610A1B">
              <w:rPr>
                <w:rFonts w:eastAsia="SimSun"/>
                <w:sz w:val="18"/>
                <w:szCs w:val="18"/>
                <w:lang w:eastAsia="zh-CN"/>
              </w:rPr>
              <w:t>d’outils et de méthodes</w:t>
            </w:r>
            <w:r w:rsidR="001F333A" w:rsidRPr="00F77964">
              <w:rPr>
                <w:rFonts w:eastAsia="SimSun"/>
                <w:sz w:val="18"/>
                <w:szCs w:val="18"/>
                <w:lang w:eastAsia="zh-CN"/>
              </w:rPr>
              <w:t xml:space="preserve"> de ce type</w:t>
            </w:r>
            <w:r w:rsidRPr="00F77964">
              <w:rPr>
                <w:rFonts w:eastAsia="SimSun"/>
                <w:sz w:val="18"/>
                <w:szCs w:val="18"/>
                <w:lang w:eastAsia="zh-CN"/>
              </w:rPr>
              <w:t xml:space="preserve">. </w:t>
            </w:r>
            <w:r w:rsidR="001F333A" w:rsidRPr="00F77964">
              <w:rPr>
                <w:rFonts w:eastAsia="SimSun"/>
                <w:sz w:val="18"/>
                <w:szCs w:val="18"/>
                <w:lang w:eastAsia="zh-CN"/>
              </w:rPr>
              <w:t>Il définit</w:t>
            </w:r>
            <w:r w:rsidRPr="00F77964">
              <w:rPr>
                <w:rFonts w:eastAsia="SimSun"/>
                <w:sz w:val="18"/>
                <w:szCs w:val="18"/>
                <w:lang w:eastAsia="zh-CN"/>
              </w:rPr>
              <w:t xml:space="preserve"> aussi des orientations sur la façon dont </w:t>
            </w:r>
            <w:r w:rsidR="00734D7F" w:rsidRPr="00F77964">
              <w:rPr>
                <w:rFonts w:eastAsia="SimSun"/>
                <w:sz w:val="18"/>
                <w:szCs w:val="18"/>
                <w:lang w:eastAsia="zh-CN"/>
              </w:rPr>
              <w:t>l</w:t>
            </w:r>
            <w:r w:rsidR="00734D7F">
              <w:rPr>
                <w:rFonts w:eastAsia="SimSun"/>
                <w:sz w:val="18"/>
                <w:szCs w:val="18"/>
                <w:lang w:eastAsia="zh-CN"/>
              </w:rPr>
              <w:t>’élaboration plus poussée</w:t>
            </w:r>
            <w:r w:rsidR="00734D7F" w:rsidRPr="00F77964">
              <w:rPr>
                <w:rFonts w:eastAsia="SimSun"/>
                <w:sz w:val="18"/>
                <w:szCs w:val="18"/>
                <w:lang w:eastAsia="zh-CN"/>
              </w:rPr>
              <w:t xml:space="preserve"> de ces outils et méthodes pourrait être encouragé</w:t>
            </w:r>
            <w:r w:rsidR="00734D7F">
              <w:rPr>
                <w:rFonts w:eastAsia="SimSun"/>
                <w:sz w:val="18"/>
                <w:szCs w:val="18"/>
                <w:lang w:eastAsia="zh-CN"/>
              </w:rPr>
              <w:t>e</w:t>
            </w:r>
            <w:r w:rsidR="00734D7F" w:rsidRPr="00F77964">
              <w:rPr>
                <w:rFonts w:eastAsia="SimSun"/>
                <w:sz w:val="18"/>
                <w:szCs w:val="18"/>
                <w:lang w:eastAsia="zh-CN"/>
              </w:rPr>
              <w:t xml:space="preserve"> et catalysé</w:t>
            </w:r>
            <w:r w:rsidR="00734D7F">
              <w:rPr>
                <w:rFonts w:eastAsia="SimSun"/>
                <w:sz w:val="18"/>
                <w:szCs w:val="18"/>
                <w:lang w:eastAsia="zh-CN"/>
              </w:rPr>
              <w:t>e</w:t>
            </w:r>
            <w:r w:rsidRPr="00F77964">
              <w:rPr>
                <w:rFonts w:eastAsia="SimSun"/>
                <w:sz w:val="18"/>
                <w:szCs w:val="18"/>
                <w:lang w:eastAsia="zh-CN"/>
              </w:rPr>
              <w:t xml:space="preserve"> dans le cadre de la </w:t>
            </w:r>
            <w:r w:rsidR="001F333A" w:rsidRPr="00F77964">
              <w:rPr>
                <w:rFonts w:eastAsia="SimSun"/>
                <w:sz w:val="18"/>
                <w:szCs w:val="18"/>
                <w:lang w:eastAsia="zh-CN"/>
              </w:rPr>
              <w:t>P</w:t>
            </w:r>
            <w:r w:rsidRPr="00F77964">
              <w:rPr>
                <w:rFonts w:eastAsia="SimSun"/>
                <w:sz w:val="18"/>
                <w:szCs w:val="18"/>
                <w:lang w:eastAsia="zh-CN"/>
              </w:rPr>
              <w:t xml:space="preserve">lateforme </w:t>
            </w:r>
          </w:p>
        </w:tc>
      </w:tr>
      <w:tr w:rsidR="00D55211" w:rsidRPr="0061490E" w:rsidTr="007A7412">
        <w:trPr>
          <w:trHeight w:val="273"/>
        </w:trPr>
        <w:tc>
          <w:tcPr>
            <w:tcW w:w="634" w:type="dxa"/>
            <w:vMerge w:val="restart"/>
            <w:tcBorders>
              <w:top w:val="single" w:sz="4" w:space="0" w:color="auto"/>
              <w:left w:val="single" w:sz="4" w:space="0" w:color="auto"/>
              <w:bottom w:val="single" w:sz="4" w:space="0" w:color="auto"/>
              <w:right w:val="single" w:sz="4" w:space="0" w:color="auto"/>
            </w:tcBorders>
            <w:hideMark/>
          </w:tcPr>
          <w:p w:rsidR="001D6913" w:rsidRPr="00F77964" w:rsidRDefault="001D6913" w:rsidP="00C00335">
            <w:pPr>
              <w:pStyle w:val="Normal-pool"/>
              <w:spacing w:before="40" w:after="40"/>
              <w:rPr>
                <w:rFonts w:eastAsia="SimSun"/>
                <w:sz w:val="18"/>
                <w:szCs w:val="18"/>
                <w:lang w:eastAsia="zh-CN"/>
              </w:rPr>
            </w:pPr>
            <w:r w:rsidRPr="00F77964">
              <w:rPr>
                <w:rFonts w:eastAsia="SimSun"/>
                <w:sz w:val="18"/>
                <w:szCs w:val="18"/>
                <w:lang w:eastAsia="zh-CN"/>
              </w:rPr>
              <w:lastRenderedPageBreak/>
              <w:t>2015</w:t>
            </w:r>
          </w:p>
        </w:tc>
        <w:tc>
          <w:tcPr>
            <w:tcW w:w="1345" w:type="dxa"/>
            <w:tcBorders>
              <w:top w:val="single" w:sz="4" w:space="0" w:color="auto"/>
              <w:left w:val="single" w:sz="4" w:space="0" w:color="auto"/>
              <w:bottom w:val="single" w:sz="4" w:space="0" w:color="auto"/>
              <w:right w:val="single" w:sz="4" w:space="0" w:color="auto"/>
            </w:tcBorders>
            <w:hideMark/>
          </w:tcPr>
          <w:p w:rsidR="001D6913" w:rsidRPr="00F77964" w:rsidRDefault="001D6913" w:rsidP="00C00335">
            <w:pPr>
              <w:pStyle w:val="Normal-pool"/>
              <w:spacing w:before="40" w:after="40"/>
              <w:rPr>
                <w:rFonts w:eastAsia="SimSun"/>
                <w:sz w:val="18"/>
                <w:szCs w:val="18"/>
                <w:lang w:eastAsia="zh-CN"/>
              </w:rPr>
            </w:pPr>
            <w:r w:rsidRPr="00F77964">
              <w:rPr>
                <w:rFonts w:eastAsia="SimSun"/>
                <w:sz w:val="18"/>
                <w:szCs w:val="18"/>
                <w:lang w:eastAsia="zh-CN"/>
              </w:rPr>
              <w:t>Premier trimestre</w:t>
            </w:r>
          </w:p>
        </w:tc>
        <w:tc>
          <w:tcPr>
            <w:tcW w:w="6015" w:type="dxa"/>
            <w:tcBorders>
              <w:top w:val="single" w:sz="4" w:space="0" w:color="auto"/>
              <w:left w:val="single" w:sz="4" w:space="0" w:color="auto"/>
              <w:bottom w:val="single" w:sz="4" w:space="0" w:color="auto"/>
              <w:right w:val="single" w:sz="4" w:space="0" w:color="auto"/>
            </w:tcBorders>
            <w:hideMark/>
          </w:tcPr>
          <w:p w:rsidR="001D6913" w:rsidRPr="00F77964" w:rsidRDefault="001D6913" w:rsidP="00C00335">
            <w:pPr>
              <w:pStyle w:val="Normal-pool"/>
              <w:spacing w:before="40" w:after="40"/>
              <w:rPr>
                <w:rFonts w:eastAsia="SimSun"/>
                <w:sz w:val="18"/>
                <w:szCs w:val="18"/>
                <w:lang w:eastAsia="zh-CN"/>
              </w:rPr>
            </w:pPr>
            <w:r w:rsidRPr="00F77964">
              <w:rPr>
                <w:rFonts w:eastAsia="SimSun"/>
                <w:sz w:val="18"/>
                <w:szCs w:val="18"/>
                <w:lang w:eastAsia="zh-CN"/>
              </w:rPr>
              <w:t>Le catalogue et les orientations sont soumis à la Plénière à sa troisième session pour approbation</w:t>
            </w:r>
          </w:p>
        </w:tc>
      </w:tr>
      <w:tr w:rsidR="00D55211" w:rsidRPr="0061490E" w:rsidTr="007A7412">
        <w:trPr>
          <w:trHeight w:val="584"/>
        </w:trPr>
        <w:tc>
          <w:tcPr>
            <w:tcW w:w="634" w:type="dxa"/>
            <w:vMerge/>
            <w:tcBorders>
              <w:top w:val="single" w:sz="4" w:space="0" w:color="auto"/>
              <w:left w:val="single" w:sz="4" w:space="0" w:color="auto"/>
              <w:bottom w:val="single" w:sz="4" w:space="0" w:color="auto"/>
              <w:right w:val="single" w:sz="4" w:space="0" w:color="auto"/>
            </w:tcBorders>
            <w:hideMark/>
          </w:tcPr>
          <w:p w:rsidR="001D6913" w:rsidRPr="0061490E" w:rsidRDefault="001D6913" w:rsidP="00C00335">
            <w:pPr>
              <w:rPr>
                <w:rFonts w:eastAsia="SimSun"/>
                <w:sz w:val="18"/>
                <w:szCs w:val="18"/>
                <w:lang w:eastAsia="zh-CN"/>
              </w:rPr>
            </w:pPr>
          </w:p>
        </w:tc>
        <w:tc>
          <w:tcPr>
            <w:tcW w:w="1345" w:type="dxa"/>
            <w:tcBorders>
              <w:top w:val="single" w:sz="4" w:space="0" w:color="auto"/>
              <w:left w:val="single" w:sz="4" w:space="0" w:color="auto"/>
              <w:bottom w:val="single" w:sz="4" w:space="0" w:color="auto"/>
              <w:right w:val="single" w:sz="4" w:space="0" w:color="auto"/>
            </w:tcBorders>
            <w:hideMark/>
          </w:tcPr>
          <w:p w:rsidR="001D6913" w:rsidRPr="00F77964" w:rsidRDefault="001D6913" w:rsidP="00C00335">
            <w:pPr>
              <w:keepLines/>
              <w:tabs>
                <w:tab w:val="left" w:pos="426"/>
                <w:tab w:val="num" w:pos="1353"/>
              </w:tabs>
              <w:autoSpaceDE w:val="0"/>
              <w:autoSpaceDN w:val="0"/>
              <w:adjustRightInd w:val="0"/>
              <w:rPr>
                <w:rFonts w:ascii="Times New Roman" w:eastAsia="SimSun" w:hAnsi="Times New Roman"/>
                <w:sz w:val="18"/>
                <w:szCs w:val="18"/>
                <w:lang w:eastAsia="zh-CN"/>
              </w:rPr>
            </w:pPr>
            <w:r w:rsidRPr="00F77964">
              <w:rPr>
                <w:rFonts w:ascii="Times New Roman" w:eastAsia="SimSun" w:hAnsi="Times New Roman"/>
                <w:sz w:val="18"/>
                <w:szCs w:val="18"/>
                <w:lang w:eastAsia="zh-CN"/>
              </w:rPr>
              <w:t>Premier trimestre</w:t>
            </w:r>
          </w:p>
        </w:tc>
        <w:tc>
          <w:tcPr>
            <w:tcW w:w="6015" w:type="dxa"/>
            <w:tcBorders>
              <w:top w:val="single" w:sz="4" w:space="0" w:color="auto"/>
              <w:left w:val="single" w:sz="4" w:space="0" w:color="auto"/>
              <w:bottom w:val="single" w:sz="4" w:space="0" w:color="auto"/>
              <w:right w:val="single" w:sz="4" w:space="0" w:color="auto"/>
            </w:tcBorders>
            <w:hideMark/>
          </w:tcPr>
          <w:p w:rsidR="001D6913" w:rsidRPr="00F77964" w:rsidRDefault="001D6913" w:rsidP="00C00335">
            <w:pPr>
              <w:pStyle w:val="Normal-pool"/>
              <w:spacing w:before="40" w:after="40"/>
              <w:rPr>
                <w:rFonts w:eastAsia="SimSun"/>
                <w:sz w:val="18"/>
                <w:szCs w:val="18"/>
                <w:lang w:eastAsia="zh-CN"/>
              </w:rPr>
            </w:pPr>
            <w:r w:rsidRPr="00F77964">
              <w:rPr>
                <w:rFonts w:eastAsia="SimSun"/>
                <w:sz w:val="18"/>
                <w:szCs w:val="18"/>
                <w:lang w:eastAsia="zh-CN"/>
              </w:rPr>
              <w:t xml:space="preserve">La Plénière, à sa troisième session, examine et approuve le catalogue et les orientations et demande au </w:t>
            </w:r>
            <w:r w:rsidR="001F333A" w:rsidRPr="00F77964">
              <w:rPr>
                <w:rFonts w:eastAsia="SimSun"/>
                <w:sz w:val="18"/>
                <w:szCs w:val="18"/>
                <w:lang w:eastAsia="zh-CN"/>
              </w:rPr>
              <w:t>s</w:t>
            </w:r>
            <w:r w:rsidRPr="00F77964">
              <w:rPr>
                <w:rFonts w:eastAsia="SimSun"/>
                <w:sz w:val="18"/>
                <w:szCs w:val="18"/>
                <w:lang w:eastAsia="zh-CN"/>
              </w:rPr>
              <w:t xml:space="preserve">ecrétariat de </w:t>
            </w:r>
            <w:r w:rsidR="001F333A" w:rsidRPr="00F77964">
              <w:rPr>
                <w:rFonts w:eastAsia="SimSun"/>
                <w:sz w:val="18"/>
                <w:szCs w:val="18"/>
                <w:lang w:eastAsia="zh-CN"/>
              </w:rPr>
              <w:t>publier</w:t>
            </w:r>
            <w:r w:rsidRPr="00F77964">
              <w:rPr>
                <w:rFonts w:eastAsia="SimSun"/>
                <w:sz w:val="18"/>
                <w:szCs w:val="18"/>
                <w:lang w:eastAsia="zh-CN"/>
              </w:rPr>
              <w:t xml:space="preserve"> </w:t>
            </w:r>
            <w:r w:rsidR="003F6360">
              <w:rPr>
                <w:rFonts w:eastAsia="SimSun"/>
                <w:sz w:val="18"/>
                <w:szCs w:val="18"/>
                <w:lang w:eastAsia="zh-CN"/>
              </w:rPr>
              <w:t>et gérer un</w:t>
            </w:r>
            <w:r w:rsidRPr="00F77964">
              <w:rPr>
                <w:rFonts w:eastAsia="SimSun"/>
                <w:sz w:val="18"/>
                <w:szCs w:val="18"/>
                <w:lang w:eastAsia="zh-CN"/>
              </w:rPr>
              <w:t xml:space="preserve"> catalogue </w:t>
            </w:r>
            <w:r w:rsidR="003F6360">
              <w:rPr>
                <w:rFonts w:eastAsia="SimSun"/>
                <w:sz w:val="18"/>
                <w:szCs w:val="18"/>
                <w:lang w:eastAsia="zh-CN"/>
              </w:rPr>
              <w:t xml:space="preserve">dynamique </w:t>
            </w:r>
            <w:r w:rsidR="00610A1B">
              <w:rPr>
                <w:rFonts w:eastAsia="SimSun"/>
                <w:sz w:val="18"/>
                <w:szCs w:val="18"/>
                <w:lang w:eastAsia="zh-CN"/>
              </w:rPr>
              <w:t>d’outils et de méthodes</w:t>
            </w:r>
            <w:r w:rsidR="003F6360">
              <w:rPr>
                <w:rFonts w:eastAsia="SimSun"/>
                <w:sz w:val="18"/>
                <w:szCs w:val="18"/>
                <w:lang w:eastAsia="zh-CN"/>
              </w:rPr>
              <w:t xml:space="preserve"> d’aide à la décision</w:t>
            </w:r>
            <w:r w:rsidRPr="00F77964">
              <w:rPr>
                <w:rFonts w:eastAsia="SimSun"/>
                <w:sz w:val="18"/>
                <w:szCs w:val="18"/>
                <w:lang w:eastAsia="zh-CN"/>
              </w:rPr>
              <w:t xml:space="preserve">, de collaborer avec les réseaux </w:t>
            </w:r>
            <w:r w:rsidR="001F333A" w:rsidRPr="00F77964">
              <w:rPr>
                <w:rFonts w:eastAsia="SimSun"/>
                <w:sz w:val="18"/>
                <w:szCs w:val="18"/>
                <w:lang w:eastAsia="zh-CN"/>
              </w:rPr>
              <w:t>et i</w:t>
            </w:r>
            <w:r w:rsidRPr="00F77964">
              <w:rPr>
                <w:rFonts w:eastAsia="SimSun"/>
                <w:sz w:val="18"/>
                <w:szCs w:val="18"/>
                <w:lang w:eastAsia="zh-CN"/>
              </w:rPr>
              <w:t>nitiatives existants pour l’améliorer encore et d</w:t>
            </w:r>
            <w:r w:rsidR="005D3C3B">
              <w:rPr>
                <w:rFonts w:eastAsia="SimSun"/>
                <w:sz w:val="18"/>
                <w:szCs w:val="18"/>
                <w:lang w:eastAsia="zh-CN"/>
              </w:rPr>
              <w:t>e présenter un tour d’horizon de</w:t>
            </w:r>
            <w:r w:rsidRPr="00F77964">
              <w:rPr>
                <w:rFonts w:eastAsia="SimSun"/>
                <w:sz w:val="18"/>
                <w:szCs w:val="18"/>
                <w:lang w:eastAsia="zh-CN"/>
              </w:rPr>
              <w:t xml:space="preserve"> </w:t>
            </w:r>
            <w:r w:rsidR="005D3C3B">
              <w:rPr>
                <w:rFonts w:eastAsia="SimSun"/>
                <w:sz w:val="18"/>
                <w:szCs w:val="18"/>
                <w:lang w:eastAsia="zh-CN"/>
              </w:rPr>
              <w:t>c</w:t>
            </w:r>
            <w:r w:rsidRPr="00F77964">
              <w:rPr>
                <w:rFonts w:eastAsia="SimSun"/>
                <w:sz w:val="18"/>
                <w:szCs w:val="18"/>
                <w:lang w:eastAsia="zh-CN"/>
              </w:rPr>
              <w:t>es outils et méthod</w:t>
            </w:r>
            <w:r w:rsidR="001F333A" w:rsidRPr="00F77964">
              <w:rPr>
                <w:rFonts w:eastAsia="SimSun"/>
                <w:sz w:val="18"/>
                <w:szCs w:val="18"/>
                <w:lang w:eastAsia="zh-CN"/>
              </w:rPr>
              <w:t>es</w:t>
            </w:r>
            <w:r w:rsidR="003F6360">
              <w:rPr>
                <w:rFonts w:eastAsia="SimSun"/>
                <w:sz w:val="18"/>
                <w:szCs w:val="18"/>
                <w:lang w:eastAsia="zh-CN"/>
              </w:rPr>
              <w:t xml:space="preserve"> et</w:t>
            </w:r>
            <w:r w:rsidRPr="00F77964">
              <w:rPr>
                <w:rFonts w:eastAsia="SimSun"/>
                <w:sz w:val="18"/>
                <w:szCs w:val="18"/>
                <w:lang w:eastAsia="zh-CN"/>
              </w:rPr>
              <w:t xml:space="preserve"> des enseignements tirés </w:t>
            </w:r>
            <w:r w:rsidR="005D3C3B">
              <w:rPr>
                <w:rFonts w:eastAsia="SimSun"/>
                <w:sz w:val="18"/>
                <w:szCs w:val="18"/>
                <w:lang w:eastAsia="zh-CN"/>
              </w:rPr>
              <w:t xml:space="preserve">suffisamment tôt </w:t>
            </w:r>
            <w:r w:rsidR="005D3C3B" w:rsidRPr="00F77964">
              <w:rPr>
                <w:rFonts w:eastAsia="SimSun"/>
                <w:sz w:val="18"/>
                <w:szCs w:val="18"/>
                <w:lang w:eastAsia="zh-CN"/>
              </w:rPr>
              <w:t xml:space="preserve">pour </w:t>
            </w:r>
            <w:r w:rsidR="005D3C3B">
              <w:rPr>
                <w:rFonts w:eastAsia="SimSun"/>
                <w:sz w:val="18"/>
                <w:szCs w:val="18"/>
                <w:lang w:eastAsia="zh-CN"/>
              </w:rPr>
              <w:t>éclairer</w:t>
            </w:r>
            <w:r w:rsidR="005D3C3B" w:rsidRPr="00F77964">
              <w:rPr>
                <w:rFonts w:eastAsia="SimSun"/>
                <w:sz w:val="18"/>
                <w:szCs w:val="18"/>
                <w:lang w:eastAsia="zh-CN"/>
              </w:rPr>
              <w:t xml:space="preserve"> l’examen de la Plateforme (voir produit 4 d)) et </w:t>
            </w:r>
            <w:r w:rsidR="005D3C3B">
              <w:rPr>
                <w:rFonts w:eastAsia="SimSun"/>
                <w:sz w:val="18"/>
                <w:szCs w:val="18"/>
                <w:lang w:eastAsia="zh-CN"/>
              </w:rPr>
              <w:t>les</w:t>
            </w:r>
            <w:r w:rsidR="005D3C3B" w:rsidRPr="00F77964">
              <w:rPr>
                <w:rFonts w:eastAsia="SimSun"/>
                <w:sz w:val="18"/>
                <w:szCs w:val="18"/>
                <w:lang w:eastAsia="zh-CN"/>
              </w:rPr>
              <w:t xml:space="preserve"> débats sur le prochain programme de travail</w:t>
            </w:r>
          </w:p>
        </w:tc>
      </w:tr>
      <w:tr w:rsidR="00D55211" w:rsidRPr="0061490E" w:rsidTr="007A7412">
        <w:trPr>
          <w:trHeight w:val="56"/>
        </w:trPr>
        <w:tc>
          <w:tcPr>
            <w:tcW w:w="634" w:type="dxa"/>
            <w:vMerge/>
            <w:tcBorders>
              <w:top w:val="single" w:sz="4" w:space="0" w:color="auto"/>
              <w:left w:val="single" w:sz="4" w:space="0" w:color="auto"/>
              <w:bottom w:val="single" w:sz="4" w:space="0" w:color="auto"/>
              <w:right w:val="single" w:sz="4" w:space="0" w:color="auto"/>
            </w:tcBorders>
            <w:hideMark/>
          </w:tcPr>
          <w:p w:rsidR="001D6913" w:rsidRPr="0061490E" w:rsidRDefault="001D6913" w:rsidP="00C00335">
            <w:pPr>
              <w:rPr>
                <w:rFonts w:eastAsia="SimSun"/>
                <w:sz w:val="18"/>
                <w:szCs w:val="18"/>
                <w:lang w:eastAsia="zh-CN"/>
              </w:rPr>
            </w:pPr>
          </w:p>
        </w:tc>
        <w:tc>
          <w:tcPr>
            <w:tcW w:w="1345" w:type="dxa"/>
            <w:tcBorders>
              <w:top w:val="single" w:sz="4" w:space="0" w:color="auto"/>
              <w:left w:val="single" w:sz="4" w:space="0" w:color="auto"/>
              <w:bottom w:val="single" w:sz="4" w:space="0" w:color="auto"/>
              <w:right w:val="single" w:sz="4" w:space="0" w:color="auto"/>
            </w:tcBorders>
            <w:hideMark/>
          </w:tcPr>
          <w:p w:rsidR="001D6913" w:rsidRPr="00F77964" w:rsidRDefault="001D6913" w:rsidP="00C00335">
            <w:pPr>
              <w:pStyle w:val="Normal-pool"/>
              <w:spacing w:before="40" w:after="40"/>
              <w:rPr>
                <w:rFonts w:eastAsia="SimSun"/>
                <w:sz w:val="18"/>
                <w:szCs w:val="18"/>
                <w:lang w:eastAsia="zh-CN"/>
              </w:rPr>
            </w:pPr>
            <w:r w:rsidRPr="00F77964">
              <w:rPr>
                <w:rFonts w:eastAsia="SimSun"/>
                <w:sz w:val="18"/>
                <w:szCs w:val="18"/>
                <w:lang w:eastAsia="zh-CN"/>
              </w:rPr>
              <w:t>Deuxième/</w:t>
            </w:r>
            <w:r w:rsidR="007A7412">
              <w:rPr>
                <w:rFonts w:eastAsia="SimSun"/>
                <w:sz w:val="18"/>
                <w:szCs w:val="18"/>
                <w:lang w:eastAsia="zh-CN"/>
              </w:rPr>
              <w:br/>
            </w:r>
            <w:r w:rsidRPr="00F77964">
              <w:rPr>
                <w:rFonts w:eastAsia="SimSun"/>
                <w:sz w:val="18"/>
                <w:szCs w:val="18"/>
                <w:lang w:eastAsia="zh-CN"/>
              </w:rPr>
              <w:t>troisième/ quatrième trimestres</w:t>
            </w:r>
          </w:p>
        </w:tc>
        <w:tc>
          <w:tcPr>
            <w:tcW w:w="6015" w:type="dxa"/>
            <w:tcBorders>
              <w:top w:val="single" w:sz="4" w:space="0" w:color="auto"/>
              <w:left w:val="single" w:sz="4" w:space="0" w:color="auto"/>
              <w:bottom w:val="single" w:sz="4" w:space="0" w:color="auto"/>
              <w:right w:val="single" w:sz="4" w:space="0" w:color="auto"/>
            </w:tcBorders>
            <w:hideMark/>
          </w:tcPr>
          <w:p w:rsidR="001D6913" w:rsidRPr="00F77964" w:rsidRDefault="001D6913" w:rsidP="00C00335">
            <w:pPr>
              <w:pStyle w:val="Normal-pool"/>
              <w:spacing w:before="40" w:after="40"/>
              <w:rPr>
                <w:rFonts w:eastAsia="SimSun"/>
                <w:sz w:val="18"/>
                <w:szCs w:val="18"/>
                <w:lang w:eastAsia="zh-CN"/>
              </w:rPr>
            </w:pPr>
            <w:r w:rsidRPr="00F77964">
              <w:rPr>
                <w:rFonts w:eastAsia="SimSun"/>
                <w:sz w:val="18"/>
                <w:szCs w:val="18"/>
                <w:lang w:eastAsia="zh-CN"/>
              </w:rPr>
              <w:t xml:space="preserve">Le </w:t>
            </w:r>
            <w:r w:rsidR="001F333A" w:rsidRPr="00F77964">
              <w:rPr>
                <w:rFonts w:eastAsia="SimSun"/>
                <w:sz w:val="18"/>
                <w:szCs w:val="18"/>
                <w:lang w:eastAsia="zh-CN"/>
              </w:rPr>
              <w:t>s</w:t>
            </w:r>
            <w:r w:rsidRPr="00F77964">
              <w:rPr>
                <w:rFonts w:eastAsia="SimSun"/>
                <w:sz w:val="18"/>
                <w:szCs w:val="18"/>
                <w:lang w:eastAsia="zh-CN"/>
              </w:rPr>
              <w:t xml:space="preserve">ecrétariat </w:t>
            </w:r>
            <w:r w:rsidR="001F333A" w:rsidRPr="00F77964">
              <w:rPr>
                <w:rFonts w:eastAsia="SimSun"/>
                <w:sz w:val="18"/>
                <w:szCs w:val="18"/>
                <w:lang w:eastAsia="zh-CN"/>
              </w:rPr>
              <w:t xml:space="preserve">publie le </w:t>
            </w:r>
            <w:r w:rsidRPr="00F77964">
              <w:rPr>
                <w:rFonts w:eastAsia="SimSun"/>
                <w:sz w:val="18"/>
                <w:szCs w:val="18"/>
                <w:lang w:eastAsia="zh-CN"/>
              </w:rPr>
              <w:t xml:space="preserve">catalogue </w:t>
            </w:r>
            <w:r w:rsidR="00610A1B">
              <w:rPr>
                <w:rFonts w:eastAsia="SimSun"/>
                <w:sz w:val="18"/>
                <w:szCs w:val="18"/>
                <w:lang w:eastAsia="zh-CN"/>
              </w:rPr>
              <w:t>d’outils et de méthodes</w:t>
            </w:r>
            <w:r w:rsidRPr="00F77964">
              <w:rPr>
                <w:rFonts w:eastAsia="SimSun"/>
                <w:sz w:val="18"/>
                <w:szCs w:val="18"/>
                <w:lang w:eastAsia="zh-CN"/>
              </w:rPr>
              <w:t xml:space="preserve"> de façon que les décideurs puissent y avoir accès en tant que source d’information pour </w:t>
            </w:r>
            <w:r w:rsidR="001F333A" w:rsidRPr="00F77964">
              <w:rPr>
                <w:rFonts w:eastAsia="SimSun"/>
                <w:sz w:val="18"/>
                <w:szCs w:val="18"/>
                <w:lang w:eastAsia="zh-CN"/>
              </w:rPr>
              <w:t>soutenir</w:t>
            </w:r>
            <w:r w:rsidRPr="00F77964">
              <w:rPr>
                <w:rFonts w:eastAsia="SimSun"/>
                <w:sz w:val="18"/>
                <w:szCs w:val="18"/>
                <w:lang w:eastAsia="zh-CN"/>
              </w:rPr>
              <w:t xml:space="preserve"> l’établissement et l’utilisation d’autres produits de la </w:t>
            </w:r>
            <w:r w:rsidR="001F333A" w:rsidRPr="00F77964">
              <w:rPr>
                <w:rFonts w:eastAsia="SimSun"/>
                <w:sz w:val="18"/>
                <w:szCs w:val="18"/>
                <w:lang w:eastAsia="zh-CN"/>
              </w:rPr>
              <w:t>P</w:t>
            </w:r>
            <w:r w:rsidRPr="00F77964">
              <w:rPr>
                <w:rFonts w:eastAsia="SimSun"/>
                <w:sz w:val="18"/>
                <w:szCs w:val="18"/>
                <w:lang w:eastAsia="zh-CN"/>
              </w:rPr>
              <w:t xml:space="preserve">lateforme. </w:t>
            </w:r>
            <w:r w:rsidR="001F333A" w:rsidRPr="00F77964">
              <w:rPr>
                <w:rFonts w:eastAsia="SimSun"/>
                <w:sz w:val="18"/>
                <w:szCs w:val="18"/>
                <w:lang w:eastAsia="zh-CN"/>
              </w:rPr>
              <w:t>Il</w:t>
            </w:r>
            <w:r w:rsidRPr="00F77964">
              <w:rPr>
                <w:rFonts w:eastAsia="SimSun"/>
                <w:sz w:val="18"/>
                <w:szCs w:val="18"/>
                <w:lang w:eastAsia="zh-CN"/>
              </w:rPr>
              <w:t xml:space="preserve"> gère le catalogue dynamique, collabore avec les réseaux </w:t>
            </w:r>
            <w:r w:rsidR="00D55211" w:rsidRPr="00F77964">
              <w:rPr>
                <w:rFonts w:eastAsia="SimSun"/>
                <w:sz w:val="18"/>
                <w:szCs w:val="18"/>
                <w:lang w:eastAsia="zh-CN"/>
              </w:rPr>
              <w:t>et i</w:t>
            </w:r>
            <w:r w:rsidRPr="00F77964">
              <w:rPr>
                <w:rFonts w:eastAsia="SimSun"/>
                <w:sz w:val="18"/>
                <w:szCs w:val="18"/>
                <w:lang w:eastAsia="zh-CN"/>
              </w:rPr>
              <w:t xml:space="preserve">nitiatives existants pour </w:t>
            </w:r>
            <w:r w:rsidR="00D55211" w:rsidRPr="00F77964">
              <w:rPr>
                <w:rFonts w:eastAsia="SimSun"/>
                <w:sz w:val="18"/>
                <w:szCs w:val="18"/>
                <w:lang w:eastAsia="zh-CN"/>
              </w:rPr>
              <w:t>l’</w:t>
            </w:r>
            <w:r w:rsidRPr="00F77964">
              <w:rPr>
                <w:rFonts w:eastAsia="SimSun"/>
                <w:sz w:val="18"/>
                <w:szCs w:val="18"/>
                <w:lang w:eastAsia="zh-CN"/>
              </w:rPr>
              <w:t>améliorer encore</w:t>
            </w:r>
            <w:r w:rsidR="00D55211" w:rsidRPr="00F77964">
              <w:rPr>
                <w:rFonts w:eastAsia="SimSun"/>
                <w:sz w:val="18"/>
                <w:szCs w:val="18"/>
                <w:lang w:eastAsia="zh-CN"/>
              </w:rPr>
              <w:t xml:space="preserve"> et </w:t>
            </w:r>
            <w:r w:rsidR="003F6360" w:rsidRPr="00F77964">
              <w:rPr>
                <w:rFonts w:eastAsia="SimSun"/>
                <w:sz w:val="18"/>
                <w:szCs w:val="18"/>
                <w:lang w:eastAsia="zh-CN"/>
              </w:rPr>
              <w:t xml:space="preserve">et </w:t>
            </w:r>
            <w:r w:rsidR="003F6360">
              <w:rPr>
                <w:rFonts w:eastAsia="SimSun"/>
                <w:sz w:val="18"/>
                <w:szCs w:val="18"/>
                <w:lang w:eastAsia="zh-CN"/>
              </w:rPr>
              <w:t>établit des tours d’horizon</w:t>
            </w:r>
            <w:r w:rsidR="003F6360" w:rsidRPr="00F77964">
              <w:rPr>
                <w:rFonts w:eastAsia="SimSun"/>
                <w:sz w:val="18"/>
                <w:szCs w:val="18"/>
                <w:lang w:eastAsia="zh-CN"/>
              </w:rPr>
              <w:t xml:space="preserve"> des outils et méthodes</w:t>
            </w:r>
            <w:r w:rsidR="003F6360">
              <w:rPr>
                <w:rFonts w:eastAsia="SimSun"/>
                <w:sz w:val="18"/>
                <w:szCs w:val="18"/>
                <w:lang w:eastAsia="zh-CN"/>
              </w:rPr>
              <w:t xml:space="preserve"> disponibles et</w:t>
            </w:r>
            <w:r w:rsidRPr="00F77964">
              <w:rPr>
                <w:rFonts w:eastAsia="SimSun"/>
                <w:sz w:val="18"/>
                <w:szCs w:val="18"/>
                <w:lang w:eastAsia="zh-CN"/>
              </w:rPr>
              <w:t xml:space="preserve"> des enseignements tirés</w:t>
            </w:r>
            <w:r w:rsidR="00B65244">
              <w:rPr>
                <w:rFonts w:eastAsia="SimSun"/>
                <w:sz w:val="18"/>
                <w:szCs w:val="18"/>
                <w:lang w:eastAsia="zh-CN"/>
              </w:rPr>
              <w:t xml:space="preserve"> dans ce domaine</w:t>
            </w:r>
            <w:r w:rsidRPr="00F77964">
              <w:rPr>
                <w:rFonts w:eastAsia="SimSun"/>
                <w:sz w:val="18"/>
                <w:szCs w:val="18"/>
                <w:lang w:eastAsia="zh-CN"/>
              </w:rPr>
              <w:t xml:space="preserve">, </w:t>
            </w:r>
            <w:r w:rsidR="00D55211" w:rsidRPr="00F77964">
              <w:rPr>
                <w:rFonts w:eastAsia="SimSun"/>
                <w:sz w:val="18"/>
                <w:szCs w:val="18"/>
                <w:lang w:eastAsia="zh-CN"/>
              </w:rPr>
              <w:t>selon que de</w:t>
            </w:r>
            <w:r w:rsidRPr="00F77964">
              <w:rPr>
                <w:rFonts w:eastAsia="SimSun"/>
                <w:sz w:val="18"/>
                <w:szCs w:val="18"/>
                <w:lang w:eastAsia="zh-CN"/>
              </w:rPr>
              <w:t xml:space="preserve"> besoin</w:t>
            </w:r>
          </w:p>
        </w:tc>
      </w:tr>
      <w:tr w:rsidR="00C704B2" w:rsidRPr="0061490E" w:rsidTr="007A7412">
        <w:trPr>
          <w:trHeight w:val="584"/>
        </w:trPr>
        <w:tc>
          <w:tcPr>
            <w:tcW w:w="634" w:type="dxa"/>
            <w:tcBorders>
              <w:top w:val="single" w:sz="4" w:space="0" w:color="auto"/>
              <w:left w:val="single" w:sz="4" w:space="0" w:color="auto"/>
              <w:bottom w:val="single" w:sz="4" w:space="0" w:color="auto"/>
              <w:right w:val="single" w:sz="4" w:space="0" w:color="auto"/>
            </w:tcBorders>
            <w:hideMark/>
          </w:tcPr>
          <w:p w:rsidR="00C704B2" w:rsidRPr="00F77964" w:rsidRDefault="00C704B2" w:rsidP="00C00335">
            <w:pPr>
              <w:tabs>
                <w:tab w:val="left" w:pos="426"/>
                <w:tab w:val="num" w:pos="1353"/>
              </w:tabs>
              <w:autoSpaceDE w:val="0"/>
              <w:autoSpaceDN w:val="0"/>
              <w:adjustRightInd w:val="0"/>
              <w:rPr>
                <w:rFonts w:ascii="Times New Roman" w:eastAsia="SimSun" w:hAnsi="Times New Roman"/>
                <w:sz w:val="18"/>
                <w:szCs w:val="18"/>
                <w:lang w:eastAsia="zh-CN"/>
              </w:rPr>
            </w:pPr>
            <w:r w:rsidRPr="00F77964">
              <w:rPr>
                <w:rFonts w:ascii="Times New Roman" w:eastAsia="SimSun" w:hAnsi="Times New Roman"/>
                <w:sz w:val="18"/>
                <w:szCs w:val="18"/>
                <w:lang w:eastAsia="zh-CN"/>
              </w:rPr>
              <w:t>2016</w:t>
            </w:r>
          </w:p>
        </w:tc>
        <w:tc>
          <w:tcPr>
            <w:tcW w:w="1345" w:type="dxa"/>
            <w:tcBorders>
              <w:top w:val="single" w:sz="4" w:space="0" w:color="auto"/>
              <w:left w:val="single" w:sz="4" w:space="0" w:color="auto"/>
              <w:bottom w:val="single" w:sz="4" w:space="0" w:color="auto"/>
              <w:right w:val="single" w:sz="4" w:space="0" w:color="auto"/>
            </w:tcBorders>
            <w:hideMark/>
          </w:tcPr>
          <w:p w:rsidR="00C704B2" w:rsidRPr="00F77964" w:rsidRDefault="00C704B2" w:rsidP="00C00335">
            <w:pPr>
              <w:pStyle w:val="Normal-pool"/>
              <w:spacing w:before="40" w:after="40"/>
              <w:rPr>
                <w:rFonts w:eastAsia="SimSun"/>
                <w:sz w:val="18"/>
                <w:szCs w:val="18"/>
                <w:lang w:eastAsia="zh-CN"/>
              </w:rPr>
            </w:pPr>
            <w:r w:rsidRPr="00F77964">
              <w:rPr>
                <w:rFonts w:eastAsia="SimSun"/>
                <w:sz w:val="18"/>
                <w:szCs w:val="18"/>
                <w:lang w:eastAsia="zh-CN"/>
              </w:rPr>
              <w:t>Premier/</w:t>
            </w:r>
            <w:r w:rsidR="007A7412">
              <w:rPr>
                <w:rFonts w:eastAsia="SimSun"/>
                <w:sz w:val="18"/>
                <w:szCs w:val="18"/>
                <w:lang w:eastAsia="zh-CN"/>
              </w:rPr>
              <w:br/>
            </w:r>
            <w:r w:rsidRPr="00F77964">
              <w:rPr>
                <w:rFonts w:eastAsia="SimSun"/>
                <w:sz w:val="18"/>
                <w:szCs w:val="18"/>
                <w:lang w:eastAsia="zh-CN"/>
              </w:rPr>
              <w:t>deuxième/ troisième/</w:t>
            </w:r>
            <w:r w:rsidR="007A7412">
              <w:rPr>
                <w:rFonts w:eastAsia="SimSun"/>
                <w:sz w:val="18"/>
                <w:szCs w:val="18"/>
                <w:lang w:eastAsia="zh-CN"/>
              </w:rPr>
              <w:br/>
            </w:r>
            <w:r w:rsidRPr="00F77964">
              <w:rPr>
                <w:rFonts w:eastAsia="SimSun"/>
                <w:sz w:val="18"/>
                <w:szCs w:val="18"/>
                <w:lang w:eastAsia="zh-CN"/>
              </w:rPr>
              <w:t>quatrième trimestres</w:t>
            </w:r>
          </w:p>
        </w:tc>
        <w:tc>
          <w:tcPr>
            <w:tcW w:w="6015" w:type="dxa"/>
            <w:tcBorders>
              <w:top w:val="single" w:sz="4" w:space="0" w:color="auto"/>
              <w:left w:val="single" w:sz="4" w:space="0" w:color="auto"/>
              <w:bottom w:val="single" w:sz="4" w:space="0" w:color="auto"/>
              <w:right w:val="single" w:sz="4" w:space="0" w:color="auto"/>
            </w:tcBorders>
            <w:hideMark/>
          </w:tcPr>
          <w:p w:rsidR="00C704B2" w:rsidRPr="00F77964" w:rsidRDefault="00C704B2" w:rsidP="00C00335">
            <w:pPr>
              <w:pStyle w:val="Normal-pool"/>
              <w:keepNext/>
              <w:keepLines/>
              <w:spacing w:before="40" w:after="40"/>
              <w:rPr>
                <w:rFonts w:eastAsia="SimSun"/>
                <w:sz w:val="18"/>
                <w:szCs w:val="18"/>
                <w:lang w:eastAsia="zh-CN"/>
              </w:rPr>
            </w:pPr>
            <w:r w:rsidRPr="00F77964">
              <w:rPr>
                <w:rFonts w:eastAsia="SimSun"/>
                <w:sz w:val="18"/>
                <w:szCs w:val="18"/>
                <w:lang w:eastAsia="zh-CN"/>
              </w:rPr>
              <w:t xml:space="preserve">Le secrétariat continue </w:t>
            </w:r>
            <w:r>
              <w:rPr>
                <w:rFonts w:eastAsia="SimSun"/>
                <w:sz w:val="18"/>
                <w:szCs w:val="18"/>
                <w:lang w:eastAsia="zh-CN"/>
              </w:rPr>
              <w:t>à</w:t>
            </w:r>
            <w:r w:rsidRPr="00F77964">
              <w:rPr>
                <w:rFonts w:eastAsia="SimSun"/>
                <w:sz w:val="18"/>
                <w:szCs w:val="18"/>
                <w:lang w:eastAsia="zh-CN"/>
              </w:rPr>
              <w:t xml:space="preserve"> gérer le catalogue en ligne, </w:t>
            </w:r>
            <w:r>
              <w:rPr>
                <w:rFonts w:eastAsia="SimSun"/>
                <w:sz w:val="18"/>
                <w:szCs w:val="18"/>
                <w:lang w:eastAsia="zh-CN"/>
              </w:rPr>
              <w:t>à l’améliorer en</w:t>
            </w:r>
            <w:r w:rsidRPr="00F77964">
              <w:rPr>
                <w:rFonts w:eastAsia="SimSun"/>
                <w:sz w:val="18"/>
                <w:szCs w:val="18"/>
                <w:lang w:eastAsia="zh-CN"/>
              </w:rPr>
              <w:t xml:space="preserve"> collabor</w:t>
            </w:r>
            <w:r>
              <w:rPr>
                <w:rFonts w:eastAsia="SimSun"/>
                <w:sz w:val="18"/>
                <w:szCs w:val="18"/>
                <w:lang w:eastAsia="zh-CN"/>
              </w:rPr>
              <w:t>ation</w:t>
            </w:r>
            <w:r w:rsidRPr="00F77964">
              <w:rPr>
                <w:rFonts w:eastAsia="SimSun"/>
                <w:sz w:val="18"/>
                <w:szCs w:val="18"/>
                <w:lang w:eastAsia="zh-CN"/>
              </w:rPr>
              <w:t xml:space="preserve"> avec les réseaux et initiatives existants et </w:t>
            </w:r>
            <w:r>
              <w:rPr>
                <w:rFonts w:eastAsia="SimSun"/>
                <w:sz w:val="18"/>
                <w:szCs w:val="18"/>
                <w:lang w:eastAsia="zh-CN"/>
              </w:rPr>
              <w:t>à établir des tours d’horizon d</w:t>
            </w:r>
            <w:r w:rsidRPr="00F77964">
              <w:rPr>
                <w:rFonts w:eastAsia="SimSun"/>
                <w:sz w:val="18"/>
                <w:szCs w:val="18"/>
                <w:lang w:eastAsia="zh-CN"/>
              </w:rPr>
              <w:t xml:space="preserve">es </w:t>
            </w:r>
            <w:r w:rsidR="00B65244">
              <w:rPr>
                <w:rFonts w:eastAsia="SimSun"/>
                <w:sz w:val="18"/>
                <w:szCs w:val="18"/>
                <w:lang w:eastAsia="zh-CN"/>
              </w:rPr>
              <w:t>outils et méthodes d’aide à la décision</w:t>
            </w:r>
            <w:r w:rsidRPr="00F77964">
              <w:rPr>
                <w:rFonts w:eastAsia="SimSun"/>
                <w:sz w:val="18"/>
                <w:szCs w:val="18"/>
                <w:lang w:eastAsia="zh-CN"/>
              </w:rPr>
              <w:t xml:space="preserve"> et </w:t>
            </w:r>
            <w:r>
              <w:rPr>
                <w:rFonts w:eastAsia="SimSun"/>
                <w:sz w:val="18"/>
                <w:szCs w:val="18"/>
                <w:lang w:eastAsia="zh-CN"/>
              </w:rPr>
              <w:t>d</w:t>
            </w:r>
            <w:r w:rsidRPr="00F77964">
              <w:rPr>
                <w:rFonts w:eastAsia="SimSun"/>
                <w:sz w:val="18"/>
                <w:szCs w:val="18"/>
                <w:lang w:eastAsia="zh-CN"/>
              </w:rPr>
              <w:t>es enseignements tirés</w:t>
            </w:r>
            <w:r>
              <w:rPr>
                <w:rFonts w:eastAsia="SimSun"/>
                <w:sz w:val="18"/>
                <w:szCs w:val="18"/>
                <w:lang w:eastAsia="zh-CN"/>
              </w:rPr>
              <w:t xml:space="preserve"> </w:t>
            </w:r>
            <w:r w:rsidR="00B65244">
              <w:rPr>
                <w:rFonts w:eastAsia="SimSun"/>
                <w:sz w:val="18"/>
                <w:szCs w:val="18"/>
                <w:lang w:eastAsia="zh-CN"/>
              </w:rPr>
              <w:t>dans ce domaine</w:t>
            </w:r>
            <w:r>
              <w:rPr>
                <w:rFonts w:eastAsia="SimSun"/>
                <w:sz w:val="18"/>
                <w:szCs w:val="18"/>
                <w:lang w:eastAsia="zh-CN"/>
              </w:rPr>
              <w:t>,</w:t>
            </w:r>
            <w:r w:rsidRPr="00F77964">
              <w:rPr>
                <w:rFonts w:eastAsia="SimSun"/>
                <w:sz w:val="18"/>
                <w:szCs w:val="18"/>
                <w:lang w:eastAsia="zh-CN"/>
              </w:rPr>
              <w:t xml:space="preserve"> selon que de besoin</w:t>
            </w:r>
          </w:p>
        </w:tc>
      </w:tr>
      <w:tr w:rsidR="00C704B2" w:rsidRPr="0061490E" w:rsidTr="007A7412">
        <w:trPr>
          <w:trHeight w:val="841"/>
        </w:trPr>
        <w:tc>
          <w:tcPr>
            <w:tcW w:w="634" w:type="dxa"/>
            <w:tcBorders>
              <w:top w:val="single" w:sz="4" w:space="0" w:color="auto"/>
              <w:left w:val="single" w:sz="4" w:space="0" w:color="auto"/>
              <w:bottom w:val="single" w:sz="4" w:space="0" w:color="auto"/>
              <w:right w:val="single" w:sz="4" w:space="0" w:color="auto"/>
            </w:tcBorders>
            <w:hideMark/>
          </w:tcPr>
          <w:p w:rsidR="00C704B2" w:rsidRPr="00F77964" w:rsidRDefault="00C704B2" w:rsidP="00C00335">
            <w:pPr>
              <w:tabs>
                <w:tab w:val="left" w:pos="426"/>
                <w:tab w:val="num" w:pos="1353"/>
              </w:tabs>
              <w:autoSpaceDE w:val="0"/>
              <w:autoSpaceDN w:val="0"/>
              <w:adjustRightInd w:val="0"/>
              <w:rPr>
                <w:rFonts w:ascii="Times New Roman" w:eastAsia="SimSun" w:hAnsi="Times New Roman"/>
                <w:sz w:val="18"/>
                <w:szCs w:val="18"/>
                <w:lang w:eastAsia="zh-CN"/>
              </w:rPr>
            </w:pPr>
            <w:r w:rsidRPr="00F77964">
              <w:rPr>
                <w:rFonts w:ascii="Times New Roman" w:eastAsia="SimSun" w:hAnsi="Times New Roman"/>
                <w:sz w:val="18"/>
                <w:szCs w:val="18"/>
                <w:lang w:eastAsia="zh-CN"/>
              </w:rPr>
              <w:t>2017</w:t>
            </w:r>
          </w:p>
        </w:tc>
        <w:tc>
          <w:tcPr>
            <w:tcW w:w="1345" w:type="dxa"/>
            <w:tcBorders>
              <w:top w:val="single" w:sz="4" w:space="0" w:color="auto"/>
              <w:left w:val="single" w:sz="4" w:space="0" w:color="auto"/>
              <w:bottom w:val="single" w:sz="4" w:space="0" w:color="auto"/>
              <w:right w:val="single" w:sz="4" w:space="0" w:color="auto"/>
            </w:tcBorders>
            <w:hideMark/>
          </w:tcPr>
          <w:p w:rsidR="00C704B2" w:rsidRPr="00F77964" w:rsidRDefault="00C704B2" w:rsidP="00C00335">
            <w:pPr>
              <w:pStyle w:val="Normal-pool"/>
              <w:spacing w:before="40" w:after="40"/>
              <w:rPr>
                <w:rFonts w:eastAsia="SimSun"/>
                <w:sz w:val="18"/>
                <w:szCs w:val="18"/>
                <w:lang w:eastAsia="zh-CN"/>
              </w:rPr>
            </w:pPr>
            <w:r w:rsidRPr="00F77964">
              <w:rPr>
                <w:rFonts w:eastAsia="SimSun"/>
                <w:sz w:val="18"/>
                <w:szCs w:val="18"/>
                <w:lang w:eastAsia="zh-CN"/>
              </w:rPr>
              <w:t>Premier/</w:t>
            </w:r>
            <w:r w:rsidR="007A7412">
              <w:rPr>
                <w:rFonts w:eastAsia="SimSun"/>
                <w:sz w:val="18"/>
                <w:szCs w:val="18"/>
                <w:lang w:eastAsia="zh-CN"/>
              </w:rPr>
              <w:br/>
            </w:r>
            <w:r w:rsidRPr="00F77964">
              <w:rPr>
                <w:rFonts w:eastAsia="SimSun"/>
                <w:sz w:val="18"/>
                <w:szCs w:val="18"/>
                <w:lang w:eastAsia="zh-CN"/>
              </w:rPr>
              <w:t>deuxième/ troisième/</w:t>
            </w:r>
            <w:r w:rsidR="007A7412">
              <w:rPr>
                <w:rFonts w:eastAsia="SimSun"/>
                <w:sz w:val="18"/>
                <w:szCs w:val="18"/>
                <w:lang w:eastAsia="zh-CN"/>
              </w:rPr>
              <w:br/>
            </w:r>
            <w:r w:rsidRPr="00F77964">
              <w:rPr>
                <w:rFonts w:eastAsia="SimSun"/>
                <w:sz w:val="18"/>
                <w:szCs w:val="18"/>
                <w:lang w:eastAsia="zh-CN"/>
              </w:rPr>
              <w:t>quatrième trimestres</w:t>
            </w:r>
          </w:p>
        </w:tc>
        <w:tc>
          <w:tcPr>
            <w:tcW w:w="6015" w:type="dxa"/>
            <w:tcBorders>
              <w:top w:val="single" w:sz="4" w:space="0" w:color="auto"/>
              <w:left w:val="single" w:sz="4" w:space="0" w:color="auto"/>
              <w:bottom w:val="single" w:sz="4" w:space="0" w:color="auto"/>
              <w:right w:val="single" w:sz="4" w:space="0" w:color="auto"/>
            </w:tcBorders>
            <w:hideMark/>
          </w:tcPr>
          <w:p w:rsidR="00C704B2" w:rsidRPr="00F77964" w:rsidRDefault="00C704B2" w:rsidP="00C00335">
            <w:pPr>
              <w:pStyle w:val="Normal-pool"/>
              <w:spacing w:before="40" w:after="40"/>
              <w:rPr>
                <w:rFonts w:eastAsia="SimSun"/>
                <w:sz w:val="18"/>
                <w:szCs w:val="18"/>
                <w:lang w:eastAsia="zh-CN"/>
              </w:rPr>
            </w:pPr>
            <w:r w:rsidRPr="00F77964">
              <w:rPr>
                <w:rFonts w:eastAsia="SimSun"/>
                <w:sz w:val="18"/>
                <w:szCs w:val="18"/>
                <w:lang w:eastAsia="zh-CN"/>
              </w:rPr>
              <w:t xml:space="preserve">Le secrétariat continue </w:t>
            </w:r>
            <w:r>
              <w:rPr>
                <w:rFonts w:eastAsia="SimSun"/>
                <w:sz w:val="18"/>
                <w:szCs w:val="18"/>
                <w:lang w:eastAsia="zh-CN"/>
              </w:rPr>
              <w:t>à</w:t>
            </w:r>
            <w:r w:rsidRPr="00F77964">
              <w:rPr>
                <w:rFonts w:eastAsia="SimSun"/>
                <w:sz w:val="18"/>
                <w:szCs w:val="18"/>
                <w:lang w:eastAsia="zh-CN"/>
              </w:rPr>
              <w:t xml:space="preserve"> gérer le catalogue en ligne, </w:t>
            </w:r>
            <w:r>
              <w:rPr>
                <w:rFonts w:eastAsia="SimSun"/>
                <w:sz w:val="18"/>
                <w:szCs w:val="18"/>
                <w:lang w:eastAsia="zh-CN"/>
              </w:rPr>
              <w:t>à l’améliorer en</w:t>
            </w:r>
            <w:r w:rsidRPr="00F77964">
              <w:rPr>
                <w:rFonts w:eastAsia="SimSun"/>
                <w:sz w:val="18"/>
                <w:szCs w:val="18"/>
                <w:lang w:eastAsia="zh-CN"/>
              </w:rPr>
              <w:t xml:space="preserve"> collabor</w:t>
            </w:r>
            <w:r>
              <w:rPr>
                <w:rFonts w:eastAsia="SimSun"/>
                <w:sz w:val="18"/>
                <w:szCs w:val="18"/>
                <w:lang w:eastAsia="zh-CN"/>
              </w:rPr>
              <w:t>ation</w:t>
            </w:r>
            <w:r w:rsidRPr="00F77964">
              <w:rPr>
                <w:rFonts w:eastAsia="SimSun"/>
                <w:sz w:val="18"/>
                <w:szCs w:val="18"/>
                <w:lang w:eastAsia="zh-CN"/>
              </w:rPr>
              <w:t xml:space="preserve"> avec les réseaux et initiatives existants et </w:t>
            </w:r>
            <w:r>
              <w:rPr>
                <w:rFonts w:eastAsia="SimSun"/>
                <w:sz w:val="18"/>
                <w:szCs w:val="18"/>
                <w:lang w:eastAsia="zh-CN"/>
              </w:rPr>
              <w:t>à établir des tours d’horizon d</w:t>
            </w:r>
            <w:r w:rsidRPr="00F77964">
              <w:rPr>
                <w:rFonts w:eastAsia="SimSun"/>
                <w:sz w:val="18"/>
                <w:szCs w:val="18"/>
                <w:lang w:eastAsia="zh-CN"/>
              </w:rPr>
              <w:t xml:space="preserve">es </w:t>
            </w:r>
            <w:r w:rsidR="00B65244">
              <w:rPr>
                <w:rFonts w:eastAsia="SimSun"/>
                <w:sz w:val="18"/>
                <w:szCs w:val="18"/>
                <w:lang w:eastAsia="zh-CN"/>
              </w:rPr>
              <w:t>outils et méthodes d’aide à la décision</w:t>
            </w:r>
            <w:r w:rsidR="00B65244" w:rsidRPr="00F77964">
              <w:rPr>
                <w:rFonts w:eastAsia="SimSun"/>
                <w:sz w:val="18"/>
                <w:szCs w:val="18"/>
                <w:lang w:eastAsia="zh-CN"/>
              </w:rPr>
              <w:t xml:space="preserve"> et </w:t>
            </w:r>
            <w:r w:rsidR="00B65244">
              <w:rPr>
                <w:rFonts w:eastAsia="SimSun"/>
                <w:sz w:val="18"/>
                <w:szCs w:val="18"/>
                <w:lang w:eastAsia="zh-CN"/>
              </w:rPr>
              <w:t>d</w:t>
            </w:r>
            <w:r w:rsidR="00B65244" w:rsidRPr="00F77964">
              <w:rPr>
                <w:rFonts w:eastAsia="SimSun"/>
                <w:sz w:val="18"/>
                <w:szCs w:val="18"/>
                <w:lang w:eastAsia="zh-CN"/>
              </w:rPr>
              <w:t>es enseignements tirés</w:t>
            </w:r>
            <w:r w:rsidR="00B65244">
              <w:rPr>
                <w:rFonts w:eastAsia="SimSun"/>
                <w:sz w:val="18"/>
                <w:szCs w:val="18"/>
                <w:lang w:eastAsia="zh-CN"/>
              </w:rPr>
              <w:t xml:space="preserve"> dans ce domaine</w:t>
            </w:r>
            <w:r>
              <w:rPr>
                <w:rFonts w:eastAsia="SimSun"/>
                <w:sz w:val="18"/>
                <w:szCs w:val="18"/>
                <w:lang w:eastAsia="zh-CN"/>
              </w:rPr>
              <w:t xml:space="preserve"> suffisamment tôt </w:t>
            </w:r>
            <w:r w:rsidRPr="00F77964">
              <w:rPr>
                <w:rFonts w:eastAsia="SimSun"/>
                <w:sz w:val="18"/>
                <w:szCs w:val="18"/>
                <w:lang w:eastAsia="zh-CN"/>
              </w:rPr>
              <w:t xml:space="preserve">pour </w:t>
            </w:r>
            <w:r>
              <w:rPr>
                <w:rFonts w:eastAsia="SimSun"/>
                <w:sz w:val="18"/>
                <w:szCs w:val="18"/>
                <w:lang w:eastAsia="zh-CN"/>
              </w:rPr>
              <w:t>éclairer</w:t>
            </w:r>
            <w:r w:rsidRPr="00F77964">
              <w:rPr>
                <w:rFonts w:eastAsia="SimSun"/>
                <w:sz w:val="18"/>
                <w:szCs w:val="18"/>
                <w:lang w:eastAsia="zh-CN"/>
              </w:rPr>
              <w:t xml:space="preserve"> l’examen de la Plateforme (produit 4 d))</w:t>
            </w:r>
          </w:p>
        </w:tc>
      </w:tr>
      <w:tr w:rsidR="00C704B2" w:rsidRPr="0061490E" w:rsidTr="007A7412">
        <w:trPr>
          <w:trHeight w:val="242"/>
        </w:trPr>
        <w:tc>
          <w:tcPr>
            <w:tcW w:w="634" w:type="dxa"/>
            <w:tcBorders>
              <w:top w:val="single" w:sz="4" w:space="0" w:color="auto"/>
              <w:left w:val="single" w:sz="4" w:space="0" w:color="auto"/>
              <w:bottom w:val="single" w:sz="4" w:space="0" w:color="auto"/>
              <w:right w:val="single" w:sz="4" w:space="0" w:color="auto"/>
            </w:tcBorders>
            <w:hideMark/>
          </w:tcPr>
          <w:p w:rsidR="00C704B2" w:rsidRPr="00F77964" w:rsidRDefault="00C704B2" w:rsidP="00C00335">
            <w:pPr>
              <w:tabs>
                <w:tab w:val="left" w:pos="426"/>
                <w:tab w:val="num" w:pos="1353"/>
              </w:tabs>
              <w:autoSpaceDE w:val="0"/>
              <w:autoSpaceDN w:val="0"/>
              <w:adjustRightInd w:val="0"/>
              <w:rPr>
                <w:rFonts w:ascii="Times New Roman" w:eastAsia="SimSun" w:hAnsi="Times New Roman"/>
                <w:sz w:val="18"/>
                <w:szCs w:val="18"/>
                <w:lang w:eastAsia="zh-CN"/>
              </w:rPr>
            </w:pPr>
            <w:r w:rsidRPr="00F77964">
              <w:rPr>
                <w:rFonts w:ascii="Times New Roman" w:eastAsia="SimSun" w:hAnsi="Times New Roman"/>
                <w:sz w:val="18"/>
                <w:szCs w:val="18"/>
                <w:lang w:eastAsia="zh-CN"/>
              </w:rPr>
              <w:t>2018</w:t>
            </w:r>
          </w:p>
        </w:tc>
        <w:tc>
          <w:tcPr>
            <w:tcW w:w="1345" w:type="dxa"/>
            <w:tcBorders>
              <w:top w:val="single" w:sz="4" w:space="0" w:color="auto"/>
              <w:left w:val="single" w:sz="4" w:space="0" w:color="auto"/>
              <w:bottom w:val="single" w:sz="4" w:space="0" w:color="auto"/>
              <w:right w:val="single" w:sz="4" w:space="0" w:color="auto"/>
            </w:tcBorders>
            <w:hideMark/>
          </w:tcPr>
          <w:p w:rsidR="007A7412" w:rsidRDefault="00C704B2" w:rsidP="00C00335">
            <w:pPr>
              <w:pStyle w:val="Normal-pool"/>
              <w:spacing w:before="40" w:after="40"/>
              <w:rPr>
                <w:rFonts w:eastAsia="SimSun"/>
                <w:sz w:val="18"/>
                <w:szCs w:val="18"/>
                <w:lang w:eastAsia="zh-CN"/>
              </w:rPr>
            </w:pPr>
            <w:r w:rsidRPr="00F77964">
              <w:rPr>
                <w:rFonts w:eastAsia="SimSun"/>
                <w:sz w:val="18"/>
                <w:szCs w:val="18"/>
                <w:lang w:eastAsia="zh-CN"/>
              </w:rPr>
              <w:t>Premier/</w:t>
            </w:r>
          </w:p>
          <w:p w:rsidR="00C704B2" w:rsidRPr="00F77964" w:rsidRDefault="00C704B2" w:rsidP="00C00335">
            <w:pPr>
              <w:pStyle w:val="Normal-pool"/>
              <w:spacing w:before="40" w:after="40"/>
              <w:rPr>
                <w:rFonts w:eastAsia="SimSun"/>
                <w:sz w:val="18"/>
                <w:szCs w:val="18"/>
                <w:lang w:eastAsia="zh-CN"/>
              </w:rPr>
            </w:pPr>
            <w:r w:rsidRPr="00F77964">
              <w:rPr>
                <w:rFonts w:eastAsia="SimSun"/>
                <w:sz w:val="18"/>
                <w:szCs w:val="18"/>
                <w:lang w:eastAsia="zh-CN"/>
              </w:rPr>
              <w:t>deuxième/ troisième/</w:t>
            </w:r>
            <w:r w:rsidR="007A7412">
              <w:rPr>
                <w:rFonts w:eastAsia="SimSun"/>
                <w:sz w:val="18"/>
                <w:szCs w:val="18"/>
                <w:lang w:eastAsia="zh-CN"/>
              </w:rPr>
              <w:br/>
            </w:r>
            <w:r w:rsidRPr="00F77964">
              <w:rPr>
                <w:rFonts w:eastAsia="SimSun"/>
                <w:sz w:val="18"/>
                <w:szCs w:val="18"/>
                <w:lang w:eastAsia="zh-CN"/>
              </w:rPr>
              <w:t>quatrième trimestres</w:t>
            </w:r>
          </w:p>
        </w:tc>
        <w:tc>
          <w:tcPr>
            <w:tcW w:w="6015" w:type="dxa"/>
            <w:tcBorders>
              <w:top w:val="single" w:sz="4" w:space="0" w:color="auto"/>
              <w:left w:val="single" w:sz="4" w:space="0" w:color="auto"/>
              <w:bottom w:val="single" w:sz="4" w:space="0" w:color="auto"/>
              <w:right w:val="single" w:sz="4" w:space="0" w:color="auto"/>
            </w:tcBorders>
            <w:hideMark/>
          </w:tcPr>
          <w:p w:rsidR="00C704B2" w:rsidRPr="00F77964" w:rsidRDefault="00C704B2" w:rsidP="00C00335">
            <w:pPr>
              <w:pStyle w:val="Normal-pool"/>
              <w:spacing w:before="40" w:after="40"/>
              <w:rPr>
                <w:rFonts w:eastAsia="SimSun"/>
                <w:sz w:val="18"/>
                <w:szCs w:val="18"/>
                <w:lang w:eastAsia="zh-CN"/>
              </w:rPr>
            </w:pPr>
            <w:r w:rsidRPr="00F77964">
              <w:rPr>
                <w:rFonts w:eastAsia="SimSun"/>
                <w:sz w:val="18"/>
                <w:szCs w:val="18"/>
                <w:lang w:eastAsia="zh-CN"/>
              </w:rPr>
              <w:t xml:space="preserve">Le secrétariat continue </w:t>
            </w:r>
            <w:r>
              <w:rPr>
                <w:rFonts w:eastAsia="SimSun"/>
                <w:sz w:val="18"/>
                <w:szCs w:val="18"/>
                <w:lang w:eastAsia="zh-CN"/>
              </w:rPr>
              <w:t>à</w:t>
            </w:r>
            <w:r w:rsidRPr="00F77964">
              <w:rPr>
                <w:rFonts w:eastAsia="SimSun"/>
                <w:sz w:val="18"/>
                <w:szCs w:val="18"/>
                <w:lang w:eastAsia="zh-CN"/>
              </w:rPr>
              <w:t xml:space="preserve"> gérer le catalogue en ligne, </w:t>
            </w:r>
            <w:r>
              <w:rPr>
                <w:rFonts w:eastAsia="SimSun"/>
                <w:sz w:val="18"/>
                <w:szCs w:val="18"/>
                <w:lang w:eastAsia="zh-CN"/>
              </w:rPr>
              <w:t>à l’améliorer en</w:t>
            </w:r>
            <w:r w:rsidRPr="00F77964">
              <w:rPr>
                <w:rFonts w:eastAsia="SimSun"/>
                <w:sz w:val="18"/>
                <w:szCs w:val="18"/>
                <w:lang w:eastAsia="zh-CN"/>
              </w:rPr>
              <w:t xml:space="preserve"> collabor</w:t>
            </w:r>
            <w:r>
              <w:rPr>
                <w:rFonts w:eastAsia="SimSun"/>
                <w:sz w:val="18"/>
                <w:szCs w:val="18"/>
                <w:lang w:eastAsia="zh-CN"/>
              </w:rPr>
              <w:t>ation</w:t>
            </w:r>
            <w:r w:rsidRPr="00F77964">
              <w:rPr>
                <w:rFonts w:eastAsia="SimSun"/>
                <w:sz w:val="18"/>
                <w:szCs w:val="18"/>
                <w:lang w:eastAsia="zh-CN"/>
              </w:rPr>
              <w:t xml:space="preserve"> avec les réseaux et initiatives existants et </w:t>
            </w:r>
            <w:r>
              <w:rPr>
                <w:rFonts w:eastAsia="SimSun"/>
                <w:sz w:val="18"/>
                <w:szCs w:val="18"/>
                <w:lang w:eastAsia="zh-CN"/>
              </w:rPr>
              <w:t xml:space="preserve">à établir des tours d’horizon </w:t>
            </w:r>
            <w:r w:rsidR="00B65244">
              <w:rPr>
                <w:rFonts w:eastAsia="SimSun"/>
                <w:sz w:val="18"/>
                <w:szCs w:val="18"/>
                <w:lang w:eastAsia="zh-CN"/>
              </w:rPr>
              <w:t>outils et méthodes d’aide à la décision</w:t>
            </w:r>
            <w:r w:rsidR="00B65244" w:rsidRPr="00F77964">
              <w:rPr>
                <w:rFonts w:eastAsia="SimSun"/>
                <w:sz w:val="18"/>
                <w:szCs w:val="18"/>
                <w:lang w:eastAsia="zh-CN"/>
              </w:rPr>
              <w:t xml:space="preserve"> et </w:t>
            </w:r>
            <w:r w:rsidR="00B65244">
              <w:rPr>
                <w:rFonts w:eastAsia="SimSun"/>
                <w:sz w:val="18"/>
                <w:szCs w:val="18"/>
                <w:lang w:eastAsia="zh-CN"/>
              </w:rPr>
              <w:t>d</w:t>
            </w:r>
            <w:r w:rsidR="00B65244" w:rsidRPr="00F77964">
              <w:rPr>
                <w:rFonts w:eastAsia="SimSun"/>
                <w:sz w:val="18"/>
                <w:szCs w:val="18"/>
                <w:lang w:eastAsia="zh-CN"/>
              </w:rPr>
              <w:t>es enseignements tirés</w:t>
            </w:r>
            <w:r w:rsidR="00B65244">
              <w:rPr>
                <w:rFonts w:eastAsia="SimSun"/>
                <w:sz w:val="18"/>
                <w:szCs w:val="18"/>
                <w:lang w:eastAsia="zh-CN"/>
              </w:rPr>
              <w:t xml:space="preserve"> dans ce domaine </w:t>
            </w:r>
            <w:r>
              <w:rPr>
                <w:rFonts w:eastAsia="SimSun"/>
                <w:sz w:val="18"/>
                <w:szCs w:val="18"/>
                <w:lang w:eastAsia="zh-CN"/>
              </w:rPr>
              <w:t xml:space="preserve">suffisamment tôt </w:t>
            </w:r>
            <w:r w:rsidRPr="00F77964">
              <w:rPr>
                <w:rFonts w:eastAsia="SimSun"/>
                <w:sz w:val="18"/>
                <w:szCs w:val="18"/>
                <w:lang w:eastAsia="zh-CN"/>
              </w:rPr>
              <w:t xml:space="preserve">pour </w:t>
            </w:r>
            <w:r>
              <w:rPr>
                <w:rFonts w:eastAsia="SimSun"/>
                <w:sz w:val="18"/>
                <w:szCs w:val="18"/>
                <w:lang w:eastAsia="zh-CN"/>
              </w:rPr>
              <w:t>éclairer</w:t>
            </w:r>
            <w:r w:rsidRPr="00F77964">
              <w:rPr>
                <w:rFonts w:eastAsia="SimSun"/>
                <w:sz w:val="18"/>
                <w:szCs w:val="18"/>
                <w:lang w:eastAsia="zh-CN"/>
              </w:rPr>
              <w:t xml:space="preserve"> </w:t>
            </w:r>
            <w:r>
              <w:rPr>
                <w:rFonts w:eastAsia="SimSun"/>
                <w:sz w:val="18"/>
                <w:szCs w:val="18"/>
                <w:lang w:eastAsia="zh-CN"/>
              </w:rPr>
              <w:t>les</w:t>
            </w:r>
            <w:r w:rsidRPr="00F77964">
              <w:rPr>
                <w:rFonts w:eastAsia="SimSun"/>
                <w:sz w:val="18"/>
                <w:szCs w:val="18"/>
                <w:lang w:eastAsia="zh-CN"/>
              </w:rPr>
              <w:t xml:space="preserve"> débats sur le prochain programme de travail</w:t>
            </w:r>
          </w:p>
        </w:tc>
      </w:tr>
    </w:tbl>
    <w:p w:rsidR="001D6913" w:rsidRPr="00F77964" w:rsidRDefault="001D6913" w:rsidP="00EA72DB">
      <w:pPr>
        <w:pStyle w:val="CH3"/>
        <w:spacing w:before="120"/>
        <w:rPr>
          <w:rFonts w:eastAsia="SimSun"/>
          <w:lang w:val="fr-FR" w:eastAsia="zh-CN"/>
        </w:rPr>
      </w:pPr>
      <w:r w:rsidRPr="00F77964">
        <w:rPr>
          <w:rFonts w:eastAsia="SimSun"/>
          <w:lang w:val="fr-FR" w:eastAsia="zh-CN"/>
        </w:rPr>
        <w:tab/>
      </w:r>
      <w:r w:rsidRPr="00F77964">
        <w:rPr>
          <w:rFonts w:eastAsia="SimSun"/>
          <w:lang w:val="fr-FR" w:eastAsia="zh-CN"/>
        </w:rPr>
        <w:tab/>
        <w:t>Prévisions de coûts</w:t>
      </w:r>
    </w:p>
    <w:p w:rsidR="001D6913" w:rsidRPr="00F90D8B" w:rsidRDefault="001D6913" w:rsidP="00F90D8B">
      <w:pPr>
        <w:pStyle w:val="Normalnumber"/>
        <w:numPr>
          <w:ilvl w:val="0"/>
          <w:numId w:val="6"/>
        </w:numPr>
        <w:tabs>
          <w:tab w:val="left" w:pos="624"/>
        </w:tabs>
        <w:ind w:left="1247" w:firstLine="0"/>
        <w:rPr>
          <w:lang w:val="fr-FR"/>
        </w:rPr>
      </w:pPr>
      <w:r w:rsidRPr="00F90D8B">
        <w:rPr>
          <w:lang w:val="fr-FR"/>
        </w:rPr>
        <w:t>Les prévisions de coûts sont les suivantes :</w:t>
      </w:r>
    </w:p>
    <w:p w:rsidR="001D6913" w:rsidRPr="00F77964" w:rsidRDefault="001D6913" w:rsidP="001D6913">
      <w:pPr>
        <w:pStyle w:val="Normalnumber"/>
        <w:keepNext/>
        <w:keepLines/>
        <w:tabs>
          <w:tab w:val="left" w:pos="624"/>
        </w:tabs>
        <w:ind w:left="1247"/>
        <w:rPr>
          <w:rFonts w:eastAsia="Calibri"/>
          <w:sz w:val="18"/>
          <w:szCs w:val="18"/>
          <w:lang w:val="fr-FR"/>
        </w:rPr>
      </w:pPr>
      <w:r w:rsidRPr="00F77964">
        <w:rPr>
          <w:rFonts w:eastAsia="Calibri"/>
          <w:sz w:val="18"/>
          <w:szCs w:val="18"/>
          <w:lang w:val="fr-FR"/>
        </w:rPr>
        <w:t>(</w:t>
      </w:r>
      <w:r w:rsidR="0088298D" w:rsidRPr="00F77964">
        <w:rPr>
          <w:rFonts w:eastAsia="Calibri"/>
          <w:sz w:val="18"/>
          <w:szCs w:val="18"/>
          <w:lang w:val="fr-FR"/>
        </w:rPr>
        <w:t>d</w:t>
      </w:r>
      <w:r w:rsidRPr="00F77964">
        <w:rPr>
          <w:rFonts w:eastAsia="Calibri"/>
          <w:sz w:val="18"/>
          <w:szCs w:val="18"/>
          <w:lang w:val="fr-FR"/>
        </w:rPr>
        <w:t>ollars des États-Unis)</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662"/>
        <w:gridCol w:w="3591"/>
        <w:gridCol w:w="1070"/>
      </w:tblGrid>
      <w:tr w:rsidR="001D6913" w:rsidRPr="0061490E" w:rsidTr="00B65244">
        <w:trPr>
          <w:tblHeader/>
        </w:trPr>
        <w:tc>
          <w:tcPr>
            <w:tcW w:w="672" w:type="dxa"/>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keepNext/>
              <w:keepLines/>
              <w:spacing w:before="40" w:after="40"/>
              <w:rPr>
                <w:rFonts w:eastAsia="SimSun"/>
                <w:i/>
                <w:sz w:val="18"/>
                <w:szCs w:val="18"/>
                <w:lang w:eastAsia="zh-CN"/>
              </w:rPr>
            </w:pPr>
            <w:r w:rsidRPr="00F77964">
              <w:rPr>
                <w:rFonts w:eastAsia="SimSun"/>
                <w:i/>
                <w:sz w:val="18"/>
                <w:szCs w:val="18"/>
                <w:lang w:eastAsia="zh-CN"/>
              </w:rPr>
              <w:t>Année</w:t>
            </w:r>
          </w:p>
        </w:tc>
        <w:tc>
          <w:tcPr>
            <w:tcW w:w="2867" w:type="dxa"/>
            <w:tcBorders>
              <w:top w:val="single" w:sz="4" w:space="0" w:color="auto"/>
              <w:left w:val="single" w:sz="4" w:space="0" w:color="auto"/>
              <w:bottom w:val="single" w:sz="4" w:space="0" w:color="auto"/>
              <w:right w:val="single" w:sz="4" w:space="0" w:color="auto"/>
            </w:tcBorders>
            <w:hideMark/>
          </w:tcPr>
          <w:p w:rsidR="001D6913" w:rsidRPr="00F77964" w:rsidRDefault="00D972E8" w:rsidP="00D55211">
            <w:pPr>
              <w:pStyle w:val="Normal-pool"/>
              <w:keepNext/>
              <w:keepLines/>
              <w:spacing w:before="40" w:after="40"/>
              <w:rPr>
                <w:rFonts w:eastAsia="SimSun"/>
                <w:i/>
                <w:sz w:val="18"/>
                <w:szCs w:val="18"/>
                <w:lang w:eastAsia="zh-CN"/>
              </w:rPr>
            </w:pPr>
            <w:r>
              <w:rPr>
                <w:rFonts w:eastAsia="SimSun"/>
                <w:i/>
                <w:sz w:val="18"/>
                <w:szCs w:val="18"/>
                <w:lang w:eastAsia="zh-CN"/>
              </w:rPr>
              <w:t>Postes de dépense</w:t>
            </w:r>
          </w:p>
        </w:tc>
        <w:tc>
          <w:tcPr>
            <w:tcW w:w="4110" w:type="dxa"/>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keepNext/>
              <w:keepLines/>
              <w:spacing w:before="40" w:after="40"/>
              <w:rPr>
                <w:rFonts w:eastAsia="SimSun"/>
                <w:i/>
                <w:sz w:val="18"/>
                <w:szCs w:val="18"/>
                <w:lang w:eastAsia="zh-CN"/>
              </w:rPr>
            </w:pPr>
            <w:r w:rsidRPr="00F77964">
              <w:rPr>
                <w:rFonts w:eastAsia="SimSun"/>
                <w:i/>
                <w:sz w:val="18"/>
                <w:szCs w:val="18"/>
                <w:lang w:eastAsia="zh-CN"/>
              </w:rPr>
              <w:t>Hypothèses</w:t>
            </w:r>
          </w:p>
        </w:tc>
        <w:tc>
          <w:tcPr>
            <w:tcW w:w="1134" w:type="dxa"/>
            <w:tcBorders>
              <w:top w:val="single" w:sz="4" w:space="0" w:color="auto"/>
              <w:left w:val="single" w:sz="4" w:space="0" w:color="auto"/>
              <w:bottom w:val="single" w:sz="4" w:space="0" w:color="auto"/>
              <w:right w:val="single" w:sz="4" w:space="0" w:color="auto"/>
            </w:tcBorders>
            <w:hideMark/>
          </w:tcPr>
          <w:p w:rsidR="001D6913" w:rsidRPr="00F77964" w:rsidRDefault="001D6913" w:rsidP="00D55211">
            <w:pPr>
              <w:pStyle w:val="Normal-pool"/>
              <w:keepNext/>
              <w:keepLines/>
              <w:spacing w:before="40" w:after="40"/>
              <w:rPr>
                <w:rFonts w:eastAsia="SimSun"/>
                <w:i/>
                <w:sz w:val="18"/>
                <w:szCs w:val="18"/>
                <w:lang w:eastAsia="zh-CN"/>
              </w:rPr>
            </w:pPr>
            <w:r w:rsidRPr="00F77964">
              <w:rPr>
                <w:rFonts w:eastAsia="SimSun"/>
                <w:i/>
                <w:sz w:val="18"/>
                <w:szCs w:val="18"/>
                <w:lang w:eastAsia="zh-CN"/>
              </w:rPr>
              <w:t>Coût</w:t>
            </w:r>
          </w:p>
        </w:tc>
      </w:tr>
      <w:tr w:rsidR="001D6913" w:rsidRPr="0061490E" w:rsidTr="00B65244">
        <w:trPr>
          <w:trHeight w:val="317"/>
        </w:trPr>
        <w:tc>
          <w:tcPr>
            <w:tcW w:w="672" w:type="dxa"/>
            <w:vMerge w:val="restart"/>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keepNext/>
              <w:keepLines/>
              <w:spacing w:before="40" w:after="40"/>
              <w:rPr>
                <w:rFonts w:eastAsia="SimSun"/>
                <w:sz w:val="18"/>
                <w:szCs w:val="18"/>
                <w:lang w:eastAsia="zh-CN"/>
              </w:rPr>
            </w:pPr>
            <w:r w:rsidRPr="00F77964">
              <w:rPr>
                <w:rFonts w:eastAsia="SimSun"/>
                <w:sz w:val="18"/>
                <w:szCs w:val="18"/>
                <w:lang w:eastAsia="zh-CN"/>
              </w:rPr>
              <w:t>2014</w:t>
            </w:r>
          </w:p>
        </w:tc>
        <w:tc>
          <w:tcPr>
            <w:tcW w:w="2867" w:type="dxa"/>
            <w:vMerge w:val="restart"/>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keepNext/>
              <w:keepLines/>
              <w:spacing w:before="40" w:after="40"/>
              <w:rPr>
                <w:rFonts w:eastAsia="SimSun"/>
                <w:sz w:val="18"/>
                <w:szCs w:val="18"/>
                <w:lang w:eastAsia="zh-CN"/>
              </w:rPr>
            </w:pPr>
            <w:r w:rsidRPr="00F77964">
              <w:rPr>
                <w:rFonts w:eastAsia="SimSun"/>
                <w:sz w:val="18"/>
                <w:szCs w:val="18"/>
                <w:lang w:eastAsia="zh-CN"/>
              </w:rPr>
              <w:t>Groupe d’experts multidisciplinaire (10 membres du Groupe d’experts multidisciplinaire et du Bureau</w:t>
            </w:r>
            <w:r w:rsidR="00C673C7">
              <w:rPr>
                <w:rFonts w:eastAsia="SimSun"/>
                <w:sz w:val="18"/>
                <w:szCs w:val="18"/>
                <w:lang w:eastAsia="zh-CN"/>
              </w:rPr>
              <w:t xml:space="preserve"> + </w:t>
            </w:r>
            <w:r w:rsidRPr="00F77964">
              <w:rPr>
                <w:rFonts w:eastAsia="SimSun"/>
                <w:sz w:val="18"/>
                <w:szCs w:val="18"/>
                <w:lang w:eastAsia="zh-CN"/>
              </w:rPr>
              <w:t>40 experts/partenaires stratégiques)</w:t>
            </w:r>
          </w:p>
        </w:tc>
        <w:tc>
          <w:tcPr>
            <w:tcW w:w="4110" w:type="dxa"/>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keepNext/>
              <w:keepLines/>
              <w:spacing w:before="40" w:after="40"/>
              <w:rPr>
                <w:rFonts w:eastAsia="SimSun"/>
                <w:sz w:val="18"/>
                <w:szCs w:val="18"/>
                <w:lang w:eastAsia="zh-CN"/>
              </w:rPr>
            </w:pPr>
            <w:r w:rsidRPr="00F77964">
              <w:rPr>
                <w:rFonts w:eastAsia="SimSun"/>
                <w:sz w:val="18"/>
                <w:szCs w:val="18"/>
                <w:lang w:eastAsia="zh-CN"/>
              </w:rPr>
              <w:t>Coûts des réunions (1 semaine, 50 participants) (25 % en nature)</w:t>
            </w:r>
          </w:p>
        </w:tc>
        <w:tc>
          <w:tcPr>
            <w:tcW w:w="1134" w:type="dxa"/>
            <w:tcBorders>
              <w:top w:val="single" w:sz="4" w:space="0" w:color="auto"/>
              <w:left w:val="single" w:sz="4" w:space="0" w:color="auto"/>
              <w:bottom w:val="single" w:sz="4" w:space="0" w:color="auto"/>
              <w:right w:val="single" w:sz="4" w:space="0" w:color="auto"/>
            </w:tcBorders>
            <w:hideMark/>
          </w:tcPr>
          <w:p w:rsidR="001D6913" w:rsidRPr="00F77964" w:rsidRDefault="001D6913" w:rsidP="00B374EC">
            <w:pPr>
              <w:pStyle w:val="Normal-pool"/>
              <w:keepNext/>
              <w:keepLines/>
              <w:spacing w:before="40" w:after="40"/>
              <w:jc w:val="right"/>
              <w:rPr>
                <w:rFonts w:eastAsia="SimSun"/>
                <w:sz w:val="18"/>
                <w:szCs w:val="18"/>
                <w:lang w:eastAsia="zh-CN"/>
              </w:rPr>
            </w:pPr>
            <w:r w:rsidRPr="00F77964">
              <w:rPr>
                <w:rFonts w:eastAsia="SimSun"/>
                <w:sz w:val="18"/>
                <w:szCs w:val="18"/>
                <w:lang w:eastAsia="zh-CN"/>
              </w:rPr>
              <w:t>11</w:t>
            </w:r>
            <w:r w:rsidR="00B374EC" w:rsidRPr="00F77964">
              <w:rPr>
                <w:rFonts w:eastAsia="SimSun"/>
                <w:sz w:val="18"/>
                <w:szCs w:val="18"/>
                <w:lang w:eastAsia="zh-CN"/>
              </w:rPr>
              <w:t> </w:t>
            </w:r>
            <w:r w:rsidRPr="00F77964">
              <w:rPr>
                <w:rFonts w:eastAsia="SimSun"/>
                <w:sz w:val="18"/>
                <w:szCs w:val="18"/>
                <w:lang w:eastAsia="zh-CN"/>
              </w:rPr>
              <w:t>250</w:t>
            </w:r>
          </w:p>
        </w:tc>
      </w:tr>
      <w:tr w:rsidR="001D6913" w:rsidRPr="0061490E" w:rsidTr="00B65244">
        <w:trPr>
          <w:trHeight w:val="317"/>
        </w:trPr>
        <w:tc>
          <w:tcPr>
            <w:tcW w:w="0" w:type="auto"/>
            <w:vMerge/>
            <w:tcBorders>
              <w:top w:val="single" w:sz="4" w:space="0" w:color="auto"/>
              <w:left w:val="single" w:sz="4" w:space="0" w:color="auto"/>
              <w:bottom w:val="single" w:sz="4" w:space="0" w:color="auto"/>
              <w:right w:val="single" w:sz="4" w:space="0" w:color="auto"/>
            </w:tcBorders>
            <w:hideMark/>
          </w:tcPr>
          <w:p w:rsidR="001D6913" w:rsidRPr="0061490E" w:rsidRDefault="001D6913" w:rsidP="001D6913">
            <w:pPr>
              <w:rPr>
                <w:rFonts w:eastAsia="SimSun"/>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1D6913" w:rsidRPr="0061490E" w:rsidRDefault="001D6913" w:rsidP="001D6913">
            <w:pPr>
              <w:rPr>
                <w:rFonts w:eastAsia="SimSun"/>
                <w:sz w:val="18"/>
                <w:szCs w:val="18"/>
                <w:lang w:eastAsia="zh-CN"/>
              </w:rPr>
            </w:pPr>
          </w:p>
        </w:tc>
        <w:tc>
          <w:tcPr>
            <w:tcW w:w="4110" w:type="dxa"/>
            <w:tcBorders>
              <w:top w:val="single" w:sz="4" w:space="0" w:color="auto"/>
              <w:left w:val="single" w:sz="4" w:space="0" w:color="auto"/>
              <w:bottom w:val="single" w:sz="4" w:space="0" w:color="auto"/>
              <w:right w:val="single" w:sz="4" w:space="0" w:color="auto"/>
            </w:tcBorders>
            <w:hideMark/>
          </w:tcPr>
          <w:p w:rsidR="001D6913" w:rsidRPr="00F77964" w:rsidRDefault="00D972E8" w:rsidP="00D55211">
            <w:pPr>
              <w:pStyle w:val="Normal-pool"/>
              <w:spacing w:before="40" w:after="40"/>
              <w:rPr>
                <w:rFonts w:eastAsia="SimSun"/>
                <w:sz w:val="18"/>
                <w:szCs w:val="18"/>
                <w:lang w:eastAsia="zh-CN"/>
              </w:rPr>
            </w:pPr>
            <w:r>
              <w:rPr>
                <w:rFonts w:eastAsia="SimSun"/>
                <w:sz w:val="18"/>
                <w:szCs w:val="18"/>
                <w:lang w:eastAsia="zh-CN"/>
              </w:rPr>
              <w:t>Frais de voyage et indemnités journalières de subsistance</w:t>
            </w:r>
            <w:r w:rsidR="001D6913" w:rsidRPr="00F77964">
              <w:rPr>
                <w:rFonts w:eastAsia="SimSun"/>
                <w:sz w:val="18"/>
                <w:szCs w:val="18"/>
                <w:lang w:eastAsia="zh-CN"/>
              </w:rPr>
              <w:t xml:space="preserve"> (25 x 3 000 </w:t>
            </w:r>
            <w:r w:rsidR="00D55211" w:rsidRPr="00F77964">
              <w:rPr>
                <w:rFonts w:eastAsia="SimSun"/>
                <w:sz w:val="18"/>
                <w:szCs w:val="18"/>
                <w:lang w:eastAsia="zh-CN"/>
              </w:rPr>
              <w:t>dollars</w:t>
            </w:r>
            <w:r w:rsidR="001D6913" w:rsidRPr="00F77964">
              <w:rPr>
                <w:rFonts w:eastAsia="SimSun"/>
                <w:sz w:val="18"/>
                <w:szCs w:val="18"/>
                <w:lang w:eastAsia="zh-CN"/>
              </w:rPr>
              <w:t>)</w:t>
            </w:r>
          </w:p>
        </w:tc>
        <w:tc>
          <w:tcPr>
            <w:tcW w:w="1134" w:type="dxa"/>
            <w:tcBorders>
              <w:top w:val="single" w:sz="4" w:space="0" w:color="auto"/>
              <w:left w:val="single" w:sz="4" w:space="0" w:color="auto"/>
              <w:bottom w:val="single" w:sz="4" w:space="0" w:color="auto"/>
              <w:right w:val="single" w:sz="4" w:space="0" w:color="auto"/>
            </w:tcBorders>
            <w:hideMark/>
          </w:tcPr>
          <w:p w:rsidR="001D6913" w:rsidRPr="00F77964" w:rsidRDefault="001D6913" w:rsidP="00B374EC">
            <w:pPr>
              <w:pStyle w:val="Normal-pool"/>
              <w:spacing w:before="40" w:after="40"/>
              <w:jc w:val="right"/>
              <w:rPr>
                <w:rFonts w:eastAsia="SimSun"/>
                <w:sz w:val="18"/>
                <w:szCs w:val="18"/>
                <w:lang w:eastAsia="zh-CN"/>
              </w:rPr>
            </w:pPr>
            <w:r w:rsidRPr="00F77964">
              <w:rPr>
                <w:rFonts w:eastAsia="SimSun"/>
                <w:sz w:val="18"/>
                <w:szCs w:val="18"/>
                <w:lang w:eastAsia="zh-CN"/>
              </w:rPr>
              <w:t>75</w:t>
            </w:r>
            <w:r w:rsidR="00B374EC" w:rsidRPr="00F77964">
              <w:rPr>
                <w:rFonts w:eastAsia="SimSun"/>
                <w:sz w:val="18"/>
                <w:szCs w:val="18"/>
                <w:lang w:eastAsia="zh-CN"/>
              </w:rPr>
              <w:t> </w:t>
            </w:r>
            <w:r w:rsidRPr="00F77964">
              <w:rPr>
                <w:rFonts w:eastAsia="SimSun"/>
                <w:sz w:val="18"/>
                <w:szCs w:val="18"/>
                <w:lang w:eastAsia="zh-CN"/>
              </w:rPr>
              <w:t>000</w:t>
            </w:r>
          </w:p>
        </w:tc>
      </w:tr>
      <w:tr w:rsidR="001D6913" w:rsidRPr="0061490E" w:rsidTr="00B65244">
        <w:trPr>
          <w:trHeight w:val="317"/>
        </w:trPr>
        <w:tc>
          <w:tcPr>
            <w:tcW w:w="0" w:type="auto"/>
            <w:vMerge/>
            <w:tcBorders>
              <w:top w:val="single" w:sz="4" w:space="0" w:color="auto"/>
              <w:left w:val="single" w:sz="4" w:space="0" w:color="auto"/>
              <w:bottom w:val="single" w:sz="4" w:space="0" w:color="auto"/>
              <w:right w:val="single" w:sz="4" w:space="0" w:color="auto"/>
            </w:tcBorders>
            <w:hideMark/>
          </w:tcPr>
          <w:p w:rsidR="001D6913" w:rsidRPr="0061490E" w:rsidRDefault="001D6913" w:rsidP="001D6913">
            <w:pPr>
              <w:rPr>
                <w:rFonts w:eastAsia="SimSun"/>
                <w:sz w:val="18"/>
                <w:szCs w:val="18"/>
                <w:lang w:eastAsia="zh-CN"/>
              </w:rPr>
            </w:pPr>
          </w:p>
        </w:tc>
        <w:tc>
          <w:tcPr>
            <w:tcW w:w="2867" w:type="dxa"/>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Appui technique</w:t>
            </w:r>
          </w:p>
        </w:tc>
        <w:tc>
          <w:tcPr>
            <w:tcW w:w="4110" w:type="dxa"/>
            <w:tcBorders>
              <w:top w:val="single" w:sz="4" w:space="0" w:color="auto"/>
              <w:left w:val="single" w:sz="4" w:space="0" w:color="auto"/>
              <w:bottom w:val="single" w:sz="4" w:space="0" w:color="auto"/>
              <w:right w:val="single" w:sz="4" w:space="0" w:color="auto"/>
            </w:tcBorders>
            <w:hideMark/>
          </w:tcPr>
          <w:p w:rsidR="001D6913" w:rsidRPr="00F77964" w:rsidRDefault="001D6913" w:rsidP="00D55211">
            <w:pPr>
              <w:pStyle w:val="Normal-pool"/>
              <w:spacing w:before="40" w:after="40"/>
              <w:rPr>
                <w:rFonts w:eastAsia="SimSun"/>
                <w:sz w:val="18"/>
                <w:szCs w:val="18"/>
                <w:lang w:eastAsia="zh-CN"/>
              </w:rPr>
            </w:pPr>
            <w:r w:rsidRPr="00F77964">
              <w:rPr>
                <w:rFonts w:eastAsia="SimSun"/>
                <w:sz w:val="18"/>
                <w:szCs w:val="18"/>
                <w:lang w:eastAsia="zh-CN"/>
              </w:rPr>
              <w:t>0</w:t>
            </w:r>
            <w:r w:rsidR="00D55211" w:rsidRPr="00F77964">
              <w:rPr>
                <w:rFonts w:eastAsia="SimSun"/>
                <w:sz w:val="18"/>
                <w:szCs w:val="18"/>
                <w:lang w:eastAsia="zh-CN"/>
              </w:rPr>
              <w:t>,</w:t>
            </w:r>
            <w:r w:rsidRPr="00F77964">
              <w:rPr>
                <w:rFonts w:eastAsia="SimSun"/>
                <w:sz w:val="18"/>
                <w:szCs w:val="18"/>
                <w:lang w:eastAsia="zh-CN"/>
              </w:rPr>
              <w:t>2 poste d’administrateur équivalent plein temps</w:t>
            </w:r>
          </w:p>
        </w:tc>
        <w:tc>
          <w:tcPr>
            <w:tcW w:w="1134" w:type="dxa"/>
            <w:tcBorders>
              <w:top w:val="single" w:sz="4" w:space="0" w:color="auto"/>
              <w:left w:val="single" w:sz="4" w:space="0" w:color="auto"/>
              <w:bottom w:val="single" w:sz="4" w:space="0" w:color="auto"/>
              <w:right w:val="single" w:sz="4" w:space="0" w:color="auto"/>
            </w:tcBorders>
            <w:hideMark/>
          </w:tcPr>
          <w:p w:rsidR="001D6913" w:rsidRPr="00F77964" w:rsidRDefault="001D6913" w:rsidP="00B374EC">
            <w:pPr>
              <w:pStyle w:val="Normal-pool"/>
              <w:spacing w:before="40" w:after="40"/>
              <w:jc w:val="right"/>
              <w:rPr>
                <w:rFonts w:eastAsia="SimSun"/>
                <w:sz w:val="18"/>
                <w:szCs w:val="18"/>
                <w:lang w:eastAsia="zh-CN"/>
              </w:rPr>
            </w:pPr>
            <w:r w:rsidRPr="00F77964">
              <w:rPr>
                <w:rFonts w:eastAsia="SimSun"/>
                <w:sz w:val="18"/>
                <w:szCs w:val="18"/>
                <w:lang w:eastAsia="zh-CN"/>
              </w:rPr>
              <w:t>30</w:t>
            </w:r>
            <w:r w:rsidR="00B374EC" w:rsidRPr="00F77964">
              <w:rPr>
                <w:rFonts w:eastAsia="SimSun"/>
                <w:sz w:val="18"/>
                <w:szCs w:val="18"/>
                <w:lang w:eastAsia="zh-CN"/>
              </w:rPr>
              <w:t> </w:t>
            </w:r>
            <w:r w:rsidRPr="00F77964">
              <w:rPr>
                <w:rFonts w:eastAsia="SimSun"/>
                <w:sz w:val="18"/>
                <w:szCs w:val="18"/>
                <w:lang w:eastAsia="zh-CN"/>
              </w:rPr>
              <w:t>000</w:t>
            </w:r>
          </w:p>
        </w:tc>
      </w:tr>
      <w:tr w:rsidR="001D6913" w:rsidRPr="0061490E" w:rsidTr="00B65244">
        <w:trPr>
          <w:trHeight w:val="317"/>
        </w:trPr>
        <w:tc>
          <w:tcPr>
            <w:tcW w:w="672" w:type="dxa"/>
            <w:vMerge w:val="restart"/>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2015</w:t>
            </w:r>
          </w:p>
        </w:tc>
        <w:tc>
          <w:tcPr>
            <w:tcW w:w="2867" w:type="dxa"/>
            <w:tcBorders>
              <w:top w:val="single" w:sz="4" w:space="0" w:color="auto"/>
              <w:left w:val="single" w:sz="4" w:space="0" w:color="auto"/>
              <w:bottom w:val="single" w:sz="4" w:space="0" w:color="auto"/>
              <w:right w:val="single" w:sz="4" w:space="0" w:color="auto"/>
            </w:tcBorders>
            <w:hideMark/>
          </w:tcPr>
          <w:p w:rsidR="001D6913" w:rsidRPr="00F77964" w:rsidRDefault="001D6913" w:rsidP="00D55211">
            <w:pPr>
              <w:pStyle w:val="Normal-pool"/>
              <w:spacing w:before="40" w:after="40"/>
              <w:rPr>
                <w:rFonts w:eastAsia="SimSun"/>
                <w:sz w:val="18"/>
                <w:szCs w:val="18"/>
                <w:lang w:eastAsia="zh-CN"/>
              </w:rPr>
            </w:pPr>
            <w:r w:rsidRPr="00F77964">
              <w:rPr>
                <w:rFonts w:eastAsia="SimSun"/>
                <w:sz w:val="18"/>
                <w:szCs w:val="18"/>
                <w:lang w:eastAsia="zh-CN"/>
              </w:rPr>
              <w:t xml:space="preserve">Traduction, publication, </w:t>
            </w:r>
            <w:r w:rsidR="00F23269">
              <w:rPr>
                <w:rFonts w:eastAsia="SimSun"/>
                <w:sz w:val="18"/>
                <w:szCs w:val="18"/>
                <w:lang w:eastAsia="zh-CN"/>
              </w:rPr>
              <w:t>animation</w:t>
            </w:r>
          </w:p>
        </w:tc>
        <w:tc>
          <w:tcPr>
            <w:tcW w:w="4110" w:type="dxa"/>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Guide de 10 pages</w:t>
            </w:r>
          </w:p>
        </w:tc>
        <w:tc>
          <w:tcPr>
            <w:tcW w:w="1134" w:type="dxa"/>
            <w:tcBorders>
              <w:top w:val="single" w:sz="4" w:space="0" w:color="auto"/>
              <w:left w:val="single" w:sz="4" w:space="0" w:color="auto"/>
              <w:bottom w:val="single" w:sz="4" w:space="0" w:color="auto"/>
              <w:right w:val="single" w:sz="4" w:space="0" w:color="auto"/>
            </w:tcBorders>
            <w:hideMark/>
          </w:tcPr>
          <w:p w:rsidR="001D6913" w:rsidRPr="00F77964" w:rsidRDefault="001D6913" w:rsidP="00B374EC">
            <w:pPr>
              <w:pStyle w:val="Normal-pool"/>
              <w:spacing w:before="40" w:after="40"/>
              <w:jc w:val="right"/>
              <w:rPr>
                <w:rFonts w:eastAsia="SimSun"/>
                <w:sz w:val="18"/>
                <w:szCs w:val="18"/>
                <w:lang w:eastAsia="zh-CN"/>
              </w:rPr>
            </w:pPr>
            <w:r w:rsidRPr="00F77964">
              <w:rPr>
                <w:rFonts w:eastAsia="SimSun"/>
                <w:sz w:val="18"/>
                <w:szCs w:val="18"/>
                <w:lang w:eastAsia="zh-CN"/>
              </w:rPr>
              <w:t>50</w:t>
            </w:r>
            <w:r w:rsidR="00B374EC" w:rsidRPr="00F77964">
              <w:rPr>
                <w:rFonts w:eastAsia="SimSun"/>
                <w:sz w:val="18"/>
                <w:szCs w:val="18"/>
                <w:lang w:eastAsia="zh-CN"/>
              </w:rPr>
              <w:t> </w:t>
            </w:r>
            <w:r w:rsidRPr="00F77964">
              <w:rPr>
                <w:rFonts w:eastAsia="SimSun"/>
                <w:sz w:val="18"/>
                <w:szCs w:val="18"/>
                <w:lang w:eastAsia="zh-CN"/>
              </w:rPr>
              <w:t>000</w:t>
            </w:r>
          </w:p>
        </w:tc>
      </w:tr>
      <w:tr w:rsidR="001D6913" w:rsidRPr="0061490E" w:rsidTr="00B65244">
        <w:trPr>
          <w:trHeight w:val="317"/>
        </w:trPr>
        <w:tc>
          <w:tcPr>
            <w:tcW w:w="0" w:type="auto"/>
            <w:vMerge/>
            <w:tcBorders>
              <w:top w:val="single" w:sz="4" w:space="0" w:color="auto"/>
              <w:left w:val="single" w:sz="4" w:space="0" w:color="auto"/>
              <w:bottom w:val="single" w:sz="4" w:space="0" w:color="auto"/>
              <w:right w:val="single" w:sz="4" w:space="0" w:color="auto"/>
            </w:tcBorders>
            <w:hideMark/>
          </w:tcPr>
          <w:p w:rsidR="001D6913" w:rsidRPr="0061490E" w:rsidRDefault="001D6913" w:rsidP="001D6913">
            <w:pPr>
              <w:rPr>
                <w:rFonts w:eastAsia="SimSun"/>
                <w:sz w:val="18"/>
                <w:szCs w:val="18"/>
                <w:lang w:eastAsia="zh-CN"/>
              </w:rPr>
            </w:pPr>
          </w:p>
        </w:tc>
        <w:tc>
          <w:tcPr>
            <w:tcW w:w="2867" w:type="dxa"/>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Appui technique</w:t>
            </w:r>
          </w:p>
        </w:tc>
        <w:tc>
          <w:tcPr>
            <w:tcW w:w="4110" w:type="dxa"/>
            <w:tcBorders>
              <w:top w:val="single" w:sz="4" w:space="0" w:color="auto"/>
              <w:left w:val="single" w:sz="4" w:space="0" w:color="auto"/>
              <w:bottom w:val="single" w:sz="4" w:space="0" w:color="auto"/>
              <w:right w:val="single" w:sz="4" w:space="0" w:color="auto"/>
            </w:tcBorders>
            <w:hideMark/>
          </w:tcPr>
          <w:p w:rsidR="001D6913" w:rsidRPr="00F77964" w:rsidRDefault="001D6913" w:rsidP="00D55211">
            <w:pPr>
              <w:pStyle w:val="Normal-pool"/>
              <w:spacing w:before="40" w:after="40"/>
              <w:rPr>
                <w:rFonts w:eastAsia="SimSun"/>
                <w:sz w:val="18"/>
                <w:szCs w:val="18"/>
                <w:lang w:eastAsia="zh-CN"/>
              </w:rPr>
            </w:pPr>
            <w:r w:rsidRPr="00F77964">
              <w:rPr>
                <w:rFonts w:eastAsia="SimSun"/>
                <w:sz w:val="18"/>
                <w:szCs w:val="18"/>
                <w:lang w:eastAsia="zh-CN"/>
              </w:rPr>
              <w:t>0</w:t>
            </w:r>
            <w:r w:rsidR="00B374EC" w:rsidRPr="00F77964">
              <w:rPr>
                <w:rFonts w:eastAsia="SimSun"/>
                <w:sz w:val="18"/>
                <w:szCs w:val="18"/>
                <w:lang w:eastAsia="zh-CN"/>
              </w:rPr>
              <w:t>,</w:t>
            </w:r>
            <w:r w:rsidRPr="00F77964">
              <w:rPr>
                <w:rFonts w:eastAsia="SimSun"/>
                <w:sz w:val="18"/>
                <w:szCs w:val="18"/>
                <w:lang w:eastAsia="zh-CN"/>
              </w:rPr>
              <w:t>2 poste d’administrateur équivalent plein temps</w:t>
            </w:r>
          </w:p>
        </w:tc>
        <w:tc>
          <w:tcPr>
            <w:tcW w:w="1134" w:type="dxa"/>
            <w:tcBorders>
              <w:top w:val="single" w:sz="4" w:space="0" w:color="auto"/>
              <w:left w:val="single" w:sz="4" w:space="0" w:color="auto"/>
              <w:bottom w:val="single" w:sz="4" w:space="0" w:color="auto"/>
              <w:right w:val="single" w:sz="4" w:space="0" w:color="auto"/>
            </w:tcBorders>
            <w:hideMark/>
          </w:tcPr>
          <w:p w:rsidR="001D6913" w:rsidRPr="00F77964" w:rsidRDefault="001D6913" w:rsidP="00B374EC">
            <w:pPr>
              <w:pStyle w:val="Normal-pool"/>
              <w:spacing w:before="40" w:after="40"/>
              <w:jc w:val="right"/>
              <w:rPr>
                <w:rFonts w:eastAsia="SimSun"/>
                <w:sz w:val="18"/>
                <w:szCs w:val="18"/>
                <w:lang w:eastAsia="zh-CN"/>
              </w:rPr>
            </w:pPr>
            <w:r w:rsidRPr="00F77964">
              <w:rPr>
                <w:rFonts w:eastAsia="SimSun"/>
                <w:sz w:val="18"/>
                <w:szCs w:val="18"/>
                <w:lang w:eastAsia="zh-CN"/>
              </w:rPr>
              <w:t>30</w:t>
            </w:r>
            <w:r w:rsidR="00B374EC" w:rsidRPr="00F77964">
              <w:rPr>
                <w:rFonts w:eastAsia="SimSun"/>
                <w:sz w:val="18"/>
                <w:szCs w:val="18"/>
                <w:lang w:eastAsia="zh-CN"/>
              </w:rPr>
              <w:t> </w:t>
            </w:r>
            <w:r w:rsidRPr="00F77964">
              <w:rPr>
                <w:rFonts w:eastAsia="SimSun"/>
                <w:sz w:val="18"/>
                <w:szCs w:val="18"/>
                <w:lang w:eastAsia="zh-CN"/>
              </w:rPr>
              <w:t>000</w:t>
            </w:r>
          </w:p>
        </w:tc>
      </w:tr>
      <w:tr w:rsidR="001D6913" w:rsidRPr="0061490E" w:rsidTr="00B65244">
        <w:trPr>
          <w:trHeight w:val="317"/>
        </w:trPr>
        <w:tc>
          <w:tcPr>
            <w:tcW w:w="672" w:type="dxa"/>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2016</w:t>
            </w:r>
          </w:p>
        </w:tc>
        <w:tc>
          <w:tcPr>
            <w:tcW w:w="2867" w:type="dxa"/>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Appui technique</w:t>
            </w:r>
          </w:p>
        </w:tc>
        <w:tc>
          <w:tcPr>
            <w:tcW w:w="4110" w:type="dxa"/>
            <w:tcBorders>
              <w:top w:val="single" w:sz="4" w:space="0" w:color="auto"/>
              <w:left w:val="single" w:sz="4" w:space="0" w:color="auto"/>
              <w:bottom w:val="single" w:sz="4" w:space="0" w:color="auto"/>
              <w:right w:val="single" w:sz="4" w:space="0" w:color="auto"/>
            </w:tcBorders>
            <w:hideMark/>
          </w:tcPr>
          <w:p w:rsidR="001D6913" w:rsidRPr="00F77964" w:rsidRDefault="001D6913" w:rsidP="00D55211">
            <w:pPr>
              <w:pStyle w:val="Normal-pool"/>
              <w:spacing w:before="40" w:after="40"/>
              <w:rPr>
                <w:rFonts w:eastAsia="SimSun"/>
                <w:sz w:val="18"/>
                <w:szCs w:val="18"/>
                <w:lang w:eastAsia="zh-CN"/>
              </w:rPr>
            </w:pPr>
            <w:r w:rsidRPr="00F77964">
              <w:rPr>
                <w:rFonts w:eastAsia="SimSun"/>
                <w:sz w:val="18"/>
                <w:szCs w:val="18"/>
                <w:lang w:eastAsia="zh-CN"/>
              </w:rPr>
              <w:t>0</w:t>
            </w:r>
            <w:r w:rsidR="00B374EC" w:rsidRPr="00F77964">
              <w:rPr>
                <w:rFonts w:eastAsia="SimSun"/>
                <w:sz w:val="18"/>
                <w:szCs w:val="18"/>
                <w:lang w:eastAsia="zh-CN"/>
              </w:rPr>
              <w:t>,</w:t>
            </w:r>
            <w:r w:rsidRPr="00F77964">
              <w:rPr>
                <w:rFonts w:eastAsia="SimSun"/>
                <w:sz w:val="18"/>
                <w:szCs w:val="18"/>
                <w:lang w:eastAsia="zh-CN"/>
              </w:rPr>
              <w:t>2 poste d’administrateur équivalent plein temps</w:t>
            </w:r>
          </w:p>
        </w:tc>
        <w:tc>
          <w:tcPr>
            <w:tcW w:w="1134" w:type="dxa"/>
            <w:tcBorders>
              <w:top w:val="single" w:sz="4" w:space="0" w:color="auto"/>
              <w:left w:val="single" w:sz="4" w:space="0" w:color="auto"/>
              <w:bottom w:val="single" w:sz="4" w:space="0" w:color="auto"/>
              <w:right w:val="single" w:sz="4" w:space="0" w:color="auto"/>
            </w:tcBorders>
            <w:hideMark/>
          </w:tcPr>
          <w:p w:rsidR="001D6913" w:rsidRPr="00F77964" w:rsidRDefault="001D6913" w:rsidP="00B374EC">
            <w:pPr>
              <w:pStyle w:val="Normal-pool"/>
              <w:spacing w:before="40" w:after="40"/>
              <w:jc w:val="right"/>
              <w:rPr>
                <w:rFonts w:eastAsia="SimSun"/>
                <w:sz w:val="18"/>
                <w:szCs w:val="18"/>
                <w:lang w:eastAsia="zh-CN"/>
              </w:rPr>
            </w:pPr>
            <w:r w:rsidRPr="00F77964">
              <w:rPr>
                <w:rFonts w:eastAsia="SimSun"/>
                <w:sz w:val="18"/>
                <w:szCs w:val="18"/>
                <w:lang w:eastAsia="zh-CN"/>
              </w:rPr>
              <w:t>30</w:t>
            </w:r>
            <w:r w:rsidR="00B374EC" w:rsidRPr="00F77964">
              <w:rPr>
                <w:rFonts w:eastAsia="SimSun"/>
                <w:sz w:val="18"/>
                <w:szCs w:val="18"/>
                <w:lang w:eastAsia="zh-CN"/>
              </w:rPr>
              <w:t> </w:t>
            </w:r>
            <w:r w:rsidRPr="00F77964">
              <w:rPr>
                <w:rFonts w:eastAsia="SimSun"/>
                <w:sz w:val="18"/>
                <w:szCs w:val="18"/>
                <w:lang w:eastAsia="zh-CN"/>
              </w:rPr>
              <w:t>000</w:t>
            </w:r>
          </w:p>
        </w:tc>
      </w:tr>
      <w:tr w:rsidR="001D6913" w:rsidRPr="0061490E" w:rsidTr="00B65244">
        <w:trPr>
          <w:trHeight w:val="317"/>
        </w:trPr>
        <w:tc>
          <w:tcPr>
            <w:tcW w:w="672" w:type="dxa"/>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2017</w:t>
            </w:r>
          </w:p>
        </w:tc>
        <w:tc>
          <w:tcPr>
            <w:tcW w:w="2867" w:type="dxa"/>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Appui technique</w:t>
            </w:r>
          </w:p>
        </w:tc>
        <w:tc>
          <w:tcPr>
            <w:tcW w:w="4110" w:type="dxa"/>
            <w:tcBorders>
              <w:top w:val="single" w:sz="4" w:space="0" w:color="auto"/>
              <w:left w:val="single" w:sz="4" w:space="0" w:color="auto"/>
              <w:bottom w:val="single" w:sz="4" w:space="0" w:color="auto"/>
              <w:right w:val="single" w:sz="4" w:space="0" w:color="auto"/>
            </w:tcBorders>
            <w:hideMark/>
          </w:tcPr>
          <w:p w:rsidR="001D6913" w:rsidRPr="00F77964" w:rsidRDefault="001D6913" w:rsidP="00D55211">
            <w:pPr>
              <w:pStyle w:val="Normal-pool"/>
              <w:spacing w:before="40" w:after="40"/>
              <w:rPr>
                <w:rFonts w:eastAsia="SimSun"/>
                <w:sz w:val="18"/>
                <w:szCs w:val="18"/>
                <w:lang w:eastAsia="zh-CN"/>
              </w:rPr>
            </w:pPr>
            <w:r w:rsidRPr="00F77964">
              <w:rPr>
                <w:rFonts w:eastAsia="SimSun"/>
                <w:sz w:val="18"/>
                <w:szCs w:val="18"/>
                <w:lang w:eastAsia="zh-CN"/>
              </w:rPr>
              <w:t>0</w:t>
            </w:r>
            <w:r w:rsidR="00B374EC" w:rsidRPr="00F77964">
              <w:rPr>
                <w:rFonts w:eastAsia="SimSun"/>
                <w:sz w:val="18"/>
                <w:szCs w:val="18"/>
                <w:lang w:eastAsia="zh-CN"/>
              </w:rPr>
              <w:t>,</w:t>
            </w:r>
            <w:r w:rsidRPr="00F77964">
              <w:rPr>
                <w:rFonts w:eastAsia="SimSun"/>
                <w:sz w:val="18"/>
                <w:szCs w:val="18"/>
                <w:lang w:eastAsia="zh-CN"/>
              </w:rPr>
              <w:t>2 poste d’administrateur équivalent plein temps</w:t>
            </w:r>
          </w:p>
        </w:tc>
        <w:tc>
          <w:tcPr>
            <w:tcW w:w="1134" w:type="dxa"/>
            <w:tcBorders>
              <w:top w:val="single" w:sz="4" w:space="0" w:color="auto"/>
              <w:left w:val="single" w:sz="4" w:space="0" w:color="auto"/>
              <w:bottom w:val="single" w:sz="4" w:space="0" w:color="auto"/>
              <w:right w:val="single" w:sz="4" w:space="0" w:color="auto"/>
            </w:tcBorders>
            <w:hideMark/>
          </w:tcPr>
          <w:p w:rsidR="001D6913" w:rsidRPr="00F77964" w:rsidRDefault="001D6913" w:rsidP="00B374EC">
            <w:pPr>
              <w:pStyle w:val="Normal-pool"/>
              <w:spacing w:before="40" w:after="40"/>
              <w:jc w:val="right"/>
              <w:rPr>
                <w:rFonts w:eastAsia="SimSun"/>
                <w:sz w:val="18"/>
                <w:szCs w:val="18"/>
                <w:lang w:eastAsia="zh-CN"/>
              </w:rPr>
            </w:pPr>
            <w:r w:rsidRPr="00F77964">
              <w:rPr>
                <w:rFonts w:eastAsia="SimSun"/>
                <w:sz w:val="18"/>
                <w:szCs w:val="18"/>
                <w:lang w:eastAsia="zh-CN"/>
              </w:rPr>
              <w:t>30</w:t>
            </w:r>
            <w:r w:rsidR="00B374EC" w:rsidRPr="00F77964">
              <w:rPr>
                <w:rFonts w:eastAsia="SimSun"/>
                <w:sz w:val="18"/>
                <w:szCs w:val="18"/>
                <w:lang w:eastAsia="zh-CN"/>
              </w:rPr>
              <w:t> </w:t>
            </w:r>
            <w:r w:rsidRPr="00F77964">
              <w:rPr>
                <w:rFonts w:eastAsia="SimSun"/>
                <w:sz w:val="18"/>
                <w:szCs w:val="18"/>
                <w:lang w:eastAsia="zh-CN"/>
              </w:rPr>
              <w:t>000</w:t>
            </w:r>
          </w:p>
        </w:tc>
      </w:tr>
      <w:tr w:rsidR="001D6913" w:rsidRPr="0061490E" w:rsidTr="00B65244">
        <w:trPr>
          <w:trHeight w:val="317"/>
        </w:trPr>
        <w:tc>
          <w:tcPr>
            <w:tcW w:w="672" w:type="dxa"/>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2018</w:t>
            </w:r>
          </w:p>
        </w:tc>
        <w:tc>
          <w:tcPr>
            <w:tcW w:w="2867" w:type="dxa"/>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Appui technique</w:t>
            </w:r>
          </w:p>
        </w:tc>
        <w:tc>
          <w:tcPr>
            <w:tcW w:w="4110" w:type="dxa"/>
            <w:tcBorders>
              <w:top w:val="single" w:sz="4" w:space="0" w:color="auto"/>
              <w:left w:val="single" w:sz="4" w:space="0" w:color="auto"/>
              <w:bottom w:val="single" w:sz="4" w:space="0" w:color="auto"/>
              <w:right w:val="single" w:sz="4" w:space="0" w:color="auto"/>
            </w:tcBorders>
            <w:hideMark/>
          </w:tcPr>
          <w:p w:rsidR="001D6913" w:rsidRPr="00F77964" w:rsidRDefault="001D6913" w:rsidP="00D55211">
            <w:pPr>
              <w:pStyle w:val="Normal-pool"/>
              <w:spacing w:before="40" w:after="40"/>
              <w:rPr>
                <w:rFonts w:eastAsia="SimSun"/>
                <w:sz w:val="18"/>
                <w:szCs w:val="18"/>
                <w:lang w:eastAsia="zh-CN"/>
              </w:rPr>
            </w:pPr>
            <w:r w:rsidRPr="00F77964">
              <w:rPr>
                <w:rFonts w:eastAsia="SimSun"/>
                <w:sz w:val="18"/>
                <w:szCs w:val="18"/>
                <w:lang w:eastAsia="zh-CN"/>
              </w:rPr>
              <w:t>0</w:t>
            </w:r>
            <w:r w:rsidR="00B374EC" w:rsidRPr="00F77964">
              <w:rPr>
                <w:rFonts w:eastAsia="SimSun"/>
                <w:sz w:val="18"/>
                <w:szCs w:val="18"/>
                <w:lang w:eastAsia="zh-CN"/>
              </w:rPr>
              <w:t>,</w:t>
            </w:r>
            <w:r w:rsidRPr="00F77964">
              <w:rPr>
                <w:rFonts w:eastAsia="SimSun"/>
                <w:sz w:val="18"/>
                <w:szCs w:val="18"/>
                <w:lang w:eastAsia="zh-CN"/>
              </w:rPr>
              <w:t>2 poste d’administrateur équivalent plein temps</w:t>
            </w:r>
          </w:p>
        </w:tc>
        <w:tc>
          <w:tcPr>
            <w:tcW w:w="1134" w:type="dxa"/>
            <w:tcBorders>
              <w:top w:val="single" w:sz="4" w:space="0" w:color="auto"/>
              <w:left w:val="single" w:sz="4" w:space="0" w:color="auto"/>
              <w:bottom w:val="single" w:sz="4" w:space="0" w:color="auto"/>
              <w:right w:val="single" w:sz="4" w:space="0" w:color="auto"/>
            </w:tcBorders>
            <w:hideMark/>
          </w:tcPr>
          <w:p w:rsidR="001D6913" w:rsidRPr="00F77964" w:rsidRDefault="001D6913" w:rsidP="00B374EC">
            <w:pPr>
              <w:pStyle w:val="Normal-pool"/>
              <w:spacing w:before="40" w:after="40"/>
              <w:jc w:val="right"/>
              <w:rPr>
                <w:rFonts w:eastAsia="SimSun"/>
                <w:sz w:val="18"/>
                <w:szCs w:val="18"/>
                <w:lang w:eastAsia="zh-CN"/>
              </w:rPr>
            </w:pPr>
            <w:r w:rsidRPr="00F77964">
              <w:rPr>
                <w:rFonts w:eastAsia="SimSun"/>
                <w:sz w:val="18"/>
                <w:szCs w:val="18"/>
                <w:lang w:eastAsia="zh-CN"/>
              </w:rPr>
              <w:t>30</w:t>
            </w:r>
            <w:r w:rsidR="00B374EC" w:rsidRPr="00F77964">
              <w:rPr>
                <w:rFonts w:eastAsia="SimSun"/>
                <w:sz w:val="18"/>
                <w:szCs w:val="18"/>
                <w:lang w:eastAsia="zh-CN"/>
              </w:rPr>
              <w:t> </w:t>
            </w:r>
            <w:r w:rsidRPr="00F77964">
              <w:rPr>
                <w:rFonts w:eastAsia="SimSun"/>
                <w:sz w:val="18"/>
                <w:szCs w:val="18"/>
                <w:lang w:eastAsia="zh-CN"/>
              </w:rPr>
              <w:t>000</w:t>
            </w:r>
          </w:p>
        </w:tc>
      </w:tr>
      <w:tr w:rsidR="001D6913" w:rsidRPr="0061490E" w:rsidTr="00B65244">
        <w:tc>
          <w:tcPr>
            <w:tcW w:w="672" w:type="dxa"/>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spacing w:before="40" w:after="40"/>
              <w:rPr>
                <w:rFonts w:eastAsia="SimSun"/>
                <w:b/>
                <w:sz w:val="18"/>
                <w:szCs w:val="18"/>
                <w:lang w:eastAsia="zh-CN"/>
              </w:rPr>
            </w:pPr>
            <w:r w:rsidRPr="00F77964">
              <w:rPr>
                <w:rFonts w:eastAsia="SimSun"/>
                <w:b/>
                <w:sz w:val="18"/>
                <w:szCs w:val="18"/>
                <w:lang w:eastAsia="zh-CN"/>
              </w:rPr>
              <w:t>Total</w:t>
            </w:r>
          </w:p>
        </w:tc>
        <w:tc>
          <w:tcPr>
            <w:tcW w:w="2867" w:type="dxa"/>
            <w:tcBorders>
              <w:top w:val="single" w:sz="4" w:space="0" w:color="auto"/>
              <w:left w:val="single" w:sz="4" w:space="0" w:color="auto"/>
              <w:bottom w:val="single" w:sz="4" w:space="0" w:color="auto"/>
              <w:right w:val="single" w:sz="4" w:space="0" w:color="auto"/>
            </w:tcBorders>
          </w:tcPr>
          <w:p w:rsidR="001D6913" w:rsidRPr="00F77964" w:rsidRDefault="001D6913" w:rsidP="001D6913">
            <w:pPr>
              <w:pStyle w:val="Normal-pool"/>
              <w:spacing w:before="40" w:after="40"/>
              <w:rPr>
                <w:rFonts w:eastAsia="SimSun"/>
                <w:b/>
                <w:sz w:val="18"/>
                <w:szCs w:val="18"/>
                <w:lang w:eastAsia="zh-CN"/>
              </w:rPr>
            </w:pPr>
          </w:p>
        </w:tc>
        <w:tc>
          <w:tcPr>
            <w:tcW w:w="4110" w:type="dxa"/>
            <w:tcBorders>
              <w:top w:val="single" w:sz="4" w:space="0" w:color="auto"/>
              <w:left w:val="single" w:sz="4" w:space="0" w:color="auto"/>
              <w:bottom w:val="single" w:sz="4" w:space="0" w:color="auto"/>
              <w:right w:val="single" w:sz="4" w:space="0" w:color="auto"/>
            </w:tcBorders>
          </w:tcPr>
          <w:p w:rsidR="001D6913" w:rsidRPr="00F77964" w:rsidRDefault="001D6913" w:rsidP="001D6913">
            <w:pPr>
              <w:pStyle w:val="Normal-pool"/>
              <w:spacing w:before="40" w:after="40"/>
              <w:rPr>
                <w:rFonts w:eastAsia="SimSun"/>
                <w:b/>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hideMark/>
          </w:tcPr>
          <w:p w:rsidR="001D6913" w:rsidRPr="00F77964" w:rsidRDefault="001D6913" w:rsidP="00B374EC">
            <w:pPr>
              <w:pStyle w:val="Normal-pool"/>
              <w:spacing w:before="40" w:after="40"/>
              <w:jc w:val="right"/>
              <w:rPr>
                <w:rFonts w:eastAsia="SimSun"/>
                <w:b/>
                <w:sz w:val="18"/>
                <w:szCs w:val="18"/>
                <w:lang w:eastAsia="zh-CN"/>
              </w:rPr>
            </w:pPr>
            <w:r w:rsidRPr="00F77964">
              <w:rPr>
                <w:rFonts w:eastAsia="SimSun"/>
                <w:b/>
                <w:sz w:val="18"/>
                <w:szCs w:val="18"/>
                <w:lang w:eastAsia="zh-CN"/>
              </w:rPr>
              <w:t>286</w:t>
            </w:r>
            <w:r w:rsidR="00B374EC" w:rsidRPr="00F77964">
              <w:rPr>
                <w:rFonts w:eastAsia="SimSun"/>
                <w:b/>
                <w:sz w:val="18"/>
                <w:szCs w:val="18"/>
                <w:lang w:eastAsia="zh-CN"/>
              </w:rPr>
              <w:t> </w:t>
            </w:r>
            <w:r w:rsidRPr="00F77964">
              <w:rPr>
                <w:rFonts w:eastAsia="SimSun"/>
                <w:b/>
                <w:sz w:val="18"/>
                <w:szCs w:val="18"/>
                <w:lang w:eastAsia="zh-CN"/>
              </w:rPr>
              <w:t>250</w:t>
            </w:r>
          </w:p>
        </w:tc>
      </w:tr>
    </w:tbl>
    <w:p w:rsidR="001D6913" w:rsidRPr="00F77964" w:rsidRDefault="001D6913" w:rsidP="00EA72DB">
      <w:pPr>
        <w:pStyle w:val="CH3"/>
        <w:spacing w:before="120" w:after="0"/>
        <w:rPr>
          <w:lang w:val="fr-FR"/>
        </w:rPr>
      </w:pPr>
      <w:r w:rsidRPr="00F77964">
        <w:rPr>
          <w:lang w:val="fr-FR"/>
        </w:rPr>
        <w:lastRenderedPageBreak/>
        <w:tab/>
      </w:r>
      <w:r w:rsidRPr="00F77964">
        <w:rPr>
          <w:lang w:val="fr-FR"/>
        </w:rPr>
        <w:tab/>
        <w:t>Produit 4</w:t>
      </w:r>
      <w:r w:rsidR="00D55211" w:rsidRPr="00F77964">
        <w:rPr>
          <w:lang w:val="fr-FR"/>
        </w:rPr>
        <w:t> </w:t>
      </w:r>
      <w:r w:rsidRPr="00F77964">
        <w:rPr>
          <w:lang w:val="fr-FR"/>
        </w:rPr>
        <w:t>c)</w:t>
      </w:r>
    </w:p>
    <w:p w:rsidR="001D6913" w:rsidRPr="00F77964" w:rsidRDefault="001D6913" w:rsidP="00EA72DB">
      <w:pPr>
        <w:pStyle w:val="CH3"/>
        <w:rPr>
          <w:lang w:val="fr-FR"/>
        </w:rPr>
      </w:pPr>
      <w:r w:rsidRPr="00F77964">
        <w:rPr>
          <w:lang w:val="fr-FR"/>
        </w:rPr>
        <w:tab/>
      </w:r>
      <w:r w:rsidRPr="00F77964">
        <w:rPr>
          <w:lang w:val="fr-FR"/>
        </w:rPr>
        <w:tab/>
        <w:t xml:space="preserve">Ensemble de </w:t>
      </w:r>
      <w:r w:rsidR="0011316A" w:rsidRPr="0011316A">
        <w:rPr>
          <w:rFonts w:cs="+mn-cs"/>
          <w:color w:val="000000"/>
          <w:kern w:val="24"/>
          <w:lang w:val="fr-FR"/>
        </w:rPr>
        <w:t xml:space="preserve">stratégies, produits et processus de communication, </w:t>
      </w:r>
      <w:r w:rsidR="00636B40">
        <w:rPr>
          <w:rFonts w:cs="+mn-cs"/>
          <w:color w:val="000000"/>
          <w:kern w:val="24"/>
          <w:lang w:val="fr-FR"/>
        </w:rPr>
        <w:t>d’</w:t>
      </w:r>
      <w:r w:rsidR="00F23269">
        <w:rPr>
          <w:rFonts w:cs="+mn-cs"/>
          <w:color w:val="000000"/>
          <w:kern w:val="24"/>
          <w:lang w:val="fr-FR"/>
        </w:rPr>
        <w:t>animation</w:t>
      </w:r>
      <w:r w:rsidR="0011316A" w:rsidRPr="0011316A">
        <w:rPr>
          <w:rFonts w:cs="+mn-cs"/>
          <w:color w:val="000000"/>
          <w:kern w:val="24"/>
          <w:lang w:val="fr-FR"/>
        </w:rPr>
        <w:t xml:space="preserve"> et </w:t>
      </w:r>
      <w:r w:rsidR="00636B40">
        <w:rPr>
          <w:rFonts w:cs="+mn-cs"/>
          <w:color w:val="000000"/>
          <w:kern w:val="24"/>
          <w:lang w:val="fr-FR"/>
        </w:rPr>
        <w:t xml:space="preserve">de </w:t>
      </w:r>
      <w:r w:rsidR="00F23269">
        <w:rPr>
          <w:rFonts w:cs="+mn-cs"/>
          <w:color w:val="000000"/>
          <w:kern w:val="24"/>
          <w:lang w:val="fr-FR"/>
        </w:rPr>
        <w:t>mobilis</w:t>
      </w:r>
      <w:r w:rsidR="0011316A" w:rsidRPr="0011316A">
        <w:rPr>
          <w:rFonts w:cs="+mn-cs"/>
          <w:color w:val="000000"/>
          <w:kern w:val="24"/>
          <w:lang w:val="fr-FR"/>
        </w:rPr>
        <w:t xml:space="preserve">ation </w:t>
      </w:r>
      <w:r w:rsidR="0011316A" w:rsidRPr="006031C5">
        <w:rPr>
          <w:rFonts w:cs="+mn-cs"/>
          <w:i/>
          <w:color w:val="000000"/>
          <w:kern w:val="24"/>
          <w:lang w:val="fr-FR"/>
        </w:rPr>
        <w:t>(</w:t>
      </w:r>
      <w:r w:rsidR="0011316A">
        <w:rPr>
          <w:rFonts w:cs="+mn-cs"/>
          <w:i/>
          <w:color w:val="000000"/>
          <w:kern w:val="24"/>
          <w:lang w:val="fr-FR"/>
        </w:rPr>
        <w:t>à partir de 2014</w:t>
      </w:r>
      <w:r w:rsidR="0011316A" w:rsidRPr="006031C5">
        <w:rPr>
          <w:rFonts w:cs="+mn-cs"/>
          <w:i/>
          <w:color w:val="000000"/>
          <w:kern w:val="24"/>
          <w:lang w:val="fr-FR"/>
        </w:rPr>
        <w:t>)</w:t>
      </w:r>
    </w:p>
    <w:p w:rsidR="001D6913" w:rsidRPr="00F77964" w:rsidRDefault="001D6913" w:rsidP="00EA72DB">
      <w:pPr>
        <w:pStyle w:val="CH3"/>
        <w:rPr>
          <w:rFonts w:eastAsia="SimSun"/>
          <w:lang w:val="fr-FR" w:eastAsia="zh-CN"/>
        </w:rPr>
      </w:pPr>
      <w:r w:rsidRPr="00F77964">
        <w:rPr>
          <w:rFonts w:eastAsia="SimSun"/>
          <w:lang w:val="fr-FR" w:eastAsia="zh-CN"/>
        </w:rPr>
        <w:tab/>
      </w:r>
      <w:r w:rsidRPr="00F77964">
        <w:rPr>
          <w:rFonts w:eastAsia="SimSun"/>
          <w:lang w:val="fr-FR" w:eastAsia="zh-CN"/>
        </w:rPr>
        <w:tab/>
        <w:t>Hypothèses</w:t>
      </w:r>
    </w:p>
    <w:p w:rsidR="001D6913" w:rsidRPr="00F77964" w:rsidRDefault="001D6913" w:rsidP="00EA72DB">
      <w:pPr>
        <w:pStyle w:val="Normalnumber"/>
        <w:keepNext/>
        <w:keepLines/>
        <w:numPr>
          <w:ilvl w:val="0"/>
          <w:numId w:val="6"/>
        </w:numPr>
        <w:tabs>
          <w:tab w:val="left" w:pos="624"/>
        </w:tabs>
        <w:ind w:left="1247" w:firstLine="0"/>
        <w:rPr>
          <w:lang w:val="fr-FR"/>
        </w:rPr>
      </w:pPr>
      <w:r w:rsidRPr="00F77964">
        <w:rPr>
          <w:lang w:val="fr-FR"/>
        </w:rPr>
        <w:t xml:space="preserve">La communication, </w:t>
      </w:r>
      <w:r w:rsidR="00F23269">
        <w:rPr>
          <w:lang w:val="fr-FR"/>
        </w:rPr>
        <w:t>l’animation</w:t>
      </w:r>
      <w:r w:rsidRPr="00F77964">
        <w:rPr>
          <w:lang w:val="fr-FR"/>
        </w:rPr>
        <w:t xml:space="preserve"> et l</w:t>
      </w:r>
      <w:r w:rsidR="00F23269">
        <w:rPr>
          <w:lang w:val="fr-FR"/>
        </w:rPr>
        <w:t>a mobilis</w:t>
      </w:r>
      <w:r w:rsidRPr="00F77964">
        <w:rPr>
          <w:lang w:val="fr-FR"/>
        </w:rPr>
        <w:t xml:space="preserve">ation des parties prenantes ont été identifiées comme des éléments </w:t>
      </w:r>
      <w:r w:rsidR="00F23269">
        <w:rPr>
          <w:lang w:val="fr-FR"/>
        </w:rPr>
        <w:t>essentiels pour</w:t>
      </w:r>
      <w:r w:rsidRPr="00F77964">
        <w:rPr>
          <w:lang w:val="fr-FR"/>
        </w:rPr>
        <w:t xml:space="preserve"> la pertinence, l’efficacité, la crédibilité et </w:t>
      </w:r>
      <w:r w:rsidR="00F23269">
        <w:rPr>
          <w:lang w:val="fr-FR"/>
        </w:rPr>
        <w:t>le</w:t>
      </w:r>
      <w:r w:rsidRPr="00F77964">
        <w:rPr>
          <w:lang w:val="fr-FR"/>
        </w:rPr>
        <w:t xml:space="preserve"> succès global de la </w:t>
      </w:r>
      <w:r w:rsidR="00EF3F0B" w:rsidRPr="00F77964">
        <w:rPr>
          <w:lang w:val="fr-FR"/>
        </w:rPr>
        <w:t>P</w:t>
      </w:r>
      <w:r w:rsidRPr="00F77964">
        <w:rPr>
          <w:lang w:val="fr-FR"/>
        </w:rPr>
        <w:t>lateforme.</w:t>
      </w:r>
      <w:r w:rsidR="00EF3F0B" w:rsidRPr="00F77964">
        <w:rPr>
          <w:lang w:val="fr-FR"/>
        </w:rPr>
        <w:t xml:space="preserve"> La</w:t>
      </w:r>
      <w:r w:rsidRPr="00F77964">
        <w:rPr>
          <w:lang w:val="fr-FR"/>
        </w:rPr>
        <w:t xml:space="preserve"> Plénière </w:t>
      </w:r>
      <w:r w:rsidR="00636B40">
        <w:rPr>
          <w:lang w:val="fr-FR"/>
        </w:rPr>
        <w:t>envisage</w:t>
      </w:r>
      <w:r w:rsidR="00EF3F0B" w:rsidRPr="00F77964">
        <w:rPr>
          <w:lang w:val="fr-FR"/>
        </w:rPr>
        <w:t xml:space="preserve">ra sans doute </w:t>
      </w:r>
      <w:r w:rsidR="00636B40">
        <w:rPr>
          <w:lang w:val="fr-FR"/>
        </w:rPr>
        <w:t>d’</w:t>
      </w:r>
      <w:r w:rsidRPr="00F77964">
        <w:rPr>
          <w:lang w:val="fr-FR"/>
        </w:rPr>
        <w:t>adopt</w:t>
      </w:r>
      <w:r w:rsidR="00EF3F0B" w:rsidRPr="00F77964">
        <w:rPr>
          <w:lang w:val="fr-FR"/>
        </w:rPr>
        <w:t>er le</w:t>
      </w:r>
      <w:r w:rsidRPr="00F77964">
        <w:rPr>
          <w:lang w:val="fr-FR"/>
        </w:rPr>
        <w:t xml:space="preserve">s principes, </w:t>
      </w:r>
      <w:r w:rsidR="007146B7">
        <w:rPr>
          <w:lang w:val="fr-FR"/>
        </w:rPr>
        <w:t>orientations</w:t>
      </w:r>
      <w:r w:rsidR="00EF3F0B" w:rsidRPr="00F77964">
        <w:rPr>
          <w:lang w:val="fr-FR"/>
        </w:rPr>
        <w:t xml:space="preserve"> </w:t>
      </w:r>
      <w:r w:rsidRPr="00F77964">
        <w:rPr>
          <w:lang w:val="fr-FR"/>
        </w:rPr>
        <w:t xml:space="preserve">et cadre </w:t>
      </w:r>
      <w:r w:rsidR="007146B7">
        <w:rPr>
          <w:lang w:val="fr-FR"/>
        </w:rPr>
        <w:t>régissant les</w:t>
      </w:r>
      <w:r w:rsidRPr="00F77964">
        <w:rPr>
          <w:lang w:val="fr-FR"/>
        </w:rPr>
        <w:t xml:space="preserve"> communication</w:t>
      </w:r>
      <w:r w:rsidR="007146B7">
        <w:rPr>
          <w:lang w:val="fr-FR"/>
        </w:rPr>
        <w:t>s</w:t>
      </w:r>
      <w:r w:rsidRPr="00F77964">
        <w:rPr>
          <w:lang w:val="fr-FR"/>
        </w:rPr>
        <w:t xml:space="preserve"> de la </w:t>
      </w:r>
      <w:r w:rsidR="00EF3F0B" w:rsidRPr="00F77964">
        <w:rPr>
          <w:lang w:val="fr-FR"/>
        </w:rPr>
        <w:t>P</w:t>
      </w:r>
      <w:r w:rsidRPr="00F77964">
        <w:rPr>
          <w:lang w:val="fr-FR"/>
        </w:rPr>
        <w:t xml:space="preserve">lateforme </w:t>
      </w:r>
      <w:r w:rsidRPr="00F90D8B">
        <w:rPr>
          <w:lang w:val="fr-FR"/>
        </w:rPr>
        <w:t xml:space="preserve">(voir IPBES/2/12) </w:t>
      </w:r>
      <w:r w:rsidR="00EF3F0B" w:rsidRPr="00F90D8B">
        <w:rPr>
          <w:lang w:val="fr-FR"/>
        </w:rPr>
        <w:t>ainsi que la</w:t>
      </w:r>
      <w:r w:rsidRPr="00F90D8B">
        <w:rPr>
          <w:lang w:val="fr-FR"/>
        </w:rPr>
        <w:t xml:space="preserve"> stratégie d</w:t>
      </w:r>
      <w:r w:rsidR="003D141C">
        <w:rPr>
          <w:lang w:val="fr-FR"/>
        </w:rPr>
        <w:t>e mobilis</w:t>
      </w:r>
      <w:r w:rsidR="00EF3F0B" w:rsidRPr="00F90D8B">
        <w:rPr>
          <w:lang w:val="fr-FR"/>
        </w:rPr>
        <w:t>ation</w:t>
      </w:r>
      <w:r w:rsidRPr="00F90D8B">
        <w:rPr>
          <w:lang w:val="fr-FR"/>
        </w:rPr>
        <w:t xml:space="preserve"> des parties prenantes (voir IPBES/2/13</w:t>
      </w:r>
      <w:r w:rsidRPr="00F77964">
        <w:rPr>
          <w:lang w:val="fr-FR"/>
        </w:rPr>
        <w:t>)</w:t>
      </w:r>
      <w:r w:rsidR="00EF3F0B" w:rsidRPr="00F77964">
        <w:rPr>
          <w:lang w:val="fr-FR"/>
        </w:rPr>
        <w:t>,</w:t>
      </w:r>
      <w:r w:rsidRPr="00F77964">
        <w:rPr>
          <w:lang w:val="fr-FR"/>
        </w:rPr>
        <w:t xml:space="preserve"> afin d</w:t>
      </w:r>
      <w:r w:rsidR="003D141C">
        <w:rPr>
          <w:lang w:val="fr-FR"/>
        </w:rPr>
        <w:t xml:space="preserve">e </w:t>
      </w:r>
      <w:r w:rsidR="007146B7">
        <w:rPr>
          <w:lang w:val="fr-FR"/>
        </w:rPr>
        <w:t xml:space="preserve">garantir leur mise en œuvre </w:t>
      </w:r>
      <w:r w:rsidR="007146B7" w:rsidRPr="00F77964">
        <w:rPr>
          <w:lang w:val="fr-FR"/>
        </w:rPr>
        <w:t>intégrée et synergique</w:t>
      </w:r>
      <w:r w:rsidR="007146B7">
        <w:rPr>
          <w:lang w:val="fr-FR"/>
        </w:rPr>
        <w:t xml:space="preserve"> à travers le programme de travail</w:t>
      </w:r>
      <w:r w:rsidRPr="00F77964">
        <w:rPr>
          <w:lang w:val="fr-FR"/>
        </w:rPr>
        <w:t xml:space="preserve">. </w:t>
      </w:r>
      <w:r w:rsidR="003D141C">
        <w:rPr>
          <w:lang w:val="fr-FR"/>
        </w:rPr>
        <w:t xml:space="preserve">Il est envisagé de </w:t>
      </w:r>
      <w:r w:rsidR="007146B7">
        <w:rPr>
          <w:lang w:val="fr-FR"/>
        </w:rPr>
        <w:t xml:space="preserve">maintenir </w:t>
      </w:r>
      <w:r w:rsidR="003D141C">
        <w:rPr>
          <w:lang w:val="fr-FR"/>
        </w:rPr>
        <w:t>l</w:t>
      </w:r>
      <w:r w:rsidR="00EF3F0B" w:rsidRPr="00F77964">
        <w:rPr>
          <w:lang w:val="fr-FR"/>
        </w:rPr>
        <w:t>es</w:t>
      </w:r>
      <w:r w:rsidRPr="00F77964">
        <w:rPr>
          <w:lang w:val="fr-FR"/>
        </w:rPr>
        <w:t xml:space="preserve"> stratégies </w:t>
      </w:r>
      <w:r w:rsidR="007146B7">
        <w:rPr>
          <w:lang w:val="fr-FR"/>
        </w:rPr>
        <w:t xml:space="preserve">à l’étude </w:t>
      </w:r>
      <w:r w:rsidRPr="00F77964">
        <w:rPr>
          <w:lang w:val="fr-FR"/>
        </w:rPr>
        <w:t xml:space="preserve">et </w:t>
      </w:r>
      <w:r w:rsidR="003D141C">
        <w:rPr>
          <w:lang w:val="fr-FR"/>
        </w:rPr>
        <w:t xml:space="preserve">de les </w:t>
      </w:r>
      <w:r w:rsidRPr="00F77964">
        <w:rPr>
          <w:lang w:val="fr-FR"/>
        </w:rPr>
        <w:t>complét</w:t>
      </w:r>
      <w:r w:rsidR="003D141C">
        <w:rPr>
          <w:lang w:val="fr-FR"/>
        </w:rPr>
        <w:t>er</w:t>
      </w:r>
      <w:r w:rsidRPr="00F77964">
        <w:rPr>
          <w:lang w:val="fr-FR"/>
        </w:rPr>
        <w:t xml:space="preserve"> par un plan d</w:t>
      </w:r>
      <w:r w:rsidR="00EF3F0B" w:rsidRPr="00F77964">
        <w:rPr>
          <w:lang w:val="fr-FR"/>
        </w:rPr>
        <w:t xml:space="preserve">e </w:t>
      </w:r>
      <w:r w:rsidR="003D141C">
        <w:rPr>
          <w:lang w:val="fr-FR"/>
        </w:rPr>
        <w:t>mobilis</w:t>
      </w:r>
      <w:r w:rsidR="00EF3F0B" w:rsidRPr="00F77964">
        <w:rPr>
          <w:lang w:val="fr-FR"/>
        </w:rPr>
        <w:t>ation</w:t>
      </w:r>
      <w:r w:rsidRPr="00F77964">
        <w:rPr>
          <w:lang w:val="fr-FR"/>
        </w:rPr>
        <w:t xml:space="preserve">. </w:t>
      </w:r>
      <w:r w:rsidR="007146B7">
        <w:rPr>
          <w:lang w:val="fr-FR"/>
        </w:rPr>
        <w:t xml:space="preserve">On se servira </w:t>
      </w:r>
      <w:r w:rsidR="007146B7" w:rsidRPr="00F77964">
        <w:rPr>
          <w:lang w:val="fr-FR"/>
        </w:rPr>
        <w:t>de téléconférences et d’outils en ligne</w:t>
      </w:r>
      <w:r w:rsidR="007146B7">
        <w:rPr>
          <w:lang w:val="fr-FR"/>
        </w:rPr>
        <w:t xml:space="preserve"> pour faire connaître l</w:t>
      </w:r>
      <w:r w:rsidRPr="00F77964">
        <w:rPr>
          <w:lang w:val="fr-FR"/>
        </w:rPr>
        <w:t xml:space="preserve">es </w:t>
      </w:r>
      <w:r w:rsidR="00EF3F0B" w:rsidRPr="00F77964">
        <w:rPr>
          <w:lang w:val="fr-FR"/>
        </w:rPr>
        <w:t>divers moyens et possibilités de participer aux</w:t>
      </w:r>
      <w:r w:rsidRPr="00F77964">
        <w:rPr>
          <w:lang w:val="fr-FR"/>
        </w:rPr>
        <w:t xml:space="preserve"> activités de la </w:t>
      </w:r>
      <w:r w:rsidR="00EF3F0B" w:rsidRPr="00F77964">
        <w:rPr>
          <w:lang w:val="fr-FR"/>
        </w:rPr>
        <w:t>P</w:t>
      </w:r>
      <w:r w:rsidRPr="00F77964">
        <w:rPr>
          <w:lang w:val="fr-FR"/>
        </w:rPr>
        <w:t xml:space="preserve">lateforme et </w:t>
      </w:r>
      <w:r w:rsidR="00EF3F0B" w:rsidRPr="00F77964">
        <w:rPr>
          <w:lang w:val="fr-FR"/>
        </w:rPr>
        <w:t>d</w:t>
      </w:r>
      <w:r w:rsidRPr="00F77964">
        <w:rPr>
          <w:lang w:val="fr-FR"/>
        </w:rPr>
        <w:t>’utilis</w:t>
      </w:r>
      <w:r w:rsidR="00EF3F0B" w:rsidRPr="00F77964">
        <w:rPr>
          <w:lang w:val="fr-FR"/>
        </w:rPr>
        <w:t>er ses produits</w:t>
      </w:r>
      <w:r w:rsidRPr="00F77964">
        <w:rPr>
          <w:lang w:val="fr-FR"/>
        </w:rPr>
        <w:t xml:space="preserve">. L’implication des parties prenantes sera facilitée </w:t>
      </w:r>
      <w:r w:rsidR="00D07B21" w:rsidRPr="00F77964">
        <w:rPr>
          <w:lang w:val="fr-FR"/>
        </w:rPr>
        <w:t xml:space="preserve">en </w:t>
      </w:r>
      <w:r w:rsidR="003501DA" w:rsidRPr="00F77964">
        <w:rPr>
          <w:lang w:val="fr-FR"/>
        </w:rPr>
        <w:t>soutenant</w:t>
      </w:r>
      <w:r w:rsidR="00D07B21" w:rsidRPr="00F77964">
        <w:rPr>
          <w:lang w:val="fr-FR"/>
        </w:rPr>
        <w:t xml:space="preserve"> le développement de</w:t>
      </w:r>
      <w:r w:rsidR="00A82E7F">
        <w:rPr>
          <w:lang w:val="fr-FR"/>
        </w:rPr>
        <w:t>s</w:t>
      </w:r>
      <w:r w:rsidRPr="00F77964">
        <w:rPr>
          <w:lang w:val="fr-FR"/>
        </w:rPr>
        <w:t xml:space="preserve"> capacité</w:t>
      </w:r>
      <w:r w:rsidR="00A82E7F">
        <w:rPr>
          <w:lang w:val="fr-FR"/>
        </w:rPr>
        <w:t>s</w:t>
      </w:r>
      <w:r w:rsidRPr="00F77964">
        <w:rPr>
          <w:lang w:val="fr-FR"/>
        </w:rPr>
        <w:t xml:space="preserve"> institutionnelle</w:t>
      </w:r>
      <w:r w:rsidR="00A82E7F">
        <w:rPr>
          <w:lang w:val="fr-FR"/>
        </w:rPr>
        <w:t>s</w:t>
      </w:r>
      <w:r w:rsidRPr="00F77964">
        <w:rPr>
          <w:lang w:val="fr-FR"/>
        </w:rPr>
        <w:t xml:space="preserve"> sous la forme de plateformes, réseaux et centres d’excellence aux niveaux régional et sous-régional (voir produit 1</w:t>
      </w:r>
      <w:r w:rsidR="00EF3F0B" w:rsidRPr="00F77964">
        <w:rPr>
          <w:lang w:val="fr-FR"/>
        </w:rPr>
        <w:t> </w:t>
      </w:r>
      <w:r w:rsidRPr="00F77964">
        <w:rPr>
          <w:lang w:val="fr-FR"/>
        </w:rPr>
        <w:t xml:space="preserve">b)). Les principes, </w:t>
      </w:r>
      <w:r w:rsidR="00A82E7F">
        <w:rPr>
          <w:lang w:val="fr-FR"/>
        </w:rPr>
        <w:t>orientations</w:t>
      </w:r>
      <w:r w:rsidRPr="00F77964">
        <w:rPr>
          <w:lang w:val="fr-FR"/>
        </w:rPr>
        <w:t xml:space="preserve"> et cadre serviront de base </w:t>
      </w:r>
      <w:r w:rsidR="003501DA" w:rsidRPr="00F77964">
        <w:rPr>
          <w:lang w:val="fr-FR"/>
        </w:rPr>
        <w:t>à l’élaboration de</w:t>
      </w:r>
      <w:r w:rsidR="000975BA" w:rsidRPr="00F77964">
        <w:rPr>
          <w:lang w:val="fr-FR"/>
        </w:rPr>
        <w:t>s</w:t>
      </w:r>
      <w:r w:rsidRPr="00F77964">
        <w:rPr>
          <w:lang w:val="fr-FR"/>
        </w:rPr>
        <w:t xml:space="preserve"> stratégies de communication et </w:t>
      </w:r>
      <w:r w:rsidR="00F23269">
        <w:rPr>
          <w:lang w:val="fr-FR"/>
        </w:rPr>
        <w:t>d’animation</w:t>
      </w:r>
      <w:r w:rsidRPr="00F77964">
        <w:rPr>
          <w:lang w:val="fr-FR"/>
        </w:rPr>
        <w:t xml:space="preserve"> </w:t>
      </w:r>
      <w:r w:rsidR="000975BA" w:rsidRPr="00F77964">
        <w:rPr>
          <w:lang w:val="fr-FR"/>
        </w:rPr>
        <w:t>que la</w:t>
      </w:r>
      <w:r w:rsidRPr="00F77964">
        <w:rPr>
          <w:lang w:val="fr-FR"/>
        </w:rPr>
        <w:t xml:space="preserve"> </w:t>
      </w:r>
      <w:r w:rsidR="00EF3060" w:rsidRPr="00F77964">
        <w:rPr>
          <w:lang w:val="fr-FR"/>
        </w:rPr>
        <w:t>P</w:t>
      </w:r>
      <w:r w:rsidRPr="00F77964">
        <w:rPr>
          <w:lang w:val="fr-FR"/>
        </w:rPr>
        <w:t xml:space="preserve">lateforme </w:t>
      </w:r>
      <w:r w:rsidR="000975BA" w:rsidRPr="00F77964">
        <w:rPr>
          <w:lang w:val="fr-FR"/>
        </w:rPr>
        <w:t xml:space="preserve">mettra en </w:t>
      </w:r>
      <w:r w:rsidR="00F77964" w:rsidRPr="00F77964">
        <w:rPr>
          <w:lang w:val="fr-FR"/>
        </w:rPr>
        <w:t>œuvre</w:t>
      </w:r>
      <w:r w:rsidR="000975BA" w:rsidRPr="00F77964">
        <w:rPr>
          <w:lang w:val="fr-FR"/>
        </w:rPr>
        <w:t xml:space="preserve"> successivement </w:t>
      </w:r>
      <w:r w:rsidRPr="00F77964">
        <w:rPr>
          <w:lang w:val="fr-FR"/>
        </w:rPr>
        <w:t xml:space="preserve">pour </w:t>
      </w:r>
      <w:r w:rsidR="000975BA" w:rsidRPr="00F77964">
        <w:rPr>
          <w:lang w:val="fr-FR"/>
        </w:rPr>
        <w:t>des</w:t>
      </w:r>
      <w:r w:rsidRPr="00F77964">
        <w:rPr>
          <w:lang w:val="fr-FR"/>
        </w:rPr>
        <w:t xml:space="preserve"> produits</w:t>
      </w:r>
      <w:r w:rsidR="000975BA" w:rsidRPr="00F77964">
        <w:rPr>
          <w:lang w:val="fr-FR"/>
        </w:rPr>
        <w:t xml:space="preserve"> spécifiques</w:t>
      </w:r>
      <w:r w:rsidRPr="00F77964">
        <w:rPr>
          <w:lang w:val="fr-FR"/>
        </w:rPr>
        <w:t>. L</w:t>
      </w:r>
      <w:r w:rsidR="000975BA" w:rsidRPr="00F77964">
        <w:rPr>
          <w:lang w:val="fr-FR"/>
        </w:rPr>
        <w:t>es activités de</w:t>
      </w:r>
      <w:r w:rsidRPr="00F77964">
        <w:rPr>
          <w:lang w:val="fr-FR"/>
        </w:rPr>
        <w:t xml:space="preserve"> communication viser</w:t>
      </w:r>
      <w:r w:rsidR="000975BA" w:rsidRPr="00F77964">
        <w:rPr>
          <w:lang w:val="fr-FR"/>
        </w:rPr>
        <w:t>ont</w:t>
      </w:r>
      <w:r w:rsidRPr="00F77964">
        <w:rPr>
          <w:lang w:val="fr-FR"/>
        </w:rPr>
        <w:t xml:space="preserve"> toutes les parties prenantes de la </w:t>
      </w:r>
      <w:r w:rsidR="000975BA" w:rsidRPr="00F77964">
        <w:rPr>
          <w:lang w:val="fr-FR"/>
        </w:rPr>
        <w:t>P</w:t>
      </w:r>
      <w:r w:rsidRPr="00F77964">
        <w:rPr>
          <w:lang w:val="fr-FR"/>
        </w:rPr>
        <w:t xml:space="preserve">lateforme, y compris les médias et l’ensemble du public. </w:t>
      </w:r>
      <w:r w:rsidR="000975BA" w:rsidRPr="00F77964">
        <w:rPr>
          <w:lang w:val="fr-FR"/>
        </w:rPr>
        <w:t>Le s</w:t>
      </w:r>
      <w:r w:rsidRPr="00F77964">
        <w:rPr>
          <w:lang w:val="fr-FR"/>
        </w:rPr>
        <w:t xml:space="preserve">ecrétariat </w:t>
      </w:r>
      <w:r w:rsidR="000975BA" w:rsidRPr="00F77964">
        <w:rPr>
          <w:lang w:val="fr-FR"/>
        </w:rPr>
        <w:t xml:space="preserve">devrait </w:t>
      </w:r>
      <w:r w:rsidRPr="00F77964">
        <w:rPr>
          <w:lang w:val="fr-FR"/>
        </w:rPr>
        <w:t xml:space="preserve">coordonner la mise en œuvre du produit, sous la supervision et avec la contribution active du Bureau et du Groupe d’experts multidisciplinaire, </w:t>
      </w:r>
      <w:r w:rsidR="00A623F0" w:rsidRPr="00F77964">
        <w:rPr>
          <w:lang w:val="fr-FR"/>
        </w:rPr>
        <w:t xml:space="preserve">notamment pour ce qui est </w:t>
      </w:r>
      <w:r w:rsidRPr="00F77964">
        <w:rPr>
          <w:lang w:val="fr-FR"/>
        </w:rPr>
        <w:t xml:space="preserve">de la communication sur </w:t>
      </w:r>
      <w:r w:rsidR="00A623F0" w:rsidRPr="00F77964">
        <w:rPr>
          <w:lang w:val="fr-FR"/>
        </w:rPr>
        <w:t>d</w:t>
      </w:r>
      <w:r w:rsidRPr="00F77964">
        <w:rPr>
          <w:lang w:val="fr-FR"/>
        </w:rPr>
        <w:t>es questions spécifiques et de l</w:t>
      </w:r>
      <w:r w:rsidR="00A82E7F">
        <w:rPr>
          <w:lang w:val="fr-FR"/>
        </w:rPr>
        <w:t>a mobilis</w:t>
      </w:r>
      <w:r w:rsidRPr="00F77964">
        <w:rPr>
          <w:lang w:val="fr-FR"/>
        </w:rPr>
        <w:t>ation des communautés d’experts, témoign</w:t>
      </w:r>
      <w:r w:rsidR="00A623F0" w:rsidRPr="00F77964">
        <w:rPr>
          <w:lang w:val="fr-FR"/>
        </w:rPr>
        <w:t>ant</w:t>
      </w:r>
      <w:r w:rsidRPr="00F77964">
        <w:rPr>
          <w:lang w:val="fr-FR"/>
        </w:rPr>
        <w:t xml:space="preserve"> de l’approche multidisciplinaire de la </w:t>
      </w:r>
      <w:r w:rsidR="00A623F0" w:rsidRPr="00F77964">
        <w:rPr>
          <w:lang w:val="fr-FR"/>
        </w:rPr>
        <w:t>P</w:t>
      </w:r>
      <w:r w:rsidRPr="00F77964">
        <w:rPr>
          <w:lang w:val="fr-FR"/>
        </w:rPr>
        <w:t>lateforme. L</w:t>
      </w:r>
      <w:r w:rsidR="00A623F0" w:rsidRPr="00F77964">
        <w:rPr>
          <w:lang w:val="fr-FR"/>
        </w:rPr>
        <w:t>a réalisation de ce pr</w:t>
      </w:r>
      <w:r w:rsidRPr="00F77964">
        <w:rPr>
          <w:lang w:val="fr-FR"/>
        </w:rPr>
        <w:t xml:space="preserve">oduit exigera la coopération avec des partenaires stratégiques, y compris des agences </w:t>
      </w:r>
      <w:r w:rsidR="00A623F0" w:rsidRPr="00F77964">
        <w:rPr>
          <w:lang w:val="fr-FR"/>
        </w:rPr>
        <w:t xml:space="preserve">média et des agences </w:t>
      </w:r>
      <w:r w:rsidRPr="00F77964">
        <w:rPr>
          <w:lang w:val="fr-FR"/>
        </w:rPr>
        <w:t xml:space="preserve">de communication </w:t>
      </w:r>
      <w:r w:rsidR="00A623F0" w:rsidRPr="00F77964">
        <w:rPr>
          <w:lang w:val="fr-FR"/>
        </w:rPr>
        <w:t>externes</w:t>
      </w:r>
      <w:r w:rsidRPr="00F77964">
        <w:rPr>
          <w:lang w:val="fr-FR"/>
        </w:rPr>
        <w:t>.</w:t>
      </w:r>
    </w:p>
    <w:p w:rsidR="001D6913" w:rsidRPr="00F77964" w:rsidRDefault="001D6913" w:rsidP="001D6913">
      <w:pPr>
        <w:pStyle w:val="CH3"/>
        <w:rPr>
          <w:rFonts w:eastAsia="SimSun"/>
          <w:lang w:val="fr-FR"/>
        </w:rPr>
      </w:pPr>
      <w:r w:rsidRPr="00F77964">
        <w:rPr>
          <w:rFonts w:eastAsia="SimSun"/>
          <w:lang w:val="fr-FR" w:eastAsia="zh-CN"/>
        </w:rPr>
        <w:tab/>
      </w:r>
      <w:r w:rsidRPr="00F77964">
        <w:rPr>
          <w:rFonts w:eastAsia="SimSun"/>
          <w:lang w:val="fr-FR" w:eastAsia="zh-CN"/>
        </w:rPr>
        <w:tab/>
        <w:t>Actions, étapes intermédiaires et dispositions institutionnelles</w:t>
      </w:r>
    </w:p>
    <w:p w:rsidR="001D6913" w:rsidRPr="00F77964" w:rsidRDefault="001D6913" w:rsidP="00F90D8B">
      <w:pPr>
        <w:pStyle w:val="Normalnumber"/>
        <w:numPr>
          <w:ilvl w:val="0"/>
          <w:numId w:val="6"/>
        </w:numPr>
        <w:tabs>
          <w:tab w:val="left" w:pos="624"/>
        </w:tabs>
        <w:ind w:left="1247" w:firstLine="0"/>
        <w:rPr>
          <w:lang w:val="fr-FR"/>
        </w:rPr>
      </w:pPr>
      <w:r w:rsidRPr="00F90D8B">
        <w:rPr>
          <w:lang w:val="fr-FR"/>
        </w:rPr>
        <w:t>Les actions à mener sont indiquées ci-après :</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1706"/>
        <w:gridCol w:w="5651"/>
      </w:tblGrid>
      <w:tr w:rsidR="001D6913" w:rsidRPr="0061490E" w:rsidTr="00A7296F">
        <w:trPr>
          <w:trHeight w:val="242"/>
          <w:tblHeader/>
        </w:trPr>
        <w:tc>
          <w:tcPr>
            <w:tcW w:w="2343" w:type="dxa"/>
            <w:gridSpan w:val="2"/>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keepNext/>
              <w:keepLines/>
              <w:spacing w:before="40" w:after="40"/>
              <w:rPr>
                <w:rFonts w:eastAsia="SimSun"/>
                <w:i/>
                <w:sz w:val="18"/>
                <w:szCs w:val="18"/>
                <w:lang w:eastAsia="zh-CN"/>
              </w:rPr>
            </w:pPr>
            <w:r w:rsidRPr="00F77964">
              <w:rPr>
                <w:rFonts w:eastAsia="SimSun"/>
                <w:i/>
                <w:sz w:val="18"/>
                <w:szCs w:val="18"/>
                <w:lang w:eastAsia="zh-CN"/>
              </w:rPr>
              <w:t>Calendrier</w:t>
            </w:r>
          </w:p>
        </w:tc>
        <w:tc>
          <w:tcPr>
            <w:tcW w:w="5651" w:type="dxa"/>
            <w:tcBorders>
              <w:top w:val="single" w:sz="4" w:space="0" w:color="auto"/>
              <w:left w:val="single" w:sz="4" w:space="0" w:color="auto"/>
              <w:bottom w:val="single" w:sz="4" w:space="0" w:color="auto"/>
              <w:right w:val="single" w:sz="4" w:space="0" w:color="auto"/>
            </w:tcBorders>
            <w:vAlign w:val="center"/>
            <w:hideMark/>
          </w:tcPr>
          <w:p w:rsidR="001D6913" w:rsidRPr="00F77964" w:rsidRDefault="001D6913" w:rsidP="001D6913">
            <w:pPr>
              <w:pStyle w:val="Normal-pool"/>
              <w:keepNext/>
              <w:keepLines/>
              <w:spacing w:before="40" w:after="40"/>
              <w:rPr>
                <w:rFonts w:eastAsia="SimSun"/>
                <w:i/>
                <w:sz w:val="18"/>
                <w:szCs w:val="18"/>
                <w:lang w:eastAsia="zh-CN"/>
              </w:rPr>
            </w:pPr>
            <w:r w:rsidRPr="00F77964">
              <w:rPr>
                <w:rFonts w:eastAsia="SimSun"/>
                <w:i/>
                <w:sz w:val="18"/>
                <w:szCs w:val="18"/>
                <w:lang w:eastAsia="zh-CN"/>
              </w:rPr>
              <w:t>Actions/dispositions institutionnelles</w:t>
            </w:r>
          </w:p>
        </w:tc>
      </w:tr>
      <w:tr w:rsidR="00A7296F" w:rsidRPr="0061490E" w:rsidTr="00EA72DB">
        <w:trPr>
          <w:trHeight w:val="242"/>
        </w:trPr>
        <w:tc>
          <w:tcPr>
            <w:tcW w:w="637" w:type="dxa"/>
            <w:tcBorders>
              <w:top w:val="single" w:sz="4" w:space="0" w:color="auto"/>
              <w:left w:val="single" w:sz="4" w:space="0" w:color="auto"/>
              <w:bottom w:val="nil"/>
              <w:right w:val="single" w:sz="4" w:space="0" w:color="auto"/>
            </w:tcBorders>
            <w:hideMark/>
          </w:tcPr>
          <w:p w:rsidR="00A7296F" w:rsidRPr="00F77964" w:rsidRDefault="00A7296F" w:rsidP="00EA72DB">
            <w:pPr>
              <w:pStyle w:val="Normal-pool"/>
              <w:keepNext/>
              <w:keepLines/>
              <w:spacing w:before="40" w:after="40"/>
              <w:rPr>
                <w:rFonts w:eastAsia="SimSun"/>
                <w:sz w:val="18"/>
                <w:szCs w:val="18"/>
                <w:lang w:eastAsia="zh-CN"/>
              </w:rPr>
            </w:pPr>
            <w:r w:rsidRPr="00F77964">
              <w:rPr>
                <w:rFonts w:eastAsia="SimSun"/>
                <w:sz w:val="18"/>
                <w:szCs w:val="18"/>
                <w:lang w:eastAsia="zh-CN"/>
              </w:rPr>
              <w:t>2013</w:t>
            </w:r>
          </w:p>
        </w:tc>
        <w:tc>
          <w:tcPr>
            <w:tcW w:w="1706" w:type="dxa"/>
            <w:tcBorders>
              <w:top w:val="single" w:sz="4" w:space="0" w:color="auto"/>
              <w:left w:val="single" w:sz="4" w:space="0" w:color="auto"/>
              <w:bottom w:val="nil"/>
              <w:right w:val="single" w:sz="4" w:space="0" w:color="auto"/>
            </w:tcBorders>
            <w:hideMark/>
          </w:tcPr>
          <w:p w:rsidR="00A7296F" w:rsidRPr="00F77964" w:rsidRDefault="00A7296F" w:rsidP="00EA72DB">
            <w:pPr>
              <w:pStyle w:val="Normal-pool"/>
              <w:keepNext/>
              <w:keepLines/>
              <w:spacing w:before="40" w:after="40"/>
              <w:rPr>
                <w:rFonts w:eastAsia="SimSun"/>
                <w:sz w:val="18"/>
                <w:szCs w:val="18"/>
                <w:lang w:eastAsia="zh-CN"/>
              </w:rPr>
            </w:pPr>
            <w:r w:rsidRPr="00F77964">
              <w:rPr>
                <w:rFonts w:eastAsia="SimSun"/>
                <w:sz w:val="18"/>
                <w:szCs w:val="18"/>
                <w:lang w:eastAsia="zh-CN"/>
              </w:rPr>
              <w:t>Quatrième trimestre</w:t>
            </w:r>
          </w:p>
        </w:tc>
        <w:tc>
          <w:tcPr>
            <w:tcW w:w="5651" w:type="dxa"/>
            <w:tcBorders>
              <w:top w:val="single" w:sz="4" w:space="0" w:color="auto"/>
              <w:left w:val="single" w:sz="4" w:space="0" w:color="auto"/>
              <w:bottom w:val="single" w:sz="4" w:space="0" w:color="auto"/>
              <w:right w:val="single" w:sz="4" w:space="0" w:color="auto"/>
            </w:tcBorders>
            <w:hideMark/>
          </w:tcPr>
          <w:p w:rsidR="00A7296F" w:rsidRPr="00F77964" w:rsidRDefault="00A7296F" w:rsidP="00EA72DB">
            <w:pPr>
              <w:pStyle w:val="Normal-pool"/>
              <w:keepNext/>
              <w:keepLines/>
              <w:spacing w:before="40" w:after="40"/>
              <w:rPr>
                <w:rFonts w:eastAsia="SimSun"/>
                <w:sz w:val="18"/>
                <w:szCs w:val="18"/>
                <w:lang w:eastAsia="zh-CN"/>
              </w:rPr>
            </w:pPr>
            <w:r w:rsidRPr="00F77964">
              <w:rPr>
                <w:rFonts w:eastAsia="SimSun"/>
                <w:sz w:val="18"/>
                <w:szCs w:val="18"/>
                <w:lang w:eastAsia="zh-CN"/>
              </w:rPr>
              <w:t xml:space="preserve">La Plénière, à sa deuxième session, </w:t>
            </w:r>
            <w:r w:rsidR="00342BB6">
              <w:rPr>
                <w:rFonts w:eastAsia="SimSun"/>
                <w:sz w:val="18"/>
                <w:szCs w:val="18"/>
                <w:lang w:eastAsia="zh-CN"/>
              </w:rPr>
              <w:t>étudi</w:t>
            </w:r>
            <w:r>
              <w:rPr>
                <w:rFonts w:eastAsia="SimSun"/>
                <w:sz w:val="18"/>
                <w:szCs w:val="18"/>
                <w:lang w:eastAsia="zh-CN"/>
              </w:rPr>
              <w:t>e la possibilité d’</w:t>
            </w:r>
            <w:r w:rsidRPr="00F77964">
              <w:rPr>
                <w:rFonts w:eastAsia="SimSun"/>
                <w:sz w:val="18"/>
                <w:szCs w:val="18"/>
                <w:lang w:eastAsia="zh-CN"/>
              </w:rPr>
              <w:t>adopter la stratégie d</w:t>
            </w:r>
            <w:r>
              <w:rPr>
                <w:rFonts w:eastAsia="SimSun"/>
                <w:sz w:val="18"/>
                <w:szCs w:val="18"/>
                <w:lang w:eastAsia="zh-CN"/>
              </w:rPr>
              <w:t>e mobilis</w:t>
            </w:r>
            <w:r w:rsidRPr="00F77964">
              <w:rPr>
                <w:rFonts w:eastAsia="SimSun"/>
                <w:sz w:val="18"/>
                <w:szCs w:val="18"/>
                <w:lang w:eastAsia="zh-CN"/>
              </w:rPr>
              <w:t xml:space="preserve">ation des parties prenantes afin d’assurer sa mise en œuvre </w:t>
            </w:r>
            <w:r>
              <w:rPr>
                <w:rFonts w:eastAsia="SimSun"/>
                <w:sz w:val="18"/>
                <w:szCs w:val="18"/>
                <w:lang w:eastAsia="zh-CN"/>
              </w:rPr>
              <w:t xml:space="preserve">à travers le </w:t>
            </w:r>
            <w:r w:rsidRPr="00F77964">
              <w:rPr>
                <w:rFonts w:eastAsia="SimSun"/>
                <w:sz w:val="18"/>
                <w:szCs w:val="18"/>
                <w:lang w:eastAsia="zh-CN"/>
              </w:rPr>
              <w:t>programme de travail de la Plateforme</w:t>
            </w:r>
            <w:r>
              <w:rPr>
                <w:rFonts w:eastAsia="SimSun"/>
                <w:sz w:val="18"/>
                <w:szCs w:val="18"/>
                <w:lang w:eastAsia="zh-CN"/>
              </w:rPr>
              <w:t xml:space="preserve"> et de</w:t>
            </w:r>
            <w:r w:rsidRPr="00F77964">
              <w:rPr>
                <w:rFonts w:eastAsia="SimSun"/>
                <w:sz w:val="18"/>
                <w:szCs w:val="18"/>
                <w:lang w:eastAsia="zh-CN"/>
              </w:rPr>
              <w:t xml:space="preserve"> lancer l’élaboration d’un plan d</w:t>
            </w:r>
            <w:r>
              <w:rPr>
                <w:rFonts w:eastAsia="SimSun"/>
                <w:sz w:val="18"/>
                <w:szCs w:val="18"/>
                <w:lang w:eastAsia="zh-CN"/>
              </w:rPr>
              <w:t>e mobilis</w:t>
            </w:r>
            <w:r w:rsidRPr="00F77964">
              <w:rPr>
                <w:rFonts w:eastAsia="SimSun"/>
                <w:sz w:val="18"/>
                <w:szCs w:val="18"/>
                <w:lang w:eastAsia="zh-CN"/>
              </w:rPr>
              <w:t xml:space="preserve">ation des parties prenantes, avec des prévisions de coûts, pour examen par </w:t>
            </w:r>
            <w:r>
              <w:rPr>
                <w:rFonts w:eastAsia="SimSun"/>
                <w:sz w:val="18"/>
                <w:szCs w:val="18"/>
                <w:lang w:eastAsia="zh-CN"/>
              </w:rPr>
              <w:t xml:space="preserve">la Plénière </w:t>
            </w:r>
            <w:r w:rsidRPr="00F77964">
              <w:rPr>
                <w:rFonts w:eastAsia="SimSun"/>
                <w:sz w:val="18"/>
                <w:szCs w:val="18"/>
                <w:lang w:eastAsia="zh-CN"/>
              </w:rPr>
              <w:t>à sa troisième session</w:t>
            </w:r>
          </w:p>
        </w:tc>
      </w:tr>
      <w:tr w:rsidR="00A7296F" w:rsidRPr="0061490E" w:rsidTr="00EA72DB">
        <w:trPr>
          <w:trHeight w:val="1181"/>
        </w:trPr>
        <w:tc>
          <w:tcPr>
            <w:tcW w:w="0" w:type="auto"/>
            <w:tcBorders>
              <w:top w:val="nil"/>
              <w:left w:val="single" w:sz="4" w:space="0" w:color="auto"/>
              <w:bottom w:val="nil"/>
              <w:right w:val="single" w:sz="4" w:space="0" w:color="auto"/>
            </w:tcBorders>
            <w:hideMark/>
          </w:tcPr>
          <w:p w:rsidR="00A7296F" w:rsidRPr="0061490E" w:rsidRDefault="00A7296F" w:rsidP="00EA72DB">
            <w:pPr>
              <w:rPr>
                <w:rFonts w:eastAsia="SimSun"/>
                <w:sz w:val="18"/>
                <w:szCs w:val="18"/>
                <w:lang w:eastAsia="zh-CN"/>
              </w:rPr>
            </w:pPr>
          </w:p>
        </w:tc>
        <w:tc>
          <w:tcPr>
            <w:tcW w:w="0" w:type="auto"/>
            <w:tcBorders>
              <w:top w:val="nil"/>
              <w:left w:val="single" w:sz="4" w:space="0" w:color="auto"/>
              <w:bottom w:val="nil"/>
              <w:right w:val="single" w:sz="4" w:space="0" w:color="auto"/>
            </w:tcBorders>
            <w:hideMark/>
          </w:tcPr>
          <w:p w:rsidR="00A7296F" w:rsidRPr="0061490E" w:rsidRDefault="00A7296F" w:rsidP="00EA72DB">
            <w:pPr>
              <w:rPr>
                <w:rFonts w:eastAsia="SimSun"/>
                <w:sz w:val="18"/>
                <w:szCs w:val="18"/>
                <w:lang w:eastAsia="zh-CN"/>
              </w:rPr>
            </w:pPr>
          </w:p>
        </w:tc>
        <w:tc>
          <w:tcPr>
            <w:tcW w:w="5651" w:type="dxa"/>
            <w:tcBorders>
              <w:top w:val="single" w:sz="4" w:space="0" w:color="auto"/>
              <w:left w:val="single" w:sz="4" w:space="0" w:color="auto"/>
              <w:bottom w:val="single" w:sz="4" w:space="0" w:color="auto"/>
              <w:right w:val="single" w:sz="4" w:space="0" w:color="auto"/>
            </w:tcBorders>
            <w:hideMark/>
          </w:tcPr>
          <w:p w:rsidR="00A7296F" w:rsidRPr="00F77964" w:rsidRDefault="00A7296F" w:rsidP="00EA72DB">
            <w:pPr>
              <w:pStyle w:val="Normal-pool"/>
              <w:spacing w:before="40" w:after="40"/>
              <w:rPr>
                <w:rFonts w:eastAsia="SimSun"/>
                <w:sz w:val="18"/>
                <w:szCs w:val="18"/>
                <w:lang w:eastAsia="zh-CN"/>
              </w:rPr>
            </w:pPr>
            <w:r w:rsidRPr="00F77964">
              <w:rPr>
                <w:rFonts w:eastAsia="SimSun"/>
                <w:sz w:val="18"/>
                <w:szCs w:val="18"/>
                <w:lang w:eastAsia="zh-CN"/>
              </w:rPr>
              <w:t xml:space="preserve">La Plénière, à sa deuxième session, </w:t>
            </w:r>
            <w:r w:rsidR="00342BB6">
              <w:rPr>
                <w:rFonts w:eastAsia="SimSun"/>
                <w:sz w:val="18"/>
                <w:szCs w:val="18"/>
                <w:lang w:eastAsia="zh-CN"/>
              </w:rPr>
              <w:t>étudi</w:t>
            </w:r>
            <w:r>
              <w:rPr>
                <w:rFonts w:eastAsia="SimSun"/>
                <w:sz w:val="18"/>
                <w:szCs w:val="18"/>
                <w:lang w:eastAsia="zh-CN"/>
              </w:rPr>
              <w:t>e la possibilité d’</w:t>
            </w:r>
            <w:r w:rsidRPr="00F77964">
              <w:rPr>
                <w:rFonts w:eastAsia="SimSun"/>
                <w:sz w:val="18"/>
                <w:szCs w:val="18"/>
                <w:lang w:eastAsia="zh-CN"/>
              </w:rPr>
              <w:t xml:space="preserve">adopter les principes, </w:t>
            </w:r>
            <w:r>
              <w:rPr>
                <w:rFonts w:eastAsia="SimSun"/>
                <w:sz w:val="18"/>
                <w:szCs w:val="18"/>
                <w:lang w:eastAsia="zh-CN"/>
              </w:rPr>
              <w:t>les orientations</w:t>
            </w:r>
            <w:r w:rsidRPr="00F77964">
              <w:rPr>
                <w:rFonts w:eastAsia="SimSun"/>
                <w:sz w:val="18"/>
                <w:szCs w:val="18"/>
                <w:lang w:eastAsia="zh-CN"/>
              </w:rPr>
              <w:t xml:space="preserve"> et </w:t>
            </w:r>
            <w:r>
              <w:rPr>
                <w:rFonts w:eastAsia="SimSun"/>
                <w:sz w:val="18"/>
                <w:szCs w:val="18"/>
                <w:lang w:eastAsia="zh-CN"/>
              </w:rPr>
              <w:t xml:space="preserve">le </w:t>
            </w:r>
            <w:r w:rsidRPr="00F77964">
              <w:rPr>
                <w:rFonts w:eastAsia="SimSun"/>
                <w:sz w:val="18"/>
                <w:szCs w:val="18"/>
                <w:lang w:eastAsia="zh-CN"/>
              </w:rPr>
              <w:t xml:space="preserve">cadre </w:t>
            </w:r>
            <w:r>
              <w:rPr>
                <w:rFonts w:eastAsia="SimSun"/>
                <w:sz w:val="18"/>
                <w:szCs w:val="18"/>
                <w:lang w:eastAsia="zh-CN"/>
              </w:rPr>
              <w:t xml:space="preserve">régissant les </w:t>
            </w:r>
            <w:r w:rsidRPr="00F77964">
              <w:rPr>
                <w:rFonts w:eastAsia="SimSun"/>
                <w:sz w:val="18"/>
                <w:szCs w:val="18"/>
                <w:lang w:eastAsia="zh-CN"/>
              </w:rPr>
              <w:t>communication</w:t>
            </w:r>
            <w:r>
              <w:rPr>
                <w:rFonts w:eastAsia="SimSun"/>
                <w:sz w:val="18"/>
                <w:szCs w:val="18"/>
                <w:lang w:eastAsia="zh-CN"/>
              </w:rPr>
              <w:t>s</w:t>
            </w:r>
            <w:r w:rsidRPr="00F77964">
              <w:rPr>
                <w:rFonts w:eastAsia="SimSun"/>
                <w:sz w:val="18"/>
                <w:szCs w:val="18"/>
                <w:lang w:eastAsia="zh-CN"/>
              </w:rPr>
              <w:t xml:space="preserve"> de la Plateforme, afin d’assurer leur mise en œuvre </w:t>
            </w:r>
            <w:r>
              <w:rPr>
                <w:rFonts w:eastAsia="SimSun"/>
                <w:sz w:val="18"/>
                <w:szCs w:val="18"/>
                <w:lang w:eastAsia="zh-CN"/>
              </w:rPr>
              <w:t>à travers le programme de travail.</w:t>
            </w:r>
          </w:p>
        </w:tc>
      </w:tr>
      <w:tr w:rsidR="00A7296F" w:rsidRPr="0061490E" w:rsidTr="00EA72DB">
        <w:trPr>
          <w:trHeight w:val="1179"/>
        </w:trPr>
        <w:tc>
          <w:tcPr>
            <w:tcW w:w="0" w:type="auto"/>
            <w:tcBorders>
              <w:top w:val="nil"/>
              <w:left w:val="single" w:sz="4" w:space="0" w:color="auto"/>
              <w:bottom w:val="nil"/>
              <w:right w:val="single" w:sz="4" w:space="0" w:color="auto"/>
            </w:tcBorders>
          </w:tcPr>
          <w:p w:rsidR="00A7296F" w:rsidRPr="0061490E" w:rsidRDefault="00A7296F" w:rsidP="00EA72DB">
            <w:pPr>
              <w:rPr>
                <w:rFonts w:eastAsia="SimSun"/>
                <w:sz w:val="18"/>
                <w:szCs w:val="18"/>
                <w:lang w:eastAsia="zh-CN"/>
              </w:rPr>
            </w:pPr>
          </w:p>
        </w:tc>
        <w:tc>
          <w:tcPr>
            <w:tcW w:w="0" w:type="auto"/>
            <w:tcBorders>
              <w:top w:val="nil"/>
              <w:left w:val="single" w:sz="4" w:space="0" w:color="auto"/>
              <w:bottom w:val="nil"/>
              <w:right w:val="single" w:sz="4" w:space="0" w:color="auto"/>
            </w:tcBorders>
          </w:tcPr>
          <w:p w:rsidR="00A7296F" w:rsidRPr="0061490E" w:rsidRDefault="00A7296F" w:rsidP="00EA72DB">
            <w:pPr>
              <w:rPr>
                <w:rFonts w:eastAsia="SimSun"/>
                <w:sz w:val="18"/>
                <w:szCs w:val="18"/>
                <w:lang w:eastAsia="zh-CN"/>
              </w:rPr>
            </w:pPr>
          </w:p>
        </w:tc>
        <w:tc>
          <w:tcPr>
            <w:tcW w:w="5651" w:type="dxa"/>
            <w:tcBorders>
              <w:top w:val="single" w:sz="4" w:space="0" w:color="auto"/>
              <w:left w:val="single" w:sz="4" w:space="0" w:color="auto"/>
              <w:bottom w:val="single" w:sz="4" w:space="0" w:color="auto"/>
              <w:right w:val="single" w:sz="4" w:space="0" w:color="auto"/>
            </w:tcBorders>
          </w:tcPr>
          <w:p w:rsidR="00A7296F" w:rsidRPr="00F77964" w:rsidRDefault="00A7296F" w:rsidP="00EA72DB">
            <w:pPr>
              <w:pStyle w:val="Normal-pool"/>
              <w:spacing w:before="40" w:after="40"/>
              <w:rPr>
                <w:rFonts w:eastAsia="SimSun"/>
                <w:sz w:val="18"/>
                <w:szCs w:val="18"/>
                <w:lang w:eastAsia="zh-CN"/>
              </w:rPr>
            </w:pPr>
            <w:r w:rsidRPr="00F77964">
              <w:rPr>
                <w:rFonts w:eastAsia="SimSun"/>
                <w:sz w:val="18"/>
                <w:szCs w:val="18"/>
                <w:lang w:eastAsia="zh-CN"/>
              </w:rPr>
              <w:t xml:space="preserve">La Plénière, à sa deuxième session, </w:t>
            </w:r>
            <w:r w:rsidR="00342BB6">
              <w:rPr>
                <w:rFonts w:eastAsia="SimSun"/>
                <w:sz w:val="18"/>
                <w:szCs w:val="18"/>
                <w:lang w:eastAsia="zh-CN"/>
              </w:rPr>
              <w:t xml:space="preserve">étudie la possibilité de </w:t>
            </w:r>
            <w:r w:rsidRPr="00F77964">
              <w:rPr>
                <w:rFonts w:eastAsia="SimSun"/>
                <w:sz w:val="18"/>
                <w:szCs w:val="18"/>
                <w:lang w:eastAsia="zh-CN"/>
              </w:rPr>
              <w:t>demander au secrétariat</w:t>
            </w:r>
            <w:r w:rsidR="00342BB6">
              <w:rPr>
                <w:rFonts w:eastAsia="SimSun"/>
                <w:sz w:val="18"/>
                <w:szCs w:val="18"/>
                <w:lang w:eastAsia="zh-CN"/>
              </w:rPr>
              <w:t xml:space="preserve"> d’élaborer</w:t>
            </w:r>
            <w:r w:rsidRPr="00F77964">
              <w:rPr>
                <w:rFonts w:eastAsia="SimSun"/>
                <w:sz w:val="18"/>
                <w:szCs w:val="18"/>
                <w:lang w:eastAsia="zh-CN"/>
              </w:rPr>
              <w:t>, sous la supervision du Bureau et en coopération avec le Groupe d’experts multidisciplinaire</w:t>
            </w:r>
            <w:r w:rsidR="00342BB6" w:rsidRPr="00F77964">
              <w:rPr>
                <w:rFonts w:eastAsia="SimSun"/>
                <w:sz w:val="18"/>
                <w:szCs w:val="18"/>
                <w:lang w:eastAsia="zh-CN"/>
              </w:rPr>
              <w:t>,</w:t>
            </w:r>
            <w:r w:rsidRPr="00F77964">
              <w:rPr>
                <w:rFonts w:eastAsia="SimSun"/>
                <w:sz w:val="18"/>
                <w:szCs w:val="18"/>
                <w:lang w:eastAsia="zh-CN"/>
              </w:rPr>
              <w:t xml:space="preserve"> la première stratégie de communication et </w:t>
            </w:r>
            <w:r>
              <w:rPr>
                <w:rFonts w:eastAsia="SimSun"/>
                <w:sz w:val="18"/>
                <w:szCs w:val="18"/>
                <w:lang w:eastAsia="zh-CN"/>
              </w:rPr>
              <w:t>d’animation</w:t>
            </w:r>
            <w:r w:rsidRPr="00F77964">
              <w:rPr>
                <w:rFonts w:eastAsia="SimSun"/>
                <w:sz w:val="18"/>
                <w:szCs w:val="18"/>
                <w:lang w:eastAsia="zh-CN"/>
              </w:rPr>
              <w:t xml:space="preserve"> de la Plateforme sur la base de l’analyse des besoins d’information des principales cibles de la Plateforme et des </w:t>
            </w:r>
            <w:r w:rsidR="00342BB6">
              <w:rPr>
                <w:rFonts w:eastAsia="SimSun"/>
                <w:sz w:val="18"/>
                <w:szCs w:val="18"/>
                <w:lang w:eastAsia="zh-CN"/>
              </w:rPr>
              <w:t xml:space="preserve">actuelles </w:t>
            </w:r>
            <w:r w:rsidRPr="00F77964">
              <w:rPr>
                <w:rFonts w:eastAsia="SimSun"/>
                <w:sz w:val="18"/>
                <w:szCs w:val="18"/>
                <w:lang w:eastAsia="zh-CN"/>
              </w:rPr>
              <w:t>initiatives de communication des organisations compétentes dont la P</w:t>
            </w:r>
            <w:r>
              <w:rPr>
                <w:rFonts w:eastAsia="SimSun"/>
                <w:sz w:val="18"/>
                <w:szCs w:val="18"/>
                <w:lang w:eastAsia="zh-CN"/>
              </w:rPr>
              <w:t>lateforme pourrait tirer parti</w:t>
            </w:r>
            <w:r w:rsidR="00342BB6">
              <w:rPr>
                <w:rFonts w:eastAsia="SimSun"/>
                <w:sz w:val="18"/>
                <w:szCs w:val="18"/>
                <w:lang w:eastAsia="zh-CN"/>
              </w:rPr>
              <w:t>,</w:t>
            </w:r>
            <w:r w:rsidR="00342BB6" w:rsidRPr="00F77964">
              <w:rPr>
                <w:rFonts w:eastAsia="SimSun"/>
                <w:sz w:val="18"/>
                <w:szCs w:val="18"/>
                <w:lang w:eastAsia="zh-CN"/>
              </w:rPr>
              <w:t xml:space="preserve"> pour examen </w:t>
            </w:r>
            <w:r w:rsidR="00342BB6">
              <w:rPr>
                <w:rFonts w:eastAsia="SimSun"/>
                <w:sz w:val="18"/>
                <w:szCs w:val="18"/>
                <w:lang w:eastAsia="zh-CN"/>
              </w:rPr>
              <w:t xml:space="preserve">par la Plénière </w:t>
            </w:r>
            <w:r w:rsidR="00342BB6" w:rsidRPr="00F77964">
              <w:rPr>
                <w:rFonts w:eastAsia="SimSun"/>
                <w:sz w:val="18"/>
                <w:szCs w:val="18"/>
                <w:lang w:eastAsia="zh-CN"/>
              </w:rPr>
              <w:t>à sa troisième session</w:t>
            </w:r>
            <w:r>
              <w:rPr>
                <w:rFonts w:eastAsia="SimSun"/>
                <w:sz w:val="18"/>
                <w:szCs w:val="18"/>
                <w:lang w:eastAsia="zh-CN"/>
              </w:rPr>
              <w:t>.</w:t>
            </w:r>
          </w:p>
        </w:tc>
      </w:tr>
      <w:tr w:rsidR="00A7296F" w:rsidRPr="0061490E" w:rsidTr="00EA72DB">
        <w:trPr>
          <w:trHeight w:val="1179"/>
        </w:trPr>
        <w:tc>
          <w:tcPr>
            <w:tcW w:w="0" w:type="auto"/>
            <w:tcBorders>
              <w:top w:val="nil"/>
              <w:left w:val="single" w:sz="4" w:space="0" w:color="auto"/>
              <w:bottom w:val="nil"/>
              <w:right w:val="single" w:sz="4" w:space="0" w:color="auto"/>
            </w:tcBorders>
          </w:tcPr>
          <w:p w:rsidR="00A7296F" w:rsidRPr="0061490E" w:rsidRDefault="00A7296F" w:rsidP="00EA72DB">
            <w:pPr>
              <w:rPr>
                <w:rFonts w:eastAsia="SimSun"/>
                <w:sz w:val="18"/>
                <w:szCs w:val="18"/>
                <w:lang w:eastAsia="zh-CN"/>
              </w:rPr>
            </w:pPr>
          </w:p>
        </w:tc>
        <w:tc>
          <w:tcPr>
            <w:tcW w:w="0" w:type="auto"/>
            <w:tcBorders>
              <w:top w:val="nil"/>
              <w:left w:val="single" w:sz="4" w:space="0" w:color="auto"/>
              <w:bottom w:val="nil"/>
              <w:right w:val="single" w:sz="4" w:space="0" w:color="auto"/>
            </w:tcBorders>
          </w:tcPr>
          <w:p w:rsidR="00A7296F" w:rsidRPr="0061490E" w:rsidRDefault="00A7296F" w:rsidP="00EA72DB">
            <w:pPr>
              <w:rPr>
                <w:rFonts w:eastAsia="SimSun"/>
                <w:sz w:val="18"/>
                <w:szCs w:val="18"/>
                <w:lang w:eastAsia="zh-CN"/>
              </w:rPr>
            </w:pPr>
          </w:p>
        </w:tc>
        <w:tc>
          <w:tcPr>
            <w:tcW w:w="5651" w:type="dxa"/>
            <w:tcBorders>
              <w:top w:val="single" w:sz="4" w:space="0" w:color="auto"/>
              <w:left w:val="single" w:sz="4" w:space="0" w:color="auto"/>
              <w:bottom w:val="single" w:sz="4" w:space="0" w:color="auto"/>
              <w:right w:val="single" w:sz="4" w:space="0" w:color="auto"/>
            </w:tcBorders>
          </w:tcPr>
          <w:p w:rsidR="00A7296F" w:rsidRPr="00F77964" w:rsidRDefault="00A7296F" w:rsidP="00EA72DB">
            <w:pPr>
              <w:pStyle w:val="Normal-pool"/>
              <w:spacing w:before="40" w:after="40"/>
              <w:rPr>
                <w:rFonts w:eastAsia="SimSun"/>
                <w:sz w:val="18"/>
                <w:szCs w:val="18"/>
                <w:lang w:eastAsia="zh-CN"/>
              </w:rPr>
            </w:pPr>
            <w:r w:rsidRPr="00F77964">
              <w:rPr>
                <w:rFonts w:eastAsia="SimSun"/>
                <w:sz w:val="18"/>
                <w:szCs w:val="18"/>
                <w:lang w:eastAsia="zh-CN"/>
              </w:rPr>
              <w:t xml:space="preserve">La Plénière, à sa deuxième session, </w:t>
            </w:r>
            <w:r w:rsidR="00D70ECF">
              <w:rPr>
                <w:rFonts w:eastAsia="SimSun"/>
                <w:sz w:val="18"/>
                <w:szCs w:val="18"/>
                <w:lang w:eastAsia="zh-CN"/>
              </w:rPr>
              <w:t>étudie la possibilité d’</w:t>
            </w:r>
            <w:r w:rsidRPr="00F77964">
              <w:rPr>
                <w:rFonts w:eastAsia="SimSun"/>
                <w:sz w:val="18"/>
                <w:szCs w:val="18"/>
                <w:lang w:eastAsia="zh-CN"/>
              </w:rPr>
              <w:t xml:space="preserve">adopter le logo de la Plateforme et le projet de politique pour son utilisation, tel que contenu dans l’annexe III des principes, </w:t>
            </w:r>
            <w:r w:rsidR="00D70ECF">
              <w:rPr>
                <w:rFonts w:eastAsia="SimSun"/>
                <w:sz w:val="18"/>
                <w:szCs w:val="18"/>
                <w:lang w:eastAsia="zh-CN"/>
              </w:rPr>
              <w:t>orientations</w:t>
            </w:r>
            <w:r w:rsidRPr="00F77964">
              <w:rPr>
                <w:rFonts w:eastAsia="SimSun"/>
                <w:sz w:val="18"/>
                <w:szCs w:val="18"/>
                <w:lang w:eastAsia="zh-CN"/>
              </w:rPr>
              <w:t xml:space="preserve"> et cadre </w:t>
            </w:r>
            <w:r w:rsidR="00D70ECF">
              <w:rPr>
                <w:rFonts w:eastAsia="SimSun"/>
                <w:sz w:val="18"/>
                <w:szCs w:val="18"/>
                <w:lang w:eastAsia="zh-CN"/>
              </w:rPr>
              <w:t>régissant</w:t>
            </w:r>
            <w:r w:rsidRPr="00F77964">
              <w:rPr>
                <w:rFonts w:eastAsia="SimSun"/>
                <w:sz w:val="18"/>
                <w:szCs w:val="18"/>
                <w:lang w:eastAsia="zh-CN"/>
              </w:rPr>
              <w:t xml:space="preserve"> les communication</w:t>
            </w:r>
            <w:r w:rsidR="00D70ECF">
              <w:rPr>
                <w:rFonts w:eastAsia="SimSun"/>
                <w:sz w:val="18"/>
                <w:szCs w:val="18"/>
                <w:lang w:eastAsia="zh-CN"/>
              </w:rPr>
              <w:t>s</w:t>
            </w:r>
            <w:r w:rsidRPr="00F77964">
              <w:rPr>
                <w:rFonts w:eastAsia="SimSun"/>
                <w:sz w:val="18"/>
                <w:szCs w:val="18"/>
                <w:lang w:eastAsia="zh-CN"/>
              </w:rPr>
              <w:t xml:space="preserve"> de la Plateforme</w:t>
            </w:r>
          </w:p>
        </w:tc>
      </w:tr>
      <w:tr w:rsidR="00A7296F" w:rsidRPr="0061490E" w:rsidTr="00EA72DB">
        <w:trPr>
          <w:trHeight w:val="600"/>
        </w:trPr>
        <w:tc>
          <w:tcPr>
            <w:tcW w:w="0" w:type="auto"/>
            <w:tcBorders>
              <w:top w:val="nil"/>
              <w:left w:val="single" w:sz="4" w:space="0" w:color="auto"/>
              <w:bottom w:val="nil"/>
              <w:right w:val="single" w:sz="4" w:space="0" w:color="auto"/>
            </w:tcBorders>
            <w:hideMark/>
          </w:tcPr>
          <w:p w:rsidR="00A7296F" w:rsidRPr="0061490E" w:rsidRDefault="00A7296F" w:rsidP="00EA72DB">
            <w:pPr>
              <w:rPr>
                <w:rFonts w:eastAsia="SimSun"/>
                <w:sz w:val="18"/>
                <w:szCs w:val="18"/>
                <w:lang w:eastAsia="zh-CN"/>
              </w:rPr>
            </w:pPr>
          </w:p>
        </w:tc>
        <w:tc>
          <w:tcPr>
            <w:tcW w:w="0" w:type="auto"/>
            <w:tcBorders>
              <w:top w:val="nil"/>
              <w:left w:val="single" w:sz="4" w:space="0" w:color="auto"/>
              <w:bottom w:val="nil"/>
              <w:right w:val="single" w:sz="4" w:space="0" w:color="auto"/>
            </w:tcBorders>
            <w:hideMark/>
          </w:tcPr>
          <w:p w:rsidR="00A7296F" w:rsidRPr="0061490E" w:rsidRDefault="00A7296F" w:rsidP="00EA72DB">
            <w:pPr>
              <w:rPr>
                <w:rFonts w:eastAsia="SimSun"/>
                <w:sz w:val="18"/>
                <w:szCs w:val="18"/>
                <w:lang w:eastAsia="zh-CN"/>
              </w:rPr>
            </w:pPr>
          </w:p>
        </w:tc>
        <w:tc>
          <w:tcPr>
            <w:tcW w:w="5651" w:type="dxa"/>
            <w:tcBorders>
              <w:top w:val="single" w:sz="4" w:space="0" w:color="auto"/>
              <w:left w:val="single" w:sz="4" w:space="0" w:color="auto"/>
              <w:bottom w:val="single" w:sz="4" w:space="0" w:color="auto"/>
              <w:right w:val="single" w:sz="4" w:space="0" w:color="auto"/>
            </w:tcBorders>
            <w:hideMark/>
          </w:tcPr>
          <w:p w:rsidR="00A7296F" w:rsidRPr="00F77964" w:rsidRDefault="00A7296F" w:rsidP="00EA72DB">
            <w:pPr>
              <w:pStyle w:val="Normal-pool"/>
              <w:spacing w:before="40" w:after="40"/>
              <w:rPr>
                <w:rFonts w:eastAsia="SimSun"/>
                <w:sz w:val="18"/>
                <w:szCs w:val="18"/>
                <w:lang w:eastAsia="zh-CN"/>
              </w:rPr>
            </w:pPr>
            <w:r w:rsidRPr="00F77964">
              <w:rPr>
                <w:rFonts w:eastAsia="SimSun"/>
                <w:sz w:val="18"/>
                <w:szCs w:val="18"/>
                <w:lang w:eastAsia="zh-CN"/>
              </w:rPr>
              <w:t xml:space="preserve">La Plénière, à sa deuxième session, étudie les partenaires stratégiques potentiels pour la mise en œuvre </w:t>
            </w:r>
            <w:r w:rsidR="00447AC4">
              <w:rPr>
                <w:rFonts w:eastAsia="SimSun"/>
                <w:sz w:val="18"/>
                <w:szCs w:val="18"/>
                <w:lang w:eastAsia="zh-CN"/>
              </w:rPr>
              <w:t>aussi bien</w:t>
            </w:r>
            <w:r w:rsidRPr="00F77964">
              <w:rPr>
                <w:rFonts w:eastAsia="SimSun"/>
                <w:sz w:val="18"/>
                <w:szCs w:val="18"/>
                <w:lang w:eastAsia="zh-CN"/>
              </w:rPr>
              <w:t xml:space="preserve"> de la </w:t>
            </w:r>
            <w:r w:rsidR="00447AC4">
              <w:rPr>
                <w:rFonts w:eastAsia="SimSun"/>
                <w:sz w:val="18"/>
                <w:szCs w:val="18"/>
                <w:lang w:eastAsia="zh-CN"/>
              </w:rPr>
              <w:t>stratégie de mobilisation</w:t>
            </w:r>
            <w:r w:rsidRPr="00F77964">
              <w:rPr>
                <w:rFonts w:eastAsia="SimSun"/>
                <w:sz w:val="18"/>
                <w:szCs w:val="18"/>
                <w:lang w:eastAsia="zh-CN"/>
              </w:rPr>
              <w:t xml:space="preserve"> des parties prenantes </w:t>
            </w:r>
            <w:r w:rsidR="00447AC4">
              <w:rPr>
                <w:rFonts w:eastAsia="SimSun"/>
                <w:sz w:val="18"/>
                <w:szCs w:val="18"/>
                <w:lang w:eastAsia="zh-CN"/>
              </w:rPr>
              <w:t>que</w:t>
            </w:r>
            <w:r w:rsidRPr="00F77964">
              <w:rPr>
                <w:rFonts w:eastAsia="SimSun"/>
                <w:sz w:val="18"/>
                <w:szCs w:val="18"/>
                <w:lang w:eastAsia="zh-CN"/>
              </w:rPr>
              <w:t xml:space="preserve"> de la stratégie de communication et </w:t>
            </w:r>
            <w:r>
              <w:rPr>
                <w:rFonts w:eastAsia="SimSun"/>
                <w:sz w:val="18"/>
                <w:szCs w:val="18"/>
                <w:lang w:eastAsia="zh-CN"/>
              </w:rPr>
              <w:t>d’animation</w:t>
            </w:r>
          </w:p>
        </w:tc>
      </w:tr>
      <w:tr w:rsidR="00A7296F" w:rsidRPr="0061490E" w:rsidTr="00EA72DB">
        <w:trPr>
          <w:trHeight w:val="242"/>
        </w:trPr>
        <w:tc>
          <w:tcPr>
            <w:tcW w:w="0" w:type="auto"/>
            <w:tcBorders>
              <w:top w:val="nil"/>
              <w:left w:val="single" w:sz="4" w:space="0" w:color="auto"/>
              <w:bottom w:val="single" w:sz="4" w:space="0" w:color="auto"/>
              <w:right w:val="single" w:sz="4" w:space="0" w:color="auto"/>
            </w:tcBorders>
            <w:hideMark/>
          </w:tcPr>
          <w:p w:rsidR="00A7296F" w:rsidRPr="0061490E" w:rsidRDefault="00A7296F" w:rsidP="00EA72DB">
            <w:pPr>
              <w:rPr>
                <w:rFonts w:eastAsia="SimSun"/>
                <w:sz w:val="18"/>
                <w:szCs w:val="18"/>
                <w:lang w:eastAsia="zh-CN"/>
              </w:rPr>
            </w:pPr>
          </w:p>
        </w:tc>
        <w:tc>
          <w:tcPr>
            <w:tcW w:w="0" w:type="auto"/>
            <w:tcBorders>
              <w:top w:val="nil"/>
              <w:left w:val="single" w:sz="4" w:space="0" w:color="auto"/>
              <w:bottom w:val="single" w:sz="4" w:space="0" w:color="auto"/>
              <w:right w:val="single" w:sz="4" w:space="0" w:color="auto"/>
            </w:tcBorders>
            <w:hideMark/>
          </w:tcPr>
          <w:p w:rsidR="00A7296F" w:rsidRPr="0061490E" w:rsidRDefault="00A7296F" w:rsidP="00EA72DB">
            <w:pPr>
              <w:rPr>
                <w:rFonts w:eastAsia="SimSun"/>
                <w:sz w:val="18"/>
                <w:szCs w:val="18"/>
                <w:lang w:eastAsia="zh-CN"/>
              </w:rPr>
            </w:pPr>
          </w:p>
        </w:tc>
        <w:tc>
          <w:tcPr>
            <w:tcW w:w="5651" w:type="dxa"/>
            <w:tcBorders>
              <w:top w:val="single" w:sz="4" w:space="0" w:color="auto"/>
              <w:left w:val="single" w:sz="4" w:space="0" w:color="auto"/>
              <w:bottom w:val="single" w:sz="4" w:space="0" w:color="auto"/>
              <w:right w:val="single" w:sz="4" w:space="0" w:color="auto"/>
            </w:tcBorders>
            <w:hideMark/>
          </w:tcPr>
          <w:p w:rsidR="00A7296F" w:rsidRPr="00F77964" w:rsidRDefault="00A7296F" w:rsidP="00EA72DB">
            <w:pPr>
              <w:pStyle w:val="Normal-pool"/>
              <w:spacing w:before="40" w:after="40"/>
              <w:rPr>
                <w:rFonts w:eastAsia="SimSun"/>
                <w:sz w:val="18"/>
                <w:szCs w:val="18"/>
                <w:lang w:eastAsia="zh-CN"/>
              </w:rPr>
            </w:pPr>
            <w:r w:rsidRPr="00F77964">
              <w:rPr>
                <w:rFonts w:eastAsia="SimSun"/>
                <w:sz w:val="18"/>
                <w:szCs w:val="18"/>
                <w:lang w:eastAsia="zh-CN"/>
              </w:rPr>
              <w:t>La Plénière, à sa deuxième session, étudie les offres potentielles d’appui technique en nature et demande au Bureau et au secrétariat d’établir les dispositions institutionnelles nécessaires pour donner effet à cet appui technique</w:t>
            </w:r>
          </w:p>
        </w:tc>
      </w:tr>
      <w:tr w:rsidR="001D6913" w:rsidRPr="0061490E" w:rsidTr="00EA72DB">
        <w:trPr>
          <w:trHeight w:val="357"/>
        </w:trPr>
        <w:tc>
          <w:tcPr>
            <w:tcW w:w="637" w:type="dxa"/>
            <w:vMerge w:val="restart"/>
            <w:tcBorders>
              <w:top w:val="single" w:sz="4" w:space="0" w:color="auto"/>
              <w:left w:val="single" w:sz="4" w:space="0" w:color="auto"/>
              <w:bottom w:val="single" w:sz="4" w:space="0" w:color="auto"/>
              <w:right w:val="single" w:sz="4" w:space="0" w:color="auto"/>
            </w:tcBorders>
            <w:hideMark/>
          </w:tcPr>
          <w:p w:rsidR="001D6913" w:rsidRPr="00F77964" w:rsidRDefault="001D6913" w:rsidP="00EA72DB">
            <w:pPr>
              <w:pStyle w:val="Normal-pool"/>
              <w:spacing w:before="40" w:after="40"/>
              <w:rPr>
                <w:rFonts w:eastAsia="SimSun"/>
                <w:sz w:val="18"/>
                <w:szCs w:val="18"/>
                <w:lang w:eastAsia="zh-CN"/>
              </w:rPr>
            </w:pPr>
            <w:r w:rsidRPr="00F77964">
              <w:rPr>
                <w:rFonts w:eastAsia="SimSun"/>
                <w:sz w:val="18"/>
                <w:szCs w:val="18"/>
                <w:lang w:eastAsia="zh-CN"/>
              </w:rPr>
              <w:lastRenderedPageBreak/>
              <w:t>2014</w:t>
            </w:r>
          </w:p>
        </w:tc>
        <w:tc>
          <w:tcPr>
            <w:tcW w:w="1706" w:type="dxa"/>
            <w:tcBorders>
              <w:top w:val="single" w:sz="4" w:space="0" w:color="auto"/>
              <w:left w:val="single" w:sz="4" w:space="0" w:color="auto"/>
              <w:bottom w:val="single" w:sz="4" w:space="0" w:color="auto"/>
              <w:right w:val="single" w:sz="4" w:space="0" w:color="auto"/>
            </w:tcBorders>
            <w:hideMark/>
          </w:tcPr>
          <w:p w:rsidR="001D6913" w:rsidRPr="00F77964" w:rsidRDefault="001D6913" w:rsidP="00EA72DB">
            <w:pPr>
              <w:pStyle w:val="Normal-pool"/>
              <w:spacing w:before="40" w:after="40"/>
              <w:rPr>
                <w:rFonts w:eastAsia="SimSun"/>
                <w:sz w:val="18"/>
                <w:szCs w:val="18"/>
                <w:lang w:eastAsia="zh-CN"/>
              </w:rPr>
            </w:pPr>
            <w:r w:rsidRPr="00F77964">
              <w:rPr>
                <w:rFonts w:eastAsia="SimSun"/>
                <w:sz w:val="18"/>
                <w:szCs w:val="18"/>
                <w:lang w:eastAsia="zh-CN"/>
              </w:rPr>
              <w:t>Premier trimestre</w:t>
            </w:r>
          </w:p>
        </w:tc>
        <w:tc>
          <w:tcPr>
            <w:tcW w:w="5651" w:type="dxa"/>
            <w:tcBorders>
              <w:top w:val="single" w:sz="4" w:space="0" w:color="auto"/>
              <w:left w:val="single" w:sz="4" w:space="0" w:color="auto"/>
              <w:bottom w:val="single" w:sz="4" w:space="0" w:color="auto"/>
              <w:right w:val="single" w:sz="4" w:space="0" w:color="auto"/>
            </w:tcBorders>
            <w:hideMark/>
          </w:tcPr>
          <w:p w:rsidR="001D6913" w:rsidRPr="00F77964" w:rsidRDefault="001D6913" w:rsidP="00EA72DB">
            <w:pPr>
              <w:pStyle w:val="Normal-pool"/>
              <w:spacing w:before="40" w:after="40"/>
              <w:rPr>
                <w:rFonts w:eastAsia="SimSun"/>
                <w:sz w:val="18"/>
                <w:szCs w:val="18"/>
                <w:lang w:eastAsia="zh-CN"/>
              </w:rPr>
            </w:pPr>
            <w:r w:rsidRPr="00F77964">
              <w:rPr>
                <w:rFonts w:eastAsia="SimSun"/>
                <w:sz w:val="18"/>
                <w:szCs w:val="18"/>
                <w:lang w:eastAsia="zh-CN"/>
              </w:rPr>
              <w:t xml:space="preserve">Le Bureau et le </w:t>
            </w:r>
            <w:r w:rsidR="004A022B" w:rsidRPr="00F77964">
              <w:rPr>
                <w:rFonts w:eastAsia="SimSun"/>
                <w:sz w:val="18"/>
                <w:szCs w:val="18"/>
                <w:lang w:eastAsia="zh-CN"/>
              </w:rPr>
              <w:t>s</w:t>
            </w:r>
            <w:r w:rsidRPr="00F77964">
              <w:rPr>
                <w:rFonts w:eastAsia="SimSun"/>
                <w:sz w:val="18"/>
                <w:szCs w:val="18"/>
                <w:lang w:eastAsia="zh-CN"/>
              </w:rPr>
              <w:t xml:space="preserve">ecrétariat établissent les </w:t>
            </w:r>
            <w:r w:rsidR="004A022B" w:rsidRPr="00F77964">
              <w:rPr>
                <w:rFonts w:eastAsia="SimSun"/>
                <w:sz w:val="18"/>
                <w:szCs w:val="18"/>
                <w:lang w:eastAsia="zh-CN"/>
              </w:rPr>
              <w:t xml:space="preserve">différents </w:t>
            </w:r>
            <w:r w:rsidRPr="00F77964">
              <w:rPr>
                <w:rFonts w:eastAsia="SimSun"/>
                <w:sz w:val="18"/>
                <w:szCs w:val="18"/>
                <w:lang w:eastAsia="zh-CN"/>
              </w:rPr>
              <w:t xml:space="preserve">accords </w:t>
            </w:r>
            <w:r w:rsidR="004A022B" w:rsidRPr="00F77964">
              <w:rPr>
                <w:rFonts w:eastAsia="SimSun"/>
                <w:sz w:val="18"/>
                <w:szCs w:val="18"/>
                <w:lang w:eastAsia="zh-CN"/>
              </w:rPr>
              <w:t>de</w:t>
            </w:r>
            <w:r w:rsidRPr="00F77964">
              <w:rPr>
                <w:rFonts w:eastAsia="SimSun"/>
                <w:sz w:val="18"/>
                <w:szCs w:val="18"/>
                <w:lang w:eastAsia="zh-CN"/>
              </w:rPr>
              <w:t xml:space="preserve"> partenariat stratégique avec les institutions</w:t>
            </w:r>
            <w:r w:rsidR="004A022B" w:rsidRPr="00F77964">
              <w:rPr>
                <w:rFonts w:eastAsia="SimSun"/>
                <w:sz w:val="18"/>
                <w:szCs w:val="18"/>
                <w:lang w:eastAsia="zh-CN"/>
              </w:rPr>
              <w:t>,</w:t>
            </w:r>
            <w:r w:rsidRPr="00F77964">
              <w:rPr>
                <w:rFonts w:eastAsia="SimSun"/>
                <w:sz w:val="18"/>
                <w:szCs w:val="18"/>
                <w:lang w:eastAsia="zh-CN"/>
              </w:rPr>
              <w:t xml:space="preserve"> réseaux et initiatives choisis ainsi que les dispositions institutionnelles nécessaires pour donner effet à </w:t>
            </w:r>
            <w:r w:rsidR="004A022B" w:rsidRPr="00F77964">
              <w:rPr>
                <w:rFonts w:eastAsia="SimSun"/>
                <w:sz w:val="18"/>
                <w:szCs w:val="18"/>
                <w:lang w:eastAsia="zh-CN"/>
              </w:rPr>
              <w:t xml:space="preserve">cet </w:t>
            </w:r>
            <w:r w:rsidRPr="00F77964">
              <w:rPr>
                <w:rFonts w:eastAsia="SimSun"/>
                <w:sz w:val="18"/>
                <w:szCs w:val="18"/>
                <w:lang w:eastAsia="zh-CN"/>
              </w:rPr>
              <w:t>appui technique</w:t>
            </w:r>
          </w:p>
        </w:tc>
      </w:tr>
      <w:tr w:rsidR="001D6913" w:rsidRPr="0061490E" w:rsidTr="00EA72DB">
        <w:trPr>
          <w:trHeight w:val="694"/>
        </w:trPr>
        <w:tc>
          <w:tcPr>
            <w:tcW w:w="0" w:type="auto"/>
            <w:vMerge/>
            <w:tcBorders>
              <w:top w:val="single" w:sz="4" w:space="0" w:color="auto"/>
              <w:left w:val="single" w:sz="4" w:space="0" w:color="auto"/>
              <w:bottom w:val="single" w:sz="4" w:space="0" w:color="auto"/>
              <w:right w:val="single" w:sz="4" w:space="0" w:color="auto"/>
            </w:tcBorders>
            <w:hideMark/>
          </w:tcPr>
          <w:p w:rsidR="001D6913" w:rsidRPr="0061490E" w:rsidRDefault="001D6913" w:rsidP="00EA72DB">
            <w:pPr>
              <w:rPr>
                <w:rFonts w:eastAsia="SimSun"/>
                <w:sz w:val="18"/>
                <w:szCs w:val="18"/>
                <w:lang w:eastAsia="zh-CN"/>
              </w:rPr>
            </w:pPr>
          </w:p>
        </w:tc>
        <w:tc>
          <w:tcPr>
            <w:tcW w:w="1706" w:type="dxa"/>
            <w:tcBorders>
              <w:top w:val="single" w:sz="4" w:space="0" w:color="auto"/>
              <w:left w:val="single" w:sz="4" w:space="0" w:color="auto"/>
              <w:bottom w:val="nil"/>
              <w:right w:val="single" w:sz="4" w:space="0" w:color="auto"/>
            </w:tcBorders>
            <w:hideMark/>
          </w:tcPr>
          <w:p w:rsidR="001D6913" w:rsidRPr="00F77964" w:rsidRDefault="001D6913" w:rsidP="00EA72DB">
            <w:pPr>
              <w:pStyle w:val="Normal-pool"/>
              <w:spacing w:before="40" w:after="40"/>
              <w:rPr>
                <w:rFonts w:eastAsia="SimSun"/>
                <w:sz w:val="18"/>
                <w:szCs w:val="18"/>
                <w:lang w:eastAsia="zh-CN"/>
              </w:rPr>
            </w:pPr>
            <w:r w:rsidRPr="00F77964">
              <w:rPr>
                <w:rFonts w:eastAsia="SimSun"/>
                <w:sz w:val="18"/>
                <w:szCs w:val="18"/>
                <w:lang w:eastAsia="zh-CN"/>
              </w:rPr>
              <w:t>Premier/deuxième /troisième/quatrième trimestres</w:t>
            </w:r>
          </w:p>
        </w:tc>
        <w:tc>
          <w:tcPr>
            <w:tcW w:w="5651" w:type="dxa"/>
            <w:tcBorders>
              <w:top w:val="single" w:sz="4" w:space="0" w:color="auto"/>
              <w:left w:val="single" w:sz="4" w:space="0" w:color="auto"/>
              <w:bottom w:val="single" w:sz="4" w:space="0" w:color="auto"/>
              <w:right w:val="single" w:sz="4" w:space="0" w:color="auto"/>
            </w:tcBorders>
            <w:hideMark/>
          </w:tcPr>
          <w:p w:rsidR="001D6913" w:rsidRPr="00F77964" w:rsidRDefault="001D6913" w:rsidP="00EA72DB">
            <w:pPr>
              <w:pStyle w:val="Normal-pool"/>
              <w:spacing w:before="40" w:after="40"/>
              <w:rPr>
                <w:rFonts w:eastAsia="SimSun"/>
                <w:sz w:val="18"/>
                <w:szCs w:val="18"/>
                <w:lang w:eastAsia="zh-CN"/>
              </w:rPr>
            </w:pPr>
            <w:r w:rsidRPr="00F77964">
              <w:rPr>
                <w:rFonts w:eastAsia="SimSun"/>
                <w:sz w:val="18"/>
                <w:szCs w:val="18"/>
                <w:lang w:eastAsia="zh-CN"/>
              </w:rPr>
              <w:t xml:space="preserve">Le </w:t>
            </w:r>
            <w:r w:rsidR="004A022B" w:rsidRPr="00F77964">
              <w:rPr>
                <w:rFonts w:eastAsia="SimSun"/>
                <w:sz w:val="18"/>
                <w:szCs w:val="18"/>
                <w:lang w:eastAsia="zh-CN"/>
              </w:rPr>
              <w:t>s</w:t>
            </w:r>
            <w:r w:rsidRPr="00F77964">
              <w:rPr>
                <w:rFonts w:eastAsia="SimSun"/>
                <w:sz w:val="18"/>
                <w:szCs w:val="18"/>
                <w:lang w:eastAsia="zh-CN"/>
              </w:rPr>
              <w:t>ecrétariat, sous la supervision du Bureau et en coopération avec le Groupe d’experts multidisciplinaire</w:t>
            </w:r>
            <w:r w:rsidR="00831077" w:rsidRPr="00F77964">
              <w:rPr>
                <w:rFonts w:eastAsia="SimSun"/>
                <w:sz w:val="18"/>
                <w:szCs w:val="18"/>
                <w:lang w:eastAsia="zh-CN"/>
              </w:rPr>
              <w:t>,</w:t>
            </w:r>
            <w:r w:rsidRPr="00F77964">
              <w:rPr>
                <w:rFonts w:eastAsia="SimSun"/>
                <w:sz w:val="18"/>
                <w:szCs w:val="18"/>
                <w:lang w:eastAsia="zh-CN"/>
              </w:rPr>
              <w:t xml:space="preserve"> élabore la stratégie de communication et </w:t>
            </w:r>
            <w:r w:rsidR="00F23269">
              <w:rPr>
                <w:rFonts w:eastAsia="SimSun"/>
                <w:sz w:val="18"/>
                <w:szCs w:val="18"/>
                <w:lang w:eastAsia="zh-CN"/>
              </w:rPr>
              <w:t>d’animation</w:t>
            </w:r>
            <w:r w:rsidRPr="00F77964">
              <w:rPr>
                <w:rFonts w:eastAsia="SimSun"/>
                <w:sz w:val="18"/>
                <w:szCs w:val="18"/>
                <w:lang w:eastAsia="zh-CN"/>
              </w:rPr>
              <w:t xml:space="preserve">, </w:t>
            </w:r>
            <w:r w:rsidR="00CA2594">
              <w:rPr>
                <w:rFonts w:eastAsia="SimSun"/>
                <w:sz w:val="18"/>
                <w:szCs w:val="18"/>
                <w:lang w:eastAsia="zh-CN"/>
              </w:rPr>
              <w:t>conformément à la</w:t>
            </w:r>
            <w:r w:rsidRPr="00F77964">
              <w:rPr>
                <w:rFonts w:eastAsia="SimSun"/>
                <w:sz w:val="18"/>
                <w:szCs w:val="18"/>
                <w:lang w:eastAsia="zh-CN"/>
              </w:rPr>
              <w:t xml:space="preserve"> demande </w:t>
            </w:r>
            <w:r w:rsidR="00CA2594">
              <w:rPr>
                <w:rFonts w:eastAsia="SimSun"/>
                <w:sz w:val="18"/>
                <w:szCs w:val="18"/>
                <w:lang w:eastAsia="zh-CN"/>
              </w:rPr>
              <w:t xml:space="preserve">formulée par </w:t>
            </w:r>
            <w:r w:rsidRPr="00F77964">
              <w:rPr>
                <w:rFonts w:eastAsia="SimSun"/>
                <w:sz w:val="18"/>
                <w:szCs w:val="18"/>
                <w:lang w:eastAsia="zh-CN"/>
              </w:rPr>
              <w:t>la Plénière à sa deuxième session</w:t>
            </w:r>
            <w:r w:rsidR="00CA2594">
              <w:rPr>
                <w:rFonts w:eastAsia="SimSun"/>
                <w:sz w:val="18"/>
                <w:szCs w:val="18"/>
                <w:lang w:eastAsia="zh-CN"/>
              </w:rPr>
              <w:t>,</w:t>
            </w:r>
            <w:r w:rsidRPr="00F77964">
              <w:rPr>
                <w:rFonts w:eastAsia="SimSun"/>
                <w:sz w:val="18"/>
                <w:szCs w:val="18"/>
                <w:lang w:eastAsia="zh-CN"/>
              </w:rPr>
              <w:t xml:space="preserve"> pour examen à </w:t>
            </w:r>
            <w:r w:rsidR="00831077" w:rsidRPr="00F77964">
              <w:rPr>
                <w:rFonts w:eastAsia="SimSun"/>
                <w:sz w:val="18"/>
                <w:szCs w:val="18"/>
                <w:lang w:eastAsia="zh-CN"/>
              </w:rPr>
              <w:t>l</w:t>
            </w:r>
            <w:r w:rsidRPr="00F77964">
              <w:rPr>
                <w:rFonts w:eastAsia="SimSun"/>
                <w:sz w:val="18"/>
                <w:szCs w:val="18"/>
                <w:lang w:eastAsia="zh-CN"/>
              </w:rPr>
              <w:t>a troisième session</w:t>
            </w:r>
          </w:p>
        </w:tc>
      </w:tr>
      <w:tr w:rsidR="001D6913" w:rsidRPr="0061490E" w:rsidTr="00EA72DB">
        <w:trPr>
          <w:trHeight w:val="387"/>
        </w:trPr>
        <w:tc>
          <w:tcPr>
            <w:tcW w:w="0" w:type="auto"/>
            <w:vMerge/>
            <w:tcBorders>
              <w:top w:val="single" w:sz="4" w:space="0" w:color="auto"/>
              <w:left w:val="single" w:sz="4" w:space="0" w:color="auto"/>
              <w:bottom w:val="single" w:sz="4" w:space="0" w:color="auto"/>
              <w:right w:val="single" w:sz="4" w:space="0" w:color="auto"/>
            </w:tcBorders>
            <w:hideMark/>
          </w:tcPr>
          <w:p w:rsidR="001D6913" w:rsidRPr="0061490E" w:rsidRDefault="001D6913" w:rsidP="00EA72DB">
            <w:pPr>
              <w:rPr>
                <w:rFonts w:eastAsia="SimSun"/>
                <w:sz w:val="18"/>
                <w:szCs w:val="18"/>
                <w:lang w:eastAsia="zh-CN"/>
              </w:rPr>
            </w:pPr>
          </w:p>
        </w:tc>
        <w:tc>
          <w:tcPr>
            <w:tcW w:w="0" w:type="auto"/>
            <w:tcBorders>
              <w:top w:val="nil"/>
              <w:left w:val="single" w:sz="4" w:space="0" w:color="auto"/>
              <w:bottom w:val="single" w:sz="4" w:space="0" w:color="auto"/>
              <w:right w:val="single" w:sz="4" w:space="0" w:color="auto"/>
            </w:tcBorders>
            <w:hideMark/>
          </w:tcPr>
          <w:p w:rsidR="001D6913" w:rsidRPr="0061490E" w:rsidRDefault="001D6913" w:rsidP="00EA72DB">
            <w:pPr>
              <w:rPr>
                <w:rFonts w:eastAsia="SimSun"/>
                <w:sz w:val="18"/>
                <w:szCs w:val="18"/>
                <w:lang w:eastAsia="zh-CN"/>
              </w:rPr>
            </w:pPr>
          </w:p>
        </w:tc>
        <w:tc>
          <w:tcPr>
            <w:tcW w:w="5651" w:type="dxa"/>
            <w:tcBorders>
              <w:top w:val="single" w:sz="4" w:space="0" w:color="auto"/>
              <w:left w:val="single" w:sz="4" w:space="0" w:color="auto"/>
              <w:bottom w:val="single" w:sz="4" w:space="0" w:color="auto"/>
              <w:right w:val="single" w:sz="4" w:space="0" w:color="auto"/>
            </w:tcBorders>
            <w:hideMark/>
          </w:tcPr>
          <w:p w:rsidR="001D6913" w:rsidRPr="00F77964" w:rsidRDefault="001D6913" w:rsidP="00EA72DB">
            <w:pPr>
              <w:pStyle w:val="Normal-pool"/>
              <w:spacing w:before="40" w:after="40"/>
              <w:rPr>
                <w:rFonts w:eastAsia="SimSun"/>
                <w:sz w:val="18"/>
                <w:szCs w:val="18"/>
                <w:lang w:eastAsia="zh-CN"/>
              </w:rPr>
            </w:pPr>
            <w:r w:rsidRPr="00F77964">
              <w:rPr>
                <w:rFonts w:eastAsia="SimSun"/>
                <w:sz w:val="18"/>
                <w:szCs w:val="18"/>
                <w:lang w:eastAsia="zh-CN"/>
              </w:rPr>
              <w:t>Le plan d</w:t>
            </w:r>
            <w:r w:rsidR="00CA2594">
              <w:rPr>
                <w:rFonts w:eastAsia="SimSun"/>
                <w:sz w:val="18"/>
                <w:szCs w:val="18"/>
                <w:lang w:eastAsia="zh-CN"/>
              </w:rPr>
              <w:t>e mobilis</w:t>
            </w:r>
            <w:r w:rsidRPr="00F77964">
              <w:rPr>
                <w:rFonts w:eastAsia="SimSun"/>
                <w:sz w:val="18"/>
                <w:szCs w:val="18"/>
                <w:lang w:eastAsia="zh-CN"/>
              </w:rPr>
              <w:t xml:space="preserve">ation des parties prenantes est mis au point conformément à </w:t>
            </w:r>
            <w:r w:rsidR="00CA2594">
              <w:rPr>
                <w:rFonts w:eastAsia="SimSun"/>
                <w:sz w:val="18"/>
                <w:szCs w:val="18"/>
                <w:lang w:eastAsia="zh-CN"/>
              </w:rPr>
              <w:t>la</w:t>
            </w:r>
            <w:r w:rsidRPr="00F77964">
              <w:rPr>
                <w:rFonts w:eastAsia="SimSun"/>
                <w:sz w:val="18"/>
                <w:szCs w:val="18"/>
                <w:lang w:eastAsia="zh-CN"/>
              </w:rPr>
              <w:t xml:space="preserve"> demande </w:t>
            </w:r>
            <w:r w:rsidR="00CA2594">
              <w:rPr>
                <w:rFonts w:eastAsia="SimSun"/>
                <w:sz w:val="18"/>
                <w:szCs w:val="18"/>
                <w:lang w:eastAsia="zh-CN"/>
              </w:rPr>
              <w:t>formulée par</w:t>
            </w:r>
            <w:r w:rsidRPr="00F77964">
              <w:rPr>
                <w:rFonts w:eastAsia="SimSun"/>
                <w:sz w:val="18"/>
                <w:szCs w:val="18"/>
                <w:lang w:eastAsia="zh-CN"/>
              </w:rPr>
              <w:t xml:space="preserve"> la Plénière à sa deuxième session</w:t>
            </w:r>
            <w:r w:rsidR="00CA2594">
              <w:rPr>
                <w:rFonts w:eastAsia="SimSun"/>
                <w:sz w:val="18"/>
                <w:szCs w:val="18"/>
                <w:lang w:eastAsia="zh-CN"/>
              </w:rPr>
              <w:t>,</w:t>
            </w:r>
            <w:r w:rsidRPr="00F77964">
              <w:rPr>
                <w:rFonts w:eastAsia="SimSun"/>
                <w:sz w:val="18"/>
                <w:szCs w:val="18"/>
                <w:lang w:eastAsia="zh-CN"/>
              </w:rPr>
              <w:t xml:space="preserve"> pour examen </w:t>
            </w:r>
            <w:r w:rsidR="00831077" w:rsidRPr="00F77964">
              <w:rPr>
                <w:rFonts w:eastAsia="SimSun"/>
                <w:sz w:val="18"/>
                <w:szCs w:val="18"/>
                <w:lang w:eastAsia="zh-CN"/>
              </w:rPr>
              <w:t>à la</w:t>
            </w:r>
            <w:r w:rsidRPr="00F77964">
              <w:rPr>
                <w:rFonts w:eastAsia="SimSun"/>
                <w:sz w:val="18"/>
                <w:szCs w:val="18"/>
                <w:lang w:eastAsia="zh-CN"/>
              </w:rPr>
              <w:t xml:space="preserve"> troisième session</w:t>
            </w:r>
          </w:p>
        </w:tc>
      </w:tr>
      <w:tr w:rsidR="001D6913" w:rsidRPr="0061490E" w:rsidTr="00EA72DB">
        <w:trPr>
          <w:trHeight w:val="57"/>
        </w:trPr>
        <w:tc>
          <w:tcPr>
            <w:tcW w:w="637" w:type="dxa"/>
            <w:vMerge w:val="restart"/>
            <w:tcBorders>
              <w:top w:val="single" w:sz="4" w:space="0" w:color="auto"/>
              <w:left w:val="single" w:sz="4" w:space="0" w:color="auto"/>
              <w:bottom w:val="single" w:sz="4" w:space="0" w:color="auto"/>
              <w:right w:val="single" w:sz="4" w:space="0" w:color="auto"/>
            </w:tcBorders>
            <w:hideMark/>
          </w:tcPr>
          <w:p w:rsidR="001D6913" w:rsidRPr="00F77964" w:rsidRDefault="001D6913" w:rsidP="00EA72DB">
            <w:pPr>
              <w:pStyle w:val="Normal-pool"/>
              <w:spacing w:before="40" w:after="40"/>
              <w:rPr>
                <w:rFonts w:eastAsia="SimSun"/>
                <w:sz w:val="18"/>
                <w:szCs w:val="18"/>
                <w:lang w:eastAsia="zh-CN"/>
              </w:rPr>
            </w:pPr>
            <w:r w:rsidRPr="00F77964">
              <w:rPr>
                <w:rFonts w:eastAsia="SimSun"/>
                <w:sz w:val="18"/>
                <w:szCs w:val="18"/>
                <w:lang w:eastAsia="zh-CN"/>
              </w:rPr>
              <w:t>2015</w:t>
            </w:r>
          </w:p>
        </w:tc>
        <w:tc>
          <w:tcPr>
            <w:tcW w:w="1706" w:type="dxa"/>
            <w:tcBorders>
              <w:top w:val="single" w:sz="4" w:space="0" w:color="auto"/>
              <w:left w:val="single" w:sz="4" w:space="0" w:color="auto"/>
              <w:bottom w:val="nil"/>
              <w:right w:val="single" w:sz="4" w:space="0" w:color="auto"/>
            </w:tcBorders>
            <w:hideMark/>
          </w:tcPr>
          <w:p w:rsidR="001D6913" w:rsidRPr="00F77964" w:rsidRDefault="001D6913" w:rsidP="00EA72DB">
            <w:pPr>
              <w:pStyle w:val="Normal-pool"/>
              <w:spacing w:before="40" w:after="40"/>
              <w:rPr>
                <w:rFonts w:eastAsia="SimSun"/>
                <w:sz w:val="18"/>
                <w:szCs w:val="18"/>
                <w:lang w:eastAsia="zh-CN"/>
              </w:rPr>
            </w:pPr>
            <w:r w:rsidRPr="00F77964">
              <w:rPr>
                <w:rFonts w:eastAsia="SimSun"/>
                <w:sz w:val="18"/>
                <w:szCs w:val="18"/>
                <w:lang w:eastAsia="zh-CN"/>
              </w:rPr>
              <w:t>Premier trimestre</w:t>
            </w:r>
          </w:p>
        </w:tc>
        <w:tc>
          <w:tcPr>
            <w:tcW w:w="5651" w:type="dxa"/>
            <w:tcBorders>
              <w:top w:val="single" w:sz="4" w:space="0" w:color="auto"/>
              <w:left w:val="single" w:sz="4" w:space="0" w:color="auto"/>
              <w:bottom w:val="single" w:sz="4" w:space="0" w:color="auto"/>
              <w:right w:val="single" w:sz="4" w:space="0" w:color="auto"/>
            </w:tcBorders>
            <w:hideMark/>
          </w:tcPr>
          <w:p w:rsidR="001D6913" w:rsidRPr="00F77964" w:rsidRDefault="001D6913" w:rsidP="00EA72DB">
            <w:pPr>
              <w:pStyle w:val="Normal-pool"/>
              <w:spacing w:before="40" w:after="40"/>
              <w:rPr>
                <w:rFonts w:eastAsia="SimSun"/>
                <w:sz w:val="18"/>
                <w:szCs w:val="18"/>
                <w:lang w:eastAsia="zh-CN"/>
              </w:rPr>
            </w:pPr>
            <w:r w:rsidRPr="00F77964">
              <w:rPr>
                <w:rFonts w:eastAsia="SimSun"/>
                <w:sz w:val="18"/>
                <w:szCs w:val="18"/>
                <w:lang w:eastAsia="zh-CN"/>
              </w:rPr>
              <w:t>La Plénière</w:t>
            </w:r>
            <w:r w:rsidR="00831077" w:rsidRPr="00F77964">
              <w:rPr>
                <w:rFonts w:eastAsia="SimSun"/>
                <w:sz w:val="18"/>
                <w:szCs w:val="18"/>
                <w:lang w:eastAsia="zh-CN"/>
              </w:rPr>
              <w:t>,</w:t>
            </w:r>
            <w:r w:rsidRPr="00F77964">
              <w:rPr>
                <w:rFonts w:eastAsia="SimSun"/>
                <w:sz w:val="18"/>
                <w:szCs w:val="18"/>
                <w:lang w:eastAsia="zh-CN"/>
              </w:rPr>
              <w:t xml:space="preserve"> à sa troisième session</w:t>
            </w:r>
            <w:r w:rsidR="00831077" w:rsidRPr="00F77964">
              <w:rPr>
                <w:rFonts w:eastAsia="SimSun"/>
                <w:sz w:val="18"/>
                <w:szCs w:val="18"/>
                <w:lang w:eastAsia="zh-CN"/>
              </w:rPr>
              <w:t>,</w:t>
            </w:r>
            <w:r w:rsidRPr="00F77964">
              <w:rPr>
                <w:rFonts w:eastAsia="SimSun"/>
                <w:sz w:val="18"/>
                <w:szCs w:val="18"/>
                <w:lang w:eastAsia="zh-CN"/>
              </w:rPr>
              <w:t xml:space="preserve"> </w:t>
            </w:r>
            <w:r w:rsidR="00CA2594">
              <w:rPr>
                <w:rFonts w:eastAsia="SimSun"/>
                <w:sz w:val="18"/>
                <w:szCs w:val="18"/>
                <w:lang w:eastAsia="zh-CN"/>
              </w:rPr>
              <w:t>étudie la possibilité d’</w:t>
            </w:r>
            <w:r w:rsidRPr="00F77964">
              <w:rPr>
                <w:rFonts w:eastAsia="SimSun"/>
                <w:sz w:val="18"/>
                <w:szCs w:val="18"/>
                <w:lang w:eastAsia="zh-CN"/>
              </w:rPr>
              <w:t>adopter sa première stratégie de communication</w:t>
            </w:r>
          </w:p>
        </w:tc>
      </w:tr>
      <w:tr w:rsidR="001D6913" w:rsidRPr="0061490E" w:rsidTr="00EA72DB">
        <w:trPr>
          <w:trHeight w:val="279"/>
        </w:trPr>
        <w:tc>
          <w:tcPr>
            <w:tcW w:w="0" w:type="auto"/>
            <w:vMerge/>
            <w:tcBorders>
              <w:top w:val="single" w:sz="4" w:space="0" w:color="auto"/>
              <w:left w:val="single" w:sz="4" w:space="0" w:color="auto"/>
              <w:bottom w:val="single" w:sz="4" w:space="0" w:color="auto"/>
              <w:right w:val="single" w:sz="4" w:space="0" w:color="auto"/>
            </w:tcBorders>
            <w:hideMark/>
          </w:tcPr>
          <w:p w:rsidR="001D6913" w:rsidRPr="0061490E" w:rsidRDefault="001D6913" w:rsidP="00EA72DB">
            <w:pPr>
              <w:rPr>
                <w:rFonts w:eastAsia="SimSun"/>
                <w:sz w:val="18"/>
                <w:szCs w:val="18"/>
                <w:lang w:eastAsia="zh-CN"/>
              </w:rPr>
            </w:pPr>
          </w:p>
        </w:tc>
        <w:tc>
          <w:tcPr>
            <w:tcW w:w="0" w:type="auto"/>
            <w:tcBorders>
              <w:top w:val="nil"/>
              <w:left w:val="single" w:sz="4" w:space="0" w:color="auto"/>
              <w:bottom w:val="single" w:sz="4" w:space="0" w:color="auto"/>
              <w:right w:val="single" w:sz="4" w:space="0" w:color="auto"/>
            </w:tcBorders>
            <w:hideMark/>
          </w:tcPr>
          <w:p w:rsidR="001D6913" w:rsidRPr="0061490E" w:rsidRDefault="001D6913" w:rsidP="00EA72DB">
            <w:pPr>
              <w:rPr>
                <w:rFonts w:eastAsia="SimSun"/>
                <w:sz w:val="18"/>
                <w:szCs w:val="18"/>
                <w:lang w:eastAsia="zh-CN"/>
              </w:rPr>
            </w:pPr>
          </w:p>
        </w:tc>
        <w:tc>
          <w:tcPr>
            <w:tcW w:w="5651" w:type="dxa"/>
            <w:tcBorders>
              <w:top w:val="single" w:sz="4" w:space="0" w:color="auto"/>
              <w:left w:val="single" w:sz="4" w:space="0" w:color="auto"/>
              <w:bottom w:val="single" w:sz="4" w:space="0" w:color="auto"/>
              <w:right w:val="single" w:sz="4" w:space="0" w:color="auto"/>
            </w:tcBorders>
            <w:hideMark/>
          </w:tcPr>
          <w:p w:rsidR="001D6913" w:rsidRPr="00F77964" w:rsidRDefault="001D6913" w:rsidP="00EA72DB">
            <w:pPr>
              <w:pStyle w:val="Normal-pool"/>
              <w:spacing w:before="40" w:after="40"/>
              <w:rPr>
                <w:rFonts w:eastAsia="SimSun"/>
                <w:sz w:val="18"/>
                <w:szCs w:val="18"/>
                <w:lang w:eastAsia="zh-CN"/>
              </w:rPr>
            </w:pPr>
            <w:r w:rsidRPr="00F77964">
              <w:rPr>
                <w:rFonts w:eastAsia="SimSun"/>
                <w:sz w:val="18"/>
                <w:szCs w:val="18"/>
                <w:lang w:eastAsia="zh-CN"/>
              </w:rPr>
              <w:t>La Plénière</w:t>
            </w:r>
            <w:r w:rsidR="00831077" w:rsidRPr="00F77964">
              <w:rPr>
                <w:rFonts w:eastAsia="SimSun"/>
                <w:sz w:val="18"/>
                <w:szCs w:val="18"/>
                <w:lang w:eastAsia="zh-CN"/>
              </w:rPr>
              <w:t>,</w:t>
            </w:r>
            <w:r w:rsidRPr="00F77964">
              <w:rPr>
                <w:rFonts w:eastAsia="SimSun"/>
                <w:sz w:val="18"/>
                <w:szCs w:val="18"/>
                <w:lang w:eastAsia="zh-CN"/>
              </w:rPr>
              <w:t xml:space="preserve"> à sa troisième session</w:t>
            </w:r>
            <w:r w:rsidR="00831077" w:rsidRPr="00F77964">
              <w:rPr>
                <w:rFonts w:eastAsia="SimSun"/>
                <w:sz w:val="18"/>
                <w:szCs w:val="18"/>
                <w:lang w:eastAsia="zh-CN"/>
              </w:rPr>
              <w:t xml:space="preserve">, </w:t>
            </w:r>
            <w:r w:rsidR="00CA2594">
              <w:rPr>
                <w:rFonts w:eastAsia="SimSun"/>
                <w:sz w:val="18"/>
                <w:szCs w:val="18"/>
                <w:lang w:eastAsia="zh-CN"/>
              </w:rPr>
              <w:t>étudie la possibilité d’</w:t>
            </w:r>
            <w:r w:rsidRPr="00F77964">
              <w:rPr>
                <w:rFonts w:eastAsia="SimSun"/>
                <w:sz w:val="18"/>
                <w:szCs w:val="18"/>
                <w:lang w:eastAsia="zh-CN"/>
              </w:rPr>
              <w:t>adopter le plan d</w:t>
            </w:r>
            <w:r w:rsidR="00CA2594">
              <w:rPr>
                <w:rFonts w:eastAsia="SimSun"/>
                <w:sz w:val="18"/>
                <w:szCs w:val="18"/>
                <w:lang w:eastAsia="zh-CN"/>
              </w:rPr>
              <w:t>e mobilis</w:t>
            </w:r>
            <w:r w:rsidRPr="00F77964">
              <w:rPr>
                <w:rFonts w:eastAsia="SimSun"/>
                <w:sz w:val="18"/>
                <w:szCs w:val="18"/>
                <w:lang w:eastAsia="zh-CN"/>
              </w:rPr>
              <w:t>ation des parties prenantes</w:t>
            </w:r>
          </w:p>
        </w:tc>
      </w:tr>
      <w:tr w:rsidR="001D6913" w:rsidRPr="0061490E" w:rsidTr="00EA72DB">
        <w:trPr>
          <w:trHeight w:val="56"/>
        </w:trPr>
        <w:tc>
          <w:tcPr>
            <w:tcW w:w="0" w:type="auto"/>
            <w:vMerge/>
            <w:tcBorders>
              <w:top w:val="single" w:sz="4" w:space="0" w:color="auto"/>
              <w:left w:val="single" w:sz="4" w:space="0" w:color="auto"/>
              <w:bottom w:val="single" w:sz="4" w:space="0" w:color="auto"/>
              <w:right w:val="single" w:sz="4" w:space="0" w:color="auto"/>
            </w:tcBorders>
            <w:hideMark/>
          </w:tcPr>
          <w:p w:rsidR="001D6913" w:rsidRPr="0061490E" w:rsidRDefault="001D6913" w:rsidP="00EA72DB">
            <w:pPr>
              <w:rPr>
                <w:rFonts w:eastAsia="SimSun"/>
                <w:sz w:val="18"/>
                <w:szCs w:val="18"/>
                <w:lang w:eastAsia="zh-CN"/>
              </w:rPr>
            </w:pPr>
          </w:p>
        </w:tc>
        <w:tc>
          <w:tcPr>
            <w:tcW w:w="1706" w:type="dxa"/>
            <w:tcBorders>
              <w:top w:val="single" w:sz="4" w:space="0" w:color="auto"/>
              <w:left w:val="single" w:sz="4" w:space="0" w:color="auto"/>
              <w:bottom w:val="single" w:sz="4" w:space="0" w:color="auto"/>
              <w:right w:val="single" w:sz="4" w:space="0" w:color="auto"/>
            </w:tcBorders>
            <w:hideMark/>
          </w:tcPr>
          <w:p w:rsidR="001D6913" w:rsidRPr="00F77964" w:rsidRDefault="001D6913" w:rsidP="00EA72DB">
            <w:pPr>
              <w:pStyle w:val="Normal-pool"/>
              <w:spacing w:before="40" w:after="40"/>
              <w:rPr>
                <w:rFonts w:eastAsia="SimSun"/>
                <w:sz w:val="18"/>
                <w:szCs w:val="18"/>
                <w:lang w:eastAsia="zh-CN"/>
              </w:rPr>
            </w:pPr>
            <w:r w:rsidRPr="00F77964">
              <w:rPr>
                <w:rFonts w:eastAsia="SimSun"/>
                <w:sz w:val="18"/>
                <w:szCs w:val="18"/>
                <w:lang w:eastAsia="zh-CN"/>
              </w:rPr>
              <w:t>Premier/deuxième/ troisième/quatrième trimestres</w:t>
            </w:r>
          </w:p>
        </w:tc>
        <w:tc>
          <w:tcPr>
            <w:tcW w:w="5651" w:type="dxa"/>
            <w:tcBorders>
              <w:top w:val="single" w:sz="4" w:space="0" w:color="auto"/>
              <w:left w:val="single" w:sz="4" w:space="0" w:color="auto"/>
              <w:bottom w:val="single" w:sz="4" w:space="0" w:color="auto"/>
              <w:right w:val="single" w:sz="4" w:space="0" w:color="auto"/>
            </w:tcBorders>
            <w:hideMark/>
          </w:tcPr>
          <w:p w:rsidR="001D6913" w:rsidRPr="00F77964" w:rsidRDefault="001D6913" w:rsidP="00EA72DB">
            <w:pPr>
              <w:pStyle w:val="Normal-pool"/>
              <w:spacing w:before="40" w:after="40"/>
              <w:rPr>
                <w:rFonts w:eastAsia="SimSun"/>
                <w:sz w:val="18"/>
                <w:szCs w:val="18"/>
                <w:lang w:eastAsia="zh-CN"/>
              </w:rPr>
            </w:pPr>
            <w:r w:rsidRPr="00F77964">
              <w:rPr>
                <w:rFonts w:eastAsia="SimSun"/>
                <w:sz w:val="18"/>
                <w:szCs w:val="18"/>
                <w:lang w:eastAsia="zh-CN"/>
              </w:rPr>
              <w:t xml:space="preserve">Le </w:t>
            </w:r>
            <w:r w:rsidR="00831077" w:rsidRPr="00F77964">
              <w:rPr>
                <w:rFonts w:eastAsia="SimSun"/>
                <w:sz w:val="18"/>
                <w:szCs w:val="18"/>
                <w:lang w:eastAsia="zh-CN"/>
              </w:rPr>
              <w:t>s</w:t>
            </w:r>
            <w:r w:rsidRPr="00F77964">
              <w:rPr>
                <w:rFonts w:eastAsia="SimSun"/>
                <w:sz w:val="18"/>
                <w:szCs w:val="18"/>
                <w:lang w:eastAsia="zh-CN"/>
              </w:rPr>
              <w:t>ecrétariat, en coopération avec le Bureau, le Groupe d’experts multidisciplinaire, les partenaires stratégiques potentiels et les parties concernées, selon que de besoin, met en œuvre le plan d</w:t>
            </w:r>
            <w:r w:rsidR="00210B30">
              <w:rPr>
                <w:rFonts w:eastAsia="SimSun"/>
                <w:sz w:val="18"/>
                <w:szCs w:val="18"/>
                <w:lang w:eastAsia="zh-CN"/>
              </w:rPr>
              <w:t>e mobilis</w:t>
            </w:r>
            <w:r w:rsidRPr="00F77964">
              <w:rPr>
                <w:rFonts w:eastAsia="SimSun"/>
                <w:sz w:val="18"/>
                <w:szCs w:val="18"/>
                <w:lang w:eastAsia="zh-CN"/>
              </w:rPr>
              <w:t xml:space="preserve">ation des parties prenantes et la stratégie de communication et </w:t>
            </w:r>
            <w:r w:rsidR="00F23269">
              <w:rPr>
                <w:rFonts w:eastAsia="SimSun"/>
                <w:sz w:val="18"/>
                <w:szCs w:val="18"/>
                <w:lang w:eastAsia="zh-CN"/>
              </w:rPr>
              <w:t>d’animation</w:t>
            </w:r>
          </w:p>
        </w:tc>
      </w:tr>
      <w:tr w:rsidR="001D6913" w:rsidRPr="0061490E" w:rsidTr="00EA72DB">
        <w:trPr>
          <w:trHeight w:val="217"/>
        </w:trPr>
        <w:tc>
          <w:tcPr>
            <w:tcW w:w="637" w:type="dxa"/>
            <w:vMerge w:val="restart"/>
            <w:tcBorders>
              <w:top w:val="single" w:sz="4" w:space="0" w:color="auto"/>
              <w:left w:val="single" w:sz="4" w:space="0" w:color="auto"/>
              <w:bottom w:val="single" w:sz="4" w:space="0" w:color="auto"/>
              <w:right w:val="single" w:sz="4" w:space="0" w:color="auto"/>
            </w:tcBorders>
            <w:hideMark/>
          </w:tcPr>
          <w:p w:rsidR="001D6913" w:rsidRPr="00F77964" w:rsidRDefault="001D6913" w:rsidP="00EA72DB">
            <w:pPr>
              <w:pStyle w:val="Normal-pool"/>
              <w:spacing w:before="40" w:after="40"/>
              <w:rPr>
                <w:rFonts w:eastAsia="SimSun"/>
                <w:sz w:val="18"/>
                <w:szCs w:val="18"/>
                <w:lang w:eastAsia="zh-CN"/>
              </w:rPr>
            </w:pPr>
            <w:r w:rsidRPr="00F77964">
              <w:rPr>
                <w:rFonts w:eastAsia="SimSun"/>
                <w:sz w:val="18"/>
                <w:szCs w:val="18"/>
                <w:lang w:eastAsia="zh-CN"/>
              </w:rPr>
              <w:t>2016</w:t>
            </w:r>
          </w:p>
        </w:tc>
        <w:tc>
          <w:tcPr>
            <w:tcW w:w="1706" w:type="dxa"/>
            <w:tcBorders>
              <w:top w:val="single" w:sz="4" w:space="0" w:color="auto"/>
              <w:left w:val="single" w:sz="4" w:space="0" w:color="auto"/>
              <w:bottom w:val="single" w:sz="4" w:space="0" w:color="auto"/>
              <w:right w:val="single" w:sz="4" w:space="0" w:color="auto"/>
            </w:tcBorders>
            <w:hideMark/>
          </w:tcPr>
          <w:p w:rsidR="001D6913" w:rsidRPr="00F77964" w:rsidRDefault="001D6913" w:rsidP="00EA72DB">
            <w:pPr>
              <w:pStyle w:val="Normal-pool"/>
              <w:spacing w:before="40" w:after="40"/>
              <w:rPr>
                <w:rFonts w:eastAsia="SimSun"/>
                <w:sz w:val="18"/>
                <w:szCs w:val="18"/>
                <w:lang w:eastAsia="zh-CN"/>
              </w:rPr>
            </w:pPr>
            <w:r w:rsidRPr="00F77964">
              <w:rPr>
                <w:rFonts w:eastAsia="SimSun"/>
                <w:sz w:val="18"/>
                <w:szCs w:val="18"/>
                <w:lang w:eastAsia="zh-CN"/>
              </w:rPr>
              <w:t>Premier trimestre</w:t>
            </w:r>
          </w:p>
        </w:tc>
        <w:tc>
          <w:tcPr>
            <w:tcW w:w="5651" w:type="dxa"/>
            <w:tcBorders>
              <w:top w:val="single" w:sz="4" w:space="0" w:color="auto"/>
              <w:left w:val="single" w:sz="4" w:space="0" w:color="auto"/>
              <w:bottom w:val="single" w:sz="4" w:space="0" w:color="auto"/>
              <w:right w:val="single" w:sz="4" w:space="0" w:color="auto"/>
            </w:tcBorders>
            <w:hideMark/>
          </w:tcPr>
          <w:p w:rsidR="001D6913" w:rsidRPr="00F77964" w:rsidRDefault="001D6913" w:rsidP="00EA72DB">
            <w:pPr>
              <w:pStyle w:val="Normal-pool"/>
              <w:spacing w:before="40" w:after="40"/>
              <w:rPr>
                <w:rFonts w:eastAsia="SimSun"/>
                <w:sz w:val="18"/>
                <w:szCs w:val="18"/>
                <w:lang w:eastAsia="zh-CN"/>
              </w:rPr>
            </w:pPr>
            <w:r w:rsidRPr="00F77964">
              <w:rPr>
                <w:rFonts w:eastAsia="SimSun"/>
                <w:sz w:val="18"/>
                <w:szCs w:val="18"/>
                <w:lang w:eastAsia="zh-CN"/>
              </w:rPr>
              <w:t xml:space="preserve">La Plénière, à sa quatrième session, </w:t>
            </w:r>
            <w:r w:rsidR="0059785D">
              <w:rPr>
                <w:rFonts w:eastAsia="SimSun"/>
                <w:sz w:val="18"/>
                <w:szCs w:val="18"/>
                <w:lang w:eastAsia="zh-CN"/>
              </w:rPr>
              <w:t>sur la base de</w:t>
            </w:r>
            <w:r w:rsidRPr="00F77964">
              <w:rPr>
                <w:rFonts w:eastAsia="SimSun"/>
                <w:sz w:val="18"/>
                <w:szCs w:val="18"/>
                <w:lang w:eastAsia="zh-CN"/>
              </w:rPr>
              <w:t xml:space="preserve"> l’examen à mi-parcours de la </w:t>
            </w:r>
            <w:r w:rsidR="00831077" w:rsidRPr="00F77964">
              <w:rPr>
                <w:rFonts w:eastAsia="SimSun"/>
                <w:sz w:val="18"/>
                <w:szCs w:val="18"/>
                <w:lang w:eastAsia="zh-CN"/>
              </w:rPr>
              <w:t>P</w:t>
            </w:r>
            <w:r w:rsidRPr="00F77964">
              <w:rPr>
                <w:rFonts w:eastAsia="SimSun"/>
                <w:sz w:val="18"/>
                <w:szCs w:val="18"/>
                <w:lang w:eastAsia="zh-CN"/>
              </w:rPr>
              <w:t xml:space="preserve">lateforme, </w:t>
            </w:r>
            <w:r w:rsidR="00831077" w:rsidRPr="00F77964">
              <w:rPr>
                <w:rFonts w:eastAsia="SimSun"/>
                <w:sz w:val="18"/>
                <w:szCs w:val="18"/>
                <w:lang w:eastAsia="zh-CN"/>
              </w:rPr>
              <w:t>étudie</w:t>
            </w:r>
            <w:r w:rsidRPr="00F77964">
              <w:rPr>
                <w:rFonts w:eastAsia="SimSun"/>
                <w:sz w:val="18"/>
                <w:szCs w:val="18"/>
                <w:lang w:eastAsia="zh-CN"/>
              </w:rPr>
              <w:t xml:space="preserve"> la nécessité d’apporter des révisions au </w:t>
            </w:r>
            <w:r w:rsidR="0059785D">
              <w:rPr>
                <w:rFonts w:eastAsia="SimSun"/>
                <w:sz w:val="18"/>
                <w:szCs w:val="18"/>
                <w:lang w:eastAsia="zh-CN"/>
              </w:rPr>
              <w:t>plan de mobilisation des parties</w:t>
            </w:r>
            <w:r w:rsidRPr="00F77964">
              <w:rPr>
                <w:rFonts w:eastAsia="SimSun"/>
                <w:sz w:val="18"/>
                <w:szCs w:val="18"/>
                <w:lang w:eastAsia="zh-CN"/>
              </w:rPr>
              <w:t xml:space="preserve"> prenantes et à la stratégie de communication et </w:t>
            </w:r>
            <w:r w:rsidR="00F23269">
              <w:rPr>
                <w:rFonts w:eastAsia="SimSun"/>
                <w:sz w:val="18"/>
                <w:szCs w:val="18"/>
                <w:lang w:eastAsia="zh-CN"/>
              </w:rPr>
              <w:t>d’animation</w:t>
            </w:r>
            <w:r w:rsidRPr="00F77964">
              <w:rPr>
                <w:rFonts w:eastAsia="SimSun"/>
                <w:sz w:val="18"/>
                <w:szCs w:val="18"/>
                <w:lang w:eastAsia="zh-CN"/>
              </w:rPr>
              <w:t xml:space="preserve">, en particulier </w:t>
            </w:r>
            <w:r w:rsidR="00137B30">
              <w:rPr>
                <w:rFonts w:eastAsia="SimSun"/>
                <w:sz w:val="18"/>
                <w:szCs w:val="18"/>
                <w:lang w:eastAsia="zh-CN"/>
              </w:rPr>
              <w:t>aux fins</w:t>
            </w:r>
            <w:r w:rsidR="00831077" w:rsidRPr="00F77964">
              <w:rPr>
                <w:rFonts w:eastAsia="SimSun"/>
                <w:sz w:val="18"/>
                <w:szCs w:val="18"/>
                <w:lang w:eastAsia="zh-CN"/>
              </w:rPr>
              <w:t xml:space="preserve"> des</w:t>
            </w:r>
            <w:r w:rsidR="00137B30">
              <w:rPr>
                <w:rFonts w:eastAsia="SimSun"/>
                <w:sz w:val="18"/>
                <w:szCs w:val="18"/>
                <w:lang w:eastAsia="zh-CN"/>
              </w:rPr>
              <w:t xml:space="preserve"> prochains</w:t>
            </w:r>
            <w:r w:rsidRPr="00F77964">
              <w:rPr>
                <w:rFonts w:eastAsia="SimSun"/>
                <w:sz w:val="18"/>
                <w:szCs w:val="18"/>
                <w:lang w:eastAsia="zh-CN"/>
              </w:rPr>
              <w:t xml:space="preserve"> produits</w:t>
            </w:r>
          </w:p>
        </w:tc>
      </w:tr>
      <w:tr w:rsidR="001D6913" w:rsidRPr="0061490E" w:rsidTr="00EA72DB">
        <w:trPr>
          <w:trHeight w:val="56"/>
        </w:trPr>
        <w:tc>
          <w:tcPr>
            <w:tcW w:w="0" w:type="auto"/>
            <w:vMerge/>
            <w:tcBorders>
              <w:top w:val="single" w:sz="4" w:space="0" w:color="auto"/>
              <w:left w:val="single" w:sz="4" w:space="0" w:color="auto"/>
              <w:bottom w:val="single" w:sz="4" w:space="0" w:color="auto"/>
              <w:right w:val="single" w:sz="4" w:space="0" w:color="auto"/>
            </w:tcBorders>
            <w:hideMark/>
          </w:tcPr>
          <w:p w:rsidR="001D6913" w:rsidRPr="0061490E" w:rsidRDefault="001D6913" w:rsidP="00EA72DB">
            <w:pPr>
              <w:rPr>
                <w:rFonts w:eastAsia="SimSun"/>
                <w:sz w:val="18"/>
                <w:szCs w:val="18"/>
                <w:lang w:eastAsia="zh-CN"/>
              </w:rPr>
            </w:pPr>
          </w:p>
        </w:tc>
        <w:tc>
          <w:tcPr>
            <w:tcW w:w="1706" w:type="dxa"/>
            <w:tcBorders>
              <w:top w:val="single" w:sz="4" w:space="0" w:color="auto"/>
              <w:left w:val="single" w:sz="4" w:space="0" w:color="auto"/>
              <w:bottom w:val="single" w:sz="4" w:space="0" w:color="auto"/>
              <w:right w:val="single" w:sz="4" w:space="0" w:color="auto"/>
            </w:tcBorders>
            <w:hideMark/>
          </w:tcPr>
          <w:p w:rsidR="001D6913" w:rsidRPr="00F77964" w:rsidRDefault="001D6913" w:rsidP="00EA72DB">
            <w:pPr>
              <w:pStyle w:val="Normal-pool"/>
              <w:spacing w:before="40" w:after="40"/>
              <w:rPr>
                <w:rFonts w:eastAsia="SimSun"/>
                <w:sz w:val="18"/>
                <w:szCs w:val="18"/>
                <w:lang w:eastAsia="zh-CN"/>
              </w:rPr>
            </w:pPr>
            <w:r w:rsidRPr="00F77964">
              <w:rPr>
                <w:rFonts w:eastAsia="SimSun"/>
                <w:sz w:val="18"/>
                <w:szCs w:val="18"/>
                <w:lang w:eastAsia="zh-CN"/>
              </w:rPr>
              <w:t>Premier/deuxième/ troisième/quatrième trimestres</w:t>
            </w:r>
          </w:p>
        </w:tc>
        <w:tc>
          <w:tcPr>
            <w:tcW w:w="5651" w:type="dxa"/>
            <w:tcBorders>
              <w:top w:val="single" w:sz="4" w:space="0" w:color="auto"/>
              <w:left w:val="single" w:sz="4" w:space="0" w:color="auto"/>
              <w:bottom w:val="single" w:sz="4" w:space="0" w:color="auto"/>
              <w:right w:val="single" w:sz="4" w:space="0" w:color="auto"/>
            </w:tcBorders>
            <w:hideMark/>
          </w:tcPr>
          <w:p w:rsidR="001D6913" w:rsidRPr="00F77964" w:rsidRDefault="001D6913" w:rsidP="00EA72DB">
            <w:pPr>
              <w:pStyle w:val="Normal-pool"/>
              <w:spacing w:before="40" w:after="40"/>
              <w:rPr>
                <w:rFonts w:eastAsia="SimSun"/>
                <w:sz w:val="18"/>
                <w:szCs w:val="18"/>
                <w:lang w:eastAsia="zh-CN"/>
              </w:rPr>
            </w:pPr>
            <w:r w:rsidRPr="00F77964">
              <w:rPr>
                <w:rFonts w:eastAsia="SimSun"/>
                <w:sz w:val="18"/>
                <w:szCs w:val="18"/>
                <w:lang w:eastAsia="zh-CN"/>
              </w:rPr>
              <w:t xml:space="preserve">Le </w:t>
            </w:r>
            <w:r w:rsidR="00831077" w:rsidRPr="00F77964">
              <w:rPr>
                <w:rFonts w:eastAsia="SimSun"/>
                <w:sz w:val="18"/>
                <w:szCs w:val="18"/>
                <w:lang w:eastAsia="zh-CN"/>
              </w:rPr>
              <w:t>s</w:t>
            </w:r>
            <w:r w:rsidRPr="00F77964">
              <w:rPr>
                <w:rFonts w:eastAsia="SimSun"/>
                <w:sz w:val="18"/>
                <w:szCs w:val="18"/>
                <w:lang w:eastAsia="zh-CN"/>
              </w:rPr>
              <w:t>ecrétariat, sous la supervision du Bureau et en coopération avec le Groupe d’experts multidisciplinaire, les partenaires stratégiques et les parties concernées, selon que de besoin</w:t>
            </w:r>
            <w:r w:rsidR="00831077" w:rsidRPr="00F77964">
              <w:rPr>
                <w:rFonts w:eastAsia="SimSun"/>
                <w:sz w:val="18"/>
                <w:szCs w:val="18"/>
                <w:lang w:eastAsia="zh-CN"/>
              </w:rPr>
              <w:t>,</w:t>
            </w:r>
            <w:r w:rsidRPr="00F77964">
              <w:rPr>
                <w:rFonts w:eastAsia="SimSun"/>
                <w:sz w:val="18"/>
                <w:szCs w:val="18"/>
                <w:lang w:eastAsia="zh-CN"/>
              </w:rPr>
              <w:t xml:space="preserve"> révise le </w:t>
            </w:r>
            <w:r w:rsidR="0059785D">
              <w:rPr>
                <w:rFonts w:eastAsia="SimSun"/>
                <w:sz w:val="18"/>
                <w:szCs w:val="18"/>
                <w:lang w:eastAsia="zh-CN"/>
              </w:rPr>
              <w:t>plan de mobilisation des parties</w:t>
            </w:r>
            <w:r w:rsidRPr="00F77964">
              <w:rPr>
                <w:rFonts w:eastAsia="SimSun"/>
                <w:sz w:val="18"/>
                <w:szCs w:val="18"/>
                <w:lang w:eastAsia="zh-CN"/>
              </w:rPr>
              <w:t xml:space="preserve"> prenantes et la stratégie de communication et </w:t>
            </w:r>
            <w:r w:rsidR="00F23269">
              <w:rPr>
                <w:rFonts w:eastAsia="SimSun"/>
                <w:sz w:val="18"/>
                <w:szCs w:val="18"/>
                <w:lang w:eastAsia="zh-CN"/>
              </w:rPr>
              <w:t>d’animation</w:t>
            </w:r>
            <w:r w:rsidRPr="00F77964">
              <w:rPr>
                <w:rFonts w:eastAsia="SimSun"/>
                <w:sz w:val="18"/>
                <w:szCs w:val="18"/>
                <w:lang w:eastAsia="zh-CN"/>
              </w:rPr>
              <w:t>,</w:t>
            </w:r>
            <w:r w:rsidR="00831077" w:rsidRPr="00F77964">
              <w:rPr>
                <w:rFonts w:eastAsia="SimSun"/>
                <w:sz w:val="18"/>
                <w:szCs w:val="18"/>
                <w:lang w:eastAsia="zh-CN"/>
              </w:rPr>
              <w:t xml:space="preserve"> suite</w:t>
            </w:r>
            <w:r w:rsidRPr="00F77964">
              <w:rPr>
                <w:rFonts w:eastAsia="SimSun"/>
                <w:sz w:val="18"/>
                <w:szCs w:val="18"/>
                <w:lang w:eastAsia="zh-CN"/>
              </w:rPr>
              <w:t xml:space="preserve"> à une demande de la Plénière à sa quatrième session</w:t>
            </w:r>
          </w:p>
        </w:tc>
      </w:tr>
      <w:tr w:rsidR="001D6913" w:rsidRPr="0061490E" w:rsidTr="00EA72DB">
        <w:trPr>
          <w:trHeight w:val="155"/>
        </w:trPr>
        <w:tc>
          <w:tcPr>
            <w:tcW w:w="637" w:type="dxa"/>
            <w:vMerge w:val="restart"/>
            <w:tcBorders>
              <w:top w:val="single" w:sz="4" w:space="0" w:color="auto"/>
              <w:left w:val="single" w:sz="4" w:space="0" w:color="auto"/>
              <w:bottom w:val="single" w:sz="4" w:space="0" w:color="auto"/>
              <w:right w:val="single" w:sz="4" w:space="0" w:color="auto"/>
            </w:tcBorders>
            <w:hideMark/>
          </w:tcPr>
          <w:p w:rsidR="001D6913" w:rsidRPr="00F77964" w:rsidRDefault="001D6913" w:rsidP="00EA72DB">
            <w:pPr>
              <w:pStyle w:val="Normal-pool"/>
              <w:spacing w:before="40" w:after="40"/>
              <w:rPr>
                <w:rFonts w:eastAsia="SimSun"/>
                <w:sz w:val="18"/>
                <w:szCs w:val="18"/>
                <w:lang w:eastAsia="zh-CN"/>
              </w:rPr>
            </w:pPr>
            <w:r w:rsidRPr="00F77964">
              <w:rPr>
                <w:rFonts w:eastAsia="SimSun"/>
                <w:sz w:val="18"/>
                <w:szCs w:val="18"/>
                <w:lang w:eastAsia="zh-CN"/>
              </w:rPr>
              <w:t>2017</w:t>
            </w:r>
          </w:p>
        </w:tc>
        <w:tc>
          <w:tcPr>
            <w:tcW w:w="1706" w:type="dxa"/>
            <w:tcBorders>
              <w:top w:val="single" w:sz="4" w:space="0" w:color="auto"/>
              <w:left w:val="single" w:sz="4" w:space="0" w:color="auto"/>
              <w:bottom w:val="single" w:sz="4" w:space="0" w:color="auto"/>
              <w:right w:val="single" w:sz="4" w:space="0" w:color="auto"/>
            </w:tcBorders>
            <w:hideMark/>
          </w:tcPr>
          <w:p w:rsidR="001D6913" w:rsidRPr="00F77964" w:rsidRDefault="001D6913" w:rsidP="00EA72DB">
            <w:pPr>
              <w:pStyle w:val="Normal-pool"/>
              <w:spacing w:before="40" w:after="40"/>
              <w:rPr>
                <w:rFonts w:eastAsia="SimSun"/>
                <w:sz w:val="18"/>
                <w:szCs w:val="18"/>
                <w:lang w:eastAsia="zh-CN"/>
              </w:rPr>
            </w:pPr>
            <w:r w:rsidRPr="00F77964">
              <w:rPr>
                <w:rFonts w:eastAsia="SimSun"/>
                <w:sz w:val="18"/>
                <w:szCs w:val="18"/>
                <w:lang w:eastAsia="zh-CN"/>
              </w:rPr>
              <w:t>Premier trimestre</w:t>
            </w:r>
          </w:p>
        </w:tc>
        <w:tc>
          <w:tcPr>
            <w:tcW w:w="5651" w:type="dxa"/>
            <w:tcBorders>
              <w:top w:val="single" w:sz="4" w:space="0" w:color="auto"/>
              <w:left w:val="single" w:sz="4" w:space="0" w:color="auto"/>
              <w:bottom w:val="single" w:sz="4" w:space="0" w:color="auto"/>
              <w:right w:val="single" w:sz="4" w:space="0" w:color="auto"/>
            </w:tcBorders>
            <w:hideMark/>
          </w:tcPr>
          <w:p w:rsidR="001D6913" w:rsidRPr="00F77964" w:rsidRDefault="001D6913" w:rsidP="00EA72DB">
            <w:pPr>
              <w:pStyle w:val="Normal-pool"/>
              <w:spacing w:before="40" w:after="40"/>
              <w:rPr>
                <w:rFonts w:eastAsia="SimSun"/>
                <w:sz w:val="18"/>
                <w:szCs w:val="18"/>
                <w:lang w:eastAsia="zh-CN"/>
              </w:rPr>
            </w:pPr>
            <w:r w:rsidRPr="00F77964">
              <w:rPr>
                <w:rFonts w:eastAsia="SimSun"/>
                <w:sz w:val="18"/>
                <w:szCs w:val="18"/>
                <w:lang w:eastAsia="zh-CN"/>
              </w:rPr>
              <w:t xml:space="preserve">La Plénière, à sa cinquième session, examine les progrès réalisés </w:t>
            </w:r>
            <w:r w:rsidR="000D391B">
              <w:rPr>
                <w:rFonts w:eastAsia="SimSun"/>
                <w:sz w:val="18"/>
                <w:szCs w:val="18"/>
                <w:lang w:eastAsia="zh-CN"/>
              </w:rPr>
              <w:t>dans le domaine de</w:t>
            </w:r>
            <w:r w:rsidRPr="00F77964">
              <w:rPr>
                <w:rFonts w:eastAsia="SimSun"/>
                <w:sz w:val="18"/>
                <w:szCs w:val="18"/>
                <w:lang w:eastAsia="zh-CN"/>
              </w:rPr>
              <w:t xml:space="preserve"> la mise en œuvre </w:t>
            </w:r>
            <w:r w:rsidR="000D391B">
              <w:rPr>
                <w:rFonts w:eastAsia="SimSun"/>
                <w:sz w:val="18"/>
                <w:szCs w:val="18"/>
                <w:lang w:eastAsia="zh-CN"/>
              </w:rPr>
              <w:t>ainsi que</w:t>
            </w:r>
            <w:r w:rsidRPr="00F77964">
              <w:rPr>
                <w:rFonts w:eastAsia="SimSun"/>
                <w:sz w:val="18"/>
                <w:szCs w:val="18"/>
                <w:lang w:eastAsia="zh-CN"/>
              </w:rPr>
              <w:t xml:space="preserve"> l’évolution du </w:t>
            </w:r>
            <w:r w:rsidR="0059785D">
              <w:rPr>
                <w:rFonts w:eastAsia="SimSun"/>
                <w:sz w:val="18"/>
                <w:szCs w:val="18"/>
                <w:lang w:eastAsia="zh-CN"/>
              </w:rPr>
              <w:t>plan de mobilisation des parties</w:t>
            </w:r>
            <w:r w:rsidRPr="00F77964">
              <w:rPr>
                <w:rFonts w:eastAsia="SimSun"/>
                <w:sz w:val="18"/>
                <w:szCs w:val="18"/>
                <w:lang w:eastAsia="zh-CN"/>
              </w:rPr>
              <w:t xml:space="preserve"> prenantes et de la stratégie de communication et </w:t>
            </w:r>
            <w:r w:rsidR="00F23269">
              <w:rPr>
                <w:rFonts w:eastAsia="SimSun"/>
                <w:sz w:val="18"/>
                <w:szCs w:val="18"/>
                <w:lang w:eastAsia="zh-CN"/>
              </w:rPr>
              <w:t>d’animation</w:t>
            </w:r>
            <w:r w:rsidRPr="00F77964">
              <w:rPr>
                <w:rFonts w:eastAsia="SimSun"/>
                <w:sz w:val="18"/>
                <w:szCs w:val="18"/>
                <w:lang w:eastAsia="zh-CN"/>
              </w:rPr>
              <w:t xml:space="preserve"> </w:t>
            </w:r>
          </w:p>
        </w:tc>
      </w:tr>
      <w:tr w:rsidR="001D6913" w:rsidRPr="0061490E" w:rsidTr="00EA72DB">
        <w:trPr>
          <w:trHeight w:val="56"/>
        </w:trPr>
        <w:tc>
          <w:tcPr>
            <w:tcW w:w="0" w:type="auto"/>
            <w:vMerge/>
            <w:tcBorders>
              <w:top w:val="single" w:sz="4" w:space="0" w:color="auto"/>
              <w:left w:val="single" w:sz="4" w:space="0" w:color="auto"/>
              <w:bottom w:val="single" w:sz="4" w:space="0" w:color="auto"/>
              <w:right w:val="single" w:sz="4" w:space="0" w:color="auto"/>
            </w:tcBorders>
            <w:hideMark/>
          </w:tcPr>
          <w:p w:rsidR="001D6913" w:rsidRPr="0061490E" w:rsidRDefault="001D6913" w:rsidP="00EA72DB">
            <w:pPr>
              <w:rPr>
                <w:rFonts w:eastAsia="SimSun"/>
                <w:sz w:val="18"/>
                <w:szCs w:val="18"/>
                <w:lang w:eastAsia="zh-CN"/>
              </w:rPr>
            </w:pPr>
          </w:p>
        </w:tc>
        <w:tc>
          <w:tcPr>
            <w:tcW w:w="1706" w:type="dxa"/>
            <w:tcBorders>
              <w:top w:val="single" w:sz="4" w:space="0" w:color="auto"/>
              <w:left w:val="single" w:sz="4" w:space="0" w:color="auto"/>
              <w:bottom w:val="single" w:sz="4" w:space="0" w:color="auto"/>
              <w:right w:val="single" w:sz="4" w:space="0" w:color="auto"/>
            </w:tcBorders>
            <w:hideMark/>
          </w:tcPr>
          <w:p w:rsidR="001D6913" w:rsidRPr="00F77964" w:rsidRDefault="001D6913" w:rsidP="00EA72DB">
            <w:pPr>
              <w:pStyle w:val="Normal-pool"/>
              <w:spacing w:before="40" w:after="40"/>
              <w:rPr>
                <w:rFonts w:eastAsia="SimSun"/>
                <w:sz w:val="18"/>
                <w:szCs w:val="18"/>
                <w:lang w:eastAsia="zh-CN"/>
              </w:rPr>
            </w:pPr>
            <w:r w:rsidRPr="00F77964">
              <w:rPr>
                <w:rFonts w:eastAsia="SimSun"/>
                <w:sz w:val="18"/>
                <w:szCs w:val="18"/>
                <w:lang w:eastAsia="zh-CN"/>
              </w:rPr>
              <w:t>Premier/deuxième/ troisième/quatrième trimestres</w:t>
            </w:r>
          </w:p>
        </w:tc>
        <w:tc>
          <w:tcPr>
            <w:tcW w:w="5651" w:type="dxa"/>
            <w:tcBorders>
              <w:top w:val="single" w:sz="4" w:space="0" w:color="auto"/>
              <w:left w:val="single" w:sz="4" w:space="0" w:color="auto"/>
              <w:bottom w:val="single" w:sz="4" w:space="0" w:color="auto"/>
              <w:right w:val="single" w:sz="4" w:space="0" w:color="auto"/>
            </w:tcBorders>
            <w:hideMark/>
          </w:tcPr>
          <w:p w:rsidR="001D6913" w:rsidRPr="00F77964" w:rsidRDefault="001D6913" w:rsidP="00EA72DB">
            <w:pPr>
              <w:pStyle w:val="Normal-pool"/>
              <w:spacing w:before="40" w:after="40"/>
              <w:rPr>
                <w:rFonts w:eastAsia="SimSun"/>
                <w:sz w:val="18"/>
                <w:szCs w:val="18"/>
                <w:lang w:eastAsia="zh-CN"/>
              </w:rPr>
            </w:pPr>
            <w:r w:rsidRPr="00F77964">
              <w:rPr>
                <w:rFonts w:eastAsia="SimSun"/>
                <w:sz w:val="18"/>
                <w:szCs w:val="18"/>
                <w:lang w:eastAsia="zh-CN"/>
              </w:rPr>
              <w:t xml:space="preserve">Le </w:t>
            </w:r>
            <w:r w:rsidR="00831077" w:rsidRPr="00F77964">
              <w:rPr>
                <w:rFonts w:eastAsia="SimSun"/>
                <w:sz w:val="18"/>
                <w:szCs w:val="18"/>
                <w:lang w:eastAsia="zh-CN"/>
              </w:rPr>
              <w:t>s</w:t>
            </w:r>
            <w:r w:rsidRPr="00F77964">
              <w:rPr>
                <w:rFonts w:eastAsia="SimSun"/>
                <w:sz w:val="18"/>
                <w:szCs w:val="18"/>
                <w:lang w:eastAsia="zh-CN"/>
              </w:rPr>
              <w:t>ecrétariat, en coopération avec le Bureau, le Groupe d’experts multidisciplinaire et les partenaires stratégiques potentiels et avec le soutien des parties prenantes, selon que de besoin, poursuit la mise en œuvre</w:t>
            </w:r>
          </w:p>
        </w:tc>
      </w:tr>
      <w:tr w:rsidR="001D6913" w:rsidRPr="0061490E" w:rsidTr="00EA72DB">
        <w:trPr>
          <w:trHeight w:val="242"/>
        </w:trPr>
        <w:tc>
          <w:tcPr>
            <w:tcW w:w="637" w:type="dxa"/>
            <w:tcBorders>
              <w:top w:val="single" w:sz="4" w:space="0" w:color="auto"/>
              <w:left w:val="single" w:sz="4" w:space="0" w:color="auto"/>
              <w:bottom w:val="single" w:sz="4" w:space="0" w:color="auto"/>
              <w:right w:val="single" w:sz="4" w:space="0" w:color="auto"/>
            </w:tcBorders>
            <w:hideMark/>
          </w:tcPr>
          <w:p w:rsidR="001D6913" w:rsidRPr="00F77964" w:rsidRDefault="001D6913" w:rsidP="00EA72DB">
            <w:pPr>
              <w:pStyle w:val="Normal-pool"/>
              <w:spacing w:before="40" w:after="40"/>
              <w:rPr>
                <w:rFonts w:eastAsia="SimSun"/>
                <w:sz w:val="18"/>
                <w:szCs w:val="18"/>
                <w:lang w:eastAsia="zh-CN"/>
              </w:rPr>
            </w:pPr>
            <w:r w:rsidRPr="00F77964">
              <w:rPr>
                <w:rFonts w:eastAsia="SimSun"/>
                <w:sz w:val="18"/>
                <w:szCs w:val="18"/>
                <w:lang w:eastAsia="zh-CN"/>
              </w:rPr>
              <w:t>2018</w:t>
            </w:r>
          </w:p>
        </w:tc>
        <w:tc>
          <w:tcPr>
            <w:tcW w:w="1706" w:type="dxa"/>
            <w:tcBorders>
              <w:top w:val="single" w:sz="4" w:space="0" w:color="auto"/>
              <w:left w:val="single" w:sz="4" w:space="0" w:color="auto"/>
              <w:bottom w:val="single" w:sz="4" w:space="0" w:color="auto"/>
              <w:right w:val="single" w:sz="4" w:space="0" w:color="auto"/>
            </w:tcBorders>
            <w:hideMark/>
          </w:tcPr>
          <w:p w:rsidR="001D6913" w:rsidRPr="00F77964" w:rsidRDefault="001D6913" w:rsidP="00EA72DB">
            <w:pPr>
              <w:pStyle w:val="Normal-pool"/>
              <w:spacing w:before="40" w:after="40"/>
              <w:rPr>
                <w:rFonts w:eastAsia="SimSun"/>
                <w:sz w:val="18"/>
                <w:szCs w:val="18"/>
                <w:lang w:eastAsia="zh-CN"/>
              </w:rPr>
            </w:pPr>
            <w:r w:rsidRPr="00F77964">
              <w:rPr>
                <w:rFonts w:eastAsia="SimSun"/>
                <w:sz w:val="18"/>
                <w:szCs w:val="18"/>
                <w:lang w:eastAsia="zh-CN"/>
              </w:rPr>
              <w:t>Premier/deuxième/ troisième/quatrième trimestres</w:t>
            </w:r>
          </w:p>
        </w:tc>
        <w:tc>
          <w:tcPr>
            <w:tcW w:w="5651" w:type="dxa"/>
            <w:tcBorders>
              <w:top w:val="single" w:sz="4" w:space="0" w:color="auto"/>
              <w:left w:val="single" w:sz="4" w:space="0" w:color="auto"/>
              <w:bottom w:val="single" w:sz="4" w:space="0" w:color="auto"/>
              <w:right w:val="single" w:sz="4" w:space="0" w:color="auto"/>
            </w:tcBorders>
            <w:hideMark/>
          </w:tcPr>
          <w:p w:rsidR="001D6913" w:rsidRPr="00F77964" w:rsidRDefault="001D6913" w:rsidP="00EA72DB">
            <w:pPr>
              <w:pStyle w:val="Normal-pool"/>
              <w:spacing w:before="40" w:after="40"/>
              <w:rPr>
                <w:rFonts w:eastAsia="SimSun"/>
                <w:sz w:val="18"/>
                <w:szCs w:val="18"/>
                <w:lang w:eastAsia="zh-CN"/>
              </w:rPr>
            </w:pPr>
            <w:r w:rsidRPr="00F77964">
              <w:rPr>
                <w:rFonts w:eastAsia="SimSun"/>
                <w:sz w:val="18"/>
                <w:szCs w:val="18"/>
                <w:lang w:eastAsia="zh-CN"/>
              </w:rPr>
              <w:t xml:space="preserve">Le </w:t>
            </w:r>
            <w:r w:rsidR="00831077" w:rsidRPr="00F77964">
              <w:rPr>
                <w:rFonts w:eastAsia="SimSun"/>
                <w:sz w:val="18"/>
                <w:szCs w:val="18"/>
                <w:lang w:eastAsia="zh-CN"/>
              </w:rPr>
              <w:t>s</w:t>
            </w:r>
            <w:r w:rsidRPr="00F77964">
              <w:rPr>
                <w:rFonts w:eastAsia="SimSun"/>
                <w:sz w:val="18"/>
                <w:szCs w:val="18"/>
                <w:lang w:eastAsia="zh-CN"/>
              </w:rPr>
              <w:t>ecrétariat, en coopération avec le Bureau, le Groupe d’experts multidisciplinaire et les partenaires stratégiques potentiels et avec l</w:t>
            </w:r>
            <w:r w:rsidR="00831077" w:rsidRPr="00F77964">
              <w:rPr>
                <w:rFonts w:eastAsia="SimSun"/>
                <w:sz w:val="18"/>
                <w:szCs w:val="18"/>
                <w:lang w:eastAsia="zh-CN"/>
              </w:rPr>
              <w:t xml:space="preserve">e soutien </w:t>
            </w:r>
            <w:r w:rsidRPr="00F77964">
              <w:rPr>
                <w:rFonts w:eastAsia="SimSun"/>
                <w:sz w:val="18"/>
                <w:szCs w:val="18"/>
                <w:lang w:eastAsia="zh-CN"/>
              </w:rPr>
              <w:t>des parties prenantes, selon que de besoin, poursuit la mise en œuvre</w:t>
            </w:r>
          </w:p>
        </w:tc>
      </w:tr>
    </w:tbl>
    <w:p w:rsidR="001D6913" w:rsidRPr="00F77964" w:rsidRDefault="001D6913" w:rsidP="00EA72DB">
      <w:pPr>
        <w:pStyle w:val="CH3"/>
        <w:spacing w:before="120"/>
        <w:rPr>
          <w:rFonts w:eastAsia="SimSun"/>
          <w:u w:val="single"/>
          <w:lang w:val="fr-FR" w:eastAsia="zh-CN"/>
        </w:rPr>
      </w:pPr>
      <w:r w:rsidRPr="00F77964">
        <w:rPr>
          <w:rFonts w:eastAsia="SimSun"/>
          <w:lang w:val="fr-FR" w:eastAsia="zh-CN"/>
        </w:rPr>
        <w:tab/>
      </w:r>
      <w:r w:rsidRPr="00F77964">
        <w:rPr>
          <w:rFonts w:eastAsia="SimSun"/>
          <w:lang w:val="fr-FR" w:eastAsia="zh-CN"/>
        </w:rPr>
        <w:tab/>
        <w:t>Prévisions de coûts</w:t>
      </w:r>
    </w:p>
    <w:p w:rsidR="001D6913" w:rsidRPr="00F77964" w:rsidRDefault="001D6913" w:rsidP="009B2DE3">
      <w:pPr>
        <w:pStyle w:val="Normalnumber"/>
        <w:numPr>
          <w:ilvl w:val="0"/>
          <w:numId w:val="6"/>
        </w:numPr>
        <w:tabs>
          <w:tab w:val="left" w:pos="624"/>
        </w:tabs>
        <w:spacing w:before="120" w:after="0"/>
        <w:ind w:left="1247" w:firstLine="0"/>
        <w:rPr>
          <w:lang w:val="fr-FR"/>
        </w:rPr>
      </w:pPr>
      <w:r w:rsidRPr="00F90D8B">
        <w:rPr>
          <w:lang w:val="fr-FR"/>
        </w:rPr>
        <w:t>Les prévisions de coûts sont les suivantes :</w:t>
      </w:r>
    </w:p>
    <w:p w:rsidR="001D6913" w:rsidRPr="00F77964" w:rsidRDefault="001D6913" w:rsidP="009B2DE3">
      <w:pPr>
        <w:pStyle w:val="Normalnumber"/>
        <w:tabs>
          <w:tab w:val="left" w:pos="624"/>
        </w:tabs>
        <w:spacing w:before="120" w:after="0"/>
        <w:rPr>
          <w:sz w:val="18"/>
          <w:szCs w:val="18"/>
          <w:lang w:val="fr-FR"/>
        </w:rPr>
      </w:pPr>
      <w:r w:rsidRPr="00F77964">
        <w:rPr>
          <w:rFonts w:eastAsia="Calibri"/>
          <w:lang w:val="fr-FR"/>
        </w:rPr>
        <w:tab/>
      </w:r>
      <w:r w:rsidRPr="00F77964">
        <w:rPr>
          <w:rFonts w:eastAsia="Calibri"/>
          <w:lang w:val="fr-FR"/>
        </w:rPr>
        <w:tab/>
      </w:r>
      <w:r w:rsidRPr="00F77964">
        <w:rPr>
          <w:rFonts w:eastAsia="Calibri"/>
          <w:sz w:val="18"/>
          <w:szCs w:val="18"/>
          <w:lang w:val="fr-FR"/>
        </w:rPr>
        <w:t>(</w:t>
      </w:r>
      <w:r w:rsidR="00831077" w:rsidRPr="00F77964">
        <w:rPr>
          <w:rFonts w:eastAsia="Calibri"/>
          <w:sz w:val="18"/>
          <w:szCs w:val="18"/>
          <w:lang w:val="fr-FR"/>
        </w:rPr>
        <w:t>d</w:t>
      </w:r>
      <w:r w:rsidRPr="00F77964">
        <w:rPr>
          <w:rFonts w:eastAsia="Calibri"/>
          <w:sz w:val="18"/>
          <w:szCs w:val="18"/>
          <w:lang w:val="fr-FR"/>
        </w:rPr>
        <w:t>ollars des États-Unis)</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868"/>
        <w:gridCol w:w="3356"/>
        <w:gridCol w:w="1100"/>
      </w:tblGrid>
      <w:tr w:rsidR="00C20561" w:rsidRPr="0061490E" w:rsidTr="009B2DE3">
        <w:trPr>
          <w:tblHeader/>
        </w:trPr>
        <w:tc>
          <w:tcPr>
            <w:tcW w:w="670" w:type="dxa"/>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spacing w:before="40" w:after="40"/>
              <w:rPr>
                <w:rFonts w:eastAsia="SimSun"/>
                <w:i/>
                <w:sz w:val="18"/>
                <w:szCs w:val="18"/>
                <w:lang w:eastAsia="zh-CN"/>
              </w:rPr>
            </w:pPr>
            <w:r w:rsidRPr="00F77964">
              <w:rPr>
                <w:rFonts w:eastAsia="SimSun"/>
                <w:i/>
                <w:sz w:val="18"/>
                <w:szCs w:val="18"/>
                <w:lang w:eastAsia="zh-CN"/>
              </w:rPr>
              <w:t>Année</w:t>
            </w:r>
          </w:p>
        </w:tc>
        <w:tc>
          <w:tcPr>
            <w:tcW w:w="2868" w:type="dxa"/>
            <w:tcBorders>
              <w:top w:val="single" w:sz="4" w:space="0" w:color="auto"/>
              <w:left w:val="single" w:sz="4" w:space="0" w:color="auto"/>
              <w:bottom w:val="single" w:sz="4" w:space="0" w:color="auto"/>
              <w:right w:val="single" w:sz="4" w:space="0" w:color="auto"/>
            </w:tcBorders>
            <w:hideMark/>
          </w:tcPr>
          <w:p w:rsidR="001D6913" w:rsidRPr="00F77964" w:rsidRDefault="00D972E8" w:rsidP="001D6913">
            <w:pPr>
              <w:pStyle w:val="Normal-pool"/>
              <w:spacing w:before="40" w:after="40"/>
              <w:rPr>
                <w:rFonts w:eastAsia="SimSun"/>
                <w:i/>
                <w:sz w:val="18"/>
                <w:szCs w:val="18"/>
                <w:lang w:eastAsia="zh-CN"/>
              </w:rPr>
            </w:pPr>
            <w:r>
              <w:rPr>
                <w:rFonts w:eastAsia="SimSun"/>
                <w:i/>
                <w:sz w:val="18"/>
                <w:szCs w:val="18"/>
                <w:lang w:eastAsia="zh-CN"/>
              </w:rPr>
              <w:t>Postes de dépense</w:t>
            </w:r>
          </w:p>
        </w:tc>
        <w:tc>
          <w:tcPr>
            <w:tcW w:w="3356" w:type="dxa"/>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spacing w:before="40" w:after="40"/>
              <w:rPr>
                <w:rFonts w:eastAsia="SimSun"/>
                <w:i/>
                <w:sz w:val="18"/>
                <w:szCs w:val="18"/>
                <w:lang w:eastAsia="zh-CN"/>
              </w:rPr>
            </w:pPr>
            <w:r w:rsidRPr="00F77964">
              <w:rPr>
                <w:rFonts w:eastAsia="SimSun"/>
                <w:i/>
                <w:sz w:val="18"/>
                <w:szCs w:val="18"/>
                <w:lang w:eastAsia="zh-CN"/>
              </w:rPr>
              <w:t>Hypothèses</w:t>
            </w:r>
          </w:p>
        </w:tc>
        <w:tc>
          <w:tcPr>
            <w:tcW w:w="1100" w:type="dxa"/>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spacing w:before="40" w:after="40"/>
              <w:jc w:val="right"/>
              <w:rPr>
                <w:rFonts w:eastAsia="SimSun"/>
                <w:i/>
                <w:sz w:val="18"/>
                <w:szCs w:val="18"/>
                <w:lang w:eastAsia="zh-CN"/>
              </w:rPr>
            </w:pPr>
            <w:r w:rsidRPr="00F77964">
              <w:rPr>
                <w:rFonts w:eastAsia="SimSun"/>
                <w:i/>
                <w:sz w:val="18"/>
                <w:szCs w:val="18"/>
                <w:lang w:eastAsia="zh-CN"/>
              </w:rPr>
              <w:t>Coût</w:t>
            </w:r>
          </w:p>
        </w:tc>
      </w:tr>
      <w:tr w:rsidR="00C20561" w:rsidRPr="0061490E" w:rsidTr="009B2DE3">
        <w:trPr>
          <w:trHeight w:val="317"/>
        </w:trPr>
        <w:tc>
          <w:tcPr>
            <w:tcW w:w="670" w:type="dxa"/>
            <w:vMerge w:val="restart"/>
            <w:tcBorders>
              <w:top w:val="single" w:sz="4" w:space="0" w:color="auto"/>
              <w:left w:val="single" w:sz="4" w:space="0" w:color="auto"/>
              <w:bottom w:val="single" w:sz="4" w:space="0" w:color="auto"/>
              <w:right w:val="single" w:sz="4" w:space="0" w:color="auto"/>
            </w:tcBorders>
            <w:hideMark/>
          </w:tcPr>
          <w:p w:rsidR="001D6913" w:rsidRPr="00F77964" w:rsidRDefault="001D6913" w:rsidP="009B2DE3">
            <w:pPr>
              <w:pStyle w:val="Normal-pool"/>
              <w:spacing w:before="40" w:after="40"/>
              <w:rPr>
                <w:rFonts w:eastAsia="SimSun"/>
                <w:sz w:val="18"/>
                <w:szCs w:val="18"/>
                <w:lang w:eastAsia="zh-CN"/>
              </w:rPr>
            </w:pPr>
            <w:r w:rsidRPr="00F77964">
              <w:rPr>
                <w:rFonts w:eastAsia="SimSun"/>
                <w:sz w:val="18"/>
                <w:szCs w:val="18"/>
                <w:lang w:eastAsia="zh-CN"/>
              </w:rPr>
              <w:t>2014</w:t>
            </w:r>
          </w:p>
        </w:tc>
        <w:tc>
          <w:tcPr>
            <w:tcW w:w="2868" w:type="dxa"/>
            <w:tcBorders>
              <w:top w:val="single" w:sz="4" w:space="0" w:color="auto"/>
              <w:left w:val="single" w:sz="4" w:space="0" w:color="auto"/>
              <w:bottom w:val="single" w:sz="4" w:space="0" w:color="auto"/>
              <w:right w:val="single" w:sz="4" w:space="0" w:color="auto"/>
            </w:tcBorders>
            <w:hideMark/>
          </w:tcPr>
          <w:p w:rsidR="001D6913" w:rsidRPr="00F77964" w:rsidRDefault="000D391B" w:rsidP="009B2DE3">
            <w:pPr>
              <w:pStyle w:val="Normal-pool"/>
              <w:spacing w:before="40" w:after="40"/>
              <w:rPr>
                <w:rFonts w:eastAsia="SimSun"/>
                <w:sz w:val="18"/>
                <w:szCs w:val="18"/>
                <w:lang w:eastAsia="zh-CN"/>
              </w:rPr>
            </w:pPr>
            <w:r>
              <w:rPr>
                <w:rFonts w:eastAsia="SimSun"/>
                <w:sz w:val="18"/>
                <w:szCs w:val="18"/>
                <w:lang w:eastAsia="zh-CN"/>
              </w:rPr>
              <w:t>Appui en matière d’</w:t>
            </w:r>
            <w:r w:rsidR="001D6913" w:rsidRPr="00F77964">
              <w:rPr>
                <w:rFonts w:eastAsia="SimSun"/>
                <w:sz w:val="18"/>
                <w:szCs w:val="18"/>
                <w:lang w:eastAsia="zh-CN"/>
              </w:rPr>
              <w:t xml:space="preserve">Internet et </w:t>
            </w:r>
            <w:r w:rsidR="00831077" w:rsidRPr="00F77964">
              <w:rPr>
                <w:rFonts w:eastAsia="SimSun"/>
                <w:sz w:val="18"/>
                <w:szCs w:val="18"/>
                <w:lang w:eastAsia="zh-CN"/>
              </w:rPr>
              <w:t>de</w:t>
            </w:r>
            <w:r w:rsidR="001D6913" w:rsidRPr="00F77964">
              <w:rPr>
                <w:rFonts w:eastAsia="SimSun"/>
                <w:sz w:val="18"/>
                <w:szCs w:val="18"/>
                <w:lang w:eastAsia="zh-CN"/>
              </w:rPr>
              <w:t xml:space="preserve"> médias sociaux</w:t>
            </w:r>
          </w:p>
        </w:tc>
        <w:tc>
          <w:tcPr>
            <w:tcW w:w="3356" w:type="dxa"/>
            <w:tcBorders>
              <w:top w:val="single" w:sz="4" w:space="0" w:color="auto"/>
              <w:left w:val="single" w:sz="4" w:space="0" w:color="auto"/>
              <w:bottom w:val="single" w:sz="4" w:space="0" w:color="auto"/>
              <w:right w:val="single" w:sz="4" w:space="0" w:color="auto"/>
            </w:tcBorders>
            <w:hideMark/>
          </w:tcPr>
          <w:p w:rsidR="001D6913" w:rsidRPr="00F77964" w:rsidRDefault="00292BDA" w:rsidP="009B2DE3">
            <w:pPr>
              <w:pStyle w:val="Normal-pool"/>
              <w:spacing w:before="40" w:after="40"/>
              <w:rPr>
                <w:rFonts w:eastAsia="SimSun"/>
                <w:sz w:val="18"/>
                <w:szCs w:val="18"/>
                <w:lang w:eastAsia="zh-CN"/>
              </w:rPr>
            </w:pPr>
            <w:r w:rsidRPr="00F77964">
              <w:rPr>
                <w:rFonts w:eastAsia="SimSun"/>
                <w:sz w:val="18"/>
                <w:szCs w:val="18"/>
                <w:lang w:eastAsia="zh-CN"/>
              </w:rPr>
              <w:t>Hébergement</w:t>
            </w:r>
            <w:r w:rsidR="001D6913" w:rsidRPr="00F77964">
              <w:rPr>
                <w:rFonts w:eastAsia="SimSun"/>
                <w:sz w:val="18"/>
                <w:szCs w:val="18"/>
                <w:lang w:eastAsia="zh-CN"/>
              </w:rPr>
              <w:t xml:space="preserve">, gestion technique, maintenance et </w:t>
            </w:r>
            <w:r w:rsidRPr="00F77964">
              <w:rPr>
                <w:rFonts w:eastAsia="SimSun"/>
                <w:sz w:val="18"/>
                <w:szCs w:val="18"/>
                <w:lang w:eastAsia="zh-CN"/>
              </w:rPr>
              <w:t>aide à</w:t>
            </w:r>
            <w:r w:rsidR="001D6913" w:rsidRPr="00F77964">
              <w:rPr>
                <w:rFonts w:eastAsia="SimSun"/>
                <w:sz w:val="18"/>
                <w:szCs w:val="18"/>
                <w:lang w:eastAsia="zh-CN"/>
              </w:rPr>
              <w:t xml:space="preserve"> la gestion des contenus, y compris l’établissement et l</w:t>
            </w:r>
            <w:r w:rsidR="00831077" w:rsidRPr="00F77964">
              <w:rPr>
                <w:rFonts w:eastAsia="SimSun"/>
                <w:sz w:val="18"/>
                <w:szCs w:val="18"/>
                <w:lang w:eastAsia="zh-CN"/>
              </w:rPr>
              <w:t>’organisation de</w:t>
            </w:r>
            <w:r w:rsidR="001D6913" w:rsidRPr="00F77964">
              <w:rPr>
                <w:rFonts w:eastAsia="SimSun"/>
                <w:sz w:val="18"/>
                <w:szCs w:val="18"/>
                <w:lang w:eastAsia="zh-CN"/>
              </w:rPr>
              <w:t xml:space="preserve"> forums en ligne, </w:t>
            </w:r>
            <w:r w:rsidR="00831077" w:rsidRPr="00F77964">
              <w:rPr>
                <w:rFonts w:eastAsia="SimSun"/>
                <w:sz w:val="18"/>
                <w:szCs w:val="18"/>
                <w:lang w:eastAsia="zh-CN"/>
              </w:rPr>
              <w:t>rédaction et</w:t>
            </w:r>
            <w:r w:rsidR="001D6913" w:rsidRPr="00F77964">
              <w:rPr>
                <w:rFonts w:eastAsia="SimSun"/>
                <w:sz w:val="18"/>
                <w:szCs w:val="18"/>
                <w:lang w:eastAsia="zh-CN"/>
              </w:rPr>
              <w:t xml:space="preserve"> diffusion de lettres d’information, etc. </w:t>
            </w:r>
          </w:p>
        </w:tc>
        <w:tc>
          <w:tcPr>
            <w:tcW w:w="1100" w:type="dxa"/>
            <w:tcBorders>
              <w:top w:val="single" w:sz="4" w:space="0" w:color="auto"/>
              <w:left w:val="single" w:sz="4" w:space="0" w:color="auto"/>
              <w:bottom w:val="single" w:sz="4" w:space="0" w:color="auto"/>
              <w:right w:val="single" w:sz="4" w:space="0" w:color="auto"/>
            </w:tcBorders>
            <w:hideMark/>
          </w:tcPr>
          <w:p w:rsidR="001D6913" w:rsidRPr="00F77964" w:rsidRDefault="001D6913" w:rsidP="009B2DE3">
            <w:pPr>
              <w:pStyle w:val="Normal-pool"/>
              <w:spacing w:before="40" w:after="40"/>
              <w:rPr>
                <w:rFonts w:eastAsia="SimSun"/>
                <w:sz w:val="18"/>
                <w:szCs w:val="18"/>
                <w:lang w:eastAsia="zh-CN"/>
              </w:rPr>
            </w:pPr>
            <w:r w:rsidRPr="00F77964">
              <w:rPr>
                <w:rFonts w:eastAsia="SimSun"/>
                <w:sz w:val="18"/>
                <w:szCs w:val="18"/>
                <w:lang w:eastAsia="zh-CN"/>
              </w:rPr>
              <w:t>45</w:t>
            </w:r>
            <w:r w:rsidR="00831077" w:rsidRPr="00F77964">
              <w:rPr>
                <w:rFonts w:eastAsia="SimSun"/>
                <w:sz w:val="18"/>
                <w:szCs w:val="18"/>
                <w:lang w:eastAsia="zh-CN"/>
              </w:rPr>
              <w:t> </w:t>
            </w:r>
            <w:r w:rsidRPr="00F77964">
              <w:rPr>
                <w:rFonts w:eastAsia="SimSun"/>
                <w:sz w:val="18"/>
                <w:szCs w:val="18"/>
                <w:lang w:eastAsia="zh-CN"/>
              </w:rPr>
              <w:t xml:space="preserve">000 </w:t>
            </w:r>
          </w:p>
        </w:tc>
      </w:tr>
      <w:tr w:rsidR="00C20561" w:rsidRPr="0061490E" w:rsidTr="009B2DE3">
        <w:trPr>
          <w:trHeight w:val="317"/>
        </w:trPr>
        <w:tc>
          <w:tcPr>
            <w:tcW w:w="0" w:type="auto"/>
            <w:vMerge/>
            <w:tcBorders>
              <w:top w:val="single" w:sz="4" w:space="0" w:color="auto"/>
              <w:left w:val="single" w:sz="4" w:space="0" w:color="auto"/>
              <w:bottom w:val="single" w:sz="4" w:space="0" w:color="auto"/>
              <w:right w:val="single" w:sz="4" w:space="0" w:color="auto"/>
            </w:tcBorders>
            <w:hideMark/>
          </w:tcPr>
          <w:p w:rsidR="001D6913" w:rsidRPr="0061490E" w:rsidRDefault="001D6913" w:rsidP="009B2DE3">
            <w:pPr>
              <w:rPr>
                <w:rFonts w:eastAsia="SimSun"/>
                <w:sz w:val="18"/>
                <w:szCs w:val="18"/>
                <w:lang w:eastAsia="zh-CN"/>
              </w:rPr>
            </w:pPr>
          </w:p>
        </w:tc>
        <w:tc>
          <w:tcPr>
            <w:tcW w:w="2868" w:type="dxa"/>
            <w:tcBorders>
              <w:top w:val="single" w:sz="4" w:space="0" w:color="auto"/>
              <w:left w:val="single" w:sz="4" w:space="0" w:color="auto"/>
              <w:bottom w:val="single" w:sz="4" w:space="0" w:color="auto"/>
              <w:right w:val="single" w:sz="4" w:space="0" w:color="auto"/>
            </w:tcBorders>
            <w:hideMark/>
          </w:tcPr>
          <w:p w:rsidR="001D6913" w:rsidRPr="00F77964" w:rsidRDefault="00522723" w:rsidP="009B2DE3">
            <w:pPr>
              <w:pStyle w:val="Normal-pool"/>
              <w:spacing w:before="40" w:after="40"/>
              <w:rPr>
                <w:rFonts w:eastAsia="SimSun"/>
                <w:sz w:val="18"/>
                <w:szCs w:val="18"/>
                <w:lang w:eastAsia="zh-CN"/>
              </w:rPr>
            </w:pPr>
            <w:r>
              <w:rPr>
                <w:rFonts w:eastAsia="SimSun"/>
                <w:sz w:val="18"/>
                <w:szCs w:val="18"/>
                <w:lang w:eastAsia="zh-CN"/>
              </w:rPr>
              <w:t xml:space="preserve">Appui en matière de </w:t>
            </w:r>
            <w:r w:rsidR="00292BDA" w:rsidRPr="00F77964">
              <w:rPr>
                <w:rFonts w:eastAsia="SimSun"/>
                <w:sz w:val="18"/>
                <w:szCs w:val="18"/>
                <w:lang w:eastAsia="zh-CN"/>
              </w:rPr>
              <w:t>moyens</w:t>
            </w:r>
            <w:r w:rsidR="001D6913" w:rsidRPr="00F77964">
              <w:rPr>
                <w:rFonts w:eastAsia="SimSun"/>
                <w:sz w:val="18"/>
                <w:szCs w:val="18"/>
                <w:lang w:eastAsia="zh-CN"/>
              </w:rPr>
              <w:t xml:space="preserve"> audiovisuel</w:t>
            </w:r>
            <w:r w:rsidR="00292BDA" w:rsidRPr="00F77964">
              <w:rPr>
                <w:rFonts w:eastAsia="SimSun"/>
                <w:sz w:val="18"/>
                <w:szCs w:val="18"/>
                <w:lang w:eastAsia="zh-CN"/>
              </w:rPr>
              <w:t>s</w:t>
            </w:r>
          </w:p>
        </w:tc>
        <w:tc>
          <w:tcPr>
            <w:tcW w:w="3356" w:type="dxa"/>
            <w:tcBorders>
              <w:top w:val="single" w:sz="4" w:space="0" w:color="auto"/>
              <w:left w:val="single" w:sz="4" w:space="0" w:color="auto"/>
              <w:bottom w:val="single" w:sz="4" w:space="0" w:color="auto"/>
              <w:right w:val="single" w:sz="4" w:space="0" w:color="auto"/>
            </w:tcBorders>
            <w:hideMark/>
          </w:tcPr>
          <w:p w:rsidR="001D6913" w:rsidRPr="00F77964" w:rsidRDefault="001D6913" w:rsidP="009B2DE3">
            <w:pPr>
              <w:pStyle w:val="MediumGrid1-Accent21"/>
              <w:tabs>
                <w:tab w:val="left" w:pos="426"/>
              </w:tabs>
              <w:autoSpaceDE w:val="0"/>
              <w:autoSpaceDN w:val="0"/>
              <w:adjustRightInd w:val="0"/>
              <w:spacing w:before="60" w:after="60"/>
              <w:ind w:left="0"/>
              <w:rPr>
                <w:rFonts w:ascii="Times New Roman" w:eastAsia="SimSun" w:hAnsi="Times New Roman"/>
                <w:sz w:val="18"/>
                <w:szCs w:val="18"/>
                <w:lang w:val="fr-FR" w:eastAsia="zh-CN"/>
              </w:rPr>
            </w:pPr>
            <w:r w:rsidRPr="00F77964">
              <w:rPr>
                <w:rFonts w:ascii="Times New Roman" w:eastAsia="SimSun" w:hAnsi="Times New Roman"/>
                <w:sz w:val="18"/>
                <w:szCs w:val="18"/>
                <w:lang w:val="fr-FR" w:eastAsia="zh-CN"/>
              </w:rPr>
              <w:t>Entretien</w:t>
            </w:r>
            <w:r w:rsidR="00292BDA" w:rsidRPr="00F77964">
              <w:rPr>
                <w:rFonts w:ascii="Times New Roman" w:eastAsia="SimSun" w:hAnsi="Times New Roman"/>
                <w:sz w:val="18"/>
                <w:szCs w:val="18"/>
                <w:lang w:val="fr-FR" w:eastAsia="zh-CN"/>
              </w:rPr>
              <w:t>s</w:t>
            </w:r>
            <w:r w:rsidRPr="00F77964">
              <w:rPr>
                <w:rFonts w:ascii="Times New Roman" w:eastAsia="SimSun" w:hAnsi="Times New Roman"/>
                <w:sz w:val="18"/>
                <w:szCs w:val="18"/>
                <w:lang w:val="fr-FR" w:eastAsia="zh-CN"/>
              </w:rPr>
              <w:t xml:space="preserve">, </w:t>
            </w:r>
            <w:r w:rsidR="00522723">
              <w:rPr>
                <w:rFonts w:ascii="Times New Roman" w:eastAsia="SimSun" w:hAnsi="Times New Roman"/>
                <w:sz w:val="18"/>
                <w:szCs w:val="18"/>
                <w:lang w:val="fr-FR" w:eastAsia="zh-CN"/>
              </w:rPr>
              <w:t>messages d’intérêt</w:t>
            </w:r>
            <w:r w:rsidRPr="00F77964">
              <w:rPr>
                <w:rFonts w:ascii="Times New Roman" w:eastAsia="SimSun" w:hAnsi="Times New Roman"/>
                <w:sz w:val="18"/>
                <w:szCs w:val="18"/>
                <w:lang w:val="fr-FR" w:eastAsia="zh-CN"/>
              </w:rPr>
              <w:t xml:space="preserve"> public, </w:t>
            </w:r>
            <w:r w:rsidR="00292BDA" w:rsidRPr="00F77964">
              <w:rPr>
                <w:rFonts w:ascii="Times New Roman" w:eastAsia="SimSun" w:hAnsi="Times New Roman"/>
                <w:sz w:val="18"/>
                <w:szCs w:val="18"/>
                <w:lang w:val="fr-FR" w:eastAsia="zh-CN"/>
              </w:rPr>
              <w:t>événements inauguraux</w:t>
            </w:r>
            <w:r w:rsidRPr="00F77964">
              <w:rPr>
                <w:rFonts w:ascii="Times New Roman" w:eastAsia="SimSun" w:hAnsi="Times New Roman"/>
                <w:sz w:val="18"/>
                <w:szCs w:val="18"/>
                <w:lang w:val="fr-FR" w:eastAsia="zh-CN"/>
              </w:rPr>
              <w:t xml:space="preserve">, photographies et clips </w:t>
            </w:r>
            <w:r w:rsidR="00522723" w:rsidRPr="00F77964">
              <w:rPr>
                <w:rFonts w:ascii="Times New Roman" w:eastAsia="SimSun" w:hAnsi="Times New Roman"/>
                <w:sz w:val="18"/>
                <w:szCs w:val="18"/>
                <w:lang w:val="fr-FR" w:eastAsia="zh-CN"/>
              </w:rPr>
              <w:t>vidéo</w:t>
            </w:r>
            <w:r w:rsidR="00292BDA" w:rsidRPr="00F77964">
              <w:rPr>
                <w:rFonts w:ascii="Times New Roman" w:eastAsia="SimSun" w:hAnsi="Times New Roman"/>
                <w:sz w:val="18"/>
                <w:szCs w:val="18"/>
                <w:lang w:val="fr-FR" w:eastAsia="zh-CN"/>
              </w:rPr>
              <w:t xml:space="preserve"> </w:t>
            </w:r>
            <w:r w:rsidRPr="00F77964">
              <w:rPr>
                <w:rFonts w:ascii="Times New Roman" w:eastAsia="SimSun" w:hAnsi="Times New Roman"/>
                <w:sz w:val="18"/>
                <w:szCs w:val="18"/>
                <w:lang w:val="fr-FR" w:eastAsia="zh-CN"/>
              </w:rPr>
              <w:t xml:space="preserve">dans toutes les langues de l’ONU, </w:t>
            </w:r>
            <w:r w:rsidR="00292BDA" w:rsidRPr="00F77964">
              <w:rPr>
                <w:rFonts w:ascii="Times New Roman" w:eastAsia="SimSun" w:hAnsi="Times New Roman"/>
                <w:sz w:val="18"/>
                <w:szCs w:val="18"/>
                <w:lang w:val="fr-FR" w:eastAsia="zh-CN"/>
              </w:rPr>
              <w:t>le cas échéant</w:t>
            </w:r>
          </w:p>
        </w:tc>
        <w:tc>
          <w:tcPr>
            <w:tcW w:w="1100" w:type="dxa"/>
            <w:tcBorders>
              <w:top w:val="single" w:sz="4" w:space="0" w:color="auto"/>
              <w:left w:val="single" w:sz="4" w:space="0" w:color="auto"/>
              <w:bottom w:val="single" w:sz="4" w:space="0" w:color="auto"/>
              <w:right w:val="single" w:sz="4" w:space="0" w:color="auto"/>
            </w:tcBorders>
          </w:tcPr>
          <w:p w:rsidR="001D6913" w:rsidRPr="00F77964" w:rsidRDefault="001D6913" w:rsidP="009B2DE3">
            <w:pPr>
              <w:pStyle w:val="Normal-pool"/>
              <w:spacing w:before="40" w:after="40"/>
              <w:rPr>
                <w:rFonts w:eastAsia="SimSun"/>
                <w:sz w:val="18"/>
                <w:szCs w:val="18"/>
                <w:lang w:eastAsia="zh-CN"/>
              </w:rPr>
            </w:pPr>
            <w:r w:rsidRPr="00F77964">
              <w:rPr>
                <w:rFonts w:eastAsia="SimSun"/>
                <w:sz w:val="18"/>
                <w:szCs w:val="18"/>
                <w:lang w:eastAsia="zh-CN"/>
              </w:rPr>
              <w:t>100</w:t>
            </w:r>
            <w:r w:rsidR="00831077" w:rsidRPr="00F77964">
              <w:rPr>
                <w:rFonts w:eastAsia="SimSun"/>
                <w:sz w:val="18"/>
                <w:szCs w:val="18"/>
                <w:lang w:eastAsia="zh-CN"/>
              </w:rPr>
              <w:t> </w:t>
            </w:r>
            <w:r w:rsidRPr="00F77964">
              <w:rPr>
                <w:rFonts w:eastAsia="SimSun"/>
                <w:sz w:val="18"/>
                <w:szCs w:val="18"/>
                <w:lang w:eastAsia="zh-CN"/>
              </w:rPr>
              <w:t>000</w:t>
            </w:r>
          </w:p>
          <w:p w:rsidR="001D6913" w:rsidRPr="00F77964" w:rsidRDefault="001D6913" w:rsidP="009B2DE3">
            <w:pPr>
              <w:pStyle w:val="MediumGrid1-Accent21"/>
              <w:tabs>
                <w:tab w:val="left" w:pos="426"/>
              </w:tabs>
              <w:autoSpaceDE w:val="0"/>
              <w:autoSpaceDN w:val="0"/>
              <w:adjustRightInd w:val="0"/>
              <w:spacing w:before="60" w:after="60"/>
              <w:ind w:left="0"/>
              <w:rPr>
                <w:rFonts w:ascii="Times New Roman" w:eastAsia="SimSun" w:hAnsi="Times New Roman"/>
                <w:sz w:val="20"/>
                <w:szCs w:val="20"/>
                <w:lang w:val="fr-FR" w:eastAsia="zh-CN"/>
              </w:rPr>
            </w:pPr>
          </w:p>
        </w:tc>
      </w:tr>
      <w:tr w:rsidR="00C20561" w:rsidRPr="0061490E" w:rsidTr="009B2DE3">
        <w:trPr>
          <w:trHeight w:val="317"/>
        </w:trPr>
        <w:tc>
          <w:tcPr>
            <w:tcW w:w="0" w:type="auto"/>
            <w:vMerge/>
            <w:tcBorders>
              <w:top w:val="single" w:sz="4" w:space="0" w:color="auto"/>
              <w:left w:val="single" w:sz="4" w:space="0" w:color="auto"/>
              <w:bottom w:val="single" w:sz="4" w:space="0" w:color="auto"/>
              <w:right w:val="single" w:sz="4" w:space="0" w:color="auto"/>
            </w:tcBorders>
            <w:hideMark/>
          </w:tcPr>
          <w:p w:rsidR="001D6913" w:rsidRPr="0061490E" w:rsidRDefault="001D6913" w:rsidP="009B2DE3">
            <w:pPr>
              <w:rPr>
                <w:rFonts w:eastAsia="SimSun"/>
                <w:sz w:val="18"/>
                <w:szCs w:val="18"/>
                <w:lang w:eastAsia="zh-CN"/>
              </w:rPr>
            </w:pPr>
          </w:p>
        </w:tc>
        <w:tc>
          <w:tcPr>
            <w:tcW w:w="2868" w:type="dxa"/>
            <w:tcBorders>
              <w:top w:val="single" w:sz="4" w:space="0" w:color="auto"/>
              <w:left w:val="single" w:sz="4" w:space="0" w:color="auto"/>
              <w:bottom w:val="single" w:sz="4" w:space="0" w:color="auto"/>
              <w:right w:val="single" w:sz="4" w:space="0" w:color="auto"/>
            </w:tcBorders>
            <w:hideMark/>
          </w:tcPr>
          <w:p w:rsidR="001D6913" w:rsidRPr="00F77964" w:rsidRDefault="00522723" w:rsidP="009B2DE3">
            <w:pPr>
              <w:pStyle w:val="Normal-pool"/>
              <w:keepNext/>
              <w:keepLines/>
              <w:spacing w:before="40" w:after="40"/>
              <w:rPr>
                <w:rFonts w:eastAsia="SimSun"/>
                <w:sz w:val="18"/>
                <w:szCs w:val="18"/>
                <w:lang w:eastAsia="zh-CN"/>
              </w:rPr>
            </w:pPr>
            <w:r>
              <w:rPr>
                <w:rFonts w:eastAsia="SimSun"/>
                <w:sz w:val="18"/>
                <w:szCs w:val="18"/>
                <w:lang w:eastAsia="zh-CN"/>
              </w:rPr>
              <w:t xml:space="preserve">Appui en matière de </w:t>
            </w:r>
            <w:r w:rsidR="001D6913" w:rsidRPr="00F77964">
              <w:rPr>
                <w:rFonts w:eastAsia="SimSun"/>
                <w:sz w:val="18"/>
                <w:szCs w:val="18"/>
                <w:lang w:eastAsia="zh-CN"/>
              </w:rPr>
              <w:t>médias</w:t>
            </w:r>
          </w:p>
        </w:tc>
        <w:tc>
          <w:tcPr>
            <w:tcW w:w="3356" w:type="dxa"/>
            <w:tcBorders>
              <w:top w:val="single" w:sz="4" w:space="0" w:color="auto"/>
              <w:left w:val="single" w:sz="4" w:space="0" w:color="auto"/>
              <w:bottom w:val="single" w:sz="4" w:space="0" w:color="auto"/>
              <w:right w:val="single" w:sz="4" w:space="0" w:color="auto"/>
            </w:tcBorders>
            <w:hideMark/>
          </w:tcPr>
          <w:p w:rsidR="001D6913" w:rsidRPr="00F77964" w:rsidRDefault="001D6913" w:rsidP="009B2DE3">
            <w:pPr>
              <w:pStyle w:val="Normal-pool"/>
              <w:keepNext/>
              <w:keepLines/>
              <w:spacing w:before="40" w:after="40"/>
              <w:rPr>
                <w:rFonts w:eastAsia="SimSun"/>
                <w:sz w:val="18"/>
                <w:szCs w:val="18"/>
                <w:lang w:eastAsia="zh-CN"/>
              </w:rPr>
            </w:pPr>
            <w:r w:rsidRPr="00F77964">
              <w:rPr>
                <w:rFonts w:eastAsia="SimSun"/>
                <w:sz w:val="18"/>
                <w:szCs w:val="18"/>
                <w:lang w:eastAsia="zh-CN"/>
              </w:rPr>
              <w:t>Organisation d’év</w:t>
            </w:r>
            <w:r w:rsidR="00687141" w:rsidRPr="00F77964">
              <w:rPr>
                <w:rFonts w:eastAsia="SimSun"/>
                <w:sz w:val="18"/>
                <w:szCs w:val="18"/>
                <w:lang w:eastAsia="zh-CN"/>
              </w:rPr>
              <w:t>é</w:t>
            </w:r>
            <w:r w:rsidRPr="00F77964">
              <w:rPr>
                <w:rFonts w:eastAsia="SimSun"/>
                <w:sz w:val="18"/>
                <w:szCs w:val="18"/>
                <w:lang w:eastAsia="zh-CN"/>
              </w:rPr>
              <w:t xml:space="preserve">nements médiatiques, lancement des produits de la plateforme, développement de synthèses et de kits pour les médias, conférences de presse </w:t>
            </w:r>
            <w:r w:rsidR="00687141" w:rsidRPr="00F77964">
              <w:rPr>
                <w:rFonts w:eastAsia="SimSun"/>
                <w:sz w:val="18"/>
                <w:szCs w:val="18"/>
                <w:lang w:eastAsia="zh-CN"/>
              </w:rPr>
              <w:t>e, liaison avec l</w:t>
            </w:r>
            <w:r w:rsidRPr="00F77964">
              <w:rPr>
                <w:rFonts w:eastAsia="SimSun"/>
                <w:sz w:val="18"/>
                <w:szCs w:val="18"/>
                <w:lang w:eastAsia="zh-CN"/>
              </w:rPr>
              <w:t>es réunions de la plateforme, etc.</w:t>
            </w:r>
          </w:p>
        </w:tc>
        <w:tc>
          <w:tcPr>
            <w:tcW w:w="1100" w:type="dxa"/>
            <w:tcBorders>
              <w:top w:val="single" w:sz="4" w:space="0" w:color="auto"/>
              <w:left w:val="single" w:sz="4" w:space="0" w:color="auto"/>
              <w:bottom w:val="single" w:sz="4" w:space="0" w:color="auto"/>
              <w:right w:val="single" w:sz="4" w:space="0" w:color="auto"/>
            </w:tcBorders>
            <w:hideMark/>
          </w:tcPr>
          <w:p w:rsidR="001D6913" w:rsidRPr="00F77964" w:rsidRDefault="001D6913" w:rsidP="009B2DE3">
            <w:pPr>
              <w:pStyle w:val="Normal-pool"/>
              <w:keepNext/>
              <w:keepLines/>
              <w:spacing w:before="40" w:after="40"/>
              <w:rPr>
                <w:rFonts w:eastAsia="SimSun"/>
                <w:sz w:val="18"/>
                <w:szCs w:val="18"/>
                <w:lang w:eastAsia="zh-CN"/>
              </w:rPr>
            </w:pPr>
            <w:r w:rsidRPr="00F77964">
              <w:rPr>
                <w:rFonts w:eastAsia="SimSun"/>
                <w:sz w:val="18"/>
                <w:szCs w:val="18"/>
                <w:lang w:eastAsia="zh-CN"/>
              </w:rPr>
              <w:t>40</w:t>
            </w:r>
            <w:r w:rsidR="00831077" w:rsidRPr="00F77964">
              <w:rPr>
                <w:rFonts w:eastAsia="SimSun"/>
                <w:sz w:val="18"/>
                <w:szCs w:val="18"/>
                <w:lang w:eastAsia="zh-CN"/>
              </w:rPr>
              <w:t> </w:t>
            </w:r>
            <w:r w:rsidRPr="00F77964">
              <w:rPr>
                <w:rFonts w:eastAsia="SimSun"/>
                <w:sz w:val="18"/>
                <w:szCs w:val="18"/>
                <w:lang w:eastAsia="zh-CN"/>
              </w:rPr>
              <w:t>000</w:t>
            </w:r>
          </w:p>
        </w:tc>
      </w:tr>
      <w:tr w:rsidR="00C20561" w:rsidRPr="0061490E" w:rsidTr="009B2DE3">
        <w:trPr>
          <w:trHeight w:val="317"/>
        </w:trPr>
        <w:tc>
          <w:tcPr>
            <w:tcW w:w="0" w:type="auto"/>
            <w:vMerge/>
            <w:tcBorders>
              <w:top w:val="single" w:sz="4" w:space="0" w:color="auto"/>
              <w:left w:val="single" w:sz="4" w:space="0" w:color="auto"/>
              <w:bottom w:val="single" w:sz="4" w:space="0" w:color="auto"/>
              <w:right w:val="single" w:sz="4" w:space="0" w:color="auto"/>
            </w:tcBorders>
            <w:hideMark/>
          </w:tcPr>
          <w:p w:rsidR="001D6913" w:rsidRPr="0061490E" w:rsidRDefault="001D6913" w:rsidP="009B2DE3">
            <w:pPr>
              <w:rPr>
                <w:rFonts w:eastAsia="SimSun"/>
                <w:sz w:val="18"/>
                <w:szCs w:val="18"/>
                <w:lang w:eastAsia="zh-CN"/>
              </w:rPr>
            </w:pPr>
          </w:p>
        </w:tc>
        <w:tc>
          <w:tcPr>
            <w:tcW w:w="2868" w:type="dxa"/>
            <w:tcBorders>
              <w:top w:val="single" w:sz="4" w:space="0" w:color="auto"/>
              <w:left w:val="single" w:sz="4" w:space="0" w:color="auto"/>
              <w:bottom w:val="single" w:sz="4" w:space="0" w:color="auto"/>
              <w:right w:val="single" w:sz="4" w:space="0" w:color="auto"/>
            </w:tcBorders>
            <w:hideMark/>
          </w:tcPr>
          <w:p w:rsidR="001D6913" w:rsidRPr="00F77964" w:rsidRDefault="001D6913" w:rsidP="009B2DE3">
            <w:pPr>
              <w:pStyle w:val="Normal-pool"/>
              <w:spacing w:before="40" w:after="40"/>
              <w:rPr>
                <w:rFonts w:eastAsia="SimSun"/>
                <w:sz w:val="18"/>
                <w:szCs w:val="18"/>
                <w:lang w:eastAsia="zh-CN"/>
              </w:rPr>
            </w:pPr>
            <w:r w:rsidRPr="00F77964">
              <w:rPr>
                <w:rFonts w:eastAsia="SimSun"/>
                <w:sz w:val="18"/>
                <w:szCs w:val="18"/>
                <w:lang w:eastAsia="zh-CN"/>
              </w:rPr>
              <w:t>Matériel</w:t>
            </w:r>
            <w:r w:rsidR="00C20561" w:rsidRPr="00F77964">
              <w:rPr>
                <w:rFonts w:eastAsia="SimSun"/>
                <w:sz w:val="18"/>
                <w:szCs w:val="18"/>
                <w:lang w:eastAsia="zh-CN"/>
              </w:rPr>
              <w:t>s</w:t>
            </w:r>
            <w:r w:rsidRPr="00F77964">
              <w:rPr>
                <w:rFonts w:eastAsia="SimSun"/>
                <w:sz w:val="18"/>
                <w:szCs w:val="18"/>
                <w:lang w:eastAsia="zh-CN"/>
              </w:rPr>
              <w:t xml:space="preserve"> </w:t>
            </w:r>
            <w:r w:rsidR="00F23269">
              <w:rPr>
                <w:rFonts w:eastAsia="SimSun"/>
                <w:sz w:val="18"/>
                <w:szCs w:val="18"/>
                <w:lang w:eastAsia="zh-CN"/>
              </w:rPr>
              <w:t>d’animation</w:t>
            </w:r>
            <w:r w:rsidRPr="00F77964">
              <w:rPr>
                <w:rFonts w:eastAsia="SimSun"/>
                <w:sz w:val="18"/>
                <w:szCs w:val="18"/>
                <w:lang w:eastAsia="zh-CN"/>
              </w:rPr>
              <w:t xml:space="preserve"> et de communication imprimé</w:t>
            </w:r>
            <w:r w:rsidR="00C20561" w:rsidRPr="00F77964">
              <w:rPr>
                <w:rFonts w:eastAsia="SimSun"/>
                <w:sz w:val="18"/>
                <w:szCs w:val="18"/>
                <w:lang w:eastAsia="zh-CN"/>
              </w:rPr>
              <w:t>s</w:t>
            </w:r>
            <w:r w:rsidRPr="00F77964">
              <w:rPr>
                <w:rFonts w:eastAsia="SimSun"/>
                <w:sz w:val="18"/>
                <w:szCs w:val="18"/>
                <w:lang w:eastAsia="zh-CN"/>
              </w:rPr>
              <w:t>, à l’exclusion des rapports et documents officiels</w:t>
            </w:r>
          </w:p>
        </w:tc>
        <w:tc>
          <w:tcPr>
            <w:tcW w:w="3356" w:type="dxa"/>
            <w:tcBorders>
              <w:top w:val="single" w:sz="4" w:space="0" w:color="auto"/>
              <w:left w:val="single" w:sz="4" w:space="0" w:color="auto"/>
              <w:bottom w:val="single" w:sz="4" w:space="0" w:color="auto"/>
              <w:right w:val="single" w:sz="4" w:space="0" w:color="auto"/>
            </w:tcBorders>
            <w:hideMark/>
          </w:tcPr>
          <w:p w:rsidR="001D6913" w:rsidRPr="00F77964" w:rsidRDefault="001D6913" w:rsidP="009B2DE3">
            <w:pPr>
              <w:pStyle w:val="Normal-pool"/>
              <w:spacing w:before="40" w:after="40"/>
              <w:rPr>
                <w:rFonts w:eastAsia="SimSun"/>
                <w:sz w:val="18"/>
                <w:szCs w:val="18"/>
                <w:lang w:eastAsia="zh-CN"/>
              </w:rPr>
            </w:pPr>
            <w:r w:rsidRPr="00F77964">
              <w:rPr>
                <w:rFonts w:eastAsia="SimSun"/>
                <w:sz w:val="18"/>
                <w:szCs w:val="18"/>
                <w:lang w:eastAsia="zh-CN"/>
              </w:rPr>
              <w:t>Impression de</w:t>
            </w:r>
            <w:r w:rsidR="00687141" w:rsidRPr="00F77964">
              <w:rPr>
                <w:rFonts w:eastAsia="SimSun"/>
                <w:sz w:val="18"/>
                <w:szCs w:val="18"/>
                <w:lang w:eastAsia="zh-CN"/>
              </w:rPr>
              <w:t xml:space="preserve"> plaquettes,</w:t>
            </w:r>
            <w:r w:rsidRPr="00F77964">
              <w:rPr>
                <w:rFonts w:eastAsia="SimSun"/>
                <w:sz w:val="18"/>
                <w:szCs w:val="18"/>
                <w:lang w:eastAsia="zh-CN"/>
              </w:rPr>
              <w:t xml:space="preserve"> bannières, affiches et feuilles d’information dans toutes les langues de l’ONU, </w:t>
            </w:r>
            <w:r w:rsidR="00687141" w:rsidRPr="00F77964">
              <w:rPr>
                <w:rFonts w:eastAsia="SimSun"/>
                <w:sz w:val="18"/>
                <w:szCs w:val="18"/>
                <w:lang w:eastAsia="zh-CN"/>
              </w:rPr>
              <w:t>le cas échéant</w:t>
            </w:r>
          </w:p>
        </w:tc>
        <w:tc>
          <w:tcPr>
            <w:tcW w:w="1100" w:type="dxa"/>
            <w:tcBorders>
              <w:top w:val="single" w:sz="4" w:space="0" w:color="auto"/>
              <w:left w:val="single" w:sz="4" w:space="0" w:color="auto"/>
              <w:bottom w:val="single" w:sz="4" w:space="0" w:color="auto"/>
              <w:right w:val="single" w:sz="4" w:space="0" w:color="auto"/>
            </w:tcBorders>
            <w:hideMark/>
          </w:tcPr>
          <w:p w:rsidR="001D6913" w:rsidRPr="00F77964" w:rsidRDefault="001D6913" w:rsidP="009B2DE3">
            <w:pPr>
              <w:pStyle w:val="Normal-pool"/>
              <w:spacing w:before="40" w:after="40"/>
              <w:rPr>
                <w:rFonts w:eastAsia="SimSun"/>
                <w:sz w:val="18"/>
                <w:szCs w:val="18"/>
                <w:lang w:eastAsia="zh-CN"/>
              </w:rPr>
            </w:pPr>
            <w:r w:rsidRPr="00F77964">
              <w:rPr>
                <w:rFonts w:eastAsia="SimSun"/>
                <w:sz w:val="18"/>
                <w:szCs w:val="18"/>
                <w:lang w:eastAsia="zh-CN"/>
              </w:rPr>
              <w:t>90</w:t>
            </w:r>
            <w:r w:rsidR="00831077" w:rsidRPr="00F77964">
              <w:rPr>
                <w:rFonts w:eastAsia="SimSun"/>
                <w:sz w:val="18"/>
                <w:szCs w:val="18"/>
                <w:lang w:eastAsia="zh-CN"/>
              </w:rPr>
              <w:t> </w:t>
            </w:r>
            <w:r w:rsidRPr="00F77964">
              <w:rPr>
                <w:rFonts w:eastAsia="SimSun"/>
                <w:sz w:val="18"/>
                <w:szCs w:val="18"/>
                <w:lang w:eastAsia="zh-CN"/>
              </w:rPr>
              <w:t>000</w:t>
            </w:r>
          </w:p>
        </w:tc>
      </w:tr>
      <w:tr w:rsidR="0048302D" w:rsidRPr="0061490E" w:rsidTr="009B2DE3">
        <w:trPr>
          <w:trHeight w:val="58"/>
        </w:trPr>
        <w:tc>
          <w:tcPr>
            <w:tcW w:w="670" w:type="dxa"/>
            <w:vMerge w:val="restart"/>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sidRPr="00F77964">
              <w:rPr>
                <w:rFonts w:eastAsia="SimSun"/>
                <w:sz w:val="18"/>
                <w:szCs w:val="18"/>
                <w:lang w:eastAsia="zh-CN"/>
              </w:rPr>
              <w:t>2015</w:t>
            </w:r>
          </w:p>
        </w:tc>
        <w:tc>
          <w:tcPr>
            <w:tcW w:w="2868"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Pr>
                <w:rFonts w:eastAsia="SimSun"/>
                <w:sz w:val="18"/>
                <w:szCs w:val="18"/>
                <w:lang w:eastAsia="zh-CN"/>
              </w:rPr>
              <w:t>Appui en matière d’</w:t>
            </w:r>
            <w:r w:rsidRPr="00F77964">
              <w:rPr>
                <w:rFonts w:eastAsia="SimSun"/>
                <w:sz w:val="18"/>
                <w:szCs w:val="18"/>
                <w:lang w:eastAsia="zh-CN"/>
              </w:rPr>
              <w:t>Internet et de médias sociaux</w:t>
            </w:r>
          </w:p>
        </w:tc>
        <w:tc>
          <w:tcPr>
            <w:tcW w:w="3356"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sidRPr="00F77964">
              <w:rPr>
                <w:rFonts w:eastAsia="SimSun"/>
                <w:sz w:val="18"/>
                <w:szCs w:val="18"/>
                <w:lang w:eastAsia="zh-CN"/>
              </w:rPr>
              <w:t>Comme ci-dessus</w:t>
            </w:r>
          </w:p>
        </w:tc>
        <w:tc>
          <w:tcPr>
            <w:tcW w:w="1100"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sidRPr="00F77964">
              <w:rPr>
                <w:rFonts w:eastAsia="SimSun"/>
                <w:sz w:val="18"/>
                <w:szCs w:val="18"/>
                <w:lang w:eastAsia="zh-CN"/>
              </w:rPr>
              <w:t xml:space="preserve">45 000 </w:t>
            </w:r>
          </w:p>
        </w:tc>
      </w:tr>
      <w:tr w:rsidR="0048302D" w:rsidRPr="0061490E" w:rsidTr="009B2DE3">
        <w:trPr>
          <w:trHeight w:val="161"/>
        </w:trPr>
        <w:tc>
          <w:tcPr>
            <w:tcW w:w="0" w:type="auto"/>
            <w:vMerge/>
            <w:tcBorders>
              <w:top w:val="single" w:sz="4" w:space="0" w:color="auto"/>
              <w:left w:val="single" w:sz="4" w:space="0" w:color="auto"/>
              <w:bottom w:val="single" w:sz="4" w:space="0" w:color="auto"/>
              <w:right w:val="single" w:sz="4" w:space="0" w:color="auto"/>
            </w:tcBorders>
            <w:hideMark/>
          </w:tcPr>
          <w:p w:rsidR="0048302D" w:rsidRPr="0061490E" w:rsidRDefault="0048302D" w:rsidP="009B2DE3">
            <w:pPr>
              <w:rPr>
                <w:rFonts w:eastAsia="SimSun"/>
                <w:sz w:val="18"/>
                <w:szCs w:val="18"/>
                <w:lang w:eastAsia="zh-CN"/>
              </w:rPr>
            </w:pPr>
          </w:p>
        </w:tc>
        <w:tc>
          <w:tcPr>
            <w:tcW w:w="2868"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Pr>
                <w:rFonts w:eastAsia="SimSun"/>
                <w:sz w:val="18"/>
                <w:szCs w:val="18"/>
                <w:lang w:eastAsia="zh-CN"/>
              </w:rPr>
              <w:t xml:space="preserve">Appui en matière de </w:t>
            </w:r>
            <w:r w:rsidRPr="00F77964">
              <w:rPr>
                <w:rFonts w:eastAsia="SimSun"/>
                <w:sz w:val="18"/>
                <w:szCs w:val="18"/>
                <w:lang w:eastAsia="zh-CN"/>
              </w:rPr>
              <w:t>moyens audiovisuels</w:t>
            </w:r>
          </w:p>
        </w:tc>
        <w:tc>
          <w:tcPr>
            <w:tcW w:w="3356"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sidRPr="00F77964">
              <w:rPr>
                <w:rFonts w:eastAsia="SimSun"/>
                <w:sz w:val="18"/>
                <w:szCs w:val="18"/>
                <w:lang w:eastAsia="zh-CN"/>
              </w:rPr>
              <w:t>Comme ci-dessus</w:t>
            </w:r>
          </w:p>
        </w:tc>
        <w:tc>
          <w:tcPr>
            <w:tcW w:w="1100"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sidRPr="00F77964">
              <w:rPr>
                <w:rFonts w:eastAsia="SimSun"/>
                <w:sz w:val="18"/>
                <w:szCs w:val="18"/>
                <w:lang w:eastAsia="zh-CN"/>
              </w:rPr>
              <w:t>50 000</w:t>
            </w:r>
          </w:p>
        </w:tc>
      </w:tr>
      <w:tr w:rsidR="0048302D" w:rsidRPr="0061490E" w:rsidTr="009B2DE3">
        <w:trPr>
          <w:trHeight w:val="137"/>
        </w:trPr>
        <w:tc>
          <w:tcPr>
            <w:tcW w:w="0" w:type="auto"/>
            <w:vMerge/>
            <w:tcBorders>
              <w:top w:val="single" w:sz="4" w:space="0" w:color="auto"/>
              <w:left w:val="single" w:sz="4" w:space="0" w:color="auto"/>
              <w:bottom w:val="single" w:sz="4" w:space="0" w:color="auto"/>
              <w:right w:val="single" w:sz="4" w:space="0" w:color="auto"/>
            </w:tcBorders>
            <w:hideMark/>
          </w:tcPr>
          <w:p w:rsidR="0048302D" w:rsidRPr="0061490E" w:rsidRDefault="0048302D" w:rsidP="009B2DE3">
            <w:pPr>
              <w:rPr>
                <w:rFonts w:eastAsia="SimSun"/>
                <w:sz w:val="18"/>
                <w:szCs w:val="18"/>
                <w:lang w:eastAsia="zh-CN"/>
              </w:rPr>
            </w:pPr>
          </w:p>
        </w:tc>
        <w:tc>
          <w:tcPr>
            <w:tcW w:w="2868"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keepNext/>
              <w:keepLines/>
              <w:spacing w:before="40" w:after="40"/>
              <w:rPr>
                <w:rFonts w:eastAsia="SimSun"/>
                <w:sz w:val="18"/>
                <w:szCs w:val="18"/>
                <w:lang w:eastAsia="zh-CN"/>
              </w:rPr>
            </w:pPr>
            <w:r>
              <w:rPr>
                <w:rFonts w:eastAsia="SimSun"/>
                <w:sz w:val="18"/>
                <w:szCs w:val="18"/>
                <w:lang w:eastAsia="zh-CN"/>
              </w:rPr>
              <w:t xml:space="preserve">Appui en matière de </w:t>
            </w:r>
            <w:r w:rsidRPr="00F77964">
              <w:rPr>
                <w:rFonts w:eastAsia="SimSun"/>
                <w:sz w:val="18"/>
                <w:szCs w:val="18"/>
                <w:lang w:eastAsia="zh-CN"/>
              </w:rPr>
              <w:t>médias</w:t>
            </w:r>
          </w:p>
        </w:tc>
        <w:tc>
          <w:tcPr>
            <w:tcW w:w="3356"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sidRPr="00F77964">
              <w:rPr>
                <w:rFonts w:eastAsia="SimSun"/>
                <w:sz w:val="18"/>
                <w:szCs w:val="18"/>
                <w:lang w:eastAsia="zh-CN"/>
              </w:rPr>
              <w:t>Comme ci-dessus</w:t>
            </w:r>
          </w:p>
        </w:tc>
        <w:tc>
          <w:tcPr>
            <w:tcW w:w="1100"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sidRPr="00F77964">
              <w:rPr>
                <w:rFonts w:eastAsia="SimSun"/>
                <w:sz w:val="18"/>
                <w:szCs w:val="18"/>
                <w:lang w:eastAsia="zh-CN"/>
              </w:rPr>
              <w:t>30 000</w:t>
            </w:r>
          </w:p>
        </w:tc>
      </w:tr>
      <w:tr w:rsidR="0048302D" w:rsidRPr="0061490E" w:rsidTr="009B2DE3">
        <w:trPr>
          <w:trHeight w:val="283"/>
        </w:trPr>
        <w:tc>
          <w:tcPr>
            <w:tcW w:w="0" w:type="auto"/>
            <w:vMerge/>
            <w:tcBorders>
              <w:top w:val="single" w:sz="4" w:space="0" w:color="auto"/>
              <w:left w:val="single" w:sz="4" w:space="0" w:color="auto"/>
              <w:bottom w:val="single" w:sz="4" w:space="0" w:color="auto"/>
              <w:right w:val="single" w:sz="4" w:space="0" w:color="auto"/>
            </w:tcBorders>
            <w:hideMark/>
          </w:tcPr>
          <w:p w:rsidR="0048302D" w:rsidRPr="0061490E" w:rsidRDefault="0048302D" w:rsidP="009B2DE3">
            <w:pPr>
              <w:rPr>
                <w:rFonts w:eastAsia="SimSun"/>
                <w:sz w:val="18"/>
                <w:szCs w:val="18"/>
                <w:lang w:eastAsia="zh-CN"/>
              </w:rPr>
            </w:pPr>
          </w:p>
        </w:tc>
        <w:tc>
          <w:tcPr>
            <w:tcW w:w="2868"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sidRPr="00F77964">
              <w:rPr>
                <w:rFonts w:eastAsia="SimSun"/>
                <w:sz w:val="18"/>
                <w:szCs w:val="18"/>
                <w:lang w:eastAsia="zh-CN"/>
              </w:rPr>
              <w:t xml:space="preserve">Matériels </w:t>
            </w:r>
            <w:r>
              <w:rPr>
                <w:rFonts w:eastAsia="SimSun"/>
                <w:sz w:val="18"/>
                <w:szCs w:val="18"/>
                <w:lang w:eastAsia="zh-CN"/>
              </w:rPr>
              <w:t>d’animation</w:t>
            </w:r>
            <w:r w:rsidRPr="00F77964">
              <w:rPr>
                <w:rFonts w:eastAsia="SimSun"/>
                <w:sz w:val="18"/>
                <w:szCs w:val="18"/>
                <w:lang w:eastAsia="zh-CN"/>
              </w:rPr>
              <w:t xml:space="preserve"> et de communication imprimés, à l’exclusion des rapports et documents officiels</w:t>
            </w:r>
          </w:p>
        </w:tc>
        <w:tc>
          <w:tcPr>
            <w:tcW w:w="3356"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sidRPr="00F77964">
              <w:rPr>
                <w:rFonts w:eastAsia="SimSun"/>
                <w:sz w:val="18"/>
                <w:szCs w:val="18"/>
                <w:lang w:eastAsia="zh-CN"/>
              </w:rPr>
              <w:t>Comme ci-dessus</w:t>
            </w:r>
          </w:p>
        </w:tc>
        <w:tc>
          <w:tcPr>
            <w:tcW w:w="1100"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sidRPr="00F77964">
              <w:rPr>
                <w:rFonts w:eastAsia="SimSun"/>
                <w:sz w:val="18"/>
                <w:szCs w:val="18"/>
                <w:lang w:eastAsia="zh-CN"/>
              </w:rPr>
              <w:t>90 000</w:t>
            </w:r>
          </w:p>
        </w:tc>
      </w:tr>
      <w:tr w:rsidR="0048302D" w:rsidRPr="0061490E" w:rsidTr="009B2DE3">
        <w:trPr>
          <w:trHeight w:val="205"/>
        </w:trPr>
        <w:tc>
          <w:tcPr>
            <w:tcW w:w="670" w:type="dxa"/>
            <w:vMerge w:val="restart"/>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sidRPr="00F77964">
              <w:rPr>
                <w:rFonts w:eastAsia="SimSun"/>
                <w:sz w:val="18"/>
                <w:szCs w:val="18"/>
                <w:lang w:eastAsia="zh-CN"/>
              </w:rPr>
              <w:t>2016</w:t>
            </w:r>
          </w:p>
        </w:tc>
        <w:tc>
          <w:tcPr>
            <w:tcW w:w="2868"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Pr>
                <w:rFonts w:eastAsia="SimSun"/>
                <w:sz w:val="18"/>
                <w:szCs w:val="18"/>
                <w:lang w:eastAsia="zh-CN"/>
              </w:rPr>
              <w:t>Appui en matière d’</w:t>
            </w:r>
            <w:r w:rsidRPr="00F77964">
              <w:rPr>
                <w:rFonts w:eastAsia="SimSun"/>
                <w:sz w:val="18"/>
                <w:szCs w:val="18"/>
                <w:lang w:eastAsia="zh-CN"/>
              </w:rPr>
              <w:t>Internet et de médias sociaux</w:t>
            </w:r>
          </w:p>
        </w:tc>
        <w:tc>
          <w:tcPr>
            <w:tcW w:w="3356"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sidRPr="00F77964">
              <w:rPr>
                <w:rFonts w:eastAsia="SimSun"/>
                <w:sz w:val="18"/>
                <w:szCs w:val="18"/>
                <w:lang w:eastAsia="zh-CN"/>
              </w:rPr>
              <w:t>Comme ci-dessus</w:t>
            </w:r>
          </w:p>
        </w:tc>
        <w:tc>
          <w:tcPr>
            <w:tcW w:w="1100"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sidRPr="00F77964">
              <w:rPr>
                <w:rFonts w:eastAsia="SimSun"/>
                <w:sz w:val="18"/>
                <w:szCs w:val="18"/>
                <w:lang w:eastAsia="zh-CN"/>
              </w:rPr>
              <w:t xml:space="preserve">45 000 </w:t>
            </w:r>
          </w:p>
        </w:tc>
      </w:tr>
      <w:tr w:rsidR="0048302D" w:rsidRPr="0061490E" w:rsidTr="009B2DE3">
        <w:trPr>
          <w:trHeight w:val="181"/>
        </w:trPr>
        <w:tc>
          <w:tcPr>
            <w:tcW w:w="0" w:type="auto"/>
            <w:vMerge/>
            <w:tcBorders>
              <w:top w:val="single" w:sz="4" w:space="0" w:color="auto"/>
              <w:left w:val="single" w:sz="4" w:space="0" w:color="auto"/>
              <w:bottom w:val="single" w:sz="4" w:space="0" w:color="auto"/>
              <w:right w:val="single" w:sz="4" w:space="0" w:color="auto"/>
            </w:tcBorders>
            <w:hideMark/>
          </w:tcPr>
          <w:p w:rsidR="0048302D" w:rsidRPr="0061490E" w:rsidRDefault="0048302D" w:rsidP="009B2DE3">
            <w:pPr>
              <w:rPr>
                <w:rFonts w:eastAsia="SimSun"/>
                <w:sz w:val="18"/>
                <w:szCs w:val="18"/>
                <w:lang w:eastAsia="zh-CN"/>
              </w:rPr>
            </w:pPr>
          </w:p>
        </w:tc>
        <w:tc>
          <w:tcPr>
            <w:tcW w:w="2868"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Pr>
                <w:rFonts w:eastAsia="SimSun"/>
                <w:sz w:val="18"/>
                <w:szCs w:val="18"/>
                <w:lang w:eastAsia="zh-CN"/>
              </w:rPr>
              <w:t xml:space="preserve">Appui en matière de </w:t>
            </w:r>
            <w:r w:rsidRPr="00F77964">
              <w:rPr>
                <w:rFonts w:eastAsia="SimSun"/>
                <w:sz w:val="18"/>
                <w:szCs w:val="18"/>
                <w:lang w:eastAsia="zh-CN"/>
              </w:rPr>
              <w:t>moyens audiovisuels</w:t>
            </w:r>
          </w:p>
        </w:tc>
        <w:tc>
          <w:tcPr>
            <w:tcW w:w="3356"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sidRPr="00F77964">
              <w:rPr>
                <w:rFonts w:eastAsia="SimSun"/>
                <w:sz w:val="18"/>
                <w:szCs w:val="18"/>
                <w:lang w:eastAsia="zh-CN"/>
              </w:rPr>
              <w:t>Comme ci-dessus</w:t>
            </w:r>
          </w:p>
        </w:tc>
        <w:tc>
          <w:tcPr>
            <w:tcW w:w="1100"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sidRPr="00F77964">
              <w:rPr>
                <w:rFonts w:eastAsia="SimSun"/>
                <w:sz w:val="18"/>
                <w:szCs w:val="18"/>
                <w:lang w:eastAsia="zh-CN"/>
              </w:rPr>
              <w:t>50 000</w:t>
            </w:r>
          </w:p>
        </w:tc>
      </w:tr>
      <w:tr w:rsidR="0048302D" w:rsidRPr="0061490E" w:rsidTr="009B2DE3">
        <w:trPr>
          <w:trHeight w:val="171"/>
        </w:trPr>
        <w:tc>
          <w:tcPr>
            <w:tcW w:w="0" w:type="auto"/>
            <w:vMerge/>
            <w:tcBorders>
              <w:top w:val="single" w:sz="4" w:space="0" w:color="auto"/>
              <w:left w:val="single" w:sz="4" w:space="0" w:color="auto"/>
              <w:bottom w:val="single" w:sz="4" w:space="0" w:color="auto"/>
              <w:right w:val="single" w:sz="4" w:space="0" w:color="auto"/>
            </w:tcBorders>
            <w:hideMark/>
          </w:tcPr>
          <w:p w:rsidR="0048302D" w:rsidRPr="0061490E" w:rsidRDefault="0048302D" w:rsidP="009B2DE3">
            <w:pPr>
              <w:rPr>
                <w:rFonts w:eastAsia="SimSun"/>
                <w:sz w:val="18"/>
                <w:szCs w:val="18"/>
                <w:lang w:eastAsia="zh-CN"/>
              </w:rPr>
            </w:pPr>
          </w:p>
        </w:tc>
        <w:tc>
          <w:tcPr>
            <w:tcW w:w="2868"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keepNext/>
              <w:keepLines/>
              <w:spacing w:before="40" w:after="40"/>
              <w:rPr>
                <w:rFonts w:eastAsia="SimSun"/>
                <w:sz w:val="18"/>
                <w:szCs w:val="18"/>
                <w:lang w:eastAsia="zh-CN"/>
              </w:rPr>
            </w:pPr>
            <w:r>
              <w:rPr>
                <w:rFonts w:eastAsia="SimSun"/>
                <w:sz w:val="18"/>
                <w:szCs w:val="18"/>
                <w:lang w:eastAsia="zh-CN"/>
              </w:rPr>
              <w:t xml:space="preserve">Appui en matière de </w:t>
            </w:r>
            <w:r w:rsidRPr="00F77964">
              <w:rPr>
                <w:rFonts w:eastAsia="SimSun"/>
                <w:sz w:val="18"/>
                <w:szCs w:val="18"/>
                <w:lang w:eastAsia="zh-CN"/>
              </w:rPr>
              <w:t>médias</w:t>
            </w:r>
          </w:p>
        </w:tc>
        <w:tc>
          <w:tcPr>
            <w:tcW w:w="3356"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sidRPr="00F77964">
              <w:rPr>
                <w:rFonts w:eastAsia="SimSun"/>
                <w:sz w:val="18"/>
                <w:szCs w:val="18"/>
                <w:lang w:eastAsia="zh-CN"/>
              </w:rPr>
              <w:t>Comme ci-dessus</w:t>
            </w:r>
          </w:p>
        </w:tc>
        <w:tc>
          <w:tcPr>
            <w:tcW w:w="1100"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sidRPr="00F77964">
              <w:rPr>
                <w:rFonts w:eastAsia="SimSun"/>
                <w:sz w:val="18"/>
                <w:szCs w:val="18"/>
                <w:lang w:eastAsia="zh-CN"/>
              </w:rPr>
              <w:t>30 000</w:t>
            </w:r>
          </w:p>
        </w:tc>
      </w:tr>
      <w:tr w:rsidR="0048302D" w:rsidRPr="0061490E" w:rsidTr="009B2DE3">
        <w:trPr>
          <w:trHeight w:val="317"/>
        </w:trPr>
        <w:tc>
          <w:tcPr>
            <w:tcW w:w="0" w:type="auto"/>
            <w:vMerge/>
            <w:tcBorders>
              <w:top w:val="single" w:sz="4" w:space="0" w:color="auto"/>
              <w:left w:val="single" w:sz="4" w:space="0" w:color="auto"/>
              <w:bottom w:val="single" w:sz="4" w:space="0" w:color="auto"/>
              <w:right w:val="single" w:sz="4" w:space="0" w:color="auto"/>
            </w:tcBorders>
            <w:hideMark/>
          </w:tcPr>
          <w:p w:rsidR="0048302D" w:rsidRPr="0061490E" w:rsidRDefault="0048302D" w:rsidP="009B2DE3">
            <w:pPr>
              <w:rPr>
                <w:rFonts w:eastAsia="SimSun"/>
                <w:sz w:val="18"/>
                <w:szCs w:val="18"/>
                <w:lang w:eastAsia="zh-CN"/>
              </w:rPr>
            </w:pPr>
          </w:p>
        </w:tc>
        <w:tc>
          <w:tcPr>
            <w:tcW w:w="2868"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sidRPr="00F77964">
              <w:rPr>
                <w:rFonts w:eastAsia="SimSun"/>
                <w:sz w:val="18"/>
                <w:szCs w:val="18"/>
                <w:lang w:eastAsia="zh-CN"/>
              </w:rPr>
              <w:t xml:space="preserve">Matériels </w:t>
            </w:r>
            <w:r>
              <w:rPr>
                <w:rFonts w:eastAsia="SimSun"/>
                <w:sz w:val="18"/>
                <w:szCs w:val="18"/>
                <w:lang w:eastAsia="zh-CN"/>
              </w:rPr>
              <w:t>d’animation</w:t>
            </w:r>
            <w:r w:rsidRPr="00F77964">
              <w:rPr>
                <w:rFonts w:eastAsia="SimSun"/>
                <w:sz w:val="18"/>
                <w:szCs w:val="18"/>
                <w:lang w:eastAsia="zh-CN"/>
              </w:rPr>
              <w:t xml:space="preserve"> et de communication imprimés, à l’exclusion des rapports et documents officiels</w:t>
            </w:r>
          </w:p>
        </w:tc>
        <w:tc>
          <w:tcPr>
            <w:tcW w:w="3356"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sidRPr="00F77964">
              <w:rPr>
                <w:rFonts w:eastAsia="SimSun"/>
                <w:sz w:val="18"/>
                <w:szCs w:val="18"/>
                <w:lang w:eastAsia="zh-CN"/>
              </w:rPr>
              <w:t>Comme ci-dessus</w:t>
            </w:r>
          </w:p>
        </w:tc>
        <w:tc>
          <w:tcPr>
            <w:tcW w:w="1100"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sidRPr="00F77964">
              <w:rPr>
                <w:rFonts w:eastAsia="SimSun"/>
                <w:sz w:val="18"/>
                <w:szCs w:val="18"/>
                <w:lang w:eastAsia="zh-CN"/>
              </w:rPr>
              <w:t>90 000</w:t>
            </w:r>
          </w:p>
        </w:tc>
      </w:tr>
      <w:tr w:rsidR="0048302D" w:rsidRPr="0061490E" w:rsidTr="009B2DE3">
        <w:trPr>
          <w:trHeight w:val="211"/>
        </w:trPr>
        <w:tc>
          <w:tcPr>
            <w:tcW w:w="670" w:type="dxa"/>
            <w:vMerge w:val="restart"/>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sidRPr="00F77964">
              <w:rPr>
                <w:rFonts w:eastAsia="SimSun"/>
                <w:sz w:val="18"/>
                <w:szCs w:val="18"/>
                <w:lang w:eastAsia="zh-CN"/>
              </w:rPr>
              <w:t>2017</w:t>
            </w:r>
          </w:p>
        </w:tc>
        <w:tc>
          <w:tcPr>
            <w:tcW w:w="2868"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Pr>
                <w:rFonts w:eastAsia="SimSun"/>
                <w:sz w:val="18"/>
                <w:szCs w:val="18"/>
                <w:lang w:eastAsia="zh-CN"/>
              </w:rPr>
              <w:t>Appui en matière d’</w:t>
            </w:r>
            <w:r w:rsidRPr="00F77964">
              <w:rPr>
                <w:rFonts w:eastAsia="SimSun"/>
                <w:sz w:val="18"/>
                <w:szCs w:val="18"/>
                <w:lang w:eastAsia="zh-CN"/>
              </w:rPr>
              <w:t>Internet et de médias sociaux</w:t>
            </w:r>
          </w:p>
        </w:tc>
        <w:tc>
          <w:tcPr>
            <w:tcW w:w="3356"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sidRPr="00F77964">
              <w:rPr>
                <w:rFonts w:eastAsia="SimSun"/>
                <w:sz w:val="18"/>
                <w:szCs w:val="18"/>
                <w:lang w:eastAsia="zh-CN"/>
              </w:rPr>
              <w:t>Comme ci-dessus</w:t>
            </w:r>
          </w:p>
        </w:tc>
        <w:tc>
          <w:tcPr>
            <w:tcW w:w="1100"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sidRPr="00F77964">
              <w:rPr>
                <w:rFonts w:eastAsia="SimSun"/>
                <w:sz w:val="18"/>
                <w:szCs w:val="18"/>
                <w:lang w:eastAsia="zh-CN"/>
              </w:rPr>
              <w:t xml:space="preserve">45 000 </w:t>
            </w:r>
          </w:p>
        </w:tc>
      </w:tr>
      <w:tr w:rsidR="0048302D" w:rsidRPr="0061490E" w:rsidTr="009B2DE3">
        <w:trPr>
          <w:trHeight w:val="201"/>
        </w:trPr>
        <w:tc>
          <w:tcPr>
            <w:tcW w:w="0" w:type="auto"/>
            <w:vMerge/>
            <w:tcBorders>
              <w:top w:val="single" w:sz="4" w:space="0" w:color="auto"/>
              <w:left w:val="single" w:sz="4" w:space="0" w:color="auto"/>
              <w:bottom w:val="single" w:sz="4" w:space="0" w:color="auto"/>
              <w:right w:val="single" w:sz="4" w:space="0" w:color="auto"/>
            </w:tcBorders>
            <w:hideMark/>
          </w:tcPr>
          <w:p w:rsidR="0048302D" w:rsidRPr="0061490E" w:rsidRDefault="0048302D" w:rsidP="009B2DE3">
            <w:pPr>
              <w:rPr>
                <w:rFonts w:eastAsia="SimSun"/>
                <w:sz w:val="18"/>
                <w:szCs w:val="18"/>
                <w:lang w:eastAsia="zh-CN"/>
              </w:rPr>
            </w:pPr>
          </w:p>
        </w:tc>
        <w:tc>
          <w:tcPr>
            <w:tcW w:w="2868"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Pr>
                <w:rFonts w:eastAsia="SimSun"/>
                <w:sz w:val="18"/>
                <w:szCs w:val="18"/>
                <w:lang w:eastAsia="zh-CN"/>
              </w:rPr>
              <w:t xml:space="preserve">Appui en matière de </w:t>
            </w:r>
            <w:r w:rsidRPr="00F77964">
              <w:rPr>
                <w:rFonts w:eastAsia="SimSun"/>
                <w:sz w:val="18"/>
                <w:szCs w:val="18"/>
                <w:lang w:eastAsia="zh-CN"/>
              </w:rPr>
              <w:t>moyens audiovisuels</w:t>
            </w:r>
          </w:p>
        </w:tc>
        <w:tc>
          <w:tcPr>
            <w:tcW w:w="3356"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sidRPr="00F77964">
              <w:rPr>
                <w:rFonts w:eastAsia="SimSun"/>
                <w:sz w:val="18"/>
                <w:szCs w:val="18"/>
                <w:lang w:eastAsia="zh-CN"/>
              </w:rPr>
              <w:t>Comme ci-dessus</w:t>
            </w:r>
          </w:p>
        </w:tc>
        <w:tc>
          <w:tcPr>
            <w:tcW w:w="1100"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sidRPr="00F77964">
              <w:rPr>
                <w:rFonts w:eastAsia="SimSun"/>
                <w:sz w:val="18"/>
                <w:szCs w:val="18"/>
                <w:lang w:eastAsia="zh-CN"/>
              </w:rPr>
              <w:t>50 000</w:t>
            </w:r>
          </w:p>
        </w:tc>
      </w:tr>
      <w:tr w:rsidR="0048302D" w:rsidRPr="0061490E" w:rsidTr="009B2DE3">
        <w:trPr>
          <w:trHeight w:val="191"/>
        </w:trPr>
        <w:tc>
          <w:tcPr>
            <w:tcW w:w="0" w:type="auto"/>
            <w:vMerge/>
            <w:tcBorders>
              <w:top w:val="single" w:sz="4" w:space="0" w:color="auto"/>
              <w:left w:val="single" w:sz="4" w:space="0" w:color="auto"/>
              <w:bottom w:val="single" w:sz="4" w:space="0" w:color="auto"/>
              <w:right w:val="single" w:sz="4" w:space="0" w:color="auto"/>
            </w:tcBorders>
            <w:hideMark/>
          </w:tcPr>
          <w:p w:rsidR="0048302D" w:rsidRPr="0061490E" w:rsidRDefault="0048302D" w:rsidP="009B2DE3">
            <w:pPr>
              <w:rPr>
                <w:rFonts w:eastAsia="SimSun"/>
                <w:sz w:val="18"/>
                <w:szCs w:val="18"/>
                <w:lang w:eastAsia="zh-CN"/>
              </w:rPr>
            </w:pPr>
          </w:p>
        </w:tc>
        <w:tc>
          <w:tcPr>
            <w:tcW w:w="2868"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keepNext/>
              <w:keepLines/>
              <w:spacing w:before="40" w:after="40"/>
              <w:rPr>
                <w:rFonts w:eastAsia="SimSun"/>
                <w:sz w:val="18"/>
                <w:szCs w:val="18"/>
                <w:lang w:eastAsia="zh-CN"/>
              </w:rPr>
            </w:pPr>
            <w:r>
              <w:rPr>
                <w:rFonts w:eastAsia="SimSun"/>
                <w:sz w:val="18"/>
                <w:szCs w:val="18"/>
                <w:lang w:eastAsia="zh-CN"/>
              </w:rPr>
              <w:t xml:space="preserve">Appui en matière de </w:t>
            </w:r>
            <w:r w:rsidRPr="00F77964">
              <w:rPr>
                <w:rFonts w:eastAsia="SimSun"/>
                <w:sz w:val="18"/>
                <w:szCs w:val="18"/>
                <w:lang w:eastAsia="zh-CN"/>
              </w:rPr>
              <w:t>médias</w:t>
            </w:r>
          </w:p>
        </w:tc>
        <w:tc>
          <w:tcPr>
            <w:tcW w:w="3356"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sidRPr="00F77964">
              <w:rPr>
                <w:rFonts w:eastAsia="SimSun"/>
                <w:sz w:val="18"/>
                <w:szCs w:val="18"/>
                <w:lang w:eastAsia="zh-CN"/>
              </w:rPr>
              <w:t>Comme ci-dessus</w:t>
            </w:r>
          </w:p>
        </w:tc>
        <w:tc>
          <w:tcPr>
            <w:tcW w:w="1100"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sidRPr="00F77964">
              <w:rPr>
                <w:rFonts w:eastAsia="SimSun"/>
                <w:sz w:val="18"/>
                <w:szCs w:val="18"/>
                <w:lang w:eastAsia="zh-CN"/>
              </w:rPr>
              <w:t>30 000</w:t>
            </w:r>
          </w:p>
        </w:tc>
      </w:tr>
      <w:tr w:rsidR="0048302D" w:rsidRPr="0061490E" w:rsidTr="009B2DE3">
        <w:trPr>
          <w:trHeight w:val="323"/>
        </w:trPr>
        <w:tc>
          <w:tcPr>
            <w:tcW w:w="0" w:type="auto"/>
            <w:vMerge/>
            <w:tcBorders>
              <w:top w:val="single" w:sz="4" w:space="0" w:color="auto"/>
              <w:left w:val="single" w:sz="4" w:space="0" w:color="auto"/>
              <w:bottom w:val="single" w:sz="4" w:space="0" w:color="auto"/>
              <w:right w:val="single" w:sz="4" w:space="0" w:color="auto"/>
            </w:tcBorders>
            <w:hideMark/>
          </w:tcPr>
          <w:p w:rsidR="0048302D" w:rsidRPr="0061490E" w:rsidRDefault="0048302D" w:rsidP="009B2DE3">
            <w:pPr>
              <w:rPr>
                <w:rFonts w:eastAsia="SimSun"/>
                <w:sz w:val="18"/>
                <w:szCs w:val="18"/>
                <w:lang w:eastAsia="zh-CN"/>
              </w:rPr>
            </w:pPr>
          </w:p>
        </w:tc>
        <w:tc>
          <w:tcPr>
            <w:tcW w:w="2868"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sidRPr="00F77964">
              <w:rPr>
                <w:rFonts w:eastAsia="SimSun"/>
                <w:sz w:val="18"/>
                <w:szCs w:val="18"/>
                <w:lang w:eastAsia="zh-CN"/>
              </w:rPr>
              <w:t xml:space="preserve">Matériels </w:t>
            </w:r>
            <w:r>
              <w:rPr>
                <w:rFonts w:eastAsia="SimSun"/>
                <w:sz w:val="18"/>
                <w:szCs w:val="18"/>
                <w:lang w:eastAsia="zh-CN"/>
              </w:rPr>
              <w:t>d’animation</w:t>
            </w:r>
            <w:r w:rsidRPr="00F77964">
              <w:rPr>
                <w:rFonts w:eastAsia="SimSun"/>
                <w:sz w:val="18"/>
                <w:szCs w:val="18"/>
                <w:lang w:eastAsia="zh-CN"/>
              </w:rPr>
              <w:t xml:space="preserve"> et de communication imprimés, à l’exclusion des rapports et documents officiels</w:t>
            </w:r>
          </w:p>
        </w:tc>
        <w:tc>
          <w:tcPr>
            <w:tcW w:w="3356"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sidRPr="00F77964">
              <w:rPr>
                <w:rFonts w:eastAsia="SimSun"/>
                <w:sz w:val="18"/>
                <w:szCs w:val="18"/>
                <w:lang w:eastAsia="zh-CN"/>
              </w:rPr>
              <w:t>Comme ci-dessus</w:t>
            </w:r>
          </w:p>
        </w:tc>
        <w:tc>
          <w:tcPr>
            <w:tcW w:w="1100"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sidRPr="00F77964">
              <w:rPr>
                <w:rFonts w:eastAsia="SimSun"/>
                <w:sz w:val="18"/>
                <w:szCs w:val="18"/>
                <w:lang w:eastAsia="zh-CN"/>
              </w:rPr>
              <w:t>90 000</w:t>
            </w:r>
          </w:p>
        </w:tc>
      </w:tr>
      <w:tr w:rsidR="0048302D" w:rsidRPr="0061490E" w:rsidTr="009B2DE3">
        <w:trPr>
          <w:trHeight w:val="89"/>
        </w:trPr>
        <w:tc>
          <w:tcPr>
            <w:tcW w:w="670" w:type="dxa"/>
            <w:vMerge w:val="restart"/>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sidRPr="00F77964">
              <w:rPr>
                <w:rFonts w:eastAsia="SimSun"/>
                <w:sz w:val="18"/>
                <w:szCs w:val="18"/>
                <w:lang w:eastAsia="zh-CN"/>
              </w:rPr>
              <w:t>2018</w:t>
            </w:r>
          </w:p>
        </w:tc>
        <w:tc>
          <w:tcPr>
            <w:tcW w:w="2868"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Pr>
                <w:rFonts w:eastAsia="SimSun"/>
                <w:sz w:val="18"/>
                <w:szCs w:val="18"/>
                <w:lang w:eastAsia="zh-CN"/>
              </w:rPr>
              <w:t>Appui en matière d’</w:t>
            </w:r>
            <w:r w:rsidRPr="00F77964">
              <w:rPr>
                <w:rFonts w:eastAsia="SimSun"/>
                <w:sz w:val="18"/>
                <w:szCs w:val="18"/>
                <w:lang w:eastAsia="zh-CN"/>
              </w:rPr>
              <w:t>Internet et de médias sociaux</w:t>
            </w:r>
          </w:p>
        </w:tc>
        <w:tc>
          <w:tcPr>
            <w:tcW w:w="3356"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sidRPr="00F77964">
              <w:rPr>
                <w:rFonts w:eastAsia="SimSun"/>
                <w:sz w:val="18"/>
                <w:szCs w:val="18"/>
                <w:lang w:eastAsia="zh-CN"/>
              </w:rPr>
              <w:t>Comme ci-dessus</w:t>
            </w:r>
          </w:p>
        </w:tc>
        <w:tc>
          <w:tcPr>
            <w:tcW w:w="1100"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sidRPr="00F77964">
              <w:rPr>
                <w:rFonts w:eastAsia="SimSun"/>
                <w:sz w:val="18"/>
                <w:szCs w:val="18"/>
                <w:lang w:eastAsia="zh-CN"/>
              </w:rPr>
              <w:t xml:space="preserve">45 000 </w:t>
            </w:r>
          </w:p>
        </w:tc>
      </w:tr>
      <w:tr w:rsidR="0048302D" w:rsidRPr="0061490E" w:rsidTr="009B2DE3">
        <w:trPr>
          <w:trHeight w:val="79"/>
        </w:trPr>
        <w:tc>
          <w:tcPr>
            <w:tcW w:w="0" w:type="auto"/>
            <w:vMerge/>
            <w:tcBorders>
              <w:top w:val="single" w:sz="4" w:space="0" w:color="auto"/>
              <w:left w:val="single" w:sz="4" w:space="0" w:color="auto"/>
              <w:bottom w:val="single" w:sz="4" w:space="0" w:color="auto"/>
              <w:right w:val="single" w:sz="4" w:space="0" w:color="auto"/>
            </w:tcBorders>
            <w:hideMark/>
          </w:tcPr>
          <w:p w:rsidR="0048302D" w:rsidRPr="0061490E" w:rsidRDefault="0048302D" w:rsidP="009B2DE3">
            <w:pPr>
              <w:rPr>
                <w:rFonts w:eastAsia="SimSun"/>
                <w:sz w:val="18"/>
                <w:szCs w:val="18"/>
                <w:lang w:eastAsia="zh-CN"/>
              </w:rPr>
            </w:pPr>
          </w:p>
        </w:tc>
        <w:tc>
          <w:tcPr>
            <w:tcW w:w="2868"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Pr>
                <w:rFonts w:eastAsia="SimSun"/>
                <w:sz w:val="18"/>
                <w:szCs w:val="18"/>
                <w:lang w:eastAsia="zh-CN"/>
              </w:rPr>
              <w:t xml:space="preserve">Appui en matière de </w:t>
            </w:r>
            <w:r w:rsidRPr="00F77964">
              <w:rPr>
                <w:rFonts w:eastAsia="SimSun"/>
                <w:sz w:val="18"/>
                <w:szCs w:val="18"/>
                <w:lang w:eastAsia="zh-CN"/>
              </w:rPr>
              <w:t>moyens audiovisuels</w:t>
            </w:r>
          </w:p>
        </w:tc>
        <w:tc>
          <w:tcPr>
            <w:tcW w:w="3356"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sidRPr="00F77964">
              <w:rPr>
                <w:rFonts w:eastAsia="SimSun"/>
                <w:sz w:val="18"/>
                <w:szCs w:val="18"/>
                <w:lang w:eastAsia="zh-CN"/>
              </w:rPr>
              <w:t>Comme ci-dessus</w:t>
            </w:r>
          </w:p>
        </w:tc>
        <w:tc>
          <w:tcPr>
            <w:tcW w:w="1100"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sidRPr="00F77964">
              <w:rPr>
                <w:rFonts w:eastAsia="SimSun"/>
                <w:sz w:val="18"/>
                <w:szCs w:val="18"/>
                <w:lang w:eastAsia="zh-CN"/>
              </w:rPr>
              <w:t>120 000</w:t>
            </w:r>
          </w:p>
        </w:tc>
      </w:tr>
      <w:tr w:rsidR="0048302D" w:rsidRPr="0061490E" w:rsidTr="009B2DE3">
        <w:trPr>
          <w:trHeight w:val="58"/>
        </w:trPr>
        <w:tc>
          <w:tcPr>
            <w:tcW w:w="0" w:type="auto"/>
            <w:vMerge/>
            <w:tcBorders>
              <w:top w:val="single" w:sz="4" w:space="0" w:color="auto"/>
              <w:left w:val="single" w:sz="4" w:space="0" w:color="auto"/>
              <w:bottom w:val="single" w:sz="4" w:space="0" w:color="auto"/>
              <w:right w:val="single" w:sz="4" w:space="0" w:color="auto"/>
            </w:tcBorders>
            <w:hideMark/>
          </w:tcPr>
          <w:p w:rsidR="0048302D" w:rsidRPr="0061490E" w:rsidRDefault="0048302D" w:rsidP="009B2DE3">
            <w:pPr>
              <w:rPr>
                <w:rFonts w:eastAsia="SimSun"/>
                <w:sz w:val="18"/>
                <w:szCs w:val="18"/>
                <w:lang w:eastAsia="zh-CN"/>
              </w:rPr>
            </w:pPr>
          </w:p>
        </w:tc>
        <w:tc>
          <w:tcPr>
            <w:tcW w:w="2868"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keepNext/>
              <w:keepLines/>
              <w:spacing w:before="40" w:after="40"/>
              <w:rPr>
                <w:rFonts w:eastAsia="SimSun"/>
                <w:sz w:val="18"/>
                <w:szCs w:val="18"/>
                <w:lang w:eastAsia="zh-CN"/>
              </w:rPr>
            </w:pPr>
            <w:r>
              <w:rPr>
                <w:rFonts w:eastAsia="SimSun"/>
                <w:sz w:val="18"/>
                <w:szCs w:val="18"/>
                <w:lang w:eastAsia="zh-CN"/>
              </w:rPr>
              <w:t xml:space="preserve">Appui en matière de </w:t>
            </w:r>
            <w:r w:rsidRPr="00F77964">
              <w:rPr>
                <w:rFonts w:eastAsia="SimSun"/>
                <w:sz w:val="18"/>
                <w:szCs w:val="18"/>
                <w:lang w:eastAsia="zh-CN"/>
              </w:rPr>
              <w:t>médias</w:t>
            </w:r>
          </w:p>
        </w:tc>
        <w:tc>
          <w:tcPr>
            <w:tcW w:w="3356"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sidRPr="00F77964">
              <w:rPr>
                <w:rFonts w:eastAsia="SimSun"/>
                <w:sz w:val="18"/>
                <w:szCs w:val="18"/>
                <w:lang w:eastAsia="zh-CN"/>
              </w:rPr>
              <w:t>Comme ci-dessus</w:t>
            </w:r>
          </w:p>
        </w:tc>
        <w:tc>
          <w:tcPr>
            <w:tcW w:w="1100"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sidRPr="00F77964">
              <w:rPr>
                <w:rFonts w:eastAsia="SimSun"/>
                <w:sz w:val="18"/>
                <w:szCs w:val="18"/>
                <w:lang w:eastAsia="zh-CN"/>
              </w:rPr>
              <w:t>30 000</w:t>
            </w:r>
          </w:p>
        </w:tc>
      </w:tr>
      <w:tr w:rsidR="0048302D" w:rsidRPr="0061490E" w:rsidTr="009B2DE3">
        <w:trPr>
          <w:trHeight w:val="343"/>
        </w:trPr>
        <w:tc>
          <w:tcPr>
            <w:tcW w:w="0" w:type="auto"/>
            <w:vMerge/>
            <w:tcBorders>
              <w:top w:val="single" w:sz="4" w:space="0" w:color="auto"/>
              <w:left w:val="single" w:sz="4" w:space="0" w:color="auto"/>
              <w:bottom w:val="single" w:sz="4" w:space="0" w:color="auto"/>
              <w:right w:val="single" w:sz="4" w:space="0" w:color="auto"/>
            </w:tcBorders>
            <w:hideMark/>
          </w:tcPr>
          <w:p w:rsidR="0048302D" w:rsidRPr="0061490E" w:rsidRDefault="0048302D" w:rsidP="009B2DE3">
            <w:pPr>
              <w:rPr>
                <w:rFonts w:eastAsia="SimSun"/>
                <w:sz w:val="18"/>
                <w:szCs w:val="18"/>
                <w:lang w:eastAsia="zh-CN"/>
              </w:rPr>
            </w:pPr>
          </w:p>
        </w:tc>
        <w:tc>
          <w:tcPr>
            <w:tcW w:w="2868"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sidRPr="00F77964">
              <w:rPr>
                <w:rFonts w:eastAsia="SimSun"/>
                <w:sz w:val="18"/>
                <w:szCs w:val="18"/>
                <w:lang w:eastAsia="zh-CN"/>
              </w:rPr>
              <w:t xml:space="preserve">Matériels </w:t>
            </w:r>
            <w:r>
              <w:rPr>
                <w:rFonts w:eastAsia="SimSun"/>
                <w:sz w:val="18"/>
                <w:szCs w:val="18"/>
                <w:lang w:eastAsia="zh-CN"/>
              </w:rPr>
              <w:t>d’animation</w:t>
            </w:r>
            <w:r w:rsidRPr="00F77964">
              <w:rPr>
                <w:rFonts w:eastAsia="SimSun"/>
                <w:sz w:val="18"/>
                <w:szCs w:val="18"/>
                <w:lang w:eastAsia="zh-CN"/>
              </w:rPr>
              <w:t xml:space="preserve"> et de communication imprimés, à l’exclusion des rapports et documents officiels</w:t>
            </w:r>
          </w:p>
        </w:tc>
        <w:tc>
          <w:tcPr>
            <w:tcW w:w="3356"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sidRPr="00F77964">
              <w:rPr>
                <w:rFonts w:eastAsia="SimSun"/>
                <w:sz w:val="18"/>
                <w:szCs w:val="18"/>
                <w:lang w:eastAsia="zh-CN"/>
              </w:rPr>
              <w:t>Comme ci-dessus</w:t>
            </w:r>
          </w:p>
        </w:tc>
        <w:tc>
          <w:tcPr>
            <w:tcW w:w="1100" w:type="dxa"/>
            <w:tcBorders>
              <w:top w:val="single" w:sz="4" w:space="0" w:color="auto"/>
              <w:left w:val="single" w:sz="4" w:space="0" w:color="auto"/>
              <w:bottom w:val="single" w:sz="4" w:space="0" w:color="auto"/>
              <w:right w:val="single" w:sz="4" w:space="0" w:color="auto"/>
            </w:tcBorders>
            <w:hideMark/>
          </w:tcPr>
          <w:p w:rsidR="0048302D" w:rsidRPr="00F77964" w:rsidRDefault="0048302D" w:rsidP="009B2DE3">
            <w:pPr>
              <w:pStyle w:val="Normal-pool"/>
              <w:spacing w:before="40" w:after="40"/>
              <w:rPr>
                <w:rFonts w:eastAsia="SimSun"/>
                <w:sz w:val="18"/>
                <w:szCs w:val="18"/>
                <w:lang w:eastAsia="zh-CN"/>
              </w:rPr>
            </w:pPr>
            <w:r w:rsidRPr="00F77964">
              <w:rPr>
                <w:rFonts w:eastAsia="SimSun"/>
                <w:sz w:val="18"/>
                <w:szCs w:val="18"/>
                <w:lang w:eastAsia="zh-CN"/>
              </w:rPr>
              <w:t>90 000</w:t>
            </w:r>
          </w:p>
        </w:tc>
      </w:tr>
      <w:tr w:rsidR="00C20561" w:rsidRPr="0061490E" w:rsidTr="009B2DE3">
        <w:tc>
          <w:tcPr>
            <w:tcW w:w="670" w:type="dxa"/>
            <w:tcBorders>
              <w:top w:val="single" w:sz="4" w:space="0" w:color="auto"/>
              <w:left w:val="single" w:sz="4" w:space="0" w:color="auto"/>
              <w:bottom w:val="single" w:sz="4" w:space="0" w:color="auto"/>
              <w:right w:val="single" w:sz="4" w:space="0" w:color="auto"/>
            </w:tcBorders>
            <w:hideMark/>
          </w:tcPr>
          <w:p w:rsidR="001D6913" w:rsidRPr="00F77964" w:rsidRDefault="001D6913" w:rsidP="009B2DE3">
            <w:pPr>
              <w:pStyle w:val="Normal-pool"/>
              <w:spacing w:before="40" w:after="40"/>
              <w:rPr>
                <w:rFonts w:eastAsia="SimSun"/>
                <w:b/>
                <w:sz w:val="18"/>
                <w:szCs w:val="18"/>
                <w:lang w:eastAsia="zh-CN"/>
              </w:rPr>
            </w:pPr>
            <w:r w:rsidRPr="00F77964">
              <w:rPr>
                <w:rFonts w:eastAsia="SimSun"/>
                <w:b/>
                <w:sz w:val="18"/>
                <w:szCs w:val="18"/>
                <w:lang w:eastAsia="zh-CN"/>
              </w:rPr>
              <w:t>Total</w:t>
            </w:r>
          </w:p>
        </w:tc>
        <w:tc>
          <w:tcPr>
            <w:tcW w:w="2868" w:type="dxa"/>
            <w:tcBorders>
              <w:top w:val="single" w:sz="4" w:space="0" w:color="auto"/>
              <w:left w:val="single" w:sz="4" w:space="0" w:color="auto"/>
              <w:bottom w:val="single" w:sz="4" w:space="0" w:color="auto"/>
              <w:right w:val="single" w:sz="4" w:space="0" w:color="auto"/>
            </w:tcBorders>
          </w:tcPr>
          <w:p w:rsidR="001D6913" w:rsidRPr="00F77964" w:rsidRDefault="001D6913" w:rsidP="009B2DE3">
            <w:pPr>
              <w:pStyle w:val="Normal-pool"/>
              <w:spacing w:before="40" w:after="40"/>
              <w:rPr>
                <w:rFonts w:eastAsia="SimSun"/>
                <w:sz w:val="18"/>
                <w:szCs w:val="18"/>
                <w:lang w:eastAsia="zh-CN"/>
              </w:rPr>
            </w:pPr>
          </w:p>
        </w:tc>
        <w:tc>
          <w:tcPr>
            <w:tcW w:w="3356" w:type="dxa"/>
            <w:tcBorders>
              <w:top w:val="single" w:sz="4" w:space="0" w:color="auto"/>
              <w:left w:val="single" w:sz="4" w:space="0" w:color="auto"/>
              <w:bottom w:val="single" w:sz="4" w:space="0" w:color="auto"/>
              <w:right w:val="single" w:sz="4" w:space="0" w:color="auto"/>
            </w:tcBorders>
          </w:tcPr>
          <w:p w:rsidR="001D6913" w:rsidRPr="00F77964" w:rsidRDefault="001D6913" w:rsidP="009B2DE3">
            <w:pPr>
              <w:pStyle w:val="Normal-pool"/>
              <w:spacing w:before="40" w:after="40"/>
              <w:rPr>
                <w:rFonts w:eastAsia="SimSun"/>
                <w:sz w:val="18"/>
                <w:szCs w:val="18"/>
                <w:lang w:eastAsia="zh-CN"/>
              </w:rPr>
            </w:pPr>
          </w:p>
        </w:tc>
        <w:tc>
          <w:tcPr>
            <w:tcW w:w="1100" w:type="dxa"/>
            <w:tcBorders>
              <w:top w:val="single" w:sz="4" w:space="0" w:color="auto"/>
              <w:left w:val="single" w:sz="4" w:space="0" w:color="auto"/>
              <w:bottom w:val="single" w:sz="4" w:space="0" w:color="auto"/>
              <w:right w:val="single" w:sz="4" w:space="0" w:color="auto"/>
            </w:tcBorders>
            <w:hideMark/>
          </w:tcPr>
          <w:p w:rsidR="001D6913" w:rsidRPr="00F77964" w:rsidRDefault="001D6913" w:rsidP="009B2DE3">
            <w:pPr>
              <w:pStyle w:val="Normal-pool"/>
              <w:spacing w:before="40" w:after="40"/>
              <w:rPr>
                <w:rFonts w:eastAsia="SimSun"/>
                <w:b/>
                <w:sz w:val="18"/>
                <w:szCs w:val="18"/>
                <w:lang w:eastAsia="zh-CN"/>
              </w:rPr>
            </w:pPr>
            <w:r w:rsidRPr="00F77964">
              <w:rPr>
                <w:rFonts w:eastAsia="SimSun"/>
                <w:b/>
                <w:sz w:val="18"/>
                <w:szCs w:val="18"/>
                <w:lang w:eastAsia="zh-CN"/>
              </w:rPr>
              <w:t>1</w:t>
            </w:r>
            <w:r w:rsidR="00831077" w:rsidRPr="00F77964">
              <w:rPr>
                <w:rFonts w:eastAsia="SimSun"/>
                <w:b/>
                <w:sz w:val="18"/>
                <w:szCs w:val="18"/>
                <w:lang w:eastAsia="zh-CN"/>
              </w:rPr>
              <w:t> </w:t>
            </w:r>
            <w:r w:rsidRPr="00F77964">
              <w:rPr>
                <w:rFonts w:eastAsia="SimSun"/>
                <w:b/>
                <w:sz w:val="18"/>
                <w:szCs w:val="18"/>
                <w:lang w:eastAsia="zh-CN"/>
              </w:rPr>
              <w:t>205</w:t>
            </w:r>
            <w:r w:rsidR="00831077" w:rsidRPr="00F77964">
              <w:rPr>
                <w:rFonts w:eastAsia="SimSun"/>
                <w:b/>
                <w:sz w:val="18"/>
                <w:szCs w:val="18"/>
                <w:lang w:eastAsia="zh-CN"/>
              </w:rPr>
              <w:t> </w:t>
            </w:r>
            <w:r w:rsidRPr="00F77964">
              <w:rPr>
                <w:rFonts w:eastAsia="SimSun"/>
                <w:b/>
                <w:sz w:val="18"/>
                <w:szCs w:val="18"/>
                <w:lang w:eastAsia="zh-CN"/>
              </w:rPr>
              <w:t>000</w:t>
            </w:r>
          </w:p>
        </w:tc>
      </w:tr>
    </w:tbl>
    <w:p w:rsidR="001D6913" w:rsidRPr="00F77964" w:rsidRDefault="001D6913" w:rsidP="001D6913">
      <w:pPr>
        <w:pStyle w:val="CH3"/>
        <w:spacing w:before="120" w:after="0"/>
        <w:rPr>
          <w:lang w:val="fr-FR"/>
        </w:rPr>
      </w:pPr>
      <w:r w:rsidRPr="00F77964">
        <w:rPr>
          <w:lang w:val="fr-FR"/>
        </w:rPr>
        <w:tab/>
      </w:r>
      <w:r w:rsidRPr="00F77964">
        <w:rPr>
          <w:lang w:val="fr-FR"/>
        </w:rPr>
        <w:tab/>
        <w:t>Produit 4</w:t>
      </w:r>
      <w:r w:rsidR="00C20561" w:rsidRPr="00F77964">
        <w:rPr>
          <w:lang w:val="fr-FR"/>
        </w:rPr>
        <w:t> </w:t>
      </w:r>
      <w:r w:rsidRPr="00F77964">
        <w:rPr>
          <w:lang w:val="fr-FR"/>
        </w:rPr>
        <w:t>d)</w:t>
      </w:r>
    </w:p>
    <w:p w:rsidR="001D6913" w:rsidRPr="00F77964" w:rsidRDefault="001D6913" w:rsidP="001D6913">
      <w:pPr>
        <w:pStyle w:val="CH3"/>
        <w:rPr>
          <w:lang w:val="fr-FR"/>
        </w:rPr>
      </w:pPr>
      <w:r w:rsidRPr="00F77964">
        <w:rPr>
          <w:lang w:val="fr-FR"/>
        </w:rPr>
        <w:tab/>
      </w:r>
      <w:r w:rsidRPr="00F77964">
        <w:rPr>
          <w:lang w:val="fr-FR"/>
        </w:rPr>
        <w:tab/>
        <w:t xml:space="preserve">Examens </w:t>
      </w:r>
      <w:r w:rsidR="0048302D" w:rsidRPr="0048302D">
        <w:rPr>
          <w:rFonts w:cs="+mn-cs"/>
          <w:color w:val="000000"/>
          <w:kern w:val="24"/>
          <w:lang w:val="fr-FR"/>
        </w:rPr>
        <w:t>de l’efficacité des orientati</w:t>
      </w:r>
      <w:r w:rsidR="0048302D" w:rsidRPr="0048302D">
        <w:rPr>
          <w:color w:val="000000"/>
          <w:kern w:val="24"/>
          <w:lang w:val="fr-FR"/>
        </w:rPr>
        <w:t>ons, procédures, méthodes et approches visant à guider le développement futur de la Plateforme (</w:t>
      </w:r>
      <w:r w:rsidR="0048302D" w:rsidRPr="006031C5">
        <w:rPr>
          <w:i/>
          <w:color w:val="000000"/>
          <w:kern w:val="24"/>
          <w:lang w:val="fr-FR"/>
        </w:rPr>
        <w:t xml:space="preserve">milieu </w:t>
      </w:r>
      <w:r w:rsidR="0048302D" w:rsidRPr="006031C5">
        <w:rPr>
          <w:i/>
          <w:iCs/>
          <w:color w:val="000000"/>
          <w:kern w:val="24"/>
          <w:lang w:val="fr-FR"/>
        </w:rPr>
        <w:t>2016-fin décembre 2018</w:t>
      </w:r>
      <w:r w:rsidR="0048302D" w:rsidRPr="0048302D">
        <w:rPr>
          <w:color w:val="000000"/>
          <w:kern w:val="24"/>
          <w:lang w:val="fr-FR"/>
        </w:rPr>
        <w:t>)</w:t>
      </w:r>
    </w:p>
    <w:p w:rsidR="001D6913" w:rsidRPr="00F77964" w:rsidRDefault="001D6913" w:rsidP="001D6913">
      <w:pPr>
        <w:pStyle w:val="CH3"/>
        <w:rPr>
          <w:rFonts w:eastAsia="SimSun"/>
          <w:lang w:val="fr-FR" w:eastAsia="zh-CN"/>
        </w:rPr>
      </w:pPr>
      <w:r w:rsidRPr="00F77964">
        <w:rPr>
          <w:rFonts w:eastAsia="SimSun"/>
          <w:lang w:val="fr-FR" w:eastAsia="zh-CN"/>
        </w:rPr>
        <w:tab/>
      </w:r>
      <w:r w:rsidRPr="00F77964">
        <w:rPr>
          <w:rFonts w:eastAsia="SimSun"/>
          <w:lang w:val="fr-FR" w:eastAsia="zh-CN"/>
        </w:rPr>
        <w:tab/>
        <w:t>Hypothèses</w:t>
      </w:r>
    </w:p>
    <w:p w:rsidR="001D6913" w:rsidRPr="00F77964" w:rsidRDefault="001D6913" w:rsidP="00F90D8B">
      <w:pPr>
        <w:pStyle w:val="Normalnumber"/>
        <w:numPr>
          <w:ilvl w:val="0"/>
          <w:numId w:val="6"/>
        </w:numPr>
        <w:tabs>
          <w:tab w:val="left" w:pos="624"/>
        </w:tabs>
        <w:ind w:left="1247" w:firstLine="0"/>
        <w:rPr>
          <w:lang w:val="fr-FR"/>
        </w:rPr>
      </w:pPr>
      <w:r w:rsidRPr="00F90D8B">
        <w:rPr>
          <w:lang w:val="fr-FR"/>
        </w:rPr>
        <w:t>À mi-parcours et vers la fin de la période 2014-2018</w:t>
      </w:r>
      <w:r w:rsidRPr="00F77964">
        <w:rPr>
          <w:lang w:val="fr-FR"/>
        </w:rPr>
        <w:t xml:space="preserve">, la </w:t>
      </w:r>
      <w:r w:rsidR="00C20561" w:rsidRPr="00F77964">
        <w:rPr>
          <w:lang w:val="fr-FR"/>
        </w:rPr>
        <w:t>P</w:t>
      </w:r>
      <w:r w:rsidRPr="00F77964">
        <w:rPr>
          <w:lang w:val="fr-FR"/>
        </w:rPr>
        <w:t xml:space="preserve">lateforme </w:t>
      </w:r>
      <w:r w:rsidR="00E45583" w:rsidRPr="00F77964">
        <w:rPr>
          <w:lang w:val="fr-FR"/>
        </w:rPr>
        <w:t xml:space="preserve">pourra tirer parti </w:t>
      </w:r>
      <w:r w:rsidRPr="00F77964">
        <w:rPr>
          <w:lang w:val="fr-FR"/>
        </w:rPr>
        <w:t xml:space="preserve">des </w:t>
      </w:r>
      <w:r w:rsidR="000E4DFC">
        <w:rPr>
          <w:lang w:val="fr-FR"/>
        </w:rPr>
        <w:t>leçons apprises</w:t>
      </w:r>
      <w:r w:rsidR="00C20561" w:rsidRPr="00F77964">
        <w:rPr>
          <w:lang w:val="fr-FR"/>
        </w:rPr>
        <w:t xml:space="preserve">, </w:t>
      </w:r>
      <w:r w:rsidRPr="00F77964">
        <w:rPr>
          <w:lang w:val="fr-FR"/>
        </w:rPr>
        <w:t xml:space="preserve">qui </w:t>
      </w:r>
      <w:r w:rsidR="000E4DFC">
        <w:rPr>
          <w:lang w:val="fr-FR"/>
        </w:rPr>
        <w:t>l’aideront dans</w:t>
      </w:r>
      <w:r w:rsidRPr="00F77964">
        <w:rPr>
          <w:lang w:val="fr-FR"/>
        </w:rPr>
        <w:t xml:space="preserve"> la conception des programmes de travail ultérieurs. </w:t>
      </w:r>
      <w:r w:rsidR="00C20561" w:rsidRPr="00F77964">
        <w:rPr>
          <w:lang w:val="fr-FR"/>
        </w:rPr>
        <w:t>Cet</w:t>
      </w:r>
      <w:r w:rsidRPr="00F77964">
        <w:rPr>
          <w:lang w:val="fr-FR"/>
        </w:rPr>
        <w:t xml:space="preserve"> </w:t>
      </w:r>
      <w:r w:rsidR="00E45583" w:rsidRPr="00F77964">
        <w:rPr>
          <w:lang w:val="fr-FR"/>
        </w:rPr>
        <w:t>exercice</w:t>
      </w:r>
      <w:r w:rsidRPr="00F77964">
        <w:rPr>
          <w:lang w:val="fr-FR"/>
        </w:rPr>
        <w:t xml:space="preserve"> </w:t>
      </w:r>
      <w:r w:rsidR="00C20561" w:rsidRPr="00F77964">
        <w:rPr>
          <w:lang w:val="fr-FR"/>
        </w:rPr>
        <w:t xml:space="preserve">devrait </w:t>
      </w:r>
      <w:r w:rsidRPr="00F77964">
        <w:rPr>
          <w:lang w:val="fr-FR"/>
        </w:rPr>
        <w:t>se poursuivr</w:t>
      </w:r>
      <w:r w:rsidR="00C20561" w:rsidRPr="00F77964">
        <w:rPr>
          <w:lang w:val="fr-FR"/>
        </w:rPr>
        <w:t>e</w:t>
      </w:r>
      <w:r w:rsidRPr="00F77964">
        <w:rPr>
          <w:lang w:val="fr-FR"/>
        </w:rPr>
        <w:t xml:space="preserve"> tout au long de la période du programme de travail, et plus particulièrement dans </w:t>
      </w:r>
      <w:r w:rsidR="00E45583" w:rsidRPr="00F77964">
        <w:rPr>
          <w:lang w:val="fr-FR"/>
        </w:rPr>
        <w:t>s</w:t>
      </w:r>
      <w:r w:rsidRPr="00F77964">
        <w:rPr>
          <w:lang w:val="fr-FR"/>
        </w:rPr>
        <w:t xml:space="preserve">es dernières phases. </w:t>
      </w:r>
      <w:r w:rsidR="00E45583" w:rsidRPr="00F77964">
        <w:rPr>
          <w:lang w:val="fr-FR"/>
        </w:rPr>
        <w:t>L</w:t>
      </w:r>
      <w:r w:rsidRPr="00F77964">
        <w:rPr>
          <w:lang w:val="fr-FR"/>
        </w:rPr>
        <w:t xml:space="preserve">es </w:t>
      </w:r>
      <w:r w:rsidR="00E45583" w:rsidRPr="00F77964">
        <w:rPr>
          <w:lang w:val="fr-FR"/>
        </w:rPr>
        <w:t xml:space="preserve">principaux </w:t>
      </w:r>
      <w:r w:rsidRPr="00F77964">
        <w:rPr>
          <w:lang w:val="fr-FR"/>
        </w:rPr>
        <w:t xml:space="preserve">enseignements seront identifiés au fur et à mesure </w:t>
      </w:r>
      <w:r w:rsidR="00D263CD" w:rsidRPr="00F77964">
        <w:rPr>
          <w:lang w:val="fr-FR"/>
        </w:rPr>
        <w:t>qu’ils apparaissent</w:t>
      </w:r>
      <w:r w:rsidRPr="00F77964">
        <w:rPr>
          <w:lang w:val="fr-FR"/>
        </w:rPr>
        <w:t xml:space="preserve"> de façon </w:t>
      </w:r>
      <w:r w:rsidR="00E45583" w:rsidRPr="00F77964">
        <w:rPr>
          <w:lang w:val="fr-FR"/>
        </w:rPr>
        <w:t xml:space="preserve">à </w:t>
      </w:r>
      <w:r w:rsidR="00933EBA">
        <w:rPr>
          <w:lang w:val="fr-FR"/>
        </w:rPr>
        <w:t>pouvoir les utiliser en temps voulu pour</w:t>
      </w:r>
      <w:r w:rsidRPr="00F77964">
        <w:rPr>
          <w:lang w:val="fr-FR"/>
        </w:rPr>
        <w:t xml:space="preserve"> éviter </w:t>
      </w:r>
      <w:r w:rsidR="00E45583" w:rsidRPr="00F77964">
        <w:rPr>
          <w:lang w:val="fr-FR"/>
        </w:rPr>
        <w:t>toute</w:t>
      </w:r>
      <w:r w:rsidRPr="00F77964">
        <w:rPr>
          <w:lang w:val="fr-FR"/>
        </w:rPr>
        <w:t xml:space="preserve"> incidence négative sur la pertinence, la crédibilité et la légitimité de la </w:t>
      </w:r>
      <w:r w:rsidR="00E45583" w:rsidRPr="00F77964">
        <w:rPr>
          <w:lang w:val="fr-FR"/>
        </w:rPr>
        <w:t>P</w:t>
      </w:r>
      <w:r w:rsidRPr="00F77964">
        <w:rPr>
          <w:lang w:val="fr-FR"/>
        </w:rPr>
        <w:t xml:space="preserve">lateforme. </w:t>
      </w:r>
    </w:p>
    <w:p w:rsidR="001D6913" w:rsidRPr="00F77964" w:rsidRDefault="001D6913" w:rsidP="006A3534">
      <w:pPr>
        <w:pStyle w:val="CH3"/>
        <w:rPr>
          <w:rFonts w:eastAsia="SimSun"/>
          <w:lang w:val="fr-FR" w:eastAsia="zh-CN"/>
        </w:rPr>
      </w:pPr>
      <w:r w:rsidRPr="00F77964">
        <w:rPr>
          <w:rFonts w:eastAsia="SimSun"/>
          <w:lang w:val="fr-FR" w:eastAsia="zh-CN"/>
        </w:rPr>
        <w:lastRenderedPageBreak/>
        <w:tab/>
      </w:r>
      <w:r w:rsidRPr="00F77964">
        <w:rPr>
          <w:rFonts w:eastAsia="SimSun"/>
          <w:lang w:val="fr-FR" w:eastAsia="zh-CN"/>
        </w:rPr>
        <w:tab/>
        <w:t>Actions, étapes intermédiaires et dispositions institutionnelles</w:t>
      </w:r>
    </w:p>
    <w:p w:rsidR="001D6913" w:rsidRPr="00F90D8B" w:rsidRDefault="001D6913" w:rsidP="006A3534">
      <w:pPr>
        <w:pStyle w:val="Normalnumber"/>
        <w:keepNext/>
        <w:keepLines/>
        <w:numPr>
          <w:ilvl w:val="0"/>
          <w:numId w:val="6"/>
        </w:numPr>
        <w:tabs>
          <w:tab w:val="left" w:pos="624"/>
        </w:tabs>
        <w:ind w:left="1247" w:firstLine="0"/>
        <w:rPr>
          <w:lang w:val="fr-FR"/>
        </w:rPr>
      </w:pPr>
      <w:r w:rsidRPr="00F77964">
        <w:rPr>
          <w:lang w:val="fr-FR"/>
        </w:rPr>
        <w:t>Les actions à mener sont indiquées ci-après :</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1726"/>
        <w:gridCol w:w="5663"/>
      </w:tblGrid>
      <w:tr w:rsidR="001D6913" w:rsidRPr="0061490E" w:rsidTr="004B4762">
        <w:trPr>
          <w:trHeight w:val="58"/>
          <w:tblHeader/>
        </w:trPr>
        <w:tc>
          <w:tcPr>
            <w:tcW w:w="2019" w:type="dxa"/>
            <w:gridSpan w:val="2"/>
            <w:tcBorders>
              <w:top w:val="single" w:sz="4" w:space="0" w:color="auto"/>
              <w:left w:val="single" w:sz="4" w:space="0" w:color="auto"/>
              <w:bottom w:val="single" w:sz="4" w:space="0" w:color="auto"/>
              <w:right w:val="single" w:sz="4" w:space="0" w:color="auto"/>
            </w:tcBorders>
            <w:hideMark/>
          </w:tcPr>
          <w:p w:rsidR="001D6913" w:rsidRPr="00F77964" w:rsidRDefault="001D6913" w:rsidP="006A3534">
            <w:pPr>
              <w:pStyle w:val="Normal-pool"/>
              <w:keepNext/>
              <w:keepLines/>
              <w:spacing w:before="40" w:after="40"/>
              <w:rPr>
                <w:rFonts w:eastAsia="SimSun"/>
                <w:i/>
                <w:sz w:val="18"/>
                <w:szCs w:val="18"/>
                <w:lang w:eastAsia="zh-CN"/>
              </w:rPr>
            </w:pPr>
            <w:r w:rsidRPr="00F77964">
              <w:rPr>
                <w:rFonts w:eastAsia="SimSun"/>
                <w:i/>
                <w:sz w:val="18"/>
                <w:szCs w:val="18"/>
                <w:lang w:eastAsia="zh-CN"/>
              </w:rPr>
              <w:t>Calendrier</w:t>
            </w:r>
          </w:p>
        </w:tc>
        <w:tc>
          <w:tcPr>
            <w:tcW w:w="6779" w:type="dxa"/>
            <w:tcBorders>
              <w:top w:val="single" w:sz="4" w:space="0" w:color="auto"/>
              <w:left w:val="single" w:sz="4" w:space="0" w:color="auto"/>
              <w:bottom w:val="single" w:sz="4" w:space="0" w:color="auto"/>
              <w:right w:val="single" w:sz="4" w:space="0" w:color="auto"/>
            </w:tcBorders>
            <w:hideMark/>
          </w:tcPr>
          <w:p w:rsidR="001D6913" w:rsidRPr="00F77964" w:rsidRDefault="001D6913" w:rsidP="006A3534">
            <w:pPr>
              <w:pStyle w:val="Normal-pool"/>
              <w:keepNext/>
              <w:keepLines/>
              <w:spacing w:before="40" w:after="40"/>
              <w:rPr>
                <w:rFonts w:eastAsia="SimSun"/>
                <w:i/>
                <w:sz w:val="18"/>
                <w:szCs w:val="18"/>
                <w:lang w:eastAsia="zh-CN"/>
              </w:rPr>
            </w:pPr>
            <w:r w:rsidRPr="00F77964">
              <w:rPr>
                <w:rFonts w:eastAsia="SimSun"/>
                <w:i/>
                <w:sz w:val="18"/>
                <w:szCs w:val="18"/>
                <w:lang w:eastAsia="zh-CN"/>
              </w:rPr>
              <w:t>Actions/dispositions institutionnelles</w:t>
            </w:r>
          </w:p>
        </w:tc>
      </w:tr>
      <w:tr w:rsidR="001D6913" w:rsidRPr="0061490E" w:rsidTr="004B4762">
        <w:trPr>
          <w:trHeight w:val="748"/>
        </w:trPr>
        <w:tc>
          <w:tcPr>
            <w:tcW w:w="613" w:type="dxa"/>
            <w:tcBorders>
              <w:top w:val="single" w:sz="4" w:space="0" w:color="auto"/>
              <w:left w:val="single" w:sz="4" w:space="0" w:color="auto"/>
              <w:bottom w:val="single" w:sz="4" w:space="0" w:color="auto"/>
              <w:right w:val="single" w:sz="4" w:space="0" w:color="auto"/>
            </w:tcBorders>
            <w:hideMark/>
          </w:tcPr>
          <w:p w:rsidR="001D6913" w:rsidRPr="00F77964" w:rsidRDefault="001D6913" w:rsidP="006A3534">
            <w:pPr>
              <w:pStyle w:val="Normal-pool"/>
              <w:keepNext/>
              <w:keepLines/>
              <w:spacing w:before="40" w:after="40"/>
              <w:rPr>
                <w:rFonts w:eastAsia="SimSun"/>
                <w:sz w:val="18"/>
                <w:szCs w:val="18"/>
                <w:lang w:eastAsia="zh-CN"/>
              </w:rPr>
            </w:pPr>
            <w:r w:rsidRPr="00F77964">
              <w:rPr>
                <w:rFonts w:eastAsia="SimSun"/>
                <w:sz w:val="18"/>
                <w:szCs w:val="18"/>
                <w:lang w:eastAsia="zh-CN"/>
              </w:rPr>
              <w:t>2013</w:t>
            </w:r>
          </w:p>
        </w:tc>
        <w:tc>
          <w:tcPr>
            <w:tcW w:w="1406" w:type="dxa"/>
            <w:tcBorders>
              <w:top w:val="single" w:sz="4" w:space="0" w:color="auto"/>
              <w:left w:val="single" w:sz="4" w:space="0" w:color="auto"/>
              <w:bottom w:val="single" w:sz="4" w:space="0" w:color="auto"/>
              <w:right w:val="single" w:sz="4" w:space="0" w:color="auto"/>
            </w:tcBorders>
            <w:hideMark/>
          </w:tcPr>
          <w:p w:rsidR="001D6913" w:rsidRPr="00F77964" w:rsidRDefault="001D6913" w:rsidP="006A3534">
            <w:pPr>
              <w:pStyle w:val="Normal-pool"/>
              <w:keepNext/>
              <w:keepLines/>
              <w:spacing w:before="40" w:after="40"/>
              <w:rPr>
                <w:rFonts w:eastAsia="SimSun"/>
                <w:sz w:val="18"/>
                <w:szCs w:val="18"/>
                <w:lang w:eastAsia="zh-CN"/>
              </w:rPr>
            </w:pPr>
            <w:r w:rsidRPr="00F77964">
              <w:rPr>
                <w:rFonts w:eastAsia="SimSun"/>
                <w:sz w:val="18"/>
                <w:szCs w:val="18"/>
                <w:lang w:eastAsia="zh-CN"/>
              </w:rPr>
              <w:t>Quatrième trimestre</w:t>
            </w:r>
          </w:p>
        </w:tc>
        <w:tc>
          <w:tcPr>
            <w:tcW w:w="6779" w:type="dxa"/>
            <w:tcBorders>
              <w:top w:val="single" w:sz="4" w:space="0" w:color="auto"/>
              <w:left w:val="single" w:sz="4" w:space="0" w:color="auto"/>
              <w:bottom w:val="single" w:sz="4" w:space="0" w:color="auto"/>
              <w:right w:val="single" w:sz="4" w:space="0" w:color="auto"/>
            </w:tcBorders>
            <w:hideMark/>
          </w:tcPr>
          <w:p w:rsidR="001D6913" w:rsidRPr="00F77964" w:rsidRDefault="001D6913" w:rsidP="006A3534">
            <w:pPr>
              <w:pStyle w:val="Normal-pool"/>
              <w:keepNext/>
              <w:keepLines/>
              <w:spacing w:before="40" w:after="40"/>
              <w:rPr>
                <w:rFonts w:eastAsia="SimSun"/>
                <w:sz w:val="18"/>
                <w:szCs w:val="18"/>
                <w:lang w:eastAsia="zh-CN"/>
              </w:rPr>
            </w:pPr>
            <w:r w:rsidRPr="00F77964">
              <w:rPr>
                <w:rFonts w:eastAsia="SimSun"/>
                <w:sz w:val="18"/>
                <w:szCs w:val="18"/>
                <w:lang w:eastAsia="zh-CN"/>
              </w:rPr>
              <w:t xml:space="preserve">La Plénière, à sa deuxième session, demande au Bureau et au Groupe d’experts </w:t>
            </w:r>
            <w:r w:rsidR="00200881" w:rsidRPr="00F77964">
              <w:rPr>
                <w:rFonts w:eastAsia="SimSun"/>
                <w:sz w:val="18"/>
                <w:szCs w:val="18"/>
                <w:lang w:eastAsia="zh-CN"/>
              </w:rPr>
              <w:t>multi</w:t>
            </w:r>
            <w:r w:rsidRPr="00F77964">
              <w:rPr>
                <w:rFonts w:eastAsia="SimSun"/>
                <w:sz w:val="18"/>
                <w:szCs w:val="18"/>
                <w:lang w:eastAsia="zh-CN"/>
              </w:rPr>
              <w:t>disciplinaire d</w:t>
            </w:r>
            <w:r w:rsidR="00EB5327">
              <w:rPr>
                <w:rFonts w:eastAsia="SimSun"/>
                <w:sz w:val="18"/>
                <w:szCs w:val="18"/>
                <w:lang w:eastAsia="zh-CN"/>
              </w:rPr>
              <w:t>e définir</w:t>
            </w:r>
            <w:r w:rsidRPr="00F77964">
              <w:rPr>
                <w:rFonts w:eastAsia="SimSun"/>
                <w:sz w:val="18"/>
                <w:szCs w:val="18"/>
                <w:lang w:eastAsia="zh-CN"/>
              </w:rPr>
              <w:t xml:space="preserve"> une procédure, un cadre et </w:t>
            </w:r>
            <w:r w:rsidR="00EB5327">
              <w:rPr>
                <w:rFonts w:eastAsia="SimSun"/>
                <w:sz w:val="18"/>
                <w:szCs w:val="18"/>
                <w:lang w:eastAsia="zh-CN"/>
              </w:rPr>
              <w:t xml:space="preserve">un mandat </w:t>
            </w:r>
            <w:r w:rsidRPr="00F77964">
              <w:rPr>
                <w:rFonts w:eastAsia="SimSun"/>
                <w:sz w:val="18"/>
                <w:szCs w:val="18"/>
                <w:lang w:eastAsia="zh-CN"/>
              </w:rPr>
              <w:t xml:space="preserve">pour un examen indépendant à mi-parcours de la </w:t>
            </w:r>
            <w:r w:rsidR="00E45583" w:rsidRPr="00F77964">
              <w:rPr>
                <w:rFonts w:eastAsia="SimSun"/>
                <w:sz w:val="18"/>
                <w:szCs w:val="18"/>
                <w:lang w:eastAsia="zh-CN"/>
              </w:rPr>
              <w:t>P</w:t>
            </w:r>
            <w:r w:rsidRPr="00F77964">
              <w:rPr>
                <w:rFonts w:eastAsia="SimSun"/>
                <w:sz w:val="18"/>
                <w:szCs w:val="18"/>
                <w:lang w:eastAsia="zh-CN"/>
              </w:rPr>
              <w:t>lateforme et de</w:t>
            </w:r>
            <w:r w:rsidR="00E45583" w:rsidRPr="00F77964">
              <w:rPr>
                <w:rFonts w:eastAsia="SimSun"/>
                <w:sz w:val="18"/>
                <w:szCs w:val="18"/>
                <w:lang w:eastAsia="zh-CN"/>
              </w:rPr>
              <w:t xml:space="preserve"> lui</w:t>
            </w:r>
            <w:r w:rsidRPr="00F77964">
              <w:rPr>
                <w:rFonts w:eastAsia="SimSun"/>
                <w:sz w:val="18"/>
                <w:szCs w:val="18"/>
                <w:lang w:eastAsia="zh-CN"/>
              </w:rPr>
              <w:t xml:space="preserve"> soumettre à sa troisième session une proposition sur la composition d’une équipe d’examen indépendante</w:t>
            </w:r>
          </w:p>
        </w:tc>
      </w:tr>
      <w:tr w:rsidR="001D6913" w:rsidRPr="0061490E" w:rsidTr="004B4762">
        <w:trPr>
          <w:trHeight w:val="534"/>
        </w:trPr>
        <w:tc>
          <w:tcPr>
            <w:tcW w:w="613" w:type="dxa"/>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2014</w:t>
            </w:r>
          </w:p>
        </w:tc>
        <w:tc>
          <w:tcPr>
            <w:tcW w:w="1406" w:type="dxa"/>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Premier/deuxième/ troisième/quatrième trimestres</w:t>
            </w:r>
          </w:p>
        </w:tc>
        <w:tc>
          <w:tcPr>
            <w:tcW w:w="6779" w:type="dxa"/>
            <w:tcBorders>
              <w:top w:val="single" w:sz="4" w:space="0" w:color="auto"/>
              <w:left w:val="single" w:sz="4" w:space="0" w:color="auto"/>
              <w:bottom w:val="single" w:sz="4" w:space="0" w:color="auto"/>
              <w:right w:val="single" w:sz="4" w:space="0" w:color="auto"/>
            </w:tcBorders>
            <w:hideMark/>
          </w:tcPr>
          <w:p w:rsidR="001D6913" w:rsidRPr="00F77964" w:rsidRDefault="001D6913" w:rsidP="00EF4696">
            <w:pPr>
              <w:pStyle w:val="Normal-pool"/>
              <w:spacing w:before="40" w:after="40"/>
              <w:rPr>
                <w:rFonts w:eastAsia="SimSun"/>
                <w:sz w:val="18"/>
                <w:szCs w:val="18"/>
                <w:lang w:eastAsia="zh-CN"/>
              </w:rPr>
            </w:pPr>
            <w:r w:rsidRPr="00F77964">
              <w:rPr>
                <w:rFonts w:eastAsia="SimSun"/>
                <w:sz w:val="18"/>
                <w:szCs w:val="18"/>
                <w:lang w:eastAsia="zh-CN"/>
              </w:rPr>
              <w:t xml:space="preserve">Le Bureau et le Groupe d’experts multidisciplinaire élaborent une réponse à la demande </w:t>
            </w:r>
            <w:r w:rsidR="006255BB">
              <w:rPr>
                <w:rFonts w:eastAsia="SimSun"/>
                <w:sz w:val="18"/>
                <w:szCs w:val="18"/>
                <w:lang w:eastAsia="zh-CN"/>
              </w:rPr>
              <w:t>formulée par</w:t>
            </w:r>
            <w:r w:rsidRPr="00F77964">
              <w:rPr>
                <w:rFonts w:eastAsia="SimSun"/>
                <w:sz w:val="18"/>
                <w:szCs w:val="18"/>
                <w:lang w:eastAsia="zh-CN"/>
              </w:rPr>
              <w:t xml:space="preserve"> la Plénière à sa deuxième session</w:t>
            </w:r>
            <w:r w:rsidR="006255BB">
              <w:rPr>
                <w:rFonts w:eastAsia="SimSun"/>
                <w:sz w:val="18"/>
                <w:szCs w:val="18"/>
                <w:lang w:eastAsia="zh-CN"/>
              </w:rPr>
              <w:t>,</w:t>
            </w:r>
            <w:r w:rsidRPr="00F77964">
              <w:rPr>
                <w:rFonts w:eastAsia="SimSun"/>
                <w:sz w:val="18"/>
                <w:szCs w:val="18"/>
                <w:lang w:eastAsia="zh-CN"/>
              </w:rPr>
              <w:t xml:space="preserve"> pour présentation à </w:t>
            </w:r>
            <w:r w:rsidR="00EF4696">
              <w:rPr>
                <w:rFonts w:eastAsia="SimSun"/>
                <w:sz w:val="18"/>
                <w:szCs w:val="18"/>
                <w:lang w:eastAsia="zh-CN"/>
              </w:rPr>
              <w:t>celle-ci</w:t>
            </w:r>
            <w:r w:rsidRPr="00F77964">
              <w:rPr>
                <w:rFonts w:eastAsia="SimSun"/>
                <w:sz w:val="18"/>
                <w:szCs w:val="18"/>
                <w:lang w:eastAsia="zh-CN"/>
              </w:rPr>
              <w:t xml:space="preserve"> à sa troisième session</w:t>
            </w:r>
          </w:p>
        </w:tc>
      </w:tr>
      <w:tr w:rsidR="001D6913" w:rsidRPr="0061490E" w:rsidTr="004B4762">
        <w:trPr>
          <w:trHeight w:val="584"/>
        </w:trPr>
        <w:tc>
          <w:tcPr>
            <w:tcW w:w="613" w:type="dxa"/>
            <w:vMerge w:val="restart"/>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2015</w:t>
            </w:r>
          </w:p>
        </w:tc>
        <w:tc>
          <w:tcPr>
            <w:tcW w:w="1406" w:type="dxa"/>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Quatrième trimestre</w:t>
            </w:r>
          </w:p>
        </w:tc>
        <w:tc>
          <w:tcPr>
            <w:tcW w:w="6779" w:type="dxa"/>
            <w:tcBorders>
              <w:top w:val="single" w:sz="4" w:space="0" w:color="auto"/>
              <w:left w:val="single" w:sz="4" w:space="0" w:color="auto"/>
              <w:bottom w:val="single" w:sz="4" w:space="0" w:color="auto"/>
              <w:right w:val="single" w:sz="4" w:space="0" w:color="auto"/>
            </w:tcBorders>
            <w:hideMark/>
          </w:tcPr>
          <w:p w:rsidR="001D6913" w:rsidRPr="00F77964" w:rsidRDefault="001D6913" w:rsidP="00EB5327">
            <w:pPr>
              <w:pStyle w:val="Normal-pool"/>
              <w:spacing w:before="40" w:after="40"/>
              <w:rPr>
                <w:rFonts w:eastAsia="SimSun"/>
                <w:sz w:val="18"/>
                <w:szCs w:val="18"/>
                <w:lang w:eastAsia="zh-CN"/>
              </w:rPr>
            </w:pPr>
            <w:r w:rsidRPr="00F77964">
              <w:rPr>
                <w:rFonts w:eastAsia="SimSun"/>
                <w:sz w:val="18"/>
                <w:szCs w:val="18"/>
                <w:lang w:eastAsia="zh-CN"/>
              </w:rPr>
              <w:t xml:space="preserve">La Plénière, à sa troisième session, </w:t>
            </w:r>
            <w:r w:rsidR="006255BB">
              <w:rPr>
                <w:rFonts w:eastAsia="SimSun"/>
                <w:sz w:val="18"/>
                <w:szCs w:val="18"/>
                <w:lang w:eastAsia="zh-CN"/>
              </w:rPr>
              <w:t>étudie la possibilité d’</w:t>
            </w:r>
            <w:r w:rsidRPr="00F77964">
              <w:rPr>
                <w:rFonts w:eastAsia="SimSun"/>
                <w:sz w:val="18"/>
                <w:szCs w:val="18"/>
                <w:lang w:eastAsia="zh-CN"/>
              </w:rPr>
              <w:t xml:space="preserve">adopter la procédure, le cadre et </w:t>
            </w:r>
            <w:r w:rsidR="00EB5327">
              <w:rPr>
                <w:rFonts w:eastAsia="SimSun"/>
                <w:sz w:val="18"/>
                <w:szCs w:val="18"/>
                <w:lang w:eastAsia="zh-CN"/>
              </w:rPr>
              <w:t>le mandat pour l’examen</w:t>
            </w:r>
            <w:r w:rsidRPr="00F77964">
              <w:rPr>
                <w:rFonts w:eastAsia="SimSun"/>
                <w:sz w:val="18"/>
                <w:szCs w:val="18"/>
                <w:lang w:eastAsia="zh-CN"/>
              </w:rPr>
              <w:t xml:space="preserve"> à mi-parcours indépendant de la </w:t>
            </w:r>
            <w:r w:rsidR="00210453" w:rsidRPr="00F77964">
              <w:rPr>
                <w:rFonts w:eastAsia="SimSun"/>
                <w:sz w:val="18"/>
                <w:szCs w:val="18"/>
                <w:lang w:eastAsia="zh-CN"/>
              </w:rPr>
              <w:t>P</w:t>
            </w:r>
            <w:r w:rsidRPr="00F77964">
              <w:rPr>
                <w:rFonts w:eastAsia="SimSun"/>
                <w:sz w:val="18"/>
                <w:szCs w:val="18"/>
                <w:lang w:eastAsia="zh-CN"/>
              </w:rPr>
              <w:t xml:space="preserve">lateforme. Elle </w:t>
            </w:r>
            <w:r w:rsidR="006255BB">
              <w:rPr>
                <w:rFonts w:eastAsia="SimSun"/>
                <w:sz w:val="18"/>
                <w:szCs w:val="18"/>
                <w:lang w:eastAsia="zh-CN"/>
              </w:rPr>
              <w:t>étudie également la possibilité de</w:t>
            </w:r>
            <w:r w:rsidRPr="00F77964">
              <w:rPr>
                <w:rFonts w:eastAsia="SimSun"/>
                <w:sz w:val="18"/>
                <w:szCs w:val="18"/>
                <w:lang w:eastAsia="zh-CN"/>
              </w:rPr>
              <w:t xml:space="preserve"> constituer une équipe indépendante pour entreprendre l’examen et </w:t>
            </w:r>
            <w:r w:rsidR="00210453" w:rsidRPr="00F77964">
              <w:rPr>
                <w:rFonts w:eastAsia="SimSun"/>
                <w:sz w:val="18"/>
                <w:szCs w:val="18"/>
                <w:lang w:eastAsia="zh-CN"/>
              </w:rPr>
              <w:t xml:space="preserve">lui </w:t>
            </w:r>
            <w:r w:rsidR="00EB5327">
              <w:rPr>
                <w:rFonts w:eastAsia="SimSun"/>
                <w:sz w:val="18"/>
                <w:szCs w:val="18"/>
                <w:lang w:eastAsia="zh-CN"/>
              </w:rPr>
              <w:t xml:space="preserve">faire rapport </w:t>
            </w:r>
            <w:r w:rsidRPr="00F77964">
              <w:rPr>
                <w:rFonts w:eastAsia="SimSun"/>
                <w:sz w:val="18"/>
                <w:szCs w:val="18"/>
                <w:lang w:eastAsia="zh-CN"/>
              </w:rPr>
              <w:t>à sa quatrième session</w:t>
            </w:r>
          </w:p>
        </w:tc>
      </w:tr>
      <w:tr w:rsidR="001D6913" w:rsidRPr="0061490E" w:rsidTr="004B4762">
        <w:trPr>
          <w:trHeight w:val="56"/>
        </w:trPr>
        <w:tc>
          <w:tcPr>
            <w:tcW w:w="0" w:type="auto"/>
            <w:vMerge/>
            <w:tcBorders>
              <w:top w:val="single" w:sz="4" w:space="0" w:color="auto"/>
              <w:left w:val="single" w:sz="4" w:space="0" w:color="auto"/>
              <w:bottom w:val="single" w:sz="4" w:space="0" w:color="auto"/>
              <w:right w:val="single" w:sz="4" w:space="0" w:color="auto"/>
            </w:tcBorders>
            <w:hideMark/>
          </w:tcPr>
          <w:p w:rsidR="001D6913" w:rsidRPr="0061490E" w:rsidRDefault="001D6913" w:rsidP="001D6913">
            <w:pPr>
              <w:rPr>
                <w:rFonts w:eastAsia="SimSun"/>
                <w:sz w:val="18"/>
                <w:szCs w:val="18"/>
                <w:lang w:eastAsia="zh-CN"/>
              </w:rPr>
            </w:pPr>
          </w:p>
        </w:tc>
        <w:tc>
          <w:tcPr>
            <w:tcW w:w="1406" w:type="dxa"/>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Deuxième/troisième/ quatrième trimestres</w:t>
            </w:r>
          </w:p>
        </w:tc>
        <w:tc>
          <w:tcPr>
            <w:tcW w:w="6779" w:type="dxa"/>
            <w:tcBorders>
              <w:top w:val="single" w:sz="4" w:space="0" w:color="auto"/>
              <w:left w:val="single" w:sz="4" w:space="0" w:color="auto"/>
              <w:bottom w:val="single" w:sz="4" w:space="0" w:color="auto"/>
              <w:right w:val="single" w:sz="4" w:space="0" w:color="auto"/>
            </w:tcBorders>
            <w:hideMark/>
          </w:tcPr>
          <w:p w:rsidR="001D6913" w:rsidRPr="00F77964" w:rsidRDefault="001D6913" w:rsidP="00EB5327">
            <w:pPr>
              <w:pStyle w:val="Normal-pool"/>
              <w:spacing w:before="40" w:after="40"/>
              <w:rPr>
                <w:rFonts w:eastAsia="SimSun"/>
                <w:sz w:val="18"/>
                <w:szCs w:val="18"/>
                <w:lang w:eastAsia="zh-CN"/>
              </w:rPr>
            </w:pPr>
            <w:r w:rsidRPr="00F77964">
              <w:rPr>
                <w:rFonts w:eastAsia="SimSun"/>
                <w:sz w:val="18"/>
                <w:szCs w:val="18"/>
                <w:lang w:eastAsia="zh-CN"/>
              </w:rPr>
              <w:t xml:space="preserve">L’équipe d’examen </w:t>
            </w:r>
            <w:r w:rsidR="006255BB" w:rsidRPr="00F77964">
              <w:rPr>
                <w:rFonts w:eastAsia="SimSun"/>
                <w:sz w:val="18"/>
                <w:szCs w:val="18"/>
                <w:lang w:eastAsia="zh-CN"/>
              </w:rPr>
              <w:t xml:space="preserve">indépendante </w:t>
            </w:r>
            <w:r w:rsidRPr="00F77964">
              <w:rPr>
                <w:rFonts w:eastAsia="SimSun"/>
                <w:sz w:val="18"/>
                <w:szCs w:val="18"/>
                <w:lang w:eastAsia="zh-CN"/>
              </w:rPr>
              <w:t xml:space="preserve">entreprend l’examen à mi-parcours de la </w:t>
            </w:r>
            <w:r w:rsidR="00E6534C" w:rsidRPr="00F77964">
              <w:rPr>
                <w:rFonts w:eastAsia="SimSun"/>
                <w:sz w:val="18"/>
                <w:szCs w:val="18"/>
                <w:lang w:eastAsia="zh-CN"/>
              </w:rPr>
              <w:t>P</w:t>
            </w:r>
            <w:r w:rsidRPr="00F77964">
              <w:rPr>
                <w:rFonts w:eastAsia="SimSun"/>
                <w:sz w:val="18"/>
                <w:szCs w:val="18"/>
                <w:lang w:eastAsia="zh-CN"/>
              </w:rPr>
              <w:t xml:space="preserve">lateforme et </w:t>
            </w:r>
            <w:r w:rsidR="00EB5327">
              <w:rPr>
                <w:rFonts w:eastAsia="SimSun"/>
                <w:sz w:val="18"/>
                <w:szCs w:val="18"/>
                <w:lang w:eastAsia="zh-CN"/>
              </w:rPr>
              <w:t>fait rapport</w:t>
            </w:r>
            <w:r w:rsidRPr="00F77964">
              <w:rPr>
                <w:rFonts w:eastAsia="SimSun"/>
                <w:sz w:val="18"/>
                <w:szCs w:val="18"/>
                <w:lang w:eastAsia="zh-CN"/>
              </w:rPr>
              <w:t xml:space="preserve"> à la </w:t>
            </w:r>
            <w:r w:rsidR="00E6534C" w:rsidRPr="00F77964">
              <w:rPr>
                <w:rFonts w:eastAsia="SimSun"/>
                <w:sz w:val="18"/>
                <w:szCs w:val="18"/>
                <w:lang w:eastAsia="zh-CN"/>
              </w:rPr>
              <w:t>P</w:t>
            </w:r>
            <w:r w:rsidRPr="00F77964">
              <w:rPr>
                <w:rFonts w:eastAsia="SimSun"/>
                <w:sz w:val="18"/>
                <w:szCs w:val="18"/>
                <w:lang w:eastAsia="zh-CN"/>
              </w:rPr>
              <w:t>lénière à sa quatrième session</w:t>
            </w:r>
          </w:p>
        </w:tc>
      </w:tr>
      <w:tr w:rsidR="001D6913" w:rsidRPr="0061490E" w:rsidTr="004B4762">
        <w:trPr>
          <w:trHeight w:val="274"/>
        </w:trPr>
        <w:tc>
          <w:tcPr>
            <w:tcW w:w="613" w:type="dxa"/>
            <w:vMerge w:val="restart"/>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2016</w:t>
            </w:r>
          </w:p>
        </w:tc>
        <w:tc>
          <w:tcPr>
            <w:tcW w:w="1406" w:type="dxa"/>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Premier trimestre</w:t>
            </w:r>
          </w:p>
        </w:tc>
        <w:tc>
          <w:tcPr>
            <w:tcW w:w="6779" w:type="dxa"/>
            <w:tcBorders>
              <w:top w:val="single" w:sz="4" w:space="0" w:color="auto"/>
              <w:left w:val="single" w:sz="4" w:space="0" w:color="auto"/>
              <w:bottom w:val="single" w:sz="4" w:space="0" w:color="auto"/>
              <w:right w:val="single" w:sz="4" w:space="0" w:color="auto"/>
            </w:tcBorders>
            <w:hideMark/>
          </w:tcPr>
          <w:p w:rsidR="001D6913" w:rsidRPr="00F77964" w:rsidRDefault="001D6913" w:rsidP="002D0234">
            <w:pPr>
              <w:pStyle w:val="Normal-pool"/>
              <w:spacing w:before="40" w:after="40"/>
              <w:rPr>
                <w:rFonts w:eastAsia="SimSun"/>
                <w:sz w:val="18"/>
                <w:szCs w:val="18"/>
                <w:lang w:eastAsia="zh-CN"/>
              </w:rPr>
            </w:pPr>
            <w:r w:rsidRPr="00F77964">
              <w:rPr>
                <w:rFonts w:eastAsia="SimSun"/>
                <w:sz w:val="18"/>
                <w:szCs w:val="18"/>
                <w:lang w:eastAsia="zh-CN"/>
              </w:rPr>
              <w:t xml:space="preserve">La Plénière, à sa quatrième session, </w:t>
            </w:r>
            <w:r w:rsidR="00E6534C" w:rsidRPr="00F77964">
              <w:rPr>
                <w:rFonts w:eastAsia="SimSun"/>
                <w:sz w:val="18"/>
                <w:szCs w:val="18"/>
                <w:lang w:eastAsia="zh-CN"/>
              </w:rPr>
              <w:t>étudie les résultats de</w:t>
            </w:r>
            <w:r w:rsidRPr="00F77964">
              <w:rPr>
                <w:rFonts w:eastAsia="SimSun"/>
                <w:sz w:val="18"/>
                <w:szCs w:val="18"/>
                <w:lang w:eastAsia="zh-CN"/>
              </w:rPr>
              <w:t xml:space="preserve"> l’examen à mi-parcours et toute action </w:t>
            </w:r>
            <w:r w:rsidR="00E6534C" w:rsidRPr="00F77964">
              <w:rPr>
                <w:rFonts w:eastAsia="SimSun"/>
                <w:sz w:val="18"/>
                <w:szCs w:val="18"/>
                <w:lang w:eastAsia="zh-CN"/>
              </w:rPr>
              <w:t>devant faire suite</w:t>
            </w:r>
            <w:r w:rsidRPr="00F77964">
              <w:rPr>
                <w:rFonts w:eastAsia="SimSun"/>
                <w:sz w:val="18"/>
                <w:szCs w:val="18"/>
                <w:lang w:eastAsia="zh-CN"/>
              </w:rPr>
              <w:t xml:space="preserve"> aux recommandations contenues dans le rapport </w:t>
            </w:r>
            <w:r w:rsidR="00E6534C" w:rsidRPr="00F77964">
              <w:rPr>
                <w:rFonts w:eastAsia="SimSun"/>
                <w:sz w:val="18"/>
                <w:szCs w:val="18"/>
                <w:lang w:eastAsia="zh-CN"/>
              </w:rPr>
              <w:t>correspondant</w:t>
            </w:r>
            <w:r w:rsidRPr="00F77964">
              <w:rPr>
                <w:rFonts w:eastAsia="SimSun"/>
                <w:sz w:val="18"/>
                <w:szCs w:val="18"/>
                <w:lang w:eastAsia="zh-CN"/>
              </w:rPr>
              <w:t xml:space="preserve">. Elle </w:t>
            </w:r>
            <w:r w:rsidR="006255BB">
              <w:rPr>
                <w:rFonts w:eastAsia="SimSun"/>
                <w:sz w:val="18"/>
                <w:szCs w:val="18"/>
                <w:lang w:eastAsia="zh-CN"/>
              </w:rPr>
              <w:t xml:space="preserve">étudie </w:t>
            </w:r>
            <w:r w:rsidR="0055782A">
              <w:rPr>
                <w:rFonts w:eastAsia="SimSun"/>
                <w:sz w:val="18"/>
                <w:szCs w:val="18"/>
                <w:lang w:eastAsia="zh-CN"/>
              </w:rPr>
              <w:t xml:space="preserve">également </w:t>
            </w:r>
            <w:r w:rsidR="006255BB">
              <w:rPr>
                <w:rFonts w:eastAsia="SimSun"/>
                <w:sz w:val="18"/>
                <w:szCs w:val="18"/>
                <w:lang w:eastAsia="zh-CN"/>
              </w:rPr>
              <w:t>la possibilité d</w:t>
            </w:r>
            <w:r w:rsidR="0055782A">
              <w:rPr>
                <w:rFonts w:eastAsia="SimSun"/>
                <w:sz w:val="18"/>
                <w:szCs w:val="18"/>
                <w:lang w:eastAsia="zh-CN"/>
              </w:rPr>
              <w:t>e</w:t>
            </w:r>
            <w:r w:rsidRPr="00F77964">
              <w:rPr>
                <w:rFonts w:eastAsia="SimSun"/>
                <w:sz w:val="18"/>
                <w:szCs w:val="18"/>
                <w:lang w:eastAsia="zh-CN"/>
              </w:rPr>
              <w:t xml:space="preserve"> demander au Bureau et au Groupe d’experts multidisciplinaire </w:t>
            </w:r>
            <w:r w:rsidR="00EB5327">
              <w:rPr>
                <w:rFonts w:eastAsia="SimSun"/>
                <w:sz w:val="18"/>
                <w:szCs w:val="18"/>
                <w:lang w:eastAsia="zh-CN"/>
              </w:rPr>
              <w:t>de définir</w:t>
            </w:r>
            <w:r w:rsidRPr="00F77964">
              <w:rPr>
                <w:rFonts w:eastAsia="SimSun"/>
                <w:sz w:val="18"/>
                <w:szCs w:val="18"/>
                <w:lang w:eastAsia="zh-CN"/>
              </w:rPr>
              <w:t xml:space="preserve"> la procédure, le cadre et le</w:t>
            </w:r>
            <w:r w:rsidR="00EB5327">
              <w:rPr>
                <w:rFonts w:eastAsia="SimSun"/>
                <w:sz w:val="18"/>
                <w:szCs w:val="18"/>
                <w:lang w:eastAsia="zh-CN"/>
              </w:rPr>
              <w:t xml:space="preserve"> mandat pour </w:t>
            </w:r>
            <w:r w:rsidRPr="00F77964">
              <w:rPr>
                <w:rFonts w:eastAsia="SimSun"/>
                <w:sz w:val="18"/>
                <w:szCs w:val="18"/>
                <w:lang w:eastAsia="zh-CN"/>
              </w:rPr>
              <w:t xml:space="preserve">un examen indépendant </w:t>
            </w:r>
            <w:r w:rsidR="002D0234">
              <w:rPr>
                <w:rFonts w:eastAsia="SimSun"/>
                <w:sz w:val="18"/>
                <w:szCs w:val="18"/>
                <w:lang w:eastAsia="zh-CN"/>
              </w:rPr>
              <w:t xml:space="preserve">à l’achèvement du </w:t>
            </w:r>
            <w:r w:rsidRPr="00F77964">
              <w:rPr>
                <w:rFonts w:eastAsia="SimSun"/>
                <w:sz w:val="18"/>
                <w:szCs w:val="18"/>
                <w:lang w:eastAsia="zh-CN"/>
              </w:rPr>
              <w:t xml:space="preserve">programme </w:t>
            </w:r>
            <w:r w:rsidR="002D0234">
              <w:rPr>
                <w:rFonts w:eastAsia="SimSun"/>
                <w:sz w:val="18"/>
                <w:szCs w:val="18"/>
                <w:lang w:eastAsia="zh-CN"/>
              </w:rPr>
              <w:t>de travail</w:t>
            </w:r>
            <w:r w:rsidR="00E6534C" w:rsidRPr="00F77964">
              <w:rPr>
                <w:rFonts w:eastAsia="SimSun"/>
                <w:sz w:val="18"/>
                <w:szCs w:val="18"/>
                <w:lang w:eastAsia="zh-CN"/>
              </w:rPr>
              <w:t xml:space="preserve"> </w:t>
            </w:r>
            <w:r w:rsidRPr="00F77964">
              <w:rPr>
                <w:rFonts w:eastAsia="SimSun"/>
                <w:sz w:val="18"/>
                <w:szCs w:val="18"/>
                <w:lang w:eastAsia="zh-CN"/>
              </w:rPr>
              <w:t>et de soumettre une proposition sur la composition d’une équipe indépendante d’examen à sa cinquième session</w:t>
            </w:r>
          </w:p>
        </w:tc>
      </w:tr>
      <w:tr w:rsidR="001D6913" w:rsidRPr="0061490E" w:rsidTr="004B4762">
        <w:trPr>
          <w:trHeight w:val="56"/>
        </w:trPr>
        <w:tc>
          <w:tcPr>
            <w:tcW w:w="0" w:type="auto"/>
            <w:vMerge/>
            <w:tcBorders>
              <w:top w:val="single" w:sz="4" w:space="0" w:color="auto"/>
              <w:left w:val="single" w:sz="4" w:space="0" w:color="auto"/>
              <w:bottom w:val="single" w:sz="4" w:space="0" w:color="auto"/>
              <w:right w:val="single" w:sz="4" w:space="0" w:color="auto"/>
            </w:tcBorders>
            <w:hideMark/>
          </w:tcPr>
          <w:p w:rsidR="001D6913" w:rsidRPr="0061490E" w:rsidRDefault="001D6913" w:rsidP="001D6913">
            <w:pPr>
              <w:rPr>
                <w:rFonts w:eastAsia="SimSun"/>
                <w:sz w:val="18"/>
                <w:szCs w:val="18"/>
                <w:lang w:eastAsia="zh-CN"/>
              </w:rPr>
            </w:pPr>
          </w:p>
        </w:tc>
        <w:tc>
          <w:tcPr>
            <w:tcW w:w="1406" w:type="dxa"/>
            <w:tcBorders>
              <w:top w:val="single" w:sz="4" w:space="0" w:color="auto"/>
              <w:left w:val="single" w:sz="4" w:space="0" w:color="auto"/>
              <w:bottom w:val="single" w:sz="4" w:space="0" w:color="auto"/>
              <w:right w:val="single" w:sz="4" w:space="0" w:color="auto"/>
            </w:tcBorders>
          </w:tcPr>
          <w:p w:rsidR="001D6913" w:rsidRPr="00F77964" w:rsidRDefault="001D6913" w:rsidP="00EF4696">
            <w:pPr>
              <w:pStyle w:val="Normal-pool"/>
              <w:spacing w:before="40" w:after="40"/>
              <w:rPr>
                <w:rFonts w:eastAsia="SimSun"/>
                <w:sz w:val="18"/>
                <w:szCs w:val="18"/>
                <w:lang w:eastAsia="zh-CN"/>
              </w:rPr>
            </w:pPr>
            <w:r w:rsidRPr="00F77964">
              <w:rPr>
                <w:rFonts w:eastAsia="SimSun"/>
                <w:sz w:val="18"/>
                <w:szCs w:val="18"/>
                <w:lang w:eastAsia="zh-CN"/>
              </w:rPr>
              <w:t>Deuxième/troisième/ quatrième trimestres</w:t>
            </w:r>
          </w:p>
        </w:tc>
        <w:tc>
          <w:tcPr>
            <w:tcW w:w="6779" w:type="dxa"/>
            <w:tcBorders>
              <w:top w:val="single" w:sz="4" w:space="0" w:color="auto"/>
              <w:left w:val="single" w:sz="4" w:space="0" w:color="auto"/>
              <w:bottom w:val="single" w:sz="4" w:space="0" w:color="auto"/>
              <w:right w:val="single" w:sz="4" w:space="0" w:color="auto"/>
            </w:tcBorders>
            <w:hideMark/>
          </w:tcPr>
          <w:p w:rsidR="001D6913" w:rsidRPr="00F77964" w:rsidRDefault="001D6913" w:rsidP="00EB5327">
            <w:pPr>
              <w:pStyle w:val="Normal-pool"/>
              <w:spacing w:before="40" w:after="40"/>
              <w:rPr>
                <w:rFonts w:eastAsia="SimSun"/>
                <w:sz w:val="18"/>
                <w:szCs w:val="18"/>
                <w:lang w:eastAsia="zh-CN"/>
              </w:rPr>
            </w:pPr>
            <w:r w:rsidRPr="00F77964">
              <w:rPr>
                <w:rFonts w:eastAsia="SimSun"/>
                <w:sz w:val="18"/>
                <w:szCs w:val="18"/>
                <w:lang w:eastAsia="zh-CN"/>
              </w:rPr>
              <w:t xml:space="preserve">Le Bureau et le Groupe d’experts </w:t>
            </w:r>
            <w:r w:rsidR="00E6534C" w:rsidRPr="00F77964">
              <w:rPr>
                <w:rFonts w:eastAsia="SimSun"/>
                <w:sz w:val="18"/>
                <w:szCs w:val="18"/>
                <w:lang w:eastAsia="zh-CN"/>
              </w:rPr>
              <w:t xml:space="preserve">préparent leur </w:t>
            </w:r>
            <w:r w:rsidR="00F77964" w:rsidRPr="00F77964">
              <w:rPr>
                <w:rFonts w:eastAsia="SimSun"/>
                <w:sz w:val="18"/>
                <w:szCs w:val="18"/>
                <w:lang w:eastAsia="zh-CN"/>
              </w:rPr>
              <w:t>réponse</w:t>
            </w:r>
            <w:r w:rsidRPr="00F77964">
              <w:rPr>
                <w:rFonts w:eastAsia="SimSun"/>
                <w:sz w:val="18"/>
                <w:szCs w:val="18"/>
                <w:lang w:eastAsia="zh-CN"/>
              </w:rPr>
              <w:t xml:space="preserve"> à la demande </w:t>
            </w:r>
            <w:r w:rsidR="00EF4696">
              <w:rPr>
                <w:rFonts w:eastAsia="SimSun"/>
                <w:sz w:val="18"/>
                <w:szCs w:val="18"/>
                <w:lang w:eastAsia="zh-CN"/>
              </w:rPr>
              <w:t>formulée par</w:t>
            </w:r>
            <w:r w:rsidRPr="00F77964">
              <w:rPr>
                <w:rFonts w:eastAsia="SimSun"/>
                <w:sz w:val="18"/>
                <w:szCs w:val="18"/>
                <w:lang w:eastAsia="zh-CN"/>
              </w:rPr>
              <w:t xml:space="preserve"> la Plénière à sa quatrième </w:t>
            </w:r>
            <w:r w:rsidR="00EF4696">
              <w:rPr>
                <w:rFonts w:eastAsia="SimSun"/>
                <w:sz w:val="18"/>
                <w:szCs w:val="18"/>
                <w:lang w:eastAsia="zh-CN"/>
              </w:rPr>
              <w:t xml:space="preserve">session </w:t>
            </w:r>
            <w:r w:rsidRPr="00F77964">
              <w:rPr>
                <w:rFonts w:eastAsia="SimSun"/>
                <w:sz w:val="18"/>
                <w:szCs w:val="18"/>
                <w:lang w:eastAsia="zh-CN"/>
              </w:rPr>
              <w:t xml:space="preserve">pour présentation à </w:t>
            </w:r>
            <w:r w:rsidR="00EB5327">
              <w:rPr>
                <w:rFonts w:eastAsia="SimSun"/>
                <w:sz w:val="18"/>
                <w:szCs w:val="18"/>
                <w:lang w:eastAsia="zh-CN"/>
              </w:rPr>
              <w:t>celle-ci à s</w:t>
            </w:r>
            <w:r w:rsidRPr="00F77964">
              <w:rPr>
                <w:rFonts w:eastAsia="SimSun"/>
                <w:sz w:val="18"/>
                <w:szCs w:val="18"/>
                <w:lang w:eastAsia="zh-CN"/>
              </w:rPr>
              <w:t>a cinquième session</w:t>
            </w:r>
          </w:p>
        </w:tc>
      </w:tr>
      <w:tr w:rsidR="001D6913" w:rsidRPr="0061490E" w:rsidTr="004B4762">
        <w:trPr>
          <w:trHeight w:val="584"/>
        </w:trPr>
        <w:tc>
          <w:tcPr>
            <w:tcW w:w="613" w:type="dxa"/>
            <w:vMerge w:val="restart"/>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2017</w:t>
            </w:r>
          </w:p>
        </w:tc>
        <w:tc>
          <w:tcPr>
            <w:tcW w:w="1406" w:type="dxa"/>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Premier trimestre</w:t>
            </w:r>
          </w:p>
        </w:tc>
        <w:tc>
          <w:tcPr>
            <w:tcW w:w="6779" w:type="dxa"/>
            <w:tcBorders>
              <w:top w:val="single" w:sz="4" w:space="0" w:color="auto"/>
              <w:left w:val="single" w:sz="4" w:space="0" w:color="auto"/>
              <w:bottom w:val="single" w:sz="4" w:space="0" w:color="auto"/>
              <w:right w:val="single" w:sz="4" w:space="0" w:color="auto"/>
            </w:tcBorders>
            <w:hideMark/>
          </w:tcPr>
          <w:p w:rsidR="001D6913" w:rsidRPr="00F77964" w:rsidRDefault="001D6913" w:rsidP="00EF4696">
            <w:pPr>
              <w:pStyle w:val="Normal-pool"/>
              <w:spacing w:before="40" w:after="40"/>
              <w:rPr>
                <w:rFonts w:eastAsia="SimSun"/>
                <w:sz w:val="18"/>
                <w:szCs w:val="18"/>
                <w:lang w:eastAsia="zh-CN"/>
              </w:rPr>
            </w:pPr>
            <w:r w:rsidRPr="00F77964">
              <w:rPr>
                <w:rFonts w:eastAsia="SimSun"/>
                <w:sz w:val="18"/>
                <w:szCs w:val="18"/>
                <w:lang w:eastAsia="zh-CN"/>
              </w:rPr>
              <w:t xml:space="preserve">La Plénière, à sa cinquième session, </w:t>
            </w:r>
            <w:r w:rsidR="006255BB">
              <w:rPr>
                <w:rFonts w:eastAsia="SimSun"/>
                <w:sz w:val="18"/>
                <w:szCs w:val="18"/>
                <w:lang w:eastAsia="zh-CN"/>
              </w:rPr>
              <w:t>étudie la possibilité d’</w:t>
            </w:r>
            <w:r w:rsidRPr="00F77964">
              <w:rPr>
                <w:rFonts w:eastAsia="SimSun"/>
                <w:sz w:val="18"/>
                <w:szCs w:val="18"/>
                <w:lang w:eastAsia="zh-CN"/>
              </w:rPr>
              <w:t xml:space="preserve">adopter la procédure, le cadre et le mandat </w:t>
            </w:r>
            <w:r w:rsidR="00EF4696">
              <w:rPr>
                <w:rFonts w:eastAsia="SimSun"/>
                <w:sz w:val="18"/>
                <w:szCs w:val="18"/>
                <w:lang w:eastAsia="zh-CN"/>
              </w:rPr>
              <w:t xml:space="preserve">pour </w:t>
            </w:r>
            <w:r w:rsidRPr="00F77964">
              <w:rPr>
                <w:rFonts w:eastAsia="SimSun"/>
                <w:sz w:val="18"/>
                <w:szCs w:val="18"/>
                <w:lang w:eastAsia="zh-CN"/>
              </w:rPr>
              <w:t xml:space="preserve">un examen indépendant du programme </w:t>
            </w:r>
            <w:r w:rsidR="00EF4696">
              <w:rPr>
                <w:rFonts w:eastAsia="SimSun"/>
                <w:sz w:val="18"/>
                <w:szCs w:val="18"/>
                <w:lang w:eastAsia="zh-CN"/>
              </w:rPr>
              <w:t xml:space="preserve">de travail </w:t>
            </w:r>
            <w:r w:rsidRPr="00F77964">
              <w:rPr>
                <w:rFonts w:eastAsia="SimSun"/>
                <w:sz w:val="18"/>
                <w:szCs w:val="18"/>
                <w:lang w:eastAsia="zh-CN"/>
              </w:rPr>
              <w:t xml:space="preserve">en fin de parcours. Elle </w:t>
            </w:r>
            <w:r w:rsidR="0055782A">
              <w:rPr>
                <w:rFonts w:eastAsia="SimSun"/>
                <w:sz w:val="18"/>
                <w:szCs w:val="18"/>
                <w:lang w:eastAsia="zh-CN"/>
              </w:rPr>
              <w:t>étudie également la possibilité de</w:t>
            </w:r>
            <w:r w:rsidR="00E6534C" w:rsidRPr="00F77964">
              <w:rPr>
                <w:rFonts w:eastAsia="SimSun"/>
                <w:sz w:val="18"/>
                <w:szCs w:val="18"/>
                <w:lang w:eastAsia="zh-CN"/>
              </w:rPr>
              <w:t xml:space="preserve"> </w:t>
            </w:r>
            <w:r w:rsidRPr="00F77964">
              <w:rPr>
                <w:rFonts w:eastAsia="SimSun"/>
                <w:sz w:val="18"/>
                <w:szCs w:val="18"/>
                <w:lang w:eastAsia="zh-CN"/>
              </w:rPr>
              <w:t xml:space="preserve">constituer une équipe indépendante pour entreprendre l’examen et </w:t>
            </w:r>
            <w:r w:rsidR="00E6534C" w:rsidRPr="00F77964">
              <w:rPr>
                <w:rFonts w:eastAsia="SimSun"/>
                <w:sz w:val="18"/>
                <w:szCs w:val="18"/>
                <w:lang w:eastAsia="zh-CN"/>
              </w:rPr>
              <w:t xml:space="preserve">lui </w:t>
            </w:r>
            <w:r w:rsidR="00EF4696">
              <w:rPr>
                <w:rFonts w:eastAsia="SimSun"/>
                <w:sz w:val="18"/>
                <w:szCs w:val="18"/>
                <w:lang w:eastAsia="zh-CN"/>
              </w:rPr>
              <w:t>faire rapport</w:t>
            </w:r>
            <w:r w:rsidRPr="00F77964">
              <w:rPr>
                <w:rFonts w:eastAsia="SimSun"/>
                <w:sz w:val="18"/>
                <w:szCs w:val="18"/>
                <w:lang w:eastAsia="zh-CN"/>
              </w:rPr>
              <w:t xml:space="preserve"> à sa sixième session</w:t>
            </w:r>
          </w:p>
        </w:tc>
      </w:tr>
      <w:tr w:rsidR="001D6913" w:rsidRPr="0061490E" w:rsidTr="004B4762">
        <w:trPr>
          <w:trHeight w:val="56"/>
        </w:trPr>
        <w:tc>
          <w:tcPr>
            <w:tcW w:w="0" w:type="auto"/>
            <w:vMerge/>
            <w:tcBorders>
              <w:top w:val="single" w:sz="4" w:space="0" w:color="auto"/>
              <w:left w:val="single" w:sz="4" w:space="0" w:color="auto"/>
              <w:bottom w:val="single" w:sz="4" w:space="0" w:color="auto"/>
              <w:right w:val="single" w:sz="4" w:space="0" w:color="auto"/>
            </w:tcBorders>
            <w:hideMark/>
          </w:tcPr>
          <w:p w:rsidR="001D6913" w:rsidRPr="0061490E" w:rsidRDefault="001D6913" w:rsidP="001D6913">
            <w:pPr>
              <w:rPr>
                <w:rFonts w:eastAsia="SimSun"/>
                <w:sz w:val="18"/>
                <w:szCs w:val="18"/>
                <w:lang w:eastAsia="zh-CN"/>
              </w:rPr>
            </w:pPr>
          </w:p>
        </w:tc>
        <w:tc>
          <w:tcPr>
            <w:tcW w:w="1406" w:type="dxa"/>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Deuxième/troisième/ quatrième trimestres</w:t>
            </w:r>
          </w:p>
        </w:tc>
        <w:tc>
          <w:tcPr>
            <w:tcW w:w="6779" w:type="dxa"/>
            <w:tcBorders>
              <w:top w:val="single" w:sz="4" w:space="0" w:color="auto"/>
              <w:left w:val="single" w:sz="4" w:space="0" w:color="auto"/>
              <w:bottom w:val="single" w:sz="4" w:space="0" w:color="auto"/>
              <w:right w:val="single" w:sz="4" w:space="0" w:color="auto"/>
            </w:tcBorders>
            <w:hideMark/>
          </w:tcPr>
          <w:p w:rsidR="001D6913" w:rsidRPr="00F77964" w:rsidRDefault="001D6913" w:rsidP="002D0234">
            <w:pPr>
              <w:pStyle w:val="Normal-pool"/>
              <w:spacing w:before="40" w:after="40"/>
              <w:rPr>
                <w:rFonts w:eastAsia="SimSun"/>
                <w:sz w:val="18"/>
                <w:szCs w:val="18"/>
                <w:lang w:eastAsia="zh-CN"/>
              </w:rPr>
            </w:pPr>
            <w:r w:rsidRPr="00F77964">
              <w:rPr>
                <w:rFonts w:eastAsia="SimSun"/>
                <w:sz w:val="18"/>
                <w:szCs w:val="18"/>
                <w:lang w:eastAsia="zh-CN"/>
              </w:rPr>
              <w:t xml:space="preserve">L’équipe </w:t>
            </w:r>
            <w:r w:rsidR="00E6534C" w:rsidRPr="00F77964">
              <w:rPr>
                <w:rFonts w:eastAsia="SimSun"/>
                <w:sz w:val="18"/>
                <w:szCs w:val="18"/>
                <w:lang w:eastAsia="zh-CN"/>
              </w:rPr>
              <w:t>indépendante d</w:t>
            </w:r>
            <w:r w:rsidRPr="00F77964">
              <w:rPr>
                <w:rFonts w:eastAsia="SimSun"/>
                <w:sz w:val="18"/>
                <w:szCs w:val="18"/>
                <w:lang w:eastAsia="zh-CN"/>
              </w:rPr>
              <w:t>’examen</w:t>
            </w:r>
            <w:r w:rsidR="00E6534C" w:rsidRPr="00F77964">
              <w:rPr>
                <w:rFonts w:eastAsia="SimSun"/>
                <w:sz w:val="18"/>
                <w:szCs w:val="18"/>
                <w:lang w:eastAsia="zh-CN"/>
              </w:rPr>
              <w:t xml:space="preserve"> </w:t>
            </w:r>
            <w:r w:rsidRPr="00F77964">
              <w:rPr>
                <w:rFonts w:eastAsia="SimSun"/>
                <w:sz w:val="18"/>
                <w:szCs w:val="18"/>
                <w:lang w:eastAsia="zh-CN"/>
              </w:rPr>
              <w:t xml:space="preserve">entreprend l’examen du programme </w:t>
            </w:r>
            <w:r w:rsidR="00EF4696">
              <w:rPr>
                <w:rFonts w:eastAsia="SimSun"/>
                <w:sz w:val="18"/>
                <w:szCs w:val="18"/>
                <w:lang w:eastAsia="zh-CN"/>
              </w:rPr>
              <w:t xml:space="preserve">de travail </w:t>
            </w:r>
            <w:r w:rsidRPr="00F77964">
              <w:rPr>
                <w:rFonts w:eastAsia="SimSun"/>
                <w:sz w:val="18"/>
                <w:szCs w:val="18"/>
                <w:lang w:eastAsia="zh-CN"/>
              </w:rPr>
              <w:t xml:space="preserve">en fin de parcours et </w:t>
            </w:r>
            <w:r w:rsidR="002D0234">
              <w:rPr>
                <w:rFonts w:eastAsia="SimSun"/>
                <w:sz w:val="18"/>
                <w:szCs w:val="18"/>
                <w:lang w:eastAsia="zh-CN"/>
              </w:rPr>
              <w:t>fait rapport</w:t>
            </w:r>
            <w:r w:rsidRPr="00F77964">
              <w:rPr>
                <w:rFonts w:eastAsia="SimSun"/>
                <w:sz w:val="18"/>
                <w:szCs w:val="18"/>
                <w:lang w:eastAsia="zh-CN"/>
              </w:rPr>
              <w:t xml:space="preserve"> à la Plénière à sa sixième session de façon à é</w:t>
            </w:r>
            <w:r w:rsidR="00EF4696">
              <w:rPr>
                <w:rFonts w:eastAsia="SimSun"/>
                <w:sz w:val="18"/>
                <w:szCs w:val="18"/>
                <w:lang w:eastAsia="zh-CN"/>
              </w:rPr>
              <w:t>clair</w:t>
            </w:r>
            <w:r w:rsidRPr="00F77964">
              <w:rPr>
                <w:rFonts w:eastAsia="SimSun"/>
                <w:sz w:val="18"/>
                <w:szCs w:val="18"/>
                <w:lang w:eastAsia="zh-CN"/>
              </w:rPr>
              <w:t>er les d</w:t>
            </w:r>
            <w:r w:rsidR="00E6534C" w:rsidRPr="00F77964">
              <w:rPr>
                <w:rFonts w:eastAsia="SimSun"/>
                <w:sz w:val="18"/>
                <w:szCs w:val="18"/>
                <w:lang w:eastAsia="zh-CN"/>
              </w:rPr>
              <w:t>ébats sur le</w:t>
            </w:r>
            <w:r w:rsidRPr="00F77964">
              <w:rPr>
                <w:rFonts w:eastAsia="SimSun"/>
                <w:sz w:val="18"/>
                <w:szCs w:val="18"/>
                <w:lang w:eastAsia="zh-CN"/>
              </w:rPr>
              <w:t xml:space="preserve"> programme de travail suivant</w:t>
            </w:r>
          </w:p>
        </w:tc>
      </w:tr>
      <w:tr w:rsidR="001D6913" w:rsidRPr="0061490E" w:rsidTr="004B4762">
        <w:trPr>
          <w:trHeight w:val="242"/>
        </w:trPr>
        <w:tc>
          <w:tcPr>
            <w:tcW w:w="613" w:type="dxa"/>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2018</w:t>
            </w:r>
          </w:p>
        </w:tc>
        <w:tc>
          <w:tcPr>
            <w:tcW w:w="1406" w:type="dxa"/>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Premier trimestre</w:t>
            </w:r>
          </w:p>
        </w:tc>
        <w:tc>
          <w:tcPr>
            <w:tcW w:w="6779" w:type="dxa"/>
            <w:tcBorders>
              <w:top w:val="single" w:sz="4" w:space="0" w:color="auto"/>
              <w:left w:val="single" w:sz="4" w:space="0" w:color="auto"/>
              <w:bottom w:val="single" w:sz="4" w:space="0" w:color="auto"/>
              <w:right w:val="single" w:sz="4" w:space="0" w:color="auto"/>
            </w:tcBorders>
            <w:hideMark/>
          </w:tcPr>
          <w:p w:rsidR="001D6913" w:rsidRPr="00F77964" w:rsidRDefault="001D6913" w:rsidP="00E6534C">
            <w:pPr>
              <w:pStyle w:val="Normal-pool"/>
              <w:spacing w:before="40" w:after="40"/>
              <w:rPr>
                <w:rFonts w:eastAsia="SimSun"/>
                <w:sz w:val="18"/>
                <w:szCs w:val="18"/>
                <w:lang w:eastAsia="zh-CN"/>
              </w:rPr>
            </w:pPr>
            <w:r w:rsidRPr="00F77964">
              <w:rPr>
                <w:rFonts w:eastAsia="SimSun"/>
                <w:sz w:val="18"/>
                <w:szCs w:val="18"/>
                <w:lang w:eastAsia="zh-CN"/>
              </w:rPr>
              <w:t xml:space="preserve">La Plénière, à sa sixième session, </w:t>
            </w:r>
            <w:r w:rsidR="00E6534C" w:rsidRPr="00F77964">
              <w:rPr>
                <w:rFonts w:eastAsia="SimSun"/>
                <w:sz w:val="18"/>
                <w:szCs w:val="18"/>
                <w:lang w:eastAsia="zh-CN"/>
              </w:rPr>
              <w:t>étudie</w:t>
            </w:r>
            <w:r w:rsidRPr="00F77964">
              <w:rPr>
                <w:rFonts w:eastAsia="SimSun"/>
                <w:sz w:val="18"/>
                <w:szCs w:val="18"/>
                <w:lang w:eastAsia="zh-CN"/>
              </w:rPr>
              <w:t xml:space="preserve"> l</w:t>
            </w:r>
            <w:r w:rsidR="00E6534C" w:rsidRPr="00F77964">
              <w:rPr>
                <w:rFonts w:eastAsia="SimSun"/>
                <w:sz w:val="18"/>
                <w:szCs w:val="18"/>
                <w:lang w:eastAsia="zh-CN"/>
              </w:rPr>
              <w:t>es résultats de l</w:t>
            </w:r>
            <w:r w:rsidRPr="00F77964">
              <w:rPr>
                <w:rFonts w:eastAsia="SimSun"/>
                <w:sz w:val="18"/>
                <w:szCs w:val="18"/>
                <w:lang w:eastAsia="zh-CN"/>
              </w:rPr>
              <w:t xml:space="preserve">’examen du programme </w:t>
            </w:r>
            <w:r w:rsidR="00EF4696">
              <w:rPr>
                <w:rFonts w:eastAsia="SimSun"/>
                <w:sz w:val="18"/>
                <w:szCs w:val="18"/>
                <w:lang w:eastAsia="zh-CN"/>
              </w:rPr>
              <w:t xml:space="preserve">de travail </w:t>
            </w:r>
            <w:r w:rsidRPr="00F77964">
              <w:rPr>
                <w:rFonts w:eastAsia="SimSun"/>
                <w:sz w:val="18"/>
                <w:szCs w:val="18"/>
                <w:lang w:eastAsia="zh-CN"/>
              </w:rPr>
              <w:t xml:space="preserve">en fin de parcours et toute action </w:t>
            </w:r>
            <w:r w:rsidR="00E6534C" w:rsidRPr="00F77964">
              <w:rPr>
                <w:rFonts w:eastAsia="SimSun"/>
                <w:sz w:val="18"/>
                <w:szCs w:val="18"/>
                <w:lang w:eastAsia="zh-CN"/>
              </w:rPr>
              <w:t>devant faire</w:t>
            </w:r>
            <w:r w:rsidRPr="00F77964">
              <w:rPr>
                <w:rFonts w:eastAsia="SimSun"/>
                <w:sz w:val="18"/>
                <w:szCs w:val="18"/>
                <w:lang w:eastAsia="zh-CN"/>
              </w:rPr>
              <w:t xml:space="preserve"> suite aux recommandations contenues dans le rapport </w:t>
            </w:r>
            <w:r w:rsidR="00E6534C" w:rsidRPr="00F77964">
              <w:rPr>
                <w:rFonts w:eastAsia="SimSun"/>
                <w:sz w:val="18"/>
                <w:szCs w:val="18"/>
                <w:lang w:eastAsia="zh-CN"/>
              </w:rPr>
              <w:t>correspondant</w:t>
            </w:r>
            <w:r w:rsidRPr="00F77964">
              <w:rPr>
                <w:rFonts w:eastAsia="SimSun"/>
                <w:sz w:val="18"/>
                <w:szCs w:val="18"/>
                <w:lang w:eastAsia="zh-CN"/>
              </w:rPr>
              <w:t>, en particulier celles qui concernent le programme de travail suivant</w:t>
            </w:r>
          </w:p>
        </w:tc>
      </w:tr>
    </w:tbl>
    <w:p w:rsidR="001D6913" w:rsidRPr="00F77964" w:rsidRDefault="001D6913" w:rsidP="001D6913">
      <w:pPr>
        <w:pStyle w:val="CH3"/>
        <w:keepNext w:val="0"/>
        <w:keepLines w:val="0"/>
        <w:spacing w:before="240"/>
        <w:rPr>
          <w:rFonts w:eastAsia="SimSun"/>
          <w:lang w:val="fr-FR" w:eastAsia="zh-CN"/>
        </w:rPr>
      </w:pPr>
      <w:r w:rsidRPr="00F77964">
        <w:rPr>
          <w:rFonts w:eastAsia="SimSun"/>
          <w:lang w:val="fr-FR" w:eastAsia="zh-CN"/>
        </w:rPr>
        <w:tab/>
      </w:r>
      <w:r w:rsidRPr="00F77964">
        <w:rPr>
          <w:rFonts w:eastAsia="SimSun"/>
          <w:lang w:val="fr-FR" w:eastAsia="zh-CN"/>
        </w:rPr>
        <w:tab/>
        <w:t>Prévisions de coûts</w:t>
      </w:r>
    </w:p>
    <w:p w:rsidR="001D6913" w:rsidRPr="00F90D8B" w:rsidRDefault="001D6913" w:rsidP="00F90D8B">
      <w:pPr>
        <w:pStyle w:val="Normalnumber"/>
        <w:numPr>
          <w:ilvl w:val="0"/>
          <w:numId w:val="6"/>
        </w:numPr>
        <w:tabs>
          <w:tab w:val="left" w:pos="624"/>
        </w:tabs>
        <w:ind w:left="1247" w:firstLine="0"/>
        <w:rPr>
          <w:lang w:val="fr-FR"/>
        </w:rPr>
      </w:pPr>
      <w:r w:rsidRPr="00F77964">
        <w:rPr>
          <w:lang w:val="fr-FR"/>
        </w:rPr>
        <w:t>Les prévisions de coûts sont les suivantes :</w:t>
      </w:r>
    </w:p>
    <w:p w:rsidR="001D6913" w:rsidRPr="00F77964" w:rsidRDefault="001D6913" w:rsidP="001D6913">
      <w:pPr>
        <w:pStyle w:val="Normalnumber"/>
        <w:tabs>
          <w:tab w:val="left" w:pos="624"/>
        </w:tabs>
        <w:spacing w:before="120" w:after="0"/>
        <w:ind w:left="1247"/>
        <w:rPr>
          <w:rFonts w:eastAsia="Calibri"/>
          <w:sz w:val="18"/>
          <w:szCs w:val="18"/>
          <w:lang w:val="fr-FR"/>
        </w:rPr>
      </w:pPr>
      <w:r w:rsidRPr="00F77964">
        <w:rPr>
          <w:rFonts w:eastAsia="Calibri"/>
          <w:sz w:val="18"/>
          <w:szCs w:val="18"/>
          <w:lang w:val="fr-FR"/>
        </w:rPr>
        <w:t>(Dollars des États-Unis)</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648"/>
        <w:gridCol w:w="3044"/>
        <w:gridCol w:w="1631"/>
      </w:tblGrid>
      <w:tr w:rsidR="001D6913" w:rsidRPr="0061490E" w:rsidTr="001D6913">
        <w:tc>
          <w:tcPr>
            <w:tcW w:w="672" w:type="dxa"/>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spacing w:before="40" w:after="40"/>
              <w:rPr>
                <w:rFonts w:eastAsia="SimSun"/>
                <w:i/>
                <w:sz w:val="18"/>
                <w:szCs w:val="18"/>
                <w:lang w:eastAsia="zh-CN"/>
              </w:rPr>
            </w:pPr>
            <w:r w:rsidRPr="00F77964">
              <w:rPr>
                <w:rFonts w:eastAsia="SimSun"/>
                <w:i/>
                <w:sz w:val="18"/>
                <w:szCs w:val="18"/>
                <w:lang w:eastAsia="zh-CN"/>
              </w:rPr>
              <w:t>Année</w:t>
            </w:r>
          </w:p>
        </w:tc>
        <w:tc>
          <w:tcPr>
            <w:tcW w:w="2929" w:type="dxa"/>
            <w:tcBorders>
              <w:top w:val="single" w:sz="4" w:space="0" w:color="auto"/>
              <w:left w:val="single" w:sz="4" w:space="0" w:color="auto"/>
              <w:bottom w:val="single" w:sz="4" w:space="0" w:color="auto"/>
              <w:right w:val="single" w:sz="4" w:space="0" w:color="auto"/>
            </w:tcBorders>
            <w:hideMark/>
          </w:tcPr>
          <w:p w:rsidR="001D6913" w:rsidRPr="00F77964" w:rsidRDefault="00D972E8" w:rsidP="00E6534C">
            <w:pPr>
              <w:pStyle w:val="Normal-pool"/>
              <w:spacing w:before="40" w:after="40"/>
              <w:rPr>
                <w:rFonts w:eastAsia="SimSun"/>
                <w:i/>
                <w:sz w:val="18"/>
                <w:szCs w:val="18"/>
                <w:lang w:eastAsia="zh-CN"/>
              </w:rPr>
            </w:pPr>
            <w:r>
              <w:rPr>
                <w:rFonts w:eastAsia="SimSun"/>
                <w:i/>
                <w:sz w:val="18"/>
                <w:szCs w:val="18"/>
                <w:lang w:eastAsia="zh-CN"/>
              </w:rPr>
              <w:t>Postes de dépense</w:t>
            </w:r>
          </w:p>
        </w:tc>
        <w:tc>
          <w:tcPr>
            <w:tcW w:w="3402" w:type="dxa"/>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spacing w:before="40" w:after="40"/>
              <w:rPr>
                <w:rFonts w:eastAsia="SimSun"/>
                <w:i/>
                <w:sz w:val="18"/>
                <w:szCs w:val="18"/>
                <w:lang w:eastAsia="zh-CN"/>
              </w:rPr>
            </w:pPr>
            <w:r w:rsidRPr="00F77964">
              <w:rPr>
                <w:rFonts w:eastAsia="SimSun"/>
                <w:i/>
                <w:sz w:val="18"/>
                <w:szCs w:val="18"/>
                <w:lang w:eastAsia="zh-CN"/>
              </w:rPr>
              <w:t>Hypothèses</w:t>
            </w:r>
          </w:p>
        </w:tc>
        <w:tc>
          <w:tcPr>
            <w:tcW w:w="1780" w:type="dxa"/>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spacing w:before="40" w:after="40"/>
              <w:jc w:val="right"/>
              <w:rPr>
                <w:rFonts w:eastAsia="SimSun"/>
                <w:i/>
                <w:sz w:val="18"/>
                <w:szCs w:val="18"/>
                <w:lang w:eastAsia="zh-CN"/>
              </w:rPr>
            </w:pPr>
            <w:r w:rsidRPr="00F77964">
              <w:rPr>
                <w:rFonts w:eastAsia="SimSun"/>
                <w:i/>
                <w:sz w:val="18"/>
                <w:szCs w:val="18"/>
                <w:lang w:eastAsia="zh-CN"/>
              </w:rPr>
              <w:t>Coût</w:t>
            </w:r>
          </w:p>
        </w:tc>
      </w:tr>
      <w:tr w:rsidR="001D6913" w:rsidRPr="0061490E" w:rsidTr="001D6913">
        <w:trPr>
          <w:trHeight w:val="317"/>
        </w:trPr>
        <w:tc>
          <w:tcPr>
            <w:tcW w:w="672" w:type="dxa"/>
            <w:tcBorders>
              <w:top w:val="single" w:sz="4" w:space="0" w:color="auto"/>
              <w:left w:val="single" w:sz="4" w:space="0" w:color="auto"/>
              <w:bottom w:val="single" w:sz="4" w:space="0" w:color="auto"/>
              <w:right w:val="single" w:sz="4" w:space="0" w:color="auto"/>
            </w:tcBorders>
            <w:vAlign w:val="center"/>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2015</w:t>
            </w:r>
          </w:p>
        </w:tc>
        <w:tc>
          <w:tcPr>
            <w:tcW w:w="2929" w:type="dxa"/>
            <w:tcBorders>
              <w:top w:val="single" w:sz="4" w:space="0" w:color="auto"/>
              <w:left w:val="single" w:sz="4" w:space="0" w:color="auto"/>
              <w:bottom w:val="single" w:sz="4" w:space="0" w:color="auto"/>
              <w:right w:val="single" w:sz="4" w:space="0" w:color="auto"/>
            </w:tcBorders>
            <w:vAlign w:val="center"/>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 xml:space="preserve">Appui technique (consultant) </w:t>
            </w:r>
          </w:p>
        </w:tc>
        <w:tc>
          <w:tcPr>
            <w:tcW w:w="3402" w:type="dxa"/>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Examen à mi-parcours</w:t>
            </w:r>
          </w:p>
        </w:tc>
        <w:tc>
          <w:tcPr>
            <w:tcW w:w="1780" w:type="dxa"/>
            <w:tcBorders>
              <w:top w:val="single" w:sz="4" w:space="0" w:color="auto"/>
              <w:left w:val="single" w:sz="4" w:space="0" w:color="auto"/>
              <w:bottom w:val="single" w:sz="4" w:space="0" w:color="auto"/>
              <w:right w:val="single" w:sz="4" w:space="0" w:color="auto"/>
            </w:tcBorders>
            <w:hideMark/>
          </w:tcPr>
          <w:p w:rsidR="001D6913" w:rsidRPr="00F77964" w:rsidRDefault="001D6913" w:rsidP="00E6534C">
            <w:pPr>
              <w:pStyle w:val="Normal-pool"/>
              <w:spacing w:before="40" w:after="40"/>
              <w:jc w:val="right"/>
              <w:rPr>
                <w:rFonts w:eastAsia="SimSun"/>
                <w:sz w:val="18"/>
                <w:szCs w:val="18"/>
                <w:lang w:eastAsia="zh-CN"/>
              </w:rPr>
            </w:pPr>
            <w:r w:rsidRPr="00F77964">
              <w:rPr>
                <w:rFonts w:eastAsia="SimSun"/>
                <w:sz w:val="18"/>
                <w:szCs w:val="18"/>
                <w:lang w:eastAsia="zh-CN"/>
              </w:rPr>
              <w:t>36</w:t>
            </w:r>
            <w:r w:rsidR="00E6534C" w:rsidRPr="00F77964">
              <w:rPr>
                <w:rFonts w:eastAsia="SimSun"/>
                <w:sz w:val="18"/>
                <w:szCs w:val="18"/>
                <w:lang w:eastAsia="zh-CN"/>
              </w:rPr>
              <w:t> </w:t>
            </w:r>
            <w:r w:rsidRPr="00F77964">
              <w:rPr>
                <w:rFonts w:eastAsia="SimSun"/>
                <w:sz w:val="18"/>
                <w:szCs w:val="18"/>
                <w:lang w:eastAsia="zh-CN"/>
              </w:rPr>
              <w:t>000</w:t>
            </w:r>
          </w:p>
        </w:tc>
      </w:tr>
      <w:tr w:rsidR="001D6913" w:rsidRPr="0061490E" w:rsidTr="001D6913">
        <w:trPr>
          <w:trHeight w:val="317"/>
        </w:trPr>
        <w:tc>
          <w:tcPr>
            <w:tcW w:w="672" w:type="dxa"/>
            <w:tcBorders>
              <w:top w:val="single" w:sz="4" w:space="0" w:color="auto"/>
              <w:left w:val="single" w:sz="4" w:space="0" w:color="auto"/>
              <w:bottom w:val="single" w:sz="4" w:space="0" w:color="auto"/>
              <w:right w:val="single" w:sz="4" w:space="0" w:color="auto"/>
            </w:tcBorders>
            <w:vAlign w:val="center"/>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2017</w:t>
            </w:r>
          </w:p>
        </w:tc>
        <w:tc>
          <w:tcPr>
            <w:tcW w:w="2929" w:type="dxa"/>
            <w:tcBorders>
              <w:top w:val="single" w:sz="4" w:space="0" w:color="auto"/>
              <w:left w:val="single" w:sz="4" w:space="0" w:color="auto"/>
              <w:bottom w:val="single" w:sz="4" w:space="0" w:color="auto"/>
              <w:right w:val="single" w:sz="4" w:space="0" w:color="auto"/>
            </w:tcBorders>
            <w:vAlign w:val="center"/>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Appui technique (consultant)</w:t>
            </w:r>
          </w:p>
        </w:tc>
        <w:tc>
          <w:tcPr>
            <w:tcW w:w="3402" w:type="dxa"/>
            <w:tcBorders>
              <w:top w:val="single" w:sz="4" w:space="0" w:color="auto"/>
              <w:left w:val="single" w:sz="4" w:space="0" w:color="auto"/>
              <w:bottom w:val="single" w:sz="4" w:space="0" w:color="auto"/>
              <w:right w:val="single" w:sz="4" w:space="0" w:color="auto"/>
            </w:tcBorders>
            <w:hideMark/>
          </w:tcPr>
          <w:p w:rsidR="001D6913" w:rsidRPr="00F77964" w:rsidRDefault="00E6534C" w:rsidP="00E6534C">
            <w:pPr>
              <w:pStyle w:val="Normal-pool"/>
              <w:spacing w:before="40" w:after="40"/>
              <w:rPr>
                <w:rFonts w:eastAsia="SimSun"/>
                <w:sz w:val="18"/>
                <w:szCs w:val="18"/>
                <w:lang w:eastAsia="zh-CN"/>
              </w:rPr>
            </w:pPr>
            <w:r w:rsidRPr="00F77964">
              <w:rPr>
                <w:rFonts w:eastAsia="SimSun"/>
                <w:sz w:val="18"/>
                <w:szCs w:val="18"/>
                <w:lang w:eastAsia="zh-CN"/>
              </w:rPr>
              <w:t>Examen en f</w:t>
            </w:r>
            <w:r w:rsidR="001D6913" w:rsidRPr="00F77964">
              <w:rPr>
                <w:rFonts w:eastAsia="SimSun"/>
                <w:sz w:val="18"/>
                <w:szCs w:val="18"/>
                <w:lang w:eastAsia="zh-CN"/>
              </w:rPr>
              <w:t>in de parcours</w:t>
            </w:r>
          </w:p>
        </w:tc>
        <w:tc>
          <w:tcPr>
            <w:tcW w:w="1780" w:type="dxa"/>
            <w:tcBorders>
              <w:top w:val="single" w:sz="4" w:space="0" w:color="auto"/>
              <w:left w:val="single" w:sz="4" w:space="0" w:color="auto"/>
              <w:bottom w:val="single" w:sz="4" w:space="0" w:color="auto"/>
              <w:right w:val="single" w:sz="4" w:space="0" w:color="auto"/>
            </w:tcBorders>
            <w:hideMark/>
          </w:tcPr>
          <w:p w:rsidR="001D6913" w:rsidRPr="00F77964" w:rsidRDefault="001D6913" w:rsidP="00E6534C">
            <w:pPr>
              <w:pStyle w:val="Normal-pool"/>
              <w:spacing w:before="40" w:after="40"/>
              <w:jc w:val="right"/>
              <w:rPr>
                <w:rFonts w:eastAsia="SimSun"/>
                <w:sz w:val="18"/>
                <w:szCs w:val="18"/>
                <w:lang w:eastAsia="zh-CN"/>
              </w:rPr>
            </w:pPr>
            <w:r w:rsidRPr="00F77964">
              <w:rPr>
                <w:rFonts w:eastAsia="SimSun"/>
                <w:sz w:val="18"/>
                <w:szCs w:val="18"/>
                <w:lang w:eastAsia="zh-CN"/>
              </w:rPr>
              <w:t>84</w:t>
            </w:r>
            <w:r w:rsidR="00E6534C" w:rsidRPr="00F77964">
              <w:rPr>
                <w:rFonts w:eastAsia="SimSun"/>
                <w:sz w:val="18"/>
                <w:szCs w:val="18"/>
                <w:lang w:eastAsia="zh-CN"/>
              </w:rPr>
              <w:t> </w:t>
            </w:r>
            <w:r w:rsidRPr="00F77964">
              <w:rPr>
                <w:rFonts w:eastAsia="SimSun"/>
                <w:sz w:val="18"/>
                <w:szCs w:val="18"/>
                <w:lang w:eastAsia="zh-CN"/>
              </w:rPr>
              <w:t>000</w:t>
            </w:r>
          </w:p>
        </w:tc>
      </w:tr>
      <w:tr w:rsidR="001D6913" w:rsidRPr="0061490E" w:rsidTr="001D6913">
        <w:tc>
          <w:tcPr>
            <w:tcW w:w="672" w:type="dxa"/>
            <w:tcBorders>
              <w:top w:val="single" w:sz="4" w:space="0" w:color="auto"/>
              <w:left w:val="single" w:sz="4" w:space="0" w:color="auto"/>
              <w:bottom w:val="single" w:sz="4" w:space="0" w:color="auto"/>
              <w:right w:val="single" w:sz="4" w:space="0" w:color="auto"/>
            </w:tcBorders>
            <w:hideMark/>
          </w:tcPr>
          <w:p w:rsidR="001D6913" w:rsidRPr="00F77964" w:rsidRDefault="001D6913" w:rsidP="001D6913">
            <w:pPr>
              <w:pStyle w:val="Normal-pool"/>
              <w:spacing w:before="40" w:after="40"/>
              <w:rPr>
                <w:rFonts w:eastAsia="SimSun"/>
                <w:b/>
                <w:sz w:val="18"/>
                <w:szCs w:val="18"/>
                <w:lang w:eastAsia="zh-CN"/>
              </w:rPr>
            </w:pPr>
            <w:r w:rsidRPr="00F77964">
              <w:rPr>
                <w:rFonts w:eastAsia="SimSun"/>
                <w:b/>
                <w:sz w:val="18"/>
                <w:szCs w:val="18"/>
                <w:lang w:eastAsia="zh-CN"/>
              </w:rPr>
              <w:t>Total</w:t>
            </w:r>
          </w:p>
        </w:tc>
        <w:tc>
          <w:tcPr>
            <w:tcW w:w="2929" w:type="dxa"/>
            <w:tcBorders>
              <w:top w:val="single" w:sz="4" w:space="0" w:color="auto"/>
              <w:left w:val="single" w:sz="4" w:space="0" w:color="auto"/>
              <w:bottom w:val="single" w:sz="4" w:space="0" w:color="auto"/>
              <w:right w:val="single" w:sz="4" w:space="0" w:color="auto"/>
            </w:tcBorders>
          </w:tcPr>
          <w:p w:rsidR="001D6913" w:rsidRPr="00F77964" w:rsidRDefault="001D6913" w:rsidP="001D6913">
            <w:pPr>
              <w:pStyle w:val="Normal-pool"/>
              <w:spacing w:before="40" w:after="40"/>
              <w:rPr>
                <w:rFonts w:eastAsia="SimSun"/>
                <w:b/>
                <w:sz w:val="18"/>
                <w:szCs w:val="18"/>
                <w:lang w:eastAsia="zh-CN"/>
              </w:rPr>
            </w:pPr>
          </w:p>
        </w:tc>
        <w:tc>
          <w:tcPr>
            <w:tcW w:w="3402" w:type="dxa"/>
            <w:tcBorders>
              <w:top w:val="single" w:sz="4" w:space="0" w:color="auto"/>
              <w:left w:val="single" w:sz="4" w:space="0" w:color="auto"/>
              <w:bottom w:val="single" w:sz="4" w:space="0" w:color="auto"/>
              <w:right w:val="single" w:sz="4" w:space="0" w:color="auto"/>
            </w:tcBorders>
          </w:tcPr>
          <w:p w:rsidR="001D6913" w:rsidRPr="00F77964" w:rsidRDefault="001D6913" w:rsidP="001D6913">
            <w:pPr>
              <w:pStyle w:val="Normal-pool"/>
              <w:spacing w:before="40" w:after="40"/>
              <w:rPr>
                <w:rFonts w:eastAsia="SimSun"/>
                <w:b/>
                <w:sz w:val="18"/>
                <w:szCs w:val="18"/>
                <w:lang w:eastAsia="zh-CN"/>
              </w:rPr>
            </w:pPr>
          </w:p>
        </w:tc>
        <w:tc>
          <w:tcPr>
            <w:tcW w:w="1780" w:type="dxa"/>
            <w:tcBorders>
              <w:top w:val="single" w:sz="4" w:space="0" w:color="auto"/>
              <w:left w:val="single" w:sz="4" w:space="0" w:color="auto"/>
              <w:bottom w:val="single" w:sz="4" w:space="0" w:color="auto"/>
              <w:right w:val="single" w:sz="4" w:space="0" w:color="auto"/>
            </w:tcBorders>
            <w:hideMark/>
          </w:tcPr>
          <w:p w:rsidR="001D6913" w:rsidRPr="00F77964" w:rsidRDefault="001D6913" w:rsidP="00E6534C">
            <w:pPr>
              <w:pStyle w:val="Normal-pool"/>
              <w:spacing w:before="40" w:after="40"/>
              <w:jc w:val="right"/>
              <w:rPr>
                <w:rFonts w:eastAsia="SimSun"/>
                <w:b/>
                <w:sz w:val="18"/>
                <w:szCs w:val="18"/>
                <w:lang w:eastAsia="zh-CN"/>
              </w:rPr>
            </w:pPr>
            <w:r w:rsidRPr="00F77964">
              <w:rPr>
                <w:rFonts w:eastAsia="SimSun"/>
                <w:b/>
                <w:sz w:val="18"/>
                <w:szCs w:val="18"/>
                <w:lang w:eastAsia="zh-CN"/>
              </w:rPr>
              <w:t>120</w:t>
            </w:r>
            <w:r w:rsidR="00E6534C" w:rsidRPr="00F77964">
              <w:rPr>
                <w:rFonts w:eastAsia="SimSun"/>
                <w:b/>
                <w:sz w:val="18"/>
                <w:szCs w:val="18"/>
                <w:lang w:eastAsia="zh-CN"/>
              </w:rPr>
              <w:t> </w:t>
            </w:r>
            <w:r w:rsidRPr="00F77964">
              <w:rPr>
                <w:rFonts w:eastAsia="SimSun"/>
                <w:b/>
                <w:sz w:val="18"/>
                <w:szCs w:val="18"/>
                <w:lang w:eastAsia="zh-CN"/>
              </w:rPr>
              <w:t>000</w:t>
            </w:r>
          </w:p>
        </w:tc>
      </w:tr>
    </w:tbl>
    <w:p w:rsidR="001D6913" w:rsidRPr="00F77964" w:rsidRDefault="001D6913" w:rsidP="001D6913">
      <w:pPr>
        <w:pStyle w:val="NormalNonumber"/>
        <w:keepNext/>
        <w:keepLines/>
        <w:spacing w:before="240" w:after="0"/>
        <w:rPr>
          <w:lang w:val="fr-FR"/>
        </w:rPr>
      </w:pPr>
      <w:r w:rsidRPr="00F77964">
        <w:rPr>
          <w:lang w:val="fr-FR"/>
        </w:rPr>
        <w:lastRenderedPageBreak/>
        <w:t xml:space="preserve">Tableau 1 </w:t>
      </w:r>
    </w:p>
    <w:p w:rsidR="001D6913" w:rsidRPr="00F77964" w:rsidRDefault="001D6913" w:rsidP="001D6913">
      <w:pPr>
        <w:pStyle w:val="NormalNonumber"/>
        <w:keepNext/>
        <w:keepLines/>
        <w:rPr>
          <w:rFonts w:eastAsia="SimSun"/>
          <w:b/>
          <w:lang w:val="fr-FR" w:eastAsia="zh-CN"/>
        </w:rPr>
      </w:pPr>
      <w:r w:rsidRPr="00F77964">
        <w:rPr>
          <w:rFonts w:eastAsia="SimSun"/>
          <w:b/>
          <w:lang w:val="fr-FR" w:eastAsia="zh-CN"/>
        </w:rPr>
        <w:t>Prévisions de coûts pour la mise en œuvre du programme de travail pour la période 2014–2018, par produit</w:t>
      </w:r>
    </w:p>
    <w:p w:rsidR="001D6913" w:rsidRPr="00F77964" w:rsidRDefault="001D6913" w:rsidP="001D6913">
      <w:pPr>
        <w:pStyle w:val="NormalNonumber"/>
        <w:keepNext/>
        <w:keepLines/>
        <w:rPr>
          <w:rFonts w:eastAsia="SimSun"/>
          <w:sz w:val="18"/>
          <w:szCs w:val="18"/>
          <w:lang w:val="fr-FR" w:eastAsia="zh-CN"/>
        </w:rPr>
      </w:pPr>
      <w:r w:rsidRPr="00F77964">
        <w:rPr>
          <w:rFonts w:eastAsia="SimSun"/>
          <w:sz w:val="18"/>
          <w:szCs w:val="18"/>
          <w:lang w:val="fr-FR" w:eastAsia="zh-CN"/>
        </w:rPr>
        <w:t>(</w:t>
      </w:r>
      <w:r w:rsidR="004F621B" w:rsidRPr="00F77964">
        <w:rPr>
          <w:rFonts w:eastAsia="SimSun"/>
          <w:sz w:val="18"/>
          <w:szCs w:val="18"/>
          <w:lang w:val="fr-FR" w:eastAsia="zh-CN"/>
        </w:rPr>
        <w:t>d</w:t>
      </w:r>
      <w:r w:rsidRPr="00F77964">
        <w:rPr>
          <w:rFonts w:eastAsia="SimSun"/>
          <w:sz w:val="18"/>
          <w:szCs w:val="18"/>
          <w:lang w:val="fr-FR" w:eastAsia="zh-CN"/>
        </w:rPr>
        <w:t>ollars des États-Unis)</w:t>
      </w:r>
    </w:p>
    <w:tbl>
      <w:tblPr>
        <w:tblW w:w="8790" w:type="dxa"/>
        <w:tblInd w:w="1248" w:type="dxa"/>
        <w:tblLayout w:type="fixed"/>
        <w:tblLook w:val="04A0" w:firstRow="1" w:lastRow="0" w:firstColumn="1" w:lastColumn="0" w:noHBand="0" w:noVBand="1"/>
      </w:tblPr>
      <w:tblGrid>
        <w:gridCol w:w="1255"/>
        <w:gridCol w:w="1256"/>
        <w:gridCol w:w="1256"/>
        <w:gridCol w:w="1255"/>
        <w:gridCol w:w="1256"/>
        <w:gridCol w:w="1256"/>
        <w:gridCol w:w="1256"/>
      </w:tblGrid>
      <w:tr w:rsidR="001D6913" w:rsidRPr="0061490E" w:rsidTr="001D6913">
        <w:trPr>
          <w:trHeight w:val="240"/>
          <w:tblHeader/>
        </w:trPr>
        <w:tc>
          <w:tcPr>
            <w:tcW w:w="1254" w:type="dxa"/>
            <w:tcBorders>
              <w:top w:val="single" w:sz="4" w:space="0" w:color="auto"/>
              <w:left w:val="single" w:sz="4" w:space="0" w:color="auto"/>
              <w:bottom w:val="single" w:sz="4" w:space="0" w:color="auto"/>
              <w:right w:val="nil"/>
            </w:tcBorders>
            <w:noWrap/>
            <w:vAlign w:val="bottom"/>
            <w:hideMark/>
          </w:tcPr>
          <w:p w:rsidR="001D6913" w:rsidRPr="00F77964" w:rsidRDefault="001D6913" w:rsidP="001D6913">
            <w:pPr>
              <w:pStyle w:val="Normal-pool"/>
              <w:keepNext/>
              <w:keepLines/>
              <w:spacing w:before="40" w:after="40"/>
              <w:rPr>
                <w:rFonts w:eastAsia="SimSun"/>
                <w:i/>
                <w:sz w:val="18"/>
                <w:szCs w:val="18"/>
                <w:lang w:eastAsia="zh-CN"/>
              </w:rPr>
            </w:pPr>
            <w:r w:rsidRPr="00F77964">
              <w:rPr>
                <w:rFonts w:eastAsia="SimSun"/>
                <w:i/>
                <w:sz w:val="18"/>
                <w:szCs w:val="18"/>
                <w:lang w:eastAsia="zh-CN"/>
              </w:rPr>
              <w:t>Produit</w:t>
            </w:r>
          </w:p>
        </w:tc>
        <w:tc>
          <w:tcPr>
            <w:tcW w:w="1255" w:type="dxa"/>
            <w:tcBorders>
              <w:top w:val="single" w:sz="4" w:space="0" w:color="auto"/>
              <w:left w:val="nil"/>
              <w:bottom w:val="single" w:sz="4" w:space="0" w:color="auto"/>
              <w:right w:val="nil"/>
            </w:tcBorders>
            <w:noWrap/>
            <w:vAlign w:val="bottom"/>
            <w:hideMark/>
          </w:tcPr>
          <w:p w:rsidR="001D6913" w:rsidRPr="00F77964" w:rsidRDefault="00D972E8" w:rsidP="001D6913">
            <w:pPr>
              <w:pStyle w:val="Normal-pool"/>
              <w:keepNext/>
              <w:keepLines/>
              <w:spacing w:before="40" w:after="40"/>
              <w:jc w:val="center"/>
              <w:rPr>
                <w:rFonts w:eastAsia="SimSun"/>
                <w:i/>
                <w:sz w:val="18"/>
                <w:szCs w:val="18"/>
                <w:lang w:eastAsia="zh-CN"/>
              </w:rPr>
            </w:pPr>
            <w:r>
              <w:rPr>
                <w:bCs/>
                <w:i/>
                <w:sz w:val="18"/>
                <w:szCs w:val="18"/>
              </w:rPr>
              <w:t xml:space="preserve"> </w:t>
            </w:r>
            <w:r w:rsidR="001D6913" w:rsidRPr="00F77964">
              <w:rPr>
                <w:bCs/>
                <w:i/>
                <w:sz w:val="18"/>
                <w:szCs w:val="18"/>
              </w:rPr>
              <w:t>2014</w:t>
            </w:r>
          </w:p>
        </w:tc>
        <w:tc>
          <w:tcPr>
            <w:tcW w:w="1255" w:type="dxa"/>
            <w:tcBorders>
              <w:top w:val="single" w:sz="4" w:space="0" w:color="auto"/>
              <w:left w:val="nil"/>
              <w:bottom w:val="single" w:sz="4" w:space="0" w:color="auto"/>
              <w:right w:val="nil"/>
            </w:tcBorders>
            <w:noWrap/>
            <w:vAlign w:val="bottom"/>
            <w:hideMark/>
          </w:tcPr>
          <w:p w:rsidR="001D6913" w:rsidRPr="00F77964" w:rsidRDefault="00D972E8" w:rsidP="001D6913">
            <w:pPr>
              <w:pStyle w:val="Normal-pool"/>
              <w:keepNext/>
              <w:keepLines/>
              <w:spacing w:before="40" w:after="40"/>
              <w:rPr>
                <w:rFonts w:eastAsia="SimSun"/>
                <w:i/>
                <w:sz w:val="18"/>
                <w:szCs w:val="18"/>
                <w:lang w:eastAsia="zh-CN"/>
              </w:rPr>
            </w:pPr>
            <w:r>
              <w:rPr>
                <w:rFonts w:eastAsia="SimSun"/>
                <w:i/>
                <w:sz w:val="18"/>
                <w:szCs w:val="18"/>
                <w:lang w:eastAsia="zh-CN"/>
              </w:rPr>
              <w:t xml:space="preserve"> </w:t>
            </w:r>
            <w:r w:rsidR="001D6913" w:rsidRPr="00F77964">
              <w:rPr>
                <w:bCs/>
                <w:i/>
                <w:sz w:val="18"/>
                <w:szCs w:val="18"/>
              </w:rPr>
              <w:t>2015</w:t>
            </w:r>
          </w:p>
        </w:tc>
        <w:tc>
          <w:tcPr>
            <w:tcW w:w="1254" w:type="dxa"/>
            <w:tcBorders>
              <w:top w:val="single" w:sz="4" w:space="0" w:color="auto"/>
              <w:left w:val="nil"/>
              <w:bottom w:val="single" w:sz="4" w:space="0" w:color="auto"/>
              <w:right w:val="nil"/>
            </w:tcBorders>
            <w:noWrap/>
            <w:vAlign w:val="bottom"/>
            <w:hideMark/>
          </w:tcPr>
          <w:p w:rsidR="001D6913" w:rsidRPr="00F77964" w:rsidRDefault="00D972E8" w:rsidP="001D6913">
            <w:pPr>
              <w:pStyle w:val="Normal-pool"/>
              <w:keepNext/>
              <w:keepLines/>
              <w:spacing w:before="40" w:after="40"/>
              <w:rPr>
                <w:rFonts w:eastAsia="SimSun"/>
                <w:i/>
                <w:sz w:val="18"/>
                <w:szCs w:val="18"/>
                <w:lang w:eastAsia="zh-CN"/>
              </w:rPr>
            </w:pPr>
            <w:r>
              <w:rPr>
                <w:rFonts w:eastAsia="SimSun"/>
                <w:i/>
                <w:sz w:val="18"/>
                <w:szCs w:val="18"/>
                <w:lang w:eastAsia="zh-CN"/>
              </w:rPr>
              <w:t xml:space="preserve"> </w:t>
            </w:r>
            <w:r w:rsidR="001D6913" w:rsidRPr="00F77964">
              <w:rPr>
                <w:bCs/>
                <w:i/>
                <w:sz w:val="18"/>
                <w:szCs w:val="18"/>
              </w:rPr>
              <w:t>2016</w:t>
            </w:r>
          </w:p>
        </w:tc>
        <w:tc>
          <w:tcPr>
            <w:tcW w:w="1255" w:type="dxa"/>
            <w:tcBorders>
              <w:top w:val="single" w:sz="4" w:space="0" w:color="auto"/>
              <w:left w:val="nil"/>
              <w:bottom w:val="single" w:sz="4" w:space="0" w:color="auto"/>
              <w:right w:val="nil"/>
            </w:tcBorders>
            <w:noWrap/>
            <w:vAlign w:val="bottom"/>
            <w:hideMark/>
          </w:tcPr>
          <w:p w:rsidR="001D6913" w:rsidRPr="00F77964" w:rsidRDefault="00D972E8" w:rsidP="001D6913">
            <w:pPr>
              <w:pStyle w:val="Normal-pool"/>
              <w:keepNext/>
              <w:keepLines/>
              <w:spacing w:before="40" w:after="40"/>
              <w:rPr>
                <w:rFonts w:eastAsia="SimSun"/>
                <w:i/>
                <w:sz w:val="18"/>
                <w:szCs w:val="18"/>
                <w:lang w:eastAsia="zh-CN"/>
              </w:rPr>
            </w:pPr>
            <w:r>
              <w:rPr>
                <w:rFonts w:eastAsia="SimSun"/>
                <w:i/>
                <w:sz w:val="18"/>
                <w:szCs w:val="18"/>
                <w:lang w:eastAsia="zh-CN"/>
              </w:rPr>
              <w:t xml:space="preserve"> </w:t>
            </w:r>
            <w:r w:rsidR="001D6913" w:rsidRPr="00F77964">
              <w:rPr>
                <w:bCs/>
                <w:i/>
                <w:sz w:val="18"/>
                <w:szCs w:val="18"/>
              </w:rPr>
              <w:t>2017</w:t>
            </w:r>
          </w:p>
        </w:tc>
        <w:tc>
          <w:tcPr>
            <w:tcW w:w="1255" w:type="dxa"/>
            <w:tcBorders>
              <w:top w:val="single" w:sz="4" w:space="0" w:color="auto"/>
              <w:left w:val="nil"/>
              <w:bottom w:val="single" w:sz="4" w:space="0" w:color="auto"/>
              <w:right w:val="nil"/>
            </w:tcBorders>
            <w:noWrap/>
            <w:vAlign w:val="bottom"/>
            <w:hideMark/>
          </w:tcPr>
          <w:p w:rsidR="001D6913" w:rsidRPr="00F77964" w:rsidRDefault="001D6913" w:rsidP="001D6913">
            <w:pPr>
              <w:pStyle w:val="Normal-pool"/>
              <w:keepNext/>
              <w:keepLines/>
              <w:spacing w:before="40" w:after="40"/>
              <w:rPr>
                <w:rFonts w:eastAsia="SimSun"/>
                <w:i/>
                <w:sz w:val="18"/>
                <w:szCs w:val="18"/>
                <w:lang w:eastAsia="zh-CN"/>
              </w:rPr>
            </w:pPr>
            <w:r w:rsidRPr="00F77964">
              <w:rPr>
                <w:bCs/>
                <w:i/>
                <w:sz w:val="18"/>
                <w:szCs w:val="18"/>
              </w:rPr>
              <w:t>2018</w:t>
            </w:r>
          </w:p>
        </w:tc>
        <w:tc>
          <w:tcPr>
            <w:tcW w:w="1255" w:type="dxa"/>
            <w:tcBorders>
              <w:top w:val="single" w:sz="4" w:space="0" w:color="auto"/>
              <w:left w:val="nil"/>
              <w:bottom w:val="single" w:sz="4" w:space="0" w:color="auto"/>
              <w:right w:val="single" w:sz="4" w:space="0" w:color="auto"/>
            </w:tcBorders>
            <w:noWrap/>
            <w:vAlign w:val="bottom"/>
            <w:hideMark/>
          </w:tcPr>
          <w:p w:rsidR="001D6913" w:rsidRPr="00F77964" w:rsidRDefault="00D972E8" w:rsidP="001D6913">
            <w:pPr>
              <w:pStyle w:val="Normal-pool"/>
              <w:keepNext/>
              <w:keepLines/>
              <w:spacing w:before="40" w:after="40"/>
              <w:rPr>
                <w:rFonts w:eastAsia="SimSun"/>
                <w:i/>
                <w:sz w:val="18"/>
                <w:szCs w:val="18"/>
                <w:lang w:eastAsia="zh-CN"/>
              </w:rPr>
            </w:pPr>
            <w:r>
              <w:rPr>
                <w:rFonts w:eastAsia="SimSun"/>
                <w:i/>
                <w:sz w:val="18"/>
                <w:szCs w:val="18"/>
                <w:lang w:eastAsia="zh-CN"/>
              </w:rPr>
              <w:t xml:space="preserve"> </w:t>
            </w:r>
            <w:r w:rsidR="001D6913" w:rsidRPr="00F77964">
              <w:rPr>
                <w:bCs/>
                <w:i/>
                <w:sz w:val="18"/>
                <w:szCs w:val="18"/>
              </w:rPr>
              <w:t>2014-2018</w:t>
            </w:r>
          </w:p>
        </w:tc>
      </w:tr>
      <w:tr w:rsidR="001D6913" w:rsidRPr="0061490E" w:rsidTr="001D6913">
        <w:trPr>
          <w:trHeight w:val="300"/>
        </w:trPr>
        <w:tc>
          <w:tcPr>
            <w:tcW w:w="1254" w:type="dxa"/>
            <w:tcBorders>
              <w:top w:val="single" w:sz="4" w:space="0" w:color="auto"/>
              <w:left w:val="single" w:sz="4" w:space="0" w:color="auto"/>
              <w:bottom w:val="nil"/>
              <w:right w:val="nil"/>
            </w:tcBorders>
            <w:noWrap/>
            <w:vAlign w:val="bottom"/>
            <w:hideMark/>
          </w:tcPr>
          <w:p w:rsidR="001D6913" w:rsidRPr="0061490E" w:rsidRDefault="001D6913" w:rsidP="001D6913">
            <w:pPr>
              <w:keepNext/>
              <w:keepLines/>
              <w:rPr>
                <w:rFonts w:eastAsia="Times New Roman"/>
                <w:color w:val="000000"/>
                <w:sz w:val="18"/>
                <w:szCs w:val="18"/>
              </w:rPr>
            </w:pPr>
            <w:r w:rsidRPr="0061490E">
              <w:rPr>
                <w:rFonts w:eastAsia="Times New Roman"/>
                <w:color w:val="000000"/>
                <w:sz w:val="18"/>
                <w:szCs w:val="18"/>
              </w:rPr>
              <w:t> </w:t>
            </w:r>
          </w:p>
        </w:tc>
        <w:tc>
          <w:tcPr>
            <w:tcW w:w="1255" w:type="dxa"/>
            <w:tcBorders>
              <w:top w:val="single" w:sz="4" w:space="0" w:color="auto"/>
              <w:left w:val="nil"/>
              <w:bottom w:val="nil"/>
              <w:right w:val="nil"/>
            </w:tcBorders>
            <w:noWrap/>
            <w:vAlign w:val="bottom"/>
            <w:hideMark/>
          </w:tcPr>
          <w:p w:rsidR="001D6913" w:rsidRPr="0061490E" w:rsidRDefault="001D6913" w:rsidP="001D6913">
            <w:pPr>
              <w:rPr>
                <w:lang w:eastAsia="fr-FR"/>
              </w:rPr>
            </w:pPr>
          </w:p>
        </w:tc>
        <w:tc>
          <w:tcPr>
            <w:tcW w:w="1255" w:type="dxa"/>
            <w:tcBorders>
              <w:top w:val="single" w:sz="4" w:space="0" w:color="auto"/>
              <w:left w:val="nil"/>
              <w:bottom w:val="nil"/>
              <w:right w:val="nil"/>
            </w:tcBorders>
            <w:noWrap/>
            <w:vAlign w:val="bottom"/>
            <w:hideMark/>
          </w:tcPr>
          <w:p w:rsidR="001D6913" w:rsidRPr="0061490E" w:rsidRDefault="001D6913" w:rsidP="001D6913">
            <w:pPr>
              <w:rPr>
                <w:lang w:eastAsia="fr-FR"/>
              </w:rPr>
            </w:pPr>
          </w:p>
        </w:tc>
        <w:tc>
          <w:tcPr>
            <w:tcW w:w="1254" w:type="dxa"/>
            <w:tcBorders>
              <w:top w:val="single" w:sz="4" w:space="0" w:color="auto"/>
              <w:left w:val="nil"/>
              <w:bottom w:val="nil"/>
              <w:right w:val="nil"/>
            </w:tcBorders>
            <w:noWrap/>
            <w:vAlign w:val="bottom"/>
            <w:hideMark/>
          </w:tcPr>
          <w:p w:rsidR="001D6913" w:rsidRPr="0061490E" w:rsidRDefault="001D6913" w:rsidP="001D6913">
            <w:pPr>
              <w:rPr>
                <w:lang w:eastAsia="fr-FR"/>
              </w:rPr>
            </w:pPr>
          </w:p>
        </w:tc>
        <w:tc>
          <w:tcPr>
            <w:tcW w:w="1255" w:type="dxa"/>
            <w:tcBorders>
              <w:top w:val="single" w:sz="4" w:space="0" w:color="auto"/>
              <w:left w:val="nil"/>
              <w:bottom w:val="nil"/>
              <w:right w:val="nil"/>
            </w:tcBorders>
            <w:noWrap/>
            <w:vAlign w:val="bottom"/>
            <w:hideMark/>
          </w:tcPr>
          <w:p w:rsidR="001D6913" w:rsidRPr="0061490E" w:rsidRDefault="001D6913" w:rsidP="001D6913">
            <w:pPr>
              <w:rPr>
                <w:lang w:eastAsia="fr-FR"/>
              </w:rPr>
            </w:pPr>
          </w:p>
        </w:tc>
        <w:tc>
          <w:tcPr>
            <w:tcW w:w="1255" w:type="dxa"/>
            <w:tcBorders>
              <w:top w:val="single" w:sz="4" w:space="0" w:color="auto"/>
              <w:left w:val="nil"/>
              <w:bottom w:val="nil"/>
              <w:right w:val="nil"/>
            </w:tcBorders>
            <w:noWrap/>
            <w:vAlign w:val="bottom"/>
            <w:hideMark/>
          </w:tcPr>
          <w:p w:rsidR="001D6913" w:rsidRPr="0061490E" w:rsidRDefault="001D6913" w:rsidP="001D6913">
            <w:pPr>
              <w:rPr>
                <w:lang w:eastAsia="fr-FR"/>
              </w:rPr>
            </w:pPr>
          </w:p>
        </w:tc>
        <w:tc>
          <w:tcPr>
            <w:tcW w:w="1255" w:type="dxa"/>
            <w:tcBorders>
              <w:top w:val="single" w:sz="4" w:space="0" w:color="auto"/>
              <w:left w:val="nil"/>
              <w:bottom w:val="nil"/>
              <w:right w:val="single" w:sz="4" w:space="0" w:color="auto"/>
            </w:tcBorders>
            <w:shd w:val="clear" w:color="auto" w:fill="FFFFFF"/>
            <w:noWrap/>
            <w:vAlign w:val="bottom"/>
            <w:hideMark/>
          </w:tcPr>
          <w:p w:rsidR="001D6913" w:rsidRPr="0061490E" w:rsidRDefault="001D6913" w:rsidP="001D6913">
            <w:pPr>
              <w:rPr>
                <w:lang w:eastAsia="fr-FR"/>
              </w:rPr>
            </w:pPr>
          </w:p>
        </w:tc>
      </w:tr>
      <w:tr w:rsidR="001D6913" w:rsidRPr="0061490E" w:rsidTr="001D6913">
        <w:trPr>
          <w:trHeight w:val="240"/>
        </w:trPr>
        <w:tc>
          <w:tcPr>
            <w:tcW w:w="1254" w:type="dxa"/>
            <w:tcBorders>
              <w:top w:val="nil"/>
              <w:left w:val="single" w:sz="4" w:space="0" w:color="auto"/>
              <w:bottom w:val="nil"/>
              <w:right w:val="nil"/>
            </w:tcBorders>
            <w:noWrap/>
            <w:vAlign w:val="bottom"/>
            <w:hideMark/>
          </w:tcPr>
          <w:p w:rsidR="001D6913" w:rsidRPr="00F77964" w:rsidRDefault="001D6913" w:rsidP="004F621B">
            <w:pPr>
              <w:pStyle w:val="Normal-pool"/>
              <w:keepNext/>
              <w:keepLines/>
              <w:spacing w:before="40" w:after="40"/>
              <w:rPr>
                <w:rFonts w:eastAsia="SimSun"/>
                <w:sz w:val="18"/>
                <w:szCs w:val="18"/>
                <w:lang w:eastAsia="zh-CN"/>
              </w:rPr>
            </w:pPr>
            <w:r w:rsidRPr="00F77964">
              <w:rPr>
                <w:rFonts w:eastAsia="SimSun"/>
                <w:sz w:val="18"/>
                <w:szCs w:val="18"/>
                <w:lang w:eastAsia="zh-CN"/>
              </w:rPr>
              <w:t>1</w:t>
            </w:r>
            <w:r w:rsidR="004F621B" w:rsidRPr="00F77964">
              <w:rPr>
                <w:rFonts w:eastAsia="SimSun"/>
                <w:sz w:val="18"/>
                <w:szCs w:val="18"/>
                <w:lang w:eastAsia="zh-CN"/>
              </w:rPr>
              <w:t> </w:t>
            </w:r>
            <w:r w:rsidRPr="00F77964">
              <w:rPr>
                <w:rFonts w:eastAsia="SimSun"/>
                <w:sz w:val="18"/>
                <w:szCs w:val="18"/>
                <w:lang w:eastAsia="zh-CN"/>
              </w:rPr>
              <w:t>a)</w:t>
            </w:r>
          </w:p>
        </w:tc>
        <w:tc>
          <w:tcPr>
            <w:tcW w:w="1255" w:type="dxa"/>
            <w:noWrap/>
            <w:vAlign w:val="bottom"/>
            <w:hideMark/>
          </w:tcPr>
          <w:p w:rsidR="001D6913" w:rsidRPr="00F77964" w:rsidRDefault="001D6913" w:rsidP="004F621B">
            <w:pPr>
              <w:pStyle w:val="Normal-pool"/>
              <w:keepNext/>
              <w:keepLines/>
              <w:spacing w:before="40" w:after="40"/>
              <w:jc w:val="right"/>
              <w:rPr>
                <w:rFonts w:eastAsia="SimSun"/>
                <w:sz w:val="18"/>
                <w:szCs w:val="18"/>
                <w:lang w:eastAsia="zh-CN"/>
              </w:rPr>
            </w:pPr>
            <w:r w:rsidRPr="00F77964">
              <w:rPr>
                <w:rFonts w:eastAsia="SimSun"/>
                <w:sz w:val="18"/>
                <w:szCs w:val="18"/>
                <w:lang w:eastAsia="zh-CN"/>
              </w:rPr>
              <w:t>258</w:t>
            </w:r>
            <w:r w:rsidR="004F621B" w:rsidRPr="00F77964">
              <w:rPr>
                <w:rFonts w:eastAsia="SimSun"/>
                <w:sz w:val="18"/>
                <w:szCs w:val="18"/>
                <w:lang w:eastAsia="zh-CN"/>
              </w:rPr>
              <w:t> </w:t>
            </w:r>
            <w:r w:rsidRPr="00F77964">
              <w:rPr>
                <w:rFonts w:eastAsia="SimSun"/>
                <w:sz w:val="18"/>
                <w:szCs w:val="18"/>
                <w:lang w:eastAsia="zh-CN"/>
              </w:rPr>
              <w:t>750</w:t>
            </w:r>
          </w:p>
        </w:tc>
        <w:tc>
          <w:tcPr>
            <w:tcW w:w="1255" w:type="dxa"/>
            <w:noWrap/>
            <w:vAlign w:val="bottom"/>
            <w:hideMark/>
          </w:tcPr>
          <w:p w:rsidR="001D6913" w:rsidRPr="00F77964" w:rsidRDefault="001D6913" w:rsidP="004F621B">
            <w:pPr>
              <w:pStyle w:val="Normal-pool"/>
              <w:keepNext/>
              <w:keepLines/>
              <w:spacing w:before="40" w:after="40"/>
              <w:jc w:val="right"/>
              <w:rPr>
                <w:rFonts w:eastAsia="SimSun"/>
                <w:sz w:val="18"/>
                <w:szCs w:val="18"/>
                <w:lang w:eastAsia="zh-CN"/>
              </w:rPr>
            </w:pPr>
            <w:r w:rsidRPr="00F77964">
              <w:rPr>
                <w:rFonts w:eastAsia="SimSun"/>
                <w:sz w:val="18"/>
                <w:szCs w:val="18"/>
                <w:lang w:eastAsia="zh-CN"/>
              </w:rPr>
              <w:t>172</w:t>
            </w:r>
            <w:r w:rsidR="004F621B" w:rsidRPr="00F77964">
              <w:rPr>
                <w:rFonts w:eastAsia="SimSun"/>
                <w:sz w:val="18"/>
                <w:szCs w:val="18"/>
                <w:lang w:eastAsia="zh-CN"/>
              </w:rPr>
              <w:t> </w:t>
            </w:r>
            <w:r w:rsidRPr="00F77964">
              <w:rPr>
                <w:rFonts w:eastAsia="SimSun"/>
                <w:sz w:val="18"/>
                <w:szCs w:val="18"/>
                <w:lang w:eastAsia="zh-CN"/>
              </w:rPr>
              <w:t>500</w:t>
            </w:r>
          </w:p>
        </w:tc>
        <w:tc>
          <w:tcPr>
            <w:tcW w:w="1254" w:type="dxa"/>
            <w:noWrap/>
            <w:vAlign w:val="bottom"/>
            <w:hideMark/>
          </w:tcPr>
          <w:p w:rsidR="001D6913" w:rsidRPr="00F77964" w:rsidRDefault="001D6913" w:rsidP="004F621B">
            <w:pPr>
              <w:pStyle w:val="Normal-pool"/>
              <w:keepNext/>
              <w:keepLines/>
              <w:spacing w:before="40" w:after="40"/>
              <w:jc w:val="right"/>
              <w:rPr>
                <w:rFonts w:eastAsia="SimSun"/>
                <w:sz w:val="18"/>
                <w:szCs w:val="18"/>
                <w:lang w:eastAsia="zh-CN"/>
              </w:rPr>
            </w:pPr>
            <w:r w:rsidRPr="00F77964">
              <w:rPr>
                <w:rFonts w:eastAsia="SimSun"/>
                <w:sz w:val="18"/>
                <w:szCs w:val="18"/>
                <w:lang w:eastAsia="zh-CN"/>
              </w:rPr>
              <w:t>258</w:t>
            </w:r>
            <w:r w:rsidR="004F621B" w:rsidRPr="00F77964">
              <w:rPr>
                <w:rFonts w:eastAsia="SimSun"/>
                <w:sz w:val="18"/>
                <w:szCs w:val="18"/>
                <w:lang w:eastAsia="zh-CN"/>
              </w:rPr>
              <w:t> </w:t>
            </w:r>
            <w:r w:rsidRPr="00F77964">
              <w:rPr>
                <w:rFonts w:eastAsia="SimSun"/>
                <w:sz w:val="18"/>
                <w:szCs w:val="18"/>
                <w:lang w:eastAsia="zh-CN"/>
              </w:rPr>
              <w:t>750</w:t>
            </w:r>
          </w:p>
        </w:tc>
        <w:tc>
          <w:tcPr>
            <w:tcW w:w="1255" w:type="dxa"/>
            <w:noWrap/>
            <w:vAlign w:val="bottom"/>
            <w:hideMark/>
          </w:tcPr>
          <w:p w:rsidR="001D6913" w:rsidRPr="00F77964" w:rsidRDefault="001D6913" w:rsidP="004F621B">
            <w:pPr>
              <w:pStyle w:val="Normal-pool"/>
              <w:keepNext/>
              <w:keepLines/>
              <w:spacing w:before="40" w:after="40"/>
              <w:jc w:val="right"/>
              <w:rPr>
                <w:rFonts w:eastAsia="SimSun"/>
                <w:sz w:val="18"/>
                <w:szCs w:val="18"/>
                <w:lang w:eastAsia="zh-CN"/>
              </w:rPr>
            </w:pPr>
            <w:r w:rsidRPr="00F77964">
              <w:rPr>
                <w:rFonts w:eastAsia="SimSun"/>
                <w:sz w:val="18"/>
                <w:szCs w:val="18"/>
                <w:lang w:eastAsia="zh-CN"/>
              </w:rPr>
              <w:t>172</w:t>
            </w:r>
            <w:r w:rsidR="004F621B" w:rsidRPr="00F77964">
              <w:rPr>
                <w:rFonts w:eastAsia="SimSun"/>
                <w:sz w:val="18"/>
                <w:szCs w:val="18"/>
                <w:lang w:eastAsia="zh-CN"/>
              </w:rPr>
              <w:t> </w:t>
            </w:r>
            <w:r w:rsidRPr="00F77964">
              <w:rPr>
                <w:rFonts w:eastAsia="SimSun"/>
                <w:sz w:val="18"/>
                <w:szCs w:val="18"/>
                <w:lang w:eastAsia="zh-CN"/>
              </w:rPr>
              <w:t>500</w:t>
            </w:r>
          </w:p>
        </w:tc>
        <w:tc>
          <w:tcPr>
            <w:tcW w:w="1255" w:type="dxa"/>
            <w:noWrap/>
            <w:vAlign w:val="bottom"/>
            <w:hideMark/>
          </w:tcPr>
          <w:p w:rsidR="001D6913" w:rsidRPr="00F77964" w:rsidRDefault="001D6913" w:rsidP="004F621B">
            <w:pPr>
              <w:pStyle w:val="Normal-pool"/>
              <w:keepNext/>
              <w:keepLines/>
              <w:spacing w:before="40" w:after="40"/>
              <w:jc w:val="right"/>
              <w:rPr>
                <w:rFonts w:eastAsia="SimSun"/>
                <w:sz w:val="18"/>
                <w:szCs w:val="18"/>
                <w:lang w:eastAsia="zh-CN"/>
              </w:rPr>
            </w:pPr>
            <w:r w:rsidRPr="00F77964">
              <w:rPr>
                <w:rFonts w:eastAsia="SimSun"/>
                <w:sz w:val="18"/>
                <w:szCs w:val="18"/>
                <w:lang w:eastAsia="zh-CN"/>
              </w:rPr>
              <w:t>258</w:t>
            </w:r>
            <w:r w:rsidR="004F621B" w:rsidRPr="00F77964">
              <w:rPr>
                <w:rFonts w:eastAsia="SimSun"/>
                <w:sz w:val="18"/>
                <w:szCs w:val="18"/>
                <w:lang w:eastAsia="zh-CN"/>
              </w:rPr>
              <w:t> </w:t>
            </w:r>
            <w:r w:rsidRPr="00F77964">
              <w:rPr>
                <w:rFonts w:eastAsia="SimSun"/>
                <w:sz w:val="18"/>
                <w:szCs w:val="18"/>
                <w:lang w:eastAsia="zh-CN"/>
              </w:rPr>
              <w:t>750</w:t>
            </w:r>
          </w:p>
        </w:tc>
        <w:tc>
          <w:tcPr>
            <w:tcW w:w="1255" w:type="dxa"/>
            <w:tcBorders>
              <w:top w:val="nil"/>
              <w:left w:val="nil"/>
              <w:bottom w:val="nil"/>
              <w:right w:val="single" w:sz="4" w:space="0" w:color="auto"/>
            </w:tcBorders>
            <w:shd w:val="clear" w:color="auto" w:fill="FFFFFF"/>
            <w:noWrap/>
            <w:vAlign w:val="bottom"/>
            <w:hideMark/>
          </w:tcPr>
          <w:p w:rsidR="001D6913" w:rsidRPr="00F77964" w:rsidRDefault="001D6913" w:rsidP="004F621B">
            <w:pPr>
              <w:pStyle w:val="Normal-pool"/>
              <w:keepNext/>
              <w:keepLines/>
              <w:spacing w:before="40" w:after="40"/>
              <w:jc w:val="right"/>
              <w:rPr>
                <w:rFonts w:eastAsia="SimSun"/>
                <w:b/>
                <w:sz w:val="18"/>
                <w:szCs w:val="18"/>
                <w:lang w:eastAsia="zh-CN"/>
              </w:rPr>
            </w:pPr>
            <w:r w:rsidRPr="00F77964">
              <w:rPr>
                <w:rFonts w:eastAsia="SimSun"/>
                <w:b/>
                <w:sz w:val="18"/>
                <w:szCs w:val="18"/>
                <w:lang w:eastAsia="zh-CN"/>
              </w:rPr>
              <w:t>1</w:t>
            </w:r>
            <w:r w:rsidR="004F621B" w:rsidRPr="00F77964">
              <w:rPr>
                <w:rFonts w:eastAsia="SimSun"/>
                <w:b/>
                <w:sz w:val="18"/>
                <w:szCs w:val="18"/>
                <w:lang w:eastAsia="zh-CN"/>
              </w:rPr>
              <w:t> </w:t>
            </w:r>
            <w:r w:rsidRPr="00F77964">
              <w:rPr>
                <w:rFonts w:eastAsia="SimSun"/>
                <w:b/>
                <w:sz w:val="18"/>
                <w:szCs w:val="18"/>
                <w:lang w:eastAsia="zh-CN"/>
              </w:rPr>
              <w:t>121</w:t>
            </w:r>
            <w:r w:rsidR="004F621B" w:rsidRPr="00F77964">
              <w:rPr>
                <w:rFonts w:eastAsia="SimSun"/>
                <w:b/>
                <w:sz w:val="18"/>
                <w:szCs w:val="18"/>
                <w:lang w:eastAsia="zh-CN"/>
              </w:rPr>
              <w:t> </w:t>
            </w:r>
            <w:r w:rsidRPr="00F77964">
              <w:rPr>
                <w:rFonts w:eastAsia="SimSun"/>
                <w:b/>
                <w:sz w:val="18"/>
                <w:szCs w:val="18"/>
                <w:lang w:eastAsia="zh-CN"/>
              </w:rPr>
              <w:t>250</w:t>
            </w:r>
          </w:p>
        </w:tc>
      </w:tr>
      <w:tr w:rsidR="001D6913" w:rsidRPr="0061490E" w:rsidTr="001D6913">
        <w:trPr>
          <w:trHeight w:val="240"/>
        </w:trPr>
        <w:tc>
          <w:tcPr>
            <w:tcW w:w="1254" w:type="dxa"/>
            <w:tcBorders>
              <w:top w:val="nil"/>
              <w:left w:val="single" w:sz="4" w:space="0" w:color="auto"/>
              <w:bottom w:val="nil"/>
              <w:right w:val="nil"/>
            </w:tcBorders>
            <w:noWrap/>
            <w:vAlign w:val="bottom"/>
            <w:hideMark/>
          </w:tcPr>
          <w:p w:rsidR="001D6913" w:rsidRPr="00F77964" w:rsidRDefault="001D6913" w:rsidP="004F621B">
            <w:pPr>
              <w:pStyle w:val="Normal-pool"/>
              <w:keepNext/>
              <w:keepLines/>
              <w:spacing w:before="40" w:after="40"/>
              <w:rPr>
                <w:rFonts w:eastAsia="SimSun"/>
                <w:sz w:val="18"/>
                <w:szCs w:val="18"/>
                <w:lang w:eastAsia="zh-CN"/>
              </w:rPr>
            </w:pPr>
            <w:r w:rsidRPr="00F77964">
              <w:rPr>
                <w:rFonts w:eastAsia="SimSun"/>
                <w:sz w:val="18"/>
                <w:szCs w:val="18"/>
                <w:lang w:eastAsia="zh-CN"/>
              </w:rPr>
              <w:t>1</w:t>
            </w:r>
            <w:r w:rsidR="004F621B" w:rsidRPr="00F77964">
              <w:rPr>
                <w:rFonts w:eastAsia="SimSun"/>
                <w:sz w:val="18"/>
                <w:szCs w:val="18"/>
                <w:lang w:eastAsia="zh-CN"/>
              </w:rPr>
              <w:t> </w:t>
            </w:r>
            <w:r w:rsidRPr="00F77964">
              <w:rPr>
                <w:rFonts w:eastAsia="SimSun"/>
                <w:sz w:val="18"/>
                <w:szCs w:val="18"/>
                <w:lang w:eastAsia="zh-CN"/>
              </w:rPr>
              <w:t>b)</w:t>
            </w:r>
          </w:p>
        </w:tc>
        <w:tc>
          <w:tcPr>
            <w:tcW w:w="1255" w:type="dxa"/>
            <w:noWrap/>
            <w:vAlign w:val="bottom"/>
            <w:hideMark/>
          </w:tcPr>
          <w:p w:rsidR="001D6913" w:rsidRPr="00F77964" w:rsidRDefault="001D6913" w:rsidP="004F621B">
            <w:pPr>
              <w:pStyle w:val="Normal-pool"/>
              <w:keepNext/>
              <w:keepLines/>
              <w:spacing w:before="40" w:after="40"/>
              <w:jc w:val="right"/>
              <w:rPr>
                <w:rFonts w:eastAsia="SimSun"/>
                <w:sz w:val="18"/>
                <w:szCs w:val="18"/>
                <w:lang w:eastAsia="zh-CN"/>
              </w:rPr>
            </w:pPr>
            <w:r w:rsidRPr="00F77964">
              <w:rPr>
                <w:rFonts w:eastAsia="SimSun"/>
                <w:sz w:val="18"/>
                <w:szCs w:val="18"/>
                <w:lang w:eastAsia="zh-CN"/>
              </w:rPr>
              <w:t>450</w:t>
            </w:r>
            <w:r w:rsidR="004F621B" w:rsidRPr="00F77964">
              <w:rPr>
                <w:rFonts w:eastAsia="SimSun"/>
                <w:sz w:val="18"/>
                <w:szCs w:val="18"/>
                <w:lang w:eastAsia="zh-CN"/>
              </w:rPr>
              <w:t> </w:t>
            </w:r>
            <w:r w:rsidRPr="00F77964">
              <w:rPr>
                <w:rFonts w:eastAsia="SimSun"/>
                <w:sz w:val="18"/>
                <w:szCs w:val="18"/>
                <w:lang w:eastAsia="zh-CN"/>
              </w:rPr>
              <w:t>000</w:t>
            </w:r>
          </w:p>
        </w:tc>
        <w:tc>
          <w:tcPr>
            <w:tcW w:w="1255" w:type="dxa"/>
            <w:noWrap/>
            <w:vAlign w:val="bottom"/>
            <w:hideMark/>
          </w:tcPr>
          <w:p w:rsidR="001D6913" w:rsidRPr="00F77964" w:rsidRDefault="001D6913" w:rsidP="001D6913">
            <w:pPr>
              <w:pStyle w:val="Normal-pool"/>
              <w:keepNext/>
              <w:keepLines/>
              <w:spacing w:before="40" w:after="40"/>
              <w:jc w:val="right"/>
              <w:rPr>
                <w:rFonts w:eastAsia="SimSun"/>
                <w:sz w:val="18"/>
                <w:szCs w:val="18"/>
                <w:lang w:eastAsia="zh-CN"/>
              </w:rPr>
            </w:pPr>
            <w:r w:rsidRPr="00F77964">
              <w:rPr>
                <w:rFonts w:eastAsia="SimSun"/>
                <w:sz w:val="18"/>
                <w:szCs w:val="18"/>
                <w:lang w:eastAsia="zh-CN"/>
              </w:rPr>
              <w:t>450</w:t>
            </w:r>
            <w:r w:rsidR="00D972E8">
              <w:rPr>
                <w:rFonts w:eastAsia="SimSun"/>
                <w:sz w:val="18"/>
                <w:szCs w:val="18"/>
                <w:lang w:eastAsia="zh-CN"/>
              </w:rPr>
              <w:t xml:space="preserve"> </w:t>
            </w:r>
            <w:r w:rsidRPr="00F77964">
              <w:rPr>
                <w:rFonts w:eastAsia="SimSun"/>
                <w:sz w:val="18"/>
                <w:szCs w:val="18"/>
                <w:lang w:eastAsia="zh-CN"/>
              </w:rPr>
              <w:t>000</w:t>
            </w:r>
          </w:p>
        </w:tc>
        <w:tc>
          <w:tcPr>
            <w:tcW w:w="1254" w:type="dxa"/>
            <w:noWrap/>
            <w:vAlign w:val="bottom"/>
            <w:hideMark/>
          </w:tcPr>
          <w:p w:rsidR="001D6913" w:rsidRPr="00F77964" w:rsidRDefault="001D6913" w:rsidP="004F621B">
            <w:pPr>
              <w:pStyle w:val="Normal-pool"/>
              <w:keepNext/>
              <w:keepLines/>
              <w:spacing w:before="40" w:after="40"/>
              <w:jc w:val="right"/>
              <w:rPr>
                <w:rFonts w:eastAsia="SimSun"/>
                <w:sz w:val="18"/>
                <w:szCs w:val="18"/>
                <w:lang w:eastAsia="zh-CN"/>
              </w:rPr>
            </w:pPr>
            <w:r w:rsidRPr="00F77964">
              <w:rPr>
                <w:rFonts w:eastAsia="SimSun"/>
                <w:sz w:val="18"/>
                <w:szCs w:val="18"/>
                <w:lang w:eastAsia="zh-CN"/>
              </w:rPr>
              <w:t>450</w:t>
            </w:r>
            <w:r w:rsidR="004F621B" w:rsidRPr="00F77964">
              <w:rPr>
                <w:rFonts w:eastAsia="SimSun"/>
                <w:sz w:val="18"/>
                <w:szCs w:val="18"/>
                <w:lang w:eastAsia="zh-CN"/>
              </w:rPr>
              <w:t> </w:t>
            </w:r>
            <w:r w:rsidRPr="00F77964">
              <w:rPr>
                <w:rFonts w:eastAsia="SimSun"/>
                <w:sz w:val="18"/>
                <w:szCs w:val="18"/>
                <w:lang w:eastAsia="zh-CN"/>
              </w:rPr>
              <w:t>000</w:t>
            </w:r>
          </w:p>
        </w:tc>
        <w:tc>
          <w:tcPr>
            <w:tcW w:w="1255" w:type="dxa"/>
            <w:noWrap/>
            <w:vAlign w:val="bottom"/>
            <w:hideMark/>
          </w:tcPr>
          <w:p w:rsidR="001D6913" w:rsidRPr="00F77964" w:rsidRDefault="001D6913" w:rsidP="004F621B">
            <w:pPr>
              <w:pStyle w:val="Normal-pool"/>
              <w:keepNext/>
              <w:keepLines/>
              <w:spacing w:before="40" w:after="40"/>
              <w:jc w:val="right"/>
              <w:rPr>
                <w:rFonts w:eastAsia="SimSun"/>
                <w:sz w:val="18"/>
                <w:szCs w:val="18"/>
                <w:lang w:eastAsia="zh-CN"/>
              </w:rPr>
            </w:pPr>
            <w:r w:rsidRPr="00F77964">
              <w:rPr>
                <w:rFonts w:eastAsia="SimSun"/>
                <w:sz w:val="18"/>
                <w:szCs w:val="18"/>
                <w:lang w:eastAsia="zh-CN"/>
              </w:rPr>
              <w:t>450</w:t>
            </w:r>
            <w:r w:rsidR="004F621B" w:rsidRPr="00F77964">
              <w:rPr>
                <w:rFonts w:eastAsia="SimSun"/>
                <w:sz w:val="18"/>
                <w:szCs w:val="18"/>
                <w:lang w:eastAsia="zh-CN"/>
              </w:rPr>
              <w:t> </w:t>
            </w:r>
            <w:r w:rsidRPr="00F77964">
              <w:rPr>
                <w:rFonts w:eastAsia="SimSun"/>
                <w:sz w:val="18"/>
                <w:szCs w:val="18"/>
                <w:lang w:eastAsia="zh-CN"/>
              </w:rPr>
              <w:t>000</w:t>
            </w:r>
          </w:p>
        </w:tc>
        <w:tc>
          <w:tcPr>
            <w:tcW w:w="1255" w:type="dxa"/>
            <w:noWrap/>
            <w:vAlign w:val="bottom"/>
            <w:hideMark/>
          </w:tcPr>
          <w:p w:rsidR="001D6913" w:rsidRPr="00F77964" w:rsidRDefault="001D6913" w:rsidP="004F621B">
            <w:pPr>
              <w:pStyle w:val="Normal-pool"/>
              <w:keepNext/>
              <w:keepLines/>
              <w:spacing w:before="40" w:after="40"/>
              <w:jc w:val="right"/>
              <w:rPr>
                <w:rFonts w:eastAsia="SimSun"/>
                <w:sz w:val="18"/>
                <w:szCs w:val="18"/>
                <w:lang w:eastAsia="zh-CN"/>
              </w:rPr>
            </w:pPr>
            <w:r w:rsidRPr="00F77964">
              <w:rPr>
                <w:rFonts w:eastAsia="SimSun"/>
                <w:sz w:val="18"/>
                <w:szCs w:val="18"/>
                <w:lang w:eastAsia="zh-CN"/>
              </w:rPr>
              <w:t>450</w:t>
            </w:r>
            <w:r w:rsidR="004F621B" w:rsidRPr="00F77964">
              <w:rPr>
                <w:rFonts w:eastAsia="SimSun"/>
                <w:sz w:val="18"/>
                <w:szCs w:val="18"/>
                <w:lang w:eastAsia="zh-CN"/>
              </w:rPr>
              <w:t> </w:t>
            </w:r>
            <w:r w:rsidRPr="00F77964">
              <w:rPr>
                <w:rFonts w:eastAsia="SimSun"/>
                <w:sz w:val="18"/>
                <w:szCs w:val="18"/>
                <w:lang w:eastAsia="zh-CN"/>
              </w:rPr>
              <w:t>000</w:t>
            </w:r>
          </w:p>
        </w:tc>
        <w:tc>
          <w:tcPr>
            <w:tcW w:w="1255" w:type="dxa"/>
            <w:tcBorders>
              <w:top w:val="nil"/>
              <w:left w:val="nil"/>
              <w:bottom w:val="nil"/>
              <w:right w:val="single" w:sz="4" w:space="0" w:color="auto"/>
            </w:tcBorders>
            <w:shd w:val="clear" w:color="auto" w:fill="FFFFFF"/>
            <w:noWrap/>
            <w:vAlign w:val="bottom"/>
            <w:hideMark/>
          </w:tcPr>
          <w:p w:rsidR="001D6913" w:rsidRPr="00F77964" w:rsidRDefault="001D6913" w:rsidP="004F621B">
            <w:pPr>
              <w:pStyle w:val="Normal-pool"/>
              <w:keepNext/>
              <w:keepLines/>
              <w:spacing w:before="40" w:after="40"/>
              <w:jc w:val="right"/>
              <w:rPr>
                <w:rFonts w:eastAsia="SimSun"/>
                <w:b/>
                <w:sz w:val="18"/>
                <w:szCs w:val="18"/>
                <w:lang w:eastAsia="zh-CN"/>
              </w:rPr>
            </w:pPr>
            <w:r w:rsidRPr="00F77964">
              <w:rPr>
                <w:rFonts w:eastAsia="SimSun"/>
                <w:b/>
                <w:sz w:val="18"/>
                <w:szCs w:val="18"/>
                <w:lang w:eastAsia="zh-CN"/>
              </w:rPr>
              <w:t>2</w:t>
            </w:r>
            <w:r w:rsidR="004F621B" w:rsidRPr="00F77964">
              <w:rPr>
                <w:rFonts w:eastAsia="SimSun"/>
                <w:b/>
                <w:sz w:val="18"/>
                <w:szCs w:val="18"/>
                <w:lang w:eastAsia="zh-CN"/>
              </w:rPr>
              <w:t> </w:t>
            </w:r>
            <w:r w:rsidRPr="00F77964">
              <w:rPr>
                <w:rFonts w:eastAsia="SimSun"/>
                <w:b/>
                <w:sz w:val="18"/>
                <w:szCs w:val="18"/>
                <w:lang w:eastAsia="zh-CN"/>
              </w:rPr>
              <w:t>250</w:t>
            </w:r>
            <w:r w:rsidR="004F621B" w:rsidRPr="00F77964">
              <w:rPr>
                <w:rFonts w:eastAsia="SimSun"/>
                <w:b/>
                <w:sz w:val="18"/>
                <w:szCs w:val="18"/>
                <w:lang w:eastAsia="zh-CN"/>
              </w:rPr>
              <w:t> </w:t>
            </w:r>
            <w:r w:rsidRPr="00F77964">
              <w:rPr>
                <w:rFonts w:eastAsia="SimSun"/>
                <w:b/>
                <w:sz w:val="18"/>
                <w:szCs w:val="18"/>
                <w:lang w:eastAsia="zh-CN"/>
              </w:rPr>
              <w:t>000</w:t>
            </w:r>
          </w:p>
        </w:tc>
      </w:tr>
      <w:tr w:rsidR="001D6913" w:rsidRPr="0061490E" w:rsidTr="001D6913">
        <w:trPr>
          <w:trHeight w:val="240"/>
        </w:trPr>
        <w:tc>
          <w:tcPr>
            <w:tcW w:w="1254" w:type="dxa"/>
            <w:tcBorders>
              <w:top w:val="nil"/>
              <w:left w:val="single" w:sz="4" w:space="0" w:color="auto"/>
              <w:bottom w:val="nil"/>
              <w:right w:val="nil"/>
            </w:tcBorders>
            <w:noWrap/>
            <w:vAlign w:val="bottom"/>
            <w:hideMark/>
          </w:tcPr>
          <w:p w:rsidR="001D6913" w:rsidRPr="00F77964" w:rsidRDefault="001D6913" w:rsidP="004F621B">
            <w:pPr>
              <w:pStyle w:val="Normal-pool"/>
              <w:keepNext/>
              <w:keepLines/>
              <w:spacing w:before="40" w:after="40"/>
              <w:rPr>
                <w:rFonts w:eastAsia="SimSun"/>
                <w:sz w:val="18"/>
                <w:szCs w:val="18"/>
                <w:lang w:eastAsia="zh-CN"/>
              </w:rPr>
            </w:pPr>
            <w:r w:rsidRPr="00F77964">
              <w:rPr>
                <w:rFonts w:eastAsia="SimSun"/>
                <w:sz w:val="18"/>
                <w:szCs w:val="18"/>
                <w:lang w:eastAsia="zh-CN"/>
              </w:rPr>
              <w:t>1</w:t>
            </w:r>
            <w:r w:rsidR="004F621B" w:rsidRPr="00F77964">
              <w:rPr>
                <w:rFonts w:eastAsia="SimSun"/>
                <w:sz w:val="18"/>
                <w:szCs w:val="18"/>
                <w:lang w:eastAsia="zh-CN"/>
              </w:rPr>
              <w:t> </w:t>
            </w:r>
            <w:r w:rsidRPr="00F77964">
              <w:rPr>
                <w:rFonts w:eastAsia="SimSun"/>
                <w:sz w:val="18"/>
                <w:szCs w:val="18"/>
                <w:lang w:eastAsia="zh-CN"/>
              </w:rPr>
              <w:t>c)</w:t>
            </w:r>
          </w:p>
        </w:tc>
        <w:tc>
          <w:tcPr>
            <w:tcW w:w="1255" w:type="dxa"/>
            <w:noWrap/>
            <w:vAlign w:val="bottom"/>
            <w:hideMark/>
          </w:tcPr>
          <w:p w:rsidR="001D6913" w:rsidRPr="00F77964" w:rsidRDefault="001D6913" w:rsidP="004F621B">
            <w:pPr>
              <w:pStyle w:val="Normal-pool"/>
              <w:keepNext/>
              <w:keepLines/>
              <w:spacing w:before="40" w:after="40"/>
              <w:jc w:val="right"/>
              <w:rPr>
                <w:rFonts w:eastAsia="SimSun"/>
                <w:sz w:val="18"/>
                <w:szCs w:val="18"/>
                <w:lang w:eastAsia="zh-CN"/>
              </w:rPr>
            </w:pPr>
            <w:r w:rsidRPr="00F77964">
              <w:rPr>
                <w:rFonts w:eastAsia="SimSun"/>
                <w:sz w:val="18"/>
                <w:szCs w:val="18"/>
                <w:lang w:eastAsia="zh-CN"/>
              </w:rPr>
              <w:t>209</w:t>
            </w:r>
            <w:r w:rsidR="004F621B" w:rsidRPr="00F77964">
              <w:rPr>
                <w:rFonts w:eastAsia="SimSun"/>
                <w:sz w:val="18"/>
                <w:szCs w:val="18"/>
                <w:lang w:eastAsia="zh-CN"/>
              </w:rPr>
              <w:t> </w:t>
            </w:r>
            <w:r w:rsidRPr="00F77964">
              <w:rPr>
                <w:rFonts w:eastAsia="SimSun"/>
                <w:sz w:val="18"/>
                <w:szCs w:val="18"/>
                <w:lang w:eastAsia="zh-CN"/>
              </w:rPr>
              <w:t>250</w:t>
            </w:r>
          </w:p>
        </w:tc>
        <w:tc>
          <w:tcPr>
            <w:tcW w:w="1255" w:type="dxa"/>
            <w:noWrap/>
            <w:vAlign w:val="bottom"/>
            <w:hideMark/>
          </w:tcPr>
          <w:p w:rsidR="001D6913" w:rsidRPr="00F77964" w:rsidRDefault="001D6913" w:rsidP="004F621B">
            <w:pPr>
              <w:pStyle w:val="Normal-pool"/>
              <w:keepNext/>
              <w:keepLines/>
              <w:spacing w:before="40" w:after="40"/>
              <w:jc w:val="right"/>
              <w:rPr>
                <w:rFonts w:eastAsia="SimSun"/>
                <w:sz w:val="18"/>
                <w:szCs w:val="18"/>
                <w:lang w:eastAsia="zh-CN"/>
              </w:rPr>
            </w:pPr>
            <w:r w:rsidRPr="00F77964">
              <w:rPr>
                <w:rFonts w:eastAsia="SimSun"/>
                <w:sz w:val="18"/>
                <w:szCs w:val="18"/>
                <w:lang w:eastAsia="zh-CN"/>
              </w:rPr>
              <w:t>249</w:t>
            </w:r>
            <w:r w:rsidR="004F621B" w:rsidRPr="00F77964">
              <w:rPr>
                <w:rFonts w:eastAsia="SimSun"/>
                <w:sz w:val="18"/>
                <w:szCs w:val="18"/>
                <w:lang w:eastAsia="zh-CN"/>
              </w:rPr>
              <w:t> </w:t>
            </w:r>
            <w:r w:rsidRPr="00F77964">
              <w:rPr>
                <w:rFonts w:eastAsia="SimSun"/>
                <w:sz w:val="18"/>
                <w:szCs w:val="18"/>
                <w:lang w:eastAsia="zh-CN"/>
              </w:rPr>
              <w:t>750</w:t>
            </w:r>
          </w:p>
        </w:tc>
        <w:tc>
          <w:tcPr>
            <w:tcW w:w="1254" w:type="dxa"/>
            <w:noWrap/>
            <w:vAlign w:val="bottom"/>
            <w:hideMark/>
          </w:tcPr>
          <w:p w:rsidR="001D6913" w:rsidRPr="00F77964" w:rsidRDefault="001D6913" w:rsidP="004F621B">
            <w:pPr>
              <w:pStyle w:val="Normal-pool"/>
              <w:keepNext/>
              <w:keepLines/>
              <w:spacing w:before="40" w:after="40"/>
              <w:jc w:val="right"/>
              <w:rPr>
                <w:rFonts w:eastAsia="SimSun"/>
                <w:sz w:val="18"/>
                <w:szCs w:val="18"/>
                <w:lang w:eastAsia="zh-CN"/>
              </w:rPr>
            </w:pPr>
            <w:r w:rsidRPr="00F77964">
              <w:rPr>
                <w:rFonts w:eastAsia="SimSun"/>
                <w:sz w:val="18"/>
                <w:szCs w:val="18"/>
                <w:lang w:eastAsia="zh-CN"/>
              </w:rPr>
              <w:t>50</w:t>
            </w:r>
            <w:r w:rsidR="004F621B" w:rsidRPr="00F77964">
              <w:rPr>
                <w:rFonts w:eastAsia="SimSun"/>
                <w:sz w:val="18"/>
                <w:szCs w:val="18"/>
                <w:lang w:eastAsia="zh-CN"/>
              </w:rPr>
              <w:t> </w:t>
            </w:r>
            <w:r w:rsidRPr="00F77964">
              <w:rPr>
                <w:rFonts w:eastAsia="SimSun"/>
                <w:sz w:val="18"/>
                <w:szCs w:val="18"/>
                <w:lang w:eastAsia="zh-CN"/>
              </w:rPr>
              <w:t>000</w:t>
            </w:r>
          </w:p>
        </w:tc>
        <w:tc>
          <w:tcPr>
            <w:tcW w:w="1255" w:type="dxa"/>
            <w:noWrap/>
            <w:vAlign w:val="bottom"/>
            <w:hideMark/>
          </w:tcPr>
          <w:p w:rsidR="001D6913" w:rsidRPr="00F77964" w:rsidRDefault="001D6913" w:rsidP="001D6913">
            <w:pPr>
              <w:pStyle w:val="Normal-pool"/>
              <w:keepNext/>
              <w:keepLines/>
              <w:spacing w:before="40" w:after="40"/>
              <w:jc w:val="right"/>
              <w:rPr>
                <w:rFonts w:eastAsia="SimSun"/>
                <w:sz w:val="18"/>
                <w:szCs w:val="18"/>
                <w:lang w:eastAsia="zh-CN"/>
              </w:rPr>
            </w:pPr>
            <w:r w:rsidRPr="00F77964">
              <w:rPr>
                <w:rFonts w:eastAsia="SimSun"/>
                <w:sz w:val="18"/>
                <w:szCs w:val="18"/>
                <w:lang w:eastAsia="zh-CN"/>
              </w:rPr>
              <w:t>-</w:t>
            </w:r>
          </w:p>
        </w:tc>
        <w:tc>
          <w:tcPr>
            <w:tcW w:w="1255" w:type="dxa"/>
            <w:noWrap/>
            <w:vAlign w:val="bottom"/>
            <w:hideMark/>
          </w:tcPr>
          <w:p w:rsidR="001D6913" w:rsidRPr="00F77964" w:rsidRDefault="001D6913" w:rsidP="001D6913">
            <w:pPr>
              <w:pStyle w:val="Normal-pool"/>
              <w:keepNext/>
              <w:keepLines/>
              <w:spacing w:before="40" w:after="40"/>
              <w:jc w:val="right"/>
              <w:rPr>
                <w:rFonts w:eastAsia="SimSun"/>
                <w:sz w:val="18"/>
                <w:szCs w:val="18"/>
                <w:lang w:eastAsia="zh-CN"/>
              </w:rPr>
            </w:pPr>
            <w:r w:rsidRPr="00F77964">
              <w:rPr>
                <w:rFonts w:eastAsia="SimSun"/>
                <w:sz w:val="18"/>
                <w:szCs w:val="18"/>
                <w:lang w:eastAsia="zh-CN"/>
              </w:rPr>
              <w:t>-</w:t>
            </w:r>
          </w:p>
        </w:tc>
        <w:tc>
          <w:tcPr>
            <w:tcW w:w="1255" w:type="dxa"/>
            <w:tcBorders>
              <w:top w:val="nil"/>
              <w:left w:val="nil"/>
              <w:bottom w:val="nil"/>
              <w:right w:val="single" w:sz="4" w:space="0" w:color="auto"/>
            </w:tcBorders>
            <w:shd w:val="clear" w:color="auto" w:fill="FFFFFF"/>
            <w:noWrap/>
            <w:vAlign w:val="bottom"/>
            <w:hideMark/>
          </w:tcPr>
          <w:p w:rsidR="001D6913" w:rsidRPr="00F77964" w:rsidRDefault="001D6913" w:rsidP="004F621B">
            <w:pPr>
              <w:pStyle w:val="Normal-pool"/>
              <w:keepNext/>
              <w:keepLines/>
              <w:spacing w:before="40" w:after="40"/>
              <w:jc w:val="right"/>
              <w:rPr>
                <w:rFonts w:eastAsia="SimSun"/>
                <w:b/>
                <w:sz w:val="18"/>
                <w:szCs w:val="18"/>
                <w:lang w:eastAsia="zh-CN"/>
              </w:rPr>
            </w:pPr>
            <w:r w:rsidRPr="00F77964">
              <w:rPr>
                <w:rFonts w:eastAsia="SimSun"/>
                <w:b/>
                <w:sz w:val="18"/>
                <w:szCs w:val="18"/>
                <w:lang w:eastAsia="zh-CN"/>
              </w:rPr>
              <w:t>509000</w:t>
            </w:r>
          </w:p>
        </w:tc>
      </w:tr>
      <w:tr w:rsidR="001D6913" w:rsidRPr="0061490E" w:rsidTr="001D6913">
        <w:trPr>
          <w:trHeight w:val="240"/>
        </w:trPr>
        <w:tc>
          <w:tcPr>
            <w:tcW w:w="1254" w:type="dxa"/>
            <w:tcBorders>
              <w:top w:val="nil"/>
              <w:left w:val="single" w:sz="4" w:space="0" w:color="auto"/>
              <w:bottom w:val="nil"/>
              <w:right w:val="nil"/>
            </w:tcBorders>
            <w:noWrap/>
            <w:vAlign w:val="bottom"/>
            <w:hideMark/>
          </w:tcPr>
          <w:p w:rsidR="001D6913" w:rsidRPr="00F77964" w:rsidRDefault="001D6913" w:rsidP="004F621B">
            <w:pPr>
              <w:pStyle w:val="Normal-pool"/>
              <w:keepNext/>
              <w:keepLines/>
              <w:spacing w:before="40" w:after="40"/>
              <w:rPr>
                <w:rFonts w:eastAsia="SimSun"/>
                <w:sz w:val="18"/>
                <w:szCs w:val="18"/>
                <w:lang w:eastAsia="zh-CN"/>
              </w:rPr>
            </w:pPr>
            <w:r w:rsidRPr="00F77964">
              <w:rPr>
                <w:rFonts w:eastAsia="SimSun"/>
                <w:sz w:val="18"/>
                <w:szCs w:val="18"/>
                <w:lang w:eastAsia="zh-CN"/>
              </w:rPr>
              <w:t>1</w:t>
            </w:r>
            <w:r w:rsidR="004F621B" w:rsidRPr="00F77964">
              <w:rPr>
                <w:rFonts w:eastAsia="SimSun"/>
                <w:sz w:val="18"/>
                <w:szCs w:val="18"/>
                <w:lang w:eastAsia="zh-CN"/>
              </w:rPr>
              <w:t> </w:t>
            </w:r>
            <w:r w:rsidRPr="00F77964">
              <w:rPr>
                <w:rFonts w:eastAsia="SimSun"/>
                <w:sz w:val="18"/>
                <w:szCs w:val="18"/>
                <w:lang w:eastAsia="zh-CN"/>
              </w:rPr>
              <w:t>d)</w:t>
            </w:r>
          </w:p>
        </w:tc>
        <w:tc>
          <w:tcPr>
            <w:tcW w:w="1255" w:type="dxa"/>
            <w:noWrap/>
            <w:vAlign w:val="bottom"/>
            <w:hideMark/>
          </w:tcPr>
          <w:p w:rsidR="001D6913" w:rsidRPr="00F77964" w:rsidRDefault="001D6913" w:rsidP="004F621B">
            <w:pPr>
              <w:pStyle w:val="Normal-pool"/>
              <w:keepNext/>
              <w:keepLines/>
              <w:spacing w:before="40" w:after="40"/>
              <w:jc w:val="right"/>
              <w:rPr>
                <w:rFonts w:eastAsia="SimSun"/>
                <w:sz w:val="18"/>
                <w:szCs w:val="18"/>
                <w:lang w:eastAsia="zh-CN"/>
              </w:rPr>
            </w:pPr>
            <w:r w:rsidRPr="00F77964">
              <w:rPr>
                <w:rFonts w:eastAsia="SimSun"/>
                <w:sz w:val="18"/>
                <w:szCs w:val="18"/>
                <w:lang w:eastAsia="zh-CN"/>
              </w:rPr>
              <w:t>172</w:t>
            </w:r>
            <w:r w:rsidR="004F621B" w:rsidRPr="00F77964">
              <w:rPr>
                <w:rFonts w:eastAsia="SimSun"/>
                <w:sz w:val="18"/>
                <w:szCs w:val="18"/>
                <w:lang w:eastAsia="zh-CN"/>
              </w:rPr>
              <w:t> </w:t>
            </w:r>
            <w:r w:rsidRPr="00F77964">
              <w:rPr>
                <w:rFonts w:eastAsia="SimSun"/>
                <w:sz w:val="18"/>
                <w:szCs w:val="18"/>
                <w:lang w:eastAsia="zh-CN"/>
              </w:rPr>
              <w:t>500</w:t>
            </w:r>
          </w:p>
        </w:tc>
        <w:tc>
          <w:tcPr>
            <w:tcW w:w="1255" w:type="dxa"/>
            <w:noWrap/>
            <w:vAlign w:val="bottom"/>
            <w:hideMark/>
          </w:tcPr>
          <w:p w:rsidR="001D6913" w:rsidRPr="00F77964" w:rsidRDefault="001D6913" w:rsidP="004F621B">
            <w:pPr>
              <w:pStyle w:val="Normal-pool"/>
              <w:keepNext/>
              <w:keepLines/>
              <w:spacing w:before="40" w:after="40"/>
              <w:jc w:val="right"/>
              <w:rPr>
                <w:rFonts w:eastAsia="SimSun"/>
                <w:sz w:val="18"/>
                <w:szCs w:val="18"/>
                <w:lang w:eastAsia="zh-CN"/>
              </w:rPr>
            </w:pPr>
            <w:r w:rsidRPr="00F77964">
              <w:rPr>
                <w:rFonts w:eastAsia="SimSun"/>
                <w:sz w:val="18"/>
                <w:szCs w:val="18"/>
                <w:lang w:eastAsia="zh-CN"/>
              </w:rPr>
              <w:t>258</w:t>
            </w:r>
            <w:r w:rsidR="004F621B" w:rsidRPr="00F77964">
              <w:rPr>
                <w:rFonts w:eastAsia="SimSun"/>
                <w:sz w:val="18"/>
                <w:szCs w:val="18"/>
                <w:lang w:eastAsia="zh-CN"/>
              </w:rPr>
              <w:t> </w:t>
            </w:r>
            <w:r w:rsidRPr="00F77964">
              <w:rPr>
                <w:rFonts w:eastAsia="SimSun"/>
                <w:sz w:val="18"/>
                <w:szCs w:val="18"/>
                <w:lang w:eastAsia="zh-CN"/>
              </w:rPr>
              <w:t>750</w:t>
            </w:r>
          </w:p>
        </w:tc>
        <w:tc>
          <w:tcPr>
            <w:tcW w:w="1254" w:type="dxa"/>
            <w:noWrap/>
            <w:vAlign w:val="bottom"/>
            <w:hideMark/>
          </w:tcPr>
          <w:p w:rsidR="001D6913" w:rsidRPr="00F77964" w:rsidRDefault="001D6913" w:rsidP="004F621B">
            <w:pPr>
              <w:pStyle w:val="Normal-pool"/>
              <w:keepNext/>
              <w:keepLines/>
              <w:spacing w:before="40" w:after="40"/>
              <w:jc w:val="right"/>
              <w:rPr>
                <w:rFonts w:eastAsia="SimSun"/>
                <w:sz w:val="18"/>
                <w:szCs w:val="18"/>
                <w:lang w:eastAsia="zh-CN"/>
              </w:rPr>
            </w:pPr>
            <w:r w:rsidRPr="00F77964">
              <w:rPr>
                <w:rFonts w:eastAsia="SimSun"/>
                <w:sz w:val="18"/>
                <w:szCs w:val="18"/>
                <w:lang w:eastAsia="zh-CN"/>
              </w:rPr>
              <w:t>172</w:t>
            </w:r>
            <w:r w:rsidR="004F621B" w:rsidRPr="00F77964">
              <w:rPr>
                <w:rFonts w:eastAsia="SimSun"/>
                <w:sz w:val="18"/>
                <w:szCs w:val="18"/>
                <w:lang w:eastAsia="zh-CN"/>
              </w:rPr>
              <w:t> </w:t>
            </w:r>
            <w:r w:rsidRPr="00F77964">
              <w:rPr>
                <w:rFonts w:eastAsia="SimSun"/>
                <w:sz w:val="18"/>
                <w:szCs w:val="18"/>
                <w:lang w:eastAsia="zh-CN"/>
              </w:rPr>
              <w:t>500</w:t>
            </w:r>
          </w:p>
        </w:tc>
        <w:tc>
          <w:tcPr>
            <w:tcW w:w="1255" w:type="dxa"/>
            <w:noWrap/>
            <w:vAlign w:val="bottom"/>
            <w:hideMark/>
          </w:tcPr>
          <w:p w:rsidR="001D6913" w:rsidRPr="00F77964" w:rsidRDefault="001D6913" w:rsidP="004F621B">
            <w:pPr>
              <w:pStyle w:val="Normal-pool"/>
              <w:keepNext/>
              <w:keepLines/>
              <w:spacing w:before="40" w:after="40"/>
              <w:jc w:val="right"/>
              <w:rPr>
                <w:rFonts w:eastAsia="SimSun"/>
                <w:sz w:val="18"/>
                <w:szCs w:val="18"/>
                <w:lang w:eastAsia="zh-CN"/>
              </w:rPr>
            </w:pPr>
            <w:r w:rsidRPr="00F77964">
              <w:rPr>
                <w:rFonts w:eastAsia="SimSun"/>
                <w:sz w:val="18"/>
                <w:szCs w:val="18"/>
                <w:lang w:eastAsia="zh-CN"/>
              </w:rPr>
              <w:t>258</w:t>
            </w:r>
            <w:r w:rsidR="004F621B" w:rsidRPr="00F77964">
              <w:rPr>
                <w:rFonts w:eastAsia="SimSun"/>
                <w:sz w:val="18"/>
                <w:szCs w:val="18"/>
                <w:lang w:eastAsia="zh-CN"/>
              </w:rPr>
              <w:t> </w:t>
            </w:r>
            <w:r w:rsidRPr="00F77964">
              <w:rPr>
                <w:rFonts w:eastAsia="SimSun"/>
                <w:sz w:val="18"/>
                <w:szCs w:val="18"/>
                <w:lang w:eastAsia="zh-CN"/>
              </w:rPr>
              <w:t>750</w:t>
            </w:r>
          </w:p>
        </w:tc>
        <w:tc>
          <w:tcPr>
            <w:tcW w:w="1255" w:type="dxa"/>
            <w:noWrap/>
            <w:vAlign w:val="bottom"/>
            <w:hideMark/>
          </w:tcPr>
          <w:p w:rsidR="001D6913" w:rsidRPr="00F77964" w:rsidRDefault="001D6913" w:rsidP="004F621B">
            <w:pPr>
              <w:pStyle w:val="Normal-pool"/>
              <w:keepNext/>
              <w:keepLines/>
              <w:spacing w:before="40" w:after="40"/>
              <w:jc w:val="right"/>
              <w:rPr>
                <w:rFonts w:eastAsia="SimSun"/>
                <w:sz w:val="18"/>
                <w:szCs w:val="18"/>
                <w:lang w:eastAsia="zh-CN"/>
              </w:rPr>
            </w:pPr>
            <w:r w:rsidRPr="00F77964">
              <w:rPr>
                <w:rFonts w:eastAsia="SimSun"/>
                <w:sz w:val="18"/>
                <w:szCs w:val="18"/>
                <w:lang w:eastAsia="zh-CN"/>
              </w:rPr>
              <w:t>172</w:t>
            </w:r>
            <w:r w:rsidR="004F621B" w:rsidRPr="00F77964">
              <w:rPr>
                <w:rFonts w:eastAsia="SimSun"/>
                <w:sz w:val="18"/>
                <w:szCs w:val="18"/>
                <w:lang w:eastAsia="zh-CN"/>
              </w:rPr>
              <w:t> </w:t>
            </w:r>
            <w:r w:rsidRPr="00F77964">
              <w:rPr>
                <w:rFonts w:eastAsia="SimSun"/>
                <w:sz w:val="18"/>
                <w:szCs w:val="18"/>
                <w:lang w:eastAsia="zh-CN"/>
              </w:rPr>
              <w:t>500</w:t>
            </w:r>
          </w:p>
        </w:tc>
        <w:tc>
          <w:tcPr>
            <w:tcW w:w="1255" w:type="dxa"/>
            <w:tcBorders>
              <w:top w:val="nil"/>
              <w:left w:val="nil"/>
              <w:bottom w:val="nil"/>
              <w:right w:val="single" w:sz="4" w:space="0" w:color="auto"/>
            </w:tcBorders>
            <w:shd w:val="clear" w:color="auto" w:fill="FFFFFF"/>
            <w:noWrap/>
            <w:vAlign w:val="bottom"/>
            <w:hideMark/>
          </w:tcPr>
          <w:p w:rsidR="001D6913" w:rsidRPr="00F77964" w:rsidRDefault="001D6913" w:rsidP="004F621B">
            <w:pPr>
              <w:pStyle w:val="Normal-pool"/>
              <w:keepNext/>
              <w:keepLines/>
              <w:spacing w:before="40" w:after="40"/>
              <w:jc w:val="right"/>
              <w:rPr>
                <w:rFonts w:eastAsia="SimSun"/>
                <w:b/>
                <w:sz w:val="18"/>
                <w:szCs w:val="18"/>
                <w:lang w:eastAsia="zh-CN"/>
              </w:rPr>
            </w:pPr>
            <w:r w:rsidRPr="00F77964">
              <w:rPr>
                <w:rFonts w:eastAsia="SimSun"/>
                <w:b/>
                <w:sz w:val="18"/>
                <w:szCs w:val="18"/>
                <w:lang w:eastAsia="zh-CN"/>
              </w:rPr>
              <w:t>1</w:t>
            </w:r>
            <w:r w:rsidR="004F621B" w:rsidRPr="00F77964">
              <w:rPr>
                <w:rFonts w:eastAsia="SimSun"/>
                <w:b/>
                <w:sz w:val="18"/>
                <w:szCs w:val="18"/>
                <w:lang w:eastAsia="zh-CN"/>
              </w:rPr>
              <w:t> </w:t>
            </w:r>
            <w:r w:rsidRPr="00F77964">
              <w:rPr>
                <w:rFonts w:eastAsia="SimSun"/>
                <w:b/>
                <w:sz w:val="18"/>
                <w:szCs w:val="18"/>
                <w:lang w:eastAsia="zh-CN"/>
              </w:rPr>
              <w:t>035</w:t>
            </w:r>
            <w:r w:rsidR="004F621B" w:rsidRPr="00F77964">
              <w:rPr>
                <w:rFonts w:eastAsia="SimSun"/>
                <w:b/>
                <w:sz w:val="18"/>
                <w:szCs w:val="18"/>
                <w:lang w:eastAsia="zh-CN"/>
              </w:rPr>
              <w:t> </w:t>
            </w:r>
            <w:r w:rsidRPr="00F77964">
              <w:rPr>
                <w:rFonts w:eastAsia="SimSun"/>
                <w:b/>
                <w:sz w:val="18"/>
                <w:szCs w:val="18"/>
                <w:lang w:eastAsia="zh-CN"/>
              </w:rPr>
              <w:t>000</w:t>
            </w:r>
          </w:p>
        </w:tc>
      </w:tr>
      <w:tr w:rsidR="001D6913" w:rsidRPr="0061490E" w:rsidTr="001D6913">
        <w:trPr>
          <w:trHeight w:val="240"/>
        </w:trPr>
        <w:tc>
          <w:tcPr>
            <w:tcW w:w="1254" w:type="dxa"/>
            <w:tcBorders>
              <w:top w:val="nil"/>
              <w:left w:val="single" w:sz="4" w:space="0" w:color="auto"/>
              <w:bottom w:val="nil"/>
              <w:right w:val="nil"/>
            </w:tcBorders>
            <w:noWrap/>
            <w:vAlign w:val="bottom"/>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 </w:t>
            </w:r>
          </w:p>
        </w:tc>
        <w:tc>
          <w:tcPr>
            <w:tcW w:w="1255" w:type="dxa"/>
            <w:noWrap/>
            <w:vAlign w:val="bottom"/>
            <w:hideMark/>
          </w:tcPr>
          <w:p w:rsidR="001D6913" w:rsidRPr="0061490E" w:rsidRDefault="001D6913" w:rsidP="001D6913">
            <w:pPr>
              <w:rPr>
                <w:lang w:eastAsia="fr-FR"/>
              </w:rPr>
            </w:pPr>
          </w:p>
        </w:tc>
        <w:tc>
          <w:tcPr>
            <w:tcW w:w="1255" w:type="dxa"/>
            <w:noWrap/>
            <w:vAlign w:val="bottom"/>
            <w:hideMark/>
          </w:tcPr>
          <w:p w:rsidR="001D6913" w:rsidRPr="0061490E" w:rsidRDefault="001D6913" w:rsidP="001D6913">
            <w:pPr>
              <w:rPr>
                <w:lang w:eastAsia="fr-FR"/>
              </w:rPr>
            </w:pPr>
          </w:p>
        </w:tc>
        <w:tc>
          <w:tcPr>
            <w:tcW w:w="1254" w:type="dxa"/>
            <w:noWrap/>
            <w:vAlign w:val="bottom"/>
            <w:hideMark/>
          </w:tcPr>
          <w:p w:rsidR="001D6913" w:rsidRPr="0061490E" w:rsidRDefault="001D6913" w:rsidP="001D6913">
            <w:pPr>
              <w:rPr>
                <w:lang w:eastAsia="fr-FR"/>
              </w:rPr>
            </w:pPr>
          </w:p>
        </w:tc>
        <w:tc>
          <w:tcPr>
            <w:tcW w:w="1255" w:type="dxa"/>
            <w:noWrap/>
            <w:vAlign w:val="bottom"/>
            <w:hideMark/>
          </w:tcPr>
          <w:p w:rsidR="001D6913" w:rsidRPr="0061490E" w:rsidRDefault="001D6913" w:rsidP="001D6913">
            <w:pPr>
              <w:rPr>
                <w:lang w:eastAsia="fr-FR"/>
              </w:rPr>
            </w:pPr>
          </w:p>
        </w:tc>
        <w:tc>
          <w:tcPr>
            <w:tcW w:w="1255" w:type="dxa"/>
            <w:noWrap/>
            <w:vAlign w:val="bottom"/>
            <w:hideMark/>
          </w:tcPr>
          <w:p w:rsidR="001D6913" w:rsidRPr="0061490E" w:rsidRDefault="001D6913" w:rsidP="001D6913">
            <w:pPr>
              <w:rPr>
                <w:lang w:eastAsia="fr-FR"/>
              </w:rPr>
            </w:pPr>
          </w:p>
        </w:tc>
        <w:tc>
          <w:tcPr>
            <w:tcW w:w="1255" w:type="dxa"/>
            <w:tcBorders>
              <w:top w:val="nil"/>
              <w:left w:val="nil"/>
              <w:bottom w:val="nil"/>
              <w:right w:val="single" w:sz="4" w:space="0" w:color="auto"/>
            </w:tcBorders>
            <w:shd w:val="clear" w:color="auto" w:fill="FFFFFF"/>
            <w:noWrap/>
            <w:vAlign w:val="bottom"/>
            <w:hideMark/>
          </w:tcPr>
          <w:p w:rsidR="001D6913" w:rsidRPr="00F77964" w:rsidRDefault="001D6913" w:rsidP="001D6913">
            <w:pPr>
              <w:pStyle w:val="Normal-pool"/>
              <w:spacing w:before="40" w:after="40"/>
              <w:jc w:val="right"/>
              <w:rPr>
                <w:rFonts w:eastAsia="SimSun"/>
                <w:b/>
                <w:sz w:val="18"/>
                <w:szCs w:val="18"/>
                <w:lang w:eastAsia="zh-CN"/>
              </w:rPr>
            </w:pPr>
            <w:r w:rsidRPr="00F77964">
              <w:rPr>
                <w:rFonts w:eastAsia="SimSun"/>
                <w:b/>
                <w:sz w:val="18"/>
                <w:szCs w:val="18"/>
                <w:lang w:eastAsia="zh-CN"/>
              </w:rPr>
              <w:t> </w:t>
            </w:r>
          </w:p>
        </w:tc>
      </w:tr>
      <w:tr w:rsidR="001D6913" w:rsidRPr="0061490E" w:rsidTr="001D6913">
        <w:trPr>
          <w:trHeight w:val="240"/>
        </w:trPr>
        <w:tc>
          <w:tcPr>
            <w:tcW w:w="1254" w:type="dxa"/>
            <w:tcBorders>
              <w:top w:val="nil"/>
              <w:left w:val="single" w:sz="4" w:space="0" w:color="auto"/>
              <w:bottom w:val="nil"/>
              <w:right w:val="nil"/>
            </w:tcBorders>
            <w:noWrap/>
            <w:vAlign w:val="bottom"/>
            <w:hideMark/>
          </w:tcPr>
          <w:p w:rsidR="001D6913" w:rsidRPr="00F77964" w:rsidRDefault="001D6913" w:rsidP="004F621B">
            <w:pPr>
              <w:pStyle w:val="Normal-pool"/>
              <w:spacing w:before="40" w:after="40"/>
              <w:rPr>
                <w:rFonts w:eastAsia="SimSun"/>
                <w:sz w:val="18"/>
                <w:szCs w:val="18"/>
                <w:lang w:eastAsia="zh-CN"/>
              </w:rPr>
            </w:pPr>
            <w:r w:rsidRPr="00F77964">
              <w:rPr>
                <w:rFonts w:eastAsia="SimSun"/>
                <w:sz w:val="18"/>
                <w:szCs w:val="18"/>
                <w:lang w:eastAsia="zh-CN"/>
              </w:rPr>
              <w:t>2</w:t>
            </w:r>
            <w:r w:rsidR="004F621B" w:rsidRPr="00F77964">
              <w:rPr>
                <w:rFonts w:eastAsia="SimSun"/>
                <w:sz w:val="18"/>
                <w:szCs w:val="18"/>
                <w:lang w:eastAsia="zh-CN"/>
              </w:rPr>
              <w:t> </w:t>
            </w:r>
            <w:r w:rsidRPr="00F77964">
              <w:rPr>
                <w:rFonts w:eastAsia="SimSun"/>
                <w:sz w:val="18"/>
                <w:szCs w:val="18"/>
                <w:lang w:eastAsia="zh-CN"/>
              </w:rPr>
              <w:t>a)</w:t>
            </w:r>
          </w:p>
        </w:tc>
        <w:tc>
          <w:tcPr>
            <w:tcW w:w="1255" w:type="dxa"/>
            <w:noWrap/>
            <w:vAlign w:val="bottom"/>
            <w:hideMark/>
          </w:tcPr>
          <w:p w:rsidR="001D6913" w:rsidRPr="00F77964" w:rsidRDefault="001D6913" w:rsidP="004F621B">
            <w:pPr>
              <w:pStyle w:val="Normal-pool"/>
              <w:spacing w:before="40" w:after="40"/>
              <w:jc w:val="right"/>
              <w:rPr>
                <w:rFonts w:eastAsia="SimSun"/>
                <w:sz w:val="18"/>
                <w:szCs w:val="18"/>
                <w:lang w:eastAsia="zh-CN"/>
              </w:rPr>
            </w:pPr>
            <w:r w:rsidRPr="00F77964">
              <w:rPr>
                <w:rFonts w:eastAsia="SimSun"/>
                <w:sz w:val="18"/>
                <w:szCs w:val="18"/>
                <w:lang w:eastAsia="zh-CN"/>
              </w:rPr>
              <w:t>86</w:t>
            </w:r>
            <w:r w:rsidR="004F621B" w:rsidRPr="00F77964">
              <w:rPr>
                <w:rFonts w:eastAsia="SimSun"/>
                <w:sz w:val="18"/>
                <w:szCs w:val="18"/>
                <w:lang w:eastAsia="zh-CN"/>
              </w:rPr>
              <w:t> </w:t>
            </w:r>
            <w:r w:rsidRPr="00F77964">
              <w:rPr>
                <w:rFonts w:eastAsia="SimSun"/>
                <w:sz w:val="18"/>
                <w:szCs w:val="18"/>
                <w:lang w:eastAsia="zh-CN"/>
              </w:rPr>
              <w:t>250</w:t>
            </w:r>
          </w:p>
        </w:tc>
        <w:tc>
          <w:tcPr>
            <w:tcW w:w="1255" w:type="dxa"/>
            <w:noWrap/>
            <w:vAlign w:val="bottom"/>
            <w:hideMark/>
          </w:tcPr>
          <w:p w:rsidR="001D6913" w:rsidRPr="00F77964" w:rsidRDefault="001D6913" w:rsidP="004F621B">
            <w:pPr>
              <w:pStyle w:val="Normal-pool"/>
              <w:spacing w:before="40" w:after="40"/>
              <w:jc w:val="right"/>
              <w:rPr>
                <w:rFonts w:eastAsia="SimSun"/>
                <w:sz w:val="18"/>
                <w:szCs w:val="18"/>
                <w:lang w:eastAsia="zh-CN"/>
              </w:rPr>
            </w:pPr>
            <w:r w:rsidRPr="00F77964">
              <w:rPr>
                <w:rFonts w:eastAsia="SimSun"/>
                <w:sz w:val="18"/>
                <w:szCs w:val="18"/>
                <w:lang w:eastAsia="zh-CN"/>
              </w:rPr>
              <w:t>50</w:t>
            </w:r>
            <w:r w:rsidR="004F621B" w:rsidRPr="00F77964">
              <w:rPr>
                <w:rFonts w:eastAsia="SimSun"/>
                <w:sz w:val="18"/>
                <w:szCs w:val="18"/>
                <w:lang w:eastAsia="zh-CN"/>
              </w:rPr>
              <w:t> </w:t>
            </w:r>
            <w:r w:rsidRPr="00F77964">
              <w:rPr>
                <w:rFonts w:eastAsia="SimSun"/>
                <w:sz w:val="18"/>
                <w:szCs w:val="18"/>
                <w:lang w:eastAsia="zh-CN"/>
              </w:rPr>
              <w:t>000</w:t>
            </w:r>
          </w:p>
        </w:tc>
        <w:tc>
          <w:tcPr>
            <w:tcW w:w="1254" w:type="dxa"/>
            <w:noWrap/>
            <w:vAlign w:val="bottom"/>
            <w:hideMark/>
          </w:tcPr>
          <w:p w:rsidR="001D6913" w:rsidRPr="00F77964" w:rsidRDefault="001D6913" w:rsidP="001D6913">
            <w:pPr>
              <w:pStyle w:val="Normal-pool"/>
              <w:spacing w:before="40" w:after="40"/>
              <w:jc w:val="right"/>
              <w:rPr>
                <w:rFonts w:eastAsia="SimSun"/>
                <w:sz w:val="18"/>
                <w:szCs w:val="18"/>
                <w:lang w:eastAsia="zh-CN"/>
              </w:rPr>
            </w:pPr>
            <w:r w:rsidRPr="00F77964">
              <w:rPr>
                <w:rFonts w:eastAsia="SimSun"/>
                <w:sz w:val="18"/>
                <w:szCs w:val="18"/>
                <w:lang w:eastAsia="zh-CN"/>
              </w:rPr>
              <w:t>-</w:t>
            </w:r>
          </w:p>
        </w:tc>
        <w:tc>
          <w:tcPr>
            <w:tcW w:w="1255" w:type="dxa"/>
            <w:noWrap/>
            <w:vAlign w:val="bottom"/>
            <w:hideMark/>
          </w:tcPr>
          <w:p w:rsidR="001D6913" w:rsidRPr="00F77964" w:rsidRDefault="001D6913" w:rsidP="001D6913">
            <w:pPr>
              <w:pStyle w:val="Normal-pool"/>
              <w:spacing w:before="40" w:after="40"/>
              <w:jc w:val="right"/>
              <w:rPr>
                <w:rFonts w:eastAsia="SimSun"/>
                <w:sz w:val="18"/>
                <w:szCs w:val="18"/>
                <w:lang w:eastAsia="zh-CN"/>
              </w:rPr>
            </w:pPr>
            <w:r w:rsidRPr="00F77964">
              <w:rPr>
                <w:rFonts w:eastAsia="SimSun"/>
                <w:sz w:val="18"/>
                <w:szCs w:val="18"/>
                <w:lang w:eastAsia="zh-CN"/>
              </w:rPr>
              <w:t>-</w:t>
            </w:r>
          </w:p>
        </w:tc>
        <w:tc>
          <w:tcPr>
            <w:tcW w:w="1255" w:type="dxa"/>
            <w:noWrap/>
            <w:vAlign w:val="bottom"/>
            <w:hideMark/>
          </w:tcPr>
          <w:p w:rsidR="001D6913" w:rsidRPr="00F77964" w:rsidRDefault="001D6913" w:rsidP="001D6913">
            <w:pPr>
              <w:pStyle w:val="Normal-pool"/>
              <w:spacing w:before="40" w:after="40"/>
              <w:jc w:val="right"/>
              <w:rPr>
                <w:rFonts w:eastAsia="SimSun"/>
                <w:sz w:val="18"/>
                <w:szCs w:val="18"/>
                <w:lang w:eastAsia="zh-CN"/>
              </w:rPr>
            </w:pPr>
            <w:r w:rsidRPr="00F77964">
              <w:rPr>
                <w:rFonts w:eastAsia="SimSun"/>
                <w:sz w:val="18"/>
                <w:szCs w:val="18"/>
                <w:lang w:eastAsia="zh-CN"/>
              </w:rPr>
              <w:t>-</w:t>
            </w:r>
          </w:p>
        </w:tc>
        <w:tc>
          <w:tcPr>
            <w:tcW w:w="1255" w:type="dxa"/>
            <w:tcBorders>
              <w:top w:val="nil"/>
              <w:left w:val="nil"/>
              <w:bottom w:val="nil"/>
              <w:right w:val="single" w:sz="4" w:space="0" w:color="auto"/>
            </w:tcBorders>
            <w:shd w:val="clear" w:color="auto" w:fill="FFFFFF"/>
            <w:noWrap/>
            <w:vAlign w:val="bottom"/>
            <w:hideMark/>
          </w:tcPr>
          <w:p w:rsidR="001D6913" w:rsidRPr="00F77964" w:rsidRDefault="001D6913" w:rsidP="004F621B">
            <w:pPr>
              <w:pStyle w:val="Normal-pool"/>
              <w:spacing w:before="40" w:after="40"/>
              <w:jc w:val="right"/>
              <w:rPr>
                <w:rFonts w:eastAsia="SimSun"/>
                <w:b/>
                <w:sz w:val="18"/>
                <w:szCs w:val="18"/>
                <w:lang w:eastAsia="zh-CN"/>
              </w:rPr>
            </w:pPr>
            <w:r w:rsidRPr="00F77964">
              <w:rPr>
                <w:rFonts w:eastAsia="SimSun"/>
                <w:b/>
                <w:sz w:val="18"/>
                <w:szCs w:val="18"/>
                <w:lang w:eastAsia="zh-CN"/>
              </w:rPr>
              <w:t>136</w:t>
            </w:r>
            <w:r w:rsidR="004F621B" w:rsidRPr="00F77964">
              <w:rPr>
                <w:rFonts w:eastAsia="SimSun"/>
                <w:b/>
                <w:sz w:val="18"/>
                <w:szCs w:val="18"/>
                <w:lang w:eastAsia="zh-CN"/>
              </w:rPr>
              <w:t> </w:t>
            </w:r>
            <w:r w:rsidRPr="00F77964">
              <w:rPr>
                <w:rFonts w:eastAsia="SimSun"/>
                <w:b/>
                <w:sz w:val="18"/>
                <w:szCs w:val="18"/>
                <w:lang w:eastAsia="zh-CN"/>
              </w:rPr>
              <w:t>250</w:t>
            </w:r>
          </w:p>
        </w:tc>
      </w:tr>
      <w:tr w:rsidR="001D6913" w:rsidRPr="0061490E" w:rsidTr="001D6913">
        <w:trPr>
          <w:trHeight w:val="240"/>
        </w:trPr>
        <w:tc>
          <w:tcPr>
            <w:tcW w:w="1254" w:type="dxa"/>
            <w:tcBorders>
              <w:top w:val="nil"/>
              <w:left w:val="single" w:sz="4" w:space="0" w:color="auto"/>
              <w:bottom w:val="nil"/>
              <w:right w:val="nil"/>
            </w:tcBorders>
            <w:noWrap/>
            <w:vAlign w:val="bottom"/>
            <w:hideMark/>
          </w:tcPr>
          <w:p w:rsidR="001D6913" w:rsidRPr="00F77964" w:rsidRDefault="001D6913" w:rsidP="004F621B">
            <w:pPr>
              <w:pStyle w:val="Normal-pool"/>
              <w:spacing w:before="40" w:after="40"/>
              <w:rPr>
                <w:rFonts w:eastAsia="SimSun"/>
                <w:sz w:val="18"/>
                <w:szCs w:val="18"/>
                <w:lang w:eastAsia="zh-CN"/>
              </w:rPr>
            </w:pPr>
            <w:r w:rsidRPr="00F77964">
              <w:rPr>
                <w:rFonts w:eastAsia="SimSun"/>
                <w:sz w:val="18"/>
                <w:szCs w:val="18"/>
                <w:lang w:eastAsia="zh-CN"/>
              </w:rPr>
              <w:t>2</w:t>
            </w:r>
            <w:r w:rsidR="004F621B" w:rsidRPr="00F77964">
              <w:rPr>
                <w:rFonts w:eastAsia="SimSun"/>
                <w:sz w:val="18"/>
                <w:szCs w:val="18"/>
                <w:lang w:eastAsia="zh-CN"/>
              </w:rPr>
              <w:t> </w:t>
            </w:r>
            <w:r w:rsidRPr="00F77964">
              <w:rPr>
                <w:rFonts w:eastAsia="SimSun"/>
                <w:sz w:val="18"/>
                <w:szCs w:val="18"/>
                <w:lang w:eastAsia="zh-CN"/>
              </w:rPr>
              <w:t>b)</w:t>
            </w:r>
          </w:p>
        </w:tc>
        <w:tc>
          <w:tcPr>
            <w:tcW w:w="1255" w:type="dxa"/>
            <w:noWrap/>
            <w:vAlign w:val="bottom"/>
            <w:hideMark/>
          </w:tcPr>
          <w:p w:rsidR="001D6913" w:rsidRPr="00F77964" w:rsidRDefault="001D6913" w:rsidP="004F621B">
            <w:pPr>
              <w:pStyle w:val="Normal-pool"/>
              <w:spacing w:before="40" w:after="40"/>
              <w:jc w:val="right"/>
              <w:rPr>
                <w:rFonts w:eastAsia="SimSun"/>
                <w:sz w:val="18"/>
                <w:szCs w:val="18"/>
                <w:lang w:eastAsia="zh-CN"/>
              </w:rPr>
            </w:pPr>
            <w:r w:rsidRPr="00F77964">
              <w:rPr>
                <w:rFonts w:eastAsia="SimSun"/>
                <w:sz w:val="18"/>
                <w:szCs w:val="18"/>
                <w:lang w:eastAsia="zh-CN"/>
              </w:rPr>
              <w:t>396</w:t>
            </w:r>
            <w:r w:rsidR="004F621B" w:rsidRPr="00F77964">
              <w:rPr>
                <w:rFonts w:eastAsia="SimSun"/>
                <w:sz w:val="18"/>
                <w:szCs w:val="18"/>
                <w:lang w:eastAsia="zh-CN"/>
              </w:rPr>
              <w:t> </w:t>
            </w:r>
            <w:r w:rsidRPr="00F77964">
              <w:rPr>
                <w:rFonts w:eastAsia="SimSun"/>
                <w:sz w:val="18"/>
                <w:szCs w:val="18"/>
                <w:lang w:eastAsia="zh-CN"/>
              </w:rPr>
              <w:t>250</w:t>
            </w:r>
          </w:p>
        </w:tc>
        <w:tc>
          <w:tcPr>
            <w:tcW w:w="1255" w:type="dxa"/>
            <w:noWrap/>
            <w:vAlign w:val="bottom"/>
            <w:hideMark/>
          </w:tcPr>
          <w:p w:rsidR="001D6913" w:rsidRPr="00F77964" w:rsidRDefault="001D6913" w:rsidP="004F621B">
            <w:pPr>
              <w:pStyle w:val="Normal-pool"/>
              <w:spacing w:before="40" w:after="40"/>
              <w:jc w:val="right"/>
              <w:rPr>
                <w:rFonts w:eastAsia="SimSun"/>
                <w:sz w:val="18"/>
                <w:szCs w:val="18"/>
                <w:lang w:eastAsia="zh-CN"/>
              </w:rPr>
            </w:pPr>
            <w:r w:rsidRPr="00F77964">
              <w:rPr>
                <w:rFonts w:eastAsia="SimSun"/>
                <w:sz w:val="18"/>
                <w:szCs w:val="18"/>
                <w:lang w:eastAsia="zh-CN"/>
              </w:rPr>
              <w:t>1</w:t>
            </w:r>
            <w:r w:rsidR="004F621B" w:rsidRPr="00F77964">
              <w:rPr>
                <w:rFonts w:eastAsia="SimSun"/>
                <w:sz w:val="18"/>
                <w:szCs w:val="18"/>
                <w:lang w:eastAsia="zh-CN"/>
              </w:rPr>
              <w:t> </w:t>
            </w:r>
            <w:r w:rsidRPr="00F77964">
              <w:rPr>
                <w:rFonts w:eastAsia="SimSun"/>
                <w:sz w:val="18"/>
                <w:szCs w:val="18"/>
                <w:lang w:eastAsia="zh-CN"/>
              </w:rPr>
              <w:t>931</w:t>
            </w:r>
            <w:r w:rsidR="004F621B" w:rsidRPr="00F77964">
              <w:rPr>
                <w:rFonts w:eastAsia="SimSun"/>
                <w:sz w:val="18"/>
                <w:szCs w:val="18"/>
                <w:lang w:eastAsia="zh-CN"/>
              </w:rPr>
              <w:t> </w:t>
            </w:r>
            <w:r w:rsidRPr="00F77964">
              <w:rPr>
                <w:rFonts w:eastAsia="SimSun"/>
                <w:sz w:val="18"/>
                <w:szCs w:val="18"/>
                <w:lang w:eastAsia="zh-CN"/>
              </w:rPr>
              <w:t>250</w:t>
            </w:r>
          </w:p>
        </w:tc>
        <w:tc>
          <w:tcPr>
            <w:tcW w:w="1254" w:type="dxa"/>
            <w:noWrap/>
            <w:vAlign w:val="bottom"/>
            <w:hideMark/>
          </w:tcPr>
          <w:p w:rsidR="001D6913" w:rsidRPr="00F77964" w:rsidRDefault="001D6913" w:rsidP="004F621B">
            <w:pPr>
              <w:pStyle w:val="Normal-pool"/>
              <w:spacing w:before="40" w:after="40"/>
              <w:jc w:val="right"/>
              <w:rPr>
                <w:rFonts w:eastAsia="SimSun"/>
                <w:sz w:val="18"/>
                <w:szCs w:val="18"/>
                <w:lang w:eastAsia="zh-CN"/>
              </w:rPr>
            </w:pPr>
            <w:r w:rsidRPr="00F77964">
              <w:rPr>
                <w:rFonts w:eastAsia="SimSun"/>
                <w:sz w:val="18"/>
                <w:szCs w:val="18"/>
                <w:lang w:eastAsia="zh-CN"/>
              </w:rPr>
              <w:t>3</w:t>
            </w:r>
            <w:r w:rsidR="004F621B" w:rsidRPr="00F77964">
              <w:rPr>
                <w:rFonts w:eastAsia="SimSun"/>
                <w:sz w:val="18"/>
                <w:szCs w:val="18"/>
                <w:lang w:eastAsia="zh-CN"/>
              </w:rPr>
              <w:t> </w:t>
            </w:r>
            <w:r w:rsidRPr="00F77964">
              <w:rPr>
                <w:rFonts w:eastAsia="SimSun"/>
                <w:sz w:val="18"/>
                <w:szCs w:val="18"/>
                <w:lang w:eastAsia="zh-CN"/>
              </w:rPr>
              <w:t>585</w:t>
            </w:r>
            <w:r w:rsidR="004F621B" w:rsidRPr="00F77964">
              <w:rPr>
                <w:rFonts w:eastAsia="SimSun"/>
                <w:sz w:val="18"/>
                <w:szCs w:val="18"/>
                <w:lang w:eastAsia="zh-CN"/>
              </w:rPr>
              <w:t> </w:t>
            </w:r>
            <w:r w:rsidRPr="00F77964">
              <w:rPr>
                <w:rFonts w:eastAsia="SimSun"/>
                <w:sz w:val="18"/>
                <w:szCs w:val="18"/>
                <w:lang w:eastAsia="zh-CN"/>
              </w:rPr>
              <w:t>000</w:t>
            </w:r>
          </w:p>
        </w:tc>
        <w:tc>
          <w:tcPr>
            <w:tcW w:w="1255" w:type="dxa"/>
            <w:noWrap/>
            <w:vAlign w:val="bottom"/>
            <w:hideMark/>
          </w:tcPr>
          <w:p w:rsidR="001D6913" w:rsidRPr="00F77964" w:rsidRDefault="004F621B" w:rsidP="004F621B">
            <w:pPr>
              <w:pStyle w:val="Normal-pool"/>
              <w:spacing w:before="40" w:after="40"/>
              <w:jc w:val="right"/>
              <w:rPr>
                <w:rFonts w:eastAsia="SimSun"/>
                <w:sz w:val="18"/>
                <w:szCs w:val="18"/>
                <w:lang w:eastAsia="zh-CN"/>
              </w:rPr>
            </w:pPr>
            <w:r w:rsidRPr="00F77964">
              <w:rPr>
                <w:rFonts w:eastAsia="SimSun"/>
                <w:sz w:val="18"/>
                <w:szCs w:val="18"/>
                <w:lang w:eastAsia="zh-CN"/>
              </w:rPr>
              <w:t>1 </w:t>
            </w:r>
            <w:r w:rsidR="001D6913" w:rsidRPr="00F77964">
              <w:rPr>
                <w:rFonts w:eastAsia="SimSun"/>
                <w:sz w:val="18"/>
                <w:szCs w:val="18"/>
                <w:lang w:eastAsia="zh-CN"/>
              </w:rPr>
              <w:t>830</w:t>
            </w:r>
            <w:r w:rsidRPr="00F77964">
              <w:rPr>
                <w:rFonts w:eastAsia="SimSun"/>
                <w:sz w:val="18"/>
                <w:szCs w:val="18"/>
                <w:lang w:eastAsia="zh-CN"/>
              </w:rPr>
              <w:t> </w:t>
            </w:r>
            <w:r w:rsidR="001D6913" w:rsidRPr="00F77964">
              <w:rPr>
                <w:rFonts w:eastAsia="SimSun"/>
                <w:sz w:val="18"/>
                <w:szCs w:val="18"/>
                <w:lang w:eastAsia="zh-CN"/>
              </w:rPr>
              <w:t>000</w:t>
            </w:r>
          </w:p>
        </w:tc>
        <w:tc>
          <w:tcPr>
            <w:tcW w:w="1255" w:type="dxa"/>
            <w:noWrap/>
            <w:vAlign w:val="bottom"/>
            <w:hideMark/>
          </w:tcPr>
          <w:p w:rsidR="001D6913" w:rsidRPr="00F77964" w:rsidRDefault="001D6913" w:rsidP="001D6913">
            <w:pPr>
              <w:pStyle w:val="Normal-pool"/>
              <w:spacing w:before="40" w:after="40"/>
              <w:jc w:val="right"/>
              <w:rPr>
                <w:rFonts w:eastAsia="SimSun"/>
                <w:sz w:val="18"/>
                <w:szCs w:val="18"/>
                <w:lang w:eastAsia="zh-CN"/>
              </w:rPr>
            </w:pPr>
            <w:r w:rsidRPr="00F77964">
              <w:rPr>
                <w:rFonts w:eastAsia="SimSun"/>
                <w:sz w:val="18"/>
                <w:szCs w:val="18"/>
                <w:lang w:eastAsia="zh-CN"/>
              </w:rPr>
              <w:t>-</w:t>
            </w:r>
          </w:p>
        </w:tc>
        <w:tc>
          <w:tcPr>
            <w:tcW w:w="1255" w:type="dxa"/>
            <w:tcBorders>
              <w:top w:val="nil"/>
              <w:left w:val="nil"/>
              <w:bottom w:val="nil"/>
              <w:right w:val="single" w:sz="4" w:space="0" w:color="auto"/>
            </w:tcBorders>
            <w:shd w:val="clear" w:color="auto" w:fill="FFFFFF"/>
            <w:noWrap/>
            <w:vAlign w:val="bottom"/>
            <w:hideMark/>
          </w:tcPr>
          <w:p w:rsidR="001D6913" w:rsidRPr="00F77964" w:rsidRDefault="001D6913" w:rsidP="004F621B">
            <w:pPr>
              <w:pStyle w:val="Normal-pool"/>
              <w:spacing w:before="40" w:after="40"/>
              <w:jc w:val="right"/>
              <w:rPr>
                <w:rFonts w:eastAsia="SimSun"/>
                <w:b/>
                <w:sz w:val="18"/>
                <w:szCs w:val="18"/>
                <w:lang w:eastAsia="zh-CN"/>
              </w:rPr>
            </w:pPr>
            <w:r w:rsidRPr="00F77964">
              <w:rPr>
                <w:rFonts w:eastAsia="SimSun"/>
                <w:b/>
                <w:sz w:val="18"/>
                <w:szCs w:val="18"/>
                <w:lang w:eastAsia="zh-CN"/>
              </w:rPr>
              <w:t>7</w:t>
            </w:r>
            <w:r w:rsidR="004F621B" w:rsidRPr="00F77964">
              <w:rPr>
                <w:rFonts w:eastAsia="SimSun"/>
                <w:b/>
                <w:sz w:val="18"/>
                <w:szCs w:val="18"/>
                <w:lang w:eastAsia="zh-CN"/>
              </w:rPr>
              <w:t> </w:t>
            </w:r>
            <w:r w:rsidRPr="00F77964">
              <w:rPr>
                <w:rFonts w:eastAsia="SimSun"/>
                <w:b/>
                <w:sz w:val="18"/>
                <w:szCs w:val="18"/>
                <w:lang w:eastAsia="zh-CN"/>
              </w:rPr>
              <w:t>742</w:t>
            </w:r>
            <w:r w:rsidR="004F621B" w:rsidRPr="00F77964">
              <w:rPr>
                <w:rFonts w:eastAsia="SimSun"/>
                <w:b/>
                <w:sz w:val="18"/>
                <w:szCs w:val="18"/>
                <w:lang w:eastAsia="zh-CN"/>
              </w:rPr>
              <w:t> </w:t>
            </w:r>
            <w:r w:rsidRPr="00F77964">
              <w:rPr>
                <w:rFonts w:eastAsia="SimSun"/>
                <w:b/>
                <w:sz w:val="18"/>
                <w:szCs w:val="18"/>
                <w:lang w:eastAsia="zh-CN"/>
              </w:rPr>
              <w:t>500</w:t>
            </w:r>
          </w:p>
        </w:tc>
      </w:tr>
      <w:tr w:rsidR="001D6913" w:rsidRPr="0061490E" w:rsidTr="001D6913">
        <w:trPr>
          <w:trHeight w:val="240"/>
        </w:trPr>
        <w:tc>
          <w:tcPr>
            <w:tcW w:w="1254" w:type="dxa"/>
            <w:tcBorders>
              <w:top w:val="nil"/>
              <w:left w:val="single" w:sz="4" w:space="0" w:color="auto"/>
              <w:bottom w:val="nil"/>
              <w:right w:val="nil"/>
            </w:tcBorders>
            <w:noWrap/>
            <w:vAlign w:val="bottom"/>
            <w:hideMark/>
          </w:tcPr>
          <w:p w:rsidR="001D6913" w:rsidRPr="00F77964" w:rsidRDefault="001D6913" w:rsidP="004F621B">
            <w:pPr>
              <w:pStyle w:val="Normal-pool"/>
              <w:spacing w:before="40" w:after="40"/>
              <w:rPr>
                <w:rFonts w:eastAsia="SimSun"/>
                <w:sz w:val="18"/>
                <w:szCs w:val="18"/>
                <w:lang w:eastAsia="zh-CN"/>
              </w:rPr>
            </w:pPr>
            <w:r w:rsidRPr="00F77964">
              <w:rPr>
                <w:rFonts w:eastAsia="SimSun"/>
                <w:sz w:val="18"/>
                <w:szCs w:val="18"/>
                <w:lang w:eastAsia="zh-CN"/>
              </w:rPr>
              <w:t>2</w:t>
            </w:r>
            <w:r w:rsidR="004F621B" w:rsidRPr="00F77964">
              <w:rPr>
                <w:rFonts w:eastAsia="SimSun"/>
                <w:sz w:val="18"/>
                <w:szCs w:val="18"/>
                <w:lang w:eastAsia="zh-CN"/>
              </w:rPr>
              <w:t> </w:t>
            </w:r>
            <w:r w:rsidRPr="00F77964">
              <w:rPr>
                <w:rFonts w:eastAsia="SimSun"/>
                <w:sz w:val="18"/>
                <w:szCs w:val="18"/>
                <w:lang w:eastAsia="zh-CN"/>
              </w:rPr>
              <w:t>c)</w:t>
            </w:r>
          </w:p>
        </w:tc>
        <w:tc>
          <w:tcPr>
            <w:tcW w:w="1255" w:type="dxa"/>
            <w:noWrap/>
            <w:vAlign w:val="bottom"/>
            <w:hideMark/>
          </w:tcPr>
          <w:p w:rsidR="001D6913" w:rsidRPr="00F77964" w:rsidRDefault="001D6913" w:rsidP="001D6913">
            <w:pPr>
              <w:pStyle w:val="Normal-pool"/>
              <w:spacing w:before="40" w:after="40"/>
              <w:jc w:val="right"/>
              <w:rPr>
                <w:rFonts w:eastAsia="SimSun"/>
                <w:sz w:val="18"/>
                <w:szCs w:val="18"/>
                <w:lang w:eastAsia="zh-CN"/>
              </w:rPr>
            </w:pPr>
            <w:r w:rsidRPr="00F77964">
              <w:rPr>
                <w:rFonts w:eastAsia="SimSun"/>
                <w:sz w:val="18"/>
                <w:szCs w:val="18"/>
                <w:lang w:eastAsia="zh-CN"/>
              </w:rPr>
              <w:t>-</w:t>
            </w:r>
          </w:p>
        </w:tc>
        <w:tc>
          <w:tcPr>
            <w:tcW w:w="1255" w:type="dxa"/>
            <w:noWrap/>
            <w:vAlign w:val="bottom"/>
            <w:hideMark/>
          </w:tcPr>
          <w:p w:rsidR="001D6913" w:rsidRPr="00F77964" w:rsidRDefault="001D6913" w:rsidP="004F621B">
            <w:pPr>
              <w:pStyle w:val="Normal-pool"/>
              <w:spacing w:before="40" w:after="40"/>
              <w:jc w:val="right"/>
              <w:rPr>
                <w:rFonts w:eastAsia="SimSun"/>
                <w:sz w:val="18"/>
                <w:szCs w:val="18"/>
                <w:lang w:eastAsia="zh-CN"/>
              </w:rPr>
            </w:pPr>
            <w:r w:rsidRPr="00F77964">
              <w:rPr>
                <w:rFonts w:eastAsia="SimSun"/>
                <w:sz w:val="18"/>
                <w:szCs w:val="18"/>
                <w:lang w:eastAsia="zh-CN"/>
              </w:rPr>
              <w:t>146</w:t>
            </w:r>
            <w:r w:rsidR="004F621B" w:rsidRPr="00F77964">
              <w:rPr>
                <w:rFonts w:eastAsia="SimSun"/>
                <w:sz w:val="18"/>
                <w:szCs w:val="18"/>
                <w:lang w:eastAsia="zh-CN"/>
              </w:rPr>
              <w:t> </w:t>
            </w:r>
            <w:r w:rsidRPr="00F77964">
              <w:rPr>
                <w:rFonts w:eastAsia="SimSun"/>
                <w:sz w:val="18"/>
                <w:szCs w:val="18"/>
                <w:lang w:eastAsia="zh-CN"/>
              </w:rPr>
              <w:t>250</w:t>
            </w:r>
          </w:p>
        </w:tc>
        <w:tc>
          <w:tcPr>
            <w:tcW w:w="1254" w:type="dxa"/>
            <w:noWrap/>
            <w:vAlign w:val="bottom"/>
            <w:hideMark/>
          </w:tcPr>
          <w:p w:rsidR="001D6913" w:rsidRPr="00F77964" w:rsidRDefault="001D6913" w:rsidP="004F621B">
            <w:pPr>
              <w:pStyle w:val="Normal-pool"/>
              <w:spacing w:before="40" w:after="40"/>
              <w:jc w:val="right"/>
              <w:rPr>
                <w:rFonts w:eastAsia="SimSun"/>
                <w:sz w:val="18"/>
                <w:szCs w:val="18"/>
                <w:lang w:eastAsia="zh-CN"/>
              </w:rPr>
            </w:pPr>
            <w:r w:rsidRPr="00F77964">
              <w:rPr>
                <w:rFonts w:eastAsia="SimSun"/>
                <w:sz w:val="18"/>
                <w:szCs w:val="18"/>
                <w:lang w:eastAsia="zh-CN"/>
              </w:rPr>
              <w:t>712</w:t>
            </w:r>
            <w:r w:rsidR="004F621B" w:rsidRPr="00F77964">
              <w:rPr>
                <w:rFonts w:eastAsia="SimSun"/>
                <w:sz w:val="18"/>
                <w:szCs w:val="18"/>
                <w:lang w:eastAsia="zh-CN"/>
              </w:rPr>
              <w:t> </w:t>
            </w:r>
            <w:r w:rsidRPr="00F77964">
              <w:rPr>
                <w:rFonts w:eastAsia="SimSun"/>
                <w:sz w:val="18"/>
                <w:szCs w:val="18"/>
                <w:lang w:eastAsia="zh-CN"/>
              </w:rPr>
              <w:t>500</w:t>
            </w:r>
          </w:p>
        </w:tc>
        <w:tc>
          <w:tcPr>
            <w:tcW w:w="1255" w:type="dxa"/>
            <w:noWrap/>
            <w:vAlign w:val="bottom"/>
            <w:hideMark/>
          </w:tcPr>
          <w:p w:rsidR="001D6913" w:rsidRPr="00F77964" w:rsidRDefault="001D6913" w:rsidP="004F621B">
            <w:pPr>
              <w:pStyle w:val="Normal-pool"/>
              <w:spacing w:before="40" w:after="40"/>
              <w:jc w:val="right"/>
              <w:rPr>
                <w:rFonts w:eastAsia="SimSun"/>
                <w:sz w:val="18"/>
                <w:szCs w:val="18"/>
                <w:lang w:eastAsia="zh-CN"/>
              </w:rPr>
            </w:pPr>
            <w:r w:rsidRPr="00F77964">
              <w:rPr>
                <w:rFonts w:eastAsia="SimSun"/>
                <w:sz w:val="18"/>
                <w:szCs w:val="18"/>
                <w:lang w:eastAsia="zh-CN"/>
              </w:rPr>
              <w:t>712</w:t>
            </w:r>
            <w:r w:rsidR="004F621B" w:rsidRPr="00F77964">
              <w:rPr>
                <w:rFonts w:eastAsia="SimSun"/>
                <w:sz w:val="18"/>
                <w:szCs w:val="18"/>
                <w:lang w:eastAsia="zh-CN"/>
              </w:rPr>
              <w:t> </w:t>
            </w:r>
            <w:r w:rsidRPr="00F77964">
              <w:rPr>
                <w:rFonts w:eastAsia="SimSun"/>
                <w:sz w:val="18"/>
                <w:szCs w:val="18"/>
                <w:lang w:eastAsia="zh-CN"/>
              </w:rPr>
              <w:t>500</w:t>
            </w:r>
          </w:p>
        </w:tc>
        <w:tc>
          <w:tcPr>
            <w:tcW w:w="1255" w:type="dxa"/>
            <w:noWrap/>
            <w:vAlign w:val="bottom"/>
            <w:hideMark/>
          </w:tcPr>
          <w:p w:rsidR="001D6913" w:rsidRPr="00F77964" w:rsidRDefault="001D6913" w:rsidP="004F621B">
            <w:pPr>
              <w:pStyle w:val="Normal-pool"/>
              <w:spacing w:before="40" w:after="40"/>
              <w:jc w:val="right"/>
              <w:rPr>
                <w:rFonts w:eastAsia="SimSun"/>
                <w:sz w:val="18"/>
                <w:szCs w:val="18"/>
                <w:lang w:eastAsia="zh-CN"/>
              </w:rPr>
            </w:pPr>
            <w:r w:rsidRPr="00F77964">
              <w:rPr>
                <w:rFonts w:eastAsia="SimSun"/>
                <w:sz w:val="18"/>
                <w:szCs w:val="18"/>
                <w:lang w:eastAsia="zh-CN"/>
              </w:rPr>
              <w:t>1</w:t>
            </w:r>
            <w:r w:rsidR="004F621B" w:rsidRPr="00F77964">
              <w:rPr>
                <w:rFonts w:eastAsia="SimSun"/>
                <w:sz w:val="18"/>
                <w:szCs w:val="18"/>
                <w:lang w:eastAsia="zh-CN"/>
              </w:rPr>
              <w:t> </w:t>
            </w:r>
            <w:r w:rsidRPr="00F77964">
              <w:rPr>
                <w:rFonts w:eastAsia="SimSun"/>
                <w:sz w:val="18"/>
                <w:szCs w:val="18"/>
                <w:lang w:eastAsia="zh-CN"/>
              </w:rPr>
              <w:t>432</w:t>
            </w:r>
            <w:r w:rsidR="004F621B" w:rsidRPr="00F77964">
              <w:rPr>
                <w:rFonts w:eastAsia="SimSun"/>
                <w:sz w:val="18"/>
                <w:szCs w:val="18"/>
                <w:lang w:eastAsia="zh-CN"/>
              </w:rPr>
              <w:t> </w:t>
            </w:r>
            <w:r w:rsidRPr="00F77964">
              <w:rPr>
                <w:rFonts w:eastAsia="SimSun"/>
                <w:sz w:val="18"/>
                <w:szCs w:val="18"/>
                <w:lang w:eastAsia="zh-CN"/>
              </w:rPr>
              <w:t>500</w:t>
            </w:r>
          </w:p>
        </w:tc>
        <w:tc>
          <w:tcPr>
            <w:tcW w:w="1255" w:type="dxa"/>
            <w:tcBorders>
              <w:top w:val="nil"/>
              <w:left w:val="nil"/>
              <w:bottom w:val="nil"/>
              <w:right w:val="single" w:sz="4" w:space="0" w:color="auto"/>
            </w:tcBorders>
            <w:shd w:val="clear" w:color="auto" w:fill="FFFFFF"/>
            <w:noWrap/>
            <w:vAlign w:val="bottom"/>
            <w:hideMark/>
          </w:tcPr>
          <w:p w:rsidR="001D6913" w:rsidRPr="00F77964" w:rsidRDefault="001D6913" w:rsidP="004F621B">
            <w:pPr>
              <w:pStyle w:val="Normal-pool"/>
              <w:spacing w:before="40" w:after="40"/>
              <w:jc w:val="right"/>
              <w:rPr>
                <w:rFonts w:eastAsia="SimSun"/>
                <w:b/>
                <w:sz w:val="18"/>
                <w:szCs w:val="18"/>
                <w:lang w:eastAsia="zh-CN"/>
              </w:rPr>
            </w:pPr>
            <w:r w:rsidRPr="00F77964">
              <w:rPr>
                <w:rFonts w:eastAsia="SimSun"/>
                <w:b/>
                <w:sz w:val="18"/>
                <w:szCs w:val="18"/>
                <w:lang w:eastAsia="zh-CN"/>
              </w:rPr>
              <w:t>3</w:t>
            </w:r>
            <w:r w:rsidR="004F621B" w:rsidRPr="00F77964">
              <w:rPr>
                <w:rFonts w:eastAsia="SimSun"/>
                <w:b/>
                <w:sz w:val="18"/>
                <w:szCs w:val="18"/>
                <w:lang w:eastAsia="zh-CN"/>
              </w:rPr>
              <w:t> </w:t>
            </w:r>
            <w:r w:rsidRPr="00F77964">
              <w:rPr>
                <w:rFonts w:eastAsia="SimSun"/>
                <w:b/>
                <w:sz w:val="18"/>
                <w:szCs w:val="18"/>
                <w:lang w:eastAsia="zh-CN"/>
              </w:rPr>
              <w:t>003</w:t>
            </w:r>
            <w:r w:rsidR="004F621B" w:rsidRPr="00F77964">
              <w:rPr>
                <w:rFonts w:eastAsia="SimSun"/>
                <w:b/>
                <w:sz w:val="18"/>
                <w:szCs w:val="18"/>
                <w:lang w:eastAsia="zh-CN"/>
              </w:rPr>
              <w:t> </w:t>
            </w:r>
            <w:r w:rsidRPr="00F77964">
              <w:rPr>
                <w:rFonts w:eastAsia="SimSun"/>
                <w:b/>
                <w:sz w:val="18"/>
                <w:szCs w:val="18"/>
                <w:lang w:eastAsia="zh-CN"/>
              </w:rPr>
              <w:t>750</w:t>
            </w:r>
          </w:p>
        </w:tc>
      </w:tr>
      <w:tr w:rsidR="001D6913" w:rsidRPr="0061490E" w:rsidTr="001D6913">
        <w:trPr>
          <w:trHeight w:val="240"/>
        </w:trPr>
        <w:tc>
          <w:tcPr>
            <w:tcW w:w="1254" w:type="dxa"/>
            <w:tcBorders>
              <w:top w:val="nil"/>
              <w:left w:val="single" w:sz="4" w:space="0" w:color="auto"/>
              <w:bottom w:val="nil"/>
              <w:right w:val="nil"/>
            </w:tcBorders>
            <w:noWrap/>
            <w:vAlign w:val="bottom"/>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 </w:t>
            </w:r>
          </w:p>
        </w:tc>
        <w:tc>
          <w:tcPr>
            <w:tcW w:w="1255" w:type="dxa"/>
            <w:noWrap/>
            <w:vAlign w:val="bottom"/>
            <w:hideMark/>
          </w:tcPr>
          <w:p w:rsidR="001D6913" w:rsidRPr="0061490E" w:rsidRDefault="001D6913" w:rsidP="001D6913">
            <w:pPr>
              <w:rPr>
                <w:lang w:eastAsia="fr-FR"/>
              </w:rPr>
            </w:pPr>
          </w:p>
        </w:tc>
        <w:tc>
          <w:tcPr>
            <w:tcW w:w="1255" w:type="dxa"/>
            <w:noWrap/>
            <w:vAlign w:val="bottom"/>
            <w:hideMark/>
          </w:tcPr>
          <w:p w:rsidR="001D6913" w:rsidRPr="0061490E" w:rsidRDefault="001D6913" w:rsidP="001D6913">
            <w:pPr>
              <w:rPr>
                <w:lang w:eastAsia="fr-FR"/>
              </w:rPr>
            </w:pPr>
          </w:p>
        </w:tc>
        <w:tc>
          <w:tcPr>
            <w:tcW w:w="1254" w:type="dxa"/>
            <w:noWrap/>
            <w:vAlign w:val="bottom"/>
            <w:hideMark/>
          </w:tcPr>
          <w:p w:rsidR="001D6913" w:rsidRPr="0061490E" w:rsidRDefault="001D6913" w:rsidP="001D6913">
            <w:pPr>
              <w:rPr>
                <w:lang w:eastAsia="fr-FR"/>
              </w:rPr>
            </w:pPr>
          </w:p>
        </w:tc>
        <w:tc>
          <w:tcPr>
            <w:tcW w:w="1255" w:type="dxa"/>
            <w:noWrap/>
            <w:vAlign w:val="bottom"/>
            <w:hideMark/>
          </w:tcPr>
          <w:p w:rsidR="001D6913" w:rsidRPr="0061490E" w:rsidRDefault="001D6913" w:rsidP="001D6913">
            <w:pPr>
              <w:rPr>
                <w:lang w:eastAsia="fr-FR"/>
              </w:rPr>
            </w:pPr>
          </w:p>
        </w:tc>
        <w:tc>
          <w:tcPr>
            <w:tcW w:w="1255" w:type="dxa"/>
            <w:noWrap/>
            <w:vAlign w:val="bottom"/>
            <w:hideMark/>
          </w:tcPr>
          <w:p w:rsidR="001D6913" w:rsidRPr="0061490E" w:rsidRDefault="001D6913" w:rsidP="001D6913">
            <w:pPr>
              <w:rPr>
                <w:lang w:eastAsia="fr-FR"/>
              </w:rPr>
            </w:pPr>
          </w:p>
        </w:tc>
        <w:tc>
          <w:tcPr>
            <w:tcW w:w="1255" w:type="dxa"/>
            <w:tcBorders>
              <w:top w:val="nil"/>
              <w:left w:val="nil"/>
              <w:bottom w:val="nil"/>
              <w:right w:val="single" w:sz="4" w:space="0" w:color="auto"/>
            </w:tcBorders>
            <w:shd w:val="clear" w:color="auto" w:fill="FFFFFF"/>
            <w:noWrap/>
            <w:vAlign w:val="bottom"/>
            <w:hideMark/>
          </w:tcPr>
          <w:p w:rsidR="001D6913" w:rsidRPr="00F77964" w:rsidRDefault="001D6913" w:rsidP="001D6913">
            <w:pPr>
              <w:pStyle w:val="Normal-pool"/>
              <w:spacing w:before="40" w:after="40"/>
              <w:jc w:val="right"/>
              <w:rPr>
                <w:rFonts w:eastAsia="SimSun"/>
                <w:b/>
                <w:sz w:val="18"/>
                <w:szCs w:val="18"/>
                <w:lang w:eastAsia="zh-CN"/>
              </w:rPr>
            </w:pPr>
            <w:r w:rsidRPr="00F77964">
              <w:rPr>
                <w:rFonts w:eastAsia="SimSun"/>
                <w:b/>
                <w:sz w:val="18"/>
                <w:szCs w:val="18"/>
                <w:lang w:eastAsia="zh-CN"/>
              </w:rPr>
              <w:t> </w:t>
            </w:r>
          </w:p>
        </w:tc>
      </w:tr>
      <w:tr w:rsidR="001D6913" w:rsidRPr="0061490E" w:rsidTr="001D6913">
        <w:trPr>
          <w:trHeight w:val="240"/>
        </w:trPr>
        <w:tc>
          <w:tcPr>
            <w:tcW w:w="1254" w:type="dxa"/>
            <w:tcBorders>
              <w:top w:val="nil"/>
              <w:left w:val="single" w:sz="4" w:space="0" w:color="auto"/>
              <w:bottom w:val="nil"/>
              <w:right w:val="nil"/>
            </w:tcBorders>
            <w:noWrap/>
            <w:vAlign w:val="bottom"/>
            <w:hideMark/>
          </w:tcPr>
          <w:p w:rsidR="001D6913" w:rsidRPr="00F77964" w:rsidRDefault="001D6913" w:rsidP="004F621B">
            <w:pPr>
              <w:pStyle w:val="Normal-pool"/>
              <w:spacing w:before="40" w:after="40"/>
              <w:rPr>
                <w:rFonts w:eastAsia="SimSun"/>
                <w:sz w:val="18"/>
                <w:szCs w:val="18"/>
                <w:lang w:eastAsia="zh-CN"/>
              </w:rPr>
            </w:pPr>
            <w:r w:rsidRPr="00F77964">
              <w:rPr>
                <w:rFonts w:eastAsia="SimSun"/>
                <w:sz w:val="18"/>
                <w:szCs w:val="18"/>
                <w:lang w:eastAsia="zh-CN"/>
              </w:rPr>
              <w:t>3</w:t>
            </w:r>
            <w:r w:rsidR="004F621B" w:rsidRPr="00F77964">
              <w:rPr>
                <w:rFonts w:eastAsia="SimSun"/>
                <w:sz w:val="18"/>
                <w:szCs w:val="18"/>
                <w:lang w:eastAsia="zh-CN"/>
              </w:rPr>
              <w:t> </w:t>
            </w:r>
            <w:r w:rsidRPr="00F77964">
              <w:rPr>
                <w:rFonts w:eastAsia="SimSun"/>
                <w:sz w:val="18"/>
                <w:szCs w:val="18"/>
                <w:lang w:eastAsia="zh-CN"/>
              </w:rPr>
              <w:t>a)</w:t>
            </w:r>
          </w:p>
        </w:tc>
        <w:tc>
          <w:tcPr>
            <w:tcW w:w="1255" w:type="dxa"/>
            <w:noWrap/>
            <w:vAlign w:val="bottom"/>
            <w:hideMark/>
          </w:tcPr>
          <w:p w:rsidR="001D6913" w:rsidRPr="00F77964" w:rsidRDefault="001D6913" w:rsidP="004F621B">
            <w:pPr>
              <w:pStyle w:val="Normal-pool"/>
              <w:spacing w:before="40" w:after="40"/>
              <w:jc w:val="right"/>
              <w:rPr>
                <w:rFonts w:eastAsia="SimSun"/>
                <w:sz w:val="18"/>
                <w:szCs w:val="18"/>
                <w:lang w:eastAsia="zh-CN"/>
              </w:rPr>
            </w:pPr>
            <w:r w:rsidRPr="00F77964">
              <w:rPr>
                <w:rFonts w:eastAsia="SimSun"/>
                <w:sz w:val="18"/>
                <w:szCs w:val="18"/>
                <w:lang w:eastAsia="zh-CN"/>
              </w:rPr>
              <w:t>690</w:t>
            </w:r>
            <w:r w:rsidR="004F621B" w:rsidRPr="00F77964">
              <w:rPr>
                <w:rFonts w:eastAsia="SimSun"/>
                <w:sz w:val="18"/>
                <w:szCs w:val="18"/>
                <w:lang w:eastAsia="zh-CN"/>
              </w:rPr>
              <w:t> </w:t>
            </w:r>
            <w:r w:rsidRPr="00F77964">
              <w:rPr>
                <w:rFonts w:eastAsia="SimSun"/>
                <w:sz w:val="18"/>
                <w:szCs w:val="18"/>
                <w:lang w:eastAsia="zh-CN"/>
              </w:rPr>
              <w:t>750</w:t>
            </w:r>
          </w:p>
        </w:tc>
        <w:tc>
          <w:tcPr>
            <w:tcW w:w="1255" w:type="dxa"/>
            <w:noWrap/>
            <w:vAlign w:val="bottom"/>
            <w:hideMark/>
          </w:tcPr>
          <w:p w:rsidR="001D6913" w:rsidRPr="00F77964" w:rsidRDefault="001D6913" w:rsidP="004F621B">
            <w:pPr>
              <w:pStyle w:val="Normal-pool"/>
              <w:spacing w:before="40" w:after="40"/>
              <w:jc w:val="right"/>
              <w:rPr>
                <w:rFonts w:eastAsia="SimSun"/>
                <w:sz w:val="18"/>
                <w:szCs w:val="18"/>
                <w:lang w:eastAsia="zh-CN"/>
              </w:rPr>
            </w:pPr>
            <w:r w:rsidRPr="00F77964">
              <w:rPr>
                <w:rFonts w:eastAsia="SimSun"/>
                <w:sz w:val="18"/>
                <w:szCs w:val="18"/>
                <w:lang w:eastAsia="zh-CN"/>
              </w:rPr>
              <w:t>126</w:t>
            </w:r>
            <w:r w:rsidR="004F621B" w:rsidRPr="00F77964">
              <w:rPr>
                <w:rFonts w:eastAsia="SimSun"/>
                <w:sz w:val="18"/>
                <w:szCs w:val="18"/>
                <w:lang w:eastAsia="zh-CN"/>
              </w:rPr>
              <w:t> </w:t>
            </w:r>
            <w:r w:rsidRPr="00F77964">
              <w:rPr>
                <w:rFonts w:eastAsia="SimSun"/>
                <w:sz w:val="18"/>
                <w:szCs w:val="18"/>
                <w:lang w:eastAsia="zh-CN"/>
              </w:rPr>
              <w:t>000</w:t>
            </w:r>
          </w:p>
        </w:tc>
        <w:tc>
          <w:tcPr>
            <w:tcW w:w="1254" w:type="dxa"/>
            <w:noWrap/>
            <w:vAlign w:val="bottom"/>
            <w:hideMark/>
          </w:tcPr>
          <w:p w:rsidR="001D6913" w:rsidRPr="00F77964" w:rsidRDefault="001D6913" w:rsidP="001D6913">
            <w:pPr>
              <w:pStyle w:val="Normal-pool"/>
              <w:spacing w:before="40" w:after="40"/>
              <w:jc w:val="right"/>
              <w:rPr>
                <w:rFonts w:eastAsia="SimSun"/>
                <w:sz w:val="18"/>
                <w:szCs w:val="18"/>
                <w:lang w:eastAsia="zh-CN"/>
              </w:rPr>
            </w:pPr>
            <w:r w:rsidRPr="00F77964">
              <w:rPr>
                <w:rFonts w:eastAsia="SimSun"/>
                <w:sz w:val="18"/>
                <w:szCs w:val="18"/>
                <w:lang w:eastAsia="zh-CN"/>
              </w:rPr>
              <w:t>-</w:t>
            </w:r>
          </w:p>
        </w:tc>
        <w:tc>
          <w:tcPr>
            <w:tcW w:w="1255" w:type="dxa"/>
            <w:noWrap/>
            <w:vAlign w:val="bottom"/>
            <w:hideMark/>
          </w:tcPr>
          <w:p w:rsidR="001D6913" w:rsidRPr="00F77964" w:rsidRDefault="001D6913" w:rsidP="001D6913">
            <w:pPr>
              <w:pStyle w:val="Normal-pool"/>
              <w:spacing w:before="40" w:after="40"/>
              <w:jc w:val="right"/>
              <w:rPr>
                <w:rFonts w:eastAsia="SimSun"/>
                <w:sz w:val="18"/>
                <w:szCs w:val="18"/>
                <w:lang w:eastAsia="zh-CN"/>
              </w:rPr>
            </w:pPr>
            <w:r w:rsidRPr="00F77964">
              <w:rPr>
                <w:rFonts w:eastAsia="SimSun"/>
                <w:sz w:val="18"/>
                <w:szCs w:val="18"/>
                <w:lang w:eastAsia="zh-CN"/>
              </w:rPr>
              <w:t>-</w:t>
            </w:r>
          </w:p>
        </w:tc>
        <w:tc>
          <w:tcPr>
            <w:tcW w:w="1255" w:type="dxa"/>
            <w:noWrap/>
            <w:vAlign w:val="bottom"/>
            <w:hideMark/>
          </w:tcPr>
          <w:p w:rsidR="001D6913" w:rsidRPr="00F77964" w:rsidRDefault="001D6913" w:rsidP="001D6913">
            <w:pPr>
              <w:pStyle w:val="Normal-pool"/>
              <w:spacing w:before="40" w:after="40"/>
              <w:jc w:val="right"/>
              <w:rPr>
                <w:rFonts w:eastAsia="SimSun"/>
                <w:sz w:val="18"/>
                <w:szCs w:val="18"/>
                <w:lang w:eastAsia="zh-CN"/>
              </w:rPr>
            </w:pPr>
            <w:r w:rsidRPr="00F77964">
              <w:rPr>
                <w:rFonts w:eastAsia="SimSun"/>
                <w:sz w:val="18"/>
                <w:szCs w:val="18"/>
                <w:lang w:eastAsia="zh-CN"/>
              </w:rPr>
              <w:t>-</w:t>
            </w:r>
          </w:p>
        </w:tc>
        <w:tc>
          <w:tcPr>
            <w:tcW w:w="1255" w:type="dxa"/>
            <w:tcBorders>
              <w:top w:val="nil"/>
              <w:left w:val="nil"/>
              <w:bottom w:val="nil"/>
              <w:right w:val="single" w:sz="4" w:space="0" w:color="auto"/>
            </w:tcBorders>
            <w:shd w:val="clear" w:color="auto" w:fill="FFFFFF"/>
            <w:noWrap/>
            <w:vAlign w:val="bottom"/>
            <w:hideMark/>
          </w:tcPr>
          <w:p w:rsidR="001D6913" w:rsidRPr="00F77964" w:rsidRDefault="001D6913" w:rsidP="004F621B">
            <w:pPr>
              <w:pStyle w:val="Normal-pool"/>
              <w:spacing w:before="40" w:after="40"/>
              <w:jc w:val="right"/>
              <w:rPr>
                <w:rFonts w:eastAsia="SimSun"/>
                <w:b/>
                <w:sz w:val="18"/>
                <w:szCs w:val="18"/>
                <w:lang w:eastAsia="zh-CN"/>
              </w:rPr>
            </w:pPr>
            <w:r w:rsidRPr="00F77964">
              <w:rPr>
                <w:rFonts w:eastAsia="SimSun"/>
                <w:b/>
                <w:sz w:val="18"/>
                <w:szCs w:val="18"/>
                <w:lang w:eastAsia="zh-CN"/>
              </w:rPr>
              <w:t>816</w:t>
            </w:r>
            <w:r w:rsidR="004F621B" w:rsidRPr="00F77964">
              <w:rPr>
                <w:rFonts w:eastAsia="SimSun"/>
                <w:b/>
                <w:sz w:val="18"/>
                <w:szCs w:val="18"/>
                <w:lang w:eastAsia="zh-CN"/>
              </w:rPr>
              <w:t> </w:t>
            </w:r>
            <w:r w:rsidRPr="00F77964">
              <w:rPr>
                <w:rFonts w:eastAsia="SimSun"/>
                <w:b/>
                <w:sz w:val="18"/>
                <w:szCs w:val="18"/>
                <w:lang w:eastAsia="zh-CN"/>
              </w:rPr>
              <w:t>750</w:t>
            </w:r>
          </w:p>
        </w:tc>
      </w:tr>
      <w:tr w:rsidR="001D6913" w:rsidRPr="0061490E" w:rsidTr="001D6913">
        <w:trPr>
          <w:trHeight w:val="240"/>
        </w:trPr>
        <w:tc>
          <w:tcPr>
            <w:tcW w:w="1254" w:type="dxa"/>
            <w:tcBorders>
              <w:top w:val="nil"/>
              <w:left w:val="single" w:sz="4" w:space="0" w:color="auto"/>
              <w:bottom w:val="nil"/>
              <w:right w:val="nil"/>
            </w:tcBorders>
            <w:noWrap/>
            <w:vAlign w:val="bottom"/>
            <w:hideMark/>
          </w:tcPr>
          <w:p w:rsidR="001D6913" w:rsidRPr="00F77964" w:rsidRDefault="001D6913" w:rsidP="004F621B">
            <w:pPr>
              <w:pStyle w:val="Normal-pool"/>
              <w:spacing w:before="40" w:after="40"/>
              <w:rPr>
                <w:rFonts w:eastAsia="SimSun"/>
                <w:sz w:val="18"/>
                <w:szCs w:val="18"/>
                <w:lang w:eastAsia="zh-CN"/>
              </w:rPr>
            </w:pPr>
            <w:r w:rsidRPr="00F77964">
              <w:rPr>
                <w:rFonts w:eastAsia="SimSun"/>
                <w:sz w:val="18"/>
                <w:szCs w:val="18"/>
                <w:lang w:eastAsia="zh-CN"/>
              </w:rPr>
              <w:t>3</w:t>
            </w:r>
            <w:r w:rsidR="004F621B" w:rsidRPr="00F77964">
              <w:rPr>
                <w:rFonts w:eastAsia="SimSun"/>
                <w:sz w:val="18"/>
                <w:szCs w:val="18"/>
                <w:lang w:eastAsia="zh-CN"/>
              </w:rPr>
              <w:t> </w:t>
            </w:r>
            <w:r w:rsidRPr="00F77964">
              <w:rPr>
                <w:rFonts w:eastAsia="SimSun"/>
                <w:sz w:val="18"/>
                <w:szCs w:val="18"/>
                <w:lang w:eastAsia="zh-CN"/>
              </w:rPr>
              <w:t>b)</w:t>
            </w:r>
            <w:r w:rsidR="004F621B" w:rsidRPr="00F77964">
              <w:rPr>
                <w:rFonts w:eastAsia="SimSun"/>
                <w:sz w:val="18"/>
                <w:szCs w:val="18"/>
                <w:lang w:eastAsia="zh-CN"/>
              </w:rPr>
              <w:t> </w:t>
            </w:r>
            <w:r w:rsidRPr="00F77964">
              <w:rPr>
                <w:rFonts w:eastAsia="SimSun"/>
                <w:sz w:val="18"/>
                <w:szCs w:val="18"/>
                <w:lang w:eastAsia="zh-CN"/>
              </w:rPr>
              <w:t>i)</w:t>
            </w:r>
          </w:p>
        </w:tc>
        <w:tc>
          <w:tcPr>
            <w:tcW w:w="1255" w:type="dxa"/>
            <w:noWrap/>
            <w:vAlign w:val="bottom"/>
            <w:hideMark/>
          </w:tcPr>
          <w:p w:rsidR="001D6913" w:rsidRPr="00F77964" w:rsidRDefault="001D6913" w:rsidP="004F621B">
            <w:pPr>
              <w:pStyle w:val="Normal-pool"/>
              <w:spacing w:before="40" w:after="40"/>
              <w:jc w:val="right"/>
              <w:rPr>
                <w:rFonts w:eastAsia="SimSun"/>
                <w:sz w:val="18"/>
                <w:szCs w:val="18"/>
                <w:lang w:eastAsia="zh-CN"/>
              </w:rPr>
            </w:pPr>
            <w:r w:rsidRPr="00F77964">
              <w:rPr>
                <w:rFonts w:eastAsia="SimSun"/>
                <w:sz w:val="18"/>
                <w:szCs w:val="18"/>
                <w:lang w:eastAsia="zh-CN"/>
              </w:rPr>
              <w:t>383</w:t>
            </w:r>
            <w:r w:rsidR="004F621B" w:rsidRPr="00F77964">
              <w:rPr>
                <w:rFonts w:eastAsia="SimSun"/>
                <w:sz w:val="18"/>
                <w:szCs w:val="18"/>
                <w:lang w:eastAsia="zh-CN"/>
              </w:rPr>
              <w:t> </w:t>
            </w:r>
            <w:r w:rsidRPr="00F77964">
              <w:rPr>
                <w:rFonts w:eastAsia="SimSun"/>
                <w:sz w:val="18"/>
                <w:szCs w:val="18"/>
                <w:lang w:eastAsia="zh-CN"/>
              </w:rPr>
              <w:t>250</w:t>
            </w:r>
          </w:p>
        </w:tc>
        <w:tc>
          <w:tcPr>
            <w:tcW w:w="1255" w:type="dxa"/>
            <w:noWrap/>
            <w:vAlign w:val="bottom"/>
            <w:hideMark/>
          </w:tcPr>
          <w:p w:rsidR="001D6913" w:rsidRPr="00F77964" w:rsidRDefault="001D6913" w:rsidP="004F621B">
            <w:pPr>
              <w:pStyle w:val="Normal-pool"/>
              <w:spacing w:before="40" w:after="40"/>
              <w:jc w:val="right"/>
              <w:rPr>
                <w:rFonts w:eastAsia="SimSun"/>
                <w:sz w:val="18"/>
                <w:szCs w:val="18"/>
                <w:lang w:eastAsia="zh-CN"/>
              </w:rPr>
            </w:pPr>
            <w:r w:rsidRPr="00F77964">
              <w:rPr>
                <w:rFonts w:eastAsia="SimSun"/>
                <w:sz w:val="18"/>
                <w:szCs w:val="18"/>
                <w:lang w:eastAsia="zh-CN"/>
              </w:rPr>
              <w:t>562</w:t>
            </w:r>
            <w:r w:rsidR="004F621B" w:rsidRPr="00F77964">
              <w:rPr>
                <w:rFonts w:eastAsia="SimSun"/>
                <w:sz w:val="18"/>
                <w:szCs w:val="18"/>
                <w:lang w:eastAsia="zh-CN"/>
              </w:rPr>
              <w:t> </w:t>
            </w:r>
            <w:r w:rsidRPr="00F77964">
              <w:rPr>
                <w:rFonts w:eastAsia="SimSun"/>
                <w:sz w:val="18"/>
                <w:szCs w:val="18"/>
                <w:lang w:eastAsia="zh-CN"/>
              </w:rPr>
              <w:t>500</w:t>
            </w:r>
          </w:p>
        </w:tc>
        <w:tc>
          <w:tcPr>
            <w:tcW w:w="1254" w:type="dxa"/>
            <w:noWrap/>
            <w:vAlign w:val="bottom"/>
            <w:hideMark/>
          </w:tcPr>
          <w:p w:rsidR="001D6913" w:rsidRPr="00F77964" w:rsidRDefault="001D6913" w:rsidP="004F621B">
            <w:pPr>
              <w:pStyle w:val="Normal-pool"/>
              <w:spacing w:before="40" w:after="40"/>
              <w:jc w:val="right"/>
              <w:rPr>
                <w:rFonts w:eastAsia="SimSun"/>
                <w:sz w:val="18"/>
                <w:szCs w:val="18"/>
                <w:lang w:eastAsia="zh-CN"/>
              </w:rPr>
            </w:pPr>
            <w:r w:rsidRPr="00F77964">
              <w:rPr>
                <w:rFonts w:eastAsia="SimSun"/>
                <w:sz w:val="18"/>
                <w:szCs w:val="18"/>
                <w:lang w:eastAsia="zh-CN"/>
              </w:rPr>
              <w:t>126</w:t>
            </w:r>
            <w:r w:rsidR="004F621B" w:rsidRPr="00F77964">
              <w:rPr>
                <w:rFonts w:eastAsia="SimSun"/>
                <w:sz w:val="18"/>
                <w:szCs w:val="18"/>
                <w:lang w:eastAsia="zh-CN"/>
              </w:rPr>
              <w:t> </w:t>
            </w:r>
            <w:r w:rsidRPr="00F77964">
              <w:rPr>
                <w:rFonts w:eastAsia="SimSun"/>
                <w:sz w:val="18"/>
                <w:szCs w:val="18"/>
                <w:lang w:eastAsia="zh-CN"/>
              </w:rPr>
              <w:t>000</w:t>
            </w:r>
          </w:p>
        </w:tc>
        <w:tc>
          <w:tcPr>
            <w:tcW w:w="1255" w:type="dxa"/>
            <w:noWrap/>
            <w:vAlign w:val="bottom"/>
            <w:hideMark/>
          </w:tcPr>
          <w:p w:rsidR="001D6913" w:rsidRPr="00F77964" w:rsidRDefault="001D6913" w:rsidP="001D6913">
            <w:pPr>
              <w:pStyle w:val="Normal-pool"/>
              <w:spacing w:before="40" w:after="40"/>
              <w:jc w:val="right"/>
              <w:rPr>
                <w:rFonts w:eastAsia="SimSun"/>
                <w:sz w:val="18"/>
                <w:szCs w:val="18"/>
                <w:lang w:eastAsia="zh-CN"/>
              </w:rPr>
            </w:pPr>
            <w:r w:rsidRPr="00F77964">
              <w:rPr>
                <w:rFonts w:eastAsia="SimSun"/>
                <w:sz w:val="18"/>
                <w:szCs w:val="18"/>
                <w:lang w:eastAsia="zh-CN"/>
              </w:rPr>
              <w:t>-</w:t>
            </w:r>
          </w:p>
        </w:tc>
        <w:tc>
          <w:tcPr>
            <w:tcW w:w="1255" w:type="dxa"/>
            <w:noWrap/>
            <w:vAlign w:val="bottom"/>
            <w:hideMark/>
          </w:tcPr>
          <w:p w:rsidR="001D6913" w:rsidRPr="00F77964" w:rsidRDefault="001D6913" w:rsidP="001D6913">
            <w:pPr>
              <w:pStyle w:val="Normal-pool"/>
              <w:spacing w:before="40" w:after="40"/>
              <w:jc w:val="right"/>
              <w:rPr>
                <w:rFonts w:eastAsia="SimSun"/>
                <w:sz w:val="18"/>
                <w:szCs w:val="18"/>
                <w:lang w:eastAsia="zh-CN"/>
              </w:rPr>
            </w:pPr>
            <w:r w:rsidRPr="00F77964">
              <w:rPr>
                <w:rFonts w:eastAsia="SimSun"/>
                <w:sz w:val="18"/>
                <w:szCs w:val="18"/>
                <w:lang w:eastAsia="zh-CN"/>
              </w:rPr>
              <w:t>-</w:t>
            </w:r>
          </w:p>
        </w:tc>
        <w:tc>
          <w:tcPr>
            <w:tcW w:w="1255" w:type="dxa"/>
            <w:tcBorders>
              <w:top w:val="nil"/>
              <w:left w:val="nil"/>
              <w:bottom w:val="nil"/>
              <w:right w:val="single" w:sz="4" w:space="0" w:color="auto"/>
            </w:tcBorders>
            <w:shd w:val="clear" w:color="auto" w:fill="FFFFFF"/>
            <w:noWrap/>
            <w:vAlign w:val="bottom"/>
            <w:hideMark/>
          </w:tcPr>
          <w:p w:rsidR="001D6913" w:rsidRPr="00F77964" w:rsidRDefault="001D6913" w:rsidP="004F621B">
            <w:pPr>
              <w:pStyle w:val="Normal-pool"/>
              <w:spacing w:before="40" w:after="40"/>
              <w:jc w:val="right"/>
              <w:rPr>
                <w:rFonts w:eastAsia="SimSun"/>
                <w:b/>
                <w:sz w:val="18"/>
                <w:szCs w:val="18"/>
                <w:lang w:eastAsia="zh-CN"/>
              </w:rPr>
            </w:pPr>
            <w:r w:rsidRPr="00F77964">
              <w:rPr>
                <w:rFonts w:eastAsia="SimSun"/>
                <w:b/>
                <w:sz w:val="18"/>
                <w:szCs w:val="18"/>
                <w:lang w:eastAsia="zh-CN"/>
              </w:rPr>
              <w:t>1</w:t>
            </w:r>
            <w:r w:rsidR="004F621B" w:rsidRPr="00F77964">
              <w:rPr>
                <w:rFonts w:eastAsia="SimSun"/>
                <w:b/>
                <w:sz w:val="18"/>
                <w:szCs w:val="18"/>
                <w:lang w:eastAsia="zh-CN"/>
              </w:rPr>
              <w:t> </w:t>
            </w:r>
            <w:r w:rsidRPr="00F77964">
              <w:rPr>
                <w:rFonts w:eastAsia="SimSun"/>
                <w:b/>
                <w:sz w:val="18"/>
                <w:szCs w:val="18"/>
                <w:lang w:eastAsia="zh-CN"/>
              </w:rPr>
              <w:t>071</w:t>
            </w:r>
            <w:r w:rsidR="004F621B" w:rsidRPr="00F77964">
              <w:rPr>
                <w:rFonts w:eastAsia="SimSun"/>
                <w:b/>
                <w:sz w:val="18"/>
                <w:szCs w:val="18"/>
                <w:lang w:eastAsia="zh-CN"/>
              </w:rPr>
              <w:t> </w:t>
            </w:r>
            <w:r w:rsidRPr="00F77964">
              <w:rPr>
                <w:rFonts w:eastAsia="SimSun"/>
                <w:b/>
                <w:sz w:val="18"/>
                <w:szCs w:val="18"/>
                <w:lang w:eastAsia="zh-CN"/>
              </w:rPr>
              <w:t>750</w:t>
            </w:r>
          </w:p>
        </w:tc>
      </w:tr>
      <w:tr w:rsidR="001D6913" w:rsidRPr="0061490E" w:rsidTr="001D6913">
        <w:trPr>
          <w:trHeight w:val="240"/>
        </w:trPr>
        <w:tc>
          <w:tcPr>
            <w:tcW w:w="1254" w:type="dxa"/>
            <w:tcBorders>
              <w:top w:val="nil"/>
              <w:left w:val="single" w:sz="4" w:space="0" w:color="auto"/>
              <w:bottom w:val="nil"/>
              <w:right w:val="nil"/>
            </w:tcBorders>
            <w:noWrap/>
            <w:vAlign w:val="bottom"/>
            <w:hideMark/>
          </w:tcPr>
          <w:p w:rsidR="001D6913" w:rsidRPr="00F77964" w:rsidRDefault="001D6913" w:rsidP="004F621B">
            <w:pPr>
              <w:pStyle w:val="Normal-pool"/>
              <w:spacing w:before="40" w:after="40"/>
              <w:rPr>
                <w:rFonts w:eastAsia="SimSun"/>
                <w:sz w:val="18"/>
                <w:szCs w:val="18"/>
                <w:lang w:eastAsia="zh-CN"/>
              </w:rPr>
            </w:pPr>
            <w:r w:rsidRPr="00F77964">
              <w:rPr>
                <w:rFonts w:eastAsia="SimSun"/>
                <w:sz w:val="18"/>
                <w:szCs w:val="18"/>
                <w:lang w:eastAsia="zh-CN"/>
              </w:rPr>
              <w:t>3</w:t>
            </w:r>
            <w:r w:rsidR="004F621B" w:rsidRPr="00F77964">
              <w:rPr>
                <w:rFonts w:eastAsia="SimSun"/>
                <w:sz w:val="18"/>
                <w:szCs w:val="18"/>
                <w:lang w:eastAsia="zh-CN"/>
              </w:rPr>
              <w:t> </w:t>
            </w:r>
            <w:r w:rsidRPr="00F77964">
              <w:rPr>
                <w:rFonts w:eastAsia="SimSun"/>
                <w:sz w:val="18"/>
                <w:szCs w:val="18"/>
                <w:lang w:eastAsia="zh-CN"/>
              </w:rPr>
              <w:t>b)</w:t>
            </w:r>
            <w:r w:rsidR="004F621B" w:rsidRPr="00F77964">
              <w:rPr>
                <w:rFonts w:eastAsia="SimSun"/>
                <w:sz w:val="18"/>
                <w:szCs w:val="18"/>
                <w:lang w:eastAsia="zh-CN"/>
              </w:rPr>
              <w:t> </w:t>
            </w:r>
            <w:r w:rsidRPr="00F77964">
              <w:rPr>
                <w:rFonts w:eastAsia="SimSun"/>
                <w:sz w:val="18"/>
                <w:szCs w:val="18"/>
                <w:lang w:eastAsia="zh-CN"/>
              </w:rPr>
              <w:t>ii)</w:t>
            </w:r>
          </w:p>
        </w:tc>
        <w:tc>
          <w:tcPr>
            <w:tcW w:w="1255" w:type="dxa"/>
            <w:noWrap/>
            <w:vAlign w:val="bottom"/>
            <w:hideMark/>
          </w:tcPr>
          <w:p w:rsidR="001D6913" w:rsidRPr="00F77964" w:rsidRDefault="001D6913" w:rsidP="004F621B">
            <w:pPr>
              <w:pStyle w:val="Normal-pool"/>
              <w:spacing w:before="40" w:after="40"/>
              <w:jc w:val="right"/>
              <w:rPr>
                <w:rFonts w:eastAsia="SimSun"/>
                <w:sz w:val="18"/>
                <w:szCs w:val="18"/>
                <w:lang w:eastAsia="zh-CN"/>
              </w:rPr>
            </w:pPr>
            <w:r w:rsidRPr="00F77964">
              <w:rPr>
                <w:rFonts w:eastAsia="SimSun"/>
                <w:sz w:val="18"/>
                <w:szCs w:val="18"/>
                <w:lang w:eastAsia="zh-CN"/>
              </w:rPr>
              <w:t>273</w:t>
            </w:r>
            <w:r w:rsidR="004F621B" w:rsidRPr="00F77964">
              <w:rPr>
                <w:rFonts w:eastAsia="SimSun"/>
                <w:sz w:val="18"/>
                <w:szCs w:val="18"/>
                <w:lang w:eastAsia="zh-CN"/>
              </w:rPr>
              <w:t> </w:t>
            </w:r>
            <w:r w:rsidRPr="00F77964">
              <w:rPr>
                <w:rFonts w:eastAsia="SimSun"/>
                <w:sz w:val="18"/>
                <w:szCs w:val="18"/>
                <w:lang w:eastAsia="zh-CN"/>
              </w:rPr>
              <w:t>750</w:t>
            </w:r>
          </w:p>
        </w:tc>
        <w:tc>
          <w:tcPr>
            <w:tcW w:w="1255" w:type="dxa"/>
            <w:noWrap/>
            <w:vAlign w:val="bottom"/>
            <w:hideMark/>
          </w:tcPr>
          <w:p w:rsidR="001D6913" w:rsidRPr="00F77964" w:rsidRDefault="001D6913" w:rsidP="004F621B">
            <w:pPr>
              <w:pStyle w:val="Normal-pool"/>
              <w:spacing w:before="40" w:after="40"/>
              <w:jc w:val="right"/>
              <w:rPr>
                <w:rFonts w:eastAsia="SimSun"/>
                <w:sz w:val="18"/>
                <w:szCs w:val="18"/>
                <w:lang w:eastAsia="zh-CN"/>
              </w:rPr>
            </w:pPr>
            <w:r w:rsidRPr="00F77964">
              <w:rPr>
                <w:rFonts w:eastAsia="SimSun"/>
                <w:sz w:val="18"/>
                <w:szCs w:val="18"/>
                <w:lang w:eastAsia="zh-CN"/>
              </w:rPr>
              <w:t>399</w:t>
            </w:r>
            <w:r w:rsidR="004F621B" w:rsidRPr="00F77964">
              <w:rPr>
                <w:rFonts w:eastAsia="SimSun"/>
                <w:sz w:val="18"/>
                <w:szCs w:val="18"/>
                <w:lang w:eastAsia="zh-CN"/>
              </w:rPr>
              <w:t> </w:t>
            </w:r>
            <w:r w:rsidRPr="00F77964">
              <w:rPr>
                <w:rFonts w:eastAsia="SimSun"/>
                <w:sz w:val="18"/>
                <w:szCs w:val="18"/>
                <w:lang w:eastAsia="zh-CN"/>
              </w:rPr>
              <w:t>000</w:t>
            </w:r>
          </w:p>
        </w:tc>
        <w:tc>
          <w:tcPr>
            <w:tcW w:w="1254" w:type="dxa"/>
            <w:noWrap/>
            <w:vAlign w:val="bottom"/>
            <w:hideMark/>
          </w:tcPr>
          <w:p w:rsidR="001D6913" w:rsidRPr="00F77964" w:rsidRDefault="001D6913" w:rsidP="004F621B">
            <w:pPr>
              <w:pStyle w:val="Normal-pool"/>
              <w:spacing w:before="40" w:after="40"/>
              <w:jc w:val="right"/>
              <w:rPr>
                <w:rFonts w:eastAsia="SimSun"/>
                <w:sz w:val="18"/>
                <w:szCs w:val="18"/>
                <w:lang w:eastAsia="zh-CN"/>
              </w:rPr>
            </w:pPr>
            <w:r w:rsidRPr="00F77964">
              <w:rPr>
                <w:rFonts w:eastAsia="SimSun"/>
                <w:sz w:val="18"/>
                <w:szCs w:val="18"/>
                <w:lang w:eastAsia="zh-CN"/>
              </w:rPr>
              <w:t>126</w:t>
            </w:r>
            <w:r w:rsidR="004F621B" w:rsidRPr="00F77964">
              <w:rPr>
                <w:rFonts w:eastAsia="SimSun"/>
                <w:sz w:val="18"/>
                <w:szCs w:val="18"/>
                <w:lang w:eastAsia="zh-CN"/>
              </w:rPr>
              <w:t> </w:t>
            </w:r>
            <w:r w:rsidRPr="00F77964">
              <w:rPr>
                <w:rFonts w:eastAsia="SimSun"/>
                <w:sz w:val="18"/>
                <w:szCs w:val="18"/>
                <w:lang w:eastAsia="zh-CN"/>
              </w:rPr>
              <w:t>000</w:t>
            </w:r>
          </w:p>
        </w:tc>
        <w:tc>
          <w:tcPr>
            <w:tcW w:w="1255" w:type="dxa"/>
            <w:noWrap/>
            <w:vAlign w:val="bottom"/>
            <w:hideMark/>
          </w:tcPr>
          <w:p w:rsidR="001D6913" w:rsidRPr="00F77964" w:rsidRDefault="001D6913" w:rsidP="001D6913">
            <w:pPr>
              <w:pStyle w:val="Normal-pool"/>
              <w:spacing w:before="40" w:after="40"/>
              <w:jc w:val="right"/>
              <w:rPr>
                <w:rFonts w:eastAsia="SimSun"/>
                <w:sz w:val="18"/>
                <w:szCs w:val="18"/>
                <w:lang w:eastAsia="zh-CN"/>
              </w:rPr>
            </w:pPr>
            <w:r w:rsidRPr="00F77964">
              <w:rPr>
                <w:rFonts w:eastAsia="SimSun"/>
                <w:sz w:val="18"/>
                <w:szCs w:val="18"/>
                <w:lang w:eastAsia="zh-CN"/>
              </w:rPr>
              <w:t>-</w:t>
            </w:r>
          </w:p>
        </w:tc>
        <w:tc>
          <w:tcPr>
            <w:tcW w:w="1255" w:type="dxa"/>
            <w:noWrap/>
            <w:vAlign w:val="bottom"/>
            <w:hideMark/>
          </w:tcPr>
          <w:p w:rsidR="001D6913" w:rsidRPr="00F77964" w:rsidRDefault="001D6913" w:rsidP="001D6913">
            <w:pPr>
              <w:pStyle w:val="Normal-pool"/>
              <w:spacing w:before="40" w:after="40"/>
              <w:jc w:val="right"/>
              <w:rPr>
                <w:rFonts w:eastAsia="SimSun"/>
                <w:sz w:val="18"/>
                <w:szCs w:val="18"/>
                <w:lang w:eastAsia="zh-CN"/>
              </w:rPr>
            </w:pPr>
            <w:r w:rsidRPr="00F77964">
              <w:rPr>
                <w:rFonts w:eastAsia="SimSun"/>
                <w:sz w:val="18"/>
                <w:szCs w:val="18"/>
                <w:lang w:eastAsia="zh-CN"/>
              </w:rPr>
              <w:t>-</w:t>
            </w:r>
          </w:p>
        </w:tc>
        <w:tc>
          <w:tcPr>
            <w:tcW w:w="1255" w:type="dxa"/>
            <w:tcBorders>
              <w:top w:val="nil"/>
              <w:left w:val="nil"/>
              <w:bottom w:val="nil"/>
              <w:right w:val="single" w:sz="4" w:space="0" w:color="auto"/>
            </w:tcBorders>
            <w:shd w:val="clear" w:color="auto" w:fill="FFFFFF"/>
            <w:noWrap/>
            <w:vAlign w:val="bottom"/>
            <w:hideMark/>
          </w:tcPr>
          <w:p w:rsidR="001D6913" w:rsidRPr="00F77964" w:rsidRDefault="001D6913" w:rsidP="004F621B">
            <w:pPr>
              <w:pStyle w:val="Normal-pool"/>
              <w:spacing w:before="40" w:after="40"/>
              <w:jc w:val="right"/>
              <w:rPr>
                <w:rFonts w:eastAsia="SimSun"/>
                <w:b/>
                <w:sz w:val="18"/>
                <w:szCs w:val="18"/>
                <w:lang w:eastAsia="zh-CN"/>
              </w:rPr>
            </w:pPr>
            <w:r w:rsidRPr="00F77964">
              <w:rPr>
                <w:rFonts w:eastAsia="SimSun"/>
                <w:b/>
                <w:sz w:val="18"/>
                <w:szCs w:val="18"/>
                <w:lang w:eastAsia="zh-CN"/>
              </w:rPr>
              <w:t>798</w:t>
            </w:r>
            <w:r w:rsidR="004F621B" w:rsidRPr="00F77964">
              <w:rPr>
                <w:rFonts w:eastAsia="SimSun"/>
                <w:b/>
                <w:sz w:val="18"/>
                <w:szCs w:val="18"/>
                <w:lang w:eastAsia="zh-CN"/>
              </w:rPr>
              <w:t> </w:t>
            </w:r>
            <w:r w:rsidRPr="00F77964">
              <w:rPr>
                <w:rFonts w:eastAsia="SimSun"/>
                <w:b/>
                <w:sz w:val="18"/>
                <w:szCs w:val="18"/>
                <w:lang w:eastAsia="zh-CN"/>
              </w:rPr>
              <w:t>750</w:t>
            </w:r>
          </w:p>
        </w:tc>
      </w:tr>
      <w:tr w:rsidR="001D6913" w:rsidRPr="0061490E" w:rsidTr="001D6913">
        <w:trPr>
          <w:trHeight w:val="240"/>
        </w:trPr>
        <w:tc>
          <w:tcPr>
            <w:tcW w:w="1254" w:type="dxa"/>
            <w:tcBorders>
              <w:top w:val="nil"/>
              <w:left w:val="single" w:sz="4" w:space="0" w:color="auto"/>
              <w:bottom w:val="nil"/>
              <w:right w:val="nil"/>
            </w:tcBorders>
            <w:noWrap/>
            <w:vAlign w:val="bottom"/>
            <w:hideMark/>
          </w:tcPr>
          <w:p w:rsidR="001D6913" w:rsidRPr="00F77964" w:rsidRDefault="001D6913" w:rsidP="004F621B">
            <w:pPr>
              <w:pStyle w:val="Normal-pool"/>
              <w:spacing w:before="40" w:after="40"/>
              <w:rPr>
                <w:rFonts w:eastAsia="SimSun"/>
                <w:sz w:val="18"/>
                <w:szCs w:val="18"/>
                <w:lang w:eastAsia="zh-CN"/>
              </w:rPr>
            </w:pPr>
            <w:r w:rsidRPr="00F77964">
              <w:rPr>
                <w:rFonts w:eastAsia="SimSun"/>
                <w:sz w:val="18"/>
                <w:szCs w:val="18"/>
                <w:lang w:eastAsia="zh-CN"/>
              </w:rPr>
              <w:t>3</w:t>
            </w:r>
            <w:r w:rsidR="004F621B" w:rsidRPr="00F77964">
              <w:rPr>
                <w:rFonts w:eastAsia="SimSun"/>
                <w:sz w:val="18"/>
                <w:szCs w:val="18"/>
                <w:lang w:eastAsia="zh-CN"/>
              </w:rPr>
              <w:t> </w:t>
            </w:r>
            <w:r w:rsidRPr="00F77964">
              <w:rPr>
                <w:rFonts w:eastAsia="SimSun"/>
                <w:sz w:val="18"/>
                <w:szCs w:val="18"/>
                <w:lang w:eastAsia="zh-CN"/>
              </w:rPr>
              <w:t>c)</w:t>
            </w:r>
          </w:p>
        </w:tc>
        <w:tc>
          <w:tcPr>
            <w:tcW w:w="1255" w:type="dxa"/>
            <w:noWrap/>
            <w:vAlign w:val="bottom"/>
            <w:hideMark/>
          </w:tcPr>
          <w:p w:rsidR="001D6913" w:rsidRPr="00F77964" w:rsidRDefault="001D6913" w:rsidP="004F621B">
            <w:pPr>
              <w:pStyle w:val="Normal-pool"/>
              <w:spacing w:before="40" w:after="40"/>
              <w:jc w:val="right"/>
              <w:rPr>
                <w:rFonts w:eastAsia="SimSun"/>
                <w:sz w:val="18"/>
                <w:szCs w:val="18"/>
                <w:lang w:eastAsia="zh-CN"/>
              </w:rPr>
            </w:pPr>
            <w:r w:rsidRPr="00F77964">
              <w:rPr>
                <w:rFonts w:eastAsia="SimSun"/>
                <w:sz w:val="18"/>
                <w:szCs w:val="18"/>
                <w:lang w:eastAsia="zh-CN"/>
              </w:rPr>
              <w:t>663</w:t>
            </w:r>
            <w:r w:rsidR="004F621B" w:rsidRPr="00F77964">
              <w:rPr>
                <w:rFonts w:eastAsia="SimSun"/>
                <w:sz w:val="18"/>
                <w:szCs w:val="18"/>
                <w:lang w:eastAsia="zh-CN"/>
              </w:rPr>
              <w:t> </w:t>
            </w:r>
            <w:r w:rsidRPr="00F77964">
              <w:rPr>
                <w:rFonts w:eastAsia="SimSun"/>
                <w:sz w:val="18"/>
                <w:szCs w:val="18"/>
                <w:lang w:eastAsia="zh-CN"/>
              </w:rPr>
              <w:t>750</w:t>
            </w:r>
          </w:p>
        </w:tc>
        <w:tc>
          <w:tcPr>
            <w:tcW w:w="1255" w:type="dxa"/>
            <w:noWrap/>
            <w:vAlign w:val="bottom"/>
            <w:hideMark/>
          </w:tcPr>
          <w:p w:rsidR="001D6913" w:rsidRPr="00F77964" w:rsidRDefault="001D6913" w:rsidP="004F621B">
            <w:pPr>
              <w:pStyle w:val="Normal-pool"/>
              <w:spacing w:before="40" w:after="40"/>
              <w:jc w:val="right"/>
              <w:rPr>
                <w:rFonts w:eastAsia="SimSun"/>
                <w:sz w:val="18"/>
                <w:szCs w:val="18"/>
                <w:lang w:eastAsia="zh-CN"/>
              </w:rPr>
            </w:pPr>
            <w:r w:rsidRPr="00F77964">
              <w:rPr>
                <w:rFonts w:eastAsia="SimSun"/>
                <w:sz w:val="18"/>
                <w:szCs w:val="18"/>
                <w:lang w:eastAsia="zh-CN"/>
              </w:rPr>
              <w:t>340</w:t>
            </w:r>
            <w:r w:rsidR="004F621B" w:rsidRPr="00F77964">
              <w:rPr>
                <w:rFonts w:eastAsia="SimSun"/>
                <w:sz w:val="18"/>
                <w:szCs w:val="18"/>
                <w:lang w:eastAsia="zh-CN"/>
              </w:rPr>
              <w:t> </w:t>
            </w:r>
            <w:r w:rsidRPr="00F77964">
              <w:rPr>
                <w:rFonts w:eastAsia="SimSun"/>
                <w:sz w:val="18"/>
                <w:szCs w:val="18"/>
                <w:lang w:eastAsia="zh-CN"/>
              </w:rPr>
              <w:t>500</w:t>
            </w:r>
          </w:p>
        </w:tc>
        <w:tc>
          <w:tcPr>
            <w:tcW w:w="1254" w:type="dxa"/>
            <w:noWrap/>
            <w:vAlign w:val="bottom"/>
            <w:hideMark/>
          </w:tcPr>
          <w:p w:rsidR="001D6913" w:rsidRPr="00F77964" w:rsidRDefault="001D6913" w:rsidP="004F621B">
            <w:pPr>
              <w:pStyle w:val="Normal-pool"/>
              <w:spacing w:before="40" w:after="40"/>
              <w:jc w:val="right"/>
              <w:rPr>
                <w:rFonts w:eastAsia="SimSun"/>
                <w:sz w:val="18"/>
                <w:szCs w:val="18"/>
                <w:lang w:eastAsia="zh-CN"/>
              </w:rPr>
            </w:pPr>
            <w:r w:rsidRPr="00F77964">
              <w:rPr>
                <w:rFonts w:eastAsia="SimSun"/>
                <w:sz w:val="18"/>
                <w:szCs w:val="18"/>
                <w:lang w:eastAsia="zh-CN"/>
              </w:rPr>
              <w:t>150</w:t>
            </w:r>
            <w:r w:rsidR="004F621B" w:rsidRPr="00F77964">
              <w:rPr>
                <w:rFonts w:eastAsia="SimSun"/>
                <w:sz w:val="18"/>
                <w:szCs w:val="18"/>
                <w:lang w:eastAsia="zh-CN"/>
              </w:rPr>
              <w:t> </w:t>
            </w:r>
            <w:r w:rsidRPr="00F77964">
              <w:rPr>
                <w:rFonts w:eastAsia="SimSun"/>
                <w:sz w:val="18"/>
                <w:szCs w:val="18"/>
                <w:lang w:eastAsia="zh-CN"/>
              </w:rPr>
              <w:t>000</w:t>
            </w:r>
          </w:p>
        </w:tc>
        <w:tc>
          <w:tcPr>
            <w:tcW w:w="1255" w:type="dxa"/>
            <w:noWrap/>
            <w:vAlign w:val="bottom"/>
            <w:hideMark/>
          </w:tcPr>
          <w:p w:rsidR="001D6913" w:rsidRPr="00F77964" w:rsidRDefault="001D6913" w:rsidP="004F621B">
            <w:pPr>
              <w:pStyle w:val="Normal-pool"/>
              <w:spacing w:before="40" w:after="40"/>
              <w:jc w:val="right"/>
              <w:rPr>
                <w:rFonts w:eastAsia="SimSun"/>
                <w:sz w:val="18"/>
                <w:szCs w:val="18"/>
                <w:lang w:eastAsia="zh-CN"/>
              </w:rPr>
            </w:pPr>
            <w:r w:rsidRPr="00F77964">
              <w:rPr>
                <w:rFonts w:eastAsia="SimSun"/>
                <w:sz w:val="18"/>
                <w:szCs w:val="18"/>
                <w:lang w:eastAsia="zh-CN"/>
              </w:rPr>
              <w:t>50</w:t>
            </w:r>
            <w:r w:rsidR="004F621B" w:rsidRPr="00F77964">
              <w:rPr>
                <w:rFonts w:eastAsia="SimSun"/>
                <w:sz w:val="18"/>
                <w:szCs w:val="18"/>
                <w:lang w:eastAsia="zh-CN"/>
              </w:rPr>
              <w:t> </w:t>
            </w:r>
            <w:r w:rsidRPr="00F77964">
              <w:rPr>
                <w:rFonts w:eastAsia="SimSun"/>
                <w:sz w:val="18"/>
                <w:szCs w:val="18"/>
                <w:lang w:eastAsia="zh-CN"/>
              </w:rPr>
              <w:t>000</w:t>
            </w:r>
          </w:p>
        </w:tc>
        <w:tc>
          <w:tcPr>
            <w:tcW w:w="1255" w:type="dxa"/>
            <w:noWrap/>
            <w:vAlign w:val="bottom"/>
            <w:hideMark/>
          </w:tcPr>
          <w:p w:rsidR="001D6913" w:rsidRPr="00F77964" w:rsidRDefault="001D6913" w:rsidP="001D6913">
            <w:pPr>
              <w:pStyle w:val="Normal-pool"/>
              <w:spacing w:before="40" w:after="40"/>
              <w:jc w:val="right"/>
              <w:rPr>
                <w:rFonts w:eastAsia="SimSun"/>
                <w:sz w:val="18"/>
                <w:szCs w:val="18"/>
                <w:lang w:eastAsia="zh-CN"/>
              </w:rPr>
            </w:pPr>
            <w:r w:rsidRPr="00F77964">
              <w:rPr>
                <w:rFonts w:eastAsia="SimSun"/>
                <w:sz w:val="18"/>
                <w:szCs w:val="18"/>
                <w:lang w:eastAsia="zh-CN"/>
              </w:rPr>
              <w:t>-</w:t>
            </w:r>
          </w:p>
        </w:tc>
        <w:tc>
          <w:tcPr>
            <w:tcW w:w="1255" w:type="dxa"/>
            <w:tcBorders>
              <w:top w:val="nil"/>
              <w:left w:val="nil"/>
              <w:bottom w:val="nil"/>
              <w:right w:val="single" w:sz="4" w:space="0" w:color="auto"/>
            </w:tcBorders>
            <w:shd w:val="clear" w:color="auto" w:fill="FFFFFF"/>
            <w:noWrap/>
            <w:vAlign w:val="bottom"/>
            <w:hideMark/>
          </w:tcPr>
          <w:p w:rsidR="001D6913" w:rsidRPr="00F77964" w:rsidRDefault="001D6913" w:rsidP="004F621B">
            <w:pPr>
              <w:pStyle w:val="Normal-pool"/>
              <w:spacing w:before="40" w:after="40"/>
              <w:jc w:val="right"/>
              <w:rPr>
                <w:rFonts w:eastAsia="SimSun"/>
                <w:b/>
                <w:sz w:val="18"/>
                <w:szCs w:val="18"/>
                <w:lang w:eastAsia="zh-CN"/>
              </w:rPr>
            </w:pPr>
            <w:r w:rsidRPr="00F77964">
              <w:rPr>
                <w:rFonts w:eastAsia="SimSun"/>
                <w:b/>
                <w:sz w:val="18"/>
                <w:szCs w:val="18"/>
                <w:lang w:eastAsia="zh-CN"/>
              </w:rPr>
              <w:t>1</w:t>
            </w:r>
            <w:r w:rsidR="004F621B" w:rsidRPr="00F77964">
              <w:rPr>
                <w:rFonts w:eastAsia="SimSun"/>
                <w:b/>
                <w:sz w:val="18"/>
                <w:szCs w:val="18"/>
                <w:lang w:eastAsia="zh-CN"/>
              </w:rPr>
              <w:t> </w:t>
            </w:r>
            <w:r w:rsidRPr="00F77964">
              <w:rPr>
                <w:rFonts w:eastAsia="SimSun"/>
                <w:b/>
                <w:sz w:val="18"/>
                <w:szCs w:val="18"/>
                <w:lang w:eastAsia="zh-CN"/>
              </w:rPr>
              <w:t>204</w:t>
            </w:r>
            <w:r w:rsidR="004F621B" w:rsidRPr="00F77964">
              <w:rPr>
                <w:rFonts w:eastAsia="SimSun"/>
                <w:b/>
                <w:sz w:val="18"/>
                <w:szCs w:val="18"/>
                <w:lang w:eastAsia="zh-CN"/>
              </w:rPr>
              <w:t> </w:t>
            </w:r>
            <w:r w:rsidRPr="00F77964">
              <w:rPr>
                <w:rFonts w:eastAsia="SimSun"/>
                <w:b/>
                <w:sz w:val="18"/>
                <w:szCs w:val="18"/>
                <w:lang w:eastAsia="zh-CN"/>
              </w:rPr>
              <w:t>250</w:t>
            </w:r>
          </w:p>
        </w:tc>
      </w:tr>
      <w:tr w:rsidR="001D6913" w:rsidRPr="0061490E" w:rsidTr="001D6913">
        <w:trPr>
          <w:trHeight w:val="240"/>
        </w:trPr>
        <w:tc>
          <w:tcPr>
            <w:tcW w:w="1254" w:type="dxa"/>
            <w:tcBorders>
              <w:top w:val="nil"/>
              <w:left w:val="single" w:sz="4" w:space="0" w:color="auto"/>
              <w:bottom w:val="nil"/>
              <w:right w:val="nil"/>
            </w:tcBorders>
            <w:noWrap/>
            <w:vAlign w:val="bottom"/>
            <w:hideMark/>
          </w:tcPr>
          <w:p w:rsidR="001D6913" w:rsidRPr="00F77964" w:rsidRDefault="001D6913" w:rsidP="004F621B">
            <w:pPr>
              <w:pStyle w:val="Normal-pool"/>
              <w:spacing w:before="40" w:after="40"/>
              <w:rPr>
                <w:rFonts w:eastAsia="SimSun"/>
                <w:sz w:val="18"/>
                <w:szCs w:val="18"/>
                <w:lang w:eastAsia="zh-CN"/>
              </w:rPr>
            </w:pPr>
            <w:r w:rsidRPr="00F77964">
              <w:rPr>
                <w:rFonts w:eastAsia="SimSun"/>
                <w:sz w:val="18"/>
                <w:szCs w:val="18"/>
                <w:lang w:eastAsia="zh-CN"/>
              </w:rPr>
              <w:t>3</w:t>
            </w:r>
            <w:r w:rsidR="004F621B" w:rsidRPr="00F77964">
              <w:rPr>
                <w:rFonts w:eastAsia="SimSun"/>
                <w:sz w:val="18"/>
                <w:szCs w:val="18"/>
                <w:lang w:eastAsia="zh-CN"/>
              </w:rPr>
              <w:t> </w:t>
            </w:r>
            <w:r w:rsidRPr="00F77964">
              <w:rPr>
                <w:rFonts w:eastAsia="SimSun"/>
                <w:sz w:val="18"/>
                <w:szCs w:val="18"/>
                <w:lang w:eastAsia="zh-CN"/>
              </w:rPr>
              <w:t>d)</w:t>
            </w:r>
          </w:p>
        </w:tc>
        <w:tc>
          <w:tcPr>
            <w:tcW w:w="1255" w:type="dxa"/>
            <w:noWrap/>
            <w:vAlign w:val="bottom"/>
            <w:hideMark/>
          </w:tcPr>
          <w:p w:rsidR="001D6913" w:rsidRPr="00F77964" w:rsidRDefault="001D6913" w:rsidP="004F621B">
            <w:pPr>
              <w:pStyle w:val="Normal-pool"/>
              <w:spacing w:before="40" w:after="40"/>
              <w:jc w:val="right"/>
              <w:rPr>
                <w:rFonts w:eastAsia="SimSun"/>
                <w:sz w:val="18"/>
                <w:szCs w:val="18"/>
                <w:lang w:eastAsia="zh-CN"/>
              </w:rPr>
            </w:pPr>
            <w:r w:rsidRPr="00F77964">
              <w:rPr>
                <w:rFonts w:eastAsia="SimSun"/>
                <w:sz w:val="18"/>
                <w:szCs w:val="18"/>
                <w:lang w:eastAsia="zh-CN"/>
              </w:rPr>
              <w:t>741</w:t>
            </w:r>
            <w:r w:rsidR="004F621B" w:rsidRPr="00F77964">
              <w:rPr>
                <w:rFonts w:eastAsia="SimSun"/>
                <w:sz w:val="18"/>
                <w:szCs w:val="18"/>
                <w:lang w:eastAsia="zh-CN"/>
              </w:rPr>
              <w:t> </w:t>
            </w:r>
            <w:r w:rsidRPr="00F77964">
              <w:rPr>
                <w:rFonts w:eastAsia="SimSun"/>
                <w:sz w:val="18"/>
                <w:szCs w:val="18"/>
                <w:lang w:eastAsia="zh-CN"/>
              </w:rPr>
              <w:t>750</w:t>
            </w:r>
          </w:p>
        </w:tc>
        <w:tc>
          <w:tcPr>
            <w:tcW w:w="1255" w:type="dxa"/>
            <w:noWrap/>
            <w:vAlign w:val="bottom"/>
            <w:hideMark/>
          </w:tcPr>
          <w:p w:rsidR="001D6913" w:rsidRPr="00F77964" w:rsidRDefault="001D6913" w:rsidP="004F621B">
            <w:pPr>
              <w:pStyle w:val="Normal-pool"/>
              <w:spacing w:before="40" w:after="40"/>
              <w:jc w:val="right"/>
              <w:rPr>
                <w:rFonts w:eastAsia="SimSun"/>
                <w:sz w:val="18"/>
                <w:szCs w:val="18"/>
                <w:lang w:eastAsia="zh-CN"/>
              </w:rPr>
            </w:pPr>
            <w:r w:rsidRPr="00F77964">
              <w:rPr>
                <w:rFonts w:eastAsia="SimSun"/>
                <w:sz w:val="18"/>
                <w:szCs w:val="18"/>
                <w:lang w:eastAsia="zh-CN"/>
              </w:rPr>
              <w:t>340</w:t>
            </w:r>
            <w:r w:rsidR="004F621B" w:rsidRPr="00F77964">
              <w:rPr>
                <w:rFonts w:eastAsia="SimSun"/>
                <w:sz w:val="18"/>
                <w:szCs w:val="18"/>
                <w:lang w:eastAsia="zh-CN"/>
              </w:rPr>
              <w:t> </w:t>
            </w:r>
            <w:r w:rsidRPr="00F77964">
              <w:rPr>
                <w:rFonts w:eastAsia="SimSun"/>
                <w:sz w:val="18"/>
                <w:szCs w:val="18"/>
                <w:lang w:eastAsia="zh-CN"/>
              </w:rPr>
              <w:t>500</w:t>
            </w:r>
          </w:p>
        </w:tc>
        <w:tc>
          <w:tcPr>
            <w:tcW w:w="1254" w:type="dxa"/>
            <w:noWrap/>
            <w:vAlign w:val="bottom"/>
            <w:hideMark/>
          </w:tcPr>
          <w:p w:rsidR="001D6913" w:rsidRPr="00F77964" w:rsidRDefault="001D6913" w:rsidP="004F621B">
            <w:pPr>
              <w:pStyle w:val="Normal-pool"/>
              <w:spacing w:before="40" w:after="40"/>
              <w:jc w:val="right"/>
              <w:rPr>
                <w:rFonts w:eastAsia="SimSun"/>
                <w:sz w:val="18"/>
                <w:szCs w:val="18"/>
                <w:lang w:eastAsia="zh-CN"/>
              </w:rPr>
            </w:pPr>
            <w:r w:rsidRPr="00F77964">
              <w:rPr>
                <w:rFonts w:eastAsia="SimSun"/>
                <w:sz w:val="18"/>
                <w:szCs w:val="18"/>
                <w:lang w:eastAsia="zh-CN"/>
              </w:rPr>
              <w:t>150</w:t>
            </w:r>
            <w:r w:rsidR="004F621B" w:rsidRPr="00F77964">
              <w:rPr>
                <w:rFonts w:eastAsia="SimSun"/>
                <w:sz w:val="18"/>
                <w:szCs w:val="18"/>
                <w:lang w:eastAsia="zh-CN"/>
              </w:rPr>
              <w:t> </w:t>
            </w:r>
            <w:r w:rsidRPr="00F77964">
              <w:rPr>
                <w:rFonts w:eastAsia="SimSun"/>
                <w:sz w:val="18"/>
                <w:szCs w:val="18"/>
                <w:lang w:eastAsia="zh-CN"/>
              </w:rPr>
              <w:t>000</w:t>
            </w:r>
          </w:p>
        </w:tc>
        <w:tc>
          <w:tcPr>
            <w:tcW w:w="1255" w:type="dxa"/>
            <w:noWrap/>
            <w:vAlign w:val="bottom"/>
            <w:hideMark/>
          </w:tcPr>
          <w:p w:rsidR="001D6913" w:rsidRPr="00F77964" w:rsidRDefault="001D6913" w:rsidP="004F621B">
            <w:pPr>
              <w:pStyle w:val="Normal-pool"/>
              <w:spacing w:before="40" w:after="40"/>
              <w:jc w:val="right"/>
              <w:rPr>
                <w:rFonts w:eastAsia="SimSun"/>
                <w:sz w:val="18"/>
                <w:szCs w:val="18"/>
                <w:lang w:eastAsia="zh-CN"/>
              </w:rPr>
            </w:pPr>
            <w:r w:rsidRPr="00F77964">
              <w:rPr>
                <w:rFonts w:eastAsia="SimSun"/>
                <w:sz w:val="18"/>
                <w:szCs w:val="18"/>
                <w:lang w:eastAsia="zh-CN"/>
              </w:rPr>
              <w:t>50</w:t>
            </w:r>
            <w:r w:rsidR="004F621B" w:rsidRPr="00F77964">
              <w:rPr>
                <w:rFonts w:eastAsia="SimSun"/>
                <w:sz w:val="18"/>
                <w:szCs w:val="18"/>
                <w:lang w:eastAsia="zh-CN"/>
              </w:rPr>
              <w:t> </w:t>
            </w:r>
            <w:r w:rsidRPr="00F77964">
              <w:rPr>
                <w:rFonts w:eastAsia="SimSun"/>
                <w:sz w:val="18"/>
                <w:szCs w:val="18"/>
                <w:lang w:eastAsia="zh-CN"/>
              </w:rPr>
              <w:t>000</w:t>
            </w:r>
          </w:p>
        </w:tc>
        <w:tc>
          <w:tcPr>
            <w:tcW w:w="1255" w:type="dxa"/>
            <w:noWrap/>
            <w:vAlign w:val="bottom"/>
            <w:hideMark/>
          </w:tcPr>
          <w:p w:rsidR="001D6913" w:rsidRPr="00F77964" w:rsidRDefault="001D6913" w:rsidP="001D6913">
            <w:pPr>
              <w:pStyle w:val="Normal-pool"/>
              <w:spacing w:before="40" w:after="40"/>
              <w:jc w:val="right"/>
              <w:rPr>
                <w:rFonts w:eastAsia="SimSun"/>
                <w:sz w:val="18"/>
                <w:szCs w:val="18"/>
                <w:lang w:eastAsia="zh-CN"/>
              </w:rPr>
            </w:pPr>
            <w:r w:rsidRPr="00F77964">
              <w:rPr>
                <w:rFonts w:eastAsia="SimSun"/>
                <w:sz w:val="18"/>
                <w:szCs w:val="18"/>
                <w:lang w:eastAsia="zh-CN"/>
              </w:rPr>
              <w:t>-</w:t>
            </w:r>
          </w:p>
        </w:tc>
        <w:tc>
          <w:tcPr>
            <w:tcW w:w="1255" w:type="dxa"/>
            <w:tcBorders>
              <w:top w:val="nil"/>
              <w:left w:val="nil"/>
              <w:bottom w:val="nil"/>
              <w:right w:val="single" w:sz="4" w:space="0" w:color="auto"/>
            </w:tcBorders>
            <w:shd w:val="clear" w:color="auto" w:fill="FFFFFF"/>
            <w:noWrap/>
            <w:vAlign w:val="bottom"/>
            <w:hideMark/>
          </w:tcPr>
          <w:p w:rsidR="001D6913" w:rsidRPr="00F77964" w:rsidRDefault="001D6913" w:rsidP="004F621B">
            <w:pPr>
              <w:pStyle w:val="Normal-pool"/>
              <w:spacing w:before="40" w:after="40"/>
              <w:jc w:val="right"/>
              <w:rPr>
                <w:rFonts w:eastAsia="SimSun"/>
                <w:b/>
                <w:sz w:val="18"/>
                <w:szCs w:val="18"/>
                <w:lang w:eastAsia="zh-CN"/>
              </w:rPr>
            </w:pPr>
            <w:r w:rsidRPr="00F77964">
              <w:rPr>
                <w:rFonts w:eastAsia="SimSun"/>
                <w:b/>
                <w:sz w:val="18"/>
                <w:szCs w:val="18"/>
                <w:lang w:eastAsia="zh-CN"/>
              </w:rPr>
              <w:t>1</w:t>
            </w:r>
            <w:r w:rsidR="004F621B" w:rsidRPr="00F77964">
              <w:rPr>
                <w:rFonts w:eastAsia="SimSun"/>
                <w:b/>
                <w:sz w:val="18"/>
                <w:szCs w:val="18"/>
                <w:lang w:eastAsia="zh-CN"/>
              </w:rPr>
              <w:t> </w:t>
            </w:r>
            <w:r w:rsidRPr="00F77964">
              <w:rPr>
                <w:rFonts w:eastAsia="SimSun"/>
                <w:b/>
                <w:sz w:val="18"/>
                <w:szCs w:val="18"/>
                <w:lang w:eastAsia="zh-CN"/>
              </w:rPr>
              <w:t>282</w:t>
            </w:r>
            <w:r w:rsidR="004F621B" w:rsidRPr="00F77964">
              <w:rPr>
                <w:rFonts w:eastAsia="SimSun"/>
                <w:b/>
                <w:sz w:val="18"/>
                <w:szCs w:val="18"/>
                <w:lang w:eastAsia="zh-CN"/>
              </w:rPr>
              <w:t> </w:t>
            </w:r>
            <w:r w:rsidRPr="00F77964">
              <w:rPr>
                <w:rFonts w:eastAsia="SimSun"/>
                <w:b/>
                <w:sz w:val="18"/>
                <w:szCs w:val="18"/>
                <w:lang w:eastAsia="zh-CN"/>
              </w:rPr>
              <w:t>250</w:t>
            </w:r>
          </w:p>
        </w:tc>
      </w:tr>
      <w:tr w:rsidR="001D6913" w:rsidRPr="0061490E" w:rsidTr="001D6913">
        <w:trPr>
          <w:trHeight w:val="240"/>
        </w:trPr>
        <w:tc>
          <w:tcPr>
            <w:tcW w:w="1254" w:type="dxa"/>
            <w:tcBorders>
              <w:top w:val="nil"/>
              <w:left w:val="single" w:sz="4" w:space="0" w:color="auto"/>
              <w:bottom w:val="nil"/>
              <w:right w:val="nil"/>
            </w:tcBorders>
            <w:noWrap/>
            <w:vAlign w:val="bottom"/>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 </w:t>
            </w:r>
          </w:p>
        </w:tc>
        <w:tc>
          <w:tcPr>
            <w:tcW w:w="1255" w:type="dxa"/>
            <w:noWrap/>
            <w:vAlign w:val="bottom"/>
            <w:hideMark/>
          </w:tcPr>
          <w:p w:rsidR="001D6913" w:rsidRPr="0061490E" w:rsidRDefault="001D6913" w:rsidP="001D6913">
            <w:pPr>
              <w:rPr>
                <w:lang w:eastAsia="fr-FR"/>
              </w:rPr>
            </w:pPr>
          </w:p>
        </w:tc>
        <w:tc>
          <w:tcPr>
            <w:tcW w:w="1255" w:type="dxa"/>
            <w:noWrap/>
            <w:vAlign w:val="bottom"/>
            <w:hideMark/>
          </w:tcPr>
          <w:p w:rsidR="001D6913" w:rsidRPr="0061490E" w:rsidRDefault="001D6913" w:rsidP="001D6913">
            <w:pPr>
              <w:rPr>
                <w:lang w:eastAsia="fr-FR"/>
              </w:rPr>
            </w:pPr>
          </w:p>
        </w:tc>
        <w:tc>
          <w:tcPr>
            <w:tcW w:w="1254" w:type="dxa"/>
            <w:noWrap/>
            <w:vAlign w:val="bottom"/>
            <w:hideMark/>
          </w:tcPr>
          <w:p w:rsidR="001D6913" w:rsidRPr="0061490E" w:rsidRDefault="001D6913" w:rsidP="001D6913">
            <w:pPr>
              <w:rPr>
                <w:lang w:eastAsia="fr-FR"/>
              </w:rPr>
            </w:pPr>
          </w:p>
        </w:tc>
        <w:tc>
          <w:tcPr>
            <w:tcW w:w="1255" w:type="dxa"/>
            <w:noWrap/>
            <w:vAlign w:val="bottom"/>
            <w:hideMark/>
          </w:tcPr>
          <w:p w:rsidR="001D6913" w:rsidRPr="0061490E" w:rsidRDefault="001D6913" w:rsidP="001D6913">
            <w:pPr>
              <w:rPr>
                <w:lang w:eastAsia="fr-FR"/>
              </w:rPr>
            </w:pPr>
          </w:p>
        </w:tc>
        <w:tc>
          <w:tcPr>
            <w:tcW w:w="1255" w:type="dxa"/>
            <w:noWrap/>
            <w:vAlign w:val="bottom"/>
            <w:hideMark/>
          </w:tcPr>
          <w:p w:rsidR="001D6913" w:rsidRPr="0061490E" w:rsidRDefault="001D6913" w:rsidP="001D6913">
            <w:pPr>
              <w:rPr>
                <w:lang w:eastAsia="fr-FR"/>
              </w:rPr>
            </w:pPr>
          </w:p>
        </w:tc>
        <w:tc>
          <w:tcPr>
            <w:tcW w:w="1255" w:type="dxa"/>
            <w:tcBorders>
              <w:top w:val="nil"/>
              <w:left w:val="nil"/>
              <w:bottom w:val="nil"/>
              <w:right w:val="single" w:sz="4" w:space="0" w:color="auto"/>
            </w:tcBorders>
            <w:shd w:val="clear" w:color="auto" w:fill="FFFFFF"/>
            <w:noWrap/>
            <w:vAlign w:val="bottom"/>
            <w:hideMark/>
          </w:tcPr>
          <w:p w:rsidR="001D6913" w:rsidRPr="00F77964" w:rsidRDefault="001D6913" w:rsidP="001D6913">
            <w:pPr>
              <w:pStyle w:val="Normal-pool"/>
              <w:spacing w:before="40" w:after="40"/>
              <w:jc w:val="right"/>
              <w:rPr>
                <w:rFonts w:eastAsia="SimSun"/>
                <w:b/>
                <w:sz w:val="18"/>
                <w:szCs w:val="18"/>
                <w:lang w:eastAsia="zh-CN"/>
              </w:rPr>
            </w:pPr>
            <w:r w:rsidRPr="00F77964">
              <w:rPr>
                <w:rFonts w:eastAsia="SimSun"/>
                <w:b/>
                <w:sz w:val="18"/>
                <w:szCs w:val="18"/>
                <w:lang w:eastAsia="zh-CN"/>
              </w:rPr>
              <w:t> </w:t>
            </w:r>
          </w:p>
        </w:tc>
      </w:tr>
      <w:tr w:rsidR="001D6913" w:rsidRPr="0061490E" w:rsidTr="001D6913">
        <w:trPr>
          <w:trHeight w:val="240"/>
        </w:trPr>
        <w:tc>
          <w:tcPr>
            <w:tcW w:w="1254" w:type="dxa"/>
            <w:tcBorders>
              <w:top w:val="nil"/>
              <w:left w:val="single" w:sz="4" w:space="0" w:color="auto"/>
              <w:bottom w:val="nil"/>
              <w:right w:val="nil"/>
            </w:tcBorders>
            <w:noWrap/>
            <w:vAlign w:val="bottom"/>
            <w:hideMark/>
          </w:tcPr>
          <w:p w:rsidR="001D6913" w:rsidRPr="00F77964" w:rsidRDefault="001D6913" w:rsidP="004F621B">
            <w:pPr>
              <w:pStyle w:val="Normal-pool"/>
              <w:spacing w:before="40" w:after="40"/>
              <w:rPr>
                <w:rFonts w:eastAsia="SimSun"/>
                <w:sz w:val="18"/>
                <w:szCs w:val="18"/>
                <w:lang w:eastAsia="zh-CN"/>
              </w:rPr>
            </w:pPr>
            <w:r w:rsidRPr="00F77964">
              <w:rPr>
                <w:rFonts w:eastAsia="SimSun"/>
                <w:sz w:val="18"/>
                <w:szCs w:val="18"/>
                <w:lang w:eastAsia="zh-CN"/>
              </w:rPr>
              <w:t>4</w:t>
            </w:r>
            <w:r w:rsidR="004F621B" w:rsidRPr="00F77964">
              <w:rPr>
                <w:rFonts w:eastAsia="SimSun"/>
                <w:sz w:val="18"/>
                <w:szCs w:val="18"/>
                <w:lang w:eastAsia="zh-CN"/>
              </w:rPr>
              <w:t> </w:t>
            </w:r>
            <w:r w:rsidRPr="00F77964">
              <w:rPr>
                <w:rFonts w:eastAsia="SimSun"/>
                <w:sz w:val="18"/>
                <w:szCs w:val="18"/>
                <w:lang w:eastAsia="zh-CN"/>
              </w:rPr>
              <w:t>a)</w:t>
            </w:r>
          </w:p>
        </w:tc>
        <w:tc>
          <w:tcPr>
            <w:tcW w:w="1255" w:type="dxa"/>
            <w:noWrap/>
            <w:vAlign w:val="bottom"/>
            <w:hideMark/>
          </w:tcPr>
          <w:p w:rsidR="001D6913" w:rsidRPr="00F77964" w:rsidRDefault="001D6913" w:rsidP="004F621B">
            <w:pPr>
              <w:pStyle w:val="Normal-pool"/>
              <w:spacing w:before="40" w:after="40"/>
              <w:jc w:val="right"/>
              <w:rPr>
                <w:rFonts w:eastAsia="SimSun"/>
                <w:sz w:val="18"/>
                <w:szCs w:val="18"/>
                <w:lang w:eastAsia="zh-CN"/>
              </w:rPr>
            </w:pPr>
            <w:r w:rsidRPr="00F77964">
              <w:rPr>
                <w:rFonts w:eastAsia="SimSun"/>
                <w:sz w:val="18"/>
                <w:szCs w:val="18"/>
                <w:lang w:eastAsia="zh-CN"/>
              </w:rPr>
              <w:t>30</w:t>
            </w:r>
            <w:r w:rsidR="004F621B" w:rsidRPr="00F77964">
              <w:rPr>
                <w:rFonts w:eastAsia="SimSun"/>
                <w:sz w:val="18"/>
                <w:szCs w:val="18"/>
                <w:lang w:eastAsia="zh-CN"/>
              </w:rPr>
              <w:t> </w:t>
            </w:r>
            <w:r w:rsidRPr="00F77964">
              <w:rPr>
                <w:rFonts w:eastAsia="SimSun"/>
                <w:sz w:val="18"/>
                <w:szCs w:val="18"/>
                <w:lang w:eastAsia="zh-CN"/>
              </w:rPr>
              <w:t>000</w:t>
            </w:r>
          </w:p>
        </w:tc>
        <w:tc>
          <w:tcPr>
            <w:tcW w:w="1255" w:type="dxa"/>
            <w:noWrap/>
            <w:vAlign w:val="bottom"/>
            <w:hideMark/>
          </w:tcPr>
          <w:p w:rsidR="001D6913" w:rsidRPr="00F77964" w:rsidRDefault="001D6913" w:rsidP="004F621B">
            <w:pPr>
              <w:pStyle w:val="Normal-pool"/>
              <w:spacing w:before="40" w:after="40"/>
              <w:jc w:val="right"/>
              <w:rPr>
                <w:rFonts w:eastAsia="SimSun"/>
                <w:sz w:val="18"/>
                <w:szCs w:val="18"/>
                <w:lang w:eastAsia="zh-CN"/>
              </w:rPr>
            </w:pPr>
            <w:r w:rsidRPr="00F77964">
              <w:rPr>
                <w:rFonts w:eastAsia="SimSun"/>
                <w:sz w:val="18"/>
                <w:szCs w:val="18"/>
                <w:lang w:eastAsia="zh-CN"/>
              </w:rPr>
              <w:t>30</w:t>
            </w:r>
            <w:r w:rsidR="004F621B" w:rsidRPr="00F77964">
              <w:rPr>
                <w:rFonts w:eastAsia="SimSun"/>
                <w:sz w:val="18"/>
                <w:szCs w:val="18"/>
                <w:lang w:eastAsia="zh-CN"/>
              </w:rPr>
              <w:t> </w:t>
            </w:r>
            <w:r w:rsidRPr="00F77964">
              <w:rPr>
                <w:rFonts w:eastAsia="SimSun"/>
                <w:sz w:val="18"/>
                <w:szCs w:val="18"/>
                <w:lang w:eastAsia="zh-CN"/>
              </w:rPr>
              <w:t>000</w:t>
            </w:r>
          </w:p>
        </w:tc>
        <w:tc>
          <w:tcPr>
            <w:tcW w:w="1254" w:type="dxa"/>
            <w:noWrap/>
            <w:vAlign w:val="bottom"/>
            <w:hideMark/>
          </w:tcPr>
          <w:p w:rsidR="001D6913" w:rsidRPr="00F77964" w:rsidRDefault="001D6913" w:rsidP="004F621B">
            <w:pPr>
              <w:pStyle w:val="Normal-pool"/>
              <w:spacing w:before="40" w:after="40"/>
              <w:jc w:val="right"/>
              <w:rPr>
                <w:rFonts w:eastAsia="SimSun"/>
                <w:sz w:val="18"/>
                <w:szCs w:val="18"/>
                <w:lang w:eastAsia="zh-CN"/>
              </w:rPr>
            </w:pPr>
            <w:r w:rsidRPr="00F77964">
              <w:rPr>
                <w:rFonts w:eastAsia="SimSun"/>
                <w:sz w:val="18"/>
                <w:szCs w:val="18"/>
                <w:lang w:eastAsia="zh-CN"/>
              </w:rPr>
              <w:t>30</w:t>
            </w:r>
            <w:r w:rsidR="004F621B" w:rsidRPr="00F77964">
              <w:rPr>
                <w:rFonts w:eastAsia="SimSun"/>
                <w:sz w:val="18"/>
                <w:szCs w:val="18"/>
                <w:lang w:eastAsia="zh-CN"/>
              </w:rPr>
              <w:t> </w:t>
            </w:r>
            <w:r w:rsidRPr="00F77964">
              <w:rPr>
                <w:rFonts w:eastAsia="SimSun"/>
                <w:sz w:val="18"/>
                <w:szCs w:val="18"/>
                <w:lang w:eastAsia="zh-CN"/>
              </w:rPr>
              <w:t>000</w:t>
            </w:r>
          </w:p>
        </w:tc>
        <w:tc>
          <w:tcPr>
            <w:tcW w:w="1255" w:type="dxa"/>
            <w:noWrap/>
            <w:vAlign w:val="bottom"/>
            <w:hideMark/>
          </w:tcPr>
          <w:p w:rsidR="001D6913" w:rsidRPr="00F77964" w:rsidRDefault="001D6913" w:rsidP="004F621B">
            <w:pPr>
              <w:pStyle w:val="Normal-pool"/>
              <w:spacing w:before="40" w:after="40"/>
              <w:jc w:val="right"/>
              <w:rPr>
                <w:rFonts w:eastAsia="SimSun"/>
                <w:sz w:val="18"/>
                <w:szCs w:val="18"/>
                <w:lang w:eastAsia="zh-CN"/>
              </w:rPr>
            </w:pPr>
            <w:r w:rsidRPr="00F77964">
              <w:rPr>
                <w:rFonts w:eastAsia="SimSun"/>
                <w:sz w:val="18"/>
                <w:szCs w:val="18"/>
                <w:lang w:eastAsia="zh-CN"/>
              </w:rPr>
              <w:t>30</w:t>
            </w:r>
            <w:r w:rsidR="004F621B" w:rsidRPr="00F77964">
              <w:rPr>
                <w:rFonts w:eastAsia="SimSun"/>
                <w:sz w:val="18"/>
                <w:szCs w:val="18"/>
                <w:lang w:eastAsia="zh-CN"/>
              </w:rPr>
              <w:t> </w:t>
            </w:r>
            <w:r w:rsidRPr="00F77964">
              <w:rPr>
                <w:rFonts w:eastAsia="SimSun"/>
                <w:sz w:val="18"/>
                <w:szCs w:val="18"/>
                <w:lang w:eastAsia="zh-CN"/>
              </w:rPr>
              <w:t>000</w:t>
            </w:r>
          </w:p>
        </w:tc>
        <w:tc>
          <w:tcPr>
            <w:tcW w:w="1255" w:type="dxa"/>
            <w:noWrap/>
            <w:vAlign w:val="bottom"/>
            <w:hideMark/>
          </w:tcPr>
          <w:p w:rsidR="001D6913" w:rsidRPr="00F77964" w:rsidRDefault="001D6913" w:rsidP="004F621B">
            <w:pPr>
              <w:pStyle w:val="Normal-pool"/>
              <w:spacing w:before="40" w:after="40"/>
              <w:jc w:val="right"/>
              <w:rPr>
                <w:rFonts w:eastAsia="SimSun"/>
                <w:sz w:val="18"/>
                <w:szCs w:val="18"/>
                <w:lang w:eastAsia="zh-CN"/>
              </w:rPr>
            </w:pPr>
            <w:r w:rsidRPr="00F77964">
              <w:rPr>
                <w:rFonts w:eastAsia="SimSun"/>
                <w:sz w:val="18"/>
                <w:szCs w:val="18"/>
                <w:lang w:eastAsia="zh-CN"/>
              </w:rPr>
              <w:t>30</w:t>
            </w:r>
            <w:r w:rsidR="004F621B" w:rsidRPr="00F77964">
              <w:rPr>
                <w:rFonts w:eastAsia="SimSun"/>
                <w:sz w:val="18"/>
                <w:szCs w:val="18"/>
                <w:lang w:eastAsia="zh-CN"/>
              </w:rPr>
              <w:t> </w:t>
            </w:r>
            <w:r w:rsidRPr="00F77964">
              <w:rPr>
                <w:rFonts w:eastAsia="SimSun"/>
                <w:sz w:val="18"/>
                <w:szCs w:val="18"/>
                <w:lang w:eastAsia="zh-CN"/>
              </w:rPr>
              <w:t>000</w:t>
            </w:r>
          </w:p>
        </w:tc>
        <w:tc>
          <w:tcPr>
            <w:tcW w:w="1255" w:type="dxa"/>
            <w:tcBorders>
              <w:top w:val="nil"/>
              <w:left w:val="nil"/>
              <w:bottom w:val="nil"/>
              <w:right w:val="single" w:sz="4" w:space="0" w:color="auto"/>
            </w:tcBorders>
            <w:shd w:val="clear" w:color="auto" w:fill="FFFFFF"/>
            <w:noWrap/>
            <w:vAlign w:val="bottom"/>
            <w:hideMark/>
          </w:tcPr>
          <w:p w:rsidR="001D6913" w:rsidRPr="00F77964" w:rsidRDefault="001D6913" w:rsidP="004F621B">
            <w:pPr>
              <w:pStyle w:val="Normal-pool"/>
              <w:spacing w:before="40" w:after="40"/>
              <w:jc w:val="right"/>
              <w:rPr>
                <w:rFonts w:eastAsia="SimSun"/>
                <w:b/>
                <w:sz w:val="18"/>
                <w:szCs w:val="18"/>
                <w:lang w:eastAsia="zh-CN"/>
              </w:rPr>
            </w:pPr>
            <w:r w:rsidRPr="00F77964">
              <w:rPr>
                <w:rFonts w:eastAsia="SimSun"/>
                <w:b/>
                <w:sz w:val="18"/>
                <w:szCs w:val="18"/>
                <w:lang w:eastAsia="zh-CN"/>
              </w:rPr>
              <w:t>150</w:t>
            </w:r>
            <w:r w:rsidR="004F621B" w:rsidRPr="00F77964">
              <w:rPr>
                <w:rFonts w:eastAsia="SimSun"/>
                <w:b/>
                <w:sz w:val="18"/>
                <w:szCs w:val="18"/>
                <w:lang w:eastAsia="zh-CN"/>
              </w:rPr>
              <w:t> </w:t>
            </w:r>
            <w:r w:rsidRPr="00F77964">
              <w:rPr>
                <w:rFonts w:eastAsia="SimSun"/>
                <w:b/>
                <w:sz w:val="18"/>
                <w:szCs w:val="18"/>
                <w:lang w:eastAsia="zh-CN"/>
              </w:rPr>
              <w:t>000</w:t>
            </w:r>
          </w:p>
        </w:tc>
      </w:tr>
      <w:tr w:rsidR="001D6913" w:rsidRPr="0061490E" w:rsidTr="001D6913">
        <w:trPr>
          <w:trHeight w:val="240"/>
        </w:trPr>
        <w:tc>
          <w:tcPr>
            <w:tcW w:w="1254" w:type="dxa"/>
            <w:tcBorders>
              <w:top w:val="nil"/>
              <w:left w:val="single" w:sz="4" w:space="0" w:color="auto"/>
              <w:bottom w:val="nil"/>
              <w:right w:val="nil"/>
            </w:tcBorders>
            <w:noWrap/>
            <w:vAlign w:val="bottom"/>
            <w:hideMark/>
          </w:tcPr>
          <w:p w:rsidR="001D6913" w:rsidRPr="00F77964" w:rsidRDefault="001D6913" w:rsidP="004F621B">
            <w:pPr>
              <w:pStyle w:val="Normal-pool"/>
              <w:spacing w:before="40" w:after="40"/>
              <w:rPr>
                <w:rFonts w:eastAsia="SimSun"/>
                <w:sz w:val="18"/>
                <w:szCs w:val="18"/>
                <w:lang w:eastAsia="zh-CN"/>
              </w:rPr>
            </w:pPr>
            <w:r w:rsidRPr="00F77964">
              <w:rPr>
                <w:rFonts w:eastAsia="SimSun"/>
                <w:sz w:val="18"/>
                <w:szCs w:val="18"/>
                <w:lang w:eastAsia="zh-CN"/>
              </w:rPr>
              <w:t>4</w:t>
            </w:r>
            <w:r w:rsidR="004F621B" w:rsidRPr="00F77964">
              <w:rPr>
                <w:rFonts w:eastAsia="SimSun"/>
                <w:sz w:val="18"/>
                <w:szCs w:val="18"/>
                <w:lang w:eastAsia="zh-CN"/>
              </w:rPr>
              <w:t> </w:t>
            </w:r>
            <w:r w:rsidRPr="00F77964">
              <w:rPr>
                <w:rFonts w:eastAsia="SimSun"/>
                <w:sz w:val="18"/>
                <w:szCs w:val="18"/>
                <w:lang w:eastAsia="zh-CN"/>
              </w:rPr>
              <w:t>b)</w:t>
            </w:r>
          </w:p>
        </w:tc>
        <w:tc>
          <w:tcPr>
            <w:tcW w:w="1255" w:type="dxa"/>
            <w:noWrap/>
            <w:vAlign w:val="bottom"/>
            <w:hideMark/>
          </w:tcPr>
          <w:p w:rsidR="001D6913" w:rsidRPr="00F77964" w:rsidRDefault="001D6913" w:rsidP="004F621B">
            <w:pPr>
              <w:pStyle w:val="Normal-pool"/>
              <w:spacing w:before="40" w:after="40"/>
              <w:jc w:val="right"/>
              <w:rPr>
                <w:rFonts w:eastAsia="SimSun"/>
                <w:sz w:val="18"/>
                <w:szCs w:val="18"/>
                <w:lang w:eastAsia="zh-CN"/>
              </w:rPr>
            </w:pPr>
            <w:r w:rsidRPr="00F77964">
              <w:rPr>
                <w:rFonts w:eastAsia="SimSun"/>
                <w:sz w:val="18"/>
                <w:szCs w:val="18"/>
                <w:lang w:eastAsia="zh-CN"/>
              </w:rPr>
              <w:t>116</w:t>
            </w:r>
            <w:r w:rsidR="004F621B" w:rsidRPr="00F77964">
              <w:rPr>
                <w:rFonts w:eastAsia="SimSun"/>
                <w:sz w:val="18"/>
                <w:szCs w:val="18"/>
                <w:lang w:eastAsia="zh-CN"/>
              </w:rPr>
              <w:t> </w:t>
            </w:r>
            <w:r w:rsidRPr="00F77964">
              <w:rPr>
                <w:rFonts w:eastAsia="SimSun"/>
                <w:sz w:val="18"/>
                <w:szCs w:val="18"/>
                <w:lang w:eastAsia="zh-CN"/>
              </w:rPr>
              <w:t>250</w:t>
            </w:r>
          </w:p>
        </w:tc>
        <w:tc>
          <w:tcPr>
            <w:tcW w:w="1255" w:type="dxa"/>
            <w:noWrap/>
            <w:vAlign w:val="bottom"/>
            <w:hideMark/>
          </w:tcPr>
          <w:p w:rsidR="001D6913" w:rsidRPr="00F77964" w:rsidRDefault="001D6913" w:rsidP="004F621B">
            <w:pPr>
              <w:pStyle w:val="Normal-pool"/>
              <w:spacing w:before="40" w:after="40"/>
              <w:jc w:val="right"/>
              <w:rPr>
                <w:rFonts w:eastAsia="SimSun"/>
                <w:sz w:val="18"/>
                <w:szCs w:val="18"/>
                <w:lang w:eastAsia="zh-CN"/>
              </w:rPr>
            </w:pPr>
            <w:r w:rsidRPr="00F77964">
              <w:rPr>
                <w:rFonts w:eastAsia="SimSun"/>
                <w:sz w:val="18"/>
                <w:szCs w:val="18"/>
                <w:lang w:eastAsia="zh-CN"/>
              </w:rPr>
              <w:t>80</w:t>
            </w:r>
            <w:r w:rsidR="004F621B" w:rsidRPr="00F77964">
              <w:rPr>
                <w:rFonts w:eastAsia="SimSun"/>
                <w:sz w:val="18"/>
                <w:szCs w:val="18"/>
                <w:lang w:eastAsia="zh-CN"/>
              </w:rPr>
              <w:t> </w:t>
            </w:r>
            <w:r w:rsidRPr="00F77964">
              <w:rPr>
                <w:rFonts w:eastAsia="SimSun"/>
                <w:sz w:val="18"/>
                <w:szCs w:val="18"/>
                <w:lang w:eastAsia="zh-CN"/>
              </w:rPr>
              <w:t>000</w:t>
            </w:r>
          </w:p>
        </w:tc>
        <w:tc>
          <w:tcPr>
            <w:tcW w:w="1254" w:type="dxa"/>
            <w:noWrap/>
            <w:vAlign w:val="bottom"/>
            <w:hideMark/>
          </w:tcPr>
          <w:p w:rsidR="001D6913" w:rsidRPr="00F77964" w:rsidRDefault="001D6913" w:rsidP="004F621B">
            <w:pPr>
              <w:pStyle w:val="Normal-pool"/>
              <w:spacing w:before="40" w:after="40"/>
              <w:jc w:val="right"/>
              <w:rPr>
                <w:rFonts w:eastAsia="SimSun"/>
                <w:sz w:val="18"/>
                <w:szCs w:val="18"/>
                <w:lang w:eastAsia="zh-CN"/>
              </w:rPr>
            </w:pPr>
            <w:r w:rsidRPr="00F77964">
              <w:rPr>
                <w:rFonts w:eastAsia="SimSun"/>
                <w:sz w:val="18"/>
                <w:szCs w:val="18"/>
                <w:lang w:eastAsia="zh-CN"/>
              </w:rPr>
              <w:t>30</w:t>
            </w:r>
            <w:r w:rsidR="004F621B" w:rsidRPr="00F77964">
              <w:rPr>
                <w:rFonts w:eastAsia="SimSun"/>
                <w:sz w:val="18"/>
                <w:szCs w:val="18"/>
                <w:lang w:eastAsia="zh-CN"/>
              </w:rPr>
              <w:t> </w:t>
            </w:r>
            <w:r w:rsidRPr="00F77964">
              <w:rPr>
                <w:rFonts w:eastAsia="SimSun"/>
                <w:sz w:val="18"/>
                <w:szCs w:val="18"/>
                <w:lang w:eastAsia="zh-CN"/>
              </w:rPr>
              <w:t>000</w:t>
            </w:r>
          </w:p>
        </w:tc>
        <w:tc>
          <w:tcPr>
            <w:tcW w:w="1255" w:type="dxa"/>
            <w:noWrap/>
            <w:vAlign w:val="bottom"/>
            <w:hideMark/>
          </w:tcPr>
          <w:p w:rsidR="001D6913" w:rsidRPr="00F77964" w:rsidRDefault="001D6913" w:rsidP="004F621B">
            <w:pPr>
              <w:pStyle w:val="Normal-pool"/>
              <w:spacing w:before="40" w:after="40"/>
              <w:jc w:val="right"/>
              <w:rPr>
                <w:rFonts w:eastAsia="SimSun"/>
                <w:sz w:val="18"/>
                <w:szCs w:val="18"/>
                <w:lang w:eastAsia="zh-CN"/>
              </w:rPr>
            </w:pPr>
            <w:r w:rsidRPr="00F77964">
              <w:rPr>
                <w:rFonts w:eastAsia="SimSun"/>
                <w:sz w:val="18"/>
                <w:szCs w:val="18"/>
                <w:lang w:eastAsia="zh-CN"/>
              </w:rPr>
              <w:t>30</w:t>
            </w:r>
            <w:r w:rsidR="004F621B" w:rsidRPr="00F77964">
              <w:rPr>
                <w:rFonts w:eastAsia="SimSun"/>
                <w:sz w:val="18"/>
                <w:szCs w:val="18"/>
                <w:lang w:eastAsia="zh-CN"/>
              </w:rPr>
              <w:t> </w:t>
            </w:r>
            <w:r w:rsidRPr="00F77964">
              <w:rPr>
                <w:rFonts w:eastAsia="SimSun"/>
                <w:sz w:val="18"/>
                <w:szCs w:val="18"/>
                <w:lang w:eastAsia="zh-CN"/>
              </w:rPr>
              <w:t>000</w:t>
            </w:r>
          </w:p>
        </w:tc>
        <w:tc>
          <w:tcPr>
            <w:tcW w:w="1255" w:type="dxa"/>
            <w:noWrap/>
            <w:vAlign w:val="bottom"/>
            <w:hideMark/>
          </w:tcPr>
          <w:p w:rsidR="001D6913" w:rsidRPr="00F77964" w:rsidRDefault="001D6913" w:rsidP="004F621B">
            <w:pPr>
              <w:pStyle w:val="Normal-pool"/>
              <w:spacing w:before="40" w:after="40"/>
              <w:jc w:val="right"/>
              <w:rPr>
                <w:rFonts w:eastAsia="SimSun"/>
                <w:sz w:val="18"/>
                <w:szCs w:val="18"/>
                <w:lang w:eastAsia="zh-CN"/>
              </w:rPr>
            </w:pPr>
            <w:r w:rsidRPr="00F77964">
              <w:rPr>
                <w:rFonts w:eastAsia="SimSun"/>
                <w:sz w:val="18"/>
                <w:szCs w:val="18"/>
                <w:lang w:eastAsia="zh-CN"/>
              </w:rPr>
              <w:t>30</w:t>
            </w:r>
            <w:r w:rsidR="004F621B" w:rsidRPr="00F77964">
              <w:rPr>
                <w:rFonts w:eastAsia="SimSun"/>
                <w:sz w:val="18"/>
                <w:szCs w:val="18"/>
                <w:lang w:eastAsia="zh-CN"/>
              </w:rPr>
              <w:t> </w:t>
            </w:r>
            <w:r w:rsidRPr="00F77964">
              <w:rPr>
                <w:rFonts w:eastAsia="SimSun"/>
                <w:sz w:val="18"/>
                <w:szCs w:val="18"/>
                <w:lang w:eastAsia="zh-CN"/>
              </w:rPr>
              <w:t>000</w:t>
            </w:r>
          </w:p>
        </w:tc>
        <w:tc>
          <w:tcPr>
            <w:tcW w:w="1255" w:type="dxa"/>
            <w:tcBorders>
              <w:top w:val="nil"/>
              <w:left w:val="nil"/>
              <w:bottom w:val="nil"/>
              <w:right w:val="single" w:sz="4" w:space="0" w:color="auto"/>
            </w:tcBorders>
            <w:shd w:val="clear" w:color="auto" w:fill="FFFFFF"/>
            <w:noWrap/>
            <w:vAlign w:val="bottom"/>
            <w:hideMark/>
          </w:tcPr>
          <w:p w:rsidR="001D6913" w:rsidRPr="00F77964" w:rsidRDefault="001D6913" w:rsidP="004F621B">
            <w:pPr>
              <w:pStyle w:val="Normal-pool"/>
              <w:spacing w:before="40" w:after="40"/>
              <w:jc w:val="right"/>
              <w:rPr>
                <w:rFonts w:eastAsia="SimSun"/>
                <w:b/>
                <w:sz w:val="18"/>
                <w:szCs w:val="18"/>
                <w:lang w:eastAsia="zh-CN"/>
              </w:rPr>
            </w:pPr>
            <w:r w:rsidRPr="00F77964">
              <w:rPr>
                <w:rFonts w:eastAsia="SimSun"/>
                <w:b/>
                <w:sz w:val="18"/>
                <w:szCs w:val="18"/>
                <w:lang w:eastAsia="zh-CN"/>
              </w:rPr>
              <w:t>286</w:t>
            </w:r>
            <w:r w:rsidR="004F621B" w:rsidRPr="00F77964">
              <w:rPr>
                <w:rFonts w:eastAsia="SimSun"/>
                <w:b/>
                <w:sz w:val="18"/>
                <w:szCs w:val="18"/>
                <w:lang w:eastAsia="zh-CN"/>
              </w:rPr>
              <w:t> </w:t>
            </w:r>
            <w:r w:rsidRPr="00F77964">
              <w:rPr>
                <w:rFonts w:eastAsia="SimSun"/>
                <w:b/>
                <w:sz w:val="18"/>
                <w:szCs w:val="18"/>
                <w:lang w:eastAsia="zh-CN"/>
              </w:rPr>
              <w:t>250</w:t>
            </w:r>
          </w:p>
        </w:tc>
      </w:tr>
      <w:tr w:rsidR="001D6913" w:rsidRPr="0061490E" w:rsidTr="001D6913">
        <w:trPr>
          <w:trHeight w:val="240"/>
        </w:trPr>
        <w:tc>
          <w:tcPr>
            <w:tcW w:w="1254" w:type="dxa"/>
            <w:tcBorders>
              <w:top w:val="nil"/>
              <w:left w:val="single" w:sz="4" w:space="0" w:color="auto"/>
              <w:bottom w:val="nil"/>
              <w:right w:val="nil"/>
            </w:tcBorders>
            <w:noWrap/>
            <w:vAlign w:val="bottom"/>
            <w:hideMark/>
          </w:tcPr>
          <w:p w:rsidR="001D6913" w:rsidRPr="00F77964" w:rsidRDefault="001D6913" w:rsidP="004F621B">
            <w:pPr>
              <w:pStyle w:val="Normal-pool"/>
              <w:spacing w:before="40" w:after="40"/>
              <w:rPr>
                <w:rFonts w:eastAsia="SimSun"/>
                <w:sz w:val="18"/>
                <w:szCs w:val="18"/>
                <w:lang w:eastAsia="zh-CN"/>
              </w:rPr>
            </w:pPr>
            <w:r w:rsidRPr="00F77964">
              <w:rPr>
                <w:rFonts w:eastAsia="SimSun"/>
                <w:sz w:val="18"/>
                <w:szCs w:val="18"/>
                <w:lang w:eastAsia="zh-CN"/>
              </w:rPr>
              <w:t>4</w:t>
            </w:r>
            <w:r w:rsidR="004F621B" w:rsidRPr="00F77964">
              <w:rPr>
                <w:rFonts w:eastAsia="SimSun"/>
                <w:sz w:val="18"/>
                <w:szCs w:val="18"/>
                <w:lang w:eastAsia="zh-CN"/>
              </w:rPr>
              <w:t> </w:t>
            </w:r>
            <w:r w:rsidRPr="00F77964">
              <w:rPr>
                <w:rFonts w:eastAsia="SimSun"/>
                <w:sz w:val="18"/>
                <w:szCs w:val="18"/>
                <w:lang w:eastAsia="zh-CN"/>
              </w:rPr>
              <w:t>c)</w:t>
            </w:r>
          </w:p>
        </w:tc>
        <w:tc>
          <w:tcPr>
            <w:tcW w:w="1255" w:type="dxa"/>
            <w:noWrap/>
            <w:vAlign w:val="bottom"/>
            <w:hideMark/>
          </w:tcPr>
          <w:p w:rsidR="001D6913" w:rsidRPr="00F77964" w:rsidRDefault="001D6913" w:rsidP="004F621B">
            <w:pPr>
              <w:pStyle w:val="Normal-pool"/>
              <w:spacing w:before="40" w:after="40"/>
              <w:jc w:val="right"/>
              <w:rPr>
                <w:rFonts w:eastAsia="SimSun"/>
                <w:sz w:val="18"/>
                <w:szCs w:val="18"/>
                <w:lang w:eastAsia="zh-CN"/>
              </w:rPr>
            </w:pPr>
            <w:r w:rsidRPr="00F77964">
              <w:rPr>
                <w:rFonts w:eastAsia="SimSun"/>
                <w:sz w:val="18"/>
                <w:szCs w:val="18"/>
                <w:lang w:eastAsia="zh-CN"/>
              </w:rPr>
              <w:t>275</w:t>
            </w:r>
            <w:r w:rsidR="004F621B" w:rsidRPr="00F77964">
              <w:rPr>
                <w:rFonts w:eastAsia="SimSun"/>
                <w:sz w:val="18"/>
                <w:szCs w:val="18"/>
                <w:lang w:eastAsia="zh-CN"/>
              </w:rPr>
              <w:t> </w:t>
            </w:r>
            <w:r w:rsidRPr="00F77964">
              <w:rPr>
                <w:rFonts w:eastAsia="SimSun"/>
                <w:sz w:val="18"/>
                <w:szCs w:val="18"/>
                <w:lang w:eastAsia="zh-CN"/>
              </w:rPr>
              <w:t>000</w:t>
            </w:r>
          </w:p>
        </w:tc>
        <w:tc>
          <w:tcPr>
            <w:tcW w:w="1255" w:type="dxa"/>
            <w:noWrap/>
            <w:vAlign w:val="bottom"/>
            <w:hideMark/>
          </w:tcPr>
          <w:p w:rsidR="001D6913" w:rsidRPr="00F77964" w:rsidRDefault="001D6913" w:rsidP="004F621B">
            <w:pPr>
              <w:pStyle w:val="Normal-pool"/>
              <w:spacing w:before="40" w:after="40"/>
              <w:jc w:val="right"/>
              <w:rPr>
                <w:rFonts w:eastAsia="SimSun"/>
                <w:sz w:val="18"/>
                <w:szCs w:val="18"/>
                <w:lang w:eastAsia="zh-CN"/>
              </w:rPr>
            </w:pPr>
            <w:r w:rsidRPr="00F77964">
              <w:rPr>
                <w:rFonts w:eastAsia="SimSun"/>
                <w:sz w:val="18"/>
                <w:szCs w:val="18"/>
                <w:lang w:eastAsia="zh-CN"/>
              </w:rPr>
              <w:t>215</w:t>
            </w:r>
            <w:r w:rsidR="004F621B" w:rsidRPr="00F77964">
              <w:rPr>
                <w:rFonts w:eastAsia="SimSun"/>
                <w:sz w:val="18"/>
                <w:szCs w:val="18"/>
                <w:lang w:eastAsia="zh-CN"/>
              </w:rPr>
              <w:t> </w:t>
            </w:r>
            <w:r w:rsidRPr="00F77964">
              <w:rPr>
                <w:rFonts w:eastAsia="SimSun"/>
                <w:sz w:val="18"/>
                <w:szCs w:val="18"/>
                <w:lang w:eastAsia="zh-CN"/>
              </w:rPr>
              <w:t>000</w:t>
            </w:r>
          </w:p>
        </w:tc>
        <w:tc>
          <w:tcPr>
            <w:tcW w:w="1254" w:type="dxa"/>
            <w:noWrap/>
            <w:vAlign w:val="bottom"/>
            <w:hideMark/>
          </w:tcPr>
          <w:p w:rsidR="001D6913" w:rsidRPr="00F77964" w:rsidRDefault="001D6913" w:rsidP="004F621B">
            <w:pPr>
              <w:pStyle w:val="Normal-pool"/>
              <w:spacing w:before="40" w:after="40"/>
              <w:jc w:val="right"/>
              <w:rPr>
                <w:rFonts w:eastAsia="SimSun"/>
                <w:sz w:val="18"/>
                <w:szCs w:val="18"/>
                <w:lang w:eastAsia="zh-CN"/>
              </w:rPr>
            </w:pPr>
            <w:r w:rsidRPr="00F77964">
              <w:rPr>
                <w:rFonts w:eastAsia="SimSun"/>
                <w:sz w:val="18"/>
                <w:szCs w:val="18"/>
                <w:lang w:eastAsia="zh-CN"/>
              </w:rPr>
              <w:t>215</w:t>
            </w:r>
            <w:r w:rsidR="004F621B" w:rsidRPr="00F77964">
              <w:rPr>
                <w:rFonts w:eastAsia="SimSun"/>
                <w:sz w:val="18"/>
                <w:szCs w:val="18"/>
                <w:lang w:eastAsia="zh-CN"/>
              </w:rPr>
              <w:t> </w:t>
            </w:r>
            <w:r w:rsidRPr="00F77964">
              <w:rPr>
                <w:rFonts w:eastAsia="SimSun"/>
                <w:sz w:val="18"/>
                <w:szCs w:val="18"/>
                <w:lang w:eastAsia="zh-CN"/>
              </w:rPr>
              <w:t>000</w:t>
            </w:r>
          </w:p>
        </w:tc>
        <w:tc>
          <w:tcPr>
            <w:tcW w:w="1255" w:type="dxa"/>
            <w:noWrap/>
            <w:vAlign w:val="bottom"/>
            <w:hideMark/>
          </w:tcPr>
          <w:p w:rsidR="001D6913" w:rsidRPr="00F77964" w:rsidRDefault="001D6913" w:rsidP="004F621B">
            <w:pPr>
              <w:pStyle w:val="Normal-pool"/>
              <w:spacing w:before="40" w:after="40"/>
              <w:jc w:val="right"/>
              <w:rPr>
                <w:rFonts w:eastAsia="SimSun"/>
                <w:sz w:val="18"/>
                <w:szCs w:val="18"/>
                <w:lang w:eastAsia="zh-CN"/>
              </w:rPr>
            </w:pPr>
            <w:r w:rsidRPr="00F77964">
              <w:rPr>
                <w:rFonts w:eastAsia="SimSun"/>
                <w:sz w:val="18"/>
                <w:szCs w:val="18"/>
                <w:lang w:eastAsia="zh-CN"/>
              </w:rPr>
              <w:t>215</w:t>
            </w:r>
            <w:r w:rsidR="004F621B" w:rsidRPr="00F77964">
              <w:rPr>
                <w:rFonts w:eastAsia="SimSun"/>
                <w:sz w:val="18"/>
                <w:szCs w:val="18"/>
                <w:lang w:eastAsia="zh-CN"/>
              </w:rPr>
              <w:t> </w:t>
            </w:r>
            <w:r w:rsidRPr="00F77964">
              <w:rPr>
                <w:rFonts w:eastAsia="SimSun"/>
                <w:sz w:val="18"/>
                <w:szCs w:val="18"/>
                <w:lang w:eastAsia="zh-CN"/>
              </w:rPr>
              <w:t>000</w:t>
            </w:r>
          </w:p>
        </w:tc>
        <w:tc>
          <w:tcPr>
            <w:tcW w:w="1255" w:type="dxa"/>
            <w:noWrap/>
            <w:vAlign w:val="bottom"/>
            <w:hideMark/>
          </w:tcPr>
          <w:p w:rsidR="001D6913" w:rsidRPr="00F77964" w:rsidRDefault="001D6913" w:rsidP="004F621B">
            <w:pPr>
              <w:pStyle w:val="Normal-pool"/>
              <w:spacing w:before="40" w:after="40"/>
              <w:jc w:val="right"/>
              <w:rPr>
                <w:rFonts w:eastAsia="SimSun"/>
                <w:sz w:val="18"/>
                <w:szCs w:val="18"/>
                <w:lang w:eastAsia="zh-CN"/>
              </w:rPr>
            </w:pPr>
            <w:r w:rsidRPr="00F77964">
              <w:rPr>
                <w:rFonts w:eastAsia="SimSun"/>
                <w:sz w:val="18"/>
                <w:szCs w:val="18"/>
                <w:lang w:eastAsia="zh-CN"/>
              </w:rPr>
              <w:t>285</w:t>
            </w:r>
            <w:r w:rsidR="004F621B" w:rsidRPr="00F77964">
              <w:rPr>
                <w:rFonts w:eastAsia="SimSun"/>
                <w:sz w:val="18"/>
                <w:szCs w:val="18"/>
                <w:lang w:eastAsia="zh-CN"/>
              </w:rPr>
              <w:t> </w:t>
            </w:r>
            <w:r w:rsidRPr="00F77964">
              <w:rPr>
                <w:rFonts w:eastAsia="SimSun"/>
                <w:sz w:val="18"/>
                <w:szCs w:val="18"/>
                <w:lang w:eastAsia="zh-CN"/>
              </w:rPr>
              <w:t>000</w:t>
            </w:r>
          </w:p>
        </w:tc>
        <w:tc>
          <w:tcPr>
            <w:tcW w:w="1255" w:type="dxa"/>
            <w:tcBorders>
              <w:top w:val="nil"/>
              <w:left w:val="nil"/>
              <w:bottom w:val="nil"/>
              <w:right w:val="single" w:sz="4" w:space="0" w:color="auto"/>
            </w:tcBorders>
            <w:shd w:val="clear" w:color="auto" w:fill="FFFFFF"/>
            <w:noWrap/>
            <w:vAlign w:val="bottom"/>
            <w:hideMark/>
          </w:tcPr>
          <w:p w:rsidR="001D6913" w:rsidRPr="00F77964" w:rsidRDefault="001D6913" w:rsidP="004F621B">
            <w:pPr>
              <w:pStyle w:val="Normal-pool"/>
              <w:spacing w:before="40" w:after="40"/>
              <w:jc w:val="right"/>
              <w:rPr>
                <w:rFonts w:eastAsia="SimSun"/>
                <w:b/>
                <w:sz w:val="18"/>
                <w:szCs w:val="18"/>
                <w:lang w:eastAsia="zh-CN"/>
              </w:rPr>
            </w:pPr>
            <w:r w:rsidRPr="00F77964">
              <w:rPr>
                <w:rFonts w:eastAsia="SimSun"/>
                <w:b/>
                <w:sz w:val="18"/>
                <w:szCs w:val="18"/>
                <w:lang w:eastAsia="zh-CN"/>
              </w:rPr>
              <w:t>1</w:t>
            </w:r>
            <w:r w:rsidR="004F621B" w:rsidRPr="00F77964">
              <w:rPr>
                <w:rFonts w:eastAsia="SimSun"/>
                <w:b/>
                <w:sz w:val="18"/>
                <w:szCs w:val="18"/>
                <w:lang w:eastAsia="zh-CN"/>
              </w:rPr>
              <w:t> </w:t>
            </w:r>
            <w:r w:rsidRPr="00F77964">
              <w:rPr>
                <w:rFonts w:eastAsia="SimSun"/>
                <w:b/>
                <w:sz w:val="18"/>
                <w:szCs w:val="18"/>
                <w:lang w:eastAsia="zh-CN"/>
              </w:rPr>
              <w:t>205</w:t>
            </w:r>
            <w:r w:rsidR="004F621B" w:rsidRPr="00F77964">
              <w:rPr>
                <w:rFonts w:eastAsia="SimSun"/>
                <w:b/>
                <w:sz w:val="18"/>
                <w:szCs w:val="18"/>
                <w:lang w:eastAsia="zh-CN"/>
              </w:rPr>
              <w:t> </w:t>
            </w:r>
            <w:r w:rsidRPr="00F77964">
              <w:rPr>
                <w:rFonts w:eastAsia="SimSun"/>
                <w:b/>
                <w:sz w:val="18"/>
                <w:szCs w:val="18"/>
                <w:lang w:eastAsia="zh-CN"/>
              </w:rPr>
              <w:t>000</w:t>
            </w:r>
          </w:p>
        </w:tc>
      </w:tr>
      <w:tr w:rsidR="001D6913" w:rsidRPr="0061490E" w:rsidTr="001D6913">
        <w:trPr>
          <w:trHeight w:val="425"/>
        </w:trPr>
        <w:tc>
          <w:tcPr>
            <w:tcW w:w="1254" w:type="dxa"/>
            <w:tcBorders>
              <w:top w:val="nil"/>
              <w:left w:val="single" w:sz="4" w:space="0" w:color="auto"/>
              <w:bottom w:val="nil"/>
              <w:right w:val="nil"/>
            </w:tcBorders>
            <w:noWrap/>
            <w:vAlign w:val="bottom"/>
            <w:hideMark/>
          </w:tcPr>
          <w:p w:rsidR="001D6913" w:rsidRPr="00F77964" w:rsidRDefault="001D6913" w:rsidP="004F621B">
            <w:pPr>
              <w:pStyle w:val="Normal-pool"/>
              <w:spacing w:before="40" w:after="40"/>
              <w:rPr>
                <w:rFonts w:eastAsia="SimSun"/>
                <w:sz w:val="18"/>
                <w:szCs w:val="18"/>
                <w:lang w:eastAsia="zh-CN"/>
              </w:rPr>
            </w:pPr>
            <w:r w:rsidRPr="00F77964">
              <w:rPr>
                <w:rFonts w:eastAsia="SimSun"/>
                <w:sz w:val="18"/>
                <w:szCs w:val="18"/>
                <w:lang w:eastAsia="zh-CN"/>
              </w:rPr>
              <w:t>4</w:t>
            </w:r>
            <w:r w:rsidR="004F621B" w:rsidRPr="00F77964">
              <w:rPr>
                <w:rFonts w:eastAsia="SimSun"/>
                <w:sz w:val="18"/>
                <w:szCs w:val="18"/>
                <w:lang w:eastAsia="zh-CN"/>
              </w:rPr>
              <w:t> </w:t>
            </w:r>
            <w:r w:rsidRPr="00F77964">
              <w:rPr>
                <w:rFonts w:eastAsia="SimSun"/>
                <w:sz w:val="18"/>
                <w:szCs w:val="18"/>
                <w:lang w:eastAsia="zh-CN"/>
              </w:rPr>
              <w:t>d)</w:t>
            </w:r>
          </w:p>
        </w:tc>
        <w:tc>
          <w:tcPr>
            <w:tcW w:w="1255" w:type="dxa"/>
            <w:noWrap/>
            <w:vAlign w:val="bottom"/>
            <w:hideMark/>
          </w:tcPr>
          <w:p w:rsidR="001D6913" w:rsidRPr="00F77964" w:rsidRDefault="001D6913" w:rsidP="001D6913">
            <w:pPr>
              <w:pStyle w:val="Normal-pool"/>
              <w:spacing w:before="40" w:after="40"/>
              <w:jc w:val="right"/>
              <w:rPr>
                <w:rFonts w:eastAsia="SimSun"/>
                <w:sz w:val="18"/>
                <w:szCs w:val="18"/>
                <w:lang w:eastAsia="zh-CN"/>
              </w:rPr>
            </w:pPr>
            <w:r w:rsidRPr="00F77964">
              <w:rPr>
                <w:rFonts w:eastAsia="SimSun"/>
                <w:sz w:val="18"/>
                <w:szCs w:val="18"/>
                <w:lang w:eastAsia="zh-CN"/>
              </w:rPr>
              <w:t>-</w:t>
            </w:r>
          </w:p>
        </w:tc>
        <w:tc>
          <w:tcPr>
            <w:tcW w:w="1255" w:type="dxa"/>
            <w:noWrap/>
            <w:vAlign w:val="bottom"/>
            <w:hideMark/>
          </w:tcPr>
          <w:p w:rsidR="001D6913" w:rsidRPr="00F77964" w:rsidRDefault="001D6913" w:rsidP="004F621B">
            <w:pPr>
              <w:pStyle w:val="Normal-pool"/>
              <w:spacing w:before="40" w:after="40"/>
              <w:jc w:val="right"/>
              <w:rPr>
                <w:rFonts w:eastAsia="SimSun"/>
                <w:sz w:val="18"/>
                <w:szCs w:val="18"/>
                <w:lang w:eastAsia="zh-CN"/>
              </w:rPr>
            </w:pPr>
            <w:r w:rsidRPr="00F77964">
              <w:rPr>
                <w:rFonts w:eastAsia="SimSun"/>
                <w:sz w:val="18"/>
                <w:szCs w:val="18"/>
                <w:lang w:eastAsia="zh-CN"/>
              </w:rPr>
              <w:t>36</w:t>
            </w:r>
            <w:r w:rsidR="004F621B" w:rsidRPr="00F77964">
              <w:rPr>
                <w:rFonts w:eastAsia="SimSun"/>
                <w:sz w:val="18"/>
                <w:szCs w:val="18"/>
                <w:lang w:eastAsia="zh-CN"/>
              </w:rPr>
              <w:t> </w:t>
            </w:r>
            <w:r w:rsidRPr="00F77964">
              <w:rPr>
                <w:rFonts w:eastAsia="SimSun"/>
                <w:sz w:val="18"/>
                <w:szCs w:val="18"/>
                <w:lang w:eastAsia="zh-CN"/>
              </w:rPr>
              <w:t>000</w:t>
            </w:r>
          </w:p>
        </w:tc>
        <w:tc>
          <w:tcPr>
            <w:tcW w:w="1254" w:type="dxa"/>
            <w:noWrap/>
            <w:vAlign w:val="bottom"/>
            <w:hideMark/>
          </w:tcPr>
          <w:p w:rsidR="001D6913" w:rsidRPr="00F77964" w:rsidRDefault="001D6913" w:rsidP="001D6913">
            <w:pPr>
              <w:pStyle w:val="Normal-pool"/>
              <w:spacing w:before="40" w:after="40"/>
              <w:jc w:val="right"/>
              <w:rPr>
                <w:rFonts w:eastAsia="SimSun"/>
                <w:sz w:val="18"/>
                <w:szCs w:val="18"/>
                <w:lang w:eastAsia="zh-CN"/>
              </w:rPr>
            </w:pPr>
            <w:r w:rsidRPr="00F77964">
              <w:rPr>
                <w:rFonts w:eastAsia="SimSun"/>
                <w:sz w:val="18"/>
                <w:szCs w:val="18"/>
                <w:lang w:eastAsia="zh-CN"/>
              </w:rPr>
              <w:t>-</w:t>
            </w:r>
          </w:p>
        </w:tc>
        <w:tc>
          <w:tcPr>
            <w:tcW w:w="1255" w:type="dxa"/>
            <w:noWrap/>
            <w:vAlign w:val="bottom"/>
            <w:hideMark/>
          </w:tcPr>
          <w:p w:rsidR="001D6913" w:rsidRPr="00F77964" w:rsidRDefault="001D6913" w:rsidP="004F621B">
            <w:pPr>
              <w:pStyle w:val="Normal-pool"/>
              <w:spacing w:before="40" w:after="40"/>
              <w:jc w:val="right"/>
              <w:rPr>
                <w:rFonts w:eastAsia="SimSun"/>
                <w:sz w:val="18"/>
                <w:szCs w:val="18"/>
                <w:lang w:eastAsia="zh-CN"/>
              </w:rPr>
            </w:pPr>
            <w:r w:rsidRPr="00F77964">
              <w:rPr>
                <w:rFonts w:eastAsia="SimSun"/>
                <w:sz w:val="18"/>
                <w:szCs w:val="18"/>
                <w:lang w:eastAsia="zh-CN"/>
              </w:rPr>
              <w:t>84</w:t>
            </w:r>
            <w:r w:rsidR="004F621B" w:rsidRPr="00F77964">
              <w:rPr>
                <w:rFonts w:eastAsia="SimSun"/>
                <w:sz w:val="18"/>
                <w:szCs w:val="18"/>
                <w:lang w:eastAsia="zh-CN"/>
              </w:rPr>
              <w:t> </w:t>
            </w:r>
            <w:r w:rsidRPr="00F77964">
              <w:rPr>
                <w:rFonts w:eastAsia="SimSun"/>
                <w:sz w:val="18"/>
                <w:szCs w:val="18"/>
                <w:lang w:eastAsia="zh-CN"/>
              </w:rPr>
              <w:t>000</w:t>
            </w:r>
          </w:p>
        </w:tc>
        <w:tc>
          <w:tcPr>
            <w:tcW w:w="1255" w:type="dxa"/>
            <w:noWrap/>
            <w:vAlign w:val="bottom"/>
            <w:hideMark/>
          </w:tcPr>
          <w:p w:rsidR="001D6913" w:rsidRPr="00F77964" w:rsidRDefault="001D6913" w:rsidP="001D6913">
            <w:pPr>
              <w:pStyle w:val="Normal-pool"/>
              <w:spacing w:before="40" w:after="40"/>
              <w:jc w:val="right"/>
              <w:rPr>
                <w:rFonts w:eastAsia="SimSun"/>
                <w:sz w:val="18"/>
                <w:szCs w:val="18"/>
                <w:lang w:eastAsia="zh-CN"/>
              </w:rPr>
            </w:pPr>
            <w:r w:rsidRPr="00F77964">
              <w:rPr>
                <w:rFonts w:eastAsia="SimSun"/>
                <w:sz w:val="18"/>
                <w:szCs w:val="18"/>
                <w:lang w:eastAsia="zh-CN"/>
              </w:rPr>
              <w:t>-</w:t>
            </w:r>
          </w:p>
        </w:tc>
        <w:tc>
          <w:tcPr>
            <w:tcW w:w="1255" w:type="dxa"/>
            <w:tcBorders>
              <w:top w:val="nil"/>
              <w:left w:val="nil"/>
              <w:bottom w:val="nil"/>
              <w:right w:val="single" w:sz="4" w:space="0" w:color="auto"/>
            </w:tcBorders>
            <w:shd w:val="clear" w:color="auto" w:fill="FFFFFF"/>
            <w:noWrap/>
            <w:vAlign w:val="bottom"/>
            <w:hideMark/>
          </w:tcPr>
          <w:p w:rsidR="001D6913" w:rsidRPr="00F77964" w:rsidRDefault="001D6913" w:rsidP="004F621B">
            <w:pPr>
              <w:pStyle w:val="Normal-pool"/>
              <w:spacing w:before="40" w:after="40"/>
              <w:jc w:val="right"/>
              <w:rPr>
                <w:rFonts w:eastAsia="SimSun"/>
                <w:b/>
                <w:sz w:val="18"/>
                <w:szCs w:val="18"/>
                <w:lang w:eastAsia="zh-CN"/>
              </w:rPr>
            </w:pPr>
            <w:r w:rsidRPr="00F77964">
              <w:rPr>
                <w:rFonts w:eastAsia="SimSun"/>
                <w:b/>
                <w:sz w:val="18"/>
                <w:szCs w:val="18"/>
                <w:lang w:eastAsia="zh-CN"/>
              </w:rPr>
              <w:t>120</w:t>
            </w:r>
            <w:r w:rsidR="004F621B" w:rsidRPr="00F77964">
              <w:rPr>
                <w:rFonts w:eastAsia="SimSun"/>
                <w:b/>
                <w:sz w:val="18"/>
                <w:szCs w:val="18"/>
                <w:lang w:eastAsia="zh-CN"/>
              </w:rPr>
              <w:t> </w:t>
            </w:r>
            <w:r w:rsidRPr="00F77964">
              <w:rPr>
                <w:rFonts w:eastAsia="SimSun"/>
                <w:b/>
                <w:sz w:val="18"/>
                <w:szCs w:val="18"/>
                <w:lang w:eastAsia="zh-CN"/>
              </w:rPr>
              <w:t>000</w:t>
            </w:r>
          </w:p>
        </w:tc>
      </w:tr>
      <w:tr w:rsidR="001D6913" w:rsidRPr="0061490E" w:rsidTr="001D6913">
        <w:trPr>
          <w:trHeight w:val="240"/>
        </w:trPr>
        <w:tc>
          <w:tcPr>
            <w:tcW w:w="1254" w:type="dxa"/>
            <w:tcBorders>
              <w:top w:val="nil"/>
              <w:left w:val="single" w:sz="4" w:space="0" w:color="auto"/>
              <w:bottom w:val="single" w:sz="4" w:space="0" w:color="auto"/>
              <w:right w:val="nil"/>
            </w:tcBorders>
            <w:noWrap/>
            <w:vAlign w:val="bottom"/>
            <w:hideMark/>
          </w:tcPr>
          <w:p w:rsidR="001D6913" w:rsidRPr="00F77964" w:rsidRDefault="001D6913" w:rsidP="001D6913">
            <w:pPr>
              <w:pStyle w:val="Normal-pool"/>
              <w:spacing w:before="40" w:after="40"/>
              <w:rPr>
                <w:rFonts w:eastAsia="SimSun"/>
                <w:sz w:val="18"/>
                <w:szCs w:val="18"/>
                <w:lang w:eastAsia="zh-CN"/>
              </w:rPr>
            </w:pPr>
            <w:r w:rsidRPr="00F77964">
              <w:rPr>
                <w:rFonts w:eastAsia="SimSun"/>
                <w:sz w:val="18"/>
                <w:szCs w:val="18"/>
                <w:lang w:eastAsia="zh-CN"/>
              </w:rPr>
              <w:t> </w:t>
            </w:r>
          </w:p>
        </w:tc>
        <w:tc>
          <w:tcPr>
            <w:tcW w:w="1255" w:type="dxa"/>
            <w:tcBorders>
              <w:top w:val="nil"/>
              <w:left w:val="nil"/>
              <w:bottom w:val="single" w:sz="4" w:space="0" w:color="auto"/>
              <w:right w:val="nil"/>
            </w:tcBorders>
            <w:noWrap/>
            <w:vAlign w:val="bottom"/>
            <w:hideMark/>
          </w:tcPr>
          <w:p w:rsidR="001D6913" w:rsidRPr="0061490E" w:rsidRDefault="001D6913" w:rsidP="001D6913">
            <w:pPr>
              <w:rPr>
                <w:lang w:eastAsia="fr-FR"/>
              </w:rPr>
            </w:pPr>
          </w:p>
        </w:tc>
        <w:tc>
          <w:tcPr>
            <w:tcW w:w="1255" w:type="dxa"/>
            <w:tcBorders>
              <w:top w:val="nil"/>
              <w:left w:val="nil"/>
              <w:bottom w:val="single" w:sz="4" w:space="0" w:color="auto"/>
              <w:right w:val="nil"/>
            </w:tcBorders>
            <w:noWrap/>
            <w:vAlign w:val="bottom"/>
            <w:hideMark/>
          </w:tcPr>
          <w:p w:rsidR="001D6913" w:rsidRPr="0061490E" w:rsidRDefault="001D6913" w:rsidP="001D6913">
            <w:pPr>
              <w:rPr>
                <w:lang w:eastAsia="fr-FR"/>
              </w:rPr>
            </w:pPr>
          </w:p>
        </w:tc>
        <w:tc>
          <w:tcPr>
            <w:tcW w:w="1254" w:type="dxa"/>
            <w:tcBorders>
              <w:top w:val="nil"/>
              <w:left w:val="nil"/>
              <w:bottom w:val="single" w:sz="4" w:space="0" w:color="auto"/>
              <w:right w:val="nil"/>
            </w:tcBorders>
            <w:noWrap/>
            <w:vAlign w:val="bottom"/>
            <w:hideMark/>
          </w:tcPr>
          <w:p w:rsidR="001D6913" w:rsidRPr="0061490E" w:rsidRDefault="001D6913" w:rsidP="001D6913">
            <w:pPr>
              <w:rPr>
                <w:lang w:eastAsia="fr-FR"/>
              </w:rPr>
            </w:pPr>
          </w:p>
        </w:tc>
        <w:tc>
          <w:tcPr>
            <w:tcW w:w="1255" w:type="dxa"/>
            <w:tcBorders>
              <w:top w:val="nil"/>
              <w:left w:val="nil"/>
              <w:bottom w:val="single" w:sz="4" w:space="0" w:color="auto"/>
              <w:right w:val="nil"/>
            </w:tcBorders>
            <w:noWrap/>
            <w:vAlign w:val="bottom"/>
            <w:hideMark/>
          </w:tcPr>
          <w:p w:rsidR="001D6913" w:rsidRPr="0061490E" w:rsidRDefault="001D6913" w:rsidP="001D6913">
            <w:pPr>
              <w:rPr>
                <w:lang w:eastAsia="fr-FR"/>
              </w:rPr>
            </w:pPr>
          </w:p>
        </w:tc>
        <w:tc>
          <w:tcPr>
            <w:tcW w:w="1255" w:type="dxa"/>
            <w:tcBorders>
              <w:top w:val="nil"/>
              <w:left w:val="nil"/>
              <w:bottom w:val="single" w:sz="4" w:space="0" w:color="auto"/>
              <w:right w:val="nil"/>
            </w:tcBorders>
            <w:noWrap/>
            <w:vAlign w:val="bottom"/>
            <w:hideMark/>
          </w:tcPr>
          <w:p w:rsidR="001D6913" w:rsidRPr="0061490E" w:rsidRDefault="001D6913" w:rsidP="001D6913">
            <w:pPr>
              <w:rPr>
                <w:lang w:eastAsia="fr-FR"/>
              </w:rPr>
            </w:pPr>
          </w:p>
        </w:tc>
        <w:tc>
          <w:tcPr>
            <w:tcW w:w="1255" w:type="dxa"/>
            <w:tcBorders>
              <w:top w:val="nil"/>
              <w:left w:val="nil"/>
              <w:bottom w:val="single" w:sz="4" w:space="0" w:color="auto"/>
              <w:right w:val="single" w:sz="4" w:space="0" w:color="auto"/>
            </w:tcBorders>
            <w:shd w:val="clear" w:color="auto" w:fill="FFFFFF"/>
            <w:noWrap/>
            <w:vAlign w:val="bottom"/>
            <w:hideMark/>
          </w:tcPr>
          <w:p w:rsidR="001D6913" w:rsidRPr="00F77964" w:rsidRDefault="001D6913" w:rsidP="001D6913">
            <w:pPr>
              <w:pStyle w:val="Normal-pool"/>
              <w:spacing w:before="40" w:after="40"/>
              <w:jc w:val="right"/>
              <w:rPr>
                <w:rFonts w:eastAsia="SimSun"/>
                <w:b/>
                <w:sz w:val="18"/>
                <w:szCs w:val="18"/>
                <w:lang w:eastAsia="zh-CN"/>
              </w:rPr>
            </w:pPr>
            <w:r w:rsidRPr="00F77964">
              <w:rPr>
                <w:rFonts w:eastAsia="SimSun"/>
                <w:b/>
                <w:sz w:val="18"/>
                <w:szCs w:val="18"/>
                <w:lang w:eastAsia="zh-CN"/>
              </w:rPr>
              <w:t> </w:t>
            </w:r>
          </w:p>
        </w:tc>
      </w:tr>
      <w:tr w:rsidR="001D6913" w:rsidRPr="006A3534" w:rsidTr="006A3534">
        <w:trPr>
          <w:trHeight w:val="240"/>
        </w:trPr>
        <w:tc>
          <w:tcPr>
            <w:tcW w:w="1254" w:type="dxa"/>
            <w:tcBorders>
              <w:top w:val="single" w:sz="4" w:space="0" w:color="auto"/>
              <w:left w:val="single" w:sz="4" w:space="0" w:color="auto"/>
              <w:bottom w:val="single" w:sz="4" w:space="0" w:color="auto"/>
              <w:right w:val="nil"/>
            </w:tcBorders>
            <w:shd w:val="clear" w:color="auto" w:fill="FFFFFF"/>
            <w:noWrap/>
            <w:hideMark/>
          </w:tcPr>
          <w:p w:rsidR="001D6913" w:rsidRPr="006A3534" w:rsidRDefault="001D6913" w:rsidP="006A3534">
            <w:pPr>
              <w:rPr>
                <w:rFonts w:ascii="Times New Roman" w:eastAsia="Times New Roman" w:hAnsi="Times New Roman"/>
                <w:b/>
                <w:bCs/>
                <w:sz w:val="18"/>
                <w:szCs w:val="18"/>
              </w:rPr>
            </w:pPr>
            <w:r w:rsidRPr="006A3534">
              <w:rPr>
                <w:rFonts w:ascii="Times New Roman" w:eastAsia="Times New Roman" w:hAnsi="Times New Roman"/>
                <w:b/>
                <w:bCs/>
                <w:sz w:val="18"/>
                <w:szCs w:val="18"/>
              </w:rPr>
              <w:t>Total</w:t>
            </w:r>
          </w:p>
        </w:tc>
        <w:tc>
          <w:tcPr>
            <w:tcW w:w="1255" w:type="dxa"/>
            <w:tcBorders>
              <w:top w:val="single" w:sz="4" w:space="0" w:color="auto"/>
              <w:left w:val="nil"/>
              <w:bottom w:val="single" w:sz="4" w:space="0" w:color="auto"/>
              <w:right w:val="nil"/>
            </w:tcBorders>
            <w:shd w:val="clear" w:color="auto" w:fill="FFFFFF"/>
            <w:noWrap/>
            <w:hideMark/>
          </w:tcPr>
          <w:p w:rsidR="001D6913" w:rsidRPr="006A3534" w:rsidRDefault="001D6913" w:rsidP="006A3534">
            <w:pPr>
              <w:pStyle w:val="Normal-pool"/>
              <w:spacing w:before="40" w:after="40"/>
              <w:rPr>
                <w:rFonts w:eastAsia="SimSun"/>
                <w:b/>
                <w:sz w:val="18"/>
                <w:szCs w:val="18"/>
                <w:lang w:eastAsia="zh-CN"/>
              </w:rPr>
            </w:pPr>
            <w:r w:rsidRPr="006A3534">
              <w:rPr>
                <w:rFonts w:eastAsia="SimSun"/>
                <w:b/>
                <w:sz w:val="18"/>
                <w:szCs w:val="18"/>
                <w:lang w:eastAsia="zh-CN"/>
              </w:rPr>
              <w:t>4</w:t>
            </w:r>
            <w:r w:rsidR="004F621B" w:rsidRPr="006A3534">
              <w:rPr>
                <w:rFonts w:eastAsia="SimSun"/>
                <w:b/>
                <w:sz w:val="18"/>
                <w:szCs w:val="18"/>
                <w:lang w:eastAsia="zh-CN"/>
              </w:rPr>
              <w:t> </w:t>
            </w:r>
            <w:r w:rsidRPr="006A3534">
              <w:rPr>
                <w:rFonts w:eastAsia="SimSun"/>
                <w:b/>
                <w:sz w:val="18"/>
                <w:szCs w:val="18"/>
                <w:lang w:eastAsia="zh-CN"/>
              </w:rPr>
              <w:t>747</w:t>
            </w:r>
            <w:r w:rsidR="004F621B" w:rsidRPr="006A3534">
              <w:rPr>
                <w:rFonts w:eastAsia="SimSun"/>
                <w:b/>
                <w:sz w:val="18"/>
                <w:szCs w:val="18"/>
                <w:lang w:eastAsia="zh-CN"/>
              </w:rPr>
              <w:t> </w:t>
            </w:r>
            <w:r w:rsidRPr="006A3534">
              <w:rPr>
                <w:rFonts w:eastAsia="SimSun"/>
                <w:b/>
                <w:sz w:val="18"/>
                <w:szCs w:val="18"/>
                <w:lang w:eastAsia="zh-CN"/>
              </w:rPr>
              <w:t>500</w:t>
            </w:r>
          </w:p>
        </w:tc>
        <w:tc>
          <w:tcPr>
            <w:tcW w:w="1255" w:type="dxa"/>
            <w:tcBorders>
              <w:top w:val="single" w:sz="4" w:space="0" w:color="auto"/>
              <w:left w:val="nil"/>
              <w:bottom w:val="single" w:sz="4" w:space="0" w:color="auto"/>
              <w:right w:val="nil"/>
            </w:tcBorders>
            <w:shd w:val="clear" w:color="auto" w:fill="FFFFFF"/>
            <w:noWrap/>
            <w:hideMark/>
          </w:tcPr>
          <w:p w:rsidR="001D6913" w:rsidRPr="006A3534" w:rsidRDefault="001D6913" w:rsidP="006A3534">
            <w:pPr>
              <w:pStyle w:val="Normal-pool"/>
              <w:spacing w:before="40" w:after="40"/>
              <w:rPr>
                <w:rFonts w:eastAsia="SimSun"/>
                <w:b/>
                <w:sz w:val="18"/>
                <w:szCs w:val="18"/>
                <w:lang w:eastAsia="zh-CN"/>
              </w:rPr>
            </w:pPr>
            <w:r w:rsidRPr="006A3534">
              <w:rPr>
                <w:rFonts w:eastAsia="SimSun"/>
                <w:b/>
                <w:sz w:val="18"/>
                <w:szCs w:val="18"/>
                <w:lang w:eastAsia="zh-CN"/>
              </w:rPr>
              <w:t>5</w:t>
            </w:r>
            <w:r w:rsidR="004F621B" w:rsidRPr="006A3534">
              <w:rPr>
                <w:rFonts w:eastAsia="SimSun"/>
                <w:b/>
                <w:sz w:val="18"/>
                <w:szCs w:val="18"/>
                <w:lang w:eastAsia="zh-CN"/>
              </w:rPr>
              <w:t> </w:t>
            </w:r>
            <w:r w:rsidRPr="006A3534">
              <w:rPr>
                <w:rFonts w:eastAsia="SimSun"/>
                <w:b/>
                <w:sz w:val="18"/>
                <w:szCs w:val="18"/>
                <w:lang w:eastAsia="zh-CN"/>
              </w:rPr>
              <w:t>388</w:t>
            </w:r>
            <w:r w:rsidR="004F621B" w:rsidRPr="006A3534">
              <w:rPr>
                <w:rFonts w:eastAsia="SimSun"/>
                <w:b/>
                <w:sz w:val="18"/>
                <w:szCs w:val="18"/>
                <w:lang w:eastAsia="zh-CN"/>
              </w:rPr>
              <w:t> </w:t>
            </w:r>
            <w:r w:rsidRPr="006A3534">
              <w:rPr>
                <w:rFonts w:eastAsia="SimSun"/>
                <w:b/>
                <w:sz w:val="18"/>
                <w:szCs w:val="18"/>
                <w:lang w:eastAsia="zh-CN"/>
              </w:rPr>
              <w:t>000</w:t>
            </w:r>
          </w:p>
        </w:tc>
        <w:tc>
          <w:tcPr>
            <w:tcW w:w="1254" w:type="dxa"/>
            <w:tcBorders>
              <w:top w:val="single" w:sz="4" w:space="0" w:color="auto"/>
              <w:left w:val="nil"/>
              <w:bottom w:val="single" w:sz="4" w:space="0" w:color="auto"/>
              <w:right w:val="nil"/>
            </w:tcBorders>
            <w:shd w:val="clear" w:color="auto" w:fill="FFFFFF"/>
            <w:noWrap/>
            <w:hideMark/>
          </w:tcPr>
          <w:p w:rsidR="001D6913" w:rsidRPr="006A3534" w:rsidRDefault="001D6913" w:rsidP="006A3534">
            <w:pPr>
              <w:pStyle w:val="Normal-pool"/>
              <w:spacing w:before="40" w:after="40"/>
              <w:rPr>
                <w:rFonts w:eastAsia="SimSun"/>
                <w:b/>
                <w:sz w:val="18"/>
                <w:szCs w:val="18"/>
                <w:lang w:eastAsia="zh-CN"/>
              </w:rPr>
            </w:pPr>
            <w:r w:rsidRPr="006A3534">
              <w:rPr>
                <w:rFonts w:eastAsia="SimSun"/>
                <w:b/>
                <w:sz w:val="18"/>
                <w:szCs w:val="18"/>
                <w:lang w:eastAsia="zh-CN"/>
              </w:rPr>
              <w:t>6</w:t>
            </w:r>
            <w:r w:rsidR="004F621B" w:rsidRPr="006A3534">
              <w:rPr>
                <w:rFonts w:eastAsia="SimSun"/>
                <w:b/>
                <w:sz w:val="18"/>
                <w:szCs w:val="18"/>
                <w:lang w:eastAsia="zh-CN"/>
              </w:rPr>
              <w:t> </w:t>
            </w:r>
            <w:r w:rsidRPr="006A3534">
              <w:rPr>
                <w:rFonts w:eastAsia="SimSun"/>
                <w:b/>
                <w:sz w:val="18"/>
                <w:szCs w:val="18"/>
                <w:lang w:eastAsia="zh-CN"/>
              </w:rPr>
              <w:t>055</w:t>
            </w:r>
            <w:r w:rsidR="004F621B" w:rsidRPr="006A3534">
              <w:rPr>
                <w:rFonts w:eastAsia="SimSun"/>
                <w:b/>
                <w:sz w:val="18"/>
                <w:szCs w:val="18"/>
                <w:lang w:eastAsia="zh-CN"/>
              </w:rPr>
              <w:t> </w:t>
            </w:r>
            <w:r w:rsidRPr="006A3534">
              <w:rPr>
                <w:rFonts w:eastAsia="SimSun"/>
                <w:b/>
                <w:sz w:val="18"/>
                <w:szCs w:val="18"/>
                <w:lang w:eastAsia="zh-CN"/>
              </w:rPr>
              <w:t>750</w:t>
            </w:r>
          </w:p>
        </w:tc>
        <w:tc>
          <w:tcPr>
            <w:tcW w:w="1255" w:type="dxa"/>
            <w:tcBorders>
              <w:top w:val="single" w:sz="4" w:space="0" w:color="auto"/>
              <w:left w:val="nil"/>
              <w:bottom w:val="single" w:sz="4" w:space="0" w:color="auto"/>
              <w:right w:val="nil"/>
            </w:tcBorders>
            <w:shd w:val="clear" w:color="auto" w:fill="FFFFFF"/>
            <w:noWrap/>
            <w:hideMark/>
          </w:tcPr>
          <w:p w:rsidR="001D6913" w:rsidRPr="006A3534" w:rsidRDefault="001D6913" w:rsidP="006A3534">
            <w:pPr>
              <w:pStyle w:val="Normal-pool"/>
              <w:spacing w:before="40" w:after="40"/>
              <w:rPr>
                <w:rFonts w:eastAsia="SimSun"/>
                <w:b/>
                <w:sz w:val="18"/>
                <w:szCs w:val="18"/>
                <w:lang w:eastAsia="zh-CN"/>
              </w:rPr>
            </w:pPr>
            <w:r w:rsidRPr="006A3534">
              <w:rPr>
                <w:rFonts w:eastAsia="SimSun"/>
                <w:b/>
                <w:sz w:val="18"/>
                <w:szCs w:val="18"/>
                <w:lang w:eastAsia="zh-CN"/>
              </w:rPr>
              <w:t>3</w:t>
            </w:r>
            <w:r w:rsidR="004F621B" w:rsidRPr="006A3534">
              <w:rPr>
                <w:rFonts w:eastAsia="SimSun"/>
                <w:b/>
                <w:sz w:val="18"/>
                <w:szCs w:val="18"/>
                <w:lang w:eastAsia="zh-CN"/>
              </w:rPr>
              <w:t> </w:t>
            </w:r>
            <w:r w:rsidRPr="006A3534">
              <w:rPr>
                <w:rFonts w:eastAsia="SimSun"/>
                <w:b/>
                <w:sz w:val="18"/>
                <w:szCs w:val="18"/>
                <w:lang w:eastAsia="zh-CN"/>
              </w:rPr>
              <w:t>882</w:t>
            </w:r>
            <w:r w:rsidR="004F621B" w:rsidRPr="006A3534">
              <w:rPr>
                <w:rFonts w:eastAsia="SimSun"/>
                <w:b/>
                <w:sz w:val="18"/>
                <w:szCs w:val="18"/>
                <w:lang w:eastAsia="zh-CN"/>
              </w:rPr>
              <w:t> </w:t>
            </w:r>
            <w:r w:rsidRPr="006A3534">
              <w:rPr>
                <w:rFonts w:eastAsia="SimSun"/>
                <w:b/>
                <w:sz w:val="18"/>
                <w:szCs w:val="18"/>
                <w:lang w:eastAsia="zh-CN"/>
              </w:rPr>
              <w:t>750</w:t>
            </w:r>
          </w:p>
        </w:tc>
        <w:tc>
          <w:tcPr>
            <w:tcW w:w="1255" w:type="dxa"/>
            <w:tcBorders>
              <w:top w:val="single" w:sz="4" w:space="0" w:color="auto"/>
              <w:left w:val="nil"/>
              <w:bottom w:val="single" w:sz="4" w:space="0" w:color="auto"/>
              <w:right w:val="nil"/>
            </w:tcBorders>
            <w:shd w:val="clear" w:color="auto" w:fill="FFFFFF"/>
            <w:noWrap/>
            <w:hideMark/>
          </w:tcPr>
          <w:p w:rsidR="001D6913" w:rsidRPr="006A3534" w:rsidRDefault="001D6913" w:rsidP="006A3534">
            <w:pPr>
              <w:pStyle w:val="Normal-pool"/>
              <w:spacing w:before="40" w:after="40"/>
              <w:rPr>
                <w:rFonts w:eastAsia="SimSun"/>
                <w:b/>
                <w:sz w:val="18"/>
                <w:szCs w:val="18"/>
                <w:lang w:eastAsia="zh-CN"/>
              </w:rPr>
            </w:pPr>
            <w:r w:rsidRPr="006A3534">
              <w:rPr>
                <w:rFonts w:eastAsia="SimSun"/>
                <w:b/>
                <w:sz w:val="18"/>
                <w:szCs w:val="18"/>
                <w:lang w:eastAsia="zh-CN"/>
              </w:rPr>
              <w:t>2</w:t>
            </w:r>
            <w:r w:rsidR="004F621B" w:rsidRPr="006A3534">
              <w:rPr>
                <w:rFonts w:eastAsia="SimSun"/>
                <w:b/>
                <w:sz w:val="18"/>
                <w:szCs w:val="18"/>
                <w:lang w:eastAsia="zh-CN"/>
              </w:rPr>
              <w:t> </w:t>
            </w:r>
            <w:r w:rsidRPr="006A3534">
              <w:rPr>
                <w:rFonts w:eastAsia="SimSun"/>
                <w:b/>
                <w:sz w:val="18"/>
                <w:szCs w:val="18"/>
                <w:lang w:eastAsia="zh-CN"/>
              </w:rPr>
              <w:t>658</w:t>
            </w:r>
            <w:r w:rsidR="004F621B" w:rsidRPr="006A3534">
              <w:rPr>
                <w:rFonts w:eastAsia="SimSun"/>
                <w:b/>
                <w:sz w:val="18"/>
                <w:szCs w:val="18"/>
                <w:lang w:eastAsia="zh-CN"/>
              </w:rPr>
              <w:t> </w:t>
            </w:r>
            <w:r w:rsidRPr="006A3534">
              <w:rPr>
                <w:rFonts w:eastAsia="SimSun"/>
                <w:b/>
                <w:sz w:val="18"/>
                <w:szCs w:val="18"/>
                <w:lang w:eastAsia="zh-CN"/>
              </w:rPr>
              <w:t>750</w:t>
            </w:r>
          </w:p>
        </w:tc>
        <w:tc>
          <w:tcPr>
            <w:tcW w:w="1255" w:type="dxa"/>
            <w:tcBorders>
              <w:top w:val="single" w:sz="4" w:space="0" w:color="auto"/>
              <w:left w:val="nil"/>
              <w:bottom w:val="single" w:sz="4" w:space="0" w:color="auto"/>
              <w:right w:val="single" w:sz="4" w:space="0" w:color="auto"/>
            </w:tcBorders>
            <w:shd w:val="clear" w:color="auto" w:fill="FFFFFF"/>
            <w:noWrap/>
            <w:hideMark/>
          </w:tcPr>
          <w:p w:rsidR="001D6913" w:rsidRPr="006A3534" w:rsidRDefault="001D6913" w:rsidP="006A3534">
            <w:pPr>
              <w:pStyle w:val="Normal-pool"/>
              <w:spacing w:before="40" w:after="40"/>
              <w:rPr>
                <w:rFonts w:eastAsia="SimSun"/>
                <w:b/>
                <w:sz w:val="18"/>
                <w:szCs w:val="18"/>
                <w:lang w:eastAsia="zh-CN"/>
              </w:rPr>
            </w:pPr>
            <w:r w:rsidRPr="006A3534">
              <w:rPr>
                <w:rFonts w:eastAsia="SimSun"/>
                <w:b/>
                <w:sz w:val="18"/>
                <w:szCs w:val="18"/>
                <w:lang w:eastAsia="zh-CN"/>
              </w:rPr>
              <w:t>22</w:t>
            </w:r>
            <w:r w:rsidR="004F621B" w:rsidRPr="006A3534">
              <w:rPr>
                <w:rFonts w:eastAsia="SimSun"/>
                <w:b/>
                <w:sz w:val="18"/>
                <w:szCs w:val="18"/>
                <w:lang w:eastAsia="zh-CN"/>
              </w:rPr>
              <w:t> </w:t>
            </w:r>
            <w:r w:rsidRPr="006A3534">
              <w:rPr>
                <w:rFonts w:eastAsia="SimSun"/>
                <w:b/>
                <w:sz w:val="18"/>
                <w:szCs w:val="18"/>
                <w:lang w:eastAsia="zh-CN"/>
              </w:rPr>
              <w:t>732</w:t>
            </w:r>
            <w:r w:rsidR="004F621B" w:rsidRPr="006A3534">
              <w:rPr>
                <w:rFonts w:eastAsia="SimSun"/>
                <w:b/>
                <w:sz w:val="18"/>
                <w:szCs w:val="18"/>
                <w:lang w:eastAsia="zh-CN"/>
              </w:rPr>
              <w:t> </w:t>
            </w:r>
            <w:r w:rsidRPr="006A3534">
              <w:rPr>
                <w:rFonts w:eastAsia="SimSun"/>
                <w:b/>
                <w:sz w:val="18"/>
                <w:szCs w:val="18"/>
                <w:lang w:eastAsia="zh-CN"/>
              </w:rPr>
              <w:t>750</w:t>
            </w:r>
          </w:p>
        </w:tc>
      </w:tr>
    </w:tbl>
    <w:p w:rsidR="001D6913" w:rsidRPr="00F77964" w:rsidRDefault="001D6913" w:rsidP="001D6913">
      <w:pPr>
        <w:pStyle w:val="NormalNonumber"/>
        <w:spacing w:before="240" w:after="0"/>
        <w:rPr>
          <w:lang w:val="fr-FR"/>
        </w:rPr>
      </w:pPr>
      <w:r w:rsidRPr="00F77964">
        <w:rPr>
          <w:lang w:val="fr-FR"/>
        </w:rPr>
        <w:t>Tableau 2</w:t>
      </w:r>
    </w:p>
    <w:p w:rsidR="001D6913" w:rsidRPr="00F77964" w:rsidRDefault="001D6913" w:rsidP="001D6913">
      <w:pPr>
        <w:pStyle w:val="NormalNonumber"/>
        <w:rPr>
          <w:rFonts w:eastAsia="SimSun"/>
          <w:b/>
          <w:lang w:val="fr-FR" w:eastAsia="zh-CN"/>
        </w:rPr>
      </w:pPr>
      <w:r w:rsidRPr="00F77964">
        <w:rPr>
          <w:rFonts w:eastAsia="SimSun"/>
          <w:b/>
          <w:lang w:val="fr-FR" w:eastAsia="zh-CN"/>
        </w:rPr>
        <w:t xml:space="preserve">Liste indicative des possibilités </w:t>
      </w:r>
      <w:r w:rsidR="004F621B" w:rsidRPr="00F77964">
        <w:rPr>
          <w:rFonts w:eastAsia="SimSun"/>
          <w:b/>
          <w:lang w:val="fr-FR" w:eastAsia="zh-CN"/>
        </w:rPr>
        <w:t xml:space="preserve">de </w:t>
      </w:r>
      <w:r w:rsidRPr="00F77964">
        <w:rPr>
          <w:rFonts w:eastAsia="SimSun"/>
          <w:b/>
          <w:lang w:val="fr-FR" w:eastAsia="zh-CN"/>
        </w:rPr>
        <w:t>contributions et d</w:t>
      </w:r>
      <w:r w:rsidR="004F621B" w:rsidRPr="00F77964">
        <w:rPr>
          <w:rFonts w:eastAsia="SimSun"/>
          <w:b/>
          <w:lang w:val="fr-FR" w:eastAsia="zh-CN"/>
        </w:rPr>
        <w:t>’appui</w:t>
      </w:r>
      <w:r w:rsidRPr="00F77964">
        <w:rPr>
          <w:rFonts w:eastAsia="SimSun"/>
          <w:b/>
          <w:lang w:val="fr-FR" w:eastAsia="zh-CN"/>
        </w:rPr>
        <w:t xml:space="preserve"> en nature pour répondre rapidement aux besoins de renforcement des capacités</w:t>
      </w:r>
    </w:p>
    <w:tbl>
      <w:tblPr>
        <w:tblW w:w="8640" w:type="dxa"/>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0"/>
      </w:tblGrid>
      <w:tr w:rsidR="001D6913" w:rsidRPr="0061490E" w:rsidTr="001D6913">
        <w:trPr>
          <w:trHeight w:val="382"/>
        </w:trPr>
        <w:tc>
          <w:tcPr>
            <w:tcW w:w="86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913" w:rsidRPr="00F77964" w:rsidRDefault="001D6913" w:rsidP="00B1693A">
            <w:pPr>
              <w:pStyle w:val="Normal-pool"/>
              <w:spacing w:before="40" w:after="40"/>
              <w:rPr>
                <w:b/>
              </w:rPr>
            </w:pPr>
            <w:r w:rsidRPr="00F77964">
              <w:rPr>
                <w:rFonts w:eastAsia="SimSun"/>
                <w:b/>
                <w:sz w:val="18"/>
                <w:szCs w:val="18"/>
                <w:shd w:val="clear" w:color="auto" w:fill="FFFFFF"/>
                <w:lang w:eastAsia="zh-CN"/>
              </w:rPr>
              <w:t xml:space="preserve">Objectif 1 : </w:t>
            </w:r>
            <w:r w:rsidR="002B30DD" w:rsidRPr="002B30DD">
              <w:rPr>
                <w:rFonts w:eastAsia="SimSun"/>
                <w:b/>
                <w:sz w:val="18"/>
                <w:szCs w:val="18"/>
                <w:lang w:eastAsia="zh-CN"/>
              </w:rPr>
              <w:t>Renforcer les capacités et les connaissances à l’interface science-politique pour que la Plateforme puisse s’acquitter de ses principales fonctions</w:t>
            </w:r>
          </w:p>
        </w:tc>
      </w:tr>
      <w:tr w:rsidR="001D6913" w:rsidRPr="0061490E" w:rsidTr="001D6913">
        <w:trPr>
          <w:trHeight w:val="374"/>
        </w:trPr>
        <w:tc>
          <w:tcPr>
            <w:tcW w:w="86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913" w:rsidRPr="00F77964" w:rsidRDefault="00B1693A" w:rsidP="00B1693A">
            <w:pPr>
              <w:pStyle w:val="Normal-pool"/>
              <w:spacing w:before="40" w:after="40"/>
              <w:rPr>
                <w:rFonts w:eastAsia="SimSun"/>
                <w:sz w:val="18"/>
                <w:szCs w:val="18"/>
                <w:lang w:eastAsia="zh-CN"/>
              </w:rPr>
            </w:pPr>
            <w:r w:rsidRPr="00F77964">
              <w:rPr>
                <w:rFonts w:eastAsia="SimSun"/>
                <w:sz w:val="18"/>
                <w:szCs w:val="18"/>
                <w:lang w:eastAsia="zh-CN"/>
              </w:rPr>
              <w:t>Accueillir des</w:t>
            </w:r>
            <w:r w:rsidR="001D6913" w:rsidRPr="00F77964">
              <w:rPr>
                <w:rFonts w:eastAsia="SimSun"/>
                <w:sz w:val="18"/>
                <w:szCs w:val="18"/>
                <w:lang w:eastAsia="zh-CN"/>
              </w:rPr>
              <w:t xml:space="preserve"> réunions du forum avec les sources </w:t>
            </w:r>
            <w:r w:rsidR="00552C0D">
              <w:rPr>
                <w:rFonts w:eastAsia="SimSun"/>
                <w:sz w:val="18"/>
                <w:szCs w:val="18"/>
                <w:lang w:eastAsia="zh-CN"/>
              </w:rPr>
              <w:t>traditionnelles</w:t>
            </w:r>
            <w:r w:rsidR="001D6913" w:rsidRPr="00F77964">
              <w:rPr>
                <w:rFonts w:eastAsia="SimSun"/>
                <w:sz w:val="18"/>
                <w:szCs w:val="18"/>
                <w:lang w:eastAsia="zh-CN"/>
              </w:rPr>
              <w:t xml:space="preserve"> et potentielles de financement, au cours de</w:t>
            </w:r>
            <w:r w:rsidRPr="00F77964">
              <w:rPr>
                <w:rFonts w:eastAsia="SimSun"/>
                <w:sz w:val="18"/>
                <w:szCs w:val="18"/>
                <w:lang w:eastAsia="zh-CN"/>
              </w:rPr>
              <w:t>squelles</w:t>
            </w:r>
            <w:r w:rsidR="001D6913" w:rsidRPr="00F77964">
              <w:rPr>
                <w:rFonts w:eastAsia="SimSun"/>
                <w:sz w:val="18"/>
                <w:szCs w:val="18"/>
                <w:lang w:eastAsia="zh-CN"/>
              </w:rPr>
              <w:t xml:space="preserve"> les activités de renforcement des capacités </w:t>
            </w:r>
            <w:r w:rsidRPr="00F77964">
              <w:rPr>
                <w:rFonts w:eastAsia="SimSun"/>
                <w:sz w:val="18"/>
                <w:szCs w:val="18"/>
                <w:lang w:eastAsia="zh-CN"/>
              </w:rPr>
              <w:t>seraient</w:t>
            </w:r>
            <w:r w:rsidR="001D6913" w:rsidRPr="00F77964">
              <w:rPr>
                <w:rFonts w:eastAsia="SimSun"/>
                <w:sz w:val="18"/>
                <w:szCs w:val="18"/>
                <w:lang w:eastAsia="zh-CN"/>
              </w:rPr>
              <w:t xml:space="preserve"> hiérarchisées et </w:t>
            </w:r>
            <w:r w:rsidRPr="00F77964">
              <w:rPr>
                <w:rFonts w:eastAsia="SimSun"/>
                <w:sz w:val="18"/>
                <w:szCs w:val="18"/>
                <w:lang w:eastAsia="zh-CN"/>
              </w:rPr>
              <w:t>catalysées</w:t>
            </w:r>
          </w:p>
        </w:tc>
      </w:tr>
      <w:tr w:rsidR="001D6913" w:rsidRPr="0061490E" w:rsidTr="001D6913">
        <w:trPr>
          <w:trHeight w:val="413"/>
        </w:trPr>
        <w:tc>
          <w:tcPr>
            <w:tcW w:w="86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913" w:rsidRPr="00F77964" w:rsidRDefault="001D6913" w:rsidP="00B1693A">
            <w:pPr>
              <w:pStyle w:val="Normal-pool"/>
              <w:spacing w:before="40" w:after="40"/>
              <w:rPr>
                <w:rFonts w:eastAsia="SimSun"/>
                <w:sz w:val="18"/>
                <w:szCs w:val="18"/>
                <w:lang w:eastAsia="zh-CN"/>
              </w:rPr>
            </w:pPr>
            <w:r w:rsidRPr="00F77964">
              <w:rPr>
                <w:rFonts w:eastAsia="SimSun"/>
                <w:sz w:val="18"/>
                <w:szCs w:val="18"/>
                <w:lang w:eastAsia="zh-CN"/>
              </w:rPr>
              <w:t>Fourni</w:t>
            </w:r>
            <w:r w:rsidR="00B1693A" w:rsidRPr="00F77964">
              <w:rPr>
                <w:rFonts w:eastAsia="SimSun"/>
                <w:sz w:val="18"/>
                <w:szCs w:val="18"/>
                <w:lang w:eastAsia="zh-CN"/>
              </w:rPr>
              <w:t xml:space="preserve">r </w:t>
            </w:r>
            <w:r w:rsidRPr="00F77964">
              <w:rPr>
                <w:rFonts w:eastAsia="SimSun"/>
                <w:sz w:val="18"/>
                <w:szCs w:val="18"/>
                <w:lang w:eastAsia="zh-CN"/>
              </w:rPr>
              <w:t>un appui technique à l’équipe spéciale sur le renforcement des capacités</w:t>
            </w:r>
          </w:p>
        </w:tc>
      </w:tr>
      <w:tr w:rsidR="001D6913" w:rsidRPr="0061490E" w:rsidTr="001D6913">
        <w:trPr>
          <w:trHeight w:val="374"/>
        </w:trPr>
        <w:tc>
          <w:tcPr>
            <w:tcW w:w="86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913" w:rsidRPr="00F77964" w:rsidRDefault="001D6913" w:rsidP="0065364A">
            <w:pPr>
              <w:pStyle w:val="Normal-pool"/>
              <w:spacing w:before="40" w:after="40"/>
              <w:rPr>
                <w:rFonts w:eastAsia="SimSun"/>
                <w:sz w:val="18"/>
                <w:szCs w:val="18"/>
                <w:lang w:eastAsia="zh-CN"/>
              </w:rPr>
            </w:pPr>
            <w:r w:rsidRPr="00F77964">
              <w:rPr>
                <w:rFonts w:eastAsia="SimSun"/>
                <w:sz w:val="18"/>
                <w:szCs w:val="18"/>
                <w:lang w:eastAsia="zh-CN"/>
              </w:rPr>
              <w:t>Contribu</w:t>
            </w:r>
            <w:r w:rsidR="00B1693A" w:rsidRPr="00F77964">
              <w:rPr>
                <w:rFonts w:eastAsia="SimSun"/>
                <w:sz w:val="18"/>
                <w:szCs w:val="18"/>
                <w:lang w:eastAsia="zh-CN"/>
              </w:rPr>
              <w:t>er à répondre</w:t>
            </w:r>
            <w:r w:rsidRPr="00F77964">
              <w:rPr>
                <w:rFonts w:eastAsia="SimSun"/>
                <w:sz w:val="18"/>
                <w:szCs w:val="18"/>
                <w:lang w:eastAsia="zh-CN"/>
              </w:rPr>
              <w:t xml:space="preserve"> aux besoins de renforcement des capacités en soutenant un </w:t>
            </w:r>
            <w:r w:rsidR="00C362BD">
              <w:rPr>
                <w:rFonts w:eastAsia="SimSun"/>
                <w:sz w:val="18"/>
                <w:szCs w:val="18"/>
                <w:lang w:eastAsia="zh-CN"/>
              </w:rPr>
              <w:t>programme de bourses de recherche</w:t>
            </w:r>
            <w:r w:rsidRPr="00F77964">
              <w:rPr>
                <w:rFonts w:eastAsia="SimSun"/>
                <w:sz w:val="18"/>
                <w:szCs w:val="18"/>
                <w:lang w:eastAsia="zh-CN"/>
              </w:rPr>
              <w:t xml:space="preserve"> pour former de jeunes administrateurs de différentes origines à l</w:t>
            </w:r>
            <w:r w:rsidR="0065364A">
              <w:rPr>
                <w:rFonts w:eastAsia="SimSun"/>
                <w:sz w:val="18"/>
                <w:szCs w:val="18"/>
                <w:lang w:eastAsia="zh-CN"/>
              </w:rPr>
              <w:t>’établissement d’une interface entre la science et la politique</w:t>
            </w:r>
            <w:r w:rsidR="00904BAE" w:rsidRPr="00F77964">
              <w:rPr>
                <w:rFonts w:eastAsia="SimSun"/>
                <w:sz w:val="18"/>
                <w:szCs w:val="18"/>
                <w:lang w:eastAsia="zh-CN"/>
              </w:rPr>
              <w:t xml:space="preserve"> et</w:t>
            </w:r>
            <w:r w:rsidRPr="00F77964">
              <w:rPr>
                <w:rFonts w:eastAsia="SimSun"/>
                <w:sz w:val="18"/>
                <w:szCs w:val="18"/>
                <w:lang w:eastAsia="zh-CN"/>
              </w:rPr>
              <w:t xml:space="preserve"> </w:t>
            </w:r>
            <w:r w:rsidR="00904BAE" w:rsidRPr="00F77964">
              <w:rPr>
                <w:rFonts w:eastAsia="SimSun"/>
                <w:sz w:val="18"/>
                <w:szCs w:val="18"/>
                <w:lang w:eastAsia="zh-CN"/>
              </w:rPr>
              <w:t xml:space="preserve">en renforçant </w:t>
            </w:r>
            <w:r w:rsidRPr="00F77964">
              <w:rPr>
                <w:rFonts w:eastAsia="SimSun"/>
                <w:sz w:val="18"/>
                <w:szCs w:val="18"/>
                <w:lang w:eastAsia="zh-CN"/>
              </w:rPr>
              <w:t xml:space="preserve">les capacités humaines nécessaires aux régions, sous-régions et pays pour qu’ils participent efficacement aux travaux de la </w:t>
            </w:r>
            <w:r w:rsidR="00904BAE" w:rsidRPr="00F77964">
              <w:rPr>
                <w:rFonts w:eastAsia="SimSun"/>
                <w:sz w:val="18"/>
                <w:szCs w:val="18"/>
                <w:lang w:eastAsia="zh-CN"/>
              </w:rPr>
              <w:t>P</w:t>
            </w:r>
            <w:r w:rsidRPr="00F77964">
              <w:rPr>
                <w:rFonts w:eastAsia="SimSun"/>
                <w:sz w:val="18"/>
                <w:szCs w:val="18"/>
                <w:lang w:eastAsia="zh-CN"/>
              </w:rPr>
              <w:t>lateforme</w:t>
            </w:r>
          </w:p>
        </w:tc>
      </w:tr>
      <w:tr w:rsidR="001D6913" w:rsidRPr="0061490E" w:rsidTr="001D6913">
        <w:trPr>
          <w:trHeight w:val="413"/>
        </w:trPr>
        <w:tc>
          <w:tcPr>
            <w:tcW w:w="86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913" w:rsidRPr="00F77964" w:rsidRDefault="001D6913" w:rsidP="0065364A">
            <w:pPr>
              <w:pStyle w:val="Normal-pool"/>
              <w:spacing w:before="40" w:after="40"/>
              <w:rPr>
                <w:rFonts w:eastAsia="SimSun"/>
                <w:sz w:val="18"/>
                <w:szCs w:val="18"/>
                <w:lang w:eastAsia="zh-CN"/>
              </w:rPr>
            </w:pPr>
            <w:r w:rsidRPr="00F77964">
              <w:rPr>
                <w:rFonts w:eastAsia="SimSun"/>
                <w:sz w:val="18"/>
                <w:szCs w:val="18"/>
                <w:lang w:eastAsia="zh-CN"/>
              </w:rPr>
              <w:t>Contribu</w:t>
            </w:r>
            <w:r w:rsidR="00904BAE" w:rsidRPr="00F77964">
              <w:rPr>
                <w:rFonts w:eastAsia="SimSun"/>
                <w:sz w:val="18"/>
                <w:szCs w:val="18"/>
                <w:lang w:eastAsia="zh-CN"/>
              </w:rPr>
              <w:t>er à répondre</w:t>
            </w:r>
            <w:r w:rsidRPr="00F77964">
              <w:rPr>
                <w:rFonts w:eastAsia="SimSun"/>
                <w:sz w:val="18"/>
                <w:szCs w:val="18"/>
                <w:lang w:eastAsia="zh-CN"/>
              </w:rPr>
              <w:t xml:space="preserve"> aux besoins de renforcement des capacités en soutenant le développement de réseaux/plateformes régionales ou sous-régionales</w:t>
            </w:r>
            <w:r w:rsidR="00904BAE" w:rsidRPr="00F77964">
              <w:rPr>
                <w:rFonts w:eastAsia="SimSun"/>
                <w:sz w:val="18"/>
                <w:szCs w:val="18"/>
                <w:lang w:eastAsia="zh-CN"/>
              </w:rPr>
              <w:t xml:space="preserve"> et en renforçant</w:t>
            </w:r>
            <w:r w:rsidRPr="00F77964">
              <w:rPr>
                <w:rFonts w:eastAsia="SimSun"/>
                <w:sz w:val="18"/>
                <w:szCs w:val="18"/>
                <w:lang w:eastAsia="zh-CN"/>
              </w:rPr>
              <w:t xml:space="preserve"> l</w:t>
            </w:r>
            <w:r w:rsidR="00904BAE" w:rsidRPr="00F77964">
              <w:rPr>
                <w:rFonts w:eastAsia="SimSun"/>
                <w:sz w:val="18"/>
                <w:szCs w:val="18"/>
                <w:lang w:eastAsia="zh-CN"/>
              </w:rPr>
              <w:t>es</w:t>
            </w:r>
            <w:r w:rsidRPr="00F77964">
              <w:rPr>
                <w:rFonts w:eastAsia="SimSun"/>
                <w:sz w:val="18"/>
                <w:szCs w:val="18"/>
                <w:lang w:eastAsia="zh-CN"/>
              </w:rPr>
              <w:t xml:space="preserve"> capacité</w:t>
            </w:r>
            <w:r w:rsidR="00904BAE" w:rsidRPr="00F77964">
              <w:rPr>
                <w:rFonts w:eastAsia="SimSun"/>
                <w:sz w:val="18"/>
                <w:szCs w:val="18"/>
                <w:lang w:eastAsia="zh-CN"/>
              </w:rPr>
              <w:t>s</w:t>
            </w:r>
            <w:r w:rsidRPr="00F77964">
              <w:rPr>
                <w:rFonts w:eastAsia="SimSun"/>
                <w:sz w:val="18"/>
                <w:szCs w:val="18"/>
                <w:lang w:eastAsia="zh-CN"/>
              </w:rPr>
              <w:t xml:space="preserve"> institutionnelle</w:t>
            </w:r>
            <w:r w:rsidR="00904BAE" w:rsidRPr="00F77964">
              <w:rPr>
                <w:rFonts w:eastAsia="SimSun"/>
                <w:sz w:val="18"/>
                <w:szCs w:val="18"/>
                <w:lang w:eastAsia="zh-CN"/>
              </w:rPr>
              <w:t>s</w:t>
            </w:r>
            <w:r w:rsidRPr="00F77964">
              <w:rPr>
                <w:rFonts w:eastAsia="SimSun"/>
                <w:sz w:val="18"/>
                <w:szCs w:val="18"/>
                <w:lang w:eastAsia="zh-CN"/>
              </w:rPr>
              <w:t xml:space="preserve"> nécessaire</w:t>
            </w:r>
            <w:r w:rsidR="00904BAE" w:rsidRPr="00F77964">
              <w:rPr>
                <w:rFonts w:eastAsia="SimSun"/>
                <w:sz w:val="18"/>
                <w:szCs w:val="18"/>
                <w:lang w:eastAsia="zh-CN"/>
              </w:rPr>
              <w:t>s</w:t>
            </w:r>
            <w:r w:rsidRPr="00F77964">
              <w:rPr>
                <w:rFonts w:eastAsia="SimSun"/>
                <w:sz w:val="18"/>
                <w:szCs w:val="18"/>
                <w:lang w:eastAsia="zh-CN"/>
              </w:rPr>
              <w:t xml:space="preserve"> aux régions, sous-régions et pays pour mieux auto-organiser leur </w:t>
            </w:r>
            <w:r w:rsidR="0065364A">
              <w:rPr>
                <w:rFonts w:eastAsia="SimSun"/>
                <w:sz w:val="18"/>
                <w:szCs w:val="18"/>
                <w:lang w:eastAsia="zh-CN"/>
              </w:rPr>
              <w:t>participation aux</w:t>
            </w:r>
            <w:r w:rsidRPr="00F77964">
              <w:rPr>
                <w:rFonts w:eastAsia="SimSun"/>
                <w:sz w:val="18"/>
                <w:szCs w:val="18"/>
                <w:lang w:eastAsia="zh-CN"/>
              </w:rPr>
              <w:t xml:space="preserve"> travaux de la </w:t>
            </w:r>
            <w:r w:rsidR="00904BAE" w:rsidRPr="00F77964">
              <w:rPr>
                <w:rFonts w:eastAsia="SimSun"/>
                <w:sz w:val="18"/>
                <w:szCs w:val="18"/>
                <w:lang w:eastAsia="zh-CN"/>
              </w:rPr>
              <w:t>P</w:t>
            </w:r>
            <w:r w:rsidRPr="00F77964">
              <w:rPr>
                <w:rFonts w:eastAsia="SimSun"/>
                <w:sz w:val="18"/>
                <w:szCs w:val="18"/>
                <w:lang w:eastAsia="zh-CN"/>
              </w:rPr>
              <w:t>lateforme</w:t>
            </w:r>
          </w:p>
        </w:tc>
      </w:tr>
      <w:tr w:rsidR="001D6913" w:rsidRPr="0061490E" w:rsidTr="001D6913">
        <w:trPr>
          <w:trHeight w:val="374"/>
        </w:trPr>
        <w:tc>
          <w:tcPr>
            <w:tcW w:w="86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913" w:rsidRPr="00F77964" w:rsidRDefault="001D6913" w:rsidP="00FA1042">
            <w:pPr>
              <w:pStyle w:val="Normal-pool"/>
              <w:spacing w:before="40" w:after="40"/>
              <w:rPr>
                <w:rFonts w:eastAsia="SimSun"/>
                <w:sz w:val="18"/>
                <w:szCs w:val="18"/>
                <w:lang w:eastAsia="zh-CN"/>
              </w:rPr>
            </w:pPr>
            <w:r w:rsidRPr="00F77964">
              <w:rPr>
                <w:rFonts w:eastAsia="SimSun"/>
                <w:sz w:val="18"/>
                <w:szCs w:val="18"/>
                <w:lang w:eastAsia="zh-CN"/>
              </w:rPr>
              <w:t>Acc</w:t>
            </w:r>
            <w:r w:rsidR="0065364A">
              <w:rPr>
                <w:rFonts w:eastAsia="SimSun"/>
                <w:sz w:val="18"/>
                <w:szCs w:val="18"/>
                <w:lang w:eastAsia="zh-CN"/>
              </w:rPr>
              <w:t>ueillir l</w:t>
            </w:r>
            <w:r w:rsidR="00904BAE" w:rsidRPr="00F77964">
              <w:rPr>
                <w:rFonts w:eastAsia="SimSun"/>
                <w:sz w:val="18"/>
                <w:szCs w:val="18"/>
                <w:lang w:eastAsia="zh-CN"/>
              </w:rPr>
              <w:t>es</w:t>
            </w:r>
            <w:r w:rsidRPr="00F77964">
              <w:rPr>
                <w:rFonts w:eastAsia="SimSun"/>
                <w:sz w:val="18"/>
                <w:szCs w:val="18"/>
                <w:lang w:eastAsia="zh-CN"/>
              </w:rPr>
              <w:t xml:space="preserve"> réunions </w:t>
            </w:r>
            <w:r w:rsidR="00FA1042">
              <w:rPr>
                <w:rFonts w:eastAsia="SimSun"/>
                <w:sz w:val="18"/>
                <w:szCs w:val="18"/>
                <w:lang w:eastAsia="zh-CN"/>
              </w:rPr>
              <w:t>d’analyse prospective et de hiérarchisation</w:t>
            </w:r>
            <w:r w:rsidRPr="00F77964">
              <w:rPr>
                <w:rFonts w:eastAsia="SimSun"/>
                <w:sz w:val="18"/>
                <w:szCs w:val="18"/>
                <w:lang w:eastAsia="zh-CN"/>
              </w:rPr>
              <w:t xml:space="preserve"> des connaissances</w:t>
            </w:r>
          </w:p>
        </w:tc>
      </w:tr>
      <w:tr w:rsidR="001D6913" w:rsidRPr="0061490E" w:rsidTr="001D6913">
        <w:trPr>
          <w:trHeight w:val="413"/>
        </w:trPr>
        <w:tc>
          <w:tcPr>
            <w:tcW w:w="86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913" w:rsidRPr="00F77964" w:rsidRDefault="001D6913" w:rsidP="0065364A">
            <w:pPr>
              <w:pStyle w:val="Normal-pool"/>
              <w:spacing w:before="40" w:after="40"/>
              <w:rPr>
                <w:rFonts w:eastAsia="SimSun"/>
                <w:sz w:val="18"/>
                <w:szCs w:val="18"/>
                <w:lang w:eastAsia="zh-CN"/>
              </w:rPr>
            </w:pPr>
            <w:r w:rsidRPr="00F77964">
              <w:rPr>
                <w:rFonts w:eastAsia="SimSun"/>
                <w:sz w:val="18"/>
                <w:szCs w:val="18"/>
                <w:lang w:eastAsia="zh-CN"/>
              </w:rPr>
              <w:t xml:space="preserve">Fournir un appui technique à l’équipe </w:t>
            </w:r>
            <w:r w:rsidR="0065364A">
              <w:rPr>
                <w:rFonts w:eastAsia="SimSun"/>
                <w:sz w:val="18"/>
                <w:szCs w:val="18"/>
                <w:lang w:eastAsia="zh-CN"/>
              </w:rPr>
              <w:t>spéciale</w:t>
            </w:r>
            <w:r w:rsidRPr="00F77964">
              <w:rPr>
                <w:rFonts w:eastAsia="SimSun"/>
                <w:sz w:val="18"/>
                <w:szCs w:val="18"/>
                <w:lang w:eastAsia="zh-CN"/>
              </w:rPr>
              <w:t xml:space="preserve"> sur la gestion des connaissances et des données</w:t>
            </w:r>
          </w:p>
        </w:tc>
      </w:tr>
      <w:tr w:rsidR="001D6913" w:rsidRPr="0061490E" w:rsidTr="001D6913">
        <w:trPr>
          <w:trHeight w:val="375"/>
        </w:trPr>
        <w:tc>
          <w:tcPr>
            <w:tcW w:w="86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913" w:rsidRPr="00F77964" w:rsidRDefault="001D6913" w:rsidP="00904BAE">
            <w:pPr>
              <w:pStyle w:val="Normal-pool"/>
              <w:keepNext/>
              <w:keepLines/>
              <w:spacing w:before="40" w:after="40"/>
              <w:rPr>
                <w:b/>
              </w:rPr>
            </w:pPr>
            <w:r w:rsidRPr="00F77964">
              <w:rPr>
                <w:rFonts w:eastAsia="SimSun"/>
                <w:b/>
                <w:sz w:val="18"/>
                <w:szCs w:val="18"/>
                <w:lang w:eastAsia="zh-CN"/>
              </w:rPr>
              <w:lastRenderedPageBreak/>
              <w:t xml:space="preserve">Objectif 2 : Renforcer l’interface </w:t>
            </w:r>
            <w:r w:rsidR="00F77964" w:rsidRPr="00F77964">
              <w:rPr>
                <w:rFonts w:eastAsia="SimSun"/>
                <w:b/>
                <w:sz w:val="18"/>
                <w:szCs w:val="18"/>
                <w:lang w:eastAsia="zh-CN"/>
              </w:rPr>
              <w:t>scientifique</w:t>
            </w:r>
            <w:r w:rsidR="00904BAE" w:rsidRPr="00F77964">
              <w:rPr>
                <w:rFonts w:eastAsia="SimSun"/>
                <w:b/>
                <w:sz w:val="18"/>
                <w:szCs w:val="18"/>
                <w:lang w:eastAsia="zh-CN"/>
              </w:rPr>
              <w:t xml:space="preserve"> et </w:t>
            </w:r>
            <w:r w:rsidRPr="00F77964">
              <w:rPr>
                <w:rFonts w:eastAsia="SimSun"/>
                <w:b/>
                <w:sz w:val="18"/>
                <w:szCs w:val="18"/>
                <w:lang w:eastAsia="zh-CN"/>
              </w:rPr>
              <w:t>politique sur la biodiversité et les services écosystémiques aux niveaux sous-régional, régional et mondial</w:t>
            </w:r>
          </w:p>
        </w:tc>
      </w:tr>
      <w:tr w:rsidR="001D6913" w:rsidRPr="0061490E" w:rsidTr="001D6913">
        <w:trPr>
          <w:trHeight w:val="374"/>
        </w:trPr>
        <w:tc>
          <w:tcPr>
            <w:tcW w:w="86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913" w:rsidRPr="00F77964" w:rsidRDefault="001D6913" w:rsidP="00FA1042">
            <w:pPr>
              <w:pStyle w:val="Normal-pool"/>
              <w:keepNext/>
              <w:keepLines/>
              <w:spacing w:before="40" w:after="40"/>
              <w:rPr>
                <w:rFonts w:eastAsia="SimSun"/>
                <w:sz w:val="18"/>
                <w:szCs w:val="18"/>
                <w:lang w:eastAsia="zh-CN"/>
              </w:rPr>
            </w:pPr>
            <w:r w:rsidRPr="00F77964">
              <w:rPr>
                <w:rFonts w:eastAsia="SimSun"/>
                <w:sz w:val="18"/>
                <w:szCs w:val="18"/>
                <w:lang w:eastAsia="zh-CN"/>
              </w:rPr>
              <w:t xml:space="preserve">Accueillir des réunions de </w:t>
            </w:r>
            <w:r w:rsidR="00BB788C" w:rsidRPr="00F77964">
              <w:rPr>
                <w:rFonts w:eastAsia="SimSun"/>
                <w:sz w:val="18"/>
                <w:szCs w:val="18"/>
                <w:lang w:eastAsia="zh-CN"/>
              </w:rPr>
              <w:t>g</w:t>
            </w:r>
            <w:r w:rsidRPr="00F77964">
              <w:rPr>
                <w:rFonts w:eastAsia="SimSun"/>
                <w:sz w:val="18"/>
                <w:szCs w:val="18"/>
                <w:lang w:eastAsia="zh-CN"/>
              </w:rPr>
              <w:t xml:space="preserve">roupes d’experts </w:t>
            </w:r>
            <w:r w:rsidR="00BB788C" w:rsidRPr="00F77964">
              <w:rPr>
                <w:rFonts w:eastAsia="SimSun"/>
                <w:sz w:val="18"/>
                <w:szCs w:val="18"/>
                <w:lang w:eastAsia="zh-CN"/>
              </w:rPr>
              <w:t xml:space="preserve">sur </w:t>
            </w:r>
            <w:r w:rsidR="00FA1042">
              <w:rPr>
                <w:rFonts w:eastAsia="SimSun"/>
                <w:sz w:val="18"/>
                <w:szCs w:val="18"/>
                <w:lang w:eastAsia="zh-CN"/>
              </w:rPr>
              <w:t>l</w:t>
            </w:r>
            <w:r w:rsidR="00BB788C" w:rsidRPr="00F77964">
              <w:rPr>
                <w:rFonts w:eastAsia="SimSun"/>
                <w:sz w:val="18"/>
                <w:szCs w:val="18"/>
                <w:lang w:eastAsia="zh-CN"/>
              </w:rPr>
              <w:t>es</w:t>
            </w:r>
            <w:r w:rsidRPr="00F77964">
              <w:rPr>
                <w:rFonts w:eastAsia="SimSun"/>
                <w:sz w:val="18"/>
                <w:szCs w:val="18"/>
                <w:lang w:eastAsia="zh-CN"/>
              </w:rPr>
              <w:t xml:space="preserve"> évaluations régionales/sous-régionales et mondiales</w:t>
            </w:r>
          </w:p>
        </w:tc>
      </w:tr>
      <w:tr w:rsidR="001D6913" w:rsidRPr="0061490E" w:rsidTr="001D6913">
        <w:trPr>
          <w:trHeight w:val="413"/>
        </w:trPr>
        <w:tc>
          <w:tcPr>
            <w:tcW w:w="86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913" w:rsidRPr="00F77964" w:rsidRDefault="001D6913" w:rsidP="00FA1042">
            <w:pPr>
              <w:pStyle w:val="Normal-pool"/>
              <w:keepNext/>
              <w:keepLines/>
              <w:spacing w:before="40" w:after="40"/>
              <w:rPr>
                <w:rFonts w:eastAsia="SimSun"/>
                <w:sz w:val="18"/>
                <w:szCs w:val="18"/>
                <w:lang w:eastAsia="zh-CN"/>
              </w:rPr>
            </w:pPr>
            <w:r w:rsidRPr="00F77964">
              <w:rPr>
                <w:rFonts w:eastAsia="SimSun"/>
                <w:sz w:val="18"/>
                <w:szCs w:val="18"/>
                <w:lang w:eastAsia="zh-CN"/>
              </w:rPr>
              <w:t xml:space="preserve">Fournir un appui technique </w:t>
            </w:r>
            <w:r w:rsidR="00FA1042">
              <w:rPr>
                <w:rFonts w:eastAsia="SimSun"/>
                <w:sz w:val="18"/>
                <w:szCs w:val="18"/>
                <w:lang w:eastAsia="zh-CN"/>
              </w:rPr>
              <w:t xml:space="preserve">concernant </w:t>
            </w:r>
            <w:r w:rsidRPr="00F77964">
              <w:rPr>
                <w:rFonts w:eastAsia="SimSun"/>
                <w:sz w:val="18"/>
                <w:szCs w:val="18"/>
                <w:lang w:eastAsia="zh-CN"/>
              </w:rPr>
              <w:t>les évaluations régionales/sous-régionales et mondiales</w:t>
            </w:r>
          </w:p>
        </w:tc>
      </w:tr>
      <w:tr w:rsidR="001D6913" w:rsidRPr="0061490E" w:rsidTr="001D6913">
        <w:trPr>
          <w:trHeight w:val="331"/>
        </w:trPr>
        <w:tc>
          <w:tcPr>
            <w:tcW w:w="86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913" w:rsidRPr="00F77964" w:rsidRDefault="001D6913" w:rsidP="00BB788C">
            <w:pPr>
              <w:pStyle w:val="Normal-pool"/>
              <w:spacing w:before="40" w:after="40"/>
              <w:rPr>
                <w:rFonts w:eastAsia="SimSun"/>
                <w:sz w:val="18"/>
                <w:szCs w:val="18"/>
                <w:lang w:eastAsia="zh-CN"/>
              </w:rPr>
            </w:pPr>
            <w:r w:rsidRPr="00F77964">
              <w:rPr>
                <w:rFonts w:eastAsia="SimSun"/>
                <w:b/>
                <w:sz w:val="18"/>
                <w:szCs w:val="18"/>
                <w:lang w:eastAsia="zh-CN"/>
              </w:rPr>
              <w:t xml:space="preserve">Objectif 3 : </w:t>
            </w:r>
            <w:r w:rsidR="00FA1042" w:rsidRPr="00FA1042">
              <w:rPr>
                <w:rFonts w:eastAsia="SimSun"/>
                <w:b/>
                <w:sz w:val="18"/>
                <w:szCs w:val="18"/>
                <w:lang w:eastAsia="zh-CN"/>
              </w:rPr>
              <w:t>Renforcer l’interface l’interface science-politique dans le domaine de la biodiversité et des services écosystémiques s’agissant des questions thématiques et méthodologiques</w:t>
            </w:r>
          </w:p>
        </w:tc>
      </w:tr>
      <w:tr w:rsidR="001D6913" w:rsidRPr="0061490E" w:rsidTr="001D6913">
        <w:trPr>
          <w:trHeight w:val="374"/>
        </w:trPr>
        <w:tc>
          <w:tcPr>
            <w:tcW w:w="86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913" w:rsidRPr="00F77964" w:rsidRDefault="001D6913" w:rsidP="00FA1042">
            <w:pPr>
              <w:pStyle w:val="Normal-pool"/>
              <w:spacing w:before="40" w:after="40"/>
              <w:rPr>
                <w:rFonts w:eastAsia="SimSun"/>
                <w:sz w:val="18"/>
                <w:szCs w:val="18"/>
                <w:lang w:eastAsia="zh-CN"/>
              </w:rPr>
            </w:pPr>
            <w:r w:rsidRPr="00F77964">
              <w:rPr>
                <w:rFonts w:eastAsia="SimSun"/>
                <w:sz w:val="18"/>
                <w:szCs w:val="18"/>
                <w:lang w:eastAsia="zh-CN"/>
              </w:rPr>
              <w:t xml:space="preserve">Accueillir des réunions de groupes d’experts </w:t>
            </w:r>
            <w:r w:rsidR="00BB788C" w:rsidRPr="00F77964">
              <w:rPr>
                <w:rFonts w:eastAsia="SimSun"/>
                <w:sz w:val="18"/>
                <w:szCs w:val="18"/>
                <w:lang w:eastAsia="zh-CN"/>
              </w:rPr>
              <w:t xml:space="preserve">sur </w:t>
            </w:r>
            <w:r w:rsidRPr="00F77964">
              <w:rPr>
                <w:rFonts w:eastAsia="SimSun"/>
                <w:sz w:val="18"/>
                <w:szCs w:val="18"/>
                <w:lang w:eastAsia="zh-CN"/>
              </w:rPr>
              <w:t xml:space="preserve">les </w:t>
            </w:r>
            <w:r w:rsidR="00FA1042">
              <w:rPr>
                <w:rFonts w:eastAsia="SimSun"/>
                <w:sz w:val="18"/>
                <w:szCs w:val="18"/>
                <w:lang w:eastAsia="zh-CN"/>
              </w:rPr>
              <w:t>question</w:t>
            </w:r>
            <w:r w:rsidRPr="00F77964">
              <w:rPr>
                <w:rFonts w:eastAsia="SimSun"/>
                <w:sz w:val="18"/>
                <w:szCs w:val="18"/>
                <w:lang w:eastAsia="zh-CN"/>
              </w:rPr>
              <w:t>s thématiques et méthodologiques</w:t>
            </w:r>
          </w:p>
        </w:tc>
      </w:tr>
      <w:tr w:rsidR="001D6913" w:rsidRPr="0061490E" w:rsidTr="001D6913">
        <w:trPr>
          <w:trHeight w:val="413"/>
        </w:trPr>
        <w:tc>
          <w:tcPr>
            <w:tcW w:w="86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913" w:rsidRPr="00F77964" w:rsidRDefault="001D6913" w:rsidP="00FA1042">
            <w:pPr>
              <w:pStyle w:val="Normal-pool"/>
              <w:spacing w:before="40" w:after="40"/>
              <w:rPr>
                <w:rFonts w:eastAsia="SimSun"/>
                <w:sz w:val="18"/>
                <w:szCs w:val="18"/>
                <w:lang w:eastAsia="zh-CN"/>
              </w:rPr>
            </w:pPr>
            <w:r w:rsidRPr="00F77964">
              <w:rPr>
                <w:rFonts w:eastAsia="SimSun"/>
                <w:sz w:val="18"/>
                <w:szCs w:val="18"/>
                <w:lang w:eastAsia="zh-CN"/>
              </w:rPr>
              <w:t xml:space="preserve">Fournir un appui technique </w:t>
            </w:r>
            <w:r w:rsidR="00FA1042">
              <w:rPr>
                <w:rFonts w:eastAsia="SimSun"/>
                <w:sz w:val="18"/>
                <w:szCs w:val="18"/>
                <w:lang w:eastAsia="zh-CN"/>
              </w:rPr>
              <w:t xml:space="preserve">concernant </w:t>
            </w:r>
            <w:r w:rsidRPr="00F77964">
              <w:rPr>
                <w:rFonts w:eastAsia="SimSun"/>
                <w:sz w:val="18"/>
                <w:szCs w:val="18"/>
                <w:lang w:eastAsia="zh-CN"/>
              </w:rPr>
              <w:t xml:space="preserve">les </w:t>
            </w:r>
            <w:r w:rsidR="00FA1042">
              <w:rPr>
                <w:rFonts w:eastAsia="SimSun"/>
                <w:sz w:val="18"/>
                <w:szCs w:val="18"/>
                <w:lang w:eastAsia="zh-CN"/>
              </w:rPr>
              <w:t>question</w:t>
            </w:r>
            <w:r w:rsidRPr="00F77964">
              <w:rPr>
                <w:rFonts w:eastAsia="SimSun"/>
                <w:sz w:val="18"/>
                <w:szCs w:val="18"/>
                <w:lang w:eastAsia="zh-CN"/>
              </w:rPr>
              <w:t>s thématiques et méthodologiques</w:t>
            </w:r>
          </w:p>
        </w:tc>
      </w:tr>
      <w:tr w:rsidR="001D6913" w:rsidRPr="0061490E" w:rsidTr="001D6913">
        <w:trPr>
          <w:trHeight w:val="353"/>
        </w:trPr>
        <w:tc>
          <w:tcPr>
            <w:tcW w:w="86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913" w:rsidRPr="00F77964" w:rsidRDefault="001D6913" w:rsidP="00BB788C">
            <w:pPr>
              <w:pStyle w:val="Normal-pool"/>
              <w:spacing w:before="40" w:after="40"/>
              <w:rPr>
                <w:b/>
              </w:rPr>
            </w:pPr>
            <w:r w:rsidRPr="00F77964">
              <w:rPr>
                <w:rFonts w:eastAsia="SimSun"/>
                <w:b/>
                <w:sz w:val="18"/>
                <w:szCs w:val="18"/>
                <w:lang w:eastAsia="zh-CN"/>
              </w:rPr>
              <w:t xml:space="preserve">Objectif 4 : </w:t>
            </w:r>
            <w:r w:rsidR="00BB788C" w:rsidRPr="00F77964">
              <w:rPr>
                <w:b/>
                <w:sz w:val="18"/>
                <w:szCs w:val="18"/>
              </w:rPr>
              <w:t>Faire connaître et évaluer les activités</w:t>
            </w:r>
            <w:r w:rsidR="00FA1042">
              <w:rPr>
                <w:b/>
                <w:sz w:val="18"/>
                <w:szCs w:val="18"/>
              </w:rPr>
              <w:t xml:space="preserve"> </w:t>
            </w:r>
            <w:r w:rsidR="00FA1042" w:rsidRPr="00FA1042">
              <w:rPr>
                <w:b/>
                <w:sz w:val="18"/>
                <w:szCs w:val="18"/>
              </w:rPr>
              <w:t>de la Plateforme, ses produits et ses conclusions</w:t>
            </w:r>
          </w:p>
        </w:tc>
      </w:tr>
      <w:tr w:rsidR="001D6913" w:rsidRPr="0061490E" w:rsidTr="001D6913">
        <w:trPr>
          <w:trHeight w:val="374"/>
        </w:trPr>
        <w:tc>
          <w:tcPr>
            <w:tcW w:w="86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913" w:rsidRPr="00F77964" w:rsidRDefault="001D6913" w:rsidP="00FA1042">
            <w:pPr>
              <w:pStyle w:val="Normal-pool"/>
              <w:spacing w:before="40" w:after="40"/>
              <w:rPr>
                <w:rFonts w:eastAsia="SimSun"/>
                <w:sz w:val="18"/>
                <w:szCs w:val="18"/>
                <w:lang w:eastAsia="zh-CN"/>
              </w:rPr>
            </w:pPr>
            <w:r w:rsidRPr="00F77964">
              <w:rPr>
                <w:rFonts w:eastAsia="SimSun"/>
                <w:sz w:val="18"/>
                <w:szCs w:val="18"/>
                <w:lang w:eastAsia="zh-CN"/>
              </w:rPr>
              <w:t>Accueillir une réunion d</w:t>
            </w:r>
            <w:r w:rsidR="00FA1042">
              <w:rPr>
                <w:rFonts w:eastAsia="SimSun"/>
                <w:sz w:val="18"/>
                <w:szCs w:val="18"/>
                <w:lang w:eastAsia="zh-CN"/>
              </w:rPr>
              <w:t>u</w:t>
            </w:r>
            <w:r w:rsidRPr="00F77964">
              <w:rPr>
                <w:rFonts w:eastAsia="SimSun"/>
                <w:sz w:val="18"/>
                <w:szCs w:val="18"/>
                <w:lang w:eastAsia="zh-CN"/>
              </w:rPr>
              <w:t xml:space="preserve"> groupe d’experts pour l’élaboration d’un guide sur les outils et méthod</w:t>
            </w:r>
            <w:r w:rsidR="00BB788C" w:rsidRPr="00F77964">
              <w:rPr>
                <w:rFonts w:eastAsia="SimSun"/>
                <w:sz w:val="18"/>
                <w:szCs w:val="18"/>
                <w:lang w:eastAsia="zh-CN"/>
              </w:rPr>
              <w:t>es</w:t>
            </w:r>
            <w:r w:rsidRPr="00F77964">
              <w:rPr>
                <w:rFonts w:eastAsia="SimSun"/>
                <w:sz w:val="18"/>
                <w:szCs w:val="18"/>
                <w:lang w:eastAsia="zh-CN"/>
              </w:rPr>
              <w:t xml:space="preserve"> d’</w:t>
            </w:r>
            <w:r w:rsidR="00AA6C94">
              <w:rPr>
                <w:rFonts w:eastAsia="SimSun"/>
                <w:sz w:val="18"/>
                <w:szCs w:val="18"/>
                <w:lang w:eastAsia="zh-CN"/>
              </w:rPr>
              <w:t>aide à la décision</w:t>
            </w:r>
          </w:p>
        </w:tc>
      </w:tr>
      <w:tr w:rsidR="001D6913" w:rsidRPr="0061490E" w:rsidTr="001D6913">
        <w:trPr>
          <w:trHeight w:val="413"/>
        </w:trPr>
        <w:tc>
          <w:tcPr>
            <w:tcW w:w="86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913" w:rsidRPr="00F77964" w:rsidRDefault="001D6913" w:rsidP="00FA1042">
            <w:pPr>
              <w:pStyle w:val="Normal-pool"/>
              <w:spacing w:before="40" w:after="40"/>
              <w:rPr>
                <w:rFonts w:eastAsia="SimSun"/>
                <w:sz w:val="18"/>
                <w:szCs w:val="18"/>
                <w:lang w:eastAsia="zh-CN"/>
              </w:rPr>
            </w:pPr>
            <w:r w:rsidRPr="00F77964">
              <w:rPr>
                <w:rFonts w:eastAsia="SimSun"/>
                <w:sz w:val="18"/>
                <w:szCs w:val="18"/>
                <w:lang w:eastAsia="zh-CN"/>
              </w:rPr>
              <w:t xml:space="preserve">Fournir un appui technique </w:t>
            </w:r>
            <w:r w:rsidR="00FA1042">
              <w:rPr>
                <w:rFonts w:eastAsia="SimSun"/>
                <w:sz w:val="18"/>
                <w:szCs w:val="18"/>
                <w:lang w:eastAsia="zh-CN"/>
              </w:rPr>
              <w:t xml:space="preserve">en matière de </w:t>
            </w:r>
            <w:r w:rsidRPr="00F77964">
              <w:rPr>
                <w:rFonts w:eastAsia="SimSun"/>
                <w:sz w:val="18"/>
                <w:szCs w:val="18"/>
                <w:lang w:eastAsia="zh-CN"/>
              </w:rPr>
              <w:t xml:space="preserve">communication et </w:t>
            </w:r>
            <w:r w:rsidR="00FA1042">
              <w:rPr>
                <w:rFonts w:eastAsia="SimSun"/>
                <w:sz w:val="18"/>
                <w:szCs w:val="18"/>
                <w:lang w:eastAsia="zh-CN"/>
              </w:rPr>
              <w:t>de mobilis</w:t>
            </w:r>
            <w:r w:rsidRPr="00F77964">
              <w:rPr>
                <w:rFonts w:eastAsia="SimSun"/>
                <w:sz w:val="18"/>
                <w:szCs w:val="18"/>
                <w:lang w:eastAsia="zh-CN"/>
              </w:rPr>
              <w:t>ation des parties prenantes</w:t>
            </w:r>
          </w:p>
        </w:tc>
      </w:tr>
    </w:tbl>
    <w:p w:rsidR="001D6913" w:rsidRPr="00F77964" w:rsidRDefault="001D6913" w:rsidP="001D6913">
      <w:pPr>
        <w:pStyle w:val="Normal-pool"/>
        <w:rPr>
          <w:sz w:val="20"/>
          <w:szCs w:val="20"/>
        </w:rPr>
      </w:pPr>
    </w:p>
    <w:tbl>
      <w:tblPr>
        <w:tblW w:w="0" w:type="auto"/>
        <w:tblLook w:val="01E0" w:firstRow="1" w:lastRow="1" w:firstColumn="1" w:lastColumn="1" w:noHBand="0" w:noVBand="0"/>
      </w:tblPr>
      <w:tblGrid>
        <w:gridCol w:w="3081"/>
        <w:gridCol w:w="3080"/>
        <w:gridCol w:w="3081"/>
      </w:tblGrid>
      <w:tr w:rsidR="001D6913" w:rsidRPr="0061490E" w:rsidTr="001D6913">
        <w:tc>
          <w:tcPr>
            <w:tcW w:w="3237" w:type="dxa"/>
          </w:tcPr>
          <w:p w:rsidR="001D6913" w:rsidRPr="00F77964" w:rsidRDefault="001D6913" w:rsidP="001D6913">
            <w:pPr>
              <w:pStyle w:val="Normal-pool"/>
            </w:pPr>
          </w:p>
        </w:tc>
        <w:tc>
          <w:tcPr>
            <w:tcW w:w="3237" w:type="dxa"/>
            <w:tcBorders>
              <w:top w:val="nil"/>
              <w:left w:val="nil"/>
              <w:bottom w:val="single" w:sz="4" w:space="0" w:color="auto"/>
              <w:right w:val="nil"/>
            </w:tcBorders>
          </w:tcPr>
          <w:p w:rsidR="001D6913" w:rsidRPr="00F77964" w:rsidRDefault="001D6913" w:rsidP="001D6913">
            <w:pPr>
              <w:pStyle w:val="Normal-pool"/>
            </w:pPr>
          </w:p>
        </w:tc>
        <w:tc>
          <w:tcPr>
            <w:tcW w:w="3238" w:type="dxa"/>
          </w:tcPr>
          <w:p w:rsidR="001D6913" w:rsidRPr="00F77964" w:rsidRDefault="001D6913" w:rsidP="001D6913">
            <w:pPr>
              <w:pStyle w:val="Normal-pool"/>
            </w:pPr>
          </w:p>
        </w:tc>
      </w:tr>
    </w:tbl>
    <w:p w:rsidR="00AF2F8D" w:rsidRPr="00F77964" w:rsidRDefault="00AF2F8D"/>
    <w:sectPr w:rsidR="00AF2F8D" w:rsidRPr="00F77964" w:rsidSect="00592ADB">
      <w:headerReference w:type="even" r:id="rId12"/>
      <w:headerReference w:type="default" r:id="rId13"/>
      <w:footerReference w:type="even" r:id="rId14"/>
      <w:footerReference w:type="default" r:id="rId15"/>
      <w:footerReference w:type="first" r:id="rId16"/>
      <w:pgSz w:w="11906" w:h="16838" w:code="9"/>
      <w:pgMar w:top="1103" w:right="1440" w:bottom="1440" w:left="1440" w:header="709" w:footer="8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F6B" w:rsidRDefault="00A05F6B" w:rsidP="00D66005">
      <w:pPr>
        <w:spacing w:after="0" w:line="240" w:lineRule="auto"/>
      </w:pPr>
      <w:r>
        <w:separator/>
      </w:r>
    </w:p>
  </w:endnote>
  <w:endnote w:type="continuationSeparator" w:id="0">
    <w:p w:rsidR="00A05F6B" w:rsidRDefault="00A05F6B" w:rsidP="00D66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335" w:rsidRPr="00592ADB" w:rsidRDefault="00C00335">
    <w:pPr>
      <w:pStyle w:val="Footer"/>
      <w:rPr>
        <w:b/>
      </w:rPr>
    </w:pPr>
    <w:r w:rsidRPr="00592ADB">
      <w:rPr>
        <w:b/>
      </w:rPr>
      <w:fldChar w:fldCharType="begin"/>
    </w:r>
    <w:r w:rsidRPr="00592ADB">
      <w:rPr>
        <w:b/>
      </w:rPr>
      <w:instrText xml:space="preserve"> PAGE   \* MERGEFORMAT </w:instrText>
    </w:r>
    <w:r w:rsidRPr="00592ADB">
      <w:rPr>
        <w:b/>
      </w:rPr>
      <w:fldChar w:fldCharType="separate"/>
    </w:r>
    <w:r w:rsidR="004F1724">
      <w:rPr>
        <w:b/>
        <w:noProof/>
      </w:rPr>
      <w:t>2</w:t>
    </w:r>
    <w:r w:rsidRPr="00592ADB">
      <w:rPr>
        <w:b/>
        <w:noProof/>
      </w:rPr>
      <w:fldChar w:fldCharType="end"/>
    </w:r>
  </w:p>
  <w:p w:rsidR="00C00335" w:rsidRDefault="00C003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335" w:rsidRPr="00592ADB" w:rsidRDefault="00C00335">
    <w:pPr>
      <w:pStyle w:val="Footer"/>
      <w:jc w:val="right"/>
      <w:rPr>
        <w:b/>
      </w:rPr>
    </w:pPr>
    <w:r w:rsidRPr="00592ADB">
      <w:rPr>
        <w:b/>
      </w:rPr>
      <w:fldChar w:fldCharType="begin"/>
    </w:r>
    <w:r w:rsidRPr="00592ADB">
      <w:rPr>
        <w:b/>
      </w:rPr>
      <w:instrText xml:space="preserve"> PAGE   \* MERGEFORMAT </w:instrText>
    </w:r>
    <w:r w:rsidRPr="00592ADB">
      <w:rPr>
        <w:b/>
      </w:rPr>
      <w:fldChar w:fldCharType="separate"/>
    </w:r>
    <w:r w:rsidR="004F1724">
      <w:rPr>
        <w:b/>
        <w:noProof/>
      </w:rPr>
      <w:t>37</w:t>
    </w:r>
    <w:r w:rsidRPr="00592ADB">
      <w:rPr>
        <w:b/>
        <w:noProof/>
      </w:rPr>
      <w:fldChar w:fldCharType="end"/>
    </w:r>
  </w:p>
  <w:p w:rsidR="00C00335" w:rsidRDefault="00C003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335" w:rsidRDefault="00C00335" w:rsidP="003F3DA0">
    <w:pPr>
      <w:pStyle w:val="Footer"/>
      <w:tabs>
        <w:tab w:val="left" w:pos="1418"/>
      </w:tabs>
    </w:pPr>
    <w:r w:rsidRPr="00C102B5">
      <w:rPr>
        <w:lang w:val="fr-FR" w:eastAsia="ja-JP"/>
      </w:rPr>
      <w:t>K1353368</w:t>
    </w:r>
    <w:r>
      <w:rPr>
        <w:lang w:val="fr-FR" w:eastAsia="ja-JP"/>
      </w:rPr>
      <w:tab/>
      <w:t>211113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F6B" w:rsidRDefault="00A05F6B" w:rsidP="00D66005">
      <w:pPr>
        <w:spacing w:after="0" w:line="240" w:lineRule="auto"/>
      </w:pPr>
      <w:r>
        <w:separator/>
      </w:r>
    </w:p>
  </w:footnote>
  <w:footnote w:type="continuationSeparator" w:id="0">
    <w:p w:rsidR="00A05F6B" w:rsidRDefault="00A05F6B" w:rsidP="00D66005">
      <w:pPr>
        <w:spacing w:after="0" w:line="240" w:lineRule="auto"/>
      </w:pPr>
      <w:r>
        <w:continuationSeparator/>
      </w:r>
    </w:p>
  </w:footnote>
  <w:footnote w:id="1">
    <w:p w:rsidR="00C00335" w:rsidRPr="00C102B5" w:rsidRDefault="00C00335" w:rsidP="00592ADB">
      <w:pPr>
        <w:pStyle w:val="FootnoteText"/>
        <w:tabs>
          <w:tab w:val="left" w:pos="708"/>
        </w:tabs>
        <w:rPr>
          <w:lang w:val="fr-FR"/>
        </w:rPr>
      </w:pPr>
      <w:r>
        <w:rPr>
          <w:rStyle w:val="FootnoteReference"/>
        </w:rPr>
        <w:sym w:font="Symbol" w:char="F02A"/>
      </w:r>
      <w:r w:rsidRPr="00C102B5">
        <w:rPr>
          <w:lang w:val="fr-FR"/>
        </w:rPr>
        <w:t xml:space="preserve"> </w:t>
      </w:r>
      <w:r w:rsidRPr="00C102B5">
        <w:rPr>
          <w:szCs w:val="18"/>
          <w:lang w:val="fr-FR"/>
        </w:rPr>
        <w:t>IPBES/</w:t>
      </w:r>
      <w:r w:rsidRPr="00C102B5">
        <w:rPr>
          <w:szCs w:val="18"/>
          <w:lang w:val="fr-FR" w:eastAsia="ja-JP"/>
        </w:rPr>
        <w:t>2/1</w:t>
      </w:r>
      <w:r w:rsidRPr="00C102B5">
        <w:rPr>
          <w:lang w:val="fr-FR" w:eastAsia="ja-JP"/>
        </w:rPr>
        <w:t>.</w:t>
      </w:r>
    </w:p>
  </w:footnote>
  <w:footnote w:id="2">
    <w:p w:rsidR="00C00335" w:rsidRPr="001D6913" w:rsidRDefault="00C00335" w:rsidP="001D6913">
      <w:pPr>
        <w:pStyle w:val="FootnoteText"/>
        <w:rPr>
          <w:lang w:val="fr-FR"/>
        </w:rPr>
      </w:pPr>
      <w:r>
        <w:rPr>
          <w:rStyle w:val="FootnoteReference"/>
        </w:rPr>
        <w:footnoteRef/>
      </w:r>
      <w:r>
        <w:t xml:space="preserve"> En réponse à une demande de la Plénière, un catalogue en ligne des évaluations, y compris les évaluations thématiques et exhaustives menées aux niveaux national, régional, sous-régional et mondial a été établi et sera mis à disposition par le biais du site Internet de la Plateforme.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335" w:rsidRPr="00592ADB" w:rsidRDefault="00C00335">
    <w:pPr>
      <w:pStyle w:val="Header"/>
      <w:rPr>
        <w:szCs w:val="18"/>
      </w:rPr>
    </w:pPr>
    <w:r w:rsidRPr="00592ADB">
      <w:rPr>
        <w:rFonts w:eastAsia="Calibri"/>
        <w:szCs w:val="18"/>
      </w:rPr>
      <w:t>IPBES</w:t>
    </w:r>
    <w:r w:rsidRPr="00592ADB">
      <w:rPr>
        <w:rFonts w:eastAsia="Calibri"/>
        <w:szCs w:val="18"/>
        <w:lang w:eastAsia="ja-JP"/>
      </w:rPr>
      <w:t>/2/2/Add.1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335" w:rsidRPr="00592ADB" w:rsidRDefault="00C00335" w:rsidP="00592ADB">
    <w:pPr>
      <w:pStyle w:val="Header"/>
      <w:jc w:val="right"/>
      <w:rPr>
        <w:szCs w:val="18"/>
      </w:rPr>
    </w:pPr>
    <w:r w:rsidRPr="00592ADB">
      <w:rPr>
        <w:rFonts w:eastAsia="Calibri"/>
        <w:szCs w:val="18"/>
      </w:rPr>
      <w:t>IPBES</w:t>
    </w:r>
    <w:r w:rsidRPr="00592ADB">
      <w:rPr>
        <w:rFonts w:eastAsia="Calibri"/>
        <w:szCs w:val="18"/>
        <w:lang w:eastAsia="ja-JP"/>
      </w:rPr>
      <w:t>/2/2/Add.1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70DC"/>
    <w:multiLevelType w:val="hybridMultilevel"/>
    <w:tmpl w:val="1DE67610"/>
    <w:lvl w:ilvl="0" w:tplc="0809000F">
      <w:start w:val="38"/>
      <w:numFmt w:val="decimal"/>
      <w:lvlText w:val="%1."/>
      <w:lvlJc w:val="left"/>
      <w:pPr>
        <w:ind w:left="2474" w:hanging="360"/>
      </w:pPr>
      <w:rPr>
        <w:rFonts w:hint="default"/>
      </w:rPr>
    </w:lvl>
    <w:lvl w:ilvl="1" w:tplc="040C0019" w:tentative="1">
      <w:start w:val="1"/>
      <w:numFmt w:val="lowerLetter"/>
      <w:lvlText w:val="%2."/>
      <w:lvlJc w:val="left"/>
      <w:pPr>
        <w:ind w:left="3194" w:hanging="360"/>
      </w:pPr>
    </w:lvl>
    <w:lvl w:ilvl="2" w:tplc="040C001B" w:tentative="1">
      <w:start w:val="1"/>
      <w:numFmt w:val="lowerRoman"/>
      <w:lvlText w:val="%3."/>
      <w:lvlJc w:val="right"/>
      <w:pPr>
        <w:ind w:left="3914" w:hanging="180"/>
      </w:pPr>
    </w:lvl>
    <w:lvl w:ilvl="3" w:tplc="040C000F" w:tentative="1">
      <w:start w:val="1"/>
      <w:numFmt w:val="decimal"/>
      <w:lvlText w:val="%4."/>
      <w:lvlJc w:val="left"/>
      <w:pPr>
        <w:ind w:left="4634" w:hanging="360"/>
      </w:pPr>
    </w:lvl>
    <w:lvl w:ilvl="4" w:tplc="040C0019" w:tentative="1">
      <w:start w:val="1"/>
      <w:numFmt w:val="lowerLetter"/>
      <w:lvlText w:val="%5."/>
      <w:lvlJc w:val="left"/>
      <w:pPr>
        <w:ind w:left="5354" w:hanging="360"/>
      </w:pPr>
    </w:lvl>
    <w:lvl w:ilvl="5" w:tplc="040C001B" w:tentative="1">
      <w:start w:val="1"/>
      <w:numFmt w:val="lowerRoman"/>
      <w:lvlText w:val="%6."/>
      <w:lvlJc w:val="right"/>
      <w:pPr>
        <w:ind w:left="6074" w:hanging="180"/>
      </w:pPr>
    </w:lvl>
    <w:lvl w:ilvl="6" w:tplc="040C000F" w:tentative="1">
      <w:start w:val="1"/>
      <w:numFmt w:val="decimal"/>
      <w:lvlText w:val="%7."/>
      <w:lvlJc w:val="left"/>
      <w:pPr>
        <w:ind w:left="6794" w:hanging="360"/>
      </w:pPr>
    </w:lvl>
    <w:lvl w:ilvl="7" w:tplc="040C0019" w:tentative="1">
      <w:start w:val="1"/>
      <w:numFmt w:val="lowerLetter"/>
      <w:lvlText w:val="%8."/>
      <w:lvlJc w:val="left"/>
      <w:pPr>
        <w:ind w:left="7514" w:hanging="360"/>
      </w:pPr>
    </w:lvl>
    <w:lvl w:ilvl="8" w:tplc="040C001B" w:tentative="1">
      <w:start w:val="1"/>
      <w:numFmt w:val="lowerRoman"/>
      <w:lvlText w:val="%9."/>
      <w:lvlJc w:val="right"/>
      <w:pPr>
        <w:ind w:left="8234" w:hanging="180"/>
      </w:p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lvl>
  </w:abstractNum>
  <w:abstractNum w:abstractNumId="2">
    <w:nsid w:val="1F6C2C67"/>
    <w:multiLevelType w:val="hybridMultilevel"/>
    <w:tmpl w:val="0B3082C4"/>
    <w:lvl w:ilvl="0" w:tplc="0809000F">
      <w:start w:val="1"/>
      <w:numFmt w:val="decimal"/>
      <w:lvlText w:val="%1."/>
      <w:lvlJc w:val="left"/>
      <w:pPr>
        <w:ind w:left="2474" w:hanging="360"/>
      </w:pPr>
    </w:lvl>
    <w:lvl w:ilvl="1" w:tplc="DB0CFBB4">
      <w:start w:val="1"/>
      <w:numFmt w:val="lowerLetter"/>
      <w:lvlText w:val="(%2)"/>
      <w:lvlJc w:val="left"/>
      <w:pPr>
        <w:ind w:left="3194" w:hanging="360"/>
      </w:pPr>
      <w:rPr>
        <w:b w:val="0"/>
      </w:rPr>
    </w:lvl>
    <w:lvl w:ilvl="2" w:tplc="640C88A4">
      <w:start w:val="1"/>
      <w:numFmt w:val="lowerRoman"/>
      <w:lvlText w:val="(%3)"/>
      <w:lvlJc w:val="right"/>
      <w:pPr>
        <w:ind w:left="3098" w:hanging="180"/>
      </w:pPr>
    </w:lvl>
    <w:lvl w:ilvl="3" w:tplc="0809000F">
      <w:start w:val="1"/>
      <w:numFmt w:val="decimal"/>
      <w:lvlText w:val="%4."/>
      <w:lvlJc w:val="left"/>
      <w:pPr>
        <w:ind w:left="4634" w:hanging="360"/>
      </w:pPr>
    </w:lvl>
    <w:lvl w:ilvl="4" w:tplc="08090019">
      <w:start w:val="1"/>
      <w:numFmt w:val="lowerLetter"/>
      <w:lvlText w:val="%5."/>
      <w:lvlJc w:val="left"/>
      <w:pPr>
        <w:ind w:left="5354" w:hanging="360"/>
      </w:pPr>
    </w:lvl>
    <w:lvl w:ilvl="5" w:tplc="0809001B">
      <w:start w:val="1"/>
      <w:numFmt w:val="lowerRoman"/>
      <w:lvlText w:val="%6."/>
      <w:lvlJc w:val="right"/>
      <w:pPr>
        <w:ind w:left="6074" w:hanging="180"/>
      </w:pPr>
    </w:lvl>
    <w:lvl w:ilvl="6" w:tplc="0809000F">
      <w:start w:val="1"/>
      <w:numFmt w:val="decimal"/>
      <w:lvlText w:val="%7."/>
      <w:lvlJc w:val="left"/>
      <w:pPr>
        <w:ind w:left="6794" w:hanging="360"/>
      </w:pPr>
    </w:lvl>
    <w:lvl w:ilvl="7" w:tplc="08090019">
      <w:start w:val="1"/>
      <w:numFmt w:val="lowerLetter"/>
      <w:lvlText w:val="%8."/>
      <w:lvlJc w:val="left"/>
      <w:pPr>
        <w:ind w:left="7514" w:hanging="360"/>
      </w:pPr>
    </w:lvl>
    <w:lvl w:ilvl="8" w:tplc="0809001B">
      <w:start w:val="1"/>
      <w:numFmt w:val="lowerRoman"/>
      <w:lvlText w:val="%9."/>
      <w:lvlJc w:val="right"/>
      <w:pPr>
        <w:ind w:left="8234" w:hanging="180"/>
      </w:p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lvl>
  </w:abstractNum>
  <w:abstractNum w:abstractNumId="4">
    <w:nsid w:val="4A347B6F"/>
    <w:multiLevelType w:val="hybridMultilevel"/>
    <w:tmpl w:val="AB42770A"/>
    <w:lvl w:ilvl="0" w:tplc="0809000F">
      <w:start w:val="42"/>
      <w:numFmt w:val="decimal"/>
      <w:lvlText w:val="%1."/>
      <w:lvlJc w:val="left"/>
      <w:pPr>
        <w:ind w:left="2474" w:hanging="360"/>
      </w:pPr>
      <w:rPr>
        <w:rFonts w:hint="default"/>
      </w:rPr>
    </w:lvl>
    <w:lvl w:ilvl="1" w:tplc="040C0019" w:tentative="1">
      <w:start w:val="1"/>
      <w:numFmt w:val="lowerLetter"/>
      <w:lvlText w:val="%2."/>
      <w:lvlJc w:val="left"/>
      <w:pPr>
        <w:ind w:left="3194" w:hanging="360"/>
      </w:pPr>
    </w:lvl>
    <w:lvl w:ilvl="2" w:tplc="040C001B" w:tentative="1">
      <w:start w:val="1"/>
      <w:numFmt w:val="lowerRoman"/>
      <w:lvlText w:val="%3."/>
      <w:lvlJc w:val="right"/>
      <w:pPr>
        <w:ind w:left="3914" w:hanging="180"/>
      </w:pPr>
    </w:lvl>
    <w:lvl w:ilvl="3" w:tplc="040C000F" w:tentative="1">
      <w:start w:val="1"/>
      <w:numFmt w:val="decimal"/>
      <w:lvlText w:val="%4."/>
      <w:lvlJc w:val="left"/>
      <w:pPr>
        <w:ind w:left="4634" w:hanging="360"/>
      </w:pPr>
    </w:lvl>
    <w:lvl w:ilvl="4" w:tplc="040C0019" w:tentative="1">
      <w:start w:val="1"/>
      <w:numFmt w:val="lowerLetter"/>
      <w:lvlText w:val="%5."/>
      <w:lvlJc w:val="left"/>
      <w:pPr>
        <w:ind w:left="5354" w:hanging="360"/>
      </w:pPr>
    </w:lvl>
    <w:lvl w:ilvl="5" w:tplc="040C001B" w:tentative="1">
      <w:start w:val="1"/>
      <w:numFmt w:val="lowerRoman"/>
      <w:lvlText w:val="%6."/>
      <w:lvlJc w:val="right"/>
      <w:pPr>
        <w:ind w:left="6074" w:hanging="180"/>
      </w:pPr>
    </w:lvl>
    <w:lvl w:ilvl="6" w:tplc="040C000F" w:tentative="1">
      <w:start w:val="1"/>
      <w:numFmt w:val="decimal"/>
      <w:lvlText w:val="%7."/>
      <w:lvlJc w:val="left"/>
      <w:pPr>
        <w:ind w:left="6794" w:hanging="360"/>
      </w:pPr>
    </w:lvl>
    <w:lvl w:ilvl="7" w:tplc="040C0019" w:tentative="1">
      <w:start w:val="1"/>
      <w:numFmt w:val="lowerLetter"/>
      <w:lvlText w:val="%8."/>
      <w:lvlJc w:val="left"/>
      <w:pPr>
        <w:ind w:left="7514" w:hanging="360"/>
      </w:pPr>
    </w:lvl>
    <w:lvl w:ilvl="8" w:tplc="040C001B" w:tentative="1">
      <w:start w:val="1"/>
      <w:numFmt w:val="lowerRoman"/>
      <w:lvlText w:val="%9."/>
      <w:lvlJc w:val="right"/>
      <w:pPr>
        <w:ind w:left="8234" w:hanging="180"/>
      </w:pPr>
    </w:lvl>
  </w:abstractNum>
  <w:abstractNum w:abstractNumId="5">
    <w:nsid w:val="513A6991"/>
    <w:multiLevelType w:val="hybridMultilevel"/>
    <w:tmpl w:val="0B3082C4"/>
    <w:lvl w:ilvl="0" w:tplc="0809000F">
      <w:start w:val="1"/>
      <w:numFmt w:val="decimal"/>
      <w:lvlText w:val="%1."/>
      <w:lvlJc w:val="left"/>
      <w:pPr>
        <w:ind w:left="2474" w:hanging="360"/>
      </w:pPr>
    </w:lvl>
    <w:lvl w:ilvl="1" w:tplc="DB0CFBB4">
      <w:start w:val="1"/>
      <w:numFmt w:val="lowerLetter"/>
      <w:lvlText w:val="(%2)"/>
      <w:lvlJc w:val="left"/>
      <w:pPr>
        <w:ind w:left="3194" w:hanging="360"/>
      </w:pPr>
      <w:rPr>
        <w:b w:val="0"/>
      </w:rPr>
    </w:lvl>
    <w:lvl w:ilvl="2" w:tplc="640C88A4">
      <w:start w:val="1"/>
      <w:numFmt w:val="lowerRoman"/>
      <w:lvlText w:val="(%3)"/>
      <w:lvlJc w:val="right"/>
      <w:pPr>
        <w:ind w:left="3098" w:hanging="180"/>
      </w:pPr>
    </w:lvl>
    <w:lvl w:ilvl="3" w:tplc="0809000F">
      <w:start w:val="1"/>
      <w:numFmt w:val="decimal"/>
      <w:lvlText w:val="%4."/>
      <w:lvlJc w:val="left"/>
      <w:pPr>
        <w:ind w:left="4634" w:hanging="360"/>
      </w:pPr>
    </w:lvl>
    <w:lvl w:ilvl="4" w:tplc="08090019">
      <w:start w:val="1"/>
      <w:numFmt w:val="lowerLetter"/>
      <w:lvlText w:val="%5."/>
      <w:lvlJc w:val="left"/>
      <w:pPr>
        <w:ind w:left="5354" w:hanging="360"/>
      </w:pPr>
    </w:lvl>
    <w:lvl w:ilvl="5" w:tplc="0809001B">
      <w:start w:val="1"/>
      <w:numFmt w:val="lowerRoman"/>
      <w:lvlText w:val="%6."/>
      <w:lvlJc w:val="right"/>
      <w:pPr>
        <w:ind w:left="6074" w:hanging="180"/>
      </w:pPr>
    </w:lvl>
    <w:lvl w:ilvl="6" w:tplc="0809000F">
      <w:start w:val="1"/>
      <w:numFmt w:val="decimal"/>
      <w:lvlText w:val="%7."/>
      <w:lvlJc w:val="left"/>
      <w:pPr>
        <w:ind w:left="6794" w:hanging="360"/>
      </w:pPr>
    </w:lvl>
    <w:lvl w:ilvl="7" w:tplc="08090019">
      <w:start w:val="1"/>
      <w:numFmt w:val="lowerLetter"/>
      <w:lvlText w:val="%8."/>
      <w:lvlJc w:val="left"/>
      <w:pPr>
        <w:ind w:left="7514" w:hanging="360"/>
      </w:pPr>
    </w:lvl>
    <w:lvl w:ilvl="8" w:tplc="0809001B">
      <w:start w:val="1"/>
      <w:numFmt w:val="lowerRoman"/>
      <w:lvlText w:val="%9."/>
      <w:lvlJc w:val="right"/>
      <w:pPr>
        <w:ind w:left="8234" w:hanging="180"/>
      </w:pPr>
    </w:lvl>
  </w:abstractNum>
  <w:abstractNum w:abstractNumId="6">
    <w:nsid w:val="52A66A9D"/>
    <w:multiLevelType w:val="multilevel"/>
    <w:tmpl w:val="F4ACF36E"/>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Roman"/>
      <w:lvlText w:val="%5."/>
      <w:lvlJc w:val="left"/>
      <w:pPr>
        <w:tabs>
          <w:tab w:val="num" w:pos="567"/>
        </w:tabs>
        <w:ind w:left="4082" w:hanging="567"/>
      </w:pPr>
    </w:lvl>
    <w:lvl w:ilvl="5">
      <w:start w:val="1"/>
      <w:numFmt w:val="lowerRoman"/>
      <w:lvlText w:val="%6."/>
      <w:lvlJc w:val="right"/>
      <w:pPr>
        <w:tabs>
          <w:tab w:val="num" w:pos="7835"/>
        </w:tabs>
        <w:ind w:left="7835" w:hanging="180"/>
      </w:pPr>
    </w:lvl>
    <w:lvl w:ilvl="6">
      <w:start w:val="1"/>
      <w:numFmt w:val="decimal"/>
      <w:lvlText w:val="%7."/>
      <w:lvlJc w:val="left"/>
      <w:pPr>
        <w:tabs>
          <w:tab w:val="num" w:pos="8555"/>
        </w:tabs>
        <w:ind w:left="8555" w:hanging="360"/>
      </w:pPr>
    </w:lvl>
    <w:lvl w:ilvl="7">
      <w:start w:val="1"/>
      <w:numFmt w:val="lowerLetter"/>
      <w:lvlText w:val="%8."/>
      <w:lvlJc w:val="left"/>
      <w:pPr>
        <w:tabs>
          <w:tab w:val="num" w:pos="9275"/>
        </w:tabs>
        <w:ind w:left="9275" w:hanging="360"/>
      </w:pPr>
    </w:lvl>
    <w:lvl w:ilvl="8">
      <w:start w:val="1"/>
      <w:numFmt w:val="lowerRoman"/>
      <w:lvlText w:val="%9."/>
      <w:lvlJc w:val="right"/>
      <w:pPr>
        <w:tabs>
          <w:tab w:val="num" w:pos="9995"/>
        </w:tabs>
        <w:ind w:left="9995" w:hanging="180"/>
      </w:pPr>
    </w:lvl>
  </w:abstractNum>
  <w:abstractNum w:abstractNumId="7">
    <w:nsid w:val="64403E30"/>
    <w:multiLevelType w:val="hybridMultilevel"/>
    <w:tmpl w:val="8552FAF6"/>
    <w:lvl w:ilvl="0" w:tplc="0809000F">
      <w:start w:val="44"/>
      <w:numFmt w:val="decimal"/>
      <w:lvlText w:val="%1."/>
      <w:lvlJc w:val="left"/>
      <w:pPr>
        <w:ind w:left="2474" w:hanging="360"/>
      </w:pPr>
      <w:rPr>
        <w:rFonts w:eastAsia="Times New Roman" w:hint="default"/>
      </w:rPr>
    </w:lvl>
    <w:lvl w:ilvl="1" w:tplc="040C0019" w:tentative="1">
      <w:start w:val="1"/>
      <w:numFmt w:val="lowerLetter"/>
      <w:lvlText w:val="%2."/>
      <w:lvlJc w:val="left"/>
      <w:pPr>
        <w:ind w:left="3194" w:hanging="360"/>
      </w:pPr>
    </w:lvl>
    <w:lvl w:ilvl="2" w:tplc="040C001B" w:tentative="1">
      <w:start w:val="1"/>
      <w:numFmt w:val="lowerRoman"/>
      <w:lvlText w:val="%3."/>
      <w:lvlJc w:val="right"/>
      <w:pPr>
        <w:ind w:left="3914" w:hanging="180"/>
      </w:pPr>
    </w:lvl>
    <w:lvl w:ilvl="3" w:tplc="040C000F" w:tentative="1">
      <w:start w:val="1"/>
      <w:numFmt w:val="decimal"/>
      <w:lvlText w:val="%4."/>
      <w:lvlJc w:val="left"/>
      <w:pPr>
        <w:ind w:left="4634" w:hanging="360"/>
      </w:pPr>
    </w:lvl>
    <w:lvl w:ilvl="4" w:tplc="040C0019" w:tentative="1">
      <w:start w:val="1"/>
      <w:numFmt w:val="lowerLetter"/>
      <w:lvlText w:val="%5."/>
      <w:lvlJc w:val="left"/>
      <w:pPr>
        <w:ind w:left="5354" w:hanging="360"/>
      </w:pPr>
    </w:lvl>
    <w:lvl w:ilvl="5" w:tplc="040C001B" w:tentative="1">
      <w:start w:val="1"/>
      <w:numFmt w:val="lowerRoman"/>
      <w:lvlText w:val="%6."/>
      <w:lvlJc w:val="right"/>
      <w:pPr>
        <w:ind w:left="6074" w:hanging="180"/>
      </w:pPr>
    </w:lvl>
    <w:lvl w:ilvl="6" w:tplc="040C000F" w:tentative="1">
      <w:start w:val="1"/>
      <w:numFmt w:val="decimal"/>
      <w:lvlText w:val="%7."/>
      <w:lvlJc w:val="left"/>
      <w:pPr>
        <w:ind w:left="6794" w:hanging="360"/>
      </w:pPr>
    </w:lvl>
    <w:lvl w:ilvl="7" w:tplc="040C0019" w:tentative="1">
      <w:start w:val="1"/>
      <w:numFmt w:val="lowerLetter"/>
      <w:lvlText w:val="%8."/>
      <w:lvlJc w:val="left"/>
      <w:pPr>
        <w:ind w:left="7514" w:hanging="360"/>
      </w:pPr>
    </w:lvl>
    <w:lvl w:ilvl="8" w:tplc="040C001B" w:tentative="1">
      <w:start w:val="1"/>
      <w:numFmt w:val="lowerRoman"/>
      <w:lvlText w:val="%9."/>
      <w:lvlJc w:val="right"/>
      <w:pPr>
        <w:ind w:left="8234" w:hanging="180"/>
      </w:pPr>
    </w:lvl>
  </w:abstractNum>
  <w:abstractNum w:abstractNumId="8">
    <w:nsid w:val="6BBB4442"/>
    <w:multiLevelType w:val="hybridMultilevel"/>
    <w:tmpl w:val="FD648A1E"/>
    <w:lvl w:ilvl="0" w:tplc="0809000F">
      <w:start w:val="41"/>
      <w:numFmt w:val="decimal"/>
      <w:lvlText w:val="%1."/>
      <w:lvlJc w:val="left"/>
      <w:pPr>
        <w:ind w:left="2474" w:hanging="360"/>
      </w:pPr>
      <w:rPr>
        <w:rFonts w:hint="default"/>
      </w:rPr>
    </w:lvl>
    <w:lvl w:ilvl="1" w:tplc="040C0019" w:tentative="1">
      <w:start w:val="1"/>
      <w:numFmt w:val="lowerLetter"/>
      <w:lvlText w:val="%2."/>
      <w:lvlJc w:val="left"/>
      <w:pPr>
        <w:ind w:left="3194" w:hanging="360"/>
      </w:pPr>
    </w:lvl>
    <w:lvl w:ilvl="2" w:tplc="040C001B" w:tentative="1">
      <w:start w:val="1"/>
      <w:numFmt w:val="lowerRoman"/>
      <w:lvlText w:val="%3."/>
      <w:lvlJc w:val="right"/>
      <w:pPr>
        <w:ind w:left="3914" w:hanging="180"/>
      </w:pPr>
    </w:lvl>
    <w:lvl w:ilvl="3" w:tplc="040C000F" w:tentative="1">
      <w:start w:val="1"/>
      <w:numFmt w:val="decimal"/>
      <w:lvlText w:val="%4."/>
      <w:lvlJc w:val="left"/>
      <w:pPr>
        <w:ind w:left="4634" w:hanging="360"/>
      </w:pPr>
    </w:lvl>
    <w:lvl w:ilvl="4" w:tplc="040C0019" w:tentative="1">
      <w:start w:val="1"/>
      <w:numFmt w:val="lowerLetter"/>
      <w:lvlText w:val="%5."/>
      <w:lvlJc w:val="left"/>
      <w:pPr>
        <w:ind w:left="5354" w:hanging="360"/>
      </w:pPr>
    </w:lvl>
    <w:lvl w:ilvl="5" w:tplc="040C001B" w:tentative="1">
      <w:start w:val="1"/>
      <w:numFmt w:val="lowerRoman"/>
      <w:lvlText w:val="%6."/>
      <w:lvlJc w:val="right"/>
      <w:pPr>
        <w:ind w:left="6074" w:hanging="180"/>
      </w:pPr>
    </w:lvl>
    <w:lvl w:ilvl="6" w:tplc="040C000F" w:tentative="1">
      <w:start w:val="1"/>
      <w:numFmt w:val="decimal"/>
      <w:lvlText w:val="%7."/>
      <w:lvlJc w:val="left"/>
      <w:pPr>
        <w:ind w:left="6794" w:hanging="360"/>
      </w:pPr>
    </w:lvl>
    <w:lvl w:ilvl="7" w:tplc="040C0019" w:tentative="1">
      <w:start w:val="1"/>
      <w:numFmt w:val="lowerLetter"/>
      <w:lvlText w:val="%8."/>
      <w:lvlJc w:val="left"/>
      <w:pPr>
        <w:ind w:left="7514" w:hanging="360"/>
      </w:pPr>
    </w:lvl>
    <w:lvl w:ilvl="8" w:tplc="040C001B" w:tentative="1">
      <w:start w:val="1"/>
      <w:numFmt w:val="lowerRoman"/>
      <w:lvlText w:val="%9."/>
      <w:lvlJc w:val="right"/>
      <w:pPr>
        <w:ind w:left="8234" w:hanging="180"/>
      </w:pPr>
    </w:lvl>
  </w:abstractNum>
  <w:num w:numId="1">
    <w:abstractNumId w:val="1"/>
  </w:num>
  <w:num w:numId="2">
    <w:abstractNumId w:val="1"/>
    <w:lvlOverride w:ilvl="0">
      <w:startOverride w:val="1"/>
    </w:lvlOverride>
  </w:num>
  <w:num w:numId="3">
    <w:abstractNumId w:val="3"/>
  </w:num>
  <w:num w:numId="4">
    <w:abstractNumId w:val="3"/>
    <w:lvlOverride w:ilvl="0">
      <w:startOverride w:val="6"/>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0"/>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62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63"/>
    <w:rsid w:val="00005DED"/>
    <w:rsid w:val="000062DD"/>
    <w:rsid w:val="00010471"/>
    <w:rsid w:val="00010A63"/>
    <w:rsid w:val="00016583"/>
    <w:rsid w:val="00022EFE"/>
    <w:rsid w:val="00026403"/>
    <w:rsid w:val="00032C72"/>
    <w:rsid w:val="00033CC3"/>
    <w:rsid w:val="00034423"/>
    <w:rsid w:val="000445A6"/>
    <w:rsid w:val="0006028B"/>
    <w:rsid w:val="00061CF1"/>
    <w:rsid w:val="00061FB3"/>
    <w:rsid w:val="00065214"/>
    <w:rsid w:val="000671DE"/>
    <w:rsid w:val="00090155"/>
    <w:rsid w:val="00091ABF"/>
    <w:rsid w:val="000957FA"/>
    <w:rsid w:val="00095F6A"/>
    <w:rsid w:val="000975BA"/>
    <w:rsid w:val="000A7AAD"/>
    <w:rsid w:val="000B13A8"/>
    <w:rsid w:val="000B1E31"/>
    <w:rsid w:val="000B6706"/>
    <w:rsid w:val="000B7A62"/>
    <w:rsid w:val="000C18BD"/>
    <w:rsid w:val="000D17B7"/>
    <w:rsid w:val="000D391B"/>
    <w:rsid w:val="000D4169"/>
    <w:rsid w:val="000D4FAD"/>
    <w:rsid w:val="000E0AA1"/>
    <w:rsid w:val="000E1EFE"/>
    <w:rsid w:val="000E4DFC"/>
    <w:rsid w:val="000E6E62"/>
    <w:rsid w:val="000F67AA"/>
    <w:rsid w:val="00103E2F"/>
    <w:rsid w:val="001047BA"/>
    <w:rsid w:val="00110F18"/>
    <w:rsid w:val="0011316A"/>
    <w:rsid w:val="00121D49"/>
    <w:rsid w:val="00122674"/>
    <w:rsid w:val="0012462C"/>
    <w:rsid w:val="00127590"/>
    <w:rsid w:val="001314CC"/>
    <w:rsid w:val="00131EB8"/>
    <w:rsid w:val="00135E9C"/>
    <w:rsid w:val="00137B30"/>
    <w:rsid w:val="00144B59"/>
    <w:rsid w:val="00150DE4"/>
    <w:rsid w:val="001534CE"/>
    <w:rsid w:val="00161811"/>
    <w:rsid w:val="0016678B"/>
    <w:rsid w:val="00171A83"/>
    <w:rsid w:val="00184F09"/>
    <w:rsid w:val="001919D9"/>
    <w:rsid w:val="00195EE1"/>
    <w:rsid w:val="00196D4E"/>
    <w:rsid w:val="001A0C45"/>
    <w:rsid w:val="001B63BF"/>
    <w:rsid w:val="001B6FA6"/>
    <w:rsid w:val="001C198E"/>
    <w:rsid w:val="001C2093"/>
    <w:rsid w:val="001D0AF0"/>
    <w:rsid w:val="001D0F4C"/>
    <w:rsid w:val="001D2DEC"/>
    <w:rsid w:val="001D6913"/>
    <w:rsid w:val="001E3062"/>
    <w:rsid w:val="001F0130"/>
    <w:rsid w:val="001F333A"/>
    <w:rsid w:val="001F4571"/>
    <w:rsid w:val="001F5B06"/>
    <w:rsid w:val="001F5F53"/>
    <w:rsid w:val="00200881"/>
    <w:rsid w:val="00205509"/>
    <w:rsid w:val="00210453"/>
    <w:rsid w:val="00210B30"/>
    <w:rsid w:val="00213F27"/>
    <w:rsid w:val="00216359"/>
    <w:rsid w:val="0022142B"/>
    <w:rsid w:val="00225D5F"/>
    <w:rsid w:val="002407CB"/>
    <w:rsid w:val="002451A2"/>
    <w:rsid w:val="0025338E"/>
    <w:rsid w:val="002533CA"/>
    <w:rsid w:val="0026403C"/>
    <w:rsid w:val="00264BB9"/>
    <w:rsid w:val="00272882"/>
    <w:rsid w:val="00281B80"/>
    <w:rsid w:val="0028726B"/>
    <w:rsid w:val="00291E3F"/>
    <w:rsid w:val="00292BDA"/>
    <w:rsid w:val="00295151"/>
    <w:rsid w:val="00297947"/>
    <w:rsid w:val="002B30DD"/>
    <w:rsid w:val="002B7064"/>
    <w:rsid w:val="002D0234"/>
    <w:rsid w:val="002D1491"/>
    <w:rsid w:val="002D4344"/>
    <w:rsid w:val="002E2ED3"/>
    <w:rsid w:val="002F51DB"/>
    <w:rsid w:val="002F6300"/>
    <w:rsid w:val="002F7127"/>
    <w:rsid w:val="003174D8"/>
    <w:rsid w:val="00317F44"/>
    <w:rsid w:val="003264B7"/>
    <w:rsid w:val="00335AE4"/>
    <w:rsid w:val="00340616"/>
    <w:rsid w:val="00342BB6"/>
    <w:rsid w:val="003459ED"/>
    <w:rsid w:val="0034645C"/>
    <w:rsid w:val="003501DA"/>
    <w:rsid w:val="00351357"/>
    <w:rsid w:val="00351457"/>
    <w:rsid w:val="00351533"/>
    <w:rsid w:val="00366DD1"/>
    <w:rsid w:val="00370E84"/>
    <w:rsid w:val="00376754"/>
    <w:rsid w:val="003803D3"/>
    <w:rsid w:val="0038697F"/>
    <w:rsid w:val="00387DF5"/>
    <w:rsid w:val="0039688D"/>
    <w:rsid w:val="003970E0"/>
    <w:rsid w:val="003A30BB"/>
    <w:rsid w:val="003A51C6"/>
    <w:rsid w:val="003A5515"/>
    <w:rsid w:val="003A6013"/>
    <w:rsid w:val="003A6512"/>
    <w:rsid w:val="003B1A5A"/>
    <w:rsid w:val="003B6254"/>
    <w:rsid w:val="003B667A"/>
    <w:rsid w:val="003D0B59"/>
    <w:rsid w:val="003D141C"/>
    <w:rsid w:val="003E1285"/>
    <w:rsid w:val="003E3AEE"/>
    <w:rsid w:val="003E752B"/>
    <w:rsid w:val="003F3DA0"/>
    <w:rsid w:val="003F6360"/>
    <w:rsid w:val="00413820"/>
    <w:rsid w:val="00431024"/>
    <w:rsid w:val="004310B0"/>
    <w:rsid w:val="00435D19"/>
    <w:rsid w:val="00447AC4"/>
    <w:rsid w:val="00451946"/>
    <w:rsid w:val="00456973"/>
    <w:rsid w:val="00461358"/>
    <w:rsid w:val="004621EA"/>
    <w:rsid w:val="00467B2C"/>
    <w:rsid w:val="004762CF"/>
    <w:rsid w:val="0048302D"/>
    <w:rsid w:val="00483C59"/>
    <w:rsid w:val="0048412B"/>
    <w:rsid w:val="004A022B"/>
    <w:rsid w:val="004A12A1"/>
    <w:rsid w:val="004A6A27"/>
    <w:rsid w:val="004B2AAE"/>
    <w:rsid w:val="004B433C"/>
    <w:rsid w:val="004B4762"/>
    <w:rsid w:val="004D1677"/>
    <w:rsid w:val="004D2BEE"/>
    <w:rsid w:val="004D38D2"/>
    <w:rsid w:val="004E64A9"/>
    <w:rsid w:val="004F1724"/>
    <w:rsid w:val="004F59DF"/>
    <w:rsid w:val="004F621B"/>
    <w:rsid w:val="004F6FD5"/>
    <w:rsid w:val="00502120"/>
    <w:rsid w:val="00504574"/>
    <w:rsid w:val="00507BA5"/>
    <w:rsid w:val="00522723"/>
    <w:rsid w:val="0052314C"/>
    <w:rsid w:val="00526A11"/>
    <w:rsid w:val="00532828"/>
    <w:rsid w:val="00541E1A"/>
    <w:rsid w:val="00544C80"/>
    <w:rsid w:val="00552C0D"/>
    <w:rsid w:val="0055317B"/>
    <w:rsid w:val="00554A8B"/>
    <w:rsid w:val="0055782A"/>
    <w:rsid w:val="00561DFB"/>
    <w:rsid w:val="005627E0"/>
    <w:rsid w:val="0058571C"/>
    <w:rsid w:val="00592491"/>
    <w:rsid w:val="00592ADB"/>
    <w:rsid w:val="0059785D"/>
    <w:rsid w:val="005B0942"/>
    <w:rsid w:val="005B25DE"/>
    <w:rsid w:val="005B2B67"/>
    <w:rsid w:val="005B5904"/>
    <w:rsid w:val="005C07D6"/>
    <w:rsid w:val="005C5573"/>
    <w:rsid w:val="005C58FA"/>
    <w:rsid w:val="005C7801"/>
    <w:rsid w:val="005D1408"/>
    <w:rsid w:val="005D3C3B"/>
    <w:rsid w:val="005D559C"/>
    <w:rsid w:val="005E035A"/>
    <w:rsid w:val="005E3311"/>
    <w:rsid w:val="005F48A5"/>
    <w:rsid w:val="005F66D3"/>
    <w:rsid w:val="005F6BA6"/>
    <w:rsid w:val="00610A1B"/>
    <w:rsid w:val="006123EF"/>
    <w:rsid w:val="00612DA5"/>
    <w:rsid w:val="0061490E"/>
    <w:rsid w:val="00614C81"/>
    <w:rsid w:val="006255BB"/>
    <w:rsid w:val="00627532"/>
    <w:rsid w:val="006347B4"/>
    <w:rsid w:val="00635412"/>
    <w:rsid w:val="00636B40"/>
    <w:rsid w:val="00645C34"/>
    <w:rsid w:val="006474DF"/>
    <w:rsid w:val="0065049A"/>
    <w:rsid w:val="0065364A"/>
    <w:rsid w:val="006639F6"/>
    <w:rsid w:val="0066597A"/>
    <w:rsid w:val="00687141"/>
    <w:rsid w:val="0069286E"/>
    <w:rsid w:val="00693FD5"/>
    <w:rsid w:val="006A0887"/>
    <w:rsid w:val="006A3225"/>
    <w:rsid w:val="006A3534"/>
    <w:rsid w:val="006A6E7B"/>
    <w:rsid w:val="006C7083"/>
    <w:rsid w:val="006D272C"/>
    <w:rsid w:val="006E2836"/>
    <w:rsid w:val="006E337B"/>
    <w:rsid w:val="006E366D"/>
    <w:rsid w:val="006F08BF"/>
    <w:rsid w:val="006F110F"/>
    <w:rsid w:val="006F2C91"/>
    <w:rsid w:val="006F6944"/>
    <w:rsid w:val="0071230C"/>
    <w:rsid w:val="007146B7"/>
    <w:rsid w:val="007203AE"/>
    <w:rsid w:val="00725C65"/>
    <w:rsid w:val="00734D7F"/>
    <w:rsid w:val="00736DC5"/>
    <w:rsid w:val="00743745"/>
    <w:rsid w:val="00757DBB"/>
    <w:rsid w:val="00773A9E"/>
    <w:rsid w:val="00773D3D"/>
    <w:rsid w:val="00780597"/>
    <w:rsid w:val="007836D9"/>
    <w:rsid w:val="007900E5"/>
    <w:rsid w:val="00792495"/>
    <w:rsid w:val="0079412B"/>
    <w:rsid w:val="007A1CDF"/>
    <w:rsid w:val="007A7412"/>
    <w:rsid w:val="007A7ABB"/>
    <w:rsid w:val="007B3192"/>
    <w:rsid w:val="007C5D1F"/>
    <w:rsid w:val="007D2A63"/>
    <w:rsid w:val="007D32FD"/>
    <w:rsid w:val="007E16F6"/>
    <w:rsid w:val="007F5CA0"/>
    <w:rsid w:val="007F6C26"/>
    <w:rsid w:val="00800C86"/>
    <w:rsid w:val="0080395D"/>
    <w:rsid w:val="008039AF"/>
    <w:rsid w:val="00805C5A"/>
    <w:rsid w:val="00812CA3"/>
    <w:rsid w:val="00817D25"/>
    <w:rsid w:val="00822642"/>
    <w:rsid w:val="0082652D"/>
    <w:rsid w:val="00831077"/>
    <w:rsid w:val="00833DCB"/>
    <w:rsid w:val="00837E92"/>
    <w:rsid w:val="00844297"/>
    <w:rsid w:val="0084536C"/>
    <w:rsid w:val="00845D4B"/>
    <w:rsid w:val="00856166"/>
    <w:rsid w:val="00860711"/>
    <w:rsid w:val="00872096"/>
    <w:rsid w:val="00880207"/>
    <w:rsid w:val="0088298D"/>
    <w:rsid w:val="0088626D"/>
    <w:rsid w:val="00886BD0"/>
    <w:rsid w:val="00894C3F"/>
    <w:rsid w:val="008A0EEA"/>
    <w:rsid w:val="008A5DD2"/>
    <w:rsid w:val="008A7A1A"/>
    <w:rsid w:val="008B02A1"/>
    <w:rsid w:val="008B1145"/>
    <w:rsid w:val="008C298F"/>
    <w:rsid w:val="008C3C63"/>
    <w:rsid w:val="008D4956"/>
    <w:rsid w:val="008E0096"/>
    <w:rsid w:val="00902989"/>
    <w:rsid w:val="00904BAE"/>
    <w:rsid w:val="009057CC"/>
    <w:rsid w:val="00921E05"/>
    <w:rsid w:val="009261C7"/>
    <w:rsid w:val="00926E7B"/>
    <w:rsid w:val="00933422"/>
    <w:rsid w:val="00933E80"/>
    <w:rsid w:val="00933EBA"/>
    <w:rsid w:val="00941C69"/>
    <w:rsid w:val="009559E3"/>
    <w:rsid w:val="0095782A"/>
    <w:rsid w:val="00960E6C"/>
    <w:rsid w:val="009642A6"/>
    <w:rsid w:val="0096609A"/>
    <w:rsid w:val="00966B49"/>
    <w:rsid w:val="0097596F"/>
    <w:rsid w:val="009779F1"/>
    <w:rsid w:val="00991082"/>
    <w:rsid w:val="00994888"/>
    <w:rsid w:val="009A4DA7"/>
    <w:rsid w:val="009B2DE3"/>
    <w:rsid w:val="009B7B15"/>
    <w:rsid w:val="009C0DF6"/>
    <w:rsid w:val="009C3B40"/>
    <w:rsid w:val="009D1253"/>
    <w:rsid w:val="009D1370"/>
    <w:rsid w:val="009F3BC6"/>
    <w:rsid w:val="009F6F3A"/>
    <w:rsid w:val="00A05F6B"/>
    <w:rsid w:val="00A16F3C"/>
    <w:rsid w:val="00A24FF6"/>
    <w:rsid w:val="00A30148"/>
    <w:rsid w:val="00A45290"/>
    <w:rsid w:val="00A542D9"/>
    <w:rsid w:val="00A54DD1"/>
    <w:rsid w:val="00A623F0"/>
    <w:rsid w:val="00A63755"/>
    <w:rsid w:val="00A65C54"/>
    <w:rsid w:val="00A66A5E"/>
    <w:rsid w:val="00A70D01"/>
    <w:rsid w:val="00A72758"/>
    <w:rsid w:val="00A7296F"/>
    <w:rsid w:val="00A82E7F"/>
    <w:rsid w:val="00A84903"/>
    <w:rsid w:val="00A850DD"/>
    <w:rsid w:val="00A855EE"/>
    <w:rsid w:val="00A969EB"/>
    <w:rsid w:val="00AA6C94"/>
    <w:rsid w:val="00AB104A"/>
    <w:rsid w:val="00AB27E4"/>
    <w:rsid w:val="00AC1FDB"/>
    <w:rsid w:val="00AC33F5"/>
    <w:rsid w:val="00AC559F"/>
    <w:rsid w:val="00AC5B20"/>
    <w:rsid w:val="00AC6007"/>
    <w:rsid w:val="00AD5BCB"/>
    <w:rsid w:val="00AD6AF7"/>
    <w:rsid w:val="00AD6B9C"/>
    <w:rsid w:val="00AF03E8"/>
    <w:rsid w:val="00AF09A0"/>
    <w:rsid w:val="00AF0FA3"/>
    <w:rsid w:val="00AF2F8D"/>
    <w:rsid w:val="00AF3D13"/>
    <w:rsid w:val="00AF4266"/>
    <w:rsid w:val="00B01F37"/>
    <w:rsid w:val="00B10062"/>
    <w:rsid w:val="00B1693A"/>
    <w:rsid w:val="00B1723E"/>
    <w:rsid w:val="00B30A63"/>
    <w:rsid w:val="00B31F93"/>
    <w:rsid w:val="00B32843"/>
    <w:rsid w:val="00B374EC"/>
    <w:rsid w:val="00B50402"/>
    <w:rsid w:val="00B6201C"/>
    <w:rsid w:val="00B65244"/>
    <w:rsid w:val="00BA3EAC"/>
    <w:rsid w:val="00BB4D91"/>
    <w:rsid w:val="00BB58DA"/>
    <w:rsid w:val="00BB788C"/>
    <w:rsid w:val="00BC2592"/>
    <w:rsid w:val="00BC330B"/>
    <w:rsid w:val="00BC5346"/>
    <w:rsid w:val="00BD1D2F"/>
    <w:rsid w:val="00BD5384"/>
    <w:rsid w:val="00C00335"/>
    <w:rsid w:val="00C01029"/>
    <w:rsid w:val="00C06751"/>
    <w:rsid w:val="00C102B5"/>
    <w:rsid w:val="00C15C80"/>
    <w:rsid w:val="00C16E7A"/>
    <w:rsid w:val="00C20561"/>
    <w:rsid w:val="00C275FB"/>
    <w:rsid w:val="00C31442"/>
    <w:rsid w:val="00C3181C"/>
    <w:rsid w:val="00C34946"/>
    <w:rsid w:val="00C362BD"/>
    <w:rsid w:val="00C40788"/>
    <w:rsid w:val="00C42E06"/>
    <w:rsid w:val="00C44602"/>
    <w:rsid w:val="00C56F76"/>
    <w:rsid w:val="00C60E45"/>
    <w:rsid w:val="00C673C7"/>
    <w:rsid w:val="00C679CB"/>
    <w:rsid w:val="00C704B2"/>
    <w:rsid w:val="00C7765E"/>
    <w:rsid w:val="00C87337"/>
    <w:rsid w:val="00C8747C"/>
    <w:rsid w:val="00C968B1"/>
    <w:rsid w:val="00C97219"/>
    <w:rsid w:val="00CA2594"/>
    <w:rsid w:val="00CB32DD"/>
    <w:rsid w:val="00CC58A4"/>
    <w:rsid w:val="00CC6C10"/>
    <w:rsid w:val="00CD3674"/>
    <w:rsid w:val="00CE3797"/>
    <w:rsid w:val="00CE4336"/>
    <w:rsid w:val="00D028D2"/>
    <w:rsid w:val="00D04241"/>
    <w:rsid w:val="00D05E6F"/>
    <w:rsid w:val="00D07B21"/>
    <w:rsid w:val="00D14348"/>
    <w:rsid w:val="00D203AC"/>
    <w:rsid w:val="00D2068D"/>
    <w:rsid w:val="00D25BBB"/>
    <w:rsid w:val="00D263CD"/>
    <w:rsid w:val="00D27B4B"/>
    <w:rsid w:val="00D32161"/>
    <w:rsid w:val="00D3747E"/>
    <w:rsid w:val="00D402CB"/>
    <w:rsid w:val="00D42F00"/>
    <w:rsid w:val="00D43062"/>
    <w:rsid w:val="00D43D50"/>
    <w:rsid w:val="00D519C7"/>
    <w:rsid w:val="00D539D8"/>
    <w:rsid w:val="00D54C23"/>
    <w:rsid w:val="00D55211"/>
    <w:rsid w:val="00D60824"/>
    <w:rsid w:val="00D66005"/>
    <w:rsid w:val="00D70ECF"/>
    <w:rsid w:val="00D71955"/>
    <w:rsid w:val="00D7471C"/>
    <w:rsid w:val="00D80789"/>
    <w:rsid w:val="00D82DE4"/>
    <w:rsid w:val="00D82F3D"/>
    <w:rsid w:val="00D93613"/>
    <w:rsid w:val="00D96CCC"/>
    <w:rsid w:val="00D970B7"/>
    <w:rsid w:val="00D972E8"/>
    <w:rsid w:val="00D9742C"/>
    <w:rsid w:val="00DA0E2E"/>
    <w:rsid w:val="00DA5DE2"/>
    <w:rsid w:val="00DA5FF2"/>
    <w:rsid w:val="00DB1A03"/>
    <w:rsid w:val="00DB5889"/>
    <w:rsid w:val="00DD586B"/>
    <w:rsid w:val="00DD6F31"/>
    <w:rsid w:val="00DE0090"/>
    <w:rsid w:val="00E04F77"/>
    <w:rsid w:val="00E051CE"/>
    <w:rsid w:val="00E06BD8"/>
    <w:rsid w:val="00E07D3A"/>
    <w:rsid w:val="00E10C0C"/>
    <w:rsid w:val="00E25F8D"/>
    <w:rsid w:val="00E26AF7"/>
    <w:rsid w:val="00E2721B"/>
    <w:rsid w:val="00E31E87"/>
    <w:rsid w:val="00E347A8"/>
    <w:rsid w:val="00E35A5B"/>
    <w:rsid w:val="00E36E66"/>
    <w:rsid w:val="00E37974"/>
    <w:rsid w:val="00E40EFD"/>
    <w:rsid w:val="00E41FB8"/>
    <w:rsid w:val="00E45583"/>
    <w:rsid w:val="00E45E89"/>
    <w:rsid w:val="00E47FB1"/>
    <w:rsid w:val="00E52159"/>
    <w:rsid w:val="00E56873"/>
    <w:rsid w:val="00E6534C"/>
    <w:rsid w:val="00E67396"/>
    <w:rsid w:val="00E67E0C"/>
    <w:rsid w:val="00E702C7"/>
    <w:rsid w:val="00E914BA"/>
    <w:rsid w:val="00E92D62"/>
    <w:rsid w:val="00EA0F6F"/>
    <w:rsid w:val="00EA72DB"/>
    <w:rsid w:val="00EB1A15"/>
    <w:rsid w:val="00EB5327"/>
    <w:rsid w:val="00EC5A00"/>
    <w:rsid w:val="00ED0516"/>
    <w:rsid w:val="00EE049A"/>
    <w:rsid w:val="00EE39CC"/>
    <w:rsid w:val="00EF3060"/>
    <w:rsid w:val="00EF3F0B"/>
    <w:rsid w:val="00EF4696"/>
    <w:rsid w:val="00F15911"/>
    <w:rsid w:val="00F16D98"/>
    <w:rsid w:val="00F17490"/>
    <w:rsid w:val="00F21575"/>
    <w:rsid w:val="00F23269"/>
    <w:rsid w:val="00F258F8"/>
    <w:rsid w:val="00F33376"/>
    <w:rsid w:val="00F3554C"/>
    <w:rsid w:val="00F35DFE"/>
    <w:rsid w:val="00F446CD"/>
    <w:rsid w:val="00F4565D"/>
    <w:rsid w:val="00F532BF"/>
    <w:rsid w:val="00F60A21"/>
    <w:rsid w:val="00F75045"/>
    <w:rsid w:val="00F774B3"/>
    <w:rsid w:val="00F77964"/>
    <w:rsid w:val="00F90D8B"/>
    <w:rsid w:val="00FA1042"/>
    <w:rsid w:val="00FA445A"/>
    <w:rsid w:val="00FB05FA"/>
    <w:rsid w:val="00FB4734"/>
    <w:rsid w:val="00FC5607"/>
    <w:rsid w:val="00FD5AD0"/>
    <w:rsid w:val="00FE51F2"/>
    <w:rsid w:val="00FF343E"/>
    <w:rsid w:val="00FF4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DF6"/>
    <w:pPr>
      <w:spacing w:after="200" w:line="276" w:lineRule="auto"/>
    </w:pPr>
    <w:rPr>
      <w:sz w:val="22"/>
      <w:szCs w:val="22"/>
      <w:lang w:val="fr-FR"/>
    </w:rPr>
  </w:style>
  <w:style w:type="paragraph" w:styleId="Heading1">
    <w:name w:val="heading 1"/>
    <w:basedOn w:val="Normal"/>
    <w:next w:val="Normalnumber"/>
    <w:link w:val="Heading1Char"/>
    <w:uiPriority w:val="9"/>
    <w:qFormat/>
    <w:rsid w:val="00D66005"/>
    <w:pPr>
      <w:keepNext/>
      <w:spacing w:before="240" w:after="120" w:line="240" w:lineRule="auto"/>
      <w:ind w:left="1247" w:hanging="680"/>
      <w:outlineLvl w:val="0"/>
    </w:pPr>
    <w:rPr>
      <w:rFonts w:ascii="Times New Roman" w:eastAsia="Times New Roman" w:hAnsi="Times New Roman"/>
      <w:b/>
      <w:sz w:val="28"/>
      <w:szCs w:val="20"/>
      <w:lang w:val="en-GB"/>
    </w:rPr>
  </w:style>
  <w:style w:type="paragraph" w:styleId="Heading2">
    <w:name w:val="heading 2"/>
    <w:basedOn w:val="Normal"/>
    <w:next w:val="Normalnumber"/>
    <w:link w:val="Heading2Char"/>
    <w:semiHidden/>
    <w:unhideWhenUsed/>
    <w:qFormat/>
    <w:rsid w:val="00D66005"/>
    <w:pPr>
      <w:keepNext/>
      <w:spacing w:before="240" w:after="120" w:line="240" w:lineRule="auto"/>
      <w:ind w:left="1247" w:hanging="680"/>
      <w:outlineLvl w:val="1"/>
    </w:pPr>
    <w:rPr>
      <w:rFonts w:ascii="Times New Roman" w:eastAsia="Times New Roman" w:hAnsi="Times New Roman"/>
      <w:b/>
      <w:sz w:val="24"/>
      <w:szCs w:val="24"/>
      <w:lang w:val="en-GB"/>
    </w:rPr>
  </w:style>
  <w:style w:type="paragraph" w:styleId="Heading3">
    <w:name w:val="heading 3"/>
    <w:basedOn w:val="Normal"/>
    <w:next w:val="Normalnumber"/>
    <w:link w:val="Heading3Char"/>
    <w:semiHidden/>
    <w:unhideWhenUsed/>
    <w:qFormat/>
    <w:rsid w:val="00D66005"/>
    <w:pPr>
      <w:spacing w:after="120" w:line="240" w:lineRule="auto"/>
      <w:ind w:left="1247" w:hanging="680"/>
      <w:outlineLvl w:val="2"/>
    </w:pPr>
    <w:rPr>
      <w:rFonts w:ascii="Times New Roman" w:eastAsia="Times New Roman" w:hAnsi="Times New Roman"/>
      <w:b/>
      <w:sz w:val="20"/>
      <w:szCs w:val="20"/>
      <w:lang w:val="en-GB"/>
    </w:rPr>
  </w:style>
  <w:style w:type="paragraph" w:styleId="Heading4">
    <w:name w:val="heading 4"/>
    <w:basedOn w:val="Heading3"/>
    <w:next w:val="Normalnumber"/>
    <w:link w:val="Heading4Char"/>
    <w:semiHidden/>
    <w:unhideWhenUsed/>
    <w:qFormat/>
    <w:rsid w:val="00D66005"/>
    <w:pPr>
      <w:keepNext/>
      <w:outlineLvl w:val="3"/>
    </w:pPr>
  </w:style>
  <w:style w:type="paragraph" w:styleId="Heading5">
    <w:name w:val="heading 5"/>
    <w:basedOn w:val="Normal"/>
    <w:next w:val="Normal"/>
    <w:link w:val="Heading5Char"/>
    <w:semiHidden/>
    <w:unhideWhenUsed/>
    <w:qFormat/>
    <w:rsid w:val="00D66005"/>
    <w:pPr>
      <w:keepNext/>
      <w:spacing w:after="0" w:line="240" w:lineRule="auto"/>
      <w:outlineLvl w:val="4"/>
    </w:pPr>
    <w:rPr>
      <w:rFonts w:ascii="Univers" w:eastAsia="Times New Roman" w:hAnsi="Univers"/>
      <w:b/>
      <w:sz w:val="24"/>
      <w:szCs w:val="20"/>
      <w:lang w:val="en-GB"/>
    </w:rPr>
  </w:style>
  <w:style w:type="paragraph" w:styleId="Heading6">
    <w:name w:val="heading 6"/>
    <w:basedOn w:val="Normal"/>
    <w:next w:val="Normal"/>
    <w:link w:val="Heading6Char"/>
    <w:semiHidden/>
    <w:unhideWhenUsed/>
    <w:qFormat/>
    <w:rsid w:val="00D66005"/>
    <w:pPr>
      <w:keepNext/>
      <w:spacing w:after="0" w:line="240" w:lineRule="auto"/>
      <w:ind w:left="578"/>
      <w:outlineLvl w:val="5"/>
    </w:pPr>
    <w:rPr>
      <w:rFonts w:ascii="Times New Roman" w:eastAsia="Times New Roman" w:hAnsi="Times New Roman"/>
      <w:b/>
      <w:bCs/>
      <w:sz w:val="24"/>
      <w:szCs w:val="20"/>
      <w:lang w:val="en-GB"/>
    </w:rPr>
  </w:style>
  <w:style w:type="paragraph" w:styleId="Heading7">
    <w:name w:val="heading 7"/>
    <w:basedOn w:val="Normal"/>
    <w:next w:val="Normal"/>
    <w:link w:val="Heading7Char"/>
    <w:uiPriority w:val="99"/>
    <w:semiHidden/>
    <w:unhideWhenUsed/>
    <w:qFormat/>
    <w:rsid w:val="00D66005"/>
    <w:pPr>
      <w:keepNext/>
      <w:widowControl w:val="0"/>
      <w:snapToGrid w:val="0"/>
      <w:spacing w:after="0" w:line="240" w:lineRule="auto"/>
      <w:jc w:val="center"/>
      <w:outlineLvl w:val="6"/>
    </w:pPr>
    <w:rPr>
      <w:rFonts w:ascii="Times New Roman" w:eastAsia="Times New Roman" w:hAnsi="Times New Roman"/>
      <w:sz w:val="20"/>
      <w:szCs w:val="20"/>
      <w:u w:val="single"/>
    </w:rPr>
  </w:style>
  <w:style w:type="paragraph" w:styleId="Heading8">
    <w:name w:val="heading 8"/>
    <w:basedOn w:val="Normal"/>
    <w:next w:val="Normal"/>
    <w:link w:val="Heading8Char"/>
    <w:uiPriority w:val="99"/>
    <w:semiHidden/>
    <w:unhideWhenUsed/>
    <w:qFormat/>
    <w:rsid w:val="00D66005"/>
    <w:pPr>
      <w:keepNext/>
      <w:widowControl w:val="0"/>
      <w:numPr>
        <w:numId w:val="1"/>
      </w:numPr>
      <w:tabs>
        <w:tab w:val="left" w:pos="-1440"/>
        <w:tab w:val="left" w:pos="-720"/>
      </w:tabs>
      <w:suppressAutoHyphens/>
      <w:snapToGrid w:val="0"/>
      <w:spacing w:after="0" w:line="240" w:lineRule="auto"/>
      <w:jc w:val="center"/>
      <w:outlineLvl w:val="7"/>
    </w:pPr>
    <w:rPr>
      <w:rFonts w:ascii="Times New Roman" w:hAnsi="Times New Roman"/>
      <w:sz w:val="20"/>
      <w:szCs w:val="20"/>
      <w:u w:val="single"/>
      <w:lang w:val="en-US"/>
    </w:rPr>
  </w:style>
  <w:style w:type="paragraph" w:styleId="Heading9">
    <w:name w:val="heading 9"/>
    <w:basedOn w:val="Normal"/>
    <w:next w:val="Normal"/>
    <w:link w:val="Heading9Char"/>
    <w:uiPriority w:val="99"/>
    <w:semiHidden/>
    <w:unhideWhenUsed/>
    <w:qFormat/>
    <w:rsid w:val="00D66005"/>
    <w:pPr>
      <w:keepNext/>
      <w:widowControl w:val="0"/>
      <w:numPr>
        <w:numId w:val="3"/>
      </w:numPr>
      <w:suppressAutoHyphens/>
      <w:snapToGrid w:val="0"/>
      <w:spacing w:after="0" w:line="240" w:lineRule="auto"/>
      <w:jc w:val="center"/>
      <w:outlineLvl w:val="8"/>
    </w:pPr>
    <w:rPr>
      <w:rFonts w:ascii="Times New Roman" w:hAnsi="Times New Roman"/>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6005"/>
    <w:rPr>
      <w:rFonts w:ascii="Times New Roman" w:eastAsia="Times New Roman" w:hAnsi="Times New Roman" w:cs="Times New Roman"/>
      <w:b/>
      <w:sz w:val="28"/>
      <w:szCs w:val="20"/>
      <w:lang w:val="en-GB"/>
    </w:rPr>
  </w:style>
  <w:style w:type="character" w:customStyle="1" w:styleId="Heading2Char">
    <w:name w:val="Heading 2 Char"/>
    <w:link w:val="Heading2"/>
    <w:semiHidden/>
    <w:rsid w:val="00D66005"/>
    <w:rPr>
      <w:rFonts w:ascii="Times New Roman" w:eastAsia="Times New Roman" w:hAnsi="Times New Roman" w:cs="Times New Roman"/>
      <w:b/>
      <w:sz w:val="24"/>
      <w:szCs w:val="24"/>
      <w:lang w:val="en-GB"/>
    </w:rPr>
  </w:style>
  <w:style w:type="character" w:customStyle="1" w:styleId="Heading3Char">
    <w:name w:val="Heading 3 Char"/>
    <w:link w:val="Heading3"/>
    <w:semiHidden/>
    <w:rsid w:val="00D66005"/>
    <w:rPr>
      <w:rFonts w:ascii="Times New Roman" w:eastAsia="Times New Roman" w:hAnsi="Times New Roman" w:cs="Times New Roman"/>
      <w:b/>
      <w:sz w:val="20"/>
      <w:szCs w:val="20"/>
      <w:lang w:val="en-GB"/>
    </w:rPr>
  </w:style>
  <w:style w:type="character" w:customStyle="1" w:styleId="Heading4Char">
    <w:name w:val="Heading 4 Char"/>
    <w:link w:val="Heading4"/>
    <w:semiHidden/>
    <w:rsid w:val="00D66005"/>
    <w:rPr>
      <w:rFonts w:ascii="Times New Roman" w:eastAsia="Times New Roman" w:hAnsi="Times New Roman" w:cs="Times New Roman"/>
      <w:b/>
      <w:sz w:val="20"/>
      <w:szCs w:val="20"/>
      <w:lang w:val="en-GB"/>
    </w:rPr>
  </w:style>
  <w:style w:type="character" w:customStyle="1" w:styleId="Heading5Char">
    <w:name w:val="Heading 5 Char"/>
    <w:link w:val="Heading5"/>
    <w:semiHidden/>
    <w:rsid w:val="00D66005"/>
    <w:rPr>
      <w:rFonts w:ascii="Univers" w:eastAsia="Times New Roman" w:hAnsi="Univers" w:cs="Times New Roman"/>
      <w:b/>
      <w:sz w:val="24"/>
      <w:szCs w:val="20"/>
      <w:lang w:val="en-GB"/>
    </w:rPr>
  </w:style>
  <w:style w:type="character" w:customStyle="1" w:styleId="Heading6Char">
    <w:name w:val="Heading 6 Char"/>
    <w:link w:val="Heading6"/>
    <w:semiHidden/>
    <w:rsid w:val="00D66005"/>
    <w:rPr>
      <w:rFonts w:ascii="Times New Roman" w:eastAsia="Times New Roman" w:hAnsi="Times New Roman" w:cs="Times New Roman"/>
      <w:b/>
      <w:bCs/>
      <w:sz w:val="24"/>
      <w:szCs w:val="20"/>
      <w:lang w:val="en-GB"/>
    </w:rPr>
  </w:style>
  <w:style w:type="character" w:customStyle="1" w:styleId="Heading7Char">
    <w:name w:val="Heading 7 Char"/>
    <w:link w:val="Heading7"/>
    <w:uiPriority w:val="99"/>
    <w:semiHidden/>
    <w:rsid w:val="00D66005"/>
    <w:rPr>
      <w:rFonts w:ascii="Times New Roman" w:eastAsia="Times New Roman" w:hAnsi="Times New Roman" w:cs="Times New Roman"/>
      <w:sz w:val="20"/>
      <w:szCs w:val="20"/>
      <w:u w:val="single"/>
    </w:rPr>
  </w:style>
  <w:style w:type="character" w:customStyle="1" w:styleId="Heading8Char">
    <w:name w:val="Heading 8 Char"/>
    <w:link w:val="Heading8"/>
    <w:uiPriority w:val="99"/>
    <w:semiHidden/>
    <w:rsid w:val="00D66005"/>
    <w:rPr>
      <w:rFonts w:ascii="Times New Roman" w:eastAsia="Calibri" w:hAnsi="Times New Roman" w:cs="Times New Roman"/>
      <w:sz w:val="20"/>
      <w:szCs w:val="20"/>
      <w:u w:val="single"/>
      <w:lang w:val="en-US"/>
    </w:rPr>
  </w:style>
  <w:style w:type="character" w:customStyle="1" w:styleId="Heading9Char">
    <w:name w:val="Heading 9 Char"/>
    <w:link w:val="Heading9"/>
    <w:uiPriority w:val="99"/>
    <w:semiHidden/>
    <w:rsid w:val="00D66005"/>
    <w:rPr>
      <w:rFonts w:ascii="Times New Roman" w:eastAsia="Calibri" w:hAnsi="Times New Roman" w:cs="Times New Roman"/>
      <w:sz w:val="20"/>
      <w:szCs w:val="20"/>
      <w:u w:val="single"/>
      <w:lang w:val="en-US"/>
    </w:rPr>
  </w:style>
  <w:style w:type="character" w:styleId="Hyperlink">
    <w:name w:val="Hyperlink"/>
    <w:semiHidden/>
    <w:unhideWhenUsed/>
    <w:rsid w:val="00D66005"/>
    <w:rPr>
      <w:rFonts w:ascii="Times New Roman" w:hAnsi="Times New Roman" w:cs="Times New Roman" w:hint="default"/>
      <w:strike w:val="0"/>
      <w:dstrike w:val="0"/>
      <w:color w:val="auto"/>
      <w:sz w:val="20"/>
      <w:szCs w:val="20"/>
      <w:u w:val="none"/>
      <w:effect w:val="none"/>
      <w:lang w:val="fr-FR"/>
    </w:rPr>
  </w:style>
  <w:style w:type="character" w:styleId="FollowedHyperlink">
    <w:name w:val="FollowedHyperlink"/>
    <w:uiPriority w:val="99"/>
    <w:semiHidden/>
    <w:unhideWhenUsed/>
    <w:rsid w:val="00D66005"/>
    <w:rPr>
      <w:color w:val="800080"/>
      <w:u w:val="single"/>
    </w:rPr>
  </w:style>
  <w:style w:type="paragraph" w:customStyle="1" w:styleId="Normalnumber">
    <w:name w:val="Normal_number"/>
    <w:basedOn w:val="Normalpool"/>
    <w:link w:val="NormalnumberChar"/>
    <w:uiPriority w:val="99"/>
    <w:rsid w:val="00D66005"/>
    <w:pPr>
      <w:tabs>
        <w:tab w:val="clear" w:pos="1247"/>
        <w:tab w:val="clear" w:pos="1814"/>
        <w:tab w:val="clear" w:pos="2381"/>
        <w:tab w:val="clear" w:pos="2948"/>
        <w:tab w:val="clear" w:pos="3515"/>
        <w:tab w:val="clear" w:pos="4082"/>
      </w:tabs>
      <w:spacing w:after="120"/>
    </w:pPr>
  </w:style>
  <w:style w:type="paragraph" w:styleId="NormalWeb">
    <w:name w:val="Normal (Web)"/>
    <w:basedOn w:val="Normal"/>
    <w:uiPriority w:val="99"/>
    <w:semiHidden/>
    <w:unhideWhenUsed/>
    <w:rsid w:val="00D66005"/>
    <w:pPr>
      <w:spacing w:after="0" w:line="240" w:lineRule="auto"/>
    </w:pPr>
    <w:rPr>
      <w:rFonts w:ascii="Times New Roman" w:eastAsia="Times New Roman" w:hAnsi="Times New Roman"/>
      <w:sz w:val="24"/>
      <w:szCs w:val="24"/>
      <w:lang w:val="en-US" w:eastAsia="ja-JP"/>
    </w:rPr>
  </w:style>
  <w:style w:type="paragraph" w:styleId="TOC5">
    <w:name w:val="toc 5"/>
    <w:basedOn w:val="Normal"/>
    <w:next w:val="Normal"/>
    <w:autoRedefine/>
    <w:uiPriority w:val="99"/>
    <w:semiHidden/>
    <w:unhideWhenUsed/>
    <w:rsid w:val="00D66005"/>
    <w:pPr>
      <w:spacing w:after="0" w:line="240" w:lineRule="auto"/>
      <w:ind w:left="800"/>
    </w:pPr>
    <w:rPr>
      <w:rFonts w:ascii="Times New Roman" w:hAnsi="Times New Roman"/>
      <w:sz w:val="18"/>
      <w:szCs w:val="18"/>
      <w:lang w:val="en-US"/>
    </w:rPr>
  </w:style>
  <w:style w:type="paragraph" w:styleId="TOC6">
    <w:name w:val="toc 6"/>
    <w:basedOn w:val="Normal"/>
    <w:next w:val="Normal"/>
    <w:autoRedefine/>
    <w:uiPriority w:val="99"/>
    <w:semiHidden/>
    <w:unhideWhenUsed/>
    <w:rsid w:val="00D66005"/>
    <w:pPr>
      <w:spacing w:after="0" w:line="240" w:lineRule="auto"/>
      <w:ind w:left="1000"/>
    </w:pPr>
    <w:rPr>
      <w:rFonts w:ascii="Times New Roman" w:hAnsi="Times New Roman"/>
      <w:sz w:val="18"/>
      <w:szCs w:val="18"/>
      <w:lang w:val="en-US"/>
    </w:rPr>
  </w:style>
  <w:style w:type="paragraph" w:styleId="TOC7">
    <w:name w:val="toc 7"/>
    <w:basedOn w:val="Normal"/>
    <w:next w:val="Normal"/>
    <w:autoRedefine/>
    <w:uiPriority w:val="99"/>
    <w:semiHidden/>
    <w:unhideWhenUsed/>
    <w:rsid w:val="00D66005"/>
    <w:pPr>
      <w:spacing w:after="0" w:line="240" w:lineRule="auto"/>
      <w:ind w:left="1200"/>
    </w:pPr>
    <w:rPr>
      <w:rFonts w:ascii="Times New Roman" w:hAnsi="Times New Roman"/>
      <w:sz w:val="18"/>
      <w:szCs w:val="18"/>
      <w:lang w:val="en-US"/>
    </w:rPr>
  </w:style>
  <w:style w:type="paragraph" w:styleId="TOC8">
    <w:name w:val="toc 8"/>
    <w:basedOn w:val="Normal"/>
    <w:next w:val="Normal"/>
    <w:autoRedefine/>
    <w:uiPriority w:val="99"/>
    <w:semiHidden/>
    <w:unhideWhenUsed/>
    <w:rsid w:val="00D66005"/>
    <w:pPr>
      <w:spacing w:after="0" w:line="240" w:lineRule="auto"/>
      <w:ind w:left="1400"/>
    </w:pPr>
    <w:rPr>
      <w:rFonts w:ascii="Times New Roman" w:hAnsi="Times New Roman"/>
      <w:sz w:val="18"/>
      <w:szCs w:val="18"/>
      <w:lang w:val="en-US"/>
    </w:rPr>
  </w:style>
  <w:style w:type="paragraph" w:styleId="TOC9">
    <w:name w:val="toc 9"/>
    <w:basedOn w:val="Normal"/>
    <w:next w:val="Normal"/>
    <w:autoRedefine/>
    <w:uiPriority w:val="99"/>
    <w:semiHidden/>
    <w:unhideWhenUsed/>
    <w:rsid w:val="00D66005"/>
    <w:pPr>
      <w:spacing w:after="0" w:line="240" w:lineRule="auto"/>
      <w:ind w:left="1600"/>
    </w:pPr>
    <w:rPr>
      <w:rFonts w:ascii="Times New Roman" w:hAnsi="Times New Roman"/>
      <w:sz w:val="18"/>
      <w:szCs w:val="18"/>
      <w:lang w:val="en-US"/>
    </w:rPr>
  </w:style>
  <w:style w:type="paragraph" w:styleId="CommentText">
    <w:name w:val="annotation text"/>
    <w:basedOn w:val="Normal"/>
    <w:link w:val="CommentTextChar"/>
    <w:uiPriority w:val="99"/>
    <w:semiHidden/>
    <w:unhideWhenUsed/>
    <w:rsid w:val="00D66005"/>
    <w:pPr>
      <w:spacing w:after="0" w:line="240" w:lineRule="auto"/>
    </w:pPr>
    <w:rPr>
      <w:rFonts w:ascii="Cambria" w:eastAsia="Times New Roman" w:hAnsi="Cambria"/>
      <w:sz w:val="20"/>
      <w:szCs w:val="20"/>
      <w:lang w:val="en-US" w:eastAsia="ja-JP"/>
    </w:rPr>
  </w:style>
  <w:style w:type="character" w:customStyle="1" w:styleId="CommentTextChar">
    <w:name w:val="Comment Text Char"/>
    <w:link w:val="CommentText"/>
    <w:uiPriority w:val="99"/>
    <w:semiHidden/>
    <w:rsid w:val="00D66005"/>
    <w:rPr>
      <w:rFonts w:ascii="Cambria" w:eastAsia="Times New Roman" w:hAnsi="Cambria" w:cs="Times New Roman"/>
      <w:sz w:val="20"/>
      <w:szCs w:val="20"/>
      <w:lang w:val="en-US" w:eastAsia="ja-JP"/>
    </w:rPr>
  </w:style>
  <w:style w:type="character" w:customStyle="1" w:styleId="HeaderChar">
    <w:name w:val="Header Char"/>
    <w:aliases w:val="EthylHeader Char"/>
    <w:link w:val="Header"/>
    <w:uiPriority w:val="99"/>
    <w:locked/>
    <w:rsid w:val="00D66005"/>
    <w:rPr>
      <w:rFonts w:ascii="Times New Roman" w:eastAsia="Times New Roman" w:hAnsi="Times New Roman" w:cs="Times New Roman"/>
      <w:b/>
      <w:sz w:val="18"/>
      <w:lang w:val="en-GB"/>
    </w:rPr>
  </w:style>
  <w:style w:type="paragraph" w:styleId="Header">
    <w:name w:val="header"/>
    <w:aliases w:val="EthylHeader"/>
    <w:basedOn w:val="Normal"/>
    <w:link w:val="HeaderChar"/>
    <w:uiPriority w:val="99"/>
    <w:unhideWhenUsed/>
    <w:rsid w:val="00D66005"/>
    <w:pPr>
      <w:pBdr>
        <w:bottom w:val="single" w:sz="4" w:space="1" w:color="auto"/>
      </w:pBdr>
      <w:tabs>
        <w:tab w:val="center" w:pos="4536"/>
        <w:tab w:val="right" w:pos="9072"/>
      </w:tabs>
      <w:spacing w:after="120" w:line="240" w:lineRule="auto"/>
    </w:pPr>
    <w:rPr>
      <w:rFonts w:ascii="Times New Roman" w:eastAsia="Times New Roman" w:hAnsi="Times New Roman"/>
      <w:b/>
      <w:sz w:val="18"/>
      <w:lang w:val="en-GB"/>
    </w:rPr>
  </w:style>
  <w:style w:type="character" w:customStyle="1" w:styleId="HeaderChar1">
    <w:name w:val="Header Char1"/>
    <w:aliases w:val="EthylHeader Char1"/>
    <w:basedOn w:val="DefaultParagraphFont"/>
    <w:uiPriority w:val="99"/>
    <w:semiHidden/>
    <w:rsid w:val="00D66005"/>
  </w:style>
  <w:style w:type="paragraph" w:styleId="Footer">
    <w:name w:val="footer"/>
    <w:basedOn w:val="Normal"/>
    <w:link w:val="FooterChar"/>
    <w:uiPriority w:val="99"/>
    <w:unhideWhenUsed/>
    <w:rsid w:val="00D66005"/>
    <w:pPr>
      <w:tabs>
        <w:tab w:val="center" w:pos="4320"/>
        <w:tab w:val="right" w:pos="8640"/>
      </w:tabs>
      <w:spacing w:before="60" w:after="120" w:line="240" w:lineRule="auto"/>
    </w:pPr>
    <w:rPr>
      <w:rFonts w:ascii="Times New Roman" w:eastAsia="Times New Roman" w:hAnsi="Times New Roman"/>
      <w:sz w:val="18"/>
      <w:szCs w:val="20"/>
      <w:lang w:val="en-GB"/>
    </w:rPr>
  </w:style>
  <w:style w:type="character" w:customStyle="1" w:styleId="FooterChar">
    <w:name w:val="Footer Char"/>
    <w:link w:val="Footer"/>
    <w:uiPriority w:val="99"/>
    <w:rsid w:val="00D66005"/>
    <w:rPr>
      <w:rFonts w:ascii="Times New Roman" w:eastAsia="Times New Roman" w:hAnsi="Times New Roman" w:cs="Times New Roman"/>
      <w:sz w:val="18"/>
      <w:szCs w:val="20"/>
      <w:lang w:val="en-GB"/>
    </w:rPr>
  </w:style>
  <w:style w:type="paragraph" w:styleId="TableofFigures">
    <w:name w:val="table of figures"/>
    <w:basedOn w:val="Normal"/>
    <w:next w:val="Normal"/>
    <w:autoRedefine/>
    <w:uiPriority w:val="99"/>
    <w:semiHidden/>
    <w:unhideWhenUsed/>
    <w:rsid w:val="00D66005"/>
    <w:pPr>
      <w:spacing w:after="0" w:line="240" w:lineRule="auto"/>
      <w:ind w:left="1814" w:hanging="567"/>
    </w:pPr>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D66005"/>
    <w:rPr>
      <w:b/>
      <w:bCs/>
    </w:rPr>
  </w:style>
  <w:style w:type="character" w:customStyle="1" w:styleId="CommentSubjectChar">
    <w:name w:val="Comment Subject Char"/>
    <w:link w:val="CommentSubject"/>
    <w:uiPriority w:val="99"/>
    <w:semiHidden/>
    <w:rsid w:val="00D66005"/>
    <w:rPr>
      <w:rFonts w:ascii="Cambria" w:eastAsia="Times New Roman" w:hAnsi="Cambria" w:cs="Times New Roman"/>
      <w:b/>
      <w:bCs/>
      <w:sz w:val="20"/>
      <w:szCs w:val="20"/>
      <w:lang w:val="en-US" w:eastAsia="ja-JP"/>
    </w:rPr>
  </w:style>
  <w:style w:type="paragraph" w:styleId="BalloonText">
    <w:name w:val="Balloon Text"/>
    <w:basedOn w:val="Normal"/>
    <w:link w:val="BalloonTextChar"/>
    <w:uiPriority w:val="99"/>
    <w:semiHidden/>
    <w:unhideWhenUsed/>
    <w:rsid w:val="00D66005"/>
    <w:pPr>
      <w:spacing w:after="0" w:line="240" w:lineRule="auto"/>
    </w:pPr>
    <w:rPr>
      <w:rFonts w:ascii="Tahoma" w:eastAsia="Times New Roman" w:hAnsi="Tahoma"/>
      <w:sz w:val="16"/>
      <w:szCs w:val="16"/>
      <w:lang w:val="en-GB"/>
    </w:rPr>
  </w:style>
  <w:style w:type="character" w:customStyle="1" w:styleId="BalloonTextChar">
    <w:name w:val="Balloon Text Char"/>
    <w:link w:val="BalloonText"/>
    <w:uiPriority w:val="99"/>
    <w:semiHidden/>
    <w:rsid w:val="00D66005"/>
    <w:rPr>
      <w:rFonts w:ascii="Tahoma" w:eastAsia="Times New Roman" w:hAnsi="Tahoma" w:cs="Times New Roman"/>
      <w:sz w:val="16"/>
      <w:szCs w:val="16"/>
      <w:lang w:val="en-GB"/>
    </w:rPr>
  </w:style>
  <w:style w:type="paragraph" w:customStyle="1" w:styleId="Normalpool">
    <w:name w:val="Normal_pool"/>
    <w:autoRedefine/>
    <w:uiPriority w:val="99"/>
    <w:semiHidden/>
    <w:rsid w:val="00D66005"/>
    <w:pPr>
      <w:tabs>
        <w:tab w:val="left" w:pos="1247"/>
        <w:tab w:val="left" w:pos="1814"/>
        <w:tab w:val="left" w:pos="2381"/>
        <w:tab w:val="left" w:pos="2948"/>
        <w:tab w:val="left" w:pos="3515"/>
        <w:tab w:val="left" w:pos="4082"/>
      </w:tabs>
    </w:pPr>
    <w:rPr>
      <w:rFonts w:ascii="Times New Roman" w:eastAsia="Times New Roman" w:hAnsi="Times New Roman"/>
      <w:lang w:val="fr-CA"/>
    </w:rPr>
  </w:style>
  <w:style w:type="paragraph" w:customStyle="1" w:styleId="AATitle">
    <w:name w:val="AA_Title"/>
    <w:basedOn w:val="Normalpool"/>
    <w:rsid w:val="00D66005"/>
    <w:pPr>
      <w:keepNext/>
      <w:keepLines/>
      <w:suppressAutoHyphens/>
      <w:ind w:right="5103"/>
    </w:pPr>
    <w:rPr>
      <w:b/>
    </w:rPr>
  </w:style>
  <w:style w:type="paragraph" w:customStyle="1" w:styleId="AATitle2">
    <w:name w:val="AA_Title2"/>
    <w:basedOn w:val="AATitle"/>
    <w:uiPriority w:val="99"/>
    <w:rsid w:val="00D66005"/>
    <w:pPr>
      <w:tabs>
        <w:tab w:val="clear" w:pos="4082"/>
      </w:tabs>
      <w:spacing w:before="120" w:after="120"/>
      <w:ind w:right="4536"/>
    </w:pPr>
  </w:style>
  <w:style w:type="paragraph" w:customStyle="1" w:styleId="BBTitle">
    <w:name w:val="BB_Title"/>
    <w:basedOn w:val="Normalpool"/>
    <w:uiPriority w:val="99"/>
    <w:rsid w:val="00D66005"/>
    <w:pPr>
      <w:keepNext/>
      <w:keepLines/>
      <w:suppressAutoHyphens/>
      <w:spacing w:before="320" w:after="240"/>
      <w:ind w:left="1247" w:right="567"/>
    </w:pPr>
    <w:rPr>
      <w:b/>
      <w:sz w:val="28"/>
      <w:szCs w:val="28"/>
    </w:rPr>
  </w:style>
  <w:style w:type="paragraph" w:customStyle="1" w:styleId="CH2">
    <w:name w:val="CH2"/>
    <w:basedOn w:val="Normalpool"/>
    <w:next w:val="Normalnumber"/>
    <w:link w:val="CH2Char"/>
    <w:uiPriority w:val="99"/>
    <w:rsid w:val="00D66005"/>
    <w:pPr>
      <w:keepNext/>
      <w:keepLines/>
      <w:tabs>
        <w:tab w:val="right" w:pos="851"/>
      </w:tabs>
      <w:suppressAutoHyphens/>
      <w:spacing w:before="80" w:after="120"/>
      <w:ind w:left="1247" w:right="284" w:hanging="1247"/>
    </w:pPr>
    <w:rPr>
      <w:b/>
      <w:sz w:val="24"/>
      <w:szCs w:val="24"/>
    </w:rPr>
  </w:style>
  <w:style w:type="paragraph" w:customStyle="1" w:styleId="CH1">
    <w:name w:val="CH1"/>
    <w:basedOn w:val="Normalpool"/>
    <w:next w:val="CH2"/>
    <w:uiPriority w:val="99"/>
    <w:rsid w:val="00D66005"/>
    <w:pPr>
      <w:keepNext/>
      <w:keepLines/>
      <w:tabs>
        <w:tab w:val="right" w:pos="851"/>
      </w:tabs>
      <w:suppressAutoHyphens/>
      <w:spacing w:before="240" w:after="120"/>
      <w:ind w:left="1247" w:right="284" w:hanging="1247"/>
    </w:pPr>
    <w:rPr>
      <w:b/>
      <w:sz w:val="28"/>
      <w:szCs w:val="28"/>
    </w:rPr>
  </w:style>
  <w:style w:type="character" w:customStyle="1" w:styleId="CH2Char">
    <w:name w:val="CH2 Char"/>
    <w:link w:val="CH2"/>
    <w:uiPriority w:val="99"/>
    <w:locked/>
    <w:rsid w:val="00D66005"/>
    <w:rPr>
      <w:rFonts w:ascii="Times New Roman" w:eastAsia="Times New Roman" w:hAnsi="Times New Roman" w:cs="Times New Roman"/>
      <w:b/>
      <w:sz w:val="24"/>
      <w:szCs w:val="24"/>
      <w:lang w:val="fr-CA"/>
    </w:rPr>
  </w:style>
  <w:style w:type="paragraph" w:customStyle="1" w:styleId="CH3">
    <w:name w:val="CH3"/>
    <w:basedOn w:val="Normalpool"/>
    <w:next w:val="Normalnumber"/>
    <w:uiPriority w:val="99"/>
    <w:rsid w:val="00D66005"/>
    <w:pPr>
      <w:keepNext/>
      <w:keepLines/>
      <w:tabs>
        <w:tab w:val="right" w:pos="851"/>
      </w:tabs>
      <w:suppressAutoHyphens/>
      <w:spacing w:after="120"/>
      <w:ind w:left="1247" w:right="284" w:hanging="1247"/>
    </w:pPr>
    <w:rPr>
      <w:b/>
    </w:rPr>
  </w:style>
  <w:style w:type="paragraph" w:customStyle="1" w:styleId="CH4">
    <w:name w:val="CH4"/>
    <w:basedOn w:val="Normalpool"/>
    <w:next w:val="Normalnumber"/>
    <w:uiPriority w:val="99"/>
    <w:rsid w:val="00D66005"/>
    <w:pPr>
      <w:keepNext/>
      <w:keepLines/>
      <w:tabs>
        <w:tab w:val="right" w:pos="851"/>
      </w:tabs>
      <w:suppressAutoHyphens/>
      <w:spacing w:after="120"/>
      <w:ind w:left="1247" w:right="284" w:hanging="1247"/>
    </w:pPr>
    <w:rPr>
      <w:b/>
    </w:rPr>
  </w:style>
  <w:style w:type="paragraph" w:customStyle="1" w:styleId="CH5">
    <w:name w:val="CH5"/>
    <w:basedOn w:val="Normalpool"/>
    <w:next w:val="Normalnumber"/>
    <w:uiPriority w:val="99"/>
    <w:rsid w:val="00D66005"/>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uiPriority w:val="99"/>
    <w:semiHidden/>
    <w:rsid w:val="00D66005"/>
    <w:pPr>
      <w:tabs>
        <w:tab w:val="left" w:pos="4321"/>
        <w:tab w:val="right" w:pos="8641"/>
      </w:tabs>
      <w:spacing w:before="60" w:after="120" w:line="240" w:lineRule="auto"/>
    </w:pPr>
    <w:rPr>
      <w:rFonts w:ascii="Times New Roman" w:hAnsi="Times New Roman"/>
      <w:b/>
      <w:sz w:val="18"/>
      <w:szCs w:val="20"/>
      <w:lang w:val="en-US"/>
    </w:rPr>
  </w:style>
  <w:style w:type="character" w:customStyle="1" w:styleId="Normal-poolChar">
    <w:name w:val="Normal-pool Char"/>
    <w:link w:val="Normal-pool"/>
    <w:locked/>
    <w:rsid w:val="00D66005"/>
    <w:rPr>
      <w:rFonts w:ascii="Times New Roman" w:eastAsia="Times New Roman" w:hAnsi="Times New Roman" w:cs="Times New Roman"/>
    </w:rPr>
  </w:style>
  <w:style w:type="paragraph" w:customStyle="1" w:styleId="Normal-pool">
    <w:name w:val="Normal-pool"/>
    <w:link w:val="Normal-poolChar"/>
    <w:rsid w:val="00D66005"/>
    <w:pPr>
      <w:tabs>
        <w:tab w:val="left" w:pos="1247"/>
        <w:tab w:val="left" w:pos="1814"/>
        <w:tab w:val="left" w:pos="2381"/>
        <w:tab w:val="left" w:pos="2948"/>
        <w:tab w:val="left" w:pos="3515"/>
        <w:tab w:val="left" w:pos="4082"/>
      </w:tabs>
    </w:pPr>
    <w:rPr>
      <w:rFonts w:ascii="Times New Roman" w:eastAsia="Times New Roman" w:hAnsi="Times New Roman"/>
      <w:sz w:val="22"/>
      <w:szCs w:val="22"/>
      <w:lang w:val="fr-FR"/>
    </w:rPr>
  </w:style>
  <w:style w:type="paragraph" w:customStyle="1" w:styleId="Footer-pool">
    <w:name w:val="Footer-pool"/>
    <w:basedOn w:val="Normal-pool"/>
    <w:next w:val="Normal-pool"/>
    <w:uiPriority w:val="99"/>
    <w:rsid w:val="00D66005"/>
    <w:pPr>
      <w:tabs>
        <w:tab w:val="left" w:pos="4321"/>
        <w:tab w:val="right" w:pos="8641"/>
      </w:tabs>
      <w:spacing w:before="60" w:after="120"/>
    </w:pPr>
    <w:rPr>
      <w:b/>
      <w:sz w:val="18"/>
    </w:rPr>
  </w:style>
  <w:style w:type="paragraph" w:customStyle="1" w:styleId="Headerpool">
    <w:name w:val="Header_pool"/>
    <w:basedOn w:val="Normal"/>
    <w:next w:val="Normal"/>
    <w:uiPriority w:val="99"/>
    <w:semiHidden/>
    <w:rsid w:val="00D66005"/>
    <w:pPr>
      <w:pBdr>
        <w:bottom w:val="single" w:sz="4" w:space="1" w:color="auto"/>
      </w:pBdr>
      <w:tabs>
        <w:tab w:val="center" w:pos="4536"/>
        <w:tab w:val="right" w:pos="9072"/>
      </w:tabs>
      <w:spacing w:after="120" w:line="240" w:lineRule="auto"/>
    </w:pPr>
    <w:rPr>
      <w:rFonts w:ascii="Times New Roman" w:hAnsi="Times New Roman"/>
      <w:b/>
      <w:sz w:val="18"/>
      <w:szCs w:val="20"/>
      <w:lang w:val="en-US"/>
    </w:rPr>
  </w:style>
  <w:style w:type="paragraph" w:customStyle="1" w:styleId="Header-pool">
    <w:name w:val="Header-pool"/>
    <w:basedOn w:val="Normal-pool"/>
    <w:next w:val="Normal-pool"/>
    <w:uiPriority w:val="99"/>
    <w:rsid w:val="00D66005"/>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Nonumber">
    <w:name w:val="Normal_No_number"/>
    <w:basedOn w:val="Normalpool"/>
    <w:uiPriority w:val="99"/>
    <w:rsid w:val="00D66005"/>
    <w:pPr>
      <w:spacing w:after="120"/>
      <w:ind w:left="1247"/>
    </w:pPr>
  </w:style>
  <w:style w:type="character" w:customStyle="1" w:styleId="NormalnumberChar">
    <w:name w:val="Normal_number Char"/>
    <w:link w:val="Normalnumber"/>
    <w:uiPriority w:val="99"/>
    <w:locked/>
    <w:rsid w:val="00D66005"/>
    <w:rPr>
      <w:rFonts w:ascii="Times New Roman" w:eastAsia="Times New Roman" w:hAnsi="Times New Roman" w:cs="Times New Roman"/>
      <w:sz w:val="20"/>
      <w:szCs w:val="20"/>
      <w:lang w:val="fr-CA"/>
    </w:rPr>
  </w:style>
  <w:style w:type="paragraph" w:customStyle="1" w:styleId="Titletable">
    <w:name w:val="Title_table"/>
    <w:basedOn w:val="Normalpool"/>
    <w:uiPriority w:val="99"/>
    <w:rsid w:val="00D66005"/>
    <w:pPr>
      <w:keepNext/>
      <w:keepLines/>
      <w:suppressAutoHyphens/>
      <w:spacing w:after="60"/>
      <w:ind w:left="1247"/>
    </w:pPr>
    <w:rPr>
      <w:b/>
      <w:bCs/>
    </w:rPr>
  </w:style>
  <w:style w:type="paragraph" w:customStyle="1" w:styleId="Titlefigure">
    <w:name w:val="Title_figure"/>
    <w:basedOn w:val="Titletable"/>
    <w:next w:val="NormalNonumber"/>
    <w:uiPriority w:val="99"/>
    <w:rsid w:val="00D66005"/>
    <w:rPr>
      <w:bCs w:val="0"/>
    </w:rPr>
  </w:style>
  <w:style w:type="paragraph" w:customStyle="1" w:styleId="ZZAnxheader">
    <w:name w:val="ZZ_Anx_header"/>
    <w:basedOn w:val="Normalpool"/>
    <w:uiPriority w:val="99"/>
    <w:rsid w:val="00D66005"/>
    <w:rPr>
      <w:b/>
      <w:bCs/>
      <w:sz w:val="28"/>
      <w:szCs w:val="22"/>
    </w:rPr>
  </w:style>
  <w:style w:type="paragraph" w:customStyle="1" w:styleId="ZZAnxtitle">
    <w:name w:val="ZZ_Anx_title"/>
    <w:basedOn w:val="Normalpool"/>
    <w:uiPriority w:val="99"/>
    <w:rsid w:val="00D66005"/>
    <w:pPr>
      <w:spacing w:before="360" w:after="120"/>
      <w:ind w:left="1247"/>
    </w:pPr>
    <w:rPr>
      <w:b/>
      <w:bCs/>
      <w:sz w:val="28"/>
      <w:szCs w:val="26"/>
    </w:rPr>
  </w:style>
  <w:style w:type="paragraph" w:customStyle="1" w:styleId="MediumGrid1-Accent21">
    <w:name w:val="Medium Grid 1 - Accent 21"/>
    <w:basedOn w:val="Normal"/>
    <w:uiPriority w:val="34"/>
    <w:qFormat/>
    <w:rsid w:val="00D66005"/>
    <w:pPr>
      <w:spacing w:after="0" w:line="240" w:lineRule="auto"/>
      <w:ind w:left="720"/>
      <w:contextualSpacing/>
    </w:pPr>
    <w:rPr>
      <w:rFonts w:ascii="Cambria" w:eastAsia="Times New Roman" w:hAnsi="Cambria"/>
      <w:sz w:val="24"/>
      <w:szCs w:val="24"/>
      <w:lang w:val="en-US" w:eastAsia="ja-JP"/>
    </w:rPr>
  </w:style>
  <w:style w:type="paragraph" w:customStyle="1" w:styleId="ColorfulList-Accent11">
    <w:name w:val="Colorful List - Accent 11"/>
    <w:basedOn w:val="Normal"/>
    <w:uiPriority w:val="34"/>
    <w:qFormat/>
    <w:rsid w:val="00D66005"/>
    <w:pPr>
      <w:ind w:left="720"/>
      <w:contextualSpacing/>
    </w:pPr>
    <w:rPr>
      <w:lang w:val="en-GB"/>
    </w:rPr>
  </w:style>
  <w:style w:type="paragraph" w:customStyle="1" w:styleId="MediumList2-Accent21">
    <w:name w:val="Medium List 2 - Accent 21"/>
    <w:uiPriority w:val="99"/>
    <w:rsid w:val="00D66005"/>
    <w:rPr>
      <w:rFonts w:ascii="Cambria" w:eastAsia="Times New Roman" w:hAnsi="Cambria"/>
      <w:sz w:val="24"/>
      <w:szCs w:val="24"/>
      <w:lang w:eastAsia="ja-JP"/>
    </w:rPr>
  </w:style>
  <w:style w:type="paragraph" w:customStyle="1" w:styleId="SingleTxt">
    <w:name w:val="__Single Txt"/>
    <w:basedOn w:val="Normal"/>
    <w:uiPriority w:val="99"/>
    <w:rsid w:val="00D6600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paragraph" w:customStyle="1" w:styleId="ListParagraph1">
    <w:name w:val="List Paragraph1"/>
    <w:basedOn w:val="Normal"/>
    <w:uiPriority w:val="99"/>
    <w:qFormat/>
    <w:rsid w:val="00D66005"/>
    <w:pPr>
      <w:spacing w:after="0" w:line="240" w:lineRule="auto"/>
      <w:ind w:left="720"/>
    </w:pPr>
    <w:rPr>
      <w:rFonts w:ascii="Times New Roman" w:eastAsia="MS Mincho" w:hAnsi="Times New Roman"/>
      <w:sz w:val="24"/>
      <w:szCs w:val="24"/>
      <w:lang w:val="en-US" w:eastAsia="en-GB"/>
    </w:rPr>
  </w:style>
  <w:style w:type="character" w:styleId="FootnoteReference">
    <w:name w:val="footnote reference"/>
    <w:semiHidden/>
    <w:unhideWhenUsed/>
    <w:rsid w:val="00D66005"/>
    <w:rPr>
      <w:rFonts w:ascii="Times New Roman" w:hAnsi="Times New Roman" w:cs="Times New Roman" w:hint="default"/>
      <w:color w:val="auto"/>
      <w:sz w:val="20"/>
      <w:szCs w:val="18"/>
      <w:vertAlign w:val="superscript"/>
    </w:rPr>
  </w:style>
  <w:style w:type="character" w:styleId="CommentReference">
    <w:name w:val="annotation reference"/>
    <w:uiPriority w:val="99"/>
    <w:semiHidden/>
    <w:unhideWhenUsed/>
    <w:rsid w:val="00D66005"/>
    <w:rPr>
      <w:sz w:val="16"/>
      <w:szCs w:val="16"/>
    </w:rPr>
  </w:style>
  <w:style w:type="character" w:styleId="PageNumber">
    <w:name w:val="page number"/>
    <w:semiHidden/>
    <w:unhideWhenUsed/>
    <w:rsid w:val="00D66005"/>
    <w:rPr>
      <w:rFonts w:ascii="Times New Roman" w:hAnsi="Times New Roman" w:cs="Times New Roman" w:hint="default"/>
      <w:b/>
      <w:bCs w:val="0"/>
      <w:sz w:val="18"/>
    </w:rPr>
  </w:style>
  <w:style w:type="paragraph" w:styleId="FootnoteText">
    <w:name w:val="footnote text"/>
    <w:basedOn w:val="Normalpool"/>
    <w:link w:val="FootnoteTextChar"/>
    <w:uiPriority w:val="99"/>
    <w:semiHidden/>
    <w:unhideWhenUsed/>
    <w:rsid w:val="00D66005"/>
    <w:pPr>
      <w:spacing w:before="20" w:after="40"/>
      <w:ind w:left="1247"/>
    </w:pPr>
    <w:rPr>
      <w:sz w:val="18"/>
    </w:rPr>
  </w:style>
  <w:style w:type="character" w:customStyle="1" w:styleId="FootnoteTextChar">
    <w:name w:val="Footnote Text Char"/>
    <w:link w:val="FootnoteText"/>
    <w:uiPriority w:val="99"/>
    <w:semiHidden/>
    <w:rsid w:val="00D66005"/>
    <w:rPr>
      <w:rFonts w:ascii="Times New Roman" w:eastAsia="Times New Roman" w:hAnsi="Times New Roman" w:cs="Times New Roman"/>
      <w:sz w:val="18"/>
      <w:szCs w:val="20"/>
      <w:lang w:val="fr-CA"/>
    </w:rPr>
  </w:style>
  <w:style w:type="table" w:styleId="TableGrid">
    <w:name w:val="Table Grid"/>
    <w:basedOn w:val="TableNormal"/>
    <w:uiPriority w:val="59"/>
    <w:rsid w:val="00D66005"/>
    <w:rPr>
      <w:rFonts w:ascii="Cambria" w:eastAsia="Times New Roman"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ATable">
    <w:name w:val="AA_Table"/>
    <w:basedOn w:val="TableNormal"/>
    <w:semiHidden/>
    <w:rsid w:val="00D66005"/>
    <w:rPr>
      <w:rFonts w:ascii="Times New Roman" w:eastAsia="Times New Roman" w:hAnsi="Times New Roman"/>
      <w:lang w:eastAsia="fr-FR"/>
    </w:rPr>
    <w:tblPr>
      <w:tblStyleRowBandSize w:val="1"/>
      <w:tblStyleColBandSize w:val="1"/>
      <w:tblInd w:w="0" w:type="dxa"/>
      <w:tblCellMar>
        <w:top w:w="0" w:type="dxa"/>
        <w:left w:w="108" w:type="dxa"/>
        <w:bottom w:w="0" w:type="dxa"/>
        <w:right w:w="108" w:type="dxa"/>
      </w:tblCellMar>
    </w:tblPr>
    <w:tblStylePr w:type="firstRow">
      <w:pPr>
        <w:wordWrap/>
        <w:spacing w:beforeLines="0" w:beforeAutospacing="1" w:afterLines="0" w:afterAutospacing="1"/>
        <w:jc w:val="left"/>
      </w:pPr>
      <w:rPr>
        <w:rFonts w:ascii="Arial" w:hAnsi="Arial" w:cs="Arial" w:hint="default"/>
        <w:b/>
        <w:i w:val="0"/>
        <w:caps/>
        <w:smallCaps w:val="0"/>
        <w:color w:val="auto"/>
        <w:sz w:val="27"/>
        <w:szCs w:val="27"/>
      </w:rPr>
    </w:tblStylePr>
    <w:tblStylePr w:type="lastRow">
      <w:pPr>
        <w:wordWrap/>
        <w:spacing w:afterLines="0" w:afterAutospacing="1"/>
        <w:ind w:rightChars="0" w:right="0"/>
      </w:pPr>
      <w:rPr>
        <w:rFonts w:ascii="Arial" w:hAnsi="Arial" w:cs="Arial" w:hint="default"/>
        <w:b/>
        <w:sz w:val="32"/>
        <w:szCs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cs="Times New Roman" w:hint="default"/>
        <w:sz w:val="20"/>
        <w:szCs w:val="20"/>
      </w:rPr>
    </w:tblStylePr>
    <w:tblStylePr w:type="band1Vert">
      <w:rPr>
        <w:rFonts w:ascii="Times New Roman" w:hAnsi="Times New Roman" w:cs="Times New Roman" w:hint="default"/>
      </w:rPr>
    </w:tblStylePr>
    <w:tblStylePr w:type="band2Vert">
      <w:pPr>
        <w:wordWrap/>
        <w:spacing w:beforeLines="0" w:beforeAutospacing="1" w:afterLines="0" w:afterAutospacing="1"/>
      </w:pPr>
      <w:rPr>
        <w:rFonts w:ascii="Times New Roman" w:hAnsi="Times New Roman" w:cs="Times New Roman" w:hint="default"/>
        <w:b/>
        <w:i w:val="0"/>
        <w:color w:val="auto"/>
        <w:sz w:val="20"/>
        <w:szCs w:val="32"/>
      </w:rPr>
    </w:tblStylePr>
    <w:tblStylePr w:type="band1Horz">
      <w:rPr>
        <w:rFonts w:ascii="Times New Roman" w:hAnsi="Times New Roman" w:cs="Times New Roman" w:hint="default"/>
        <w:sz w:val="20"/>
        <w:szCs w:val="20"/>
      </w:rPr>
      <w:tblPr/>
      <w:tcPr>
        <w:tcBorders>
          <w:bottom w:val="single" w:sz="4" w:space="0" w:color="auto"/>
        </w:tcBorders>
      </w:tcPr>
    </w:tblStylePr>
    <w:tblStylePr w:type="band2Horz">
      <w:rPr>
        <w:rFonts w:ascii="Times New Roman" w:hAnsi="Times New Roman" w:cs="Times New Roman" w:hint="default"/>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1" w:afterLines="0" w:afterAutospacing="1"/>
        <w:jc w:val="right"/>
      </w:pPr>
      <w:rPr>
        <w:rFonts w:ascii="Arial" w:hAnsi="Arial" w:cs="Arial" w:hint="default"/>
        <w:b/>
        <w:i w:val="0"/>
        <w:color w:val="auto"/>
        <w:sz w:val="64"/>
        <w:szCs w:val="64"/>
      </w:rPr>
    </w:tblStylePr>
    <w:tblStylePr w:type="nwCell">
      <w:rPr>
        <w:rFonts w:ascii="Arial" w:hAnsi="Arial" w:cs="Arial" w:hint="default"/>
        <w:b/>
        <w:i w:val="0"/>
        <w:caps/>
        <w:smallCaps w:val="0"/>
        <w:color w:val="auto"/>
        <w:sz w:val="27"/>
        <w:szCs w:val="27"/>
      </w:rPr>
    </w:tblStylePr>
    <w:tblStylePr w:type="seCell">
      <w:pPr>
        <w:wordWrap/>
        <w:spacing w:beforeLines="0" w:beforeAutospacing="1" w:afterLines="0" w:afterAutospacing="1"/>
        <w:ind w:leftChars="0" w:left="0" w:rightChars="0" w:right="0"/>
      </w:pPr>
      <w:rPr>
        <w:rFonts w:ascii="Times New Roman" w:hAnsi="Times New Roman" w:cs="Times New Roman" w:hint="default"/>
        <w:b w:val="0"/>
        <w:sz w:val="20"/>
        <w:szCs w:val="20"/>
      </w:rPr>
    </w:tblStylePr>
    <w:tblStylePr w:type="swCell">
      <w:pPr>
        <w:wordWrap/>
        <w:spacing w:afterLines="0" w:afterAutospacing="1"/>
        <w:ind w:rightChars="0" w:right="0"/>
      </w:pPr>
      <w:rPr>
        <w:rFonts w:ascii="Times New Roman" w:hAnsi="Times New Roman" w:cs="Times New Roman" w:hint="default"/>
      </w:rPr>
    </w:tblStylePr>
  </w:style>
  <w:style w:type="table" w:customStyle="1" w:styleId="Footertable">
    <w:name w:val="Footer_table"/>
    <w:basedOn w:val="TableNormal"/>
    <w:semiHidden/>
    <w:rsid w:val="00D66005"/>
    <w:rPr>
      <w:rFonts w:ascii="Arial" w:eastAsia="Times New Roman" w:hAnsi="Arial"/>
      <w:sz w:val="16"/>
      <w:lang w:eastAsia="fr-FR"/>
    </w:rPr>
    <w:tblPr>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style>
  <w:style w:type="table" w:customStyle="1" w:styleId="Tabledocright">
    <w:name w:val="Table_doc_right"/>
    <w:basedOn w:val="TableNormal"/>
    <w:rsid w:val="00D66005"/>
    <w:pPr>
      <w:spacing w:before="40" w:after="40"/>
    </w:pPr>
    <w:rPr>
      <w:rFonts w:ascii="Times New Roman" w:eastAsia="Times New Roman" w:hAnsi="Times New Roman"/>
      <w:sz w:val="18"/>
      <w:szCs w:val="18"/>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style>
  <w:style w:type="table" w:customStyle="1" w:styleId="TableGrid1">
    <w:name w:val="Table Grid1"/>
    <w:basedOn w:val="TableNormal"/>
    <w:uiPriority w:val="99"/>
    <w:rsid w:val="00D66005"/>
    <w:rPr>
      <w:rFonts w:ascii="Cambria" w:eastAsia="Times New Roman" w:hAnsi="Cambria"/>
      <w:lang w:val="en-CA" w:eastAsia="en-CA"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lrutenett1">
    <w:name w:val="Tabellrutenett1"/>
    <w:basedOn w:val="TableNormal"/>
    <w:uiPriority w:val="59"/>
    <w:rsid w:val="00D66005"/>
    <w:rPr>
      <w:rFonts w:ascii="Cambria" w:hAnsi="Cambria"/>
      <w:lang w:val="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D66005"/>
    <w:rPr>
      <w:rFonts w:eastAsia="Times New Roman"/>
      <w:sz w:val="24"/>
      <w:szCs w:val="24"/>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pool"/>
    <w:next w:val="Normalpool"/>
    <w:autoRedefine/>
    <w:uiPriority w:val="99"/>
    <w:semiHidden/>
    <w:unhideWhenUsed/>
    <w:rsid w:val="00D66005"/>
    <w:pPr>
      <w:tabs>
        <w:tab w:val="clear" w:pos="1814"/>
        <w:tab w:val="clear" w:pos="2381"/>
        <w:tab w:val="clear" w:pos="2948"/>
        <w:tab w:val="clear" w:pos="3515"/>
        <w:tab w:val="left" w:pos="1000"/>
        <w:tab w:val="right" w:leader="dot" w:pos="9486"/>
      </w:tabs>
      <w:ind w:left="3515" w:hanging="567"/>
    </w:pPr>
    <w:rPr>
      <w:szCs w:val="18"/>
    </w:rPr>
  </w:style>
  <w:style w:type="paragraph" w:styleId="TOC3">
    <w:name w:val="toc 3"/>
    <w:basedOn w:val="Normalpool"/>
    <w:next w:val="Normalpool"/>
    <w:autoRedefine/>
    <w:uiPriority w:val="99"/>
    <w:semiHidden/>
    <w:unhideWhenUsed/>
    <w:rsid w:val="00D66005"/>
    <w:pPr>
      <w:tabs>
        <w:tab w:val="clear" w:pos="1814"/>
        <w:tab w:val="clear" w:pos="2381"/>
        <w:tab w:val="clear" w:pos="2948"/>
        <w:tab w:val="clear" w:pos="3515"/>
        <w:tab w:val="right" w:leader="dot" w:pos="9486"/>
      </w:tabs>
      <w:ind w:left="2948" w:hanging="567"/>
    </w:pPr>
    <w:rPr>
      <w:iCs/>
    </w:rPr>
  </w:style>
  <w:style w:type="paragraph" w:styleId="TOC2">
    <w:name w:val="toc 2"/>
    <w:basedOn w:val="Normalpool"/>
    <w:next w:val="Normalpool"/>
    <w:autoRedefine/>
    <w:uiPriority w:val="99"/>
    <w:semiHidden/>
    <w:unhideWhenUsed/>
    <w:rsid w:val="00D66005"/>
    <w:pPr>
      <w:tabs>
        <w:tab w:val="clear" w:pos="1814"/>
        <w:tab w:val="clear" w:pos="2948"/>
        <w:tab w:val="clear" w:pos="3515"/>
        <w:tab w:val="clear" w:pos="4082"/>
        <w:tab w:val="right" w:leader="dot" w:pos="9486"/>
      </w:tabs>
      <w:ind w:left="2381" w:hanging="567"/>
    </w:pPr>
  </w:style>
  <w:style w:type="paragraph" w:styleId="TOC1">
    <w:name w:val="toc 1"/>
    <w:basedOn w:val="Normalpool"/>
    <w:next w:val="Normalpool"/>
    <w:autoRedefine/>
    <w:uiPriority w:val="99"/>
    <w:semiHidden/>
    <w:unhideWhenUsed/>
    <w:rsid w:val="00D66005"/>
    <w:pPr>
      <w:tabs>
        <w:tab w:val="clear" w:pos="2381"/>
        <w:tab w:val="clear" w:pos="2948"/>
        <w:tab w:val="clear" w:pos="3515"/>
        <w:tab w:val="clear" w:pos="4082"/>
        <w:tab w:val="right" w:leader="dot" w:pos="9486"/>
      </w:tabs>
      <w:spacing w:before="240"/>
      <w:ind w:left="1814" w:hanging="567"/>
    </w:pPr>
    <w:rPr>
      <w:bCs/>
    </w:rPr>
  </w:style>
  <w:style w:type="numbering" w:customStyle="1" w:styleId="Normallist">
    <w:name w:val="Normal_list"/>
    <w:rsid w:val="00D66005"/>
    <w:pPr>
      <w:numPr>
        <w:numId w:val="7"/>
      </w:numPr>
    </w:pPr>
  </w:style>
  <w:style w:type="paragraph" w:styleId="ListParagraph">
    <w:name w:val="List Paragraph"/>
    <w:basedOn w:val="Normal"/>
    <w:uiPriority w:val="34"/>
    <w:qFormat/>
    <w:rsid w:val="00D7471C"/>
    <w:pPr>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DF6"/>
    <w:pPr>
      <w:spacing w:after="200" w:line="276" w:lineRule="auto"/>
    </w:pPr>
    <w:rPr>
      <w:sz w:val="22"/>
      <w:szCs w:val="22"/>
      <w:lang w:val="fr-FR"/>
    </w:rPr>
  </w:style>
  <w:style w:type="paragraph" w:styleId="Heading1">
    <w:name w:val="heading 1"/>
    <w:basedOn w:val="Normal"/>
    <w:next w:val="Normalnumber"/>
    <w:link w:val="Heading1Char"/>
    <w:uiPriority w:val="9"/>
    <w:qFormat/>
    <w:rsid w:val="00D66005"/>
    <w:pPr>
      <w:keepNext/>
      <w:spacing w:before="240" w:after="120" w:line="240" w:lineRule="auto"/>
      <w:ind w:left="1247" w:hanging="680"/>
      <w:outlineLvl w:val="0"/>
    </w:pPr>
    <w:rPr>
      <w:rFonts w:ascii="Times New Roman" w:eastAsia="Times New Roman" w:hAnsi="Times New Roman"/>
      <w:b/>
      <w:sz w:val="28"/>
      <w:szCs w:val="20"/>
      <w:lang w:val="en-GB"/>
    </w:rPr>
  </w:style>
  <w:style w:type="paragraph" w:styleId="Heading2">
    <w:name w:val="heading 2"/>
    <w:basedOn w:val="Normal"/>
    <w:next w:val="Normalnumber"/>
    <w:link w:val="Heading2Char"/>
    <w:semiHidden/>
    <w:unhideWhenUsed/>
    <w:qFormat/>
    <w:rsid w:val="00D66005"/>
    <w:pPr>
      <w:keepNext/>
      <w:spacing w:before="240" w:after="120" w:line="240" w:lineRule="auto"/>
      <w:ind w:left="1247" w:hanging="680"/>
      <w:outlineLvl w:val="1"/>
    </w:pPr>
    <w:rPr>
      <w:rFonts w:ascii="Times New Roman" w:eastAsia="Times New Roman" w:hAnsi="Times New Roman"/>
      <w:b/>
      <w:sz w:val="24"/>
      <w:szCs w:val="24"/>
      <w:lang w:val="en-GB"/>
    </w:rPr>
  </w:style>
  <w:style w:type="paragraph" w:styleId="Heading3">
    <w:name w:val="heading 3"/>
    <w:basedOn w:val="Normal"/>
    <w:next w:val="Normalnumber"/>
    <w:link w:val="Heading3Char"/>
    <w:semiHidden/>
    <w:unhideWhenUsed/>
    <w:qFormat/>
    <w:rsid w:val="00D66005"/>
    <w:pPr>
      <w:spacing w:after="120" w:line="240" w:lineRule="auto"/>
      <w:ind w:left="1247" w:hanging="680"/>
      <w:outlineLvl w:val="2"/>
    </w:pPr>
    <w:rPr>
      <w:rFonts w:ascii="Times New Roman" w:eastAsia="Times New Roman" w:hAnsi="Times New Roman"/>
      <w:b/>
      <w:sz w:val="20"/>
      <w:szCs w:val="20"/>
      <w:lang w:val="en-GB"/>
    </w:rPr>
  </w:style>
  <w:style w:type="paragraph" w:styleId="Heading4">
    <w:name w:val="heading 4"/>
    <w:basedOn w:val="Heading3"/>
    <w:next w:val="Normalnumber"/>
    <w:link w:val="Heading4Char"/>
    <w:semiHidden/>
    <w:unhideWhenUsed/>
    <w:qFormat/>
    <w:rsid w:val="00D66005"/>
    <w:pPr>
      <w:keepNext/>
      <w:outlineLvl w:val="3"/>
    </w:pPr>
  </w:style>
  <w:style w:type="paragraph" w:styleId="Heading5">
    <w:name w:val="heading 5"/>
    <w:basedOn w:val="Normal"/>
    <w:next w:val="Normal"/>
    <w:link w:val="Heading5Char"/>
    <w:semiHidden/>
    <w:unhideWhenUsed/>
    <w:qFormat/>
    <w:rsid w:val="00D66005"/>
    <w:pPr>
      <w:keepNext/>
      <w:spacing w:after="0" w:line="240" w:lineRule="auto"/>
      <w:outlineLvl w:val="4"/>
    </w:pPr>
    <w:rPr>
      <w:rFonts w:ascii="Univers" w:eastAsia="Times New Roman" w:hAnsi="Univers"/>
      <w:b/>
      <w:sz w:val="24"/>
      <w:szCs w:val="20"/>
      <w:lang w:val="en-GB"/>
    </w:rPr>
  </w:style>
  <w:style w:type="paragraph" w:styleId="Heading6">
    <w:name w:val="heading 6"/>
    <w:basedOn w:val="Normal"/>
    <w:next w:val="Normal"/>
    <w:link w:val="Heading6Char"/>
    <w:semiHidden/>
    <w:unhideWhenUsed/>
    <w:qFormat/>
    <w:rsid w:val="00D66005"/>
    <w:pPr>
      <w:keepNext/>
      <w:spacing w:after="0" w:line="240" w:lineRule="auto"/>
      <w:ind w:left="578"/>
      <w:outlineLvl w:val="5"/>
    </w:pPr>
    <w:rPr>
      <w:rFonts w:ascii="Times New Roman" w:eastAsia="Times New Roman" w:hAnsi="Times New Roman"/>
      <w:b/>
      <w:bCs/>
      <w:sz w:val="24"/>
      <w:szCs w:val="20"/>
      <w:lang w:val="en-GB"/>
    </w:rPr>
  </w:style>
  <w:style w:type="paragraph" w:styleId="Heading7">
    <w:name w:val="heading 7"/>
    <w:basedOn w:val="Normal"/>
    <w:next w:val="Normal"/>
    <w:link w:val="Heading7Char"/>
    <w:uiPriority w:val="99"/>
    <w:semiHidden/>
    <w:unhideWhenUsed/>
    <w:qFormat/>
    <w:rsid w:val="00D66005"/>
    <w:pPr>
      <w:keepNext/>
      <w:widowControl w:val="0"/>
      <w:snapToGrid w:val="0"/>
      <w:spacing w:after="0" w:line="240" w:lineRule="auto"/>
      <w:jc w:val="center"/>
      <w:outlineLvl w:val="6"/>
    </w:pPr>
    <w:rPr>
      <w:rFonts w:ascii="Times New Roman" w:eastAsia="Times New Roman" w:hAnsi="Times New Roman"/>
      <w:sz w:val="20"/>
      <w:szCs w:val="20"/>
      <w:u w:val="single"/>
    </w:rPr>
  </w:style>
  <w:style w:type="paragraph" w:styleId="Heading8">
    <w:name w:val="heading 8"/>
    <w:basedOn w:val="Normal"/>
    <w:next w:val="Normal"/>
    <w:link w:val="Heading8Char"/>
    <w:uiPriority w:val="99"/>
    <w:semiHidden/>
    <w:unhideWhenUsed/>
    <w:qFormat/>
    <w:rsid w:val="00D66005"/>
    <w:pPr>
      <w:keepNext/>
      <w:widowControl w:val="0"/>
      <w:numPr>
        <w:numId w:val="1"/>
      </w:numPr>
      <w:tabs>
        <w:tab w:val="left" w:pos="-1440"/>
        <w:tab w:val="left" w:pos="-720"/>
      </w:tabs>
      <w:suppressAutoHyphens/>
      <w:snapToGrid w:val="0"/>
      <w:spacing w:after="0" w:line="240" w:lineRule="auto"/>
      <w:jc w:val="center"/>
      <w:outlineLvl w:val="7"/>
    </w:pPr>
    <w:rPr>
      <w:rFonts w:ascii="Times New Roman" w:hAnsi="Times New Roman"/>
      <w:sz w:val="20"/>
      <w:szCs w:val="20"/>
      <w:u w:val="single"/>
      <w:lang w:val="en-US"/>
    </w:rPr>
  </w:style>
  <w:style w:type="paragraph" w:styleId="Heading9">
    <w:name w:val="heading 9"/>
    <w:basedOn w:val="Normal"/>
    <w:next w:val="Normal"/>
    <w:link w:val="Heading9Char"/>
    <w:uiPriority w:val="99"/>
    <w:semiHidden/>
    <w:unhideWhenUsed/>
    <w:qFormat/>
    <w:rsid w:val="00D66005"/>
    <w:pPr>
      <w:keepNext/>
      <w:widowControl w:val="0"/>
      <w:numPr>
        <w:numId w:val="3"/>
      </w:numPr>
      <w:suppressAutoHyphens/>
      <w:snapToGrid w:val="0"/>
      <w:spacing w:after="0" w:line="240" w:lineRule="auto"/>
      <w:jc w:val="center"/>
      <w:outlineLvl w:val="8"/>
    </w:pPr>
    <w:rPr>
      <w:rFonts w:ascii="Times New Roman" w:hAnsi="Times New Roman"/>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6005"/>
    <w:rPr>
      <w:rFonts w:ascii="Times New Roman" w:eastAsia="Times New Roman" w:hAnsi="Times New Roman" w:cs="Times New Roman"/>
      <w:b/>
      <w:sz w:val="28"/>
      <w:szCs w:val="20"/>
      <w:lang w:val="en-GB"/>
    </w:rPr>
  </w:style>
  <w:style w:type="character" w:customStyle="1" w:styleId="Heading2Char">
    <w:name w:val="Heading 2 Char"/>
    <w:link w:val="Heading2"/>
    <w:semiHidden/>
    <w:rsid w:val="00D66005"/>
    <w:rPr>
      <w:rFonts w:ascii="Times New Roman" w:eastAsia="Times New Roman" w:hAnsi="Times New Roman" w:cs="Times New Roman"/>
      <w:b/>
      <w:sz w:val="24"/>
      <w:szCs w:val="24"/>
      <w:lang w:val="en-GB"/>
    </w:rPr>
  </w:style>
  <w:style w:type="character" w:customStyle="1" w:styleId="Heading3Char">
    <w:name w:val="Heading 3 Char"/>
    <w:link w:val="Heading3"/>
    <w:semiHidden/>
    <w:rsid w:val="00D66005"/>
    <w:rPr>
      <w:rFonts w:ascii="Times New Roman" w:eastAsia="Times New Roman" w:hAnsi="Times New Roman" w:cs="Times New Roman"/>
      <w:b/>
      <w:sz w:val="20"/>
      <w:szCs w:val="20"/>
      <w:lang w:val="en-GB"/>
    </w:rPr>
  </w:style>
  <w:style w:type="character" w:customStyle="1" w:styleId="Heading4Char">
    <w:name w:val="Heading 4 Char"/>
    <w:link w:val="Heading4"/>
    <w:semiHidden/>
    <w:rsid w:val="00D66005"/>
    <w:rPr>
      <w:rFonts w:ascii="Times New Roman" w:eastAsia="Times New Roman" w:hAnsi="Times New Roman" w:cs="Times New Roman"/>
      <w:b/>
      <w:sz w:val="20"/>
      <w:szCs w:val="20"/>
      <w:lang w:val="en-GB"/>
    </w:rPr>
  </w:style>
  <w:style w:type="character" w:customStyle="1" w:styleId="Heading5Char">
    <w:name w:val="Heading 5 Char"/>
    <w:link w:val="Heading5"/>
    <w:semiHidden/>
    <w:rsid w:val="00D66005"/>
    <w:rPr>
      <w:rFonts w:ascii="Univers" w:eastAsia="Times New Roman" w:hAnsi="Univers" w:cs="Times New Roman"/>
      <w:b/>
      <w:sz w:val="24"/>
      <w:szCs w:val="20"/>
      <w:lang w:val="en-GB"/>
    </w:rPr>
  </w:style>
  <w:style w:type="character" w:customStyle="1" w:styleId="Heading6Char">
    <w:name w:val="Heading 6 Char"/>
    <w:link w:val="Heading6"/>
    <w:semiHidden/>
    <w:rsid w:val="00D66005"/>
    <w:rPr>
      <w:rFonts w:ascii="Times New Roman" w:eastAsia="Times New Roman" w:hAnsi="Times New Roman" w:cs="Times New Roman"/>
      <w:b/>
      <w:bCs/>
      <w:sz w:val="24"/>
      <w:szCs w:val="20"/>
      <w:lang w:val="en-GB"/>
    </w:rPr>
  </w:style>
  <w:style w:type="character" w:customStyle="1" w:styleId="Heading7Char">
    <w:name w:val="Heading 7 Char"/>
    <w:link w:val="Heading7"/>
    <w:uiPriority w:val="99"/>
    <w:semiHidden/>
    <w:rsid w:val="00D66005"/>
    <w:rPr>
      <w:rFonts w:ascii="Times New Roman" w:eastAsia="Times New Roman" w:hAnsi="Times New Roman" w:cs="Times New Roman"/>
      <w:sz w:val="20"/>
      <w:szCs w:val="20"/>
      <w:u w:val="single"/>
    </w:rPr>
  </w:style>
  <w:style w:type="character" w:customStyle="1" w:styleId="Heading8Char">
    <w:name w:val="Heading 8 Char"/>
    <w:link w:val="Heading8"/>
    <w:uiPriority w:val="99"/>
    <w:semiHidden/>
    <w:rsid w:val="00D66005"/>
    <w:rPr>
      <w:rFonts w:ascii="Times New Roman" w:eastAsia="Calibri" w:hAnsi="Times New Roman" w:cs="Times New Roman"/>
      <w:sz w:val="20"/>
      <w:szCs w:val="20"/>
      <w:u w:val="single"/>
      <w:lang w:val="en-US"/>
    </w:rPr>
  </w:style>
  <w:style w:type="character" w:customStyle="1" w:styleId="Heading9Char">
    <w:name w:val="Heading 9 Char"/>
    <w:link w:val="Heading9"/>
    <w:uiPriority w:val="99"/>
    <w:semiHidden/>
    <w:rsid w:val="00D66005"/>
    <w:rPr>
      <w:rFonts w:ascii="Times New Roman" w:eastAsia="Calibri" w:hAnsi="Times New Roman" w:cs="Times New Roman"/>
      <w:sz w:val="20"/>
      <w:szCs w:val="20"/>
      <w:u w:val="single"/>
      <w:lang w:val="en-US"/>
    </w:rPr>
  </w:style>
  <w:style w:type="character" w:styleId="Hyperlink">
    <w:name w:val="Hyperlink"/>
    <w:semiHidden/>
    <w:unhideWhenUsed/>
    <w:rsid w:val="00D66005"/>
    <w:rPr>
      <w:rFonts w:ascii="Times New Roman" w:hAnsi="Times New Roman" w:cs="Times New Roman" w:hint="default"/>
      <w:strike w:val="0"/>
      <w:dstrike w:val="0"/>
      <w:color w:val="auto"/>
      <w:sz w:val="20"/>
      <w:szCs w:val="20"/>
      <w:u w:val="none"/>
      <w:effect w:val="none"/>
      <w:lang w:val="fr-FR"/>
    </w:rPr>
  </w:style>
  <w:style w:type="character" w:styleId="FollowedHyperlink">
    <w:name w:val="FollowedHyperlink"/>
    <w:uiPriority w:val="99"/>
    <w:semiHidden/>
    <w:unhideWhenUsed/>
    <w:rsid w:val="00D66005"/>
    <w:rPr>
      <w:color w:val="800080"/>
      <w:u w:val="single"/>
    </w:rPr>
  </w:style>
  <w:style w:type="paragraph" w:customStyle="1" w:styleId="Normalnumber">
    <w:name w:val="Normal_number"/>
    <w:basedOn w:val="Normalpool"/>
    <w:link w:val="NormalnumberChar"/>
    <w:uiPriority w:val="99"/>
    <w:rsid w:val="00D66005"/>
    <w:pPr>
      <w:tabs>
        <w:tab w:val="clear" w:pos="1247"/>
        <w:tab w:val="clear" w:pos="1814"/>
        <w:tab w:val="clear" w:pos="2381"/>
        <w:tab w:val="clear" w:pos="2948"/>
        <w:tab w:val="clear" w:pos="3515"/>
        <w:tab w:val="clear" w:pos="4082"/>
      </w:tabs>
      <w:spacing w:after="120"/>
    </w:pPr>
  </w:style>
  <w:style w:type="paragraph" w:styleId="NormalWeb">
    <w:name w:val="Normal (Web)"/>
    <w:basedOn w:val="Normal"/>
    <w:uiPriority w:val="99"/>
    <w:semiHidden/>
    <w:unhideWhenUsed/>
    <w:rsid w:val="00D66005"/>
    <w:pPr>
      <w:spacing w:after="0" w:line="240" w:lineRule="auto"/>
    </w:pPr>
    <w:rPr>
      <w:rFonts w:ascii="Times New Roman" w:eastAsia="Times New Roman" w:hAnsi="Times New Roman"/>
      <w:sz w:val="24"/>
      <w:szCs w:val="24"/>
      <w:lang w:val="en-US" w:eastAsia="ja-JP"/>
    </w:rPr>
  </w:style>
  <w:style w:type="paragraph" w:styleId="TOC5">
    <w:name w:val="toc 5"/>
    <w:basedOn w:val="Normal"/>
    <w:next w:val="Normal"/>
    <w:autoRedefine/>
    <w:uiPriority w:val="99"/>
    <w:semiHidden/>
    <w:unhideWhenUsed/>
    <w:rsid w:val="00D66005"/>
    <w:pPr>
      <w:spacing w:after="0" w:line="240" w:lineRule="auto"/>
      <w:ind w:left="800"/>
    </w:pPr>
    <w:rPr>
      <w:rFonts w:ascii="Times New Roman" w:hAnsi="Times New Roman"/>
      <w:sz w:val="18"/>
      <w:szCs w:val="18"/>
      <w:lang w:val="en-US"/>
    </w:rPr>
  </w:style>
  <w:style w:type="paragraph" w:styleId="TOC6">
    <w:name w:val="toc 6"/>
    <w:basedOn w:val="Normal"/>
    <w:next w:val="Normal"/>
    <w:autoRedefine/>
    <w:uiPriority w:val="99"/>
    <w:semiHidden/>
    <w:unhideWhenUsed/>
    <w:rsid w:val="00D66005"/>
    <w:pPr>
      <w:spacing w:after="0" w:line="240" w:lineRule="auto"/>
      <w:ind w:left="1000"/>
    </w:pPr>
    <w:rPr>
      <w:rFonts w:ascii="Times New Roman" w:hAnsi="Times New Roman"/>
      <w:sz w:val="18"/>
      <w:szCs w:val="18"/>
      <w:lang w:val="en-US"/>
    </w:rPr>
  </w:style>
  <w:style w:type="paragraph" w:styleId="TOC7">
    <w:name w:val="toc 7"/>
    <w:basedOn w:val="Normal"/>
    <w:next w:val="Normal"/>
    <w:autoRedefine/>
    <w:uiPriority w:val="99"/>
    <w:semiHidden/>
    <w:unhideWhenUsed/>
    <w:rsid w:val="00D66005"/>
    <w:pPr>
      <w:spacing w:after="0" w:line="240" w:lineRule="auto"/>
      <w:ind w:left="1200"/>
    </w:pPr>
    <w:rPr>
      <w:rFonts w:ascii="Times New Roman" w:hAnsi="Times New Roman"/>
      <w:sz w:val="18"/>
      <w:szCs w:val="18"/>
      <w:lang w:val="en-US"/>
    </w:rPr>
  </w:style>
  <w:style w:type="paragraph" w:styleId="TOC8">
    <w:name w:val="toc 8"/>
    <w:basedOn w:val="Normal"/>
    <w:next w:val="Normal"/>
    <w:autoRedefine/>
    <w:uiPriority w:val="99"/>
    <w:semiHidden/>
    <w:unhideWhenUsed/>
    <w:rsid w:val="00D66005"/>
    <w:pPr>
      <w:spacing w:after="0" w:line="240" w:lineRule="auto"/>
      <w:ind w:left="1400"/>
    </w:pPr>
    <w:rPr>
      <w:rFonts w:ascii="Times New Roman" w:hAnsi="Times New Roman"/>
      <w:sz w:val="18"/>
      <w:szCs w:val="18"/>
      <w:lang w:val="en-US"/>
    </w:rPr>
  </w:style>
  <w:style w:type="paragraph" w:styleId="TOC9">
    <w:name w:val="toc 9"/>
    <w:basedOn w:val="Normal"/>
    <w:next w:val="Normal"/>
    <w:autoRedefine/>
    <w:uiPriority w:val="99"/>
    <w:semiHidden/>
    <w:unhideWhenUsed/>
    <w:rsid w:val="00D66005"/>
    <w:pPr>
      <w:spacing w:after="0" w:line="240" w:lineRule="auto"/>
      <w:ind w:left="1600"/>
    </w:pPr>
    <w:rPr>
      <w:rFonts w:ascii="Times New Roman" w:hAnsi="Times New Roman"/>
      <w:sz w:val="18"/>
      <w:szCs w:val="18"/>
      <w:lang w:val="en-US"/>
    </w:rPr>
  </w:style>
  <w:style w:type="paragraph" w:styleId="CommentText">
    <w:name w:val="annotation text"/>
    <w:basedOn w:val="Normal"/>
    <w:link w:val="CommentTextChar"/>
    <w:uiPriority w:val="99"/>
    <w:semiHidden/>
    <w:unhideWhenUsed/>
    <w:rsid w:val="00D66005"/>
    <w:pPr>
      <w:spacing w:after="0" w:line="240" w:lineRule="auto"/>
    </w:pPr>
    <w:rPr>
      <w:rFonts w:ascii="Cambria" w:eastAsia="Times New Roman" w:hAnsi="Cambria"/>
      <w:sz w:val="20"/>
      <w:szCs w:val="20"/>
      <w:lang w:val="en-US" w:eastAsia="ja-JP"/>
    </w:rPr>
  </w:style>
  <w:style w:type="character" w:customStyle="1" w:styleId="CommentTextChar">
    <w:name w:val="Comment Text Char"/>
    <w:link w:val="CommentText"/>
    <w:uiPriority w:val="99"/>
    <w:semiHidden/>
    <w:rsid w:val="00D66005"/>
    <w:rPr>
      <w:rFonts w:ascii="Cambria" w:eastAsia="Times New Roman" w:hAnsi="Cambria" w:cs="Times New Roman"/>
      <w:sz w:val="20"/>
      <w:szCs w:val="20"/>
      <w:lang w:val="en-US" w:eastAsia="ja-JP"/>
    </w:rPr>
  </w:style>
  <w:style w:type="character" w:customStyle="1" w:styleId="HeaderChar">
    <w:name w:val="Header Char"/>
    <w:aliases w:val="EthylHeader Char"/>
    <w:link w:val="Header"/>
    <w:uiPriority w:val="99"/>
    <w:locked/>
    <w:rsid w:val="00D66005"/>
    <w:rPr>
      <w:rFonts w:ascii="Times New Roman" w:eastAsia="Times New Roman" w:hAnsi="Times New Roman" w:cs="Times New Roman"/>
      <w:b/>
      <w:sz w:val="18"/>
      <w:lang w:val="en-GB"/>
    </w:rPr>
  </w:style>
  <w:style w:type="paragraph" w:styleId="Header">
    <w:name w:val="header"/>
    <w:aliases w:val="EthylHeader"/>
    <w:basedOn w:val="Normal"/>
    <w:link w:val="HeaderChar"/>
    <w:uiPriority w:val="99"/>
    <w:unhideWhenUsed/>
    <w:rsid w:val="00D66005"/>
    <w:pPr>
      <w:pBdr>
        <w:bottom w:val="single" w:sz="4" w:space="1" w:color="auto"/>
      </w:pBdr>
      <w:tabs>
        <w:tab w:val="center" w:pos="4536"/>
        <w:tab w:val="right" w:pos="9072"/>
      </w:tabs>
      <w:spacing w:after="120" w:line="240" w:lineRule="auto"/>
    </w:pPr>
    <w:rPr>
      <w:rFonts w:ascii="Times New Roman" w:eastAsia="Times New Roman" w:hAnsi="Times New Roman"/>
      <w:b/>
      <w:sz w:val="18"/>
      <w:lang w:val="en-GB"/>
    </w:rPr>
  </w:style>
  <w:style w:type="character" w:customStyle="1" w:styleId="HeaderChar1">
    <w:name w:val="Header Char1"/>
    <w:aliases w:val="EthylHeader Char1"/>
    <w:basedOn w:val="DefaultParagraphFont"/>
    <w:uiPriority w:val="99"/>
    <w:semiHidden/>
    <w:rsid w:val="00D66005"/>
  </w:style>
  <w:style w:type="paragraph" w:styleId="Footer">
    <w:name w:val="footer"/>
    <w:basedOn w:val="Normal"/>
    <w:link w:val="FooterChar"/>
    <w:uiPriority w:val="99"/>
    <w:unhideWhenUsed/>
    <w:rsid w:val="00D66005"/>
    <w:pPr>
      <w:tabs>
        <w:tab w:val="center" w:pos="4320"/>
        <w:tab w:val="right" w:pos="8640"/>
      </w:tabs>
      <w:spacing w:before="60" w:after="120" w:line="240" w:lineRule="auto"/>
    </w:pPr>
    <w:rPr>
      <w:rFonts w:ascii="Times New Roman" w:eastAsia="Times New Roman" w:hAnsi="Times New Roman"/>
      <w:sz w:val="18"/>
      <w:szCs w:val="20"/>
      <w:lang w:val="en-GB"/>
    </w:rPr>
  </w:style>
  <w:style w:type="character" w:customStyle="1" w:styleId="FooterChar">
    <w:name w:val="Footer Char"/>
    <w:link w:val="Footer"/>
    <w:uiPriority w:val="99"/>
    <w:rsid w:val="00D66005"/>
    <w:rPr>
      <w:rFonts w:ascii="Times New Roman" w:eastAsia="Times New Roman" w:hAnsi="Times New Roman" w:cs="Times New Roman"/>
      <w:sz w:val="18"/>
      <w:szCs w:val="20"/>
      <w:lang w:val="en-GB"/>
    </w:rPr>
  </w:style>
  <w:style w:type="paragraph" w:styleId="TableofFigures">
    <w:name w:val="table of figures"/>
    <w:basedOn w:val="Normal"/>
    <w:next w:val="Normal"/>
    <w:autoRedefine/>
    <w:uiPriority w:val="99"/>
    <w:semiHidden/>
    <w:unhideWhenUsed/>
    <w:rsid w:val="00D66005"/>
    <w:pPr>
      <w:spacing w:after="0" w:line="240" w:lineRule="auto"/>
      <w:ind w:left="1814" w:hanging="567"/>
    </w:pPr>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D66005"/>
    <w:rPr>
      <w:b/>
      <w:bCs/>
    </w:rPr>
  </w:style>
  <w:style w:type="character" w:customStyle="1" w:styleId="CommentSubjectChar">
    <w:name w:val="Comment Subject Char"/>
    <w:link w:val="CommentSubject"/>
    <w:uiPriority w:val="99"/>
    <w:semiHidden/>
    <w:rsid w:val="00D66005"/>
    <w:rPr>
      <w:rFonts w:ascii="Cambria" w:eastAsia="Times New Roman" w:hAnsi="Cambria" w:cs="Times New Roman"/>
      <w:b/>
      <w:bCs/>
      <w:sz w:val="20"/>
      <w:szCs w:val="20"/>
      <w:lang w:val="en-US" w:eastAsia="ja-JP"/>
    </w:rPr>
  </w:style>
  <w:style w:type="paragraph" w:styleId="BalloonText">
    <w:name w:val="Balloon Text"/>
    <w:basedOn w:val="Normal"/>
    <w:link w:val="BalloonTextChar"/>
    <w:uiPriority w:val="99"/>
    <w:semiHidden/>
    <w:unhideWhenUsed/>
    <w:rsid w:val="00D66005"/>
    <w:pPr>
      <w:spacing w:after="0" w:line="240" w:lineRule="auto"/>
    </w:pPr>
    <w:rPr>
      <w:rFonts w:ascii="Tahoma" w:eastAsia="Times New Roman" w:hAnsi="Tahoma"/>
      <w:sz w:val="16"/>
      <w:szCs w:val="16"/>
      <w:lang w:val="en-GB"/>
    </w:rPr>
  </w:style>
  <w:style w:type="character" w:customStyle="1" w:styleId="BalloonTextChar">
    <w:name w:val="Balloon Text Char"/>
    <w:link w:val="BalloonText"/>
    <w:uiPriority w:val="99"/>
    <w:semiHidden/>
    <w:rsid w:val="00D66005"/>
    <w:rPr>
      <w:rFonts w:ascii="Tahoma" w:eastAsia="Times New Roman" w:hAnsi="Tahoma" w:cs="Times New Roman"/>
      <w:sz w:val="16"/>
      <w:szCs w:val="16"/>
      <w:lang w:val="en-GB"/>
    </w:rPr>
  </w:style>
  <w:style w:type="paragraph" w:customStyle="1" w:styleId="Normalpool">
    <w:name w:val="Normal_pool"/>
    <w:autoRedefine/>
    <w:uiPriority w:val="99"/>
    <w:semiHidden/>
    <w:rsid w:val="00D66005"/>
    <w:pPr>
      <w:tabs>
        <w:tab w:val="left" w:pos="1247"/>
        <w:tab w:val="left" w:pos="1814"/>
        <w:tab w:val="left" w:pos="2381"/>
        <w:tab w:val="left" w:pos="2948"/>
        <w:tab w:val="left" w:pos="3515"/>
        <w:tab w:val="left" w:pos="4082"/>
      </w:tabs>
    </w:pPr>
    <w:rPr>
      <w:rFonts w:ascii="Times New Roman" w:eastAsia="Times New Roman" w:hAnsi="Times New Roman"/>
      <w:lang w:val="fr-CA"/>
    </w:rPr>
  </w:style>
  <w:style w:type="paragraph" w:customStyle="1" w:styleId="AATitle">
    <w:name w:val="AA_Title"/>
    <w:basedOn w:val="Normalpool"/>
    <w:rsid w:val="00D66005"/>
    <w:pPr>
      <w:keepNext/>
      <w:keepLines/>
      <w:suppressAutoHyphens/>
      <w:ind w:right="5103"/>
    </w:pPr>
    <w:rPr>
      <w:b/>
    </w:rPr>
  </w:style>
  <w:style w:type="paragraph" w:customStyle="1" w:styleId="AATitle2">
    <w:name w:val="AA_Title2"/>
    <w:basedOn w:val="AATitle"/>
    <w:uiPriority w:val="99"/>
    <w:rsid w:val="00D66005"/>
    <w:pPr>
      <w:tabs>
        <w:tab w:val="clear" w:pos="4082"/>
      </w:tabs>
      <w:spacing w:before="120" w:after="120"/>
      <w:ind w:right="4536"/>
    </w:pPr>
  </w:style>
  <w:style w:type="paragraph" w:customStyle="1" w:styleId="BBTitle">
    <w:name w:val="BB_Title"/>
    <w:basedOn w:val="Normalpool"/>
    <w:uiPriority w:val="99"/>
    <w:rsid w:val="00D66005"/>
    <w:pPr>
      <w:keepNext/>
      <w:keepLines/>
      <w:suppressAutoHyphens/>
      <w:spacing w:before="320" w:after="240"/>
      <w:ind w:left="1247" w:right="567"/>
    </w:pPr>
    <w:rPr>
      <w:b/>
      <w:sz w:val="28"/>
      <w:szCs w:val="28"/>
    </w:rPr>
  </w:style>
  <w:style w:type="paragraph" w:customStyle="1" w:styleId="CH2">
    <w:name w:val="CH2"/>
    <w:basedOn w:val="Normalpool"/>
    <w:next w:val="Normalnumber"/>
    <w:link w:val="CH2Char"/>
    <w:uiPriority w:val="99"/>
    <w:rsid w:val="00D66005"/>
    <w:pPr>
      <w:keepNext/>
      <w:keepLines/>
      <w:tabs>
        <w:tab w:val="right" w:pos="851"/>
      </w:tabs>
      <w:suppressAutoHyphens/>
      <w:spacing w:before="80" w:after="120"/>
      <w:ind w:left="1247" w:right="284" w:hanging="1247"/>
    </w:pPr>
    <w:rPr>
      <w:b/>
      <w:sz w:val="24"/>
      <w:szCs w:val="24"/>
    </w:rPr>
  </w:style>
  <w:style w:type="paragraph" w:customStyle="1" w:styleId="CH1">
    <w:name w:val="CH1"/>
    <w:basedOn w:val="Normalpool"/>
    <w:next w:val="CH2"/>
    <w:uiPriority w:val="99"/>
    <w:rsid w:val="00D66005"/>
    <w:pPr>
      <w:keepNext/>
      <w:keepLines/>
      <w:tabs>
        <w:tab w:val="right" w:pos="851"/>
      </w:tabs>
      <w:suppressAutoHyphens/>
      <w:spacing w:before="240" w:after="120"/>
      <w:ind w:left="1247" w:right="284" w:hanging="1247"/>
    </w:pPr>
    <w:rPr>
      <w:b/>
      <w:sz w:val="28"/>
      <w:szCs w:val="28"/>
    </w:rPr>
  </w:style>
  <w:style w:type="character" w:customStyle="1" w:styleId="CH2Char">
    <w:name w:val="CH2 Char"/>
    <w:link w:val="CH2"/>
    <w:uiPriority w:val="99"/>
    <w:locked/>
    <w:rsid w:val="00D66005"/>
    <w:rPr>
      <w:rFonts w:ascii="Times New Roman" w:eastAsia="Times New Roman" w:hAnsi="Times New Roman" w:cs="Times New Roman"/>
      <w:b/>
      <w:sz w:val="24"/>
      <w:szCs w:val="24"/>
      <w:lang w:val="fr-CA"/>
    </w:rPr>
  </w:style>
  <w:style w:type="paragraph" w:customStyle="1" w:styleId="CH3">
    <w:name w:val="CH3"/>
    <w:basedOn w:val="Normalpool"/>
    <w:next w:val="Normalnumber"/>
    <w:uiPriority w:val="99"/>
    <w:rsid w:val="00D66005"/>
    <w:pPr>
      <w:keepNext/>
      <w:keepLines/>
      <w:tabs>
        <w:tab w:val="right" w:pos="851"/>
      </w:tabs>
      <w:suppressAutoHyphens/>
      <w:spacing w:after="120"/>
      <w:ind w:left="1247" w:right="284" w:hanging="1247"/>
    </w:pPr>
    <w:rPr>
      <w:b/>
    </w:rPr>
  </w:style>
  <w:style w:type="paragraph" w:customStyle="1" w:styleId="CH4">
    <w:name w:val="CH4"/>
    <w:basedOn w:val="Normalpool"/>
    <w:next w:val="Normalnumber"/>
    <w:uiPriority w:val="99"/>
    <w:rsid w:val="00D66005"/>
    <w:pPr>
      <w:keepNext/>
      <w:keepLines/>
      <w:tabs>
        <w:tab w:val="right" w:pos="851"/>
      </w:tabs>
      <w:suppressAutoHyphens/>
      <w:spacing w:after="120"/>
      <w:ind w:left="1247" w:right="284" w:hanging="1247"/>
    </w:pPr>
    <w:rPr>
      <w:b/>
    </w:rPr>
  </w:style>
  <w:style w:type="paragraph" w:customStyle="1" w:styleId="CH5">
    <w:name w:val="CH5"/>
    <w:basedOn w:val="Normalpool"/>
    <w:next w:val="Normalnumber"/>
    <w:uiPriority w:val="99"/>
    <w:rsid w:val="00D66005"/>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uiPriority w:val="99"/>
    <w:semiHidden/>
    <w:rsid w:val="00D66005"/>
    <w:pPr>
      <w:tabs>
        <w:tab w:val="left" w:pos="4321"/>
        <w:tab w:val="right" w:pos="8641"/>
      </w:tabs>
      <w:spacing w:before="60" w:after="120" w:line="240" w:lineRule="auto"/>
    </w:pPr>
    <w:rPr>
      <w:rFonts w:ascii="Times New Roman" w:hAnsi="Times New Roman"/>
      <w:b/>
      <w:sz w:val="18"/>
      <w:szCs w:val="20"/>
      <w:lang w:val="en-US"/>
    </w:rPr>
  </w:style>
  <w:style w:type="character" w:customStyle="1" w:styleId="Normal-poolChar">
    <w:name w:val="Normal-pool Char"/>
    <w:link w:val="Normal-pool"/>
    <w:locked/>
    <w:rsid w:val="00D66005"/>
    <w:rPr>
      <w:rFonts w:ascii="Times New Roman" w:eastAsia="Times New Roman" w:hAnsi="Times New Roman" w:cs="Times New Roman"/>
    </w:rPr>
  </w:style>
  <w:style w:type="paragraph" w:customStyle="1" w:styleId="Normal-pool">
    <w:name w:val="Normal-pool"/>
    <w:link w:val="Normal-poolChar"/>
    <w:rsid w:val="00D66005"/>
    <w:pPr>
      <w:tabs>
        <w:tab w:val="left" w:pos="1247"/>
        <w:tab w:val="left" w:pos="1814"/>
        <w:tab w:val="left" w:pos="2381"/>
        <w:tab w:val="left" w:pos="2948"/>
        <w:tab w:val="left" w:pos="3515"/>
        <w:tab w:val="left" w:pos="4082"/>
      </w:tabs>
    </w:pPr>
    <w:rPr>
      <w:rFonts w:ascii="Times New Roman" w:eastAsia="Times New Roman" w:hAnsi="Times New Roman"/>
      <w:sz w:val="22"/>
      <w:szCs w:val="22"/>
      <w:lang w:val="fr-FR"/>
    </w:rPr>
  </w:style>
  <w:style w:type="paragraph" w:customStyle="1" w:styleId="Footer-pool">
    <w:name w:val="Footer-pool"/>
    <w:basedOn w:val="Normal-pool"/>
    <w:next w:val="Normal-pool"/>
    <w:uiPriority w:val="99"/>
    <w:rsid w:val="00D66005"/>
    <w:pPr>
      <w:tabs>
        <w:tab w:val="left" w:pos="4321"/>
        <w:tab w:val="right" w:pos="8641"/>
      </w:tabs>
      <w:spacing w:before="60" w:after="120"/>
    </w:pPr>
    <w:rPr>
      <w:b/>
      <w:sz w:val="18"/>
    </w:rPr>
  </w:style>
  <w:style w:type="paragraph" w:customStyle="1" w:styleId="Headerpool">
    <w:name w:val="Header_pool"/>
    <w:basedOn w:val="Normal"/>
    <w:next w:val="Normal"/>
    <w:uiPriority w:val="99"/>
    <w:semiHidden/>
    <w:rsid w:val="00D66005"/>
    <w:pPr>
      <w:pBdr>
        <w:bottom w:val="single" w:sz="4" w:space="1" w:color="auto"/>
      </w:pBdr>
      <w:tabs>
        <w:tab w:val="center" w:pos="4536"/>
        <w:tab w:val="right" w:pos="9072"/>
      </w:tabs>
      <w:spacing w:after="120" w:line="240" w:lineRule="auto"/>
    </w:pPr>
    <w:rPr>
      <w:rFonts w:ascii="Times New Roman" w:hAnsi="Times New Roman"/>
      <w:b/>
      <w:sz w:val="18"/>
      <w:szCs w:val="20"/>
      <w:lang w:val="en-US"/>
    </w:rPr>
  </w:style>
  <w:style w:type="paragraph" w:customStyle="1" w:styleId="Header-pool">
    <w:name w:val="Header-pool"/>
    <w:basedOn w:val="Normal-pool"/>
    <w:next w:val="Normal-pool"/>
    <w:uiPriority w:val="99"/>
    <w:rsid w:val="00D66005"/>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Nonumber">
    <w:name w:val="Normal_No_number"/>
    <w:basedOn w:val="Normalpool"/>
    <w:uiPriority w:val="99"/>
    <w:rsid w:val="00D66005"/>
    <w:pPr>
      <w:spacing w:after="120"/>
      <w:ind w:left="1247"/>
    </w:pPr>
  </w:style>
  <w:style w:type="character" w:customStyle="1" w:styleId="NormalnumberChar">
    <w:name w:val="Normal_number Char"/>
    <w:link w:val="Normalnumber"/>
    <w:uiPriority w:val="99"/>
    <w:locked/>
    <w:rsid w:val="00D66005"/>
    <w:rPr>
      <w:rFonts w:ascii="Times New Roman" w:eastAsia="Times New Roman" w:hAnsi="Times New Roman" w:cs="Times New Roman"/>
      <w:sz w:val="20"/>
      <w:szCs w:val="20"/>
      <w:lang w:val="fr-CA"/>
    </w:rPr>
  </w:style>
  <w:style w:type="paragraph" w:customStyle="1" w:styleId="Titletable">
    <w:name w:val="Title_table"/>
    <w:basedOn w:val="Normalpool"/>
    <w:uiPriority w:val="99"/>
    <w:rsid w:val="00D66005"/>
    <w:pPr>
      <w:keepNext/>
      <w:keepLines/>
      <w:suppressAutoHyphens/>
      <w:spacing w:after="60"/>
      <w:ind w:left="1247"/>
    </w:pPr>
    <w:rPr>
      <w:b/>
      <w:bCs/>
    </w:rPr>
  </w:style>
  <w:style w:type="paragraph" w:customStyle="1" w:styleId="Titlefigure">
    <w:name w:val="Title_figure"/>
    <w:basedOn w:val="Titletable"/>
    <w:next w:val="NormalNonumber"/>
    <w:uiPriority w:val="99"/>
    <w:rsid w:val="00D66005"/>
    <w:rPr>
      <w:bCs w:val="0"/>
    </w:rPr>
  </w:style>
  <w:style w:type="paragraph" w:customStyle="1" w:styleId="ZZAnxheader">
    <w:name w:val="ZZ_Anx_header"/>
    <w:basedOn w:val="Normalpool"/>
    <w:uiPriority w:val="99"/>
    <w:rsid w:val="00D66005"/>
    <w:rPr>
      <w:b/>
      <w:bCs/>
      <w:sz w:val="28"/>
      <w:szCs w:val="22"/>
    </w:rPr>
  </w:style>
  <w:style w:type="paragraph" w:customStyle="1" w:styleId="ZZAnxtitle">
    <w:name w:val="ZZ_Anx_title"/>
    <w:basedOn w:val="Normalpool"/>
    <w:uiPriority w:val="99"/>
    <w:rsid w:val="00D66005"/>
    <w:pPr>
      <w:spacing w:before="360" w:after="120"/>
      <w:ind w:left="1247"/>
    </w:pPr>
    <w:rPr>
      <w:b/>
      <w:bCs/>
      <w:sz w:val="28"/>
      <w:szCs w:val="26"/>
    </w:rPr>
  </w:style>
  <w:style w:type="paragraph" w:customStyle="1" w:styleId="MediumGrid1-Accent21">
    <w:name w:val="Medium Grid 1 - Accent 21"/>
    <w:basedOn w:val="Normal"/>
    <w:uiPriority w:val="34"/>
    <w:qFormat/>
    <w:rsid w:val="00D66005"/>
    <w:pPr>
      <w:spacing w:after="0" w:line="240" w:lineRule="auto"/>
      <w:ind w:left="720"/>
      <w:contextualSpacing/>
    </w:pPr>
    <w:rPr>
      <w:rFonts w:ascii="Cambria" w:eastAsia="Times New Roman" w:hAnsi="Cambria"/>
      <w:sz w:val="24"/>
      <w:szCs w:val="24"/>
      <w:lang w:val="en-US" w:eastAsia="ja-JP"/>
    </w:rPr>
  </w:style>
  <w:style w:type="paragraph" w:customStyle="1" w:styleId="ColorfulList-Accent11">
    <w:name w:val="Colorful List - Accent 11"/>
    <w:basedOn w:val="Normal"/>
    <w:uiPriority w:val="34"/>
    <w:qFormat/>
    <w:rsid w:val="00D66005"/>
    <w:pPr>
      <w:ind w:left="720"/>
      <w:contextualSpacing/>
    </w:pPr>
    <w:rPr>
      <w:lang w:val="en-GB"/>
    </w:rPr>
  </w:style>
  <w:style w:type="paragraph" w:customStyle="1" w:styleId="MediumList2-Accent21">
    <w:name w:val="Medium List 2 - Accent 21"/>
    <w:uiPriority w:val="99"/>
    <w:rsid w:val="00D66005"/>
    <w:rPr>
      <w:rFonts w:ascii="Cambria" w:eastAsia="Times New Roman" w:hAnsi="Cambria"/>
      <w:sz w:val="24"/>
      <w:szCs w:val="24"/>
      <w:lang w:eastAsia="ja-JP"/>
    </w:rPr>
  </w:style>
  <w:style w:type="paragraph" w:customStyle="1" w:styleId="SingleTxt">
    <w:name w:val="__Single Txt"/>
    <w:basedOn w:val="Normal"/>
    <w:uiPriority w:val="99"/>
    <w:rsid w:val="00D6600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paragraph" w:customStyle="1" w:styleId="ListParagraph1">
    <w:name w:val="List Paragraph1"/>
    <w:basedOn w:val="Normal"/>
    <w:uiPriority w:val="99"/>
    <w:qFormat/>
    <w:rsid w:val="00D66005"/>
    <w:pPr>
      <w:spacing w:after="0" w:line="240" w:lineRule="auto"/>
      <w:ind w:left="720"/>
    </w:pPr>
    <w:rPr>
      <w:rFonts w:ascii="Times New Roman" w:eastAsia="MS Mincho" w:hAnsi="Times New Roman"/>
      <w:sz w:val="24"/>
      <w:szCs w:val="24"/>
      <w:lang w:val="en-US" w:eastAsia="en-GB"/>
    </w:rPr>
  </w:style>
  <w:style w:type="character" w:styleId="FootnoteReference">
    <w:name w:val="footnote reference"/>
    <w:semiHidden/>
    <w:unhideWhenUsed/>
    <w:rsid w:val="00D66005"/>
    <w:rPr>
      <w:rFonts w:ascii="Times New Roman" w:hAnsi="Times New Roman" w:cs="Times New Roman" w:hint="default"/>
      <w:color w:val="auto"/>
      <w:sz w:val="20"/>
      <w:szCs w:val="18"/>
      <w:vertAlign w:val="superscript"/>
    </w:rPr>
  </w:style>
  <w:style w:type="character" w:styleId="CommentReference">
    <w:name w:val="annotation reference"/>
    <w:uiPriority w:val="99"/>
    <w:semiHidden/>
    <w:unhideWhenUsed/>
    <w:rsid w:val="00D66005"/>
    <w:rPr>
      <w:sz w:val="16"/>
      <w:szCs w:val="16"/>
    </w:rPr>
  </w:style>
  <w:style w:type="character" w:styleId="PageNumber">
    <w:name w:val="page number"/>
    <w:semiHidden/>
    <w:unhideWhenUsed/>
    <w:rsid w:val="00D66005"/>
    <w:rPr>
      <w:rFonts w:ascii="Times New Roman" w:hAnsi="Times New Roman" w:cs="Times New Roman" w:hint="default"/>
      <w:b/>
      <w:bCs w:val="0"/>
      <w:sz w:val="18"/>
    </w:rPr>
  </w:style>
  <w:style w:type="paragraph" w:styleId="FootnoteText">
    <w:name w:val="footnote text"/>
    <w:basedOn w:val="Normalpool"/>
    <w:link w:val="FootnoteTextChar"/>
    <w:uiPriority w:val="99"/>
    <w:semiHidden/>
    <w:unhideWhenUsed/>
    <w:rsid w:val="00D66005"/>
    <w:pPr>
      <w:spacing w:before="20" w:after="40"/>
      <w:ind w:left="1247"/>
    </w:pPr>
    <w:rPr>
      <w:sz w:val="18"/>
    </w:rPr>
  </w:style>
  <w:style w:type="character" w:customStyle="1" w:styleId="FootnoteTextChar">
    <w:name w:val="Footnote Text Char"/>
    <w:link w:val="FootnoteText"/>
    <w:uiPriority w:val="99"/>
    <w:semiHidden/>
    <w:rsid w:val="00D66005"/>
    <w:rPr>
      <w:rFonts w:ascii="Times New Roman" w:eastAsia="Times New Roman" w:hAnsi="Times New Roman" w:cs="Times New Roman"/>
      <w:sz w:val="18"/>
      <w:szCs w:val="20"/>
      <w:lang w:val="fr-CA"/>
    </w:rPr>
  </w:style>
  <w:style w:type="table" w:styleId="TableGrid">
    <w:name w:val="Table Grid"/>
    <w:basedOn w:val="TableNormal"/>
    <w:uiPriority w:val="59"/>
    <w:rsid w:val="00D66005"/>
    <w:rPr>
      <w:rFonts w:ascii="Cambria" w:eastAsia="Times New Roman"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ATable">
    <w:name w:val="AA_Table"/>
    <w:basedOn w:val="TableNormal"/>
    <w:semiHidden/>
    <w:rsid w:val="00D66005"/>
    <w:rPr>
      <w:rFonts w:ascii="Times New Roman" w:eastAsia="Times New Roman" w:hAnsi="Times New Roman"/>
      <w:lang w:eastAsia="fr-FR"/>
    </w:rPr>
    <w:tblPr>
      <w:tblStyleRowBandSize w:val="1"/>
      <w:tblStyleColBandSize w:val="1"/>
      <w:tblInd w:w="0" w:type="dxa"/>
      <w:tblCellMar>
        <w:top w:w="0" w:type="dxa"/>
        <w:left w:w="108" w:type="dxa"/>
        <w:bottom w:w="0" w:type="dxa"/>
        <w:right w:w="108" w:type="dxa"/>
      </w:tblCellMar>
    </w:tblPr>
    <w:tblStylePr w:type="firstRow">
      <w:pPr>
        <w:wordWrap/>
        <w:spacing w:beforeLines="0" w:beforeAutospacing="1" w:afterLines="0" w:afterAutospacing="1"/>
        <w:jc w:val="left"/>
      </w:pPr>
      <w:rPr>
        <w:rFonts w:ascii="Arial" w:hAnsi="Arial" w:cs="Arial" w:hint="default"/>
        <w:b/>
        <w:i w:val="0"/>
        <w:caps/>
        <w:smallCaps w:val="0"/>
        <w:color w:val="auto"/>
        <w:sz w:val="27"/>
        <w:szCs w:val="27"/>
      </w:rPr>
    </w:tblStylePr>
    <w:tblStylePr w:type="lastRow">
      <w:pPr>
        <w:wordWrap/>
        <w:spacing w:afterLines="0" w:afterAutospacing="1"/>
        <w:ind w:rightChars="0" w:right="0"/>
      </w:pPr>
      <w:rPr>
        <w:rFonts w:ascii="Arial" w:hAnsi="Arial" w:cs="Arial" w:hint="default"/>
        <w:b/>
        <w:sz w:val="32"/>
        <w:szCs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cs="Times New Roman" w:hint="default"/>
        <w:sz w:val="20"/>
        <w:szCs w:val="20"/>
      </w:rPr>
    </w:tblStylePr>
    <w:tblStylePr w:type="band1Vert">
      <w:rPr>
        <w:rFonts w:ascii="Times New Roman" w:hAnsi="Times New Roman" w:cs="Times New Roman" w:hint="default"/>
      </w:rPr>
    </w:tblStylePr>
    <w:tblStylePr w:type="band2Vert">
      <w:pPr>
        <w:wordWrap/>
        <w:spacing w:beforeLines="0" w:beforeAutospacing="1" w:afterLines="0" w:afterAutospacing="1"/>
      </w:pPr>
      <w:rPr>
        <w:rFonts w:ascii="Times New Roman" w:hAnsi="Times New Roman" w:cs="Times New Roman" w:hint="default"/>
        <w:b/>
        <w:i w:val="0"/>
        <w:color w:val="auto"/>
        <w:sz w:val="20"/>
        <w:szCs w:val="32"/>
      </w:rPr>
    </w:tblStylePr>
    <w:tblStylePr w:type="band1Horz">
      <w:rPr>
        <w:rFonts w:ascii="Times New Roman" w:hAnsi="Times New Roman" w:cs="Times New Roman" w:hint="default"/>
        <w:sz w:val="20"/>
        <w:szCs w:val="20"/>
      </w:rPr>
      <w:tblPr/>
      <w:tcPr>
        <w:tcBorders>
          <w:bottom w:val="single" w:sz="4" w:space="0" w:color="auto"/>
        </w:tcBorders>
      </w:tcPr>
    </w:tblStylePr>
    <w:tblStylePr w:type="band2Horz">
      <w:rPr>
        <w:rFonts w:ascii="Times New Roman" w:hAnsi="Times New Roman" w:cs="Times New Roman" w:hint="default"/>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1" w:afterLines="0" w:afterAutospacing="1"/>
        <w:jc w:val="right"/>
      </w:pPr>
      <w:rPr>
        <w:rFonts w:ascii="Arial" w:hAnsi="Arial" w:cs="Arial" w:hint="default"/>
        <w:b/>
        <w:i w:val="0"/>
        <w:color w:val="auto"/>
        <w:sz w:val="64"/>
        <w:szCs w:val="64"/>
      </w:rPr>
    </w:tblStylePr>
    <w:tblStylePr w:type="nwCell">
      <w:rPr>
        <w:rFonts w:ascii="Arial" w:hAnsi="Arial" w:cs="Arial" w:hint="default"/>
        <w:b/>
        <w:i w:val="0"/>
        <w:caps/>
        <w:smallCaps w:val="0"/>
        <w:color w:val="auto"/>
        <w:sz w:val="27"/>
        <w:szCs w:val="27"/>
      </w:rPr>
    </w:tblStylePr>
    <w:tblStylePr w:type="seCell">
      <w:pPr>
        <w:wordWrap/>
        <w:spacing w:beforeLines="0" w:beforeAutospacing="1" w:afterLines="0" w:afterAutospacing="1"/>
        <w:ind w:leftChars="0" w:left="0" w:rightChars="0" w:right="0"/>
      </w:pPr>
      <w:rPr>
        <w:rFonts w:ascii="Times New Roman" w:hAnsi="Times New Roman" w:cs="Times New Roman" w:hint="default"/>
        <w:b w:val="0"/>
        <w:sz w:val="20"/>
        <w:szCs w:val="20"/>
      </w:rPr>
    </w:tblStylePr>
    <w:tblStylePr w:type="swCell">
      <w:pPr>
        <w:wordWrap/>
        <w:spacing w:afterLines="0" w:afterAutospacing="1"/>
        <w:ind w:rightChars="0" w:right="0"/>
      </w:pPr>
      <w:rPr>
        <w:rFonts w:ascii="Times New Roman" w:hAnsi="Times New Roman" w:cs="Times New Roman" w:hint="default"/>
      </w:rPr>
    </w:tblStylePr>
  </w:style>
  <w:style w:type="table" w:customStyle="1" w:styleId="Footertable">
    <w:name w:val="Footer_table"/>
    <w:basedOn w:val="TableNormal"/>
    <w:semiHidden/>
    <w:rsid w:val="00D66005"/>
    <w:rPr>
      <w:rFonts w:ascii="Arial" w:eastAsia="Times New Roman" w:hAnsi="Arial"/>
      <w:sz w:val="16"/>
      <w:lang w:eastAsia="fr-FR"/>
    </w:rPr>
    <w:tblPr>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style>
  <w:style w:type="table" w:customStyle="1" w:styleId="Tabledocright">
    <w:name w:val="Table_doc_right"/>
    <w:basedOn w:val="TableNormal"/>
    <w:rsid w:val="00D66005"/>
    <w:pPr>
      <w:spacing w:before="40" w:after="40"/>
    </w:pPr>
    <w:rPr>
      <w:rFonts w:ascii="Times New Roman" w:eastAsia="Times New Roman" w:hAnsi="Times New Roman"/>
      <w:sz w:val="18"/>
      <w:szCs w:val="18"/>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style>
  <w:style w:type="table" w:customStyle="1" w:styleId="TableGrid1">
    <w:name w:val="Table Grid1"/>
    <w:basedOn w:val="TableNormal"/>
    <w:uiPriority w:val="99"/>
    <w:rsid w:val="00D66005"/>
    <w:rPr>
      <w:rFonts w:ascii="Cambria" w:eastAsia="Times New Roman" w:hAnsi="Cambria"/>
      <w:lang w:val="en-CA" w:eastAsia="en-CA"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lrutenett1">
    <w:name w:val="Tabellrutenett1"/>
    <w:basedOn w:val="TableNormal"/>
    <w:uiPriority w:val="59"/>
    <w:rsid w:val="00D66005"/>
    <w:rPr>
      <w:rFonts w:ascii="Cambria" w:hAnsi="Cambria"/>
      <w:lang w:val="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D66005"/>
    <w:rPr>
      <w:rFonts w:eastAsia="Times New Roman"/>
      <w:sz w:val="24"/>
      <w:szCs w:val="24"/>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pool"/>
    <w:next w:val="Normalpool"/>
    <w:autoRedefine/>
    <w:uiPriority w:val="99"/>
    <w:semiHidden/>
    <w:unhideWhenUsed/>
    <w:rsid w:val="00D66005"/>
    <w:pPr>
      <w:tabs>
        <w:tab w:val="clear" w:pos="1814"/>
        <w:tab w:val="clear" w:pos="2381"/>
        <w:tab w:val="clear" w:pos="2948"/>
        <w:tab w:val="clear" w:pos="3515"/>
        <w:tab w:val="left" w:pos="1000"/>
        <w:tab w:val="right" w:leader="dot" w:pos="9486"/>
      </w:tabs>
      <w:ind w:left="3515" w:hanging="567"/>
    </w:pPr>
    <w:rPr>
      <w:szCs w:val="18"/>
    </w:rPr>
  </w:style>
  <w:style w:type="paragraph" w:styleId="TOC3">
    <w:name w:val="toc 3"/>
    <w:basedOn w:val="Normalpool"/>
    <w:next w:val="Normalpool"/>
    <w:autoRedefine/>
    <w:uiPriority w:val="99"/>
    <w:semiHidden/>
    <w:unhideWhenUsed/>
    <w:rsid w:val="00D66005"/>
    <w:pPr>
      <w:tabs>
        <w:tab w:val="clear" w:pos="1814"/>
        <w:tab w:val="clear" w:pos="2381"/>
        <w:tab w:val="clear" w:pos="2948"/>
        <w:tab w:val="clear" w:pos="3515"/>
        <w:tab w:val="right" w:leader="dot" w:pos="9486"/>
      </w:tabs>
      <w:ind w:left="2948" w:hanging="567"/>
    </w:pPr>
    <w:rPr>
      <w:iCs/>
    </w:rPr>
  </w:style>
  <w:style w:type="paragraph" w:styleId="TOC2">
    <w:name w:val="toc 2"/>
    <w:basedOn w:val="Normalpool"/>
    <w:next w:val="Normalpool"/>
    <w:autoRedefine/>
    <w:uiPriority w:val="99"/>
    <w:semiHidden/>
    <w:unhideWhenUsed/>
    <w:rsid w:val="00D66005"/>
    <w:pPr>
      <w:tabs>
        <w:tab w:val="clear" w:pos="1814"/>
        <w:tab w:val="clear" w:pos="2948"/>
        <w:tab w:val="clear" w:pos="3515"/>
        <w:tab w:val="clear" w:pos="4082"/>
        <w:tab w:val="right" w:leader="dot" w:pos="9486"/>
      </w:tabs>
      <w:ind w:left="2381" w:hanging="567"/>
    </w:pPr>
  </w:style>
  <w:style w:type="paragraph" w:styleId="TOC1">
    <w:name w:val="toc 1"/>
    <w:basedOn w:val="Normalpool"/>
    <w:next w:val="Normalpool"/>
    <w:autoRedefine/>
    <w:uiPriority w:val="99"/>
    <w:semiHidden/>
    <w:unhideWhenUsed/>
    <w:rsid w:val="00D66005"/>
    <w:pPr>
      <w:tabs>
        <w:tab w:val="clear" w:pos="2381"/>
        <w:tab w:val="clear" w:pos="2948"/>
        <w:tab w:val="clear" w:pos="3515"/>
        <w:tab w:val="clear" w:pos="4082"/>
        <w:tab w:val="right" w:leader="dot" w:pos="9486"/>
      </w:tabs>
      <w:spacing w:before="240"/>
      <w:ind w:left="1814" w:hanging="567"/>
    </w:pPr>
    <w:rPr>
      <w:bCs/>
    </w:rPr>
  </w:style>
  <w:style w:type="numbering" w:customStyle="1" w:styleId="Normallist">
    <w:name w:val="Normal_list"/>
    <w:rsid w:val="00D66005"/>
    <w:pPr>
      <w:numPr>
        <w:numId w:val="7"/>
      </w:numPr>
    </w:pPr>
  </w:style>
  <w:style w:type="paragraph" w:styleId="ListParagraph">
    <w:name w:val="List Paragraph"/>
    <w:basedOn w:val="Normal"/>
    <w:uiPriority w:val="34"/>
    <w:qFormat/>
    <w:rsid w:val="00D7471C"/>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94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D309D-7D67-4B18-8A6C-2DBC905D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20008</Words>
  <Characters>114049</Characters>
  <Application>Microsoft Office Word</Application>
  <DocSecurity>0</DocSecurity>
  <Lines>950</Lines>
  <Paragraphs>267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OECD</Company>
  <LinksUpToDate>false</LinksUpToDate>
  <CharactersWithSpaces>133790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REGENT Claudine</dc:creator>
  <cp:lastModifiedBy>Rohan Shanbhag</cp:lastModifiedBy>
  <cp:revision>2</cp:revision>
  <dcterms:created xsi:type="dcterms:W3CDTF">2013-11-22T10:49:00Z</dcterms:created>
  <dcterms:modified xsi:type="dcterms:W3CDTF">2013-11-22T10:49:00Z</dcterms:modified>
</cp:coreProperties>
</file>