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728"/>
        <w:gridCol w:w="5040"/>
        <w:gridCol w:w="3012"/>
      </w:tblGrid>
      <w:tr w:rsidR="00194D87" w:rsidRPr="00A50CE9" w:rsidTr="00B364EC">
        <w:trPr>
          <w:cantSplit/>
          <w:trHeight w:val="850"/>
        </w:trPr>
        <w:tc>
          <w:tcPr>
            <w:tcW w:w="1728" w:type="dxa"/>
          </w:tcPr>
          <w:p w:rsidR="00194D87" w:rsidRPr="00A50CE9" w:rsidRDefault="00A50CE9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rFonts w:ascii="Arial" w:hAnsi="Arial" w:cs="Arial"/>
                <w:b/>
                <w:noProof/>
                <w:sz w:val="27"/>
                <w:szCs w:val="27"/>
                <w:lang w:val="es-ES_tradnl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noProof/>
                <w:sz w:val="27"/>
                <w:szCs w:val="27"/>
                <w:lang w:val="es-ES_tradnl"/>
              </w:rPr>
              <w:t>NACIONES UNIDAS</w:t>
            </w:r>
          </w:p>
        </w:tc>
        <w:tc>
          <w:tcPr>
            <w:tcW w:w="5040" w:type="dxa"/>
          </w:tcPr>
          <w:p w:rsidR="00194D87" w:rsidRPr="00A50CE9" w:rsidRDefault="00194D87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rFonts w:ascii="Univers" w:hAnsi="Univers"/>
                <w:b/>
                <w:sz w:val="27"/>
                <w:szCs w:val="27"/>
                <w:lang w:val="es-ES_tradnl"/>
              </w:rPr>
            </w:pPr>
          </w:p>
        </w:tc>
        <w:tc>
          <w:tcPr>
            <w:tcW w:w="3012" w:type="dxa"/>
          </w:tcPr>
          <w:p w:rsidR="00194D87" w:rsidRPr="00A50CE9" w:rsidRDefault="00194D87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jc w:val="right"/>
              <w:rPr>
                <w:rFonts w:ascii="Univers" w:hAnsi="Univers"/>
                <w:b/>
                <w:sz w:val="72"/>
                <w:szCs w:val="72"/>
                <w:lang w:val="es-ES_tradnl"/>
              </w:rPr>
            </w:pPr>
            <w:r w:rsidRPr="00A50CE9">
              <w:rPr>
                <w:rFonts w:ascii="Univers" w:hAnsi="Univers"/>
                <w:b/>
                <w:sz w:val="72"/>
                <w:szCs w:val="72"/>
                <w:lang w:val="es-ES_tradnl"/>
              </w:rPr>
              <w:t>EP</w:t>
            </w:r>
          </w:p>
        </w:tc>
      </w:tr>
      <w:tr w:rsidR="00194D87" w:rsidRPr="00A50CE9" w:rsidTr="00B364EC">
        <w:trPr>
          <w:cantSplit/>
          <w:trHeight w:val="281"/>
        </w:trPr>
        <w:tc>
          <w:tcPr>
            <w:tcW w:w="1728" w:type="dxa"/>
            <w:tcBorders>
              <w:bottom w:val="single" w:sz="4" w:space="0" w:color="auto"/>
            </w:tcBorders>
          </w:tcPr>
          <w:p w:rsidR="00194D87" w:rsidRPr="00A50CE9" w:rsidRDefault="00194D87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4D87" w:rsidRPr="00A50CE9" w:rsidRDefault="00194D87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rFonts w:ascii="Univers" w:hAnsi="Univer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194D87" w:rsidRPr="00A50CE9" w:rsidRDefault="00194D87" w:rsidP="0058068F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s-ES_tradnl" w:eastAsia="ja-JP"/>
              </w:rPr>
            </w:pPr>
            <w:r w:rsidRPr="00A50CE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IPBES</w:t>
            </w:r>
            <w:r w:rsidRPr="00A50CE9">
              <w:rPr>
                <w:rFonts w:ascii="Times New Roman" w:hAnsi="Times New Roman"/>
                <w:sz w:val="20"/>
                <w:szCs w:val="20"/>
                <w:lang w:val="es-ES_tradnl"/>
              </w:rPr>
              <w:t>/</w:t>
            </w:r>
            <w:r w:rsidRPr="00A50CE9">
              <w:rPr>
                <w:rFonts w:ascii="Times New Roman" w:hAnsi="Times New Roman"/>
                <w:sz w:val="20"/>
                <w:szCs w:val="20"/>
                <w:lang w:val="es-ES_tradnl" w:eastAsia="ja-JP"/>
              </w:rPr>
              <w:t>2/1</w:t>
            </w:r>
            <w:r w:rsidR="0058068F" w:rsidRPr="00A50CE9">
              <w:rPr>
                <w:rFonts w:ascii="Times New Roman" w:hAnsi="Times New Roman"/>
                <w:sz w:val="20"/>
                <w:szCs w:val="20"/>
                <w:lang w:val="es-ES_tradnl" w:eastAsia="ja-JP"/>
              </w:rPr>
              <w:t>6/Add.7</w:t>
            </w:r>
          </w:p>
        </w:tc>
      </w:tr>
      <w:tr w:rsidR="00194D87" w:rsidRPr="00A50CE9" w:rsidTr="00B364EC">
        <w:trPr>
          <w:cantSplit/>
          <w:trHeight w:val="2549"/>
        </w:trPr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A50CE9" w:rsidRDefault="00194D87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noProof/>
                <w:lang w:val="es-ES_tradnl"/>
              </w:rPr>
            </w:pPr>
            <w:r w:rsidRPr="00A50CE9">
              <w:rPr>
                <w:noProof/>
                <w:lang w:val="es-ES_tradnl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 fillcolor="window">
                  <v:imagedata r:id="rId9" o:title=""/>
                </v:shape>
                <o:OLEObject Type="Embed" ProgID="Word.Picture.8" ShapeID="_x0000_i1025" DrawAspect="Content" ObjectID="_1445152780" r:id="rId10"/>
              </w:object>
            </w:r>
            <w:r w:rsidR="00F26E74">
              <w:rPr>
                <w:noProof/>
                <w:lang w:val="en-US"/>
              </w:rPr>
              <w:drawing>
                <wp:inline distT="0" distB="0" distL="0" distR="0">
                  <wp:extent cx="724535" cy="760095"/>
                  <wp:effectExtent l="0" t="0" r="0" b="1905"/>
                  <wp:docPr id="2" name="Picture 1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A50CE9" w:rsidRDefault="00B364EC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400" w:line="240" w:lineRule="auto"/>
              <w:rPr>
                <w:rFonts w:ascii="Univers" w:hAnsi="Univers"/>
                <w:b/>
                <w:sz w:val="28"/>
                <w:lang w:val="es-ES_tradnl"/>
              </w:rPr>
            </w:pPr>
            <w:r w:rsidRPr="00A50CE9">
              <w:rPr>
                <w:rFonts w:ascii="Univers" w:hAnsi="Univers"/>
                <w:b/>
                <w:sz w:val="32"/>
                <w:szCs w:val="32"/>
                <w:lang w:val="es-ES_tradnl"/>
              </w:rPr>
              <w:t xml:space="preserve">Programa de las </w:t>
            </w:r>
            <w:r w:rsidRPr="00A50CE9">
              <w:rPr>
                <w:rFonts w:ascii="Univers" w:hAnsi="Univers"/>
                <w:b/>
                <w:sz w:val="32"/>
                <w:szCs w:val="32"/>
                <w:lang w:val="es-ES_tradnl"/>
              </w:rPr>
              <w:br/>
            </w:r>
            <w:r w:rsidR="00A50CE9">
              <w:rPr>
                <w:rFonts w:ascii="Univers" w:hAnsi="Univers"/>
                <w:b/>
                <w:sz w:val="32"/>
                <w:szCs w:val="32"/>
                <w:lang w:val="es-ES_tradnl"/>
              </w:rPr>
              <w:t>Naciones Unidas</w:t>
            </w:r>
            <w:r w:rsidRPr="00A50CE9">
              <w:rPr>
                <w:rFonts w:ascii="Univers" w:hAnsi="Univers"/>
                <w:b/>
                <w:sz w:val="32"/>
                <w:szCs w:val="32"/>
                <w:lang w:val="es-ES_tradnl"/>
              </w:rPr>
              <w:br/>
              <w:t>para el Medio Ambiente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A50CE9" w:rsidRDefault="00194D87" w:rsidP="00F33A52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240" w:after="0" w:line="240" w:lineRule="auto"/>
              <w:rPr>
                <w:rFonts w:ascii="Times New Roman" w:hAnsi="Times New Roman"/>
                <w:lang w:val="es-ES_tradnl"/>
              </w:rPr>
            </w:pPr>
            <w:r w:rsidRPr="00A50CE9">
              <w:rPr>
                <w:rFonts w:ascii="Times New Roman" w:hAnsi="Times New Roman"/>
                <w:lang w:val="es-ES_tradnl"/>
              </w:rPr>
              <w:t>Distr.</w:t>
            </w:r>
            <w:r w:rsidR="008739DB" w:rsidRPr="00A50CE9">
              <w:rPr>
                <w:rFonts w:ascii="Times New Roman" w:hAnsi="Times New Roman"/>
                <w:lang w:val="es-ES_tradnl"/>
              </w:rPr>
              <w:t xml:space="preserve"> g</w:t>
            </w:r>
            <w:r w:rsidRPr="00A50CE9">
              <w:rPr>
                <w:rFonts w:ascii="Times New Roman" w:hAnsi="Times New Roman"/>
                <w:lang w:val="es-ES_tradnl"/>
              </w:rPr>
              <w:t>eneral</w:t>
            </w:r>
            <w:r w:rsidR="00870972" w:rsidRPr="00A50CE9">
              <w:rPr>
                <w:rFonts w:ascii="Times New Roman" w:hAnsi="Times New Roman"/>
                <w:lang w:val="es-ES_tradnl"/>
              </w:rPr>
              <w:br/>
            </w:r>
            <w:r w:rsidRPr="00A50CE9">
              <w:rPr>
                <w:rFonts w:ascii="Times New Roman" w:hAnsi="Times New Roman"/>
                <w:lang w:val="es-ES_tradnl" w:eastAsia="ja-JP"/>
              </w:rPr>
              <w:t xml:space="preserve">2 </w:t>
            </w:r>
            <w:r w:rsidR="00B364EC" w:rsidRPr="00A50CE9">
              <w:rPr>
                <w:rFonts w:ascii="Times New Roman" w:hAnsi="Times New Roman"/>
                <w:lang w:val="es-ES_tradnl" w:eastAsia="ja-JP"/>
              </w:rPr>
              <w:t>de octubre de</w:t>
            </w:r>
            <w:r w:rsidR="00D11D69" w:rsidRPr="00A50CE9">
              <w:rPr>
                <w:rFonts w:ascii="Times New Roman" w:hAnsi="Times New Roman"/>
                <w:lang w:val="es-ES_tradnl" w:eastAsia="ja-JP"/>
              </w:rPr>
              <w:t xml:space="preserve"> </w:t>
            </w:r>
            <w:r w:rsidRPr="00A50CE9">
              <w:rPr>
                <w:rFonts w:ascii="Times New Roman" w:hAnsi="Times New Roman"/>
                <w:lang w:val="es-ES_tradnl" w:eastAsia="ja-JP"/>
              </w:rPr>
              <w:t>2013</w:t>
            </w:r>
          </w:p>
          <w:p w:rsidR="00194D87" w:rsidRPr="00A50CE9" w:rsidRDefault="00B364EC" w:rsidP="00293850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A50CE9">
              <w:rPr>
                <w:rFonts w:ascii="Times New Roman" w:hAnsi="Times New Roman"/>
                <w:sz w:val="20"/>
                <w:szCs w:val="20"/>
                <w:lang w:val="es-ES_tradnl"/>
              </w:rPr>
              <w:t>Español</w:t>
            </w:r>
            <w:r w:rsidRPr="00A50CE9">
              <w:rPr>
                <w:rFonts w:ascii="Times New Roman" w:hAnsi="Times New Roman"/>
                <w:sz w:val="20"/>
                <w:szCs w:val="20"/>
                <w:lang w:val="es-ES_tradnl"/>
              </w:rPr>
              <w:br/>
              <w:t>Original: inglés</w:t>
            </w:r>
          </w:p>
        </w:tc>
      </w:tr>
    </w:tbl>
    <w:p w:rsidR="00A73EA5" w:rsidRPr="00A50CE9" w:rsidRDefault="00A73EA5" w:rsidP="00A73EA5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eastAsia="Times New Roman" w:hAnsi="Times New Roman"/>
          <w:b/>
          <w:sz w:val="20"/>
          <w:szCs w:val="20"/>
          <w:lang w:val="es-ES_tradnl"/>
        </w:rPr>
      </w:pPr>
      <w:r w:rsidRPr="00A50CE9">
        <w:rPr>
          <w:rFonts w:ascii="Times New Roman" w:eastAsia="Times New Roman" w:hAnsi="Times New Roman"/>
          <w:b/>
          <w:sz w:val="20"/>
          <w:szCs w:val="20"/>
          <w:lang w:val="es-ES_tradnl"/>
        </w:rPr>
        <w:t>Plenario de la Plataforma Intergubernamental Científico</w:t>
      </w:r>
      <w:r w:rsidR="00A50CE9">
        <w:rPr>
          <w:rFonts w:ascii="Times New Roman" w:eastAsia="Times New Roman" w:hAnsi="Times New Roman"/>
          <w:b/>
          <w:sz w:val="20"/>
          <w:szCs w:val="20"/>
          <w:lang w:val="es-ES_tradnl"/>
        </w:rPr>
        <w:noBreakHyphen/>
      </w:r>
      <w:r w:rsidRPr="00A50CE9">
        <w:rPr>
          <w:rFonts w:ascii="Times New Roman" w:eastAsia="Times New Roman" w:hAnsi="Times New Roman"/>
          <w:b/>
          <w:sz w:val="20"/>
          <w:szCs w:val="20"/>
          <w:lang w:val="es-ES_tradnl"/>
        </w:rPr>
        <w:t>normativa sobre Diversidad Biológica y Servicios de los Ecosistemas</w:t>
      </w:r>
    </w:p>
    <w:p w:rsidR="00A73EA5" w:rsidRPr="00A50CE9" w:rsidRDefault="00A73EA5" w:rsidP="00A73EA5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eastAsia="Times New Roman" w:hAnsi="Times New Roman"/>
          <w:b/>
          <w:sz w:val="20"/>
          <w:szCs w:val="20"/>
          <w:lang w:val="es-ES_tradnl"/>
        </w:rPr>
      </w:pPr>
      <w:r w:rsidRPr="00A50CE9">
        <w:rPr>
          <w:rFonts w:ascii="Times New Roman" w:eastAsia="Times New Roman" w:hAnsi="Times New Roman"/>
          <w:b/>
          <w:sz w:val="20"/>
          <w:szCs w:val="20"/>
          <w:lang w:val="es-ES_tradnl"/>
        </w:rPr>
        <w:t>Segundo período de sesiones</w:t>
      </w:r>
    </w:p>
    <w:p w:rsidR="00194D87" w:rsidRPr="00A50CE9" w:rsidRDefault="00A73EA5" w:rsidP="00A73EA5">
      <w:pPr>
        <w:pStyle w:val="AATitle"/>
        <w:rPr>
          <w:b w:val="0"/>
          <w:sz w:val="20"/>
          <w:szCs w:val="20"/>
          <w:lang w:val="es-ES_tradnl"/>
        </w:rPr>
      </w:pPr>
      <w:r w:rsidRPr="00A50CE9">
        <w:rPr>
          <w:rFonts w:eastAsia="MS Mincho"/>
          <w:b w:val="0"/>
          <w:sz w:val="20"/>
          <w:szCs w:val="20"/>
          <w:lang w:val="es-ES_tradnl" w:eastAsia="ja-JP"/>
        </w:rPr>
        <w:t>Antalya (Turquía), 9 a 14 de diciembre de 2013</w:t>
      </w:r>
    </w:p>
    <w:p w:rsidR="008A5A06" w:rsidRPr="00A50CE9" w:rsidRDefault="00A73EA5" w:rsidP="008A5A06">
      <w:pPr>
        <w:pStyle w:val="AATitle"/>
        <w:rPr>
          <w:b w:val="0"/>
          <w:sz w:val="20"/>
          <w:szCs w:val="20"/>
          <w:lang w:val="es-ES_tradnl"/>
        </w:rPr>
      </w:pPr>
      <w:r w:rsidRPr="00A50CE9">
        <w:rPr>
          <w:b w:val="0"/>
          <w:sz w:val="20"/>
          <w:szCs w:val="20"/>
          <w:lang w:val="es-ES_tradnl"/>
        </w:rPr>
        <w:t>Tema</w:t>
      </w:r>
      <w:r w:rsidR="008A5A06" w:rsidRPr="00A50CE9">
        <w:rPr>
          <w:b w:val="0"/>
          <w:sz w:val="20"/>
          <w:szCs w:val="20"/>
          <w:lang w:val="es-ES_tradnl"/>
        </w:rPr>
        <w:t xml:space="preserve"> 4 a) </w:t>
      </w:r>
      <w:r w:rsidRPr="00A50CE9">
        <w:rPr>
          <w:b w:val="0"/>
          <w:sz w:val="20"/>
          <w:szCs w:val="20"/>
          <w:lang w:val="es-ES_tradnl"/>
        </w:rPr>
        <w:t>del progra</w:t>
      </w:r>
      <w:r w:rsidR="00AE0F42" w:rsidRPr="00A50CE9">
        <w:rPr>
          <w:b w:val="0"/>
          <w:sz w:val="20"/>
          <w:szCs w:val="20"/>
          <w:lang w:val="es-ES_tradnl"/>
        </w:rPr>
        <w:t>m</w:t>
      </w:r>
      <w:r w:rsidRPr="00A50CE9">
        <w:rPr>
          <w:b w:val="0"/>
          <w:sz w:val="20"/>
          <w:szCs w:val="20"/>
          <w:lang w:val="es-ES_tradnl"/>
        </w:rPr>
        <w:t>a provisional</w:t>
      </w:r>
      <w:r w:rsidR="008A5A06" w:rsidRPr="00A50CE9">
        <w:rPr>
          <w:rStyle w:val="FootnoteReference"/>
          <w:b w:val="0"/>
          <w:szCs w:val="20"/>
          <w:lang w:val="es-ES_tradnl" w:eastAsia="ja-JP"/>
        </w:rPr>
        <w:footnoteReference w:customMarkFollows="1" w:id="1"/>
        <w:sym w:font="Symbol" w:char="F02A"/>
      </w:r>
    </w:p>
    <w:p w:rsidR="00194D87" w:rsidRPr="00A50CE9" w:rsidRDefault="00F95528" w:rsidP="00A53029">
      <w:pPr>
        <w:pStyle w:val="AATitle2"/>
        <w:spacing w:before="60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>Programa de trabajo inicial de la Plataforma:</w:t>
      </w:r>
      <w:r w:rsidR="008A5A06" w:rsidRPr="00A50CE9">
        <w:rPr>
          <w:sz w:val="20"/>
          <w:szCs w:val="20"/>
          <w:lang w:val="es-ES_tradnl"/>
        </w:rPr>
        <w:t xml:space="preserve"> </w:t>
      </w:r>
      <w:r w:rsidR="008739DB" w:rsidRPr="00A50CE9">
        <w:rPr>
          <w:sz w:val="20"/>
          <w:szCs w:val="20"/>
          <w:lang w:val="es-ES_tradnl"/>
        </w:rPr>
        <w:t>p</w:t>
      </w:r>
      <w:r w:rsidRPr="00A50CE9">
        <w:rPr>
          <w:sz w:val="20"/>
          <w:szCs w:val="20"/>
          <w:lang w:val="es-ES_tradnl"/>
        </w:rPr>
        <w:t>rograma de trabajo para el período 2014–2018</w:t>
      </w:r>
    </w:p>
    <w:p w:rsidR="00E65B1B" w:rsidRPr="00A50CE9" w:rsidRDefault="00F33A52" w:rsidP="00E65B1B">
      <w:pPr>
        <w:pStyle w:val="BBTitle"/>
        <w:rPr>
          <w:lang w:val="es-ES_tradnl"/>
        </w:rPr>
      </w:pPr>
      <w:r w:rsidRPr="00A50CE9">
        <w:rPr>
          <w:lang w:val="es-ES_tradnl"/>
        </w:rPr>
        <w:t>Análisis</w:t>
      </w:r>
      <w:r w:rsidR="00FD0C6D" w:rsidRPr="00A50CE9">
        <w:rPr>
          <w:lang w:val="es-ES_tradnl"/>
        </w:rPr>
        <w:t xml:space="preserve"> </w:t>
      </w:r>
      <w:r w:rsidR="006436C2" w:rsidRPr="00A50CE9">
        <w:rPr>
          <w:lang w:val="es-ES_tradnl"/>
        </w:rPr>
        <w:t xml:space="preserve">inicial </w:t>
      </w:r>
      <w:r w:rsidR="009F46B5" w:rsidRPr="00A50CE9">
        <w:rPr>
          <w:lang w:val="es-ES_tradnl"/>
        </w:rPr>
        <w:t>de la evaluación temática de la agricultura, la seguridad alimentaria, la diversidad biológica y los servicios de los ecosistemas</w:t>
      </w:r>
    </w:p>
    <w:p w:rsidR="005B3915" w:rsidRPr="00A50CE9" w:rsidRDefault="005B3915" w:rsidP="00E65B1B">
      <w:pPr>
        <w:pStyle w:val="BBTitle"/>
        <w:rPr>
          <w:sz w:val="24"/>
          <w:szCs w:val="24"/>
          <w:lang w:val="es-ES_tradnl"/>
        </w:rPr>
      </w:pPr>
      <w:r w:rsidRPr="00A50CE9">
        <w:rPr>
          <w:sz w:val="24"/>
          <w:szCs w:val="24"/>
          <w:lang w:val="es-ES_tradnl"/>
        </w:rPr>
        <w:t>Nota de la secretaría</w:t>
      </w:r>
    </w:p>
    <w:p w:rsidR="005B3915" w:rsidRPr="00A50CE9" w:rsidRDefault="005B3915" w:rsidP="00163480">
      <w:pPr>
        <w:pStyle w:val="BBTitle"/>
        <w:numPr>
          <w:ilvl w:val="0"/>
          <w:numId w:val="36"/>
        </w:numPr>
        <w:ind w:left="1344"/>
        <w:rPr>
          <w:lang w:val="es-ES_tradnl"/>
        </w:rPr>
      </w:pPr>
      <w:r w:rsidRPr="00A50CE9">
        <w:rPr>
          <w:szCs w:val="24"/>
          <w:lang w:val="es-ES_tradnl"/>
        </w:rPr>
        <w:t>Introducción</w:t>
      </w:r>
    </w:p>
    <w:p w:rsidR="00436B31" w:rsidRPr="00A50CE9" w:rsidRDefault="00163480" w:rsidP="00163480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Reconociendo la necesidad de avanzar con el programa de trabajo para el período 2014–2018, tras su aprobación por el Plenario de la Plataforma Intergubernamental Científico normativa sobre Diversidad Biológica y Servicios de los Ecosistemas en su segundo período de sesiones, la Mesa y el Grupo multidisciplinario de expertos acordaron preparar, para su examen por el Plenario en ese período de sesiones, una serie de documentos de análisis inicial basándose en las prioridades asignadas a las solicitudes, sugerencias y aportaciones presentadas a la Plataforma y en los productos previstos que se incluían en el proyecto de programa de trabajo (IPBES/2/2). En la presente nota figura el análisis inicial de una propuesta de evaluación temática </w:t>
      </w:r>
      <w:r w:rsidR="00F217E3" w:rsidRPr="00A50CE9">
        <w:rPr>
          <w:sz w:val="20"/>
          <w:szCs w:val="20"/>
          <w:lang w:val="es-ES_tradnl"/>
        </w:rPr>
        <w:t>de la</w:t>
      </w:r>
      <w:r w:rsidRPr="00A50CE9">
        <w:rPr>
          <w:sz w:val="20"/>
          <w:szCs w:val="20"/>
          <w:lang w:val="es-ES_tradnl"/>
        </w:rPr>
        <w:t xml:space="preserve"> agricultura, la seguridad alimentaria, la</w:t>
      </w:r>
      <w:r w:rsidR="00F217E3" w:rsidRPr="00A50CE9">
        <w:rPr>
          <w:sz w:val="20"/>
          <w:szCs w:val="20"/>
          <w:lang w:val="es-ES_tradnl"/>
        </w:rPr>
        <w:t xml:space="preserve"> diversidad biológica y los servicios de los ecosistemas. </w:t>
      </w:r>
      <w:r w:rsidRPr="00A50CE9">
        <w:rPr>
          <w:sz w:val="20"/>
          <w:szCs w:val="20"/>
          <w:lang w:val="es-ES_tradnl"/>
        </w:rPr>
        <w:t>El análisis se elaboró de conformidad con el proyecto de procedimientos para preparar los resultados previstos de la Plataforma (IPBES/2/9).</w:t>
      </w:r>
    </w:p>
    <w:p w:rsidR="00DE0ADE" w:rsidRPr="00A50CE9" w:rsidRDefault="00E65B1B" w:rsidP="00762016">
      <w:pPr>
        <w:pStyle w:val="CH1"/>
        <w:rPr>
          <w:lang w:val="es-ES_tradnl"/>
        </w:rPr>
      </w:pPr>
      <w:r w:rsidRPr="00A50CE9">
        <w:rPr>
          <w:lang w:val="es-ES_tradnl"/>
        </w:rPr>
        <w:tab/>
      </w:r>
      <w:r w:rsidR="005B3915" w:rsidRPr="00A50CE9">
        <w:rPr>
          <w:lang w:val="es-ES_tradnl"/>
        </w:rPr>
        <w:t>I</w:t>
      </w:r>
      <w:r w:rsidR="00B658EA" w:rsidRPr="00A50CE9">
        <w:rPr>
          <w:lang w:val="es-ES_tradnl"/>
        </w:rPr>
        <w:t>I</w:t>
      </w:r>
      <w:r w:rsidRPr="00A50CE9">
        <w:rPr>
          <w:lang w:val="es-ES_tradnl"/>
        </w:rPr>
        <w:t>.</w:t>
      </w:r>
      <w:r w:rsidRPr="00A50CE9">
        <w:rPr>
          <w:lang w:val="es-ES_tradnl"/>
        </w:rPr>
        <w:tab/>
      </w:r>
      <w:r w:rsidR="000B2387" w:rsidRPr="00A50CE9">
        <w:rPr>
          <w:lang w:val="es-ES_tradnl"/>
        </w:rPr>
        <w:t>Alcance, fundamento y utilidad</w:t>
      </w:r>
    </w:p>
    <w:p w:rsidR="00DE0ADE" w:rsidRPr="00A50CE9" w:rsidRDefault="0057716D" w:rsidP="00762016">
      <w:pPr>
        <w:pStyle w:val="CH2"/>
        <w:rPr>
          <w:lang w:val="es-ES_tradnl"/>
        </w:rPr>
      </w:pPr>
      <w:r w:rsidRPr="00A50CE9">
        <w:rPr>
          <w:lang w:val="es-ES_tradnl"/>
        </w:rPr>
        <w:tab/>
      </w:r>
      <w:r w:rsidR="00B658EA" w:rsidRPr="00A50CE9">
        <w:rPr>
          <w:lang w:val="es-ES_tradnl"/>
        </w:rPr>
        <w:t>A.</w:t>
      </w:r>
      <w:r w:rsidR="00B658EA" w:rsidRPr="00A50CE9">
        <w:rPr>
          <w:lang w:val="es-ES_tradnl"/>
        </w:rPr>
        <w:tab/>
      </w:r>
      <w:r w:rsidR="000B2387" w:rsidRPr="00A50CE9">
        <w:rPr>
          <w:lang w:val="es-ES_tradnl"/>
        </w:rPr>
        <w:t>Alcance</w:t>
      </w:r>
    </w:p>
    <w:p w:rsidR="006709E3" w:rsidRPr="00A50CE9" w:rsidRDefault="006709E3" w:rsidP="00E65B1B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¿Constituye el </w:t>
      </w:r>
      <w:r w:rsidR="000B2387" w:rsidRPr="00A50CE9">
        <w:rPr>
          <w:sz w:val="20"/>
          <w:szCs w:val="20"/>
          <w:lang w:val="es-ES_tradnl"/>
        </w:rPr>
        <w:t xml:space="preserve">enfoque de </w:t>
      </w:r>
      <w:r w:rsidR="00A50CE9">
        <w:rPr>
          <w:sz w:val="20"/>
          <w:szCs w:val="20"/>
          <w:lang w:val="es-ES_tradnl"/>
        </w:rPr>
        <w:t>“</w:t>
      </w:r>
      <w:r w:rsidR="000B2387" w:rsidRPr="00A50CE9">
        <w:rPr>
          <w:sz w:val="20"/>
          <w:szCs w:val="20"/>
          <w:lang w:val="es-ES_tradnl"/>
        </w:rPr>
        <w:t>intensificación sostenible</w:t>
      </w:r>
      <w:r w:rsidR="00A50CE9">
        <w:rPr>
          <w:sz w:val="20"/>
          <w:szCs w:val="20"/>
          <w:lang w:val="es-ES_tradnl"/>
        </w:rPr>
        <w:t>”</w:t>
      </w:r>
      <w:r w:rsidR="000B2387" w:rsidRPr="00A50CE9">
        <w:rPr>
          <w:sz w:val="20"/>
          <w:szCs w:val="20"/>
          <w:lang w:val="es-ES_tradnl"/>
        </w:rPr>
        <w:t xml:space="preserve"> una eficaz opción normativa para hacer frente a las necesidades de seguridad alimentaria a nivel mundial </w:t>
      </w:r>
      <w:r w:rsidRPr="00A50CE9">
        <w:rPr>
          <w:sz w:val="20"/>
          <w:szCs w:val="20"/>
          <w:lang w:val="es-ES_tradnl"/>
        </w:rPr>
        <w:t xml:space="preserve">sin </w:t>
      </w:r>
      <w:r w:rsidR="00E81EEE" w:rsidRPr="00A50CE9">
        <w:rPr>
          <w:sz w:val="20"/>
          <w:szCs w:val="20"/>
          <w:lang w:val="es-ES_tradnl"/>
        </w:rPr>
        <w:t>poner en riesgo</w:t>
      </w:r>
      <w:r w:rsidRPr="00A50CE9">
        <w:rPr>
          <w:sz w:val="20"/>
          <w:szCs w:val="20"/>
          <w:lang w:val="es-ES_tradnl"/>
        </w:rPr>
        <w:t xml:space="preserve"> los servicios de los ecosistemas, específicamente la diversidad biológica</w:t>
      </w:r>
      <w:r w:rsidR="00E65B1B" w:rsidRPr="00A50CE9">
        <w:rPr>
          <w:sz w:val="20"/>
          <w:szCs w:val="20"/>
          <w:lang w:val="es-ES_tradnl"/>
        </w:rPr>
        <w:t>?</w:t>
      </w:r>
      <w:r w:rsidRPr="00A50CE9">
        <w:rPr>
          <w:sz w:val="20"/>
          <w:szCs w:val="20"/>
          <w:lang w:val="es-ES_tradnl"/>
        </w:rPr>
        <w:t xml:space="preserve"> </w:t>
      </w:r>
    </w:p>
    <w:p w:rsidR="00E65B1B" w:rsidRPr="00A50CE9" w:rsidRDefault="00796B96" w:rsidP="00E65B1B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>La posible presión sobre los recursos del suelo e hídricos</w:t>
      </w:r>
      <w:r w:rsidR="006A4EDE" w:rsidRPr="00A50CE9">
        <w:rPr>
          <w:sz w:val="20"/>
          <w:szCs w:val="20"/>
          <w:lang w:val="es-ES_tradnl"/>
        </w:rPr>
        <w:t xml:space="preserve"> a medida que </w:t>
      </w:r>
      <w:r w:rsidR="009538D4" w:rsidRPr="00A50CE9">
        <w:rPr>
          <w:sz w:val="20"/>
          <w:szCs w:val="20"/>
          <w:lang w:val="es-ES_tradnl"/>
        </w:rPr>
        <w:t xml:space="preserve">aumenta </w:t>
      </w:r>
      <w:r w:rsidR="006A4EDE" w:rsidRPr="00A50CE9">
        <w:rPr>
          <w:sz w:val="20"/>
          <w:szCs w:val="20"/>
          <w:lang w:val="es-ES_tradnl"/>
        </w:rPr>
        <w:t xml:space="preserve">la demanda de productividad agrícola para alimentar a un mundo de 9000 millones de personas supone que las políticas deben </w:t>
      </w:r>
      <w:r w:rsidR="00C24E2D" w:rsidRPr="00A50CE9">
        <w:rPr>
          <w:sz w:val="20"/>
          <w:szCs w:val="20"/>
          <w:lang w:val="es-ES_tradnl"/>
        </w:rPr>
        <w:t xml:space="preserve">establecer un equilibrio entre </w:t>
      </w:r>
      <w:r w:rsidR="006A4EDE" w:rsidRPr="00A50CE9">
        <w:rPr>
          <w:sz w:val="20"/>
          <w:szCs w:val="20"/>
          <w:lang w:val="es-ES_tradnl"/>
        </w:rPr>
        <w:t xml:space="preserve">la capacidad productiva de los suelos y el agua </w:t>
      </w:r>
      <w:r w:rsidR="00C24E2D" w:rsidRPr="00A50CE9">
        <w:rPr>
          <w:sz w:val="20"/>
          <w:szCs w:val="20"/>
          <w:lang w:val="es-ES_tradnl"/>
        </w:rPr>
        <w:t>y</w:t>
      </w:r>
      <w:r w:rsidR="006A4EDE" w:rsidRPr="00A50CE9">
        <w:rPr>
          <w:sz w:val="20"/>
          <w:szCs w:val="20"/>
          <w:lang w:val="es-ES_tradnl"/>
        </w:rPr>
        <w:t xml:space="preserve"> su valor intrínseco como proveedores de servicios de los ecosistemas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1D237E" w:rsidRPr="00A50CE9">
        <w:rPr>
          <w:sz w:val="20"/>
          <w:szCs w:val="20"/>
          <w:lang w:val="es-ES_tradnl"/>
        </w:rPr>
        <w:t xml:space="preserve">La evaluación propuesta se </w:t>
      </w:r>
      <w:r w:rsidR="001D237E" w:rsidRPr="00A50CE9">
        <w:rPr>
          <w:sz w:val="20"/>
          <w:szCs w:val="20"/>
          <w:lang w:val="es-ES_tradnl"/>
        </w:rPr>
        <w:lastRenderedPageBreak/>
        <w:t>fundamentará en documentos anteriores que han resumido el estado de los conocimientos en relación con esta cuestión y abordará específicamente el contexto normativo</w:t>
      </w:r>
      <w:r w:rsidR="00E65B1B" w:rsidRPr="00A50CE9">
        <w:rPr>
          <w:sz w:val="20"/>
          <w:szCs w:val="20"/>
          <w:lang w:val="es-ES_tradnl"/>
        </w:rPr>
        <w:t xml:space="preserve">. </w:t>
      </w:r>
    </w:p>
    <w:p w:rsidR="00E65B1B" w:rsidRPr="00A50CE9" w:rsidRDefault="002E3BD1" w:rsidP="00E65B1B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Las opciones normativas relativas a la producción agrícola sostenible y la diversidad biológica brindan la oportunidad de elaborar nuevas tecnologías </w:t>
      </w:r>
      <w:r w:rsidR="00E65B1B" w:rsidRPr="00A50CE9">
        <w:rPr>
          <w:sz w:val="20"/>
          <w:szCs w:val="20"/>
          <w:lang w:val="es-ES_tradnl"/>
        </w:rPr>
        <w:t>(</w:t>
      </w:r>
      <w:r w:rsidRPr="00A50CE9">
        <w:rPr>
          <w:sz w:val="20"/>
          <w:szCs w:val="20"/>
          <w:lang w:val="es-ES_tradnl"/>
        </w:rPr>
        <w:t>incluido nuevo germoplasma</w:t>
      </w:r>
      <w:r w:rsidR="00E65B1B" w:rsidRPr="00A50CE9">
        <w:rPr>
          <w:sz w:val="20"/>
          <w:szCs w:val="20"/>
          <w:lang w:val="es-ES_tradnl"/>
        </w:rPr>
        <w:t xml:space="preserve">) </w:t>
      </w:r>
      <w:r w:rsidRPr="00A50CE9">
        <w:rPr>
          <w:sz w:val="20"/>
          <w:szCs w:val="20"/>
          <w:lang w:val="es-ES_tradnl"/>
        </w:rPr>
        <w:t>que podría</w:t>
      </w:r>
      <w:r w:rsidR="009538D4" w:rsidRPr="00A50CE9">
        <w:rPr>
          <w:sz w:val="20"/>
          <w:szCs w:val="20"/>
          <w:lang w:val="es-ES_tradnl"/>
        </w:rPr>
        <w:t>n</w:t>
      </w:r>
      <w:r w:rsidRPr="00A50CE9">
        <w:rPr>
          <w:sz w:val="20"/>
          <w:szCs w:val="20"/>
          <w:lang w:val="es-ES_tradnl"/>
        </w:rPr>
        <w:t xml:space="preserve"> aumentar la resiliencia en los sistemas agrícolas, especialmente en respuesta a la variabilidad y el cambio climáticos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E00600" w:rsidRPr="00A50CE9">
        <w:rPr>
          <w:sz w:val="20"/>
          <w:szCs w:val="20"/>
          <w:lang w:val="es-ES_tradnl"/>
        </w:rPr>
        <w:t xml:space="preserve">A la vez, las prácticas agrícolas pueden repercutir en la diversidad biológica y los servicios de los ecosistemas que la misma </w:t>
      </w:r>
      <w:r w:rsidR="002536DA" w:rsidRPr="00A50CE9">
        <w:rPr>
          <w:sz w:val="20"/>
          <w:szCs w:val="20"/>
          <w:lang w:val="es-ES_tradnl"/>
        </w:rPr>
        <w:t>proporciona</w:t>
      </w:r>
      <w:r w:rsidR="00E65B1B" w:rsidRPr="00A50CE9">
        <w:rPr>
          <w:sz w:val="20"/>
          <w:szCs w:val="20"/>
          <w:lang w:val="es-ES_tradnl"/>
        </w:rPr>
        <w:t>.</w:t>
      </w:r>
      <w:r w:rsidR="00E00600" w:rsidRPr="00A50CE9">
        <w:rPr>
          <w:sz w:val="20"/>
          <w:szCs w:val="20"/>
          <w:lang w:val="es-ES_tradnl"/>
        </w:rPr>
        <w:t xml:space="preserve"> La evaluación propuesta abordaría directamente esta dualidad</w:t>
      </w:r>
      <w:r w:rsidR="00E65B1B" w:rsidRPr="00A50CE9">
        <w:rPr>
          <w:sz w:val="20"/>
          <w:szCs w:val="20"/>
          <w:lang w:val="es-ES_tradnl"/>
        </w:rPr>
        <w:t>.</w:t>
      </w:r>
    </w:p>
    <w:p w:rsidR="00DE0ADE" w:rsidRPr="00A50CE9" w:rsidRDefault="0057716D" w:rsidP="00762016">
      <w:pPr>
        <w:pStyle w:val="CH2"/>
        <w:rPr>
          <w:b w:val="0"/>
          <w:lang w:val="es-ES_tradnl"/>
        </w:rPr>
      </w:pPr>
      <w:r w:rsidRPr="00A50CE9">
        <w:rPr>
          <w:lang w:val="es-ES_tradnl"/>
        </w:rPr>
        <w:tab/>
      </w:r>
      <w:r w:rsidR="00FD2D22" w:rsidRPr="00A50CE9">
        <w:rPr>
          <w:lang w:val="es-ES_tradnl"/>
        </w:rPr>
        <w:t>B.</w:t>
      </w:r>
      <w:r w:rsidR="00FD2D22" w:rsidRPr="00A50CE9">
        <w:rPr>
          <w:lang w:val="es-ES_tradnl"/>
        </w:rPr>
        <w:tab/>
      </w:r>
      <w:r w:rsidR="00E00600" w:rsidRPr="00A50CE9">
        <w:rPr>
          <w:lang w:val="es-ES_tradnl"/>
        </w:rPr>
        <w:t>Fundamento</w:t>
      </w:r>
    </w:p>
    <w:p w:rsidR="00E65B1B" w:rsidRPr="00A50CE9" w:rsidRDefault="006254B2" w:rsidP="00E65B1B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La </w:t>
      </w:r>
      <w:r w:rsidR="00A00D32" w:rsidRPr="00A50CE9">
        <w:rPr>
          <w:sz w:val="20"/>
          <w:szCs w:val="20"/>
          <w:lang w:val="es-ES_tradnl"/>
        </w:rPr>
        <w:t xml:space="preserve">presión </w:t>
      </w:r>
      <w:r w:rsidRPr="00A50CE9">
        <w:rPr>
          <w:sz w:val="20"/>
          <w:szCs w:val="20"/>
          <w:lang w:val="es-ES_tradnl"/>
        </w:rPr>
        <w:t xml:space="preserve">sobre los ecosistemas terrestres y acuáticos para producir alimentos </w:t>
      </w:r>
      <w:r w:rsidR="0076224E" w:rsidRPr="00A50CE9">
        <w:rPr>
          <w:sz w:val="20"/>
          <w:szCs w:val="20"/>
          <w:lang w:val="es-ES_tradnl"/>
        </w:rPr>
        <w:t xml:space="preserve">se </w:t>
      </w:r>
      <w:r w:rsidRPr="00A50CE9">
        <w:rPr>
          <w:sz w:val="20"/>
          <w:szCs w:val="20"/>
          <w:lang w:val="es-ES_tradnl"/>
        </w:rPr>
        <w:t>debe contrarrestar mediante prácticas que mantengan y valoren los servicios de los ecosistemas aportados por esos sistemas que sustentan la vida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3C1D33" w:rsidRPr="00A50CE9">
        <w:rPr>
          <w:sz w:val="20"/>
          <w:szCs w:val="20"/>
          <w:lang w:val="es-ES_tradnl"/>
        </w:rPr>
        <w:t xml:space="preserve">Si bien </w:t>
      </w:r>
      <w:r w:rsidR="00207792" w:rsidRPr="00A50CE9">
        <w:rPr>
          <w:sz w:val="20"/>
          <w:szCs w:val="20"/>
          <w:lang w:val="es-ES_tradnl"/>
        </w:rPr>
        <w:t xml:space="preserve">en </w:t>
      </w:r>
      <w:r w:rsidR="003C1D33" w:rsidRPr="00A50CE9">
        <w:rPr>
          <w:sz w:val="20"/>
          <w:szCs w:val="20"/>
          <w:lang w:val="es-ES_tradnl"/>
        </w:rPr>
        <w:t xml:space="preserve">las evaluaciones y los informes </w:t>
      </w:r>
      <w:r w:rsidR="00207792" w:rsidRPr="00A50CE9">
        <w:rPr>
          <w:sz w:val="20"/>
          <w:szCs w:val="20"/>
          <w:lang w:val="es-ES_tradnl"/>
        </w:rPr>
        <w:t xml:space="preserve">se </w:t>
      </w:r>
      <w:r w:rsidR="003C1D33" w:rsidRPr="00A50CE9">
        <w:rPr>
          <w:sz w:val="20"/>
          <w:szCs w:val="20"/>
          <w:lang w:val="es-ES_tradnl"/>
        </w:rPr>
        <w:t>ha resumido el estado de los conocimientos en es</w:t>
      </w:r>
      <w:r w:rsidR="0024552A" w:rsidRPr="00A50CE9">
        <w:rPr>
          <w:sz w:val="20"/>
          <w:szCs w:val="20"/>
          <w:lang w:val="es-ES_tradnl"/>
        </w:rPr>
        <w:t>t</w:t>
      </w:r>
      <w:r w:rsidR="003C1D33" w:rsidRPr="00A50CE9">
        <w:rPr>
          <w:sz w:val="20"/>
          <w:szCs w:val="20"/>
          <w:lang w:val="es-ES_tradnl"/>
        </w:rPr>
        <w:t>a esfera, esos conocimientos no se han puesto en práctica lo suficientemente</w:t>
      </w:r>
      <w:r w:rsidR="00D448A3" w:rsidRPr="00A50CE9">
        <w:rPr>
          <w:sz w:val="20"/>
          <w:szCs w:val="20"/>
          <w:lang w:val="es-ES_tradnl"/>
        </w:rPr>
        <w:t xml:space="preserve"> para</w:t>
      </w:r>
      <w:r w:rsidR="003C1D33" w:rsidRPr="00A50CE9">
        <w:rPr>
          <w:sz w:val="20"/>
          <w:szCs w:val="20"/>
          <w:lang w:val="es-ES_tradnl"/>
        </w:rPr>
        <w:t>, por ejemplo, elaborar políticas eficaces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3447AA" w:rsidRPr="00A50CE9">
        <w:rPr>
          <w:sz w:val="20"/>
          <w:szCs w:val="20"/>
          <w:lang w:val="es-ES_tradnl"/>
        </w:rPr>
        <w:t>La evaluación propuesta añadiría valor a la literatura actual abordando para ello la escasez de políticas y, lo que es más importante, ampliando la consideración de los servicios de los ecosistemas además de la diversidad biológica</w:t>
      </w:r>
      <w:r w:rsidR="00E65B1B" w:rsidRPr="00A50CE9">
        <w:rPr>
          <w:sz w:val="20"/>
          <w:szCs w:val="20"/>
          <w:lang w:val="es-ES_tradnl"/>
        </w:rPr>
        <w:t>.</w:t>
      </w:r>
    </w:p>
    <w:p w:rsidR="00DE0ADE" w:rsidRPr="00A50CE9" w:rsidRDefault="0057716D" w:rsidP="00762016">
      <w:pPr>
        <w:pStyle w:val="CH2"/>
        <w:rPr>
          <w:lang w:val="es-ES_tradnl"/>
        </w:rPr>
      </w:pPr>
      <w:r w:rsidRPr="00A50CE9">
        <w:rPr>
          <w:lang w:val="es-ES_tradnl"/>
        </w:rPr>
        <w:tab/>
      </w:r>
      <w:r w:rsidR="00A93108" w:rsidRPr="00A50CE9">
        <w:rPr>
          <w:lang w:val="es-ES_tradnl"/>
        </w:rPr>
        <w:t>C.</w:t>
      </w:r>
      <w:r w:rsidR="00A93108" w:rsidRPr="00A50CE9">
        <w:rPr>
          <w:lang w:val="es-ES_tradnl"/>
        </w:rPr>
        <w:tab/>
      </w:r>
      <w:r w:rsidR="00207792" w:rsidRPr="00A50CE9">
        <w:rPr>
          <w:lang w:val="es-ES_tradnl"/>
        </w:rPr>
        <w:t>Utilidad</w:t>
      </w:r>
    </w:p>
    <w:p w:rsidR="00E65B1B" w:rsidRPr="00A50CE9" w:rsidRDefault="0024619E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un informe de la Organización de las </w:t>
      </w:r>
      <w:r w:rsidR="00A50CE9">
        <w:rPr>
          <w:sz w:val="20"/>
          <w:szCs w:val="20"/>
          <w:lang w:val="es-ES_tradnl"/>
        </w:rPr>
        <w:t>Naciones Unidas</w:t>
      </w:r>
      <w:r w:rsidRPr="00A50CE9">
        <w:rPr>
          <w:sz w:val="20"/>
          <w:szCs w:val="20"/>
          <w:lang w:val="es-ES_tradnl"/>
        </w:rPr>
        <w:t xml:space="preserve"> para la Alimentación y la Agricultura publicado en 2011 titulado </w:t>
      </w:r>
      <w:r w:rsidR="00A50CE9">
        <w:rPr>
          <w:sz w:val="20"/>
          <w:szCs w:val="20"/>
          <w:lang w:val="es-ES_tradnl"/>
        </w:rPr>
        <w:t>“</w:t>
      </w:r>
      <w:r w:rsidR="005E32F2" w:rsidRPr="00A50CE9">
        <w:rPr>
          <w:i/>
          <w:sz w:val="20"/>
          <w:szCs w:val="20"/>
          <w:lang w:val="es-ES_tradnl"/>
        </w:rPr>
        <w:t>Biodiversity for Food and Agriculture</w:t>
      </w:r>
      <w:r w:rsidR="00A50CE9">
        <w:rPr>
          <w:sz w:val="20"/>
          <w:szCs w:val="20"/>
          <w:lang w:val="es-ES_tradnl"/>
        </w:rPr>
        <w:t>”</w:t>
      </w:r>
      <w:r w:rsidR="009204AA" w:rsidRPr="00A50CE9">
        <w:rPr>
          <w:sz w:val="20"/>
          <w:szCs w:val="20"/>
          <w:lang w:val="es-ES_tradnl"/>
        </w:rPr>
        <w:t xml:space="preserve"> se examin</w:t>
      </w:r>
      <w:r w:rsidR="002A123A" w:rsidRPr="00A50CE9">
        <w:rPr>
          <w:sz w:val="20"/>
          <w:szCs w:val="20"/>
          <w:lang w:val="es-ES_tradnl"/>
        </w:rPr>
        <w:t>ó</w:t>
      </w:r>
      <w:r w:rsidR="009204AA" w:rsidRPr="00A50CE9">
        <w:rPr>
          <w:sz w:val="20"/>
          <w:szCs w:val="20"/>
          <w:lang w:val="es-ES_tradnl"/>
        </w:rPr>
        <w:t xml:space="preserve"> la literatura sobre este tema, así como sus complejidades, desde una perspectiva investigativa y se determina</w:t>
      </w:r>
      <w:r w:rsidR="002A123A" w:rsidRPr="00A50CE9">
        <w:rPr>
          <w:sz w:val="20"/>
          <w:szCs w:val="20"/>
          <w:lang w:val="es-ES_tradnl"/>
        </w:rPr>
        <w:t>ro</w:t>
      </w:r>
      <w:r w:rsidR="009204AA" w:rsidRPr="00A50CE9">
        <w:rPr>
          <w:sz w:val="20"/>
          <w:szCs w:val="20"/>
          <w:lang w:val="es-ES_tradnl"/>
        </w:rPr>
        <w:t>n varias necesidades normativas</w:t>
      </w:r>
      <w:r w:rsidR="00E65B1B" w:rsidRPr="00A50CE9">
        <w:rPr>
          <w:sz w:val="20"/>
          <w:szCs w:val="20"/>
          <w:lang w:val="es-ES_tradnl"/>
        </w:rPr>
        <w:t>.</w:t>
      </w:r>
      <w:r w:rsidR="008739DB" w:rsidRPr="00A50CE9">
        <w:rPr>
          <w:sz w:val="20"/>
          <w:szCs w:val="20"/>
          <w:lang w:val="es-ES_tradnl"/>
        </w:rPr>
        <w:t xml:space="preserve"> </w:t>
      </w:r>
      <w:r w:rsidR="009204AA" w:rsidRPr="00A50CE9">
        <w:rPr>
          <w:sz w:val="20"/>
          <w:szCs w:val="20"/>
          <w:lang w:val="es-ES_tradnl"/>
        </w:rPr>
        <w:t xml:space="preserve">La evaluación propuesta se centrará en esas cuestiones normativas y añadirá un examen de la evidencia procedente de los sistemas de conocimientos indígenas y locales, </w:t>
      </w:r>
      <w:r w:rsidR="009179CE" w:rsidRPr="00A50CE9">
        <w:rPr>
          <w:sz w:val="20"/>
          <w:szCs w:val="20"/>
          <w:lang w:val="es-ES_tradnl"/>
        </w:rPr>
        <w:t>acompañado de</w:t>
      </w:r>
      <w:r w:rsidR="009204AA" w:rsidRPr="00A50CE9">
        <w:rPr>
          <w:sz w:val="20"/>
          <w:szCs w:val="20"/>
          <w:lang w:val="es-ES_tradnl"/>
        </w:rPr>
        <w:t xml:space="preserve"> un </w:t>
      </w:r>
      <w:r w:rsidR="005F7F13" w:rsidRPr="00A50CE9">
        <w:rPr>
          <w:sz w:val="20"/>
          <w:szCs w:val="20"/>
          <w:lang w:val="es-ES_tradnl"/>
        </w:rPr>
        <w:t>análisis</w:t>
      </w:r>
      <w:r w:rsidR="009204AA" w:rsidRPr="00A50CE9">
        <w:rPr>
          <w:sz w:val="20"/>
          <w:szCs w:val="20"/>
          <w:lang w:val="es-ES_tradnl"/>
        </w:rPr>
        <w:t xml:space="preserve"> m</w:t>
      </w:r>
      <w:r w:rsidR="005F7F13" w:rsidRPr="00A50CE9">
        <w:rPr>
          <w:sz w:val="20"/>
          <w:szCs w:val="20"/>
          <w:lang w:val="es-ES_tradnl"/>
        </w:rPr>
        <w:t>á</w:t>
      </w:r>
      <w:r w:rsidR="009204AA" w:rsidRPr="00A50CE9">
        <w:rPr>
          <w:sz w:val="20"/>
          <w:szCs w:val="20"/>
          <w:lang w:val="es-ES_tradnl"/>
        </w:rPr>
        <w:t>s explícito de los servicios de los ecosistemas</w:t>
      </w:r>
      <w:r w:rsidR="00E65B1B" w:rsidRPr="00A50CE9">
        <w:rPr>
          <w:sz w:val="20"/>
          <w:szCs w:val="20"/>
          <w:lang w:val="es-ES_tradnl"/>
        </w:rPr>
        <w:t xml:space="preserve">, </w:t>
      </w:r>
      <w:r w:rsidR="009204AA" w:rsidRPr="00A50CE9">
        <w:rPr>
          <w:sz w:val="20"/>
          <w:szCs w:val="20"/>
          <w:lang w:val="es-ES_tradnl"/>
        </w:rPr>
        <w:t>empleando para ello un enfoque regional tamizado</w:t>
      </w:r>
      <w:r w:rsidR="00F3679B" w:rsidRPr="00A50CE9">
        <w:rPr>
          <w:sz w:val="20"/>
          <w:szCs w:val="20"/>
          <w:lang w:val="es-ES_tradnl"/>
        </w:rPr>
        <w:t xml:space="preserve"> por el </w:t>
      </w:r>
      <w:r w:rsidR="009204AA" w:rsidRPr="00A50CE9">
        <w:rPr>
          <w:sz w:val="20"/>
          <w:szCs w:val="20"/>
          <w:lang w:val="es-ES_tradnl"/>
        </w:rPr>
        <w:t xml:space="preserve">filtro de las cuatro funciones de la </w:t>
      </w:r>
      <w:r w:rsidR="002A123A" w:rsidRPr="00A50CE9">
        <w:rPr>
          <w:sz w:val="20"/>
          <w:szCs w:val="20"/>
          <w:lang w:val="es-ES_tradnl"/>
        </w:rPr>
        <w:t xml:space="preserve">Plataforma, en relación con </w:t>
      </w:r>
      <w:r w:rsidR="009204AA" w:rsidRPr="00A50CE9">
        <w:rPr>
          <w:sz w:val="20"/>
          <w:szCs w:val="20"/>
          <w:lang w:val="es-ES_tradnl"/>
        </w:rPr>
        <w:t>la determinación de las deficiencias en los conocimientos, las necesidades de</w:t>
      </w:r>
      <w:r w:rsidR="002A123A" w:rsidRPr="00A50CE9">
        <w:rPr>
          <w:sz w:val="20"/>
          <w:szCs w:val="20"/>
          <w:lang w:val="es-ES_tradnl"/>
        </w:rPr>
        <w:t xml:space="preserve"> fomento de la</w:t>
      </w:r>
      <w:r w:rsidR="009204AA" w:rsidRPr="00A50CE9">
        <w:rPr>
          <w:sz w:val="20"/>
          <w:szCs w:val="20"/>
          <w:lang w:val="es-ES_tradnl"/>
        </w:rPr>
        <w:t xml:space="preserve"> capacidad</w:t>
      </w:r>
      <w:r w:rsidR="00E65B1B" w:rsidRPr="00A50CE9">
        <w:rPr>
          <w:sz w:val="20"/>
          <w:szCs w:val="20"/>
          <w:lang w:val="es-ES_tradnl"/>
        </w:rPr>
        <w:t>,</w:t>
      </w:r>
      <w:r w:rsidR="009204AA" w:rsidRPr="00A50CE9">
        <w:rPr>
          <w:sz w:val="20"/>
          <w:szCs w:val="20"/>
          <w:lang w:val="es-ES_tradnl"/>
        </w:rPr>
        <w:t xml:space="preserve"> los vínculos con las entidades </w:t>
      </w:r>
      <w:r w:rsidR="00C02879" w:rsidRPr="00A50CE9">
        <w:rPr>
          <w:sz w:val="20"/>
          <w:szCs w:val="20"/>
          <w:lang w:val="es-ES_tradnl"/>
        </w:rPr>
        <w:t>encargadas de</w:t>
      </w:r>
      <w:r w:rsidR="009204AA" w:rsidRPr="00A50CE9">
        <w:rPr>
          <w:sz w:val="20"/>
          <w:szCs w:val="20"/>
          <w:lang w:val="es-ES_tradnl"/>
        </w:rPr>
        <w:t xml:space="preserve"> adoptar decisiones y el aporte de herramientas y directrices para la </w:t>
      </w:r>
      <w:r w:rsidR="008D55E9" w:rsidRPr="00A50CE9">
        <w:rPr>
          <w:sz w:val="20"/>
          <w:szCs w:val="20"/>
          <w:lang w:val="es-ES_tradnl"/>
        </w:rPr>
        <w:t>formulación</w:t>
      </w:r>
      <w:r w:rsidR="009204AA" w:rsidRPr="00A50CE9">
        <w:rPr>
          <w:sz w:val="20"/>
          <w:szCs w:val="20"/>
          <w:lang w:val="es-ES_tradnl"/>
        </w:rPr>
        <w:t xml:space="preserve"> de políticas</w:t>
      </w:r>
      <w:r w:rsidR="00E65B1B" w:rsidRPr="00A50CE9">
        <w:rPr>
          <w:sz w:val="20"/>
          <w:szCs w:val="20"/>
          <w:lang w:val="es-ES_tradnl"/>
        </w:rPr>
        <w:t xml:space="preserve">. </w:t>
      </w:r>
    </w:p>
    <w:p w:rsidR="00E65B1B" w:rsidRPr="00A50CE9" w:rsidRDefault="00364DCD" w:rsidP="00762016">
      <w:pPr>
        <w:pStyle w:val="CH1"/>
        <w:rPr>
          <w:lang w:val="es-ES_tradnl"/>
        </w:rPr>
      </w:pPr>
      <w:r w:rsidRPr="00A50CE9">
        <w:rPr>
          <w:lang w:val="es-ES_tradnl"/>
        </w:rPr>
        <w:tab/>
      </w:r>
      <w:r w:rsidR="000179E3" w:rsidRPr="00A50CE9">
        <w:rPr>
          <w:lang w:val="es-ES_tradnl"/>
        </w:rPr>
        <w:t>I</w:t>
      </w:r>
      <w:r w:rsidR="005B3915" w:rsidRPr="00A50CE9">
        <w:rPr>
          <w:lang w:val="es-ES_tradnl"/>
        </w:rPr>
        <w:t>I</w:t>
      </w:r>
      <w:r w:rsidR="000179E3" w:rsidRPr="00A50CE9">
        <w:rPr>
          <w:lang w:val="es-ES_tradnl"/>
        </w:rPr>
        <w:t>I</w:t>
      </w:r>
      <w:r w:rsidR="00DE0ADE" w:rsidRPr="00A50CE9">
        <w:rPr>
          <w:lang w:val="es-ES_tradnl"/>
        </w:rPr>
        <w:t>.</w:t>
      </w:r>
      <w:r w:rsidR="00DE0ADE" w:rsidRPr="00A50CE9">
        <w:rPr>
          <w:lang w:val="es-ES_tradnl"/>
        </w:rPr>
        <w:tab/>
      </w:r>
      <w:r w:rsidR="005C4BAC" w:rsidRPr="00A50CE9">
        <w:rPr>
          <w:lang w:val="es-ES_tradnl"/>
        </w:rPr>
        <w:t>Estructura por</w:t>
      </w:r>
      <w:r w:rsidR="001D3389" w:rsidRPr="00A50CE9">
        <w:rPr>
          <w:lang w:val="es-ES_tradnl"/>
        </w:rPr>
        <w:t xml:space="preserve"> capítulos </w:t>
      </w:r>
    </w:p>
    <w:p w:rsidR="00315D2C" w:rsidRPr="00A50CE9" w:rsidRDefault="002A123A" w:rsidP="002A123A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>Se prevé que los resultados de la evaluación temática por vía rápida se presenten en un informe que contendrá nueve capítulos, estructurados de la manera siguiente:</w:t>
      </w:r>
    </w:p>
    <w:p w:rsidR="00E65B1B" w:rsidRPr="00A50CE9" w:rsidRDefault="001D3389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>En el capítulo 1 se presentarán conceptos pertinentes y una breve perspectiva general del estado actual de los diferentes sistemas de producción empleados en el mundo</w:t>
      </w:r>
      <w:r w:rsidR="00DB0348" w:rsidRPr="00A50CE9">
        <w:rPr>
          <w:sz w:val="20"/>
          <w:szCs w:val="20"/>
          <w:lang w:val="es-ES_tradnl"/>
        </w:rPr>
        <w:t>.</w:t>
      </w:r>
      <w:r w:rsidR="00E65B1B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>Se examinarán los sistemas agrícolas de plantas y animales, incluida la acuicultura</w:t>
      </w:r>
      <w:r w:rsidR="00E65B1B" w:rsidRPr="00A50CE9">
        <w:rPr>
          <w:sz w:val="20"/>
          <w:szCs w:val="20"/>
          <w:lang w:val="es-ES_tradnl"/>
        </w:rPr>
        <w:t xml:space="preserve">. </w:t>
      </w:r>
    </w:p>
    <w:p w:rsidR="00E65B1B" w:rsidRPr="00A50CE9" w:rsidRDefault="002A693D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>En el capítulo 2 se examinará la relación que existe entre la producción de alimentos y los servicios de los ecosistemas, desde los puntos de vista de las sinergias y la competición</w:t>
      </w:r>
      <w:r w:rsidR="00E65B1B" w:rsidRPr="00A50CE9">
        <w:rPr>
          <w:sz w:val="20"/>
          <w:szCs w:val="20"/>
          <w:lang w:val="es-ES_tradnl"/>
        </w:rPr>
        <w:t>.</w:t>
      </w:r>
      <w:r w:rsidRPr="00A50CE9">
        <w:rPr>
          <w:sz w:val="20"/>
          <w:szCs w:val="20"/>
          <w:lang w:val="es-ES_tradnl"/>
        </w:rPr>
        <w:t xml:space="preserve"> En este capítulo se producirá cierta superposición</w:t>
      </w:r>
      <w:r w:rsidR="006B6A7B" w:rsidRPr="00A50CE9">
        <w:rPr>
          <w:sz w:val="20"/>
          <w:szCs w:val="20"/>
          <w:lang w:val="es-ES_tradnl"/>
        </w:rPr>
        <w:t xml:space="preserve"> con la evaluación </w:t>
      </w:r>
      <w:r w:rsidRPr="00A50CE9">
        <w:rPr>
          <w:sz w:val="20"/>
          <w:szCs w:val="20"/>
          <w:lang w:val="es-ES_tradnl"/>
        </w:rPr>
        <w:t>temática propuesta sobre la degradación y</w:t>
      </w:r>
      <w:r w:rsidR="006B6A7B" w:rsidRPr="00A50CE9">
        <w:rPr>
          <w:sz w:val="20"/>
          <w:szCs w:val="20"/>
          <w:lang w:val="es-ES_tradnl"/>
        </w:rPr>
        <w:t xml:space="preserve"> regeneración </w:t>
      </w:r>
      <w:r w:rsidRPr="00A50CE9">
        <w:rPr>
          <w:sz w:val="20"/>
          <w:szCs w:val="20"/>
          <w:lang w:val="es-ES_tradnl"/>
        </w:rPr>
        <w:t xml:space="preserve">de los suelos </w:t>
      </w:r>
      <w:r w:rsidR="00164791" w:rsidRPr="00A50CE9">
        <w:rPr>
          <w:sz w:val="20"/>
          <w:szCs w:val="20"/>
          <w:lang w:val="es-ES_tradnl"/>
        </w:rPr>
        <w:t>(</w:t>
      </w:r>
      <w:r w:rsidR="002A123A" w:rsidRPr="00A50CE9">
        <w:rPr>
          <w:sz w:val="20"/>
          <w:szCs w:val="20"/>
          <w:lang w:val="es-ES_tradnl"/>
        </w:rPr>
        <w:t xml:space="preserve">véase </w:t>
      </w:r>
      <w:r w:rsidR="00164791" w:rsidRPr="00A50CE9">
        <w:rPr>
          <w:sz w:val="20"/>
          <w:szCs w:val="20"/>
          <w:lang w:val="es-ES_tradnl"/>
        </w:rPr>
        <w:t>IPBES/2/16/Add.</w:t>
      </w:r>
      <w:r w:rsidR="00F03422" w:rsidRPr="00A50CE9">
        <w:rPr>
          <w:sz w:val="20"/>
          <w:szCs w:val="20"/>
          <w:lang w:val="es-ES_tradnl"/>
        </w:rPr>
        <w:t>2</w:t>
      </w:r>
      <w:r w:rsidR="00164791" w:rsidRPr="00A50CE9">
        <w:rPr>
          <w:sz w:val="20"/>
          <w:szCs w:val="20"/>
          <w:lang w:val="es-ES_tradnl"/>
        </w:rPr>
        <w:t xml:space="preserve">) </w:t>
      </w:r>
      <w:r w:rsidR="006B6A7B" w:rsidRPr="00A50CE9">
        <w:rPr>
          <w:sz w:val="20"/>
          <w:szCs w:val="20"/>
          <w:lang w:val="es-ES_tradnl"/>
        </w:rPr>
        <w:t xml:space="preserve">y la evaluación de vía rápida propuesta para la polinización y la producción de alimentos </w:t>
      </w:r>
      <w:r w:rsidR="00164791" w:rsidRPr="00A50CE9">
        <w:rPr>
          <w:sz w:val="20"/>
          <w:szCs w:val="20"/>
          <w:lang w:val="es-ES_tradnl"/>
        </w:rPr>
        <w:t>(</w:t>
      </w:r>
      <w:r w:rsidR="002A123A" w:rsidRPr="00A50CE9">
        <w:rPr>
          <w:sz w:val="20"/>
          <w:szCs w:val="20"/>
          <w:lang w:val="es-ES_tradnl"/>
        </w:rPr>
        <w:t xml:space="preserve">véase </w:t>
      </w:r>
      <w:r w:rsidR="00164791" w:rsidRPr="00A50CE9">
        <w:rPr>
          <w:sz w:val="20"/>
          <w:szCs w:val="20"/>
          <w:lang w:val="es-ES_tradnl"/>
        </w:rPr>
        <w:t>IPBES/2/16/Add.</w:t>
      </w:r>
      <w:r w:rsidR="00F03422" w:rsidRPr="00A50CE9">
        <w:rPr>
          <w:sz w:val="20"/>
          <w:szCs w:val="20"/>
          <w:lang w:val="es-ES_tradnl"/>
        </w:rPr>
        <w:t>1</w:t>
      </w:r>
      <w:r w:rsidR="00164791" w:rsidRPr="00A50CE9">
        <w:rPr>
          <w:sz w:val="20"/>
          <w:szCs w:val="20"/>
          <w:lang w:val="es-ES_tradnl"/>
        </w:rPr>
        <w:t>)</w:t>
      </w:r>
      <w:r w:rsidR="00E65B1B" w:rsidRPr="00A50CE9">
        <w:rPr>
          <w:sz w:val="20"/>
          <w:szCs w:val="20"/>
          <w:lang w:val="es-ES_tradnl"/>
        </w:rPr>
        <w:t>.</w:t>
      </w:r>
    </w:p>
    <w:p w:rsidR="00E65B1B" w:rsidRPr="00A50CE9" w:rsidRDefault="006B6A7B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capítulo </w:t>
      </w:r>
      <w:r w:rsidR="00E65B1B" w:rsidRPr="00A50CE9">
        <w:rPr>
          <w:sz w:val="20"/>
          <w:szCs w:val="20"/>
          <w:lang w:val="es-ES_tradnl"/>
        </w:rPr>
        <w:t>3</w:t>
      </w:r>
      <w:r w:rsidR="006E7F64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 xml:space="preserve">se tratará sobre la función que desempeña la regulación de los servicios de los ecosistemas en la seguridad alimentaria, </w:t>
      </w:r>
      <w:r w:rsidR="00123979" w:rsidRPr="00A50CE9">
        <w:rPr>
          <w:sz w:val="20"/>
          <w:szCs w:val="20"/>
          <w:lang w:val="es-ES_tradnl"/>
        </w:rPr>
        <w:t>incluidos los vínculos con la diversidad biológica, el contexto fisiográfico, la calidad y cantidad de los recursos hídricos</w:t>
      </w:r>
      <w:r w:rsidR="00E65B1B" w:rsidRPr="00A50CE9">
        <w:rPr>
          <w:sz w:val="20"/>
          <w:szCs w:val="20"/>
          <w:lang w:val="es-ES_tradnl"/>
        </w:rPr>
        <w:t>,</w:t>
      </w:r>
      <w:r w:rsidR="00123979" w:rsidRPr="00A50CE9">
        <w:rPr>
          <w:sz w:val="20"/>
          <w:szCs w:val="20"/>
          <w:lang w:val="es-ES_tradnl"/>
        </w:rPr>
        <w:t xml:space="preserve"> la salud</w:t>
      </w:r>
      <w:r w:rsidR="000375E3" w:rsidRPr="00A50CE9">
        <w:rPr>
          <w:sz w:val="20"/>
          <w:szCs w:val="20"/>
          <w:lang w:val="es-ES_tradnl"/>
        </w:rPr>
        <w:t xml:space="preserve"> y</w:t>
      </w:r>
      <w:r w:rsidR="00123979" w:rsidRPr="00A50CE9">
        <w:rPr>
          <w:sz w:val="20"/>
          <w:szCs w:val="20"/>
          <w:lang w:val="es-ES_tradnl"/>
        </w:rPr>
        <w:t xml:space="preserve"> las dimensiones </w:t>
      </w:r>
      <w:r w:rsidR="000375E3" w:rsidRPr="00A50CE9">
        <w:rPr>
          <w:sz w:val="20"/>
          <w:szCs w:val="20"/>
          <w:lang w:val="es-ES_tradnl"/>
        </w:rPr>
        <w:t xml:space="preserve">económicas y </w:t>
      </w:r>
      <w:r w:rsidR="00123979" w:rsidRPr="00A50CE9">
        <w:rPr>
          <w:sz w:val="20"/>
          <w:szCs w:val="20"/>
          <w:lang w:val="es-ES_tradnl"/>
        </w:rPr>
        <w:t>sociales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123979" w:rsidRPr="00A50CE9">
        <w:rPr>
          <w:sz w:val="20"/>
          <w:szCs w:val="20"/>
          <w:lang w:val="es-ES_tradnl"/>
        </w:rPr>
        <w:t xml:space="preserve">Entre los temas objeto de examen figurarán la polinización </w:t>
      </w:r>
      <w:r w:rsidR="00E65B1B" w:rsidRPr="00A50CE9">
        <w:rPr>
          <w:sz w:val="20"/>
          <w:szCs w:val="20"/>
          <w:lang w:val="es-ES_tradnl"/>
        </w:rPr>
        <w:t>(</w:t>
      </w:r>
      <w:r w:rsidR="00123979" w:rsidRPr="00A50CE9">
        <w:rPr>
          <w:sz w:val="20"/>
          <w:szCs w:val="20"/>
          <w:lang w:val="es-ES_tradnl"/>
        </w:rPr>
        <w:t xml:space="preserve">cuyo examen coincidirá parcialmente con la valoración de vía rápida propuesta para la polinización </w:t>
      </w:r>
      <w:r w:rsidR="00D07536" w:rsidRPr="00A50CE9">
        <w:rPr>
          <w:sz w:val="20"/>
          <w:szCs w:val="20"/>
          <w:lang w:val="es-ES_tradnl"/>
        </w:rPr>
        <w:t xml:space="preserve">y </w:t>
      </w:r>
      <w:r w:rsidR="00123979" w:rsidRPr="00A50CE9">
        <w:rPr>
          <w:sz w:val="20"/>
          <w:szCs w:val="20"/>
          <w:lang w:val="es-ES_tradnl"/>
        </w:rPr>
        <w:t xml:space="preserve">la producción de alimentos </w:t>
      </w:r>
      <w:r w:rsidR="006E7F64" w:rsidRPr="00A50CE9">
        <w:rPr>
          <w:sz w:val="20"/>
          <w:szCs w:val="20"/>
          <w:lang w:val="es-ES_tradnl"/>
        </w:rPr>
        <w:t>(</w:t>
      </w:r>
      <w:r w:rsidR="000375E3" w:rsidRPr="00A50CE9">
        <w:rPr>
          <w:sz w:val="20"/>
          <w:szCs w:val="20"/>
          <w:lang w:val="es-ES_tradnl"/>
        </w:rPr>
        <w:t xml:space="preserve">véase </w:t>
      </w:r>
      <w:r w:rsidR="006E7F64" w:rsidRPr="00A50CE9">
        <w:rPr>
          <w:sz w:val="20"/>
          <w:szCs w:val="20"/>
          <w:lang w:val="es-ES_tradnl"/>
        </w:rPr>
        <w:t>IPBES/2/16/Add.</w:t>
      </w:r>
      <w:r w:rsidR="00A60E3D" w:rsidRPr="00A50CE9">
        <w:rPr>
          <w:sz w:val="20"/>
          <w:szCs w:val="20"/>
          <w:lang w:val="es-ES_tradnl"/>
        </w:rPr>
        <w:t>1</w:t>
      </w:r>
      <w:r w:rsidR="006E7F64" w:rsidRPr="00A50CE9">
        <w:rPr>
          <w:sz w:val="20"/>
          <w:szCs w:val="20"/>
          <w:lang w:val="es-ES_tradnl"/>
        </w:rPr>
        <w:t>)</w:t>
      </w:r>
      <w:r w:rsidR="00E65B1B" w:rsidRPr="00A50CE9">
        <w:rPr>
          <w:sz w:val="20"/>
          <w:szCs w:val="20"/>
          <w:lang w:val="es-ES_tradnl"/>
        </w:rPr>
        <w:t>),</w:t>
      </w:r>
      <w:r w:rsidR="00123979" w:rsidRPr="00A50CE9">
        <w:rPr>
          <w:sz w:val="20"/>
          <w:szCs w:val="20"/>
          <w:lang w:val="es-ES_tradnl"/>
        </w:rPr>
        <w:t xml:space="preserve"> la importancia de los servicios de los ecosistemas, los factores que impulsan la diversidad biológica </w:t>
      </w:r>
      <w:r w:rsidR="00E65B1B" w:rsidRPr="00A50CE9">
        <w:rPr>
          <w:sz w:val="20"/>
          <w:szCs w:val="20"/>
          <w:lang w:val="es-ES_tradnl"/>
        </w:rPr>
        <w:t>(</w:t>
      </w:r>
      <w:r w:rsidR="00123979" w:rsidRPr="00A50CE9">
        <w:rPr>
          <w:sz w:val="20"/>
          <w:szCs w:val="20"/>
          <w:lang w:val="es-ES_tradnl"/>
        </w:rPr>
        <w:t>se necesitan más abejas silvestres en lugar de abejas melífera</w:t>
      </w:r>
      <w:r w:rsidR="00D07536" w:rsidRPr="00A50CE9">
        <w:rPr>
          <w:sz w:val="20"/>
          <w:szCs w:val="20"/>
          <w:lang w:val="es-ES_tradnl"/>
        </w:rPr>
        <w:t>s</w:t>
      </w:r>
      <w:r w:rsidR="00123979" w:rsidRPr="00A50CE9">
        <w:rPr>
          <w:sz w:val="20"/>
          <w:szCs w:val="20"/>
          <w:lang w:val="es-ES_tradnl"/>
        </w:rPr>
        <w:t>)</w:t>
      </w:r>
      <w:r w:rsidR="00E65B1B" w:rsidRPr="00A50CE9">
        <w:rPr>
          <w:sz w:val="20"/>
          <w:szCs w:val="20"/>
          <w:lang w:val="es-ES_tradnl"/>
        </w:rPr>
        <w:t xml:space="preserve">, </w:t>
      </w:r>
      <w:r w:rsidR="00123979" w:rsidRPr="00A50CE9">
        <w:rPr>
          <w:sz w:val="20"/>
          <w:szCs w:val="20"/>
          <w:lang w:val="es-ES_tradnl"/>
        </w:rPr>
        <w:t>las cuestiones económicas y la función de las polinizaciones en la sociedad rural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123979" w:rsidRPr="00A50CE9">
        <w:rPr>
          <w:sz w:val="20"/>
          <w:szCs w:val="20"/>
          <w:lang w:val="es-ES_tradnl"/>
        </w:rPr>
        <w:t>El control biológico y la descomposición del suelo son otros de los servicios importantes que se examinarán</w:t>
      </w:r>
      <w:r w:rsidR="00E65B1B" w:rsidRPr="00A50CE9">
        <w:rPr>
          <w:sz w:val="20"/>
          <w:szCs w:val="20"/>
          <w:lang w:val="es-ES_tradnl"/>
        </w:rPr>
        <w:t>.</w:t>
      </w:r>
    </w:p>
    <w:p w:rsidR="00E65B1B" w:rsidRPr="00A50CE9" w:rsidRDefault="000C040B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capítulo </w:t>
      </w:r>
      <w:r w:rsidR="00E65B1B" w:rsidRPr="00A50CE9">
        <w:rPr>
          <w:sz w:val="20"/>
          <w:szCs w:val="20"/>
          <w:lang w:val="es-ES_tradnl"/>
        </w:rPr>
        <w:t>4</w:t>
      </w:r>
      <w:r w:rsidR="00D4108C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 xml:space="preserve">se examinarán los factores que </w:t>
      </w:r>
      <w:r w:rsidR="00D07536" w:rsidRPr="00A50CE9">
        <w:rPr>
          <w:sz w:val="20"/>
          <w:szCs w:val="20"/>
          <w:lang w:val="es-ES_tradnl"/>
        </w:rPr>
        <w:t>im</w:t>
      </w:r>
      <w:r w:rsidRPr="00A50CE9">
        <w:rPr>
          <w:sz w:val="20"/>
          <w:szCs w:val="20"/>
          <w:lang w:val="es-ES_tradnl"/>
        </w:rPr>
        <w:t>pulsan la intensificación agrícola y la utilización de los suelos</w:t>
      </w:r>
      <w:r w:rsidR="00E65B1B" w:rsidRPr="00A50CE9">
        <w:rPr>
          <w:sz w:val="20"/>
          <w:szCs w:val="20"/>
          <w:lang w:val="es-ES_tradnl"/>
        </w:rPr>
        <w:t xml:space="preserve">, </w:t>
      </w:r>
      <w:r w:rsidRPr="00A50CE9">
        <w:rPr>
          <w:sz w:val="20"/>
          <w:szCs w:val="20"/>
          <w:lang w:val="es-ES_tradnl"/>
        </w:rPr>
        <w:t>con inclusión de los vínculos entre las zonas rurales y las urbanas</w:t>
      </w:r>
      <w:r w:rsidR="00E65B1B" w:rsidRPr="00A50CE9">
        <w:rPr>
          <w:sz w:val="20"/>
          <w:szCs w:val="20"/>
          <w:lang w:val="es-ES_tradnl"/>
        </w:rPr>
        <w:t xml:space="preserve">, </w:t>
      </w:r>
      <w:r w:rsidRPr="00A50CE9">
        <w:rPr>
          <w:sz w:val="20"/>
          <w:szCs w:val="20"/>
          <w:lang w:val="es-ES_tradnl"/>
        </w:rPr>
        <w:t>la tenencia de la tierra, el cambio en las demandas y el comercio internacional y sus posibles repercusiones en los servicios de los ecosistemas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4B2985" w:rsidRPr="00A50CE9">
        <w:rPr>
          <w:sz w:val="20"/>
          <w:szCs w:val="20"/>
          <w:lang w:val="es-ES_tradnl"/>
        </w:rPr>
        <w:t xml:space="preserve">Se incluirá la función e importancia de la acuicultura, </w:t>
      </w:r>
      <w:r w:rsidR="00035549" w:rsidRPr="00A50CE9">
        <w:rPr>
          <w:sz w:val="20"/>
          <w:szCs w:val="20"/>
          <w:lang w:val="es-ES_tradnl"/>
        </w:rPr>
        <w:t>con un examen de los sistemas de agua dulce y marino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035549" w:rsidRPr="00A50CE9">
        <w:rPr>
          <w:sz w:val="20"/>
          <w:szCs w:val="20"/>
          <w:lang w:val="es-ES_tradnl"/>
        </w:rPr>
        <w:t xml:space="preserve">Estos últimos </w:t>
      </w:r>
      <w:r w:rsidR="00D07536" w:rsidRPr="00A50CE9">
        <w:rPr>
          <w:sz w:val="20"/>
          <w:szCs w:val="20"/>
          <w:lang w:val="es-ES_tradnl"/>
        </w:rPr>
        <w:t xml:space="preserve">se </w:t>
      </w:r>
      <w:r w:rsidR="00035549" w:rsidRPr="00A50CE9">
        <w:rPr>
          <w:sz w:val="20"/>
          <w:szCs w:val="20"/>
          <w:lang w:val="es-ES_tradnl"/>
        </w:rPr>
        <w:t>examinarán al nivel regional</w:t>
      </w:r>
      <w:r w:rsidR="00F03422" w:rsidRPr="00A50CE9">
        <w:rPr>
          <w:sz w:val="20"/>
          <w:szCs w:val="20"/>
          <w:lang w:val="es-ES_tradnl"/>
        </w:rPr>
        <w:t>.</w:t>
      </w:r>
    </w:p>
    <w:p w:rsidR="00E65B1B" w:rsidRPr="00A50CE9" w:rsidRDefault="00035549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capítulo </w:t>
      </w:r>
      <w:r w:rsidR="00E65B1B" w:rsidRPr="00A50CE9">
        <w:rPr>
          <w:sz w:val="20"/>
          <w:szCs w:val="20"/>
          <w:lang w:val="es-ES_tradnl"/>
        </w:rPr>
        <w:t>5</w:t>
      </w:r>
      <w:r w:rsidR="002417AA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>se tratarán aspectos socioeconómicos del servicio de los ecosistemas objeto de examen</w:t>
      </w:r>
      <w:r w:rsidR="00AB3AF1" w:rsidRPr="00A50CE9">
        <w:rPr>
          <w:sz w:val="20"/>
          <w:szCs w:val="20"/>
          <w:lang w:val="es-ES_tradnl"/>
        </w:rPr>
        <w:t>,</w:t>
      </w:r>
      <w:r w:rsidR="002417AA" w:rsidRPr="00A50CE9">
        <w:rPr>
          <w:b/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>incluida la manera de</w:t>
      </w:r>
      <w:r w:rsidRPr="00A50CE9">
        <w:rPr>
          <w:b/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 xml:space="preserve">mantener las sociedades rurales e indígenas y sus conocimientos para beneficio de las generaciones futuras, así como la manera en que los servicios culturales de los </w:t>
      </w:r>
      <w:r w:rsidRPr="00A50CE9">
        <w:rPr>
          <w:sz w:val="20"/>
          <w:szCs w:val="20"/>
          <w:lang w:val="es-ES_tradnl"/>
        </w:rPr>
        <w:lastRenderedPageBreak/>
        <w:t>ecosistemas (por ejemplo, el apego de las personas por la tierra y sus especies) puede contribuir a</w:t>
      </w:r>
      <w:r w:rsidR="002A49D2" w:rsidRPr="00A50CE9">
        <w:rPr>
          <w:sz w:val="20"/>
          <w:szCs w:val="20"/>
          <w:lang w:val="es-ES_tradnl"/>
        </w:rPr>
        <w:t xml:space="preserve"> lograr </w:t>
      </w:r>
      <w:r w:rsidRPr="00A50CE9">
        <w:rPr>
          <w:sz w:val="20"/>
          <w:szCs w:val="20"/>
          <w:lang w:val="es-ES_tradnl"/>
        </w:rPr>
        <w:t>sociedades rurales sostenibles</w:t>
      </w:r>
      <w:r w:rsidR="00CC386A" w:rsidRPr="00A50CE9">
        <w:rPr>
          <w:sz w:val="20"/>
          <w:szCs w:val="20"/>
          <w:lang w:val="es-ES_tradnl"/>
        </w:rPr>
        <w:t>.</w:t>
      </w:r>
    </w:p>
    <w:p w:rsidR="00E65B1B" w:rsidRPr="00A50CE9" w:rsidRDefault="00226A82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capítulo </w:t>
      </w:r>
      <w:r w:rsidR="00E65B1B" w:rsidRPr="00A50CE9">
        <w:rPr>
          <w:sz w:val="20"/>
          <w:szCs w:val="20"/>
          <w:lang w:val="es-ES_tradnl"/>
        </w:rPr>
        <w:t>6</w:t>
      </w:r>
      <w:r w:rsidR="00CC386A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>se examinará el hecho de vivir con incertidumbre generado por el cambio climático mundial así como la adaptación a los riesgos y su mitigación en los sistemas agrícolas</w:t>
      </w:r>
      <w:r w:rsidR="00E65B1B" w:rsidRPr="00A50CE9">
        <w:rPr>
          <w:sz w:val="20"/>
          <w:szCs w:val="20"/>
          <w:lang w:val="es-ES_tradnl"/>
        </w:rPr>
        <w:t>.</w:t>
      </w:r>
    </w:p>
    <w:p w:rsidR="00E65B1B" w:rsidRPr="00A50CE9" w:rsidRDefault="003C6B53" w:rsidP="00A53029">
      <w:pPr>
        <w:pStyle w:val="Normalnumber"/>
        <w:keepNext/>
        <w:keepLines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capítulo </w:t>
      </w:r>
      <w:r w:rsidR="00E65B1B" w:rsidRPr="00A50CE9">
        <w:rPr>
          <w:sz w:val="20"/>
          <w:szCs w:val="20"/>
          <w:lang w:val="es-ES_tradnl"/>
        </w:rPr>
        <w:t>7</w:t>
      </w:r>
      <w:r w:rsidR="00D91AB5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>se examinará la promesa de nuevos enfoques, entre los cuales figurará</w:t>
      </w:r>
      <w:r w:rsidR="00F028AF" w:rsidRPr="00A50CE9">
        <w:rPr>
          <w:sz w:val="20"/>
          <w:szCs w:val="20"/>
          <w:lang w:val="es-ES_tradnl"/>
        </w:rPr>
        <w:t>n</w:t>
      </w:r>
      <w:r w:rsidRPr="00A50CE9">
        <w:rPr>
          <w:sz w:val="20"/>
          <w:szCs w:val="20"/>
          <w:lang w:val="es-ES_tradnl"/>
        </w:rPr>
        <w:t xml:space="preserve"> la perennización y</w:t>
      </w:r>
      <w:r w:rsidR="00F028AF" w:rsidRPr="00A50CE9">
        <w:rPr>
          <w:sz w:val="20"/>
          <w:szCs w:val="20"/>
          <w:lang w:val="es-ES_tradnl"/>
        </w:rPr>
        <w:t xml:space="preserve"> el aumento </w:t>
      </w:r>
      <w:r w:rsidRPr="00A50CE9">
        <w:rPr>
          <w:sz w:val="20"/>
          <w:szCs w:val="20"/>
          <w:lang w:val="es-ES_tradnl"/>
        </w:rPr>
        <w:t>de la fijación del nitrógeno, aunque no se</w:t>
      </w:r>
      <w:r w:rsidR="00F028AF" w:rsidRPr="00A50CE9">
        <w:rPr>
          <w:sz w:val="20"/>
          <w:szCs w:val="20"/>
          <w:lang w:val="es-ES_tradnl"/>
        </w:rPr>
        <w:t xml:space="preserve"> circunscribirán</w:t>
      </w:r>
      <w:r w:rsidRPr="00A50CE9">
        <w:rPr>
          <w:sz w:val="20"/>
          <w:szCs w:val="20"/>
          <w:lang w:val="es-ES_tradnl"/>
        </w:rPr>
        <w:t xml:space="preserve"> a éstos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6128EA" w:rsidRPr="00A50CE9">
        <w:rPr>
          <w:sz w:val="20"/>
          <w:szCs w:val="20"/>
          <w:lang w:val="es-ES_tradnl"/>
        </w:rPr>
        <w:t>Ello incluirá la elaboración de un concepto sobre un mercado</w:t>
      </w:r>
      <w:r w:rsidR="00571C52" w:rsidRPr="00A50CE9">
        <w:rPr>
          <w:sz w:val="20"/>
          <w:szCs w:val="20"/>
          <w:lang w:val="es-ES_tradnl"/>
        </w:rPr>
        <w:t xml:space="preserve"> de servicios de los ecosistemas al que un propietario de tierras o agricultor podría acceder para aumentar el valor de sus actividades</w:t>
      </w:r>
      <w:r w:rsidR="00E65B1B" w:rsidRPr="00A50CE9">
        <w:rPr>
          <w:sz w:val="20"/>
          <w:szCs w:val="20"/>
          <w:lang w:val="es-ES_tradnl"/>
        </w:rPr>
        <w:t>.</w:t>
      </w:r>
      <w:r w:rsidR="008739DB" w:rsidRPr="00A50CE9">
        <w:rPr>
          <w:sz w:val="20"/>
          <w:szCs w:val="20"/>
          <w:lang w:val="es-ES_tradnl"/>
        </w:rPr>
        <w:t xml:space="preserve"> </w:t>
      </w:r>
      <w:r w:rsidR="001060C8" w:rsidRPr="00A50CE9">
        <w:rPr>
          <w:sz w:val="20"/>
          <w:szCs w:val="20"/>
          <w:lang w:val="es-ES_tradnl"/>
        </w:rPr>
        <w:t>Es necesario contar con otros instrumentos, como mejores sistemas de control, reglamentación</w:t>
      </w:r>
      <w:r w:rsidR="0052544A" w:rsidRPr="00A50CE9">
        <w:rPr>
          <w:sz w:val="20"/>
          <w:szCs w:val="20"/>
          <w:lang w:val="es-ES_tradnl"/>
        </w:rPr>
        <w:t>,</w:t>
      </w:r>
      <w:r w:rsidR="001060C8" w:rsidRPr="00A50CE9">
        <w:rPr>
          <w:sz w:val="20"/>
          <w:szCs w:val="20"/>
          <w:lang w:val="es-ES_tradnl"/>
        </w:rPr>
        <w:t xml:space="preserve"> incentivación y desincentivación,</w:t>
      </w:r>
      <w:r w:rsidR="0052544A" w:rsidRPr="00A50CE9">
        <w:rPr>
          <w:sz w:val="20"/>
          <w:szCs w:val="20"/>
          <w:lang w:val="es-ES_tradnl"/>
        </w:rPr>
        <w:t xml:space="preserve"> al igual que </w:t>
      </w:r>
      <w:r w:rsidR="001060C8" w:rsidRPr="00A50CE9">
        <w:rPr>
          <w:sz w:val="20"/>
          <w:szCs w:val="20"/>
          <w:lang w:val="es-ES_tradnl"/>
        </w:rPr>
        <w:t>una mejor gobernanza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="001060C8" w:rsidRPr="00A50CE9">
        <w:rPr>
          <w:sz w:val="20"/>
          <w:szCs w:val="20"/>
          <w:lang w:val="es-ES_tradnl"/>
        </w:rPr>
        <w:t>Este capítulo se ilustrará mediante estudios monográficos sobre materias como la ordenación de los recursos hídricos en Costa Rica, los bosques</w:t>
      </w:r>
      <w:r w:rsidR="003433B6" w:rsidRPr="00A50CE9">
        <w:rPr>
          <w:sz w:val="20"/>
          <w:szCs w:val="20"/>
          <w:lang w:val="es-ES_tradnl"/>
        </w:rPr>
        <w:t xml:space="preserve"> pertenecientes a </w:t>
      </w:r>
      <w:r w:rsidR="001060C8" w:rsidRPr="00A50CE9">
        <w:rPr>
          <w:sz w:val="20"/>
          <w:szCs w:val="20"/>
          <w:lang w:val="es-ES_tradnl"/>
        </w:rPr>
        <w:t xml:space="preserve">comunidades en México y los mercados de agua en los </w:t>
      </w:r>
      <w:r w:rsidR="008739DB" w:rsidRPr="00A50CE9">
        <w:rPr>
          <w:sz w:val="20"/>
          <w:szCs w:val="20"/>
          <w:lang w:val="es-ES_tradnl"/>
        </w:rPr>
        <w:t>Estados Unidos</w:t>
      </w:r>
      <w:r w:rsidR="000375E3" w:rsidRPr="00A50CE9">
        <w:rPr>
          <w:sz w:val="20"/>
          <w:szCs w:val="20"/>
          <w:lang w:val="es-ES_tradnl"/>
        </w:rPr>
        <w:t xml:space="preserve"> de América</w:t>
      </w:r>
      <w:r w:rsidR="00E65B1B" w:rsidRPr="00A50CE9">
        <w:rPr>
          <w:sz w:val="20"/>
          <w:szCs w:val="20"/>
          <w:lang w:val="es-ES_tradnl"/>
        </w:rPr>
        <w:t>.</w:t>
      </w:r>
    </w:p>
    <w:p w:rsidR="00E65B1B" w:rsidRPr="00A50CE9" w:rsidRDefault="00196633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capítulo </w:t>
      </w:r>
      <w:r w:rsidR="00E65B1B" w:rsidRPr="00A50CE9">
        <w:rPr>
          <w:sz w:val="20"/>
          <w:szCs w:val="20"/>
          <w:lang w:val="es-ES_tradnl"/>
        </w:rPr>
        <w:t>8</w:t>
      </w:r>
      <w:r w:rsidR="000179E3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>se</w:t>
      </w:r>
      <w:r w:rsidR="00156B90" w:rsidRPr="00A50CE9">
        <w:rPr>
          <w:sz w:val="20"/>
          <w:szCs w:val="20"/>
          <w:lang w:val="es-ES_tradnl"/>
        </w:rPr>
        <w:t xml:space="preserve"> indicarán </w:t>
      </w:r>
      <w:r w:rsidRPr="00A50CE9">
        <w:rPr>
          <w:sz w:val="20"/>
          <w:szCs w:val="20"/>
          <w:lang w:val="es-ES_tradnl"/>
        </w:rPr>
        <w:t>necesidades científicas, tecnológicas e informativas sobre la base de las deficiencias determinadas en capítulos anteriores</w:t>
      </w:r>
      <w:r w:rsidR="00E65B1B" w:rsidRPr="00A50CE9">
        <w:rPr>
          <w:sz w:val="20"/>
          <w:szCs w:val="20"/>
          <w:lang w:val="es-ES_tradnl"/>
        </w:rPr>
        <w:t xml:space="preserve">. </w:t>
      </w:r>
    </w:p>
    <w:p w:rsidR="00E65B1B" w:rsidRPr="00A50CE9" w:rsidRDefault="00F85246" w:rsidP="00364DCD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capítulo </w:t>
      </w:r>
      <w:r w:rsidR="00E65B1B" w:rsidRPr="00A50CE9">
        <w:rPr>
          <w:sz w:val="20"/>
          <w:szCs w:val="20"/>
          <w:lang w:val="es-ES_tradnl"/>
        </w:rPr>
        <w:t>9</w:t>
      </w:r>
      <w:r w:rsidR="000179E3" w:rsidRPr="00A50CE9">
        <w:rPr>
          <w:sz w:val="20"/>
          <w:szCs w:val="20"/>
          <w:lang w:val="es-ES_tradnl"/>
        </w:rPr>
        <w:t xml:space="preserve"> </w:t>
      </w:r>
      <w:r w:rsidRPr="00A50CE9">
        <w:rPr>
          <w:sz w:val="20"/>
          <w:szCs w:val="20"/>
          <w:lang w:val="es-ES_tradnl"/>
        </w:rPr>
        <w:t>se examinará la creación de un marco para la intensificación agrícola sostenible en que se tengan activamente en cuenta los servicios de los ecosistemas, entre ellos la diversidad biológica y el agua</w:t>
      </w:r>
      <w:r w:rsidR="00E65B1B" w:rsidRPr="00A50CE9">
        <w:rPr>
          <w:sz w:val="20"/>
          <w:szCs w:val="20"/>
          <w:lang w:val="es-ES_tradnl"/>
        </w:rPr>
        <w:t xml:space="preserve">. </w:t>
      </w:r>
      <w:r w:rsidRPr="00A50CE9">
        <w:rPr>
          <w:sz w:val="20"/>
          <w:szCs w:val="20"/>
          <w:lang w:val="es-ES_tradnl"/>
        </w:rPr>
        <w:t>Ello incluirá el examen de opciones normativas e instrumentos de apoyo a las decisiones</w:t>
      </w:r>
      <w:r w:rsidR="00E65B1B" w:rsidRPr="00A50CE9">
        <w:rPr>
          <w:sz w:val="20"/>
          <w:szCs w:val="20"/>
          <w:lang w:val="es-ES_tradnl"/>
        </w:rPr>
        <w:t xml:space="preserve">. </w:t>
      </w:r>
    </w:p>
    <w:p w:rsidR="00E65B1B" w:rsidRPr="00A50CE9" w:rsidRDefault="00FA30A2" w:rsidP="000179E3">
      <w:pPr>
        <w:pStyle w:val="CH1"/>
        <w:rPr>
          <w:lang w:val="es-ES_tradnl"/>
        </w:rPr>
      </w:pPr>
      <w:r w:rsidRPr="00A50CE9">
        <w:rPr>
          <w:lang w:val="es-ES_tradnl"/>
        </w:rPr>
        <w:tab/>
      </w:r>
      <w:r w:rsidR="000179E3" w:rsidRPr="00A50CE9">
        <w:rPr>
          <w:lang w:val="es-ES_tradnl"/>
        </w:rPr>
        <w:t>I</w:t>
      </w:r>
      <w:r w:rsidR="005B3915" w:rsidRPr="00A50CE9">
        <w:rPr>
          <w:lang w:val="es-ES_tradnl"/>
        </w:rPr>
        <w:t>V</w:t>
      </w:r>
      <w:r w:rsidRPr="00A50CE9">
        <w:rPr>
          <w:lang w:val="es-ES_tradnl"/>
        </w:rPr>
        <w:t>.</w:t>
      </w:r>
      <w:r w:rsidR="00E65B1B" w:rsidRPr="00A50CE9">
        <w:rPr>
          <w:lang w:val="es-ES_tradnl"/>
        </w:rPr>
        <w:tab/>
      </w:r>
      <w:r w:rsidR="00E231E9" w:rsidRPr="00A50CE9">
        <w:rPr>
          <w:lang w:val="es-ES_tradnl"/>
        </w:rPr>
        <w:t xml:space="preserve">Proceso y calendario </w:t>
      </w:r>
      <w:r w:rsidR="005C4BAC" w:rsidRPr="00A50CE9">
        <w:rPr>
          <w:lang w:val="es-ES_tradnl"/>
        </w:rPr>
        <w:t>de trabajo</w:t>
      </w:r>
    </w:p>
    <w:p w:rsidR="00C115F6" w:rsidRPr="00A50CE9" w:rsidRDefault="000375E3" w:rsidP="000375E3">
      <w:pPr>
        <w:pStyle w:val="Normal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>En el cuadro siguiente figura un proceso y un calendario de trabajo para llevar a cabo la evaluación temática propuesta</w:t>
      </w:r>
      <w:r w:rsidR="00C115F6" w:rsidRPr="00A50CE9">
        <w:rPr>
          <w:sz w:val="20"/>
          <w:szCs w:val="20"/>
          <w:lang w:val="es-ES_tradnl"/>
        </w:rPr>
        <w:t>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287"/>
        <w:gridCol w:w="6343"/>
      </w:tblGrid>
      <w:tr w:rsidR="00670814" w:rsidRPr="00A50CE9" w:rsidTr="00A50CE9">
        <w:trPr>
          <w:trHeight w:val="58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70814" w:rsidRPr="00A50CE9" w:rsidRDefault="00670814" w:rsidP="0033377D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i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i/>
                <w:sz w:val="19"/>
                <w:szCs w:val="19"/>
                <w:lang w:val="es-ES_tradnl" w:eastAsia="zh-CN"/>
              </w:rPr>
              <w:t>Marco temporal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70814" w:rsidRPr="00A50CE9" w:rsidRDefault="00670814" w:rsidP="0033377D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i/>
                <w:sz w:val="19"/>
                <w:szCs w:val="19"/>
                <w:lang w:val="es-ES_tradnl" w:eastAsia="zh-CN"/>
              </w:rPr>
              <w:t>Actividades</w:t>
            </w:r>
          </w:p>
        </w:tc>
      </w:tr>
      <w:tr w:rsidR="00E65B1B" w:rsidRPr="00A50CE9" w:rsidTr="00A50CE9">
        <w:trPr>
          <w:trHeight w:val="584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E65B1B" w:rsidRPr="00A50CE9" w:rsidRDefault="00E65B1B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2013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5B1B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Cuarto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65B1B" w:rsidRPr="00A50CE9" w:rsidRDefault="004F38BA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Plenario examina y aprueba el </w:t>
            </w:r>
            <w:r w:rsidR="00166F0C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análisis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inicial preparado por el Grupo multidisciplinario de expertos y pide al Grupo y la Mesa que, en el marco de un conjunto de costos convenidos, proceda a realizar una evaluación exhaustiva tras el estudio del </w:t>
            </w:r>
            <w:r w:rsidR="002268E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análisis inicial </w:t>
            </w:r>
            <w:r w:rsidR="004217F6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detallado </w:t>
            </w:r>
            <w:r w:rsidR="00E65B1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(</w:t>
            </w:r>
            <w:r w:rsidR="00C115F6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14</w:t>
            </w:r>
            <w:r w:rsidR="00762016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 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de diciembre de</w:t>
            </w:r>
            <w:r w:rsidR="00DD312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 </w:t>
            </w:r>
            <w:r w:rsidR="00E65B1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2013)</w:t>
            </w:r>
          </w:p>
        </w:tc>
      </w:tr>
      <w:tr w:rsidR="00E65B1B" w:rsidRPr="00A50CE9" w:rsidTr="00A50CE9">
        <w:trPr>
          <w:trHeight w:val="584"/>
        </w:trPr>
        <w:tc>
          <w:tcPr>
            <w:tcW w:w="698" w:type="dxa"/>
            <w:vMerge/>
            <w:shd w:val="clear" w:color="auto" w:fill="auto"/>
            <w:vAlign w:val="center"/>
          </w:tcPr>
          <w:p w:rsidR="00E65B1B" w:rsidRPr="00A50CE9" w:rsidRDefault="00E65B1B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65B1B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Cuarto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65B1B" w:rsidRPr="00A50CE9" w:rsidRDefault="00E87234" w:rsidP="000375E3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Grupo de expertos hace un llamamiento, por conducto </w:t>
            </w:r>
            <w:r w:rsidR="006F43A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de la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secretaría</w:t>
            </w:r>
            <w:r w:rsidR="006F43A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, </w:t>
            </w:r>
            <w:r w:rsidR="00443B9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a los gobiernos y otros interesados que</w:t>
            </w:r>
            <w:r w:rsidR="002D058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</w:t>
            </w:r>
            <w:r w:rsidR="00166F0C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propongan </w:t>
            </w:r>
            <w:r w:rsidR="00443B9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expertos para </w:t>
            </w:r>
            <w:r w:rsidR="00541632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que </w:t>
            </w:r>
            <w:r w:rsidR="00443B9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colaboren con </w:t>
            </w:r>
            <w:r w:rsidR="00541632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</w:t>
            </w:r>
            <w:r w:rsidR="00166F0C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análisis </w:t>
            </w:r>
            <w:r w:rsidR="00E65B1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(</w:t>
            </w:r>
            <w:r w:rsidR="00443B9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16 de diciembre de 2013 a 31 de enero de 2014</w:t>
            </w:r>
            <w:r w:rsidR="00E65B1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)</w:t>
            </w:r>
          </w:p>
        </w:tc>
      </w:tr>
      <w:tr w:rsidR="00670814" w:rsidRPr="00A50CE9" w:rsidTr="00A50CE9">
        <w:trPr>
          <w:trHeight w:val="584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2014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70814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Primer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70814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Grupo, mediante correos electrónicos y teleconferencias, selecciona a los expertos para el estudio sobre el análisis inicial valiéndose de los criterios de selección aprobados </w:t>
            </w:r>
            <w:r w:rsidR="0016348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(véase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IPBES/2/9</w:t>
            </w:r>
            <w:r w:rsidR="0016348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)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(1 a 14 de febrero de 2014)</w:t>
            </w:r>
          </w:p>
        </w:tc>
      </w:tr>
      <w:tr w:rsidR="00670814" w:rsidRPr="00A50CE9" w:rsidTr="00A50CE9">
        <w:trPr>
          <w:trHeight w:val="584"/>
        </w:trPr>
        <w:tc>
          <w:tcPr>
            <w:tcW w:w="698" w:type="dxa"/>
            <w:vMerge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Segundo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70814" w:rsidRPr="00A50CE9" w:rsidRDefault="00670814" w:rsidP="000375E3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El Grupo y la Mesa supervisan el análisis inicial detallado, con inclusión del esquema, los costos y la viabilidad (</w:t>
            </w:r>
            <w:r w:rsidR="000375E3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3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meses). A comienzos de abril de 2014 se celebra una reunión sobre el análisis inicial</w:t>
            </w:r>
          </w:p>
        </w:tc>
      </w:tr>
      <w:tr w:rsidR="00670814" w:rsidRPr="00A50CE9" w:rsidTr="00A50CE9">
        <w:trPr>
          <w:trHeight w:val="584"/>
        </w:trPr>
        <w:tc>
          <w:tcPr>
            <w:tcW w:w="698" w:type="dxa"/>
            <w:vMerge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70814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Segundo trimestre 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70814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El informe sobre el análisis inicial detallado se envía a los miembros de la Plataforma y otros interesados para que lo examinen y formulen observaciones durante dos semanas en la segunda mitad de abril de 2014</w:t>
            </w:r>
          </w:p>
        </w:tc>
      </w:tr>
      <w:tr w:rsidR="00670814" w:rsidRPr="00A50CE9" w:rsidTr="00A50CE9">
        <w:trPr>
          <w:trHeight w:val="274"/>
        </w:trPr>
        <w:tc>
          <w:tcPr>
            <w:tcW w:w="698" w:type="dxa"/>
            <w:vMerge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70814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Segundo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70814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Sobre la base de los resultados del ejercicio de análisis inicial detallado, y las observaciones presentadas por los miembros de la Plataforma y otros interesados, el Grupo y la Mesa deciden si se procede o no con la evaluación, suponiendo que esta pueda realizarse en el marco del presupuesto aprobado por el Plenario en la primera mitad de mayo de 2014</w:t>
            </w:r>
          </w:p>
        </w:tc>
      </w:tr>
      <w:tr w:rsidR="00670814" w:rsidRPr="00A50CE9" w:rsidTr="00A50CE9">
        <w:trPr>
          <w:trHeight w:val="584"/>
        </w:trPr>
        <w:tc>
          <w:tcPr>
            <w:tcW w:w="698" w:type="dxa"/>
            <w:vMerge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Segundo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70814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Por conducto de la secretaría, el Grupo pide a los gobiernos y otros interesados que propongan expertos para preparar el informe. Las candidaturas se deberán presentar antes de fines de junio de 2014 (1 mes y medio)</w:t>
            </w:r>
          </w:p>
        </w:tc>
      </w:tr>
      <w:tr w:rsidR="00670814" w:rsidRPr="00A50CE9" w:rsidTr="00A50CE9">
        <w:trPr>
          <w:trHeight w:val="584"/>
        </w:trPr>
        <w:tc>
          <w:tcPr>
            <w:tcW w:w="698" w:type="dxa"/>
            <w:vMerge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Tercer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70814" w:rsidRPr="00A50CE9" w:rsidRDefault="006954A4" w:rsidP="000375E3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</w:t>
            </w:r>
            <w:r w:rsidR="0067081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l Grupo selecciona a los copresidentes del informe, los autores principales encargados de la coordinación, los autores principales</w:t>
            </w:r>
            <w:r w:rsid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</w:t>
            </w:r>
            <w:r w:rsidR="0067081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y los revisores </w:t>
            </w:r>
            <w:r w:rsidR="00A50CE9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valiéndose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de los criterios de selección aprobados (véase IPBES/2/9) </w:t>
            </w:r>
            <w:r w:rsidR="0067081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(1 de julio a 15 de agosto de 2014</w:t>
            </w:r>
            <w:r w:rsidR="000375E3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)</w:t>
            </w:r>
            <w:r w:rsidR="0067081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(1 mes y medio)</w:t>
            </w:r>
          </w:p>
        </w:tc>
      </w:tr>
      <w:tr w:rsidR="00670814" w:rsidRPr="00A50CE9" w:rsidTr="00A50CE9">
        <w:trPr>
          <w:trHeight w:val="584"/>
        </w:trPr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814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814" w:rsidRPr="00A50CE9" w:rsidRDefault="00670814" w:rsidP="00A50CE9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Tercer</w:t>
            </w:r>
            <w:r w:rsid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/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cuarto trimestres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814" w:rsidRPr="00A50CE9" w:rsidRDefault="00670814" w:rsidP="000375E3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Antes de mediados de febrero de 2015, los copresidentes del informe, los autores principales encargados de la coordinación y los autores principales preparan el primer proyecto de informe (</w:t>
            </w:r>
            <w:r w:rsidR="000375E3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6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meses). En septiembre de 2014 se celebra una primera reunión de autores</w:t>
            </w:r>
          </w:p>
        </w:tc>
      </w:tr>
      <w:tr w:rsidR="00E65B1B" w:rsidRPr="00A50CE9" w:rsidTr="00A50CE9">
        <w:trPr>
          <w:trHeight w:val="504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E65B1B" w:rsidRPr="00A50CE9" w:rsidRDefault="00E65B1B" w:rsidP="001B4912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2015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5B1B" w:rsidRPr="00A50CE9" w:rsidRDefault="00670814" w:rsidP="00163480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Primer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65B1B" w:rsidRPr="00A50CE9" w:rsidRDefault="00FE4102" w:rsidP="00163480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Hasta fin</w:t>
            </w:r>
            <w:r w:rsidR="002734B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es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de marzo de 2015, </w:t>
            </w:r>
            <w:r w:rsidR="002678C6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los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expertos examinan el </w:t>
            </w:r>
            <w:r w:rsidR="00BB5AF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primer proyecto de informe</w:t>
            </w:r>
            <w:r w:rsidR="002734B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(1 mes y medio, 2 meses)</w:t>
            </w:r>
          </w:p>
        </w:tc>
      </w:tr>
      <w:tr w:rsidR="00E65B1B" w:rsidRPr="00A50CE9" w:rsidTr="00A50CE9">
        <w:trPr>
          <w:trHeight w:val="567"/>
        </w:trPr>
        <w:tc>
          <w:tcPr>
            <w:tcW w:w="698" w:type="dxa"/>
            <w:vMerge/>
            <w:shd w:val="clear" w:color="auto" w:fill="auto"/>
          </w:tcPr>
          <w:p w:rsidR="00E65B1B" w:rsidRPr="00A50CE9" w:rsidRDefault="00E65B1B" w:rsidP="001B4912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65B1B" w:rsidRPr="00A50CE9" w:rsidRDefault="00670814" w:rsidP="00163480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Segundo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65B1B" w:rsidRPr="00A50CE9" w:rsidRDefault="000375E3" w:rsidP="000375E3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L</w:t>
            </w:r>
            <w:r w:rsidR="00F525F1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os </w:t>
            </w:r>
            <w:r w:rsidR="00F41A6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copresidentes del informe, </w:t>
            </w:r>
            <w:r w:rsidR="0067081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los autores principales encargados de la coordinación </w:t>
            </w:r>
            <w:r w:rsidR="00F41A6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y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revisores</w:t>
            </w:r>
            <w:r w:rsidR="00F41A6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preparan el segundo proyecto de informe y un primer proyecto de resumen para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responsables de formular políticas</w:t>
            </w:r>
            <w:r w:rsidR="002734B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bajo la orientación de los revisores y del Grupo </w:t>
            </w:r>
            <w:r w:rsidR="002734B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(abril a junio de 2015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)</w:t>
            </w:r>
            <w:r w:rsidR="002734B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(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3</w:t>
            </w:r>
            <w:r w:rsidR="002734BF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meses)</w:t>
            </w:r>
            <w:r w:rsidR="00E65B1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. </w:t>
            </w:r>
            <w:r w:rsidR="00F41A60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En junio de 2015 se celebra una segunda reunión de autores</w:t>
            </w:r>
          </w:p>
        </w:tc>
      </w:tr>
      <w:tr w:rsidR="00E65B1B" w:rsidRPr="00A50CE9" w:rsidTr="00A50CE9">
        <w:trPr>
          <w:trHeight w:val="547"/>
        </w:trPr>
        <w:tc>
          <w:tcPr>
            <w:tcW w:w="698" w:type="dxa"/>
            <w:vMerge/>
            <w:shd w:val="clear" w:color="auto" w:fill="auto"/>
          </w:tcPr>
          <w:p w:rsidR="00E65B1B" w:rsidRPr="00A50CE9" w:rsidRDefault="00E65B1B" w:rsidP="001B4912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65B1B" w:rsidRPr="00A50CE9" w:rsidRDefault="00670814" w:rsidP="001B4912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Tercer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65B1B" w:rsidRPr="00A50CE9" w:rsidRDefault="00EE3051" w:rsidP="000375E3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Durante julio y agosto de 2015, </w:t>
            </w:r>
            <w:r w:rsidR="002678C6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los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expertos, </w:t>
            </w:r>
            <w:r w:rsidR="002678C6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los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gobiernos y otros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interesados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</w:t>
            </w:r>
            <w:r w:rsidR="00FE015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examinan</w:t>
            </w:r>
            <w:r w:rsidR="006835C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</w:t>
            </w:r>
            <w:r w:rsidR="00F525F1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</w:t>
            </w:r>
            <w:r w:rsidR="006835C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segundo proyecto de informe y el primer resumen para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responsables de formular políticas (</w:t>
            </w:r>
            <w:r w:rsidR="000375E3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2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meses)</w:t>
            </w:r>
          </w:p>
        </w:tc>
      </w:tr>
      <w:tr w:rsidR="00E65B1B" w:rsidRPr="00A50CE9" w:rsidTr="00A50CE9">
        <w:trPr>
          <w:trHeight w:val="215"/>
        </w:trPr>
        <w:tc>
          <w:tcPr>
            <w:tcW w:w="698" w:type="dxa"/>
            <w:vMerge/>
            <w:shd w:val="clear" w:color="auto" w:fill="auto"/>
          </w:tcPr>
          <w:p w:rsidR="00E65B1B" w:rsidRPr="00A50CE9" w:rsidRDefault="00E65B1B" w:rsidP="001B4912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65B1B" w:rsidRPr="00A50CE9" w:rsidRDefault="00670814" w:rsidP="00A50CE9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Tercer</w:t>
            </w:r>
            <w:r w:rsid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/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cuarto trimestres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65B1B" w:rsidRPr="00A50CE9" w:rsidRDefault="00517AD5" w:rsidP="000375E3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Durante septiembre y octubre de 2015, bajo la orientación de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revisores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y el Grupo, los </w:t>
            </w:r>
            <w:r w:rsidR="006835C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copresidentes del informe, </w:t>
            </w:r>
            <w:r w:rsidR="0067081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los autores principales encargados de la coordinación</w:t>
            </w:r>
            <w:r w:rsidR="006835C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y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revisores</w:t>
            </w:r>
            <w:r w:rsidR="006835C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preparan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la versión final d</w:t>
            </w:r>
            <w:r w:rsidR="006835C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proyecto de informe y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la versión final d</w:t>
            </w:r>
            <w:r w:rsidR="006835C5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proyecto de resumen para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responsables de formular políticas (</w:t>
            </w:r>
            <w:r w:rsidR="000375E3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2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meses)</w:t>
            </w:r>
            <w:r w:rsidR="00E65B1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. </w:t>
            </w:r>
            <w:r w:rsidR="00A56936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En octubre de 2015 se celebra una tercera reunión de autores</w:t>
            </w:r>
          </w:p>
        </w:tc>
      </w:tr>
      <w:tr w:rsidR="00E65B1B" w:rsidRPr="00A50CE9" w:rsidTr="00A50CE9">
        <w:trPr>
          <w:trHeight w:val="479"/>
        </w:trPr>
        <w:tc>
          <w:tcPr>
            <w:tcW w:w="698" w:type="dxa"/>
            <w:vMerge/>
            <w:shd w:val="clear" w:color="auto" w:fill="auto"/>
            <w:vAlign w:val="center"/>
          </w:tcPr>
          <w:p w:rsidR="00E65B1B" w:rsidRPr="00A50CE9" w:rsidRDefault="00E65B1B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65B1B" w:rsidRPr="00A50CE9" w:rsidRDefault="0067081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Cuarto trimestre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65B1B" w:rsidRPr="00A50CE9" w:rsidRDefault="00BB495B" w:rsidP="000375E3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A más tardar antes de mediados de diciembre de 2015</w:t>
            </w:r>
            <w:r w:rsidR="00C54419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, el resumen para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responsables de formular políticas</w:t>
            </w:r>
            <w:r w:rsidR="00C54419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se traduce </w:t>
            </w:r>
            <w:r w:rsidR="000375E3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a todos los idiomas </w:t>
            </w:r>
            <w:r w:rsidR="00C54419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oficiales de las </w:t>
            </w:r>
            <w:r w:rsid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Naciones Unidas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(1 mes y medio)</w:t>
            </w:r>
          </w:p>
        </w:tc>
      </w:tr>
      <w:tr w:rsidR="00E65B1B" w:rsidRPr="00A50CE9" w:rsidTr="00A50CE9">
        <w:trPr>
          <w:trHeight w:val="242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B1B" w:rsidRPr="00A50CE9" w:rsidRDefault="00E65B1B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2016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B1B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Primer trimestre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B1B" w:rsidRPr="00A50CE9" w:rsidRDefault="000254D1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Durante enero y febrero de 2016,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la versión final d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el proyecto de informe y el resumen para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responsables de formular políticas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se remite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n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a los gobiernos y otros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interesados</w:t>
            </w:r>
            <w:r w:rsidR="00E5257E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 </w:t>
            </w: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para su examen final</w:t>
            </w:r>
            <w:r w:rsidR="00E65B1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. </w:t>
            </w:r>
            <w:r w:rsidR="006C0E5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Se insta encarecidamente a los gobiernos a que formulen por escrito observaciones sobre el proyecto de resumen para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responsables de formular políticas (1 mes y medio, 2 meses)</w:t>
            </w:r>
            <w:r w:rsidR="00CC4547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. </w:t>
            </w:r>
            <w:r w:rsidR="006C0E5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Esas observaciones deberán presentarse a la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s</w:t>
            </w:r>
            <w:r w:rsidR="006C0E5B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ecretaría con una semana de antelación al cuarto período de sesiones del Plenario</w:t>
            </w:r>
          </w:p>
        </w:tc>
      </w:tr>
      <w:tr w:rsidR="00E65B1B" w:rsidRPr="00A50CE9" w:rsidTr="00A50CE9">
        <w:trPr>
          <w:trHeight w:val="24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1B" w:rsidRPr="00A50CE9" w:rsidRDefault="00E65B1B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1B" w:rsidRPr="00A50CE9" w:rsidRDefault="00670814" w:rsidP="001B4912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Primer trimestre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1B" w:rsidRPr="00A50CE9" w:rsidRDefault="00F64DC4" w:rsidP="00163480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 xml:space="preserve">En su cuarto período de sesiones, en marzo de 2006, el Plenario examina y acepta el informe y las revisiones y aprueba el resumen para los </w:t>
            </w:r>
            <w:r w:rsidR="00DA07D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responsables de formular políticas</w:t>
            </w:r>
          </w:p>
        </w:tc>
      </w:tr>
    </w:tbl>
    <w:p w:rsidR="00E65B1B" w:rsidRPr="00A50CE9" w:rsidRDefault="00D11D69" w:rsidP="00762016">
      <w:pPr>
        <w:pStyle w:val="CH1"/>
        <w:rPr>
          <w:lang w:val="es-ES_tradnl"/>
        </w:rPr>
      </w:pPr>
      <w:r w:rsidRPr="00A50CE9">
        <w:rPr>
          <w:lang w:val="es-ES_tradnl"/>
        </w:rPr>
        <w:tab/>
      </w:r>
      <w:r w:rsidR="00CC5BFB" w:rsidRPr="00A50CE9">
        <w:rPr>
          <w:lang w:val="es-ES_tradnl"/>
        </w:rPr>
        <w:t>V</w:t>
      </w:r>
      <w:r w:rsidR="00171546" w:rsidRPr="00A50CE9">
        <w:rPr>
          <w:lang w:val="es-ES_tradnl"/>
        </w:rPr>
        <w:t>.</w:t>
      </w:r>
      <w:r w:rsidR="00E65B1B" w:rsidRPr="00A50CE9">
        <w:rPr>
          <w:lang w:val="es-ES_tradnl"/>
        </w:rPr>
        <w:tab/>
      </w:r>
      <w:r w:rsidR="00F529FB" w:rsidRPr="00A50CE9">
        <w:rPr>
          <w:lang w:val="es-ES_tradnl"/>
        </w:rPr>
        <w:t>Estimación</w:t>
      </w:r>
      <w:r w:rsidR="00E331E3" w:rsidRPr="00A50CE9">
        <w:rPr>
          <w:lang w:val="es-ES_tradnl"/>
        </w:rPr>
        <w:t xml:space="preserve"> de </w:t>
      </w:r>
      <w:r w:rsidR="005C4BAC" w:rsidRPr="00A50CE9">
        <w:rPr>
          <w:lang w:val="es-ES_tradnl"/>
        </w:rPr>
        <w:t>l</w:t>
      </w:r>
      <w:r w:rsidR="007C00D1" w:rsidRPr="00A50CE9">
        <w:rPr>
          <w:lang w:val="es-ES_tradnl"/>
        </w:rPr>
        <w:t>os</w:t>
      </w:r>
      <w:r w:rsidR="005C4BAC" w:rsidRPr="00A50CE9">
        <w:rPr>
          <w:lang w:val="es-ES_tradnl"/>
        </w:rPr>
        <w:t xml:space="preserve"> costos (en dólares de los Estados Unidos)</w:t>
      </w:r>
    </w:p>
    <w:p w:rsidR="000249A3" w:rsidRPr="00A50CE9" w:rsidRDefault="007C00D1" w:rsidP="00762016">
      <w:pPr>
        <w:pStyle w:val="Normalnumber"/>
        <w:keepNext/>
        <w:keepLines/>
        <w:widowControl w:val="0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En el cuadro que figura a continuación se </w:t>
      </w:r>
      <w:r w:rsidR="00C36B9E" w:rsidRPr="00A50CE9">
        <w:rPr>
          <w:sz w:val="20"/>
          <w:szCs w:val="20"/>
          <w:lang w:val="es-ES_tradnl"/>
        </w:rPr>
        <w:t xml:space="preserve">indica </w:t>
      </w:r>
      <w:r w:rsidR="00F217E3" w:rsidRPr="00A50CE9">
        <w:rPr>
          <w:sz w:val="20"/>
          <w:szCs w:val="20"/>
          <w:lang w:val="es-ES_tradnl"/>
        </w:rPr>
        <w:t xml:space="preserve">una </w:t>
      </w:r>
      <w:r w:rsidRPr="00A50CE9">
        <w:rPr>
          <w:sz w:val="20"/>
          <w:szCs w:val="20"/>
          <w:lang w:val="es-ES_tradnl"/>
        </w:rPr>
        <w:t xml:space="preserve">estimación </w:t>
      </w:r>
      <w:r w:rsidR="00E331E3" w:rsidRPr="00A50CE9">
        <w:rPr>
          <w:sz w:val="20"/>
          <w:szCs w:val="20"/>
          <w:lang w:val="es-ES_tradnl"/>
        </w:rPr>
        <w:t>de</w:t>
      </w:r>
      <w:r w:rsidR="00F217E3" w:rsidRPr="00A50CE9">
        <w:rPr>
          <w:sz w:val="20"/>
          <w:szCs w:val="20"/>
          <w:lang w:val="es-ES_tradnl"/>
        </w:rPr>
        <w:t>l</w:t>
      </w:r>
      <w:r w:rsidR="00E331E3" w:rsidRPr="00A50CE9">
        <w:rPr>
          <w:sz w:val="20"/>
          <w:szCs w:val="20"/>
          <w:lang w:val="es-ES_tradnl"/>
        </w:rPr>
        <w:t xml:space="preserve"> </w:t>
      </w:r>
      <w:r w:rsidR="00C36B9E" w:rsidRPr="00A50CE9">
        <w:rPr>
          <w:sz w:val="20"/>
          <w:szCs w:val="20"/>
          <w:lang w:val="es-ES_tradnl"/>
        </w:rPr>
        <w:t>costo</w:t>
      </w:r>
      <w:r w:rsidR="00E331E3" w:rsidRPr="00A50CE9">
        <w:rPr>
          <w:sz w:val="20"/>
          <w:szCs w:val="20"/>
          <w:lang w:val="es-ES_tradnl"/>
        </w:rPr>
        <w:t xml:space="preserve">, de </w:t>
      </w:r>
      <w:r w:rsidR="00C36B9E" w:rsidRPr="00A50CE9">
        <w:rPr>
          <w:sz w:val="20"/>
          <w:szCs w:val="20"/>
          <w:lang w:val="es-ES_tradnl"/>
        </w:rPr>
        <w:t xml:space="preserve">la realización de </w:t>
      </w:r>
      <w:r w:rsidR="00E331E3" w:rsidRPr="00A50CE9">
        <w:rPr>
          <w:sz w:val="20"/>
          <w:szCs w:val="20"/>
          <w:lang w:val="es-ES_tradnl"/>
        </w:rPr>
        <w:t xml:space="preserve">la evaluación y </w:t>
      </w:r>
      <w:r w:rsidR="00C36B9E" w:rsidRPr="00A50CE9">
        <w:rPr>
          <w:sz w:val="20"/>
          <w:szCs w:val="20"/>
          <w:lang w:val="es-ES_tradnl"/>
        </w:rPr>
        <w:t xml:space="preserve">la preparación del </w:t>
      </w:r>
      <w:r w:rsidR="00E331E3" w:rsidRPr="00A50CE9">
        <w:rPr>
          <w:sz w:val="20"/>
          <w:szCs w:val="20"/>
          <w:lang w:val="es-ES_tradnl"/>
        </w:rPr>
        <w:t>informe sobre la evaluación temática</w:t>
      </w:r>
      <w:r w:rsidR="000249A3" w:rsidRPr="00A50CE9">
        <w:rPr>
          <w:sz w:val="20"/>
          <w:szCs w:val="20"/>
          <w:lang w:val="es-ES_tradnl"/>
        </w:rPr>
        <w:t>.</w:t>
      </w:r>
    </w:p>
    <w:p w:rsidR="00F217E3" w:rsidRPr="00A50CE9" w:rsidRDefault="00F217E3" w:rsidP="00F217E3">
      <w:pPr>
        <w:pStyle w:val="Normalnumber"/>
        <w:keepNext/>
        <w:keepLines/>
        <w:widowControl w:val="0"/>
        <w:numPr>
          <w:ilvl w:val="0"/>
          <w:numId w:val="0"/>
        </w:numPr>
        <w:ind w:left="1247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>(Dólares de los Estados Unidos)</w:t>
      </w:r>
    </w:p>
    <w:tbl>
      <w:tblPr>
        <w:tblW w:w="83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119"/>
        <w:gridCol w:w="991"/>
      </w:tblGrid>
      <w:tr w:rsidR="00F217E3" w:rsidRPr="00A50CE9" w:rsidTr="00F217E3">
        <w:tc>
          <w:tcPr>
            <w:tcW w:w="710" w:type="dxa"/>
          </w:tcPr>
          <w:p w:rsidR="00F217E3" w:rsidRPr="00A50CE9" w:rsidRDefault="00F217E3" w:rsidP="00F217E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i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3543" w:type="dxa"/>
          </w:tcPr>
          <w:p w:rsidR="00F217E3" w:rsidRPr="00A50CE9" w:rsidRDefault="00F217E3" w:rsidP="00F217E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i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Partida de gastos</w:t>
            </w:r>
          </w:p>
        </w:tc>
        <w:tc>
          <w:tcPr>
            <w:tcW w:w="3119" w:type="dxa"/>
          </w:tcPr>
          <w:p w:rsidR="00F217E3" w:rsidRPr="00A50CE9" w:rsidRDefault="00F217E3" w:rsidP="00F217E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i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Supuestos</w:t>
            </w:r>
          </w:p>
        </w:tc>
        <w:tc>
          <w:tcPr>
            <w:tcW w:w="991" w:type="dxa"/>
          </w:tcPr>
          <w:p w:rsidR="00F217E3" w:rsidRPr="00A50CE9" w:rsidRDefault="00F217E3" w:rsidP="00F217E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i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Costo</w:t>
            </w:r>
          </w:p>
        </w:tc>
      </w:tr>
      <w:tr w:rsidR="00F217E3" w:rsidRPr="00A50CE9" w:rsidTr="00F217E3">
        <w:trPr>
          <w:trHeight w:val="630"/>
        </w:trPr>
        <w:tc>
          <w:tcPr>
            <w:tcW w:w="710" w:type="dxa"/>
            <w:vMerge w:val="restart"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2014</w:t>
            </w:r>
          </w:p>
        </w:tc>
        <w:tc>
          <w:tcPr>
            <w:tcW w:w="3543" w:type="dxa"/>
            <w:vMerge w:val="restart"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Reunión del análisis inicial (40 participantes: del Grupo multidisciplinario de expertos/Mesa más</w:t>
            </w:r>
            <w:r w:rsid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 xml:space="preserve"> </w:t>
            </w: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expertos)</w:t>
            </w:r>
          </w:p>
        </w:tc>
        <w:tc>
          <w:tcPr>
            <w:tcW w:w="3119" w:type="dxa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Costos de la reunión (1 semana, 40 participantes) (25% en especie)</w:t>
            </w:r>
          </w:p>
        </w:tc>
        <w:tc>
          <w:tcPr>
            <w:tcW w:w="991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11 250</w:t>
            </w:r>
          </w:p>
        </w:tc>
      </w:tr>
      <w:tr w:rsidR="00F217E3" w:rsidRPr="00A50CE9" w:rsidTr="00F217E3">
        <w:trPr>
          <w:trHeight w:val="187"/>
        </w:trPr>
        <w:tc>
          <w:tcPr>
            <w:tcW w:w="710" w:type="dxa"/>
            <w:vMerge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Merge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119" w:type="dxa"/>
          </w:tcPr>
          <w:p w:rsidR="00F217E3" w:rsidRPr="00A50CE9" w:rsidRDefault="00F217E3" w:rsidP="00A50CE9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Viajes y dietas (30 x 3</w:t>
            </w:r>
            <w:r w:rsidR="00A50CE9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000)</w:t>
            </w:r>
          </w:p>
        </w:tc>
        <w:tc>
          <w:tcPr>
            <w:tcW w:w="991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90 000</w:t>
            </w:r>
          </w:p>
        </w:tc>
      </w:tr>
      <w:tr w:rsidR="00F217E3" w:rsidRPr="00A50CE9" w:rsidTr="00F217E3">
        <w:trPr>
          <w:trHeight w:val="860"/>
        </w:trPr>
        <w:tc>
          <w:tcPr>
            <w:tcW w:w="710" w:type="dxa"/>
            <w:vMerge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F217E3" w:rsidRPr="00A50CE9" w:rsidRDefault="00F217E3" w:rsidP="00A50CE9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Primera reunión de los autores (90 copresidentes , autores principales encargados de la coordinación y autores principales más</w:t>
            </w:r>
            <w:r w:rsid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 </w:t>
            </w: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4 miembros del Grupo multidisciplinario de expertos/Mesa más 1 funcionario de apoyo técnico)</w:t>
            </w:r>
          </w:p>
        </w:tc>
        <w:tc>
          <w:tcPr>
            <w:tcW w:w="3119" w:type="dxa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Costos de la reunión (1 semana, 95 participantes) (25% en especie)</w:t>
            </w:r>
          </w:p>
        </w:tc>
        <w:tc>
          <w:tcPr>
            <w:tcW w:w="991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18 750</w:t>
            </w:r>
          </w:p>
        </w:tc>
      </w:tr>
      <w:tr w:rsidR="00F217E3" w:rsidRPr="00A50CE9" w:rsidTr="00F217E3">
        <w:trPr>
          <w:trHeight w:val="339"/>
        </w:trPr>
        <w:tc>
          <w:tcPr>
            <w:tcW w:w="710" w:type="dxa"/>
            <w:vMerge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17E3" w:rsidRPr="00A50CE9" w:rsidRDefault="00F217E3" w:rsidP="00A50CE9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Viajes y dietas (71 x 3</w:t>
            </w:r>
            <w:r w:rsidR="00A50CE9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000)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180 000</w:t>
            </w:r>
          </w:p>
        </w:tc>
      </w:tr>
      <w:tr w:rsidR="00F217E3" w:rsidRPr="00A50CE9" w:rsidTr="00F217E3">
        <w:trPr>
          <w:trHeight w:val="361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Apoyo técnico</w:t>
            </w:r>
          </w:p>
        </w:tc>
        <w:tc>
          <w:tcPr>
            <w:tcW w:w="3119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1 puesto equivalente a funcionario del cuadro orgánico a tiempo completo (50% en especie)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75 000</w:t>
            </w:r>
          </w:p>
        </w:tc>
      </w:tr>
      <w:tr w:rsidR="00F217E3" w:rsidRPr="00A50CE9" w:rsidTr="00F217E3">
        <w:tc>
          <w:tcPr>
            <w:tcW w:w="710" w:type="dxa"/>
            <w:vMerge w:val="restart"/>
            <w:vAlign w:val="center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2015</w:t>
            </w:r>
          </w:p>
        </w:tc>
        <w:tc>
          <w:tcPr>
            <w:tcW w:w="3543" w:type="dxa"/>
            <w:vMerge w:val="restart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Segunda reunión de autores (90 copresidentes, autores principales encargados de la coordinación y autores principales más</w:t>
            </w:r>
            <w:r w:rsidR="00A50CE9">
              <w:rPr>
                <w:rFonts w:ascii="Times New Roman" w:hAnsi="Times New Roman"/>
                <w:sz w:val="18"/>
                <w:szCs w:val="18"/>
                <w:lang w:val="es-ES_tradnl"/>
              </w:rPr>
              <w:t> </w:t>
            </w: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14 revisores más 4 miembros del Grupo multidisciplinario de expertos/Mesa más 1 funcionario de apoyo técnico)</w:t>
            </w:r>
          </w:p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Costos de la reunión (1 semana, 109 participantes) (25% en especie)</w:t>
            </w:r>
          </w:p>
        </w:tc>
        <w:tc>
          <w:tcPr>
            <w:tcW w:w="991" w:type="dxa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18 750</w:t>
            </w:r>
          </w:p>
        </w:tc>
      </w:tr>
      <w:tr w:rsidR="00F217E3" w:rsidRPr="00A50CE9" w:rsidTr="00F217E3">
        <w:trPr>
          <w:trHeight w:val="361"/>
        </w:trPr>
        <w:tc>
          <w:tcPr>
            <w:tcW w:w="710" w:type="dxa"/>
            <w:vMerge/>
            <w:vAlign w:val="center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17E3" w:rsidRPr="00A50CE9" w:rsidRDefault="00F217E3" w:rsidP="00A50CE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Viajes y dietas (82 x 3</w:t>
            </w:r>
            <w:r w:rsidR="00A50CE9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000)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264 000</w:t>
            </w:r>
          </w:p>
        </w:tc>
      </w:tr>
      <w:tr w:rsidR="00F217E3" w:rsidRPr="00A50CE9" w:rsidTr="00F217E3">
        <w:tc>
          <w:tcPr>
            <w:tcW w:w="710" w:type="dxa"/>
            <w:vMerge/>
            <w:vAlign w:val="center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Merge w:val="restart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Tercera reunión de autores (90 copresidentes, autores principales encargados de la coordinación y autores principales más 14 revisores más 4 miembros del Grupo multidisciplinario de expertos/Mesa más 1 funcionario de apoyo técnico)</w:t>
            </w:r>
          </w:p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Costos de la reunión (1 semana, 109 participantes) (25% en especie)</w:t>
            </w:r>
          </w:p>
        </w:tc>
        <w:tc>
          <w:tcPr>
            <w:tcW w:w="991" w:type="dxa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18 750</w:t>
            </w:r>
          </w:p>
        </w:tc>
      </w:tr>
      <w:tr w:rsidR="00F217E3" w:rsidRPr="00A50CE9" w:rsidTr="00F217E3">
        <w:trPr>
          <w:trHeight w:val="339"/>
        </w:trPr>
        <w:tc>
          <w:tcPr>
            <w:tcW w:w="710" w:type="dxa"/>
            <w:vMerge/>
            <w:vAlign w:val="center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Viajes y dietas (82 x 3.000)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264 000</w:t>
            </w:r>
          </w:p>
        </w:tc>
      </w:tr>
      <w:tr w:rsidR="00F217E3" w:rsidRPr="00A50CE9" w:rsidTr="00F217E3">
        <w:trPr>
          <w:trHeight w:val="361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  <w:vAlign w:val="center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Apoyo técnico</w:t>
            </w:r>
          </w:p>
        </w:tc>
        <w:tc>
          <w:tcPr>
            <w:tcW w:w="3119" w:type="dxa"/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1 puesto equivalente a funcionario del cuadro orgánico a tiempo completo (50% en especie)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217E3" w:rsidRPr="00A50CE9" w:rsidRDefault="00F217E3" w:rsidP="00F217E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75 000</w:t>
            </w:r>
          </w:p>
        </w:tc>
      </w:tr>
      <w:tr w:rsidR="00F217E3" w:rsidRPr="00A50CE9" w:rsidTr="00F217E3">
        <w:trPr>
          <w:trHeight w:val="357"/>
        </w:trPr>
        <w:tc>
          <w:tcPr>
            <w:tcW w:w="710" w:type="dxa"/>
            <w:vMerge w:val="restart"/>
            <w:vAlign w:val="center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2016</w:t>
            </w:r>
          </w:p>
        </w:tc>
        <w:tc>
          <w:tcPr>
            <w:tcW w:w="3543" w:type="dxa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Participación de 2 copresidentes y 2 autores principales encargados de la coordinación en el cuarto período de sesiones del Plenario</w:t>
            </w:r>
          </w:p>
        </w:tc>
        <w:tc>
          <w:tcPr>
            <w:tcW w:w="3119" w:type="dxa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Viajes y dietas (3 x 3.000)</w:t>
            </w:r>
          </w:p>
        </w:tc>
        <w:tc>
          <w:tcPr>
            <w:tcW w:w="991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9 000</w:t>
            </w:r>
          </w:p>
        </w:tc>
      </w:tr>
      <w:tr w:rsidR="00F217E3" w:rsidRPr="00A50CE9" w:rsidDel="001E184E" w:rsidTr="00F217E3">
        <w:trPr>
          <w:trHeight w:val="560"/>
        </w:trPr>
        <w:tc>
          <w:tcPr>
            <w:tcW w:w="710" w:type="dxa"/>
            <w:vMerge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543" w:type="dxa"/>
          </w:tcPr>
          <w:p w:rsidR="00F217E3" w:rsidRPr="00A50CE9" w:rsidRDefault="00F217E3" w:rsidP="00F217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Difusión y divulgación (resumen para los responsables de formular políticas (10 páginas) e informe (200 páginas))</w:t>
            </w:r>
          </w:p>
        </w:tc>
        <w:tc>
          <w:tcPr>
            <w:tcW w:w="3119" w:type="dxa"/>
          </w:tcPr>
          <w:p w:rsidR="00F217E3" w:rsidRPr="00A50CE9" w:rsidRDefault="00F217E3" w:rsidP="000375E3">
            <w:pPr>
              <w:spacing w:after="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Traducción del resumen para los responsables de formular políticas </w:t>
            </w:r>
            <w:r w:rsidR="000375E3"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a todos </w:t>
            </w: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los idiomas oficiales de las </w:t>
            </w:r>
            <w:r w:rsidR="00A50CE9">
              <w:rPr>
                <w:rFonts w:ascii="Times New Roman" w:hAnsi="Times New Roman"/>
                <w:sz w:val="18"/>
                <w:szCs w:val="18"/>
                <w:lang w:val="es-ES_tradnl"/>
              </w:rPr>
              <w:t>Naciones Unidas</w:t>
            </w:r>
            <w:r w:rsidRPr="00A50CE9">
              <w:rPr>
                <w:rFonts w:ascii="Times New Roman" w:hAnsi="Times New Roman"/>
                <w:sz w:val="18"/>
                <w:szCs w:val="18"/>
                <w:lang w:val="es-ES_tradnl"/>
              </w:rPr>
              <w:t>, publicación y divulgación</w:t>
            </w:r>
          </w:p>
        </w:tc>
        <w:tc>
          <w:tcPr>
            <w:tcW w:w="991" w:type="dxa"/>
          </w:tcPr>
          <w:p w:rsidR="00F217E3" w:rsidRPr="00A50CE9" w:rsidDel="001E184E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>117 000</w:t>
            </w:r>
          </w:p>
        </w:tc>
      </w:tr>
      <w:tr w:rsidR="00F217E3" w:rsidRPr="00A50CE9" w:rsidTr="00F217E3">
        <w:tc>
          <w:tcPr>
            <w:tcW w:w="710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b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b/>
                <w:sz w:val="18"/>
                <w:szCs w:val="18"/>
                <w:lang w:val="es-ES_tradnl" w:eastAsia="zh-CN"/>
              </w:rPr>
              <w:t>Total</w:t>
            </w:r>
          </w:p>
        </w:tc>
        <w:tc>
          <w:tcPr>
            <w:tcW w:w="3543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3119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1" w:type="dxa"/>
          </w:tcPr>
          <w:p w:rsidR="00F217E3" w:rsidRPr="00A50CE9" w:rsidRDefault="00F217E3" w:rsidP="00F217E3">
            <w:pPr>
              <w:pStyle w:val="ListParagraph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val="es-ES_tradnl" w:eastAsia="zh-CN"/>
              </w:rPr>
            </w:pPr>
            <w:r w:rsidRPr="00A50CE9">
              <w:rPr>
                <w:rFonts w:ascii="Times New Roman" w:eastAsia="SimSun" w:hAnsi="Times New Roman"/>
                <w:b/>
                <w:sz w:val="18"/>
                <w:szCs w:val="18"/>
                <w:lang w:val="es-ES_tradnl" w:eastAsia="zh-CN"/>
              </w:rPr>
              <w:t>1 141 500</w:t>
            </w:r>
          </w:p>
        </w:tc>
      </w:tr>
    </w:tbl>
    <w:p w:rsidR="00E65B1B" w:rsidRPr="00A50CE9" w:rsidRDefault="00D11D69" w:rsidP="00762016">
      <w:pPr>
        <w:pStyle w:val="CH3"/>
        <w:keepLines w:val="0"/>
        <w:spacing w:before="120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ab/>
      </w:r>
      <w:r w:rsidRPr="00A50CE9">
        <w:rPr>
          <w:sz w:val="20"/>
          <w:szCs w:val="20"/>
          <w:lang w:val="es-ES_tradnl"/>
        </w:rPr>
        <w:tab/>
      </w:r>
      <w:r w:rsidR="00E65B1B" w:rsidRPr="00A50CE9">
        <w:rPr>
          <w:sz w:val="20"/>
          <w:szCs w:val="20"/>
          <w:lang w:val="es-ES_tradnl"/>
        </w:rPr>
        <w:t>Referenc</w:t>
      </w:r>
      <w:r w:rsidR="00AC03F7" w:rsidRPr="00A50CE9">
        <w:rPr>
          <w:sz w:val="20"/>
          <w:szCs w:val="20"/>
          <w:lang w:val="es-ES_tradnl"/>
        </w:rPr>
        <w:t>ia</w:t>
      </w:r>
      <w:r w:rsidR="00E65B1B" w:rsidRPr="00A50CE9">
        <w:rPr>
          <w:sz w:val="20"/>
          <w:szCs w:val="20"/>
          <w:lang w:val="es-ES_tradnl"/>
        </w:rPr>
        <w:t>s</w:t>
      </w:r>
    </w:p>
    <w:p w:rsidR="00E65B1B" w:rsidRPr="00A50CE9" w:rsidRDefault="001F46DB" w:rsidP="00762016">
      <w:pPr>
        <w:pStyle w:val="NormalNonumber"/>
        <w:keepNext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Organización de Las </w:t>
      </w:r>
      <w:r w:rsidR="00A50CE9">
        <w:rPr>
          <w:sz w:val="20"/>
          <w:szCs w:val="20"/>
          <w:lang w:val="es-ES_tradnl"/>
        </w:rPr>
        <w:t>Naciones Unidas</w:t>
      </w:r>
      <w:r w:rsidRPr="00A50CE9">
        <w:rPr>
          <w:sz w:val="20"/>
          <w:szCs w:val="20"/>
          <w:lang w:val="es-ES_tradnl"/>
        </w:rPr>
        <w:t xml:space="preserve"> para la Alimentación y la Agricultura</w:t>
      </w:r>
      <w:r w:rsidR="009D4BA6" w:rsidRPr="00A50CE9">
        <w:rPr>
          <w:sz w:val="20"/>
          <w:szCs w:val="20"/>
          <w:lang w:val="es-ES_tradnl"/>
        </w:rPr>
        <w:t xml:space="preserve">, </w:t>
      </w:r>
      <w:r w:rsidR="00E65B1B" w:rsidRPr="00A50CE9">
        <w:rPr>
          <w:i/>
          <w:sz w:val="20"/>
          <w:szCs w:val="20"/>
          <w:lang w:val="es-ES_tradnl"/>
        </w:rPr>
        <w:t>Biodiversity for Food and Agriculture; Contributing to food security and sustainability in a changing world</w:t>
      </w:r>
      <w:r w:rsidR="009D4BA6" w:rsidRPr="00A50CE9">
        <w:rPr>
          <w:sz w:val="20"/>
          <w:szCs w:val="20"/>
          <w:lang w:val="es-ES_tradnl"/>
        </w:rPr>
        <w:t xml:space="preserve"> (2011)</w:t>
      </w:r>
      <w:r w:rsidR="00E65B1B" w:rsidRPr="00A50CE9">
        <w:rPr>
          <w:sz w:val="20"/>
          <w:szCs w:val="20"/>
          <w:lang w:val="es-ES_tradnl"/>
        </w:rPr>
        <w:t xml:space="preserve">. </w:t>
      </w:r>
    </w:p>
    <w:p w:rsidR="00E65B1B" w:rsidRPr="00A50CE9" w:rsidRDefault="009D4BA6" w:rsidP="00D11D69">
      <w:pPr>
        <w:pStyle w:val="NormalNonumber"/>
        <w:rPr>
          <w:sz w:val="20"/>
          <w:szCs w:val="20"/>
          <w:lang w:val="es-ES_tradnl"/>
        </w:rPr>
      </w:pPr>
      <w:r w:rsidRPr="00A50CE9">
        <w:rPr>
          <w:sz w:val="20"/>
          <w:szCs w:val="20"/>
          <w:lang w:val="es-ES_tradnl"/>
        </w:rPr>
        <w:t xml:space="preserve">T. </w:t>
      </w:r>
      <w:r w:rsidR="00E65B1B" w:rsidRPr="00A50CE9">
        <w:rPr>
          <w:sz w:val="20"/>
          <w:szCs w:val="20"/>
          <w:lang w:val="es-ES_tradnl"/>
        </w:rPr>
        <w:t>Garnett</w:t>
      </w:r>
      <w:r w:rsidRPr="00A50CE9">
        <w:rPr>
          <w:sz w:val="20"/>
          <w:szCs w:val="20"/>
          <w:lang w:val="es-ES_tradnl"/>
        </w:rPr>
        <w:t xml:space="preserve"> </w:t>
      </w:r>
      <w:r w:rsidR="00AC03F7" w:rsidRPr="00A50CE9">
        <w:rPr>
          <w:sz w:val="20"/>
          <w:szCs w:val="20"/>
          <w:lang w:val="es-ES_tradnl"/>
        </w:rPr>
        <w:t>y otros</w:t>
      </w:r>
      <w:r w:rsidR="00E65B1B" w:rsidRPr="00A50CE9">
        <w:rPr>
          <w:sz w:val="20"/>
          <w:szCs w:val="20"/>
          <w:lang w:val="es-ES_tradnl"/>
        </w:rPr>
        <w:t xml:space="preserve"> </w:t>
      </w:r>
      <w:r w:rsidR="00A50CE9">
        <w:rPr>
          <w:sz w:val="20"/>
          <w:szCs w:val="20"/>
          <w:lang w:val="es-ES_tradnl"/>
        </w:rPr>
        <w:t>“</w:t>
      </w:r>
      <w:r w:rsidR="00E65B1B" w:rsidRPr="00A50CE9">
        <w:rPr>
          <w:sz w:val="20"/>
          <w:szCs w:val="20"/>
          <w:lang w:val="es-ES_tradnl"/>
        </w:rPr>
        <w:t>Sustainable Intensification in Agriculture: Premises and Policies</w:t>
      </w:r>
      <w:r w:rsidR="00A50CE9">
        <w:rPr>
          <w:sz w:val="20"/>
          <w:szCs w:val="20"/>
          <w:lang w:val="es-ES_tradnl"/>
        </w:rPr>
        <w:t>”</w:t>
      </w:r>
      <w:r w:rsidR="0045436D" w:rsidRPr="00A50CE9">
        <w:rPr>
          <w:sz w:val="20"/>
          <w:szCs w:val="20"/>
          <w:lang w:val="es-ES_tradnl"/>
        </w:rPr>
        <w:t xml:space="preserve">, </w:t>
      </w:r>
      <w:r w:rsidR="00E65B1B" w:rsidRPr="00A50CE9">
        <w:rPr>
          <w:i/>
          <w:sz w:val="20"/>
          <w:szCs w:val="20"/>
          <w:lang w:val="es-ES_tradnl"/>
        </w:rPr>
        <w:t>Science</w:t>
      </w:r>
      <w:r w:rsidR="0045436D" w:rsidRPr="00A50CE9">
        <w:rPr>
          <w:sz w:val="20"/>
          <w:szCs w:val="20"/>
          <w:lang w:val="es-ES_tradnl"/>
        </w:rPr>
        <w:t>, vol.</w:t>
      </w:r>
      <w:r w:rsidR="00A53029" w:rsidRPr="00A50CE9">
        <w:rPr>
          <w:sz w:val="20"/>
          <w:szCs w:val="20"/>
          <w:lang w:val="es-ES_tradnl"/>
        </w:rPr>
        <w:t> </w:t>
      </w:r>
      <w:r w:rsidR="00E65B1B" w:rsidRPr="00A50CE9">
        <w:rPr>
          <w:sz w:val="20"/>
          <w:szCs w:val="20"/>
          <w:lang w:val="es-ES_tradnl"/>
        </w:rPr>
        <w:t>341</w:t>
      </w:r>
      <w:r w:rsidR="0045436D" w:rsidRPr="00A50CE9">
        <w:rPr>
          <w:sz w:val="20"/>
          <w:szCs w:val="20"/>
          <w:lang w:val="es-ES_tradnl"/>
        </w:rPr>
        <w:t>, p</w:t>
      </w:r>
      <w:r w:rsidR="00B33945" w:rsidRPr="00A50CE9">
        <w:rPr>
          <w:sz w:val="20"/>
          <w:szCs w:val="20"/>
          <w:lang w:val="es-ES_tradnl"/>
        </w:rPr>
        <w:t>ágs</w:t>
      </w:r>
      <w:r w:rsidR="0045436D" w:rsidRPr="00A50CE9">
        <w:rPr>
          <w:sz w:val="20"/>
          <w:szCs w:val="20"/>
          <w:lang w:val="es-ES_tradnl"/>
        </w:rPr>
        <w:t>.</w:t>
      </w:r>
      <w:r w:rsidR="00E65B1B" w:rsidRPr="00A50CE9">
        <w:rPr>
          <w:sz w:val="20"/>
          <w:szCs w:val="20"/>
          <w:lang w:val="es-ES_tradnl"/>
        </w:rPr>
        <w:t xml:space="preserve"> 33</w:t>
      </w:r>
      <w:r w:rsidR="00B33945" w:rsidRPr="00A50CE9">
        <w:rPr>
          <w:sz w:val="20"/>
          <w:szCs w:val="20"/>
          <w:lang w:val="es-ES_tradnl"/>
        </w:rPr>
        <w:t xml:space="preserve"> y</w:t>
      </w:r>
      <w:r w:rsidR="00E65B1B" w:rsidRPr="00A50CE9">
        <w:rPr>
          <w:sz w:val="20"/>
          <w:szCs w:val="20"/>
          <w:lang w:val="es-ES_tradnl"/>
        </w:rPr>
        <w:t xml:space="preserve"> 34</w:t>
      </w:r>
      <w:r w:rsidR="0045436D" w:rsidRPr="00A50CE9">
        <w:rPr>
          <w:sz w:val="20"/>
          <w:szCs w:val="20"/>
          <w:lang w:val="es-ES_tradnl"/>
        </w:rPr>
        <w:t xml:space="preserve"> (2013)</w:t>
      </w:r>
      <w:r w:rsidR="00E65B1B" w:rsidRPr="00A50CE9">
        <w:rPr>
          <w:sz w:val="20"/>
          <w:szCs w:val="20"/>
          <w:lang w:val="es-ES_tradnl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3237"/>
        <w:gridCol w:w="3238"/>
      </w:tblGrid>
      <w:tr w:rsidR="001F1737" w:rsidRPr="00A50CE9">
        <w:tc>
          <w:tcPr>
            <w:tcW w:w="3237" w:type="dxa"/>
          </w:tcPr>
          <w:p w:rsidR="001F1737" w:rsidRPr="00A50CE9" w:rsidRDefault="001F1737" w:rsidP="00A53029">
            <w:pPr>
              <w:pStyle w:val="Normal-pool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F1737" w:rsidRPr="00A50CE9" w:rsidRDefault="001F1737" w:rsidP="00A53029">
            <w:pPr>
              <w:pStyle w:val="Normal-pool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38" w:type="dxa"/>
          </w:tcPr>
          <w:p w:rsidR="001F1737" w:rsidRPr="00A50CE9" w:rsidRDefault="001F1737" w:rsidP="00A53029">
            <w:pPr>
              <w:pStyle w:val="Normal-pool"/>
              <w:rPr>
                <w:sz w:val="20"/>
                <w:szCs w:val="20"/>
                <w:lang w:val="es-ES_tradnl"/>
              </w:rPr>
            </w:pPr>
          </w:p>
        </w:tc>
      </w:tr>
    </w:tbl>
    <w:p w:rsidR="00D11D69" w:rsidRPr="00A50CE9" w:rsidRDefault="00D11D69" w:rsidP="00A53029">
      <w:pPr>
        <w:pStyle w:val="Normal-pool"/>
        <w:rPr>
          <w:sz w:val="20"/>
          <w:szCs w:val="20"/>
          <w:lang w:val="es-ES_tradnl"/>
        </w:rPr>
      </w:pPr>
    </w:p>
    <w:sectPr w:rsidR="00D11D69" w:rsidRPr="00A50CE9" w:rsidSect="00713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D5" w:rsidRDefault="000F31D5">
      <w:r>
        <w:separator/>
      </w:r>
    </w:p>
  </w:endnote>
  <w:endnote w:type="continuationSeparator" w:id="0">
    <w:p w:rsidR="000F31D5" w:rsidRDefault="000F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0375E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E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0375E3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45F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Pr="00864922" w:rsidRDefault="000375E3" w:rsidP="00194D87">
    <w:pPr>
      <w:pStyle w:val="Footer"/>
      <w:tabs>
        <w:tab w:val="clear" w:pos="4320"/>
        <w:tab w:val="clear" w:pos="8640"/>
        <w:tab w:val="left" w:pos="62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K1353349</w:t>
    </w:r>
    <w:r>
      <w:rPr>
        <w:rFonts w:ascii="Times New Roman" w:hAnsi="Times New Roman"/>
        <w:sz w:val="20"/>
        <w:szCs w:val="20"/>
      </w:rPr>
      <w:tab/>
    </w:r>
    <w:r w:rsidR="00A50CE9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11013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D5" w:rsidRPr="00A53029" w:rsidRDefault="000F31D5" w:rsidP="00A53029">
      <w:pPr>
        <w:spacing w:after="120" w:line="240" w:lineRule="auto"/>
        <w:ind w:left="624"/>
        <w:rPr>
          <w:rFonts w:ascii="Times New Roman" w:hAnsi="Times New Roman"/>
          <w:sz w:val="20"/>
          <w:szCs w:val="20"/>
        </w:rPr>
      </w:pPr>
      <w:r w:rsidRPr="00A53029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0F31D5" w:rsidRDefault="000F31D5">
      <w:r>
        <w:continuationSeparator/>
      </w:r>
    </w:p>
  </w:footnote>
  <w:footnote w:id="1">
    <w:p w:rsidR="000375E3" w:rsidRPr="003F7521" w:rsidRDefault="000375E3" w:rsidP="008A5A06">
      <w:pPr>
        <w:pStyle w:val="FootnoteText"/>
        <w:rPr>
          <w:lang w:val="en-US"/>
        </w:rPr>
      </w:pPr>
      <w:r w:rsidRPr="00416EAB">
        <w:rPr>
          <w:rStyle w:val="FootnoteReference"/>
        </w:rPr>
        <w:sym w:font="Symbol" w:char="F02A"/>
      </w:r>
      <w:r>
        <w:t xml:space="preserve"> </w:t>
      </w:r>
      <w:r w:rsidRPr="003F7521">
        <w:rPr>
          <w:szCs w:val="18"/>
        </w:rPr>
        <w:t>IPBES/</w:t>
      </w:r>
      <w:r w:rsidRPr="003F7521">
        <w:rPr>
          <w:szCs w:val="18"/>
          <w:lang w:eastAsia="ja-JP"/>
        </w:rPr>
        <w:t>2/1</w:t>
      </w:r>
      <w:r>
        <w:rPr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Pr="00194D87" w:rsidRDefault="000375E3" w:rsidP="00194D87">
    <w:pPr>
      <w:pStyle w:val="Header"/>
      <w:rPr>
        <w:rFonts w:ascii="Times New Roman" w:hAnsi="Times New Roman"/>
        <w:szCs w:val="18"/>
      </w:rPr>
    </w:pPr>
    <w:r w:rsidRPr="00194D87">
      <w:rPr>
        <w:rFonts w:ascii="Times New Roman" w:hAnsi="Times New Roman"/>
        <w:szCs w:val="18"/>
        <w:lang w:val="en-US"/>
      </w:rPr>
      <w:t>IPBES/</w:t>
    </w:r>
    <w:r w:rsidRPr="00194D87">
      <w:rPr>
        <w:rFonts w:ascii="Times New Roman" w:hAnsi="Times New Roman"/>
        <w:szCs w:val="18"/>
        <w:lang w:val="en-US" w:eastAsia="ja-JP"/>
      </w:rPr>
      <w:t>2/</w:t>
    </w:r>
    <w:r>
      <w:rPr>
        <w:rFonts w:ascii="Times New Roman" w:hAnsi="Times New Roman"/>
        <w:szCs w:val="18"/>
        <w:lang w:val="en-US" w:eastAsia="ja-JP"/>
      </w:rPr>
      <w:t>16/Add.7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Pr="00194D87" w:rsidRDefault="000375E3" w:rsidP="00194D87">
    <w:pPr>
      <w:pStyle w:val="Header"/>
      <w:jc w:val="right"/>
      <w:rPr>
        <w:rFonts w:ascii="Times New Roman" w:hAnsi="Times New Roman"/>
        <w:szCs w:val="18"/>
      </w:rPr>
    </w:pPr>
    <w:r w:rsidRPr="00194D87">
      <w:rPr>
        <w:rFonts w:ascii="Times New Roman" w:hAnsi="Times New Roman"/>
        <w:szCs w:val="18"/>
        <w:lang w:val="en-US"/>
      </w:rPr>
      <w:t>IPBES/</w:t>
    </w:r>
    <w:r w:rsidRPr="00194D87">
      <w:rPr>
        <w:rFonts w:ascii="Times New Roman" w:hAnsi="Times New Roman"/>
        <w:szCs w:val="18"/>
        <w:lang w:val="en-US" w:eastAsia="ja-JP"/>
      </w:rPr>
      <w:t>2/1</w:t>
    </w:r>
    <w:r>
      <w:rPr>
        <w:rFonts w:ascii="Times New Roman" w:hAnsi="Times New Roman"/>
        <w:szCs w:val="18"/>
        <w:lang w:val="en-US" w:eastAsia="ja-JP"/>
      </w:rPr>
      <w:t>6/Add.7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Pr="00762016" w:rsidRDefault="000375E3" w:rsidP="00762016">
    <w:pPr>
      <w:pStyle w:val="Header"/>
      <w:pBdr>
        <w:bottom w:val="none" w:sz="0" w:space="0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FB6"/>
    <w:multiLevelType w:val="hybridMultilevel"/>
    <w:tmpl w:val="0AB8B380"/>
    <w:lvl w:ilvl="0" w:tplc="AC301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E86"/>
    <w:multiLevelType w:val="hybridMultilevel"/>
    <w:tmpl w:val="C772EAEC"/>
    <w:lvl w:ilvl="0" w:tplc="04EAF5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0136"/>
    <w:multiLevelType w:val="hybridMultilevel"/>
    <w:tmpl w:val="F8C06BF0"/>
    <w:lvl w:ilvl="0" w:tplc="96384B74">
      <w:start w:val="1"/>
      <w:numFmt w:val="upperRoman"/>
      <w:lvlText w:val="%1."/>
      <w:lvlJc w:val="left"/>
      <w:pPr>
        <w:ind w:left="196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7" w:hanging="360"/>
      </w:pPr>
    </w:lvl>
    <w:lvl w:ilvl="2" w:tplc="0C0A001B" w:tentative="1">
      <w:start w:val="1"/>
      <w:numFmt w:val="lowerRoman"/>
      <w:lvlText w:val="%3."/>
      <w:lvlJc w:val="right"/>
      <w:pPr>
        <w:ind w:left="3047" w:hanging="180"/>
      </w:pPr>
    </w:lvl>
    <w:lvl w:ilvl="3" w:tplc="0C0A000F" w:tentative="1">
      <w:start w:val="1"/>
      <w:numFmt w:val="decimal"/>
      <w:lvlText w:val="%4."/>
      <w:lvlJc w:val="left"/>
      <w:pPr>
        <w:ind w:left="3767" w:hanging="360"/>
      </w:pPr>
    </w:lvl>
    <w:lvl w:ilvl="4" w:tplc="0C0A0019" w:tentative="1">
      <w:start w:val="1"/>
      <w:numFmt w:val="lowerLetter"/>
      <w:lvlText w:val="%5."/>
      <w:lvlJc w:val="left"/>
      <w:pPr>
        <w:ind w:left="4487" w:hanging="360"/>
      </w:pPr>
    </w:lvl>
    <w:lvl w:ilvl="5" w:tplc="0C0A001B" w:tentative="1">
      <w:start w:val="1"/>
      <w:numFmt w:val="lowerRoman"/>
      <w:lvlText w:val="%6."/>
      <w:lvlJc w:val="right"/>
      <w:pPr>
        <w:ind w:left="5207" w:hanging="180"/>
      </w:pPr>
    </w:lvl>
    <w:lvl w:ilvl="6" w:tplc="0C0A000F" w:tentative="1">
      <w:start w:val="1"/>
      <w:numFmt w:val="decimal"/>
      <w:lvlText w:val="%7."/>
      <w:lvlJc w:val="left"/>
      <w:pPr>
        <w:ind w:left="5927" w:hanging="360"/>
      </w:pPr>
    </w:lvl>
    <w:lvl w:ilvl="7" w:tplc="0C0A0019" w:tentative="1">
      <w:start w:val="1"/>
      <w:numFmt w:val="lowerLetter"/>
      <w:lvlText w:val="%8."/>
      <w:lvlJc w:val="left"/>
      <w:pPr>
        <w:ind w:left="6647" w:hanging="360"/>
      </w:pPr>
    </w:lvl>
    <w:lvl w:ilvl="8" w:tplc="0C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0E8253FB"/>
    <w:multiLevelType w:val="hybridMultilevel"/>
    <w:tmpl w:val="35BA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96E1B87"/>
    <w:multiLevelType w:val="hybridMultilevel"/>
    <w:tmpl w:val="7FD0E58E"/>
    <w:lvl w:ilvl="0" w:tplc="7062EF0E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3A4541"/>
    <w:multiLevelType w:val="hybridMultilevel"/>
    <w:tmpl w:val="0AB8B380"/>
    <w:lvl w:ilvl="0" w:tplc="AC301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712A5"/>
    <w:multiLevelType w:val="hybridMultilevel"/>
    <w:tmpl w:val="E8B29EF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>
    <w:nsid w:val="62291BF8"/>
    <w:multiLevelType w:val="multilevel"/>
    <w:tmpl w:val="F4ACF36E"/>
    <w:numStyleLink w:val="Normallist"/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9AD108-3C23-4BA0-9A88-CF3B4EBD503C}"/>
    <w:docVar w:name="dgnword-eventsink" w:val="208534480"/>
  </w:docVars>
  <w:rsids>
    <w:rsidRoot w:val="00194D87"/>
    <w:rsid w:val="00013805"/>
    <w:rsid w:val="000149E6"/>
    <w:rsid w:val="000179E3"/>
    <w:rsid w:val="0002237E"/>
    <w:rsid w:val="00022E65"/>
    <w:rsid w:val="00023670"/>
    <w:rsid w:val="000247B0"/>
    <w:rsid w:val="000249A3"/>
    <w:rsid w:val="0002522A"/>
    <w:rsid w:val="000254D1"/>
    <w:rsid w:val="00026997"/>
    <w:rsid w:val="00026B2B"/>
    <w:rsid w:val="00033E0B"/>
    <w:rsid w:val="00035549"/>
    <w:rsid w:val="00035EDE"/>
    <w:rsid w:val="000375E3"/>
    <w:rsid w:val="00046CB9"/>
    <w:rsid w:val="000509B4"/>
    <w:rsid w:val="000537AB"/>
    <w:rsid w:val="0006035B"/>
    <w:rsid w:val="0007166E"/>
    <w:rsid w:val="0007169A"/>
    <w:rsid w:val="00071886"/>
    <w:rsid w:val="000742BC"/>
    <w:rsid w:val="0008221E"/>
    <w:rsid w:val="00082A0C"/>
    <w:rsid w:val="00083504"/>
    <w:rsid w:val="0009044C"/>
    <w:rsid w:val="0009640C"/>
    <w:rsid w:val="00096D84"/>
    <w:rsid w:val="000A2EC8"/>
    <w:rsid w:val="000B199B"/>
    <w:rsid w:val="000B21D5"/>
    <w:rsid w:val="000B22A2"/>
    <w:rsid w:val="000B2387"/>
    <w:rsid w:val="000C040B"/>
    <w:rsid w:val="000C2A52"/>
    <w:rsid w:val="000D33C0"/>
    <w:rsid w:val="000D6941"/>
    <w:rsid w:val="000E3520"/>
    <w:rsid w:val="000E7E6F"/>
    <w:rsid w:val="000F31D5"/>
    <w:rsid w:val="000F4B6E"/>
    <w:rsid w:val="001000FC"/>
    <w:rsid w:val="00103B2A"/>
    <w:rsid w:val="001060C8"/>
    <w:rsid w:val="00115F01"/>
    <w:rsid w:val="001202E3"/>
    <w:rsid w:val="00121F0D"/>
    <w:rsid w:val="00123699"/>
    <w:rsid w:val="00123979"/>
    <w:rsid w:val="0013059D"/>
    <w:rsid w:val="0013375C"/>
    <w:rsid w:val="00141A55"/>
    <w:rsid w:val="001446A3"/>
    <w:rsid w:val="00155395"/>
    <w:rsid w:val="00156B90"/>
    <w:rsid w:val="00163480"/>
    <w:rsid w:val="00164791"/>
    <w:rsid w:val="00166EBC"/>
    <w:rsid w:val="00166F0C"/>
    <w:rsid w:val="00170D52"/>
    <w:rsid w:val="00171546"/>
    <w:rsid w:val="0017254B"/>
    <w:rsid w:val="00181EC8"/>
    <w:rsid w:val="00184349"/>
    <w:rsid w:val="001867F5"/>
    <w:rsid w:val="00190486"/>
    <w:rsid w:val="00194D87"/>
    <w:rsid w:val="00195F33"/>
    <w:rsid w:val="00196633"/>
    <w:rsid w:val="001B1617"/>
    <w:rsid w:val="001B4717"/>
    <w:rsid w:val="001B4912"/>
    <w:rsid w:val="001B504B"/>
    <w:rsid w:val="001B52EE"/>
    <w:rsid w:val="001C2B88"/>
    <w:rsid w:val="001D237E"/>
    <w:rsid w:val="001D3389"/>
    <w:rsid w:val="001D36F3"/>
    <w:rsid w:val="001D3874"/>
    <w:rsid w:val="001D7E75"/>
    <w:rsid w:val="001E56D2"/>
    <w:rsid w:val="001E7D56"/>
    <w:rsid w:val="001F1737"/>
    <w:rsid w:val="001F46DB"/>
    <w:rsid w:val="001F60D3"/>
    <w:rsid w:val="001F75DE"/>
    <w:rsid w:val="00200313"/>
    <w:rsid w:val="00200D58"/>
    <w:rsid w:val="002013BE"/>
    <w:rsid w:val="002063A4"/>
    <w:rsid w:val="00207792"/>
    <w:rsid w:val="0021145B"/>
    <w:rsid w:val="002144E6"/>
    <w:rsid w:val="00221178"/>
    <w:rsid w:val="002268EF"/>
    <w:rsid w:val="00226A82"/>
    <w:rsid w:val="002324CD"/>
    <w:rsid w:val="002326D5"/>
    <w:rsid w:val="00236039"/>
    <w:rsid w:val="002417AA"/>
    <w:rsid w:val="00243D36"/>
    <w:rsid w:val="0024552A"/>
    <w:rsid w:val="0024570E"/>
    <w:rsid w:val="0024619E"/>
    <w:rsid w:val="00247707"/>
    <w:rsid w:val="002536DA"/>
    <w:rsid w:val="002678C6"/>
    <w:rsid w:val="002734BF"/>
    <w:rsid w:val="002826F5"/>
    <w:rsid w:val="00286740"/>
    <w:rsid w:val="002929D8"/>
    <w:rsid w:val="00293850"/>
    <w:rsid w:val="002965FE"/>
    <w:rsid w:val="002A123A"/>
    <w:rsid w:val="002A237D"/>
    <w:rsid w:val="002A49D2"/>
    <w:rsid w:val="002A4C53"/>
    <w:rsid w:val="002A693D"/>
    <w:rsid w:val="002B0672"/>
    <w:rsid w:val="002B1474"/>
    <w:rsid w:val="002B1B4C"/>
    <w:rsid w:val="002B247F"/>
    <w:rsid w:val="002B3767"/>
    <w:rsid w:val="002C145D"/>
    <w:rsid w:val="002C2C3E"/>
    <w:rsid w:val="002C533E"/>
    <w:rsid w:val="002D027F"/>
    <w:rsid w:val="002D058F"/>
    <w:rsid w:val="002D7A85"/>
    <w:rsid w:val="002D7B60"/>
    <w:rsid w:val="002E3BD1"/>
    <w:rsid w:val="002F4761"/>
    <w:rsid w:val="002F5C79"/>
    <w:rsid w:val="003019E2"/>
    <w:rsid w:val="00305EB8"/>
    <w:rsid w:val="00310FD9"/>
    <w:rsid w:val="00313D12"/>
    <w:rsid w:val="0031413F"/>
    <w:rsid w:val="003148BB"/>
    <w:rsid w:val="00315D2C"/>
    <w:rsid w:val="00316934"/>
    <w:rsid w:val="00317976"/>
    <w:rsid w:val="00332E81"/>
    <w:rsid w:val="0033377D"/>
    <w:rsid w:val="003433B6"/>
    <w:rsid w:val="003447AA"/>
    <w:rsid w:val="003530C7"/>
    <w:rsid w:val="00355EA9"/>
    <w:rsid w:val="003578DE"/>
    <w:rsid w:val="00361489"/>
    <w:rsid w:val="00364DCD"/>
    <w:rsid w:val="00396257"/>
    <w:rsid w:val="00397EB8"/>
    <w:rsid w:val="003A086E"/>
    <w:rsid w:val="003A4FD0"/>
    <w:rsid w:val="003A69D1"/>
    <w:rsid w:val="003A7375"/>
    <w:rsid w:val="003A7705"/>
    <w:rsid w:val="003B1545"/>
    <w:rsid w:val="003C1D33"/>
    <w:rsid w:val="003C34EA"/>
    <w:rsid w:val="003C409D"/>
    <w:rsid w:val="003C5BA6"/>
    <w:rsid w:val="003C6B53"/>
    <w:rsid w:val="003D0C0E"/>
    <w:rsid w:val="003F0E85"/>
    <w:rsid w:val="003F3DDC"/>
    <w:rsid w:val="003F523D"/>
    <w:rsid w:val="00405251"/>
    <w:rsid w:val="00410C55"/>
    <w:rsid w:val="00416854"/>
    <w:rsid w:val="00417725"/>
    <w:rsid w:val="004217F6"/>
    <w:rsid w:val="00425A77"/>
    <w:rsid w:val="004316DC"/>
    <w:rsid w:val="00436B31"/>
    <w:rsid w:val="00437F26"/>
    <w:rsid w:val="00443B94"/>
    <w:rsid w:val="00444097"/>
    <w:rsid w:val="00445487"/>
    <w:rsid w:val="00445CEC"/>
    <w:rsid w:val="0045080B"/>
    <w:rsid w:val="0045436D"/>
    <w:rsid w:val="00454769"/>
    <w:rsid w:val="004605C9"/>
    <w:rsid w:val="00466991"/>
    <w:rsid w:val="0047064C"/>
    <w:rsid w:val="00471638"/>
    <w:rsid w:val="004834FE"/>
    <w:rsid w:val="004863D2"/>
    <w:rsid w:val="004A42E1"/>
    <w:rsid w:val="004B162C"/>
    <w:rsid w:val="004B2985"/>
    <w:rsid w:val="004C3DBE"/>
    <w:rsid w:val="004C5C96"/>
    <w:rsid w:val="004D06A4"/>
    <w:rsid w:val="004D0FDD"/>
    <w:rsid w:val="004E7BD7"/>
    <w:rsid w:val="004F00DD"/>
    <w:rsid w:val="004F1A81"/>
    <w:rsid w:val="004F38BA"/>
    <w:rsid w:val="00500621"/>
    <w:rsid w:val="00517AD5"/>
    <w:rsid w:val="005218D9"/>
    <w:rsid w:val="0052544A"/>
    <w:rsid w:val="00535AB5"/>
    <w:rsid w:val="00536186"/>
    <w:rsid w:val="00536907"/>
    <w:rsid w:val="00541632"/>
    <w:rsid w:val="00542EC4"/>
    <w:rsid w:val="005445FC"/>
    <w:rsid w:val="00544CBB"/>
    <w:rsid w:val="00561740"/>
    <w:rsid w:val="00571C52"/>
    <w:rsid w:val="0057315F"/>
    <w:rsid w:val="00574B38"/>
    <w:rsid w:val="00576104"/>
    <w:rsid w:val="0057716D"/>
    <w:rsid w:val="0058068F"/>
    <w:rsid w:val="005926C2"/>
    <w:rsid w:val="005B3915"/>
    <w:rsid w:val="005B52FF"/>
    <w:rsid w:val="005C04E2"/>
    <w:rsid w:val="005C4BAC"/>
    <w:rsid w:val="005C67C8"/>
    <w:rsid w:val="005D0249"/>
    <w:rsid w:val="005D6E8C"/>
    <w:rsid w:val="005E32F2"/>
    <w:rsid w:val="005E5D9D"/>
    <w:rsid w:val="005E6ECC"/>
    <w:rsid w:val="005F100C"/>
    <w:rsid w:val="005F1D0A"/>
    <w:rsid w:val="005F68DA"/>
    <w:rsid w:val="005F7F13"/>
    <w:rsid w:val="0060773B"/>
    <w:rsid w:val="006116FA"/>
    <w:rsid w:val="006128EA"/>
    <w:rsid w:val="006157B5"/>
    <w:rsid w:val="00617087"/>
    <w:rsid w:val="00621627"/>
    <w:rsid w:val="006254B2"/>
    <w:rsid w:val="00626FC6"/>
    <w:rsid w:val="006303B4"/>
    <w:rsid w:val="00633D3D"/>
    <w:rsid w:val="00633FDE"/>
    <w:rsid w:val="00640A43"/>
    <w:rsid w:val="00641703"/>
    <w:rsid w:val="006431A6"/>
    <w:rsid w:val="006436C2"/>
    <w:rsid w:val="006459F6"/>
    <w:rsid w:val="006501AD"/>
    <w:rsid w:val="00651BFA"/>
    <w:rsid w:val="00663A51"/>
    <w:rsid w:val="00665A4B"/>
    <w:rsid w:val="00670814"/>
    <w:rsid w:val="006709E3"/>
    <w:rsid w:val="006835C5"/>
    <w:rsid w:val="0068619D"/>
    <w:rsid w:val="00692E2A"/>
    <w:rsid w:val="006954A4"/>
    <w:rsid w:val="006A4EDE"/>
    <w:rsid w:val="006A76F2"/>
    <w:rsid w:val="006B6A7B"/>
    <w:rsid w:val="006C0E5B"/>
    <w:rsid w:val="006C41F5"/>
    <w:rsid w:val="006C5FA6"/>
    <w:rsid w:val="006D7EFB"/>
    <w:rsid w:val="006E6672"/>
    <w:rsid w:val="006E6722"/>
    <w:rsid w:val="006E7F64"/>
    <w:rsid w:val="006F21D2"/>
    <w:rsid w:val="006F43A0"/>
    <w:rsid w:val="006F4691"/>
    <w:rsid w:val="007015F3"/>
    <w:rsid w:val="007020E4"/>
    <w:rsid w:val="007027B9"/>
    <w:rsid w:val="00713D8F"/>
    <w:rsid w:val="00715E88"/>
    <w:rsid w:val="00734CAA"/>
    <w:rsid w:val="007469A7"/>
    <w:rsid w:val="007528C4"/>
    <w:rsid w:val="0075533C"/>
    <w:rsid w:val="00757581"/>
    <w:rsid w:val="007611A0"/>
    <w:rsid w:val="007616B0"/>
    <w:rsid w:val="00762016"/>
    <w:rsid w:val="0076224E"/>
    <w:rsid w:val="00796B96"/>
    <w:rsid w:val="00796D3F"/>
    <w:rsid w:val="007A1683"/>
    <w:rsid w:val="007A36F8"/>
    <w:rsid w:val="007A5C12"/>
    <w:rsid w:val="007A7CB0"/>
    <w:rsid w:val="007B68A3"/>
    <w:rsid w:val="007C00D1"/>
    <w:rsid w:val="007C0F3E"/>
    <w:rsid w:val="007C2541"/>
    <w:rsid w:val="007D66A8"/>
    <w:rsid w:val="007D705A"/>
    <w:rsid w:val="007E003F"/>
    <w:rsid w:val="007F305C"/>
    <w:rsid w:val="007F746C"/>
    <w:rsid w:val="00802E72"/>
    <w:rsid w:val="008117F0"/>
    <w:rsid w:val="008164F2"/>
    <w:rsid w:val="00821395"/>
    <w:rsid w:val="00830E26"/>
    <w:rsid w:val="00842585"/>
    <w:rsid w:val="00843576"/>
    <w:rsid w:val="00843B64"/>
    <w:rsid w:val="008478FC"/>
    <w:rsid w:val="00867BFF"/>
    <w:rsid w:val="00870972"/>
    <w:rsid w:val="008739DB"/>
    <w:rsid w:val="00880463"/>
    <w:rsid w:val="00883036"/>
    <w:rsid w:val="0088480A"/>
    <w:rsid w:val="0088757A"/>
    <w:rsid w:val="008957DD"/>
    <w:rsid w:val="00897D98"/>
    <w:rsid w:val="008A26B4"/>
    <w:rsid w:val="008A5A06"/>
    <w:rsid w:val="008A6DF2"/>
    <w:rsid w:val="008A7807"/>
    <w:rsid w:val="008B4CC9"/>
    <w:rsid w:val="008C13ED"/>
    <w:rsid w:val="008C315A"/>
    <w:rsid w:val="008C57F9"/>
    <w:rsid w:val="008C5971"/>
    <w:rsid w:val="008C6D65"/>
    <w:rsid w:val="008D2BB5"/>
    <w:rsid w:val="008D55E9"/>
    <w:rsid w:val="008D7C99"/>
    <w:rsid w:val="008E0FCB"/>
    <w:rsid w:val="008E329D"/>
    <w:rsid w:val="008E7253"/>
    <w:rsid w:val="008F6070"/>
    <w:rsid w:val="009179CE"/>
    <w:rsid w:val="009204AA"/>
    <w:rsid w:val="0092178C"/>
    <w:rsid w:val="00930B88"/>
    <w:rsid w:val="00940DCC"/>
    <w:rsid w:val="0094179A"/>
    <w:rsid w:val="0094459E"/>
    <w:rsid w:val="00944DBC"/>
    <w:rsid w:val="00950977"/>
    <w:rsid w:val="0095189F"/>
    <w:rsid w:val="00951A7B"/>
    <w:rsid w:val="009538D4"/>
    <w:rsid w:val="009564A6"/>
    <w:rsid w:val="009622A1"/>
    <w:rsid w:val="00967436"/>
    <w:rsid w:val="00967621"/>
    <w:rsid w:val="00967E6A"/>
    <w:rsid w:val="009815A4"/>
    <w:rsid w:val="00985183"/>
    <w:rsid w:val="00990620"/>
    <w:rsid w:val="009935AC"/>
    <w:rsid w:val="00996D53"/>
    <w:rsid w:val="009979BF"/>
    <w:rsid w:val="009A61CE"/>
    <w:rsid w:val="009B07F4"/>
    <w:rsid w:val="009B1D37"/>
    <w:rsid w:val="009B4A0F"/>
    <w:rsid w:val="009C11D2"/>
    <w:rsid w:val="009C289F"/>
    <w:rsid w:val="009C56E6"/>
    <w:rsid w:val="009C6C70"/>
    <w:rsid w:val="009D0B63"/>
    <w:rsid w:val="009D4BA6"/>
    <w:rsid w:val="009D4C74"/>
    <w:rsid w:val="009D51D3"/>
    <w:rsid w:val="009E307E"/>
    <w:rsid w:val="009F46B5"/>
    <w:rsid w:val="009F7261"/>
    <w:rsid w:val="00A00D32"/>
    <w:rsid w:val="00A07870"/>
    <w:rsid w:val="00A07F19"/>
    <w:rsid w:val="00A1348D"/>
    <w:rsid w:val="00A22B54"/>
    <w:rsid w:val="00A232EE"/>
    <w:rsid w:val="00A31DBD"/>
    <w:rsid w:val="00A365CD"/>
    <w:rsid w:val="00A3704C"/>
    <w:rsid w:val="00A4175F"/>
    <w:rsid w:val="00A44411"/>
    <w:rsid w:val="00A45053"/>
    <w:rsid w:val="00A469FA"/>
    <w:rsid w:val="00A50CE9"/>
    <w:rsid w:val="00A53029"/>
    <w:rsid w:val="00A55B01"/>
    <w:rsid w:val="00A56478"/>
    <w:rsid w:val="00A56936"/>
    <w:rsid w:val="00A56B5B"/>
    <w:rsid w:val="00A603FF"/>
    <w:rsid w:val="00A60E3D"/>
    <w:rsid w:val="00A62259"/>
    <w:rsid w:val="00A657DD"/>
    <w:rsid w:val="00A666A6"/>
    <w:rsid w:val="00A67480"/>
    <w:rsid w:val="00A675FD"/>
    <w:rsid w:val="00A67713"/>
    <w:rsid w:val="00A70EC1"/>
    <w:rsid w:val="00A72437"/>
    <w:rsid w:val="00A73096"/>
    <w:rsid w:val="00A73EA5"/>
    <w:rsid w:val="00A80611"/>
    <w:rsid w:val="00A900EC"/>
    <w:rsid w:val="00A91398"/>
    <w:rsid w:val="00A93108"/>
    <w:rsid w:val="00A934EE"/>
    <w:rsid w:val="00AA3073"/>
    <w:rsid w:val="00AB10C4"/>
    <w:rsid w:val="00AB3AF1"/>
    <w:rsid w:val="00AB5340"/>
    <w:rsid w:val="00AB7DF0"/>
    <w:rsid w:val="00AC03F7"/>
    <w:rsid w:val="00AC5674"/>
    <w:rsid w:val="00AC7C96"/>
    <w:rsid w:val="00AD3292"/>
    <w:rsid w:val="00AD5F9A"/>
    <w:rsid w:val="00AE0F42"/>
    <w:rsid w:val="00AE237D"/>
    <w:rsid w:val="00AE502A"/>
    <w:rsid w:val="00AF7C07"/>
    <w:rsid w:val="00B11A54"/>
    <w:rsid w:val="00B12A58"/>
    <w:rsid w:val="00B130F3"/>
    <w:rsid w:val="00B13585"/>
    <w:rsid w:val="00B141EB"/>
    <w:rsid w:val="00B20DD4"/>
    <w:rsid w:val="00B22C93"/>
    <w:rsid w:val="00B26131"/>
    <w:rsid w:val="00B27589"/>
    <w:rsid w:val="00B27EA9"/>
    <w:rsid w:val="00B33945"/>
    <w:rsid w:val="00B34557"/>
    <w:rsid w:val="00B364EC"/>
    <w:rsid w:val="00B405B7"/>
    <w:rsid w:val="00B46922"/>
    <w:rsid w:val="00B52222"/>
    <w:rsid w:val="00B54FE7"/>
    <w:rsid w:val="00B64938"/>
    <w:rsid w:val="00B658EA"/>
    <w:rsid w:val="00B66901"/>
    <w:rsid w:val="00B670A1"/>
    <w:rsid w:val="00B71E6D"/>
    <w:rsid w:val="00B72070"/>
    <w:rsid w:val="00B779E1"/>
    <w:rsid w:val="00B91EE1"/>
    <w:rsid w:val="00B94CAD"/>
    <w:rsid w:val="00BA0090"/>
    <w:rsid w:val="00BA1A67"/>
    <w:rsid w:val="00BA3B66"/>
    <w:rsid w:val="00BA4F2F"/>
    <w:rsid w:val="00BA5125"/>
    <w:rsid w:val="00BB495B"/>
    <w:rsid w:val="00BB5AF5"/>
    <w:rsid w:val="00BB6E64"/>
    <w:rsid w:val="00BD54EA"/>
    <w:rsid w:val="00BD6CE0"/>
    <w:rsid w:val="00BE0A18"/>
    <w:rsid w:val="00BE5B5F"/>
    <w:rsid w:val="00C01669"/>
    <w:rsid w:val="00C02879"/>
    <w:rsid w:val="00C07B45"/>
    <w:rsid w:val="00C115F6"/>
    <w:rsid w:val="00C143FB"/>
    <w:rsid w:val="00C149E1"/>
    <w:rsid w:val="00C24E2D"/>
    <w:rsid w:val="00C26F55"/>
    <w:rsid w:val="00C30C63"/>
    <w:rsid w:val="00C36B8B"/>
    <w:rsid w:val="00C36B9E"/>
    <w:rsid w:val="00C42885"/>
    <w:rsid w:val="00C46B5E"/>
    <w:rsid w:val="00C47DBF"/>
    <w:rsid w:val="00C54419"/>
    <w:rsid w:val="00C552FF"/>
    <w:rsid w:val="00C558DA"/>
    <w:rsid w:val="00C55AF3"/>
    <w:rsid w:val="00C610A0"/>
    <w:rsid w:val="00C62828"/>
    <w:rsid w:val="00C8182A"/>
    <w:rsid w:val="00C84759"/>
    <w:rsid w:val="00C85653"/>
    <w:rsid w:val="00C85AA8"/>
    <w:rsid w:val="00C861BD"/>
    <w:rsid w:val="00C946D6"/>
    <w:rsid w:val="00CA6C7F"/>
    <w:rsid w:val="00CB38B7"/>
    <w:rsid w:val="00CC10A6"/>
    <w:rsid w:val="00CC36D1"/>
    <w:rsid w:val="00CC386A"/>
    <w:rsid w:val="00CC4547"/>
    <w:rsid w:val="00CC52A0"/>
    <w:rsid w:val="00CC5BFB"/>
    <w:rsid w:val="00CD5180"/>
    <w:rsid w:val="00CD5EB8"/>
    <w:rsid w:val="00CD7044"/>
    <w:rsid w:val="00CE08B9"/>
    <w:rsid w:val="00CE524C"/>
    <w:rsid w:val="00CE5293"/>
    <w:rsid w:val="00CF141F"/>
    <w:rsid w:val="00CF4777"/>
    <w:rsid w:val="00D01633"/>
    <w:rsid w:val="00D03EB5"/>
    <w:rsid w:val="00D067BB"/>
    <w:rsid w:val="00D07536"/>
    <w:rsid w:val="00D11D69"/>
    <w:rsid w:val="00D127BC"/>
    <w:rsid w:val="00D1352A"/>
    <w:rsid w:val="00D169AF"/>
    <w:rsid w:val="00D25249"/>
    <w:rsid w:val="00D405A7"/>
    <w:rsid w:val="00D4108C"/>
    <w:rsid w:val="00D44172"/>
    <w:rsid w:val="00D448A3"/>
    <w:rsid w:val="00D56715"/>
    <w:rsid w:val="00D63B8C"/>
    <w:rsid w:val="00D739CC"/>
    <w:rsid w:val="00D753B1"/>
    <w:rsid w:val="00D8093D"/>
    <w:rsid w:val="00D8108C"/>
    <w:rsid w:val="00D842AE"/>
    <w:rsid w:val="00D90044"/>
    <w:rsid w:val="00D91AB5"/>
    <w:rsid w:val="00D9211C"/>
    <w:rsid w:val="00D92DE0"/>
    <w:rsid w:val="00D92FEF"/>
    <w:rsid w:val="00D93A0F"/>
    <w:rsid w:val="00DA07D4"/>
    <w:rsid w:val="00DA1BCA"/>
    <w:rsid w:val="00DB0348"/>
    <w:rsid w:val="00DC44EE"/>
    <w:rsid w:val="00DC46FF"/>
    <w:rsid w:val="00DC5254"/>
    <w:rsid w:val="00DD1A4F"/>
    <w:rsid w:val="00DD3107"/>
    <w:rsid w:val="00DD3120"/>
    <w:rsid w:val="00DD376A"/>
    <w:rsid w:val="00DD7C2C"/>
    <w:rsid w:val="00DE0ADE"/>
    <w:rsid w:val="00E00600"/>
    <w:rsid w:val="00E0468F"/>
    <w:rsid w:val="00E06797"/>
    <w:rsid w:val="00E10214"/>
    <w:rsid w:val="00E1265B"/>
    <w:rsid w:val="00E13B48"/>
    <w:rsid w:val="00E1404F"/>
    <w:rsid w:val="00E21C83"/>
    <w:rsid w:val="00E231E9"/>
    <w:rsid w:val="00E24ADA"/>
    <w:rsid w:val="00E31C32"/>
    <w:rsid w:val="00E32F59"/>
    <w:rsid w:val="00E331E3"/>
    <w:rsid w:val="00E34AFE"/>
    <w:rsid w:val="00E401AF"/>
    <w:rsid w:val="00E40E47"/>
    <w:rsid w:val="00E46D9A"/>
    <w:rsid w:val="00E518A1"/>
    <w:rsid w:val="00E5257E"/>
    <w:rsid w:val="00E542AB"/>
    <w:rsid w:val="00E565FF"/>
    <w:rsid w:val="00E578CA"/>
    <w:rsid w:val="00E64C58"/>
    <w:rsid w:val="00E65388"/>
    <w:rsid w:val="00E65B1B"/>
    <w:rsid w:val="00E7227E"/>
    <w:rsid w:val="00E759A8"/>
    <w:rsid w:val="00E8147B"/>
    <w:rsid w:val="00E81EEE"/>
    <w:rsid w:val="00E85B7D"/>
    <w:rsid w:val="00E87234"/>
    <w:rsid w:val="00E9121B"/>
    <w:rsid w:val="00E94271"/>
    <w:rsid w:val="00E9595F"/>
    <w:rsid w:val="00EA0AE2"/>
    <w:rsid w:val="00EA39E5"/>
    <w:rsid w:val="00EC2457"/>
    <w:rsid w:val="00EC2C1F"/>
    <w:rsid w:val="00EC52D5"/>
    <w:rsid w:val="00EC5A46"/>
    <w:rsid w:val="00EC63E2"/>
    <w:rsid w:val="00EE3051"/>
    <w:rsid w:val="00EF22B3"/>
    <w:rsid w:val="00F028AF"/>
    <w:rsid w:val="00F03422"/>
    <w:rsid w:val="00F03B69"/>
    <w:rsid w:val="00F05FB0"/>
    <w:rsid w:val="00F07A50"/>
    <w:rsid w:val="00F113DA"/>
    <w:rsid w:val="00F14C6B"/>
    <w:rsid w:val="00F217E3"/>
    <w:rsid w:val="00F26E74"/>
    <w:rsid w:val="00F33A52"/>
    <w:rsid w:val="00F3679B"/>
    <w:rsid w:val="00F37DC8"/>
    <w:rsid w:val="00F40452"/>
    <w:rsid w:val="00F41A60"/>
    <w:rsid w:val="00F439B3"/>
    <w:rsid w:val="00F525F1"/>
    <w:rsid w:val="00F529FB"/>
    <w:rsid w:val="00F64DC4"/>
    <w:rsid w:val="00F650C3"/>
    <w:rsid w:val="00F65D85"/>
    <w:rsid w:val="00F738F2"/>
    <w:rsid w:val="00F8091E"/>
    <w:rsid w:val="00F83B22"/>
    <w:rsid w:val="00F85246"/>
    <w:rsid w:val="00F8615C"/>
    <w:rsid w:val="00F91BEE"/>
    <w:rsid w:val="00F95528"/>
    <w:rsid w:val="00F969E5"/>
    <w:rsid w:val="00FA30A2"/>
    <w:rsid w:val="00FA406A"/>
    <w:rsid w:val="00FA6BB0"/>
    <w:rsid w:val="00FC04B3"/>
    <w:rsid w:val="00FD0C6D"/>
    <w:rsid w:val="00FD0CB0"/>
    <w:rsid w:val="00FD2D22"/>
    <w:rsid w:val="00FD4070"/>
    <w:rsid w:val="00FD5860"/>
    <w:rsid w:val="00FE015B"/>
    <w:rsid w:val="00FE2323"/>
    <w:rsid w:val="00FE352D"/>
    <w:rsid w:val="00FE40EB"/>
    <w:rsid w:val="00FE4102"/>
    <w:rsid w:val="00FE4D02"/>
    <w:rsid w:val="00FE7D62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4D87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D3107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D3107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DD3107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</w:rPr>
  </w:style>
  <w:style w:type="paragraph" w:customStyle="1" w:styleId="CH3">
    <w:name w:val="CH3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D3107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D3107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3A086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fr-CA"/>
    </w:rPr>
  </w:style>
  <w:style w:type="paragraph" w:customStyle="1" w:styleId="Footer-pool">
    <w:name w:val="Footer-pool"/>
    <w:basedOn w:val="Normal-pool"/>
    <w:next w:val="Normal-pool"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D310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A6225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DD3107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D3107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D3107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D3107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DD3107"/>
    <w:pPr>
      <w:numPr>
        <w:numId w:val="1"/>
      </w:numPr>
    </w:pPr>
  </w:style>
  <w:style w:type="paragraph" w:customStyle="1" w:styleId="NormalNonumber">
    <w:name w:val="Normal_No_number"/>
    <w:basedOn w:val="Normalpool"/>
    <w:rsid w:val="003A086E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DD3107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D3107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D3107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D3107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Normal"/>
    <w:rsid w:val="00194D8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character" w:customStyle="1" w:styleId="FootnoteTextChar">
    <w:name w:val="Footnote Text Char"/>
    <w:link w:val="FootnoteText"/>
    <w:semiHidden/>
    <w:rsid w:val="00194D87"/>
    <w:rPr>
      <w:sz w:val="18"/>
      <w:lang w:val="fr-CA" w:eastAsia="en-US"/>
    </w:rPr>
  </w:style>
  <w:style w:type="paragraph" w:customStyle="1" w:styleId="ListParagraph1">
    <w:name w:val="List Paragraph1"/>
    <w:basedOn w:val="Normal"/>
    <w:qFormat/>
    <w:rsid w:val="00194D87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en-GB"/>
    </w:rPr>
  </w:style>
  <w:style w:type="paragraph" w:customStyle="1" w:styleId="Body">
    <w:name w:val="Body"/>
    <w:rsid w:val="00194D87"/>
    <w:rPr>
      <w:rFonts w:ascii="Calibri" w:eastAsia="ヒラギノ角ゴ Pro W3" w:hAnsi="Calibri"/>
      <w:color w:val="000000"/>
      <w:sz w:val="22"/>
      <w:szCs w:val="24"/>
    </w:rPr>
  </w:style>
  <w:style w:type="character" w:customStyle="1" w:styleId="NormalnumberChar">
    <w:name w:val="Normal_number Char"/>
    <w:link w:val="Normalnumber"/>
    <w:rsid w:val="00194D87"/>
    <w:rPr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D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4D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BalloonText">
    <w:name w:val="Balloon Text"/>
    <w:basedOn w:val="Normal"/>
    <w:link w:val="BalloonTextChar"/>
    <w:rsid w:val="001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D87"/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94D87"/>
    <w:rPr>
      <w:rFonts w:ascii="Calibri" w:eastAsia="Calibri" w:hAnsi="Calibri" w:cs="Times New Roman"/>
      <w:sz w:val="18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194D87"/>
    <w:rPr>
      <w:rFonts w:ascii="Calibri" w:eastAsia="Calibri" w:hAnsi="Calibri" w:cs="Times New Roman"/>
      <w:b/>
      <w:sz w:val="18"/>
      <w:szCs w:val="22"/>
      <w:lang w:val="en-GB" w:eastAsia="en-US"/>
    </w:rPr>
  </w:style>
  <w:style w:type="character" w:customStyle="1" w:styleId="Normal-poolChar">
    <w:name w:val="Normal-pool Char"/>
    <w:link w:val="Normal-pool"/>
    <w:rsid w:val="00D405A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B1B"/>
    <w:pPr>
      <w:ind w:left="720"/>
      <w:contextualSpacing/>
    </w:pPr>
  </w:style>
  <w:style w:type="table" w:styleId="TableGrid">
    <w:name w:val="Table Grid"/>
    <w:basedOn w:val="TableNormal"/>
    <w:uiPriority w:val="59"/>
    <w:rsid w:val="00E65B1B"/>
    <w:rPr>
      <w:rFonts w:ascii="Calibri" w:eastAsia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E65B1B"/>
    <w:pPr>
      <w:autoSpaceDE w:val="0"/>
      <w:autoSpaceDN w:val="0"/>
      <w:adjustRightInd w:val="0"/>
      <w:spacing w:after="0" w:line="216" w:lineRule="atLeast"/>
    </w:pPr>
    <w:rPr>
      <w:rFonts w:ascii="Whitman" w:hAnsi="Whitman"/>
      <w:sz w:val="24"/>
      <w:szCs w:val="24"/>
      <w:lang w:val="en-US"/>
    </w:rPr>
  </w:style>
  <w:style w:type="character" w:customStyle="1" w:styleId="A13">
    <w:name w:val="A13"/>
    <w:uiPriority w:val="99"/>
    <w:rsid w:val="00E65B1B"/>
    <w:rPr>
      <w:rFonts w:ascii="Symbol" w:hAnsi="Symbol" w:cs="Symbol"/>
      <w:color w:val="221E1F"/>
      <w:sz w:val="21"/>
      <w:szCs w:val="21"/>
    </w:rPr>
  </w:style>
  <w:style w:type="paragraph" w:styleId="EndnoteText">
    <w:name w:val="endnote text"/>
    <w:basedOn w:val="Normal"/>
    <w:link w:val="EndnoteTextChar"/>
    <w:rsid w:val="00A73EA5"/>
    <w:rPr>
      <w:sz w:val="20"/>
      <w:szCs w:val="20"/>
    </w:rPr>
  </w:style>
  <w:style w:type="character" w:customStyle="1" w:styleId="EndnoteTextChar">
    <w:name w:val="Endnote Text Char"/>
    <w:link w:val="EndnoteText"/>
    <w:rsid w:val="00A73EA5"/>
    <w:rPr>
      <w:rFonts w:ascii="Calibri" w:eastAsia="Calibri" w:hAnsi="Calibri"/>
      <w:lang w:val="en-GB"/>
    </w:rPr>
  </w:style>
  <w:style w:type="character" w:styleId="CommentReference">
    <w:name w:val="annotation reference"/>
    <w:rsid w:val="00F217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7E3"/>
    <w:rPr>
      <w:sz w:val="20"/>
      <w:szCs w:val="20"/>
    </w:rPr>
  </w:style>
  <w:style w:type="character" w:customStyle="1" w:styleId="CommentTextChar">
    <w:name w:val="Comment Text Char"/>
    <w:link w:val="CommentText"/>
    <w:rsid w:val="00F217E3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17E3"/>
    <w:rPr>
      <w:b/>
      <w:bCs/>
    </w:rPr>
  </w:style>
  <w:style w:type="character" w:customStyle="1" w:styleId="CommentSubjectChar">
    <w:name w:val="Comment Subject Char"/>
    <w:link w:val="CommentSubject"/>
    <w:rsid w:val="00F217E3"/>
    <w:rPr>
      <w:rFonts w:ascii="Calibri" w:eastAsia="Calibri" w:hAnsi="Calibri"/>
      <w:b/>
      <w:bCs/>
      <w:lang w:val="en-GB" w:eastAsia="en-US"/>
    </w:rPr>
  </w:style>
  <w:style w:type="paragraph" w:styleId="Revision">
    <w:name w:val="Revision"/>
    <w:hidden/>
    <w:rsid w:val="00F217E3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4D87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D3107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D3107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DD3107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</w:rPr>
  </w:style>
  <w:style w:type="paragraph" w:customStyle="1" w:styleId="CH3">
    <w:name w:val="CH3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D3107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D3107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3A086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fr-CA"/>
    </w:rPr>
  </w:style>
  <w:style w:type="paragraph" w:customStyle="1" w:styleId="Footer-pool">
    <w:name w:val="Footer-pool"/>
    <w:basedOn w:val="Normal-pool"/>
    <w:next w:val="Normal-pool"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D310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A6225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DD3107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D3107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D3107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D3107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DD3107"/>
    <w:pPr>
      <w:numPr>
        <w:numId w:val="1"/>
      </w:numPr>
    </w:pPr>
  </w:style>
  <w:style w:type="paragraph" w:customStyle="1" w:styleId="NormalNonumber">
    <w:name w:val="Normal_No_number"/>
    <w:basedOn w:val="Normalpool"/>
    <w:rsid w:val="003A086E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DD3107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D3107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D3107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D3107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Normal"/>
    <w:rsid w:val="00194D8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character" w:customStyle="1" w:styleId="FootnoteTextChar">
    <w:name w:val="Footnote Text Char"/>
    <w:link w:val="FootnoteText"/>
    <w:semiHidden/>
    <w:rsid w:val="00194D87"/>
    <w:rPr>
      <w:sz w:val="18"/>
      <w:lang w:val="fr-CA" w:eastAsia="en-US"/>
    </w:rPr>
  </w:style>
  <w:style w:type="paragraph" w:customStyle="1" w:styleId="ListParagraph1">
    <w:name w:val="List Paragraph1"/>
    <w:basedOn w:val="Normal"/>
    <w:qFormat/>
    <w:rsid w:val="00194D87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en-GB"/>
    </w:rPr>
  </w:style>
  <w:style w:type="paragraph" w:customStyle="1" w:styleId="Body">
    <w:name w:val="Body"/>
    <w:rsid w:val="00194D87"/>
    <w:rPr>
      <w:rFonts w:ascii="Calibri" w:eastAsia="ヒラギノ角ゴ Pro W3" w:hAnsi="Calibri"/>
      <w:color w:val="000000"/>
      <w:sz w:val="22"/>
      <w:szCs w:val="24"/>
    </w:rPr>
  </w:style>
  <w:style w:type="character" w:customStyle="1" w:styleId="NormalnumberChar">
    <w:name w:val="Normal_number Char"/>
    <w:link w:val="Normalnumber"/>
    <w:rsid w:val="00194D87"/>
    <w:rPr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D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4D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BalloonText">
    <w:name w:val="Balloon Text"/>
    <w:basedOn w:val="Normal"/>
    <w:link w:val="BalloonTextChar"/>
    <w:rsid w:val="001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D87"/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94D87"/>
    <w:rPr>
      <w:rFonts w:ascii="Calibri" w:eastAsia="Calibri" w:hAnsi="Calibri" w:cs="Times New Roman"/>
      <w:sz w:val="18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194D87"/>
    <w:rPr>
      <w:rFonts w:ascii="Calibri" w:eastAsia="Calibri" w:hAnsi="Calibri" w:cs="Times New Roman"/>
      <w:b/>
      <w:sz w:val="18"/>
      <w:szCs w:val="22"/>
      <w:lang w:val="en-GB" w:eastAsia="en-US"/>
    </w:rPr>
  </w:style>
  <w:style w:type="character" w:customStyle="1" w:styleId="Normal-poolChar">
    <w:name w:val="Normal-pool Char"/>
    <w:link w:val="Normal-pool"/>
    <w:rsid w:val="00D405A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B1B"/>
    <w:pPr>
      <w:ind w:left="720"/>
      <w:contextualSpacing/>
    </w:pPr>
  </w:style>
  <w:style w:type="table" w:styleId="TableGrid">
    <w:name w:val="Table Grid"/>
    <w:basedOn w:val="TableNormal"/>
    <w:uiPriority w:val="59"/>
    <w:rsid w:val="00E65B1B"/>
    <w:rPr>
      <w:rFonts w:ascii="Calibri" w:eastAsia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E65B1B"/>
    <w:pPr>
      <w:autoSpaceDE w:val="0"/>
      <w:autoSpaceDN w:val="0"/>
      <w:adjustRightInd w:val="0"/>
      <w:spacing w:after="0" w:line="216" w:lineRule="atLeast"/>
    </w:pPr>
    <w:rPr>
      <w:rFonts w:ascii="Whitman" w:hAnsi="Whitman"/>
      <w:sz w:val="24"/>
      <w:szCs w:val="24"/>
      <w:lang w:val="en-US"/>
    </w:rPr>
  </w:style>
  <w:style w:type="character" w:customStyle="1" w:styleId="A13">
    <w:name w:val="A13"/>
    <w:uiPriority w:val="99"/>
    <w:rsid w:val="00E65B1B"/>
    <w:rPr>
      <w:rFonts w:ascii="Symbol" w:hAnsi="Symbol" w:cs="Symbol"/>
      <w:color w:val="221E1F"/>
      <w:sz w:val="21"/>
      <w:szCs w:val="21"/>
    </w:rPr>
  </w:style>
  <w:style w:type="paragraph" w:styleId="EndnoteText">
    <w:name w:val="endnote text"/>
    <w:basedOn w:val="Normal"/>
    <w:link w:val="EndnoteTextChar"/>
    <w:rsid w:val="00A73EA5"/>
    <w:rPr>
      <w:sz w:val="20"/>
      <w:szCs w:val="20"/>
    </w:rPr>
  </w:style>
  <w:style w:type="character" w:customStyle="1" w:styleId="EndnoteTextChar">
    <w:name w:val="Endnote Text Char"/>
    <w:link w:val="EndnoteText"/>
    <w:rsid w:val="00A73EA5"/>
    <w:rPr>
      <w:rFonts w:ascii="Calibri" w:eastAsia="Calibri" w:hAnsi="Calibri"/>
      <w:lang w:val="en-GB"/>
    </w:rPr>
  </w:style>
  <w:style w:type="character" w:styleId="CommentReference">
    <w:name w:val="annotation reference"/>
    <w:rsid w:val="00F217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7E3"/>
    <w:rPr>
      <w:sz w:val="20"/>
      <w:szCs w:val="20"/>
    </w:rPr>
  </w:style>
  <w:style w:type="character" w:customStyle="1" w:styleId="CommentTextChar">
    <w:name w:val="Comment Text Char"/>
    <w:link w:val="CommentText"/>
    <w:rsid w:val="00F217E3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17E3"/>
    <w:rPr>
      <w:b/>
      <w:bCs/>
    </w:rPr>
  </w:style>
  <w:style w:type="character" w:customStyle="1" w:styleId="CommentSubjectChar">
    <w:name w:val="Comment Subject Char"/>
    <w:link w:val="CommentSubject"/>
    <w:rsid w:val="00F217E3"/>
    <w:rPr>
      <w:rFonts w:ascii="Calibri" w:eastAsia="Calibri" w:hAnsi="Calibri"/>
      <w:b/>
      <w:bCs/>
      <w:lang w:val="en-GB" w:eastAsia="en-US"/>
    </w:rPr>
  </w:style>
  <w:style w:type="paragraph" w:styleId="Revision">
    <w:name w:val="Revision"/>
    <w:hidden/>
    <w:rsid w:val="00F217E3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C78-D8F0-452B-B8A8-EF5197C4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Toshiba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English Pool1</dc:creator>
  <cp:lastModifiedBy>Rohan Shanbhag</cp:lastModifiedBy>
  <cp:revision>2</cp:revision>
  <cp:lastPrinted>2013-10-10T07:49:00Z</cp:lastPrinted>
  <dcterms:created xsi:type="dcterms:W3CDTF">2013-11-05T07:33:00Z</dcterms:created>
  <dcterms:modified xsi:type="dcterms:W3CDTF">2013-11-05T07:33:00Z</dcterms:modified>
</cp:coreProperties>
</file>