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6B74F5" w14:paraId="03107217" w14:textId="77777777" w:rsidTr="0041705A">
        <w:trPr>
          <w:cantSplit/>
          <w:trHeight w:val="20"/>
          <w:jc w:val="right"/>
        </w:trPr>
        <w:tc>
          <w:tcPr>
            <w:tcW w:w="1526" w:type="dxa"/>
          </w:tcPr>
          <w:p w14:paraId="43289B2B" w14:textId="77777777" w:rsidR="00396929" w:rsidRPr="00024C14" w:rsidRDefault="00396929" w:rsidP="00056FD8">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056FD8">
            <w:pPr>
              <w:pStyle w:val="Normal-pool"/>
            </w:pPr>
          </w:p>
        </w:tc>
        <w:tc>
          <w:tcPr>
            <w:tcW w:w="1666"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6B74F5" w14:paraId="1E9A5538" w14:textId="77777777" w:rsidTr="0041705A">
        <w:trPr>
          <w:cantSplit/>
          <w:trHeight w:val="20"/>
          <w:jc w:val="right"/>
        </w:trPr>
        <w:tc>
          <w:tcPr>
            <w:tcW w:w="1526" w:type="dxa"/>
            <w:tcBorders>
              <w:bottom w:val="single" w:sz="2" w:space="0" w:color="auto"/>
            </w:tcBorders>
          </w:tcPr>
          <w:p w14:paraId="28F581D2" w14:textId="77777777" w:rsidR="00396929" w:rsidRPr="0081483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233" w:type="dxa"/>
            <w:gridSpan w:val="2"/>
            <w:tcBorders>
              <w:bottom w:val="single" w:sz="2" w:space="0" w:color="auto"/>
            </w:tcBorders>
          </w:tcPr>
          <w:p w14:paraId="354E7990" w14:textId="13F0A21B" w:rsidR="00396929" w:rsidRPr="005F06C5" w:rsidRDefault="00396929" w:rsidP="00056FD8">
            <w:pPr>
              <w:pStyle w:val="Normal-pool"/>
              <w:rPr>
                <w:sz w:val="24"/>
                <w:szCs w:val="24"/>
              </w:rPr>
            </w:pPr>
            <w:r w:rsidRPr="005F06C5">
              <w:rPr>
                <w:b/>
                <w:sz w:val="24"/>
                <w:szCs w:val="24"/>
              </w:rPr>
              <w:t>IPBES</w:t>
            </w:r>
            <w:r w:rsidRPr="005F06C5">
              <w:t>/</w:t>
            </w:r>
            <w:r w:rsidR="005F06C5" w:rsidRPr="005F06C5">
              <w:t>7</w:t>
            </w:r>
            <w:r w:rsidRPr="005F06C5">
              <w:t>/</w:t>
            </w:r>
            <w:r w:rsidR="003054E4">
              <w:t>INF/17</w:t>
            </w:r>
          </w:p>
        </w:tc>
      </w:tr>
      <w:tr w:rsidR="00396929" w:rsidRPr="006B74F5" w14:paraId="44558741" w14:textId="77777777" w:rsidTr="0041705A">
        <w:trPr>
          <w:cantSplit/>
          <w:trHeight w:val="20"/>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2305F791" w:rsidR="00396929" w:rsidRPr="005F06C5" w:rsidRDefault="00396929" w:rsidP="00471270">
            <w:pPr>
              <w:pStyle w:val="Normal-pool"/>
              <w:spacing w:before="120"/>
            </w:pPr>
            <w:r w:rsidRPr="005F06C5">
              <w:t>Distr.: General</w:t>
            </w:r>
            <w:r w:rsidR="005F06C5">
              <w:t xml:space="preserve"> </w:t>
            </w:r>
            <w:r w:rsidRPr="005F06C5">
              <w:br/>
            </w:r>
            <w:r w:rsidR="00254AF3">
              <w:t>4</w:t>
            </w:r>
            <w:r w:rsidR="0041705A">
              <w:t xml:space="preserve"> March</w:t>
            </w:r>
            <w:r w:rsidR="00E507F3">
              <w:t xml:space="preserve"> 2019</w:t>
            </w:r>
          </w:p>
          <w:p w14:paraId="09C7780F" w14:textId="36F72DA6" w:rsidR="00396929" w:rsidRPr="005F06C5" w:rsidRDefault="00396929" w:rsidP="00471270">
            <w:pPr>
              <w:pStyle w:val="Normal-pool"/>
              <w:spacing w:before="120"/>
            </w:pPr>
            <w:r w:rsidRPr="005F06C5">
              <w:t>English</w:t>
            </w:r>
            <w:r w:rsidR="00B40523">
              <w:t xml:space="preserve"> only</w:t>
            </w:r>
          </w:p>
        </w:tc>
      </w:tr>
    </w:tbl>
    <w:p w14:paraId="50E85550" w14:textId="439F1295" w:rsidR="00396929" w:rsidRPr="009379B9" w:rsidRDefault="00396929" w:rsidP="00396929">
      <w:pPr>
        <w:pStyle w:val="AATitle"/>
      </w:pPr>
      <w:r w:rsidRPr="009379B9">
        <w:t>Plenary of the Intergovernmental Science-Policy</w:t>
      </w:r>
      <w:r w:rsidR="00086BAF">
        <w:t xml:space="preserve"> </w:t>
      </w:r>
      <w:r w:rsidR="00086BAF">
        <w:br/>
      </w:r>
      <w:r w:rsidRPr="009379B9">
        <w:t xml:space="preserve">Platform on </w:t>
      </w:r>
      <w:r w:rsidRPr="00024C14">
        <w:t>Biodiversity</w:t>
      </w:r>
      <w:r w:rsidRPr="009379B9">
        <w:t xml:space="preserve"> and Ecosystem Services</w:t>
      </w:r>
    </w:p>
    <w:p w14:paraId="7C1DC04A" w14:textId="6543F95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0740E94B" w:rsidR="00A378D4" w:rsidRPr="0041705A" w:rsidRDefault="00E27D48" w:rsidP="0041705A">
      <w:pPr>
        <w:pStyle w:val="AATitle"/>
        <w:rPr>
          <w:b w:val="0"/>
        </w:rPr>
      </w:pPr>
      <w:r w:rsidRPr="0041705A">
        <w:rPr>
          <w:b w:val="0"/>
        </w:rPr>
        <w:t>Item 8</w:t>
      </w:r>
      <w:r w:rsidR="00A378D4" w:rsidRPr="0041705A">
        <w:rPr>
          <w:b w:val="0"/>
        </w:rPr>
        <w:t xml:space="preserve"> of the provisional agenda</w:t>
      </w:r>
      <w:r w:rsidR="00A378D4" w:rsidRPr="0041705A">
        <w:rPr>
          <w:b w:val="0"/>
          <w:szCs w:val="18"/>
        </w:rPr>
        <w:footnoteReference w:customMarkFollows="1" w:id="2"/>
        <w:t>*</w:t>
      </w:r>
    </w:p>
    <w:p w14:paraId="1D2FEB80" w14:textId="5995F3F6" w:rsidR="00B86535" w:rsidRPr="00B86535" w:rsidRDefault="00E27D48" w:rsidP="0041705A">
      <w:pPr>
        <w:pStyle w:val="AATitle2"/>
      </w:pPr>
      <w:r w:rsidRPr="00E27D48">
        <w:t xml:space="preserve">Review of the Platform at the conclusion </w:t>
      </w:r>
      <w:r w:rsidR="0041705A">
        <w:br/>
      </w:r>
      <w:r w:rsidRPr="00E27D48">
        <w:t>of its first work programme</w:t>
      </w:r>
    </w:p>
    <w:p w14:paraId="6F9EBBD7" w14:textId="54BC533C" w:rsidR="001823F3" w:rsidRPr="0041705A" w:rsidRDefault="00101931" w:rsidP="0041705A">
      <w:pPr>
        <w:pStyle w:val="BBTitle"/>
      </w:pPr>
      <w:r w:rsidRPr="0041705A">
        <w:t>Activities to implement recommendations arising from the internal review report</w:t>
      </w:r>
    </w:p>
    <w:p w14:paraId="7E5AF1E1" w14:textId="70428B99" w:rsidR="00C458E8" w:rsidRPr="0041705A" w:rsidRDefault="001823F3" w:rsidP="0041705A">
      <w:pPr>
        <w:pStyle w:val="CH2"/>
      </w:pPr>
      <w:r w:rsidRPr="0041705A">
        <w:tab/>
      </w:r>
      <w:r w:rsidRPr="0041705A">
        <w:tab/>
        <w:t>Note by the secretariat</w:t>
      </w:r>
    </w:p>
    <w:p w14:paraId="1FD5C0C9" w14:textId="6E1A7650" w:rsidR="0051151E" w:rsidRDefault="0095661A" w:rsidP="00086BAF">
      <w:pPr>
        <w:pStyle w:val="Normalnumber"/>
        <w:numPr>
          <w:ilvl w:val="0"/>
          <w:numId w:val="19"/>
        </w:numPr>
        <w:tabs>
          <w:tab w:val="clear" w:pos="1247"/>
          <w:tab w:val="clear" w:pos="1814"/>
          <w:tab w:val="clear" w:pos="2381"/>
          <w:tab w:val="clear" w:pos="2948"/>
          <w:tab w:val="clear" w:pos="3515"/>
          <w:tab w:val="clear" w:pos="4082"/>
          <w:tab w:val="left" w:pos="624"/>
        </w:tabs>
        <w:ind w:left="1247" w:firstLine="0"/>
      </w:pPr>
      <w:r>
        <w:t>The Plenary of the</w:t>
      </w:r>
      <w:r w:rsidR="00E41A2B">
        <w:t xml:space="preserve"> Intergovernmental Science-Policy Platform on Biodiversity and Ecosystem Services</w:t>
      </w:r>
      <w:r>
        <w:t xml:space="preserve"> (IPBES), in decision IPBES-6/1, section VIII, took</w:t>
      </w:r>
      <w:r w:rsidR="001A6FD1">
        <w:t xml:space="preserve"> note</w:t>
      </w:r>
      <w:r>
        <w:t xml:space="preserve"> </w:t>
      </w:r>
      <w:r w:rsidR="00E41A2B">
        <w:t>of the report prepa</w:t>
      </w:r>
      <w:r>
        <w:t xml:space="preserve">red by the internal review team </w:t>
      </w:r>
      <w:r w:rsidR="00A61BD8">
        <w:t>(</w:t>
      </w:r>
      <w:r>
        <w:t>contained in document IPBES/6/INF/32</w:t>
      </w:r>
      <w:r w:rsidR="00A61BD8">
        <w:t>)</w:t>
      </w:r>
      <w:r>
        <w:t xml:space="preserve"> </w:t>
      </w:r>
      <w:r w:rsidR="00E41A2B">
        <w:t>and the selection of the members of the review panel to perform the review and of an external professional organiza</w:t>
      </w:r>
      <w:r>
        <w:t xml:space="preserve">tion to coordinate the review. In the same decision, the Plenary requested </w:t>
      </w:r>
      <w:r w:rsidR="00E41A2B">
        <w:t xml:space="preserve">the Bureau, the Multidisciplinary Expert Panel and the secretariat to consider which of the issues identified in the internal review and </w:t>
      </w:r>
      <w:r w:rsidR="004A1E5F">
        <w:t xml:space="preserve">the </w:t>
      </w:r>
      <w:r w:rsidR="00E41A2B">
        <w:t>lessons learned could be addressed in the current work programme, including with regard to the implementation of any pending assessments approved by the Plenary at its sixth session and the full implementation and better integration of the four functions of the Platform</w:t>
      </w:r>
      <w:r>
        <w:t xml:space="preserve">. </w:t>
      </w:r>
    </w:p>
    <w:p w14:paraId="41A660E2" w14:textId="2A3F63D6" w:rsidR="0051151E" w:rsidRDefault="0051151E" w:rsidP="0041705A">
      <w:pPr>
        <w:pStyle w:val="Normalnumber"/>
        <w:numPr>
          <w:ilvl w:val="0"/>
          <w:numId w:val="19"/>
        </w:numPr>
        <w:tabs>
          <w:tab w:val="clear" w:pos="1247"/>
          <w:tab w:val="clear" w:pos="1814"/>
          <w:tab w:val="clear" w:pos="2381"/>
          <w:tab w:val="clear" w:pos="2948"/>
          <w:tab w:val="clear" w:pos="3515"/>
          <w:tab w:val="clear" w:pos="4082"/>
          <w:tab w:val="left" w:pos="624"/>
        </w:tabs>
        <w:ind w:left="1247" w:firstLine="0"/>
      </w:pPr>
      <w:r>
        <w:t xml:space="preserve">In </w:t>
      </w:r>
      <w:r w:rsidR="004A1E5F">
        <w:t xml:space="preserve">section I of the </w:t>
      </w:r>
      <w:r>
        <w:t xml:space="preserve">decision, the Plenary requested the Multidisciplinary Expert Panel and the Bureau to consider how to improve the integration and coherence of the work programme across all the functions, expert groups and task forces of the Platform, </w:t>
      </w:r>
      <w:proofErr w:type="gramStart"/>
      <w:r>
        <w:t>taking into account</w:t>
      </w:r>
      <w:proofErr w:type="gramEnd"/>
      <w:r>
        <w:t xml:space="preserve"> the findings of the internal review, and to take steps to improve the transparency and accountability of those groups and task forces. </w:t>
      </w:r>
    </w:p>
    <w:p w14:paraId="248B16E1" w14:textId="3A97F5C6" w:rsidR="00C458E8" w:rsidRDefault="0095661A" w:rsidP="0041705A">
      <w:pPr>
        <w:pStyle w:val="Normalnumber"/>
        <w:numPr>
          <w:ilvl w:val="0"/>
          <w:numId w:val="19"/>
        </w:numPr>
        <w:tabs>
          <w:tab w:val="clear" w:pos="1247"/>
          <w:tab w:val="clear" w:pos="1814"/>
          <w:tab w:val="clear" w:pos="2381"/>
          <w:tab w:val="clear" w:pos="2948"/>
          <w:tab w:val="clear" w:pos="3515"/>
          <w:tab w:val="clear" w:pos="4082"/>
          <w:tab w:val="left" w:pos="624"/>
        </w:tabs>
        <w:ind w:left="1247" w:firstLine="0"/>
      </w:pPr>
      <w:r>
        <w:t>In response to th</w:t>
      </w:r>
      <w:r w:rsidR="0051151E">
        <w:t>ese</w:t>
      </w:r>
      <w:r>
        <w:t xml:space="preserve"> request</w:t>
      </w:r>
      <w:r w:rsidR="0051151E">
        <w:t>s</w:t>
      </w:r>
      <w:r>
        <w:t xml:space="preserve">, the Bureau, the Multidisciplinary Expert Panel and the secretariat prepared an overview of activities undertaken to implement the recommendations from the internal review report during the first work programme of IPBES. </w:t>
      </w:r>
      <w:r w:rsidR="00C458E8">
        <w:t xml:space="preserve">The annex to the present note, which is presented without formal editing, sets out information on </w:t>
      </w:r>
      <w:r>
        <w:t>these activities</w:t>
      </w:r>
      <w:r w:rsidR="00C458E8">
        <w:t xml:space="preserve">. </w:t>
      </w:r>
    </w:p>
    <w:p w14:paraId="34C837B7" w14:textId="3516FE1D" w:rsidR="00CB426D" w:rsidRDefault="00CB426D" w:rsidP="00CB426D">
      <w:pPr>
        <w:pStyle w:val="ZZAnxheader"/>
      </w:pPr>
      <w:r>
        <w:rPr>
          <w:b w:val="0"/>
          <w:bCs w:val="0"/>
        </w:rPr>
        <w:br w:type="page"/>
      </w:r>
      <w:r>
        <w:lastRenderedPageBreak/>
        <w:t>Annex</w:t>
      </w:r>
    </w:p>
    <w:p w14:paraId="094C0333" w14:textId="0C097A7F" w:rsidR="00C458E8" w:rsidRPr="0041705A" w:rsidRDefault="00646F3F" w:rsidP="0041705A">
      <w:pPr>
        <w:pStyle w:val="ZZAnxtitle"/>
      </w:pPr>
      <w:r w:rsidRPr="0041705A">
        <w:t xml:space="preserve">Activities undertaken as part of the implementation of the first work programme of </w:t>
      </w:r>
      <w:r w:rsidR="00592A48" w:rsidRPr="0041705A">
        <w:t xml:space="preserve">the </w:t>
      </w:r>
      <w:r w:rsidRPr="0041705A">
        <w:t>I</w:t>
      </w:r>
      <w:r w:rsidR="00102CDD" w:rsidRPr="0041705A">
        <w:t xml:space="preserve">ntergovernmental </w:t>
      </w:r>
      <w:r w:rsidRPr="0041705A">
        <w:t>P</w:t>
      </w:r>
      <w:r w:rsidR="00102CDD" w:rsidRPr="0041705A">
        <w:t xml:space="preserve">latform on </w:t>
      </w:r>
      <w:r w:rsidRPr="0041705A">
        <w:t>B</w:t>
      </w:r>
      <w:r w:rsidR="00102CDD" w:rsidRPr="0041705A">
        <w:t xml:space="preserve">iodiversity and </w:t>
      </w:r>
      <w:r w:rsidRPr="0041705A">
        <w:t>E</w:t>
      </w:r>
      <w:r w:rsidR="00102CDD" w:rsidRPr="0041705A">
        <w:t xml:space="preserve">cosystem </w:t>
      </w:r>
      <w:r w:rsidRPr="0041705A">
        <w:t>S</w:t>
      </w:r>
      <w:r w:rsidR="00102CDD" w:rsidRPr="0041705A">
        <w:t>ervices</w:t>
      </w:r>
      <w:r w:rsidRPr="0041705A">
        <w:t xml:space="preserve"> to address issues identified in the internal review report</w:t>
      </w:r>
    </w:p>
    <w:tbl>
      <w:tblPr>
        <w:tblStyle w:val="TableGrid1"/>
        <w:tblW w:w="9504" w:type="dxa"/>
        <w:tblInd w:w="18" w:type="dxa"/>
        <w:tblLayout w:type="fixed"/>
        <w:tblLook w:val="04A0" w:firstRow="1" w:lastRow="0" w:firstColumn="1" w:lastColumn="0" w:noHBand="0" w:noVBand="1"/>
      </w:tblPr>
      <w:tblGrid>
        <w:gridCol w:w="3805"/>
        <w:gridCol w:w="1701"/>
        <w:gridCol w:w="3998"/>
      </w:tblGrid>
      <w:tr w:rsidR="0041705A" w:rsidRPr="003E4723" w14:paraId="3F227249" w14:textId="77777777" w:rsidTr="0041705A">
        <w:trPr>
          <w:tblHeader/>
        </w:trPr>
        <w:tc>
          <w:tcPr>
            <w:tcW w:w="3805" w:type="dxa"/>
          </w:tcPr>
          <w:p w14:paraId="0B66F019" w14:textId="4729B10A" w:rsidR="0041705A" w:rsidRPr="0041705A" w:rsidRDefault="0041705A" w:rsidP="0041705A">
            <w:pPr>
              <w:spacing w:after="120" w:line="240" w:lineRule="auto"/>
              <w:rPr>
                <w:rFonts w:ascii="Times New Roman" w:hAnsi="Times New Roman"/>
                <w:sz w:val="18"/>
                <w:szCs w:val="18"/>
              </w:rPr>
            </w:pPr>
            <w:r w:rsidRPr="0041705A">
              <w:rPr>
                <w:rFonts w:ascii="Times New Roman" w:hAnsi="Times New Roman"/>
                <w:b/>
                <w:sz w:val="18"/>
                <w:szCs w:val="18"/>
              </w:rPr>
              <w:t>What is the issue raised in the internal review?</w:t>
            </w:r>
          </w:p>
        </w:tc>
        <w:tc>
          <w:tcPr>
            <w:tcW w:w="1701" w:type="dxa"/>
          </w:tcPr>
          <w:p w14:paraId="0715965A" w14:textId="2579AAF8" w:rsidR="0041705A" w:rsidRPr="0041705A" w:rsidRDefault="0041705A" w:rsidP="0041705A">
            <w:pPr>
              <w:spacing w:after="120" w:line="240" w:lineRule="auto"/>
              <w:rPr>
                <w:rFonts w:ascii="Times New Roman" w:hAnsi="Times New Roman"/>
                <w:sz w:val="18"/>
                <w:szCs w:val="18"/>
              </w:rPr>
            </w:pPr>
            <w:r w:rsidRPr="0041705A">
              <w:rPr>
                <w:rFonts w:ascii="Times New Roman" w:hAnsi="Times New Roman"/>
                <w:b/>
                <w:sz w:val="18"/>
                <w:szCs w:val="18"/>
              </w:rPr>
              <w:t>Reference to paragraph numbers in IPBES/6/INF/32</w:t>
            </w:r>
          </w:p>
        </w:tc>
        <w:tc>
          <w:tcPr>
            <w:tcW w:w="3998" w:type="dxa"/>
          </w:tcPr>
          <w:p w14:paraId="47A0C555" w14:textId="77777777" w:rsidR="0041705A" w:rsidRPr="0041705A" w:rsidRDefault="0041705A" w:rsidP="0041705A">
            <w:pPr>
              <w:spacing w:after="120" w:line="240" w:lineRule="auto"/>
              <w:rPr>
                <w:rFonts w:ascii="Times New Roman" w:hAnsi="Times New Roman"/>
                <w:b/>
                <w:sz w:val="18"/>
                <w:szCs w:val="18"/>
              </w:rPr>
            </w:pPr>
            <w:r w:rsidRPr="0041705A">
              <w:rPr>
                <w:rFonts w:ascii="Times New Roman" w:hAnsi="Times New Roman"/>
                <w:b/>
                <w:sz w:val="18"/>
                <w:szCs w:val="18"/>
              </w:rPr>
              <w:t>How is it being addressed?</w:t>
            </w:r>
          </w:p>
          <w:p w14:paraId="6235A5B1" w14:textId="7DBF3487" w:rsidR="0041705A" w:rsidRPr="0041705A" w:rsidRDefault="0041705A" w:rsidP="0041705A">
            <w:pPr>
              <w:spacing w:after="120" w:line="240" w:lineRule="auto"/>
              <w:rPr>
                <w:rFonts w:ascii="Times New Roman" w:hAnsi="Times New Roman"/>
                <w:sz w:val="18"/>
                <w:szCs w:val="18"/>
              </w:rPr>
            </w:pPr>
            <w:r w:rsidRPr="0041705A">
              <w:rPr>
                <w:rFonts w:ascii="Times New Roman" w:hAnsi="Times New Roman"/>
                <w:b/>
                <w:sz w:val="18"/>
                <w:szCs w:val="18"/>
              </w:rPr>
              <w:t>How will it be addressed?</w:t>
            </w:r>
          </w:p>
        </w:tc>
      </w:tr>
      <w:tr w:rsidR="0041705A" w:rsidRPr="003E4723" w14:paraId="7BC8EBE7" w14:textId="77777777" w:rsidTr="00672E7B">
        <w:tc>
          <w:tcPr>
            <w:tcW w:w="9504" w:type="dxa"/>
            <w:gridSpan w:val="3"/>
          </w:tcPr>
          <w:p w14:paraId="61A115A9" w14:textId="0743DFB3" w:rsidR="0041705A" w:rsidRPr="0041705A" w:rsidRDefault="0041705A" w:rsidP="0041705A">
            <w:pPr>
              <w:spacing w:after="120" w:line="240" w:lineRule="auto"/>
              <w:rPr>
                <w:rFonts w:ascii="Times New Roman" w:hAnsi="Times New Roman"/>
                <w:sz w:val="18"/>
                <w:szCs w:val="18"/>
              </w:rPr>
            </w:pPr>
            <w:r w:rsidRPr="0041705A">
              <w:rPr>
                <w:rFonts w:ascii="Times New Roman" w:hAnsi="Times New Roman"/>
                <w:b/>
                <w:sz w:val="18"/>
                <w:szCs w:val="18"/>
              </w:rPr>
              <w:t>Assessing knowledge</w:t>
            </w:r>
          </w:p>
        </w:tc>
      </w:tr>
      <w:tr w:rsidR="00575CD6" w:rsidRPr="003E4723" w14:paraId="20DB255B" w14:textId="77777777" w:rsidTr="0041705A">
        <w:tc>
          <w:tcPr>
            <w:tcW w:w="3805" w:type="dxa"/>
          </w:tcPr>
          <w:p w14:paraId="3E6565AC" w14:textId="0FFF7B68"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Summaries for policymakers should have a length roughly equivalent to that of the pollination assessment (about 15,000 words); their content should be non-technical and accessible to decision makers</w:t>
            </w:r>
            <w:r w:rsidR="00BC50E0" w:rsidRPr="0041705A">
              <w:rPr>
                <w:rFonts w:ascii="Times New Roman" w:hAnsi="Times New Roman"/>
                <w:sz w:val="18"/>
                <w:szCs w:val="18"/>
              </w:rPr>
              <w:t>.</w:t>
            </w:r>
          </w:p>
        </w:tc>
        <w:tc>
          <w:tcPr>
            <w:tcW w:w="1701" w:type="dxa"/>
          </w:tcPr>
          <w:p w14:paraId="52FA4F86"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26</w:t>
            </w:r>
          </w:p>
        </w:tc>
        <w:tc>
          <w:tcPr>
            <w:tcW w:w="3998" w:type="dxa"/>
          </w:tcPr>
          <w:p w14:paraId="3FBBC0AB" w14:textId="1ACF17BF"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w:t>
            </w:r>
            <w:r w:rsidR="00102CDD" w:rsidRPr="0041705A">
              <w:rPr>
                <w:rFonts w:ascii="Times New Roman" w:hAnsi="Times New Roman"/>
                <w:sz w:val="18"/>
                <w:szCs w:val="18"/>
              </w:rPr>
              <w:t>first</w:t>
            </w:r>
            <w:r w:rsidRPr="0041705A">
              <w:rPr>
                <w:rFonts w:ascii="Times New Roman" w:hAnsi="Times New Roman"/>
                <w:sz w:val="18"/>
                <w:szCs w:val="18"/>
              </w:rPr>
              <w:t xml:space="preserve"> draft of the summary for policymakers of the global assessment had a size of only about 16,000 words; efforts </w:t>
            </w:r>
            <w:r w:rsidR="00993D12" w:rsidRPr="0041705A">
              <w:rPr>
                <w:rFonts w:ascii="Times New Roman" w:hAnsi="Times New Roman"/>
                <w:sz w:val="18"/>
                <w:szCs w:val="18"/>
              </w:rPr>
              <w:t xml:space="preserve">were </w:t>
            </w:r>
            <w:r w:rsidRPr="0041705A">
              <w:rPr>
                <w:rFonts w:ascii="Times New Roman" w:hAnsi="Times New Roman"/>
                <w:sz w:val="18"/>
                <w:szCs w:val="18"/>
              </w:rPr>
              <w:t>made to keep this length for the final draft</w:t>
            </w:r>
            <w:r w:rsidR="00102CDD" w:rsidRPr="0041705A">
              <w:rPr>
                <w:rFonts w:ascii="Times New Roman" w:hAnsi="Times New Roman"/>
                <w:sz w:val="18"/>
                <w:szCs w:val="18"/>
              </w:rPr>
              <w:t xml:space="preserve">. </w:t>
            </w:r>
            <w:r w:rsidRPr="0041705A">
              <w:rPr>
                <w:rFonts w:ascii="Times New Roman" w:hAnsi="Times New Roman"/>
                <w:sz w:val="18"/>
                <w:szCs w:val="18"/>
              </w:rPr>
              <w:t xml:space="preserve">The same length will be </w:t>
            </w:r>
            <w:r w:rsidR="00102CDD" w:rsidRPr="0041705A">
              <w:rPr>
                <w:rFonts w:ascii="Times New Roman" w:hAnsi="Times New Roman"/>
                <w:sz w:val="18"/>
                <w:szCs w:val="18"/>
              </w:rPr>
              <w:t xml:space="preserve">aimed at </w:t>
            </w:r>
            <w:r w:rsidRPr="0041705A">
              <w:rPr>
                <w:rFonts w:ascii="Times New Roman" w:hAnsi="Times New Roman"/>
                <w:sz w:val="18"/>
                <w:szCs w:val="18"/>
              </w:rPr>
              <w:t xml:space="preserve">for the three assessments initiated in 2018 and 2019. </w:t>
            </w:r>
            <w:proofErr w:type="gramStart"/>
            <w:r w:rsidRPr="0041705A">
              <w:rPr>
                <w:rFonts w:ascii="Times New Roman" w:hAnsi="Times New Roman"/>
                <w:sz w:val="18"/>
                <w:szCs w:val="18"/>
              </w:rPr>
              <w:t>Particular attention</w:t>
            </w:r>
            <w:proofErr w:type="gramEnd"/>
            <w:r w:rsidRPr="0041705A">
              <w:rPr>
                <w:rFonts w:ascii="Times New Roman" w:hAnsi="Times New Roman"/>
                <w:sz w:val="18"/>
                <w:szCs w:val="18"/>
              </w:rPr>
              <w:t xml:space="preserve"> will be paid to the </w:t>
            </w:r>
            <w:r w:rsidR="00102CDD" w:rsidRPr="0041705A">
              <w:rPr>
                <w:rFonts w:ascii="Times New Roman" w:hAnsi="Times New Roman"/>
                <w:sz w:val="18"/>
                <w:szCs w:val="18"/>
              </w:rPr>
              <w:t>use</w:t>
            </w:r>
            <w:r w:rsidRPr="0041705A">
              <w:rPr>
                <w:rFonts w:ascii="Times New Roman" w:hAnsi="Times New Roman"/>
                <w:sz w:val="18"/>
                <w:szCs w:val="18"/>
              </w:rPr>
              <w:t xml:space="preserve"> of language</w:t>
            </w:r>
            <w:r w:rsidR="00102CDD" w:rsidRPr="0041705A">
              <w:rPr>
                <w:rFonts w:ascii="Times New Roman" w:hAnsi="Times New Roman"/>
                <w:sz w:val="18"/>
                <w:szCs w:val="18"/>
              </w:rPr>
              <w:t xml:space="preserve"> targeted at</w:t>
            </w:r>
            <w:r w:rsidRPr="0041705A">
              <w:rPr>
                <w:rFonts w:ascii="Times New Roman" w:hAnsi="Times New Roman"/>
                <w:sz w:val="18"/>
                <w:szCs w:val="18"/>
              </w:rPr>
              <w:t xml:space="preserve"> decision-makers. </w:t>
            </w:r>
          </w:p>
        </w:tc>
      </w:tr>
      <w:tr w:rsidR="00575CD6" w:rsidRPr="003E4723" w14:paraId="5C3B667A" w14:textId="77777777" w:rsidTr="0041705A">
        <w:tc>
          <w:tcPr>
            <w:tcW w:w="3805" w:type="dxa"/>
          </w:tcPr>
          <w:p w14:paraId="1234E79B" w14:textId="6269CD8D"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Governments should be invited to translate approved </w:t>
            </w:r>
            <w:r w:rsidR="00993D12" w:rsidRPr="0041705A">
              <w:rPr>
                <w:rFonts w:ascii="Times New Roman" w:hAnsi="Times New Roman"/>
                <w:sz w:val="18"/>
                <w:szCs w:val="18"/>
              </w:rPr>
              <w:t xml:space="preserve">summaries for policymakers into </w:t>
            </w:r>
            <w:r w:rsidRPr="0041705A">
              <w:rPr>
                <w:rFonts w:ascii="Times New Roman" w:hAnsi="Times New Roman"/>
                <w:sz w:val="18"/>
                <w:szCs w:val="18"/>
              </w:rPr>
              <w:t>languages</w:t>
            </w:r>
            <w:r w:rsidR="0051151E" w:rsidRPr="0041705A">
              <w:rPr>
                <w:rFonts w:ascii="Times New Roman" w:hAnsi="Times New Roman"/>
                <w:sz w:val="18"/>
                <w:szCs w:val="18"/>
              </w:rPr>
              <w:t xml:space="preserve"> other than the six official languages of the United Nations</w:t>
            </w:r>
            <w:r w:rsidR="00BC50E0" w:rsidRPr="0041705A">
              <w:rPr>
                <w:rFonts w:ascii="Times New Roman" w:hAnsi="Times New Roman"/>
                <w:sz w:val="18"/>
                <w:szCs w:val="18"/>
              </w:rPr>
              <w:t>.</w:t>
            </w:r>
          </w:p>
        </w:tc>
        <w:tc>
          <w:tcPr>
            <w:tcW w:w="1701" w:type="dxa"/>
          </w:tcPr>
          <w:p w14:paraId="12A5ED18"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26</w:t>
            </w:r>
          </w:p>
        </w:tc>
        <w:tc>
          <w:tcPr>
            <w:tcW w:w="3998" w:type="dxa"/>
          </w:tcPr>
          <w:p w14:paraId="028565A6" w14:textId="1F786668"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secretariat has developed a policy on translating </w:t>
            </w:r>
            <w:r w:rsidR="00C309C6" w:rsidRPr="0041705A">
              <w:rPr>
                <w:rFonts w:ascii="Times New Roman" w:hAnsi="Times New Roman"/>
                <w:sz w:val="18"/>
                <w:szCs w:val="18"/>
              </w:rPr>
              <w:t>summaries for policymakers</w:t>
            </w:r>
            <w:r w:rsidRPr="0041705A">
              <w:rPr>
                <w:rFonts w:ascii="Times New Roman" w:hAnsi="Times New Roman"/>
                <w:sz w:val="18"/>
                <w:szCs w:val="18"/>
              </w:rPr>
              <w:t xml:space="preserve"> into</w:t>
            </w:r>
            <w:r w:rsidR="00102CDD" w:rsidRPr="0041705A">
              <w:rPr>
                <w:rFonts w:ascii="Times New Roman" w:hAnsi="Times New Roman"/>
                <w:sz w:val="18"/>
                <w:szCs w:val="18"/>
              </w:rPr>
              <w:t xml:space="preserve"> languages that are not part of the six official languages of the United Nations. </w:t>
            </w:r>
          </w:p>
          <w:p w14:paraId="5299400F" w14:textId="3E6F88F5" w:rsidR="003E4723" w:rsidRPr="0041705A" w:rsidRDefault="003E4723" w:rsidP="0041705A">
            <w:pPr>
              <w:spacing w:after="120" w:line="240" w:lineRule="auto"/>
              <w:rPr>
                <w:rFonts w:ascii="Times New Roman" w:hAnsi="Times New Roman"/>
                <w:sz w:val="18"/>
                <w:szCs w:val="18"/>
              </w:rPr>
            </w:pPr>
            <w:bookmarkStart w:id="1" w:name="_Hlk515032635"/>
            <w:r w:rsidRPr="0041705A">
              <w:rPr>
                <w:rFonts w:ascii="Times New Roman" w:hAnsi="Times New Roman"/>
                <w:sz w:val="18"/>
                <w:szCs w:val="18"/>
              </w:rPr>
              <w:t>Several countries</w:t>
            </w:r>
            <w:r w:rsidR="00102CDD" w:rsidRPr="0041705A">
              <w:rPr>
                <w:rFonts w:ascii="Times New Roman" w:hAnsi="Times New Roman"/>
                <w:sz w:val="18"/>
                <w:szCs w:val="18"/>
              </w:rPr>
              <w:t>, for example</w:t>
            </w:r>
            <w:r w:rsidRPr="0041705A">
              <w:rPr>
                <w:rFonts w:ascii="Times New Roman" w:hAnsi="Times New Roman"/>
                <w:sz w:val="18"/>
                <w:szCs w:val="18"/>
              </w:rPr>
              <w:t xml:space="preserve"> Brazil</w:t>
            </w:r>
            <w:r w:rsidR="00102CDD" w:rsidRPr="0041705A">
              <w:rPr>
                <w:rFonts w:ascii="Times New Roman" w:hAnsi="Times New Roman"/>
                <w:sz w:val="18"/>
                <w:szCs w:val="18"/>
              </w:rPr>
              <w:t xml:space="preserve"> and </w:t>
            </w:r>
            <w:r w:rsidR="00C309C6" w:rsidRPr="0041705A">
              <w:rPr>
                <w:rFonts w:ascii="Times New Roman" w:hAnsi="Times New Roman"/>
                <w:sz w:val="18"/>
                <w:szCs w:val="18"/>
              </w:rPr>
              <w:t>Japan</w:t>
            </w:r>
            <w:r w:rsidR="00DA0DF7" w:rsidRPr="0041705A">
              <w:rPr>
                <w:rFonts w:ascii="Times New Roman" w:hAnsi="Times New Roman"/>
                <w:sz w:val="18"/>
                <w:szCs w:val="18"/>
              </w:rPr>
              <w:t xml:space="preserve">, </w:t>
            </w:r>
            <w:r w:rsidR="00993D12" w:rsidRPr="0041705A">
              <w:rPr>
                <w:rFonts w:ascii="Times New Roman" w:hAnsi="Times New Roman"/>
                <w:sz w:val="18"/>
                <w:szCs w:val="18"/>
              </w:rPr>
              <w:t xml:space="preserve">have published </w:t>
            </w:r>
            <w:r w:rsidR="00C309C6" w:rsidRPr="0041705A">
              <w:rPr>
                <w:rFonts w:ascii="Times New Roman" w:hAnsi="Times New Roman"/>
                <w:sz w:val="18"/>
                <w:szCs w:val="18"/>
              </w:rPr>
              <w:t xml:space="preserve">at least one summary for </w:t>
            </w:r>
            <w:r w:rsidR="00E058C1" w:rsidRPr="0041705A">
              <w:rPr>
                <w:rFonts w:ascii="Times New Roman" w:hAnsi="Times New Roman"/>
                <w:sz w:val="18"/>
                <w:szCs w:val="18"/>
              </w:rPr>
              <w:t xml:space="preserve">policymakers </w:t>
            </w:r>
            <w:r w:rsidRPr="0041705A">
              <w:rPr>
                <w:rFonts w:ascii="Times New Roman" w:hAnsi="Times New Roman"/>
                <w:sz w:val="18"/>
                <w:szCs w:val="18"/>
              </w:rPr>
              <w:t xml:space="preserve">in </w:t>
            </w:r>
            <w:r w:rsidR="00DA0DF7" w:rsidRPr="0041705A">
              <w:rPr>
                <w:rFonts w:ascii="Times New Roman" w:hAnsi="Times New Roman"/>
                <w:sz w:val="18"/>
                <w:szCs w:val="18"/>
              </w:rPr>
              <w:t xml:space="preserve">their respective </w:t>
            </w:r>
            <w:r w:rsidRPr="0041705A">
              <w:rPr>
                <w:rFonts w:ascii="Times New Roman" w:hAnsi="Times New Roman"/>
                <w:sz w:val="18"/>
                <w:szCs w:val="18"/>
              </w:rPr>
              <w:t xml:space="preserve">language. </w:t>
            </w:r>
            <w:bookmarkEnd w:id="1"/>
            <w:r w:rsidR="00C309C6" w:rsidRPr="0041705A">
              <w:rPr>
                <w:rFonts w:ascii="Times New Roman" w:hAnsi="Times New Roman"/>
                <w:sz w:val="18"/>
                <w:szCs w:val="18"/>
              </w:rPr>
              <w:t>Following the seventh session of the Plenary, t</w:t>
            </w:r>
            <w:r w:rsidRPr="0041705A">
              <w:rPr>
                <w:rFonts w:ascii="Times New Roman" w:hAnsi="Times New Roman"/>
                <w:sz w:val="18"/>
                <w:szCs w:val="18"/>
              </w:rPr>
              <w:t xml:space="preserve">he secretariat will issue a notification to encourage </w:t>
            </w:r>
            <w:r w:rsidR="00C309C6" w:rsidRPr="0041705A">
              <w:rPr>
                <w:rFonts w:ascii="Times New Roman" w:hAnsi="Times New Roman"/>
                <w:sz w:val="18"/>
                <w:szCs w:val="18"/>
              </w:rPr>
              <w:t>G</w:t>
            </w:r>
            <w:r w:rsidRPr="0041705A">
              <w:rPr>
                <w:rFonts w:ascii="Times New Roman" w:hAnsi="Times New Roman"/>
                <w:sz w:val="18"/>
                <w:szCs w:val="18"/>
              </w:rPr>
              <w:t xml:space="preserve">overnments and others to translate the </w:t>
            </w:r>
            <w:r w:rsidR="00C309C6" w:rsidRPr="0041705A">
              <w:rPr>
                <w:rFonts w:ascii="Times New Roman" w:hAnsi="Times New Roman"/>
                <w:sz w:val="18"/>
                <w:szCs w:val="18"/>
              </w:rPr>
              <w:t xml:space="preserve">summaries for policymakers of </w:t>
            </w:r>
            <w:r w:rsidRPr="0041705A">
              <w:rPr>
                <w:rFonts w:ascii="Times New Roman" w:hAnsi="Times New Roman"/>
                <w:sz w:val="18"/>
                <w:szCs w:val="18"/>
              </w:rPr>
              <w:t>approved</w:t>
            </w:r>
            <w:r w:rsidR="00C309C6" w:rsidRPr="0041705A">
              <w:rPr>
                <w:rFonts w:ascii="Times New Roman" w:hAnsi="Times New Roman"/>
                <w:sz w:val="18"/>
                <w:szCs w:val="18"/>
              </w:rPr>
              <w:t xml:space="preserve"> IPBES</w:t>
            </w:r>
            <w:r w:rsidRPr="0041705A">
              <w:rPr>
                <w:rFonts w:ascii="Times New Roman" w:hAnsi="Times New Roman"/>
                <w:sz w:val="18"/>
                <w:szCs w:val="18"/>
              </w:rPr>
              <w:t xml:space="preserve"> assessments in</w:t>
            </w:r>
            <w:r w:rsidR="00102CDD" w:rsidRPr="0041705A">
              <w:rPr>
                <w:rFonts w:ascii="Times New Roman" w:hAnsi="Times New Roman"/>
                <w:sz w:val="18"/>
                <w:szCs w:val="18"/>
              </w:rPr>
              <w:t>to languages other than the six official languages of the United Nations</w:t>
            </w:r>
            <w:r w:rsidRPr="0041705A">
              <w:rPr>
                <w:rFonts w:ascii="Times New Roman" w:hAnsi="Times New Roman"/>
                <w:sz w:val="18"/>
                <w:szCs w:val="18"/>
              </w:rPr>
              <w:t>.</w:t>
            </w:r>
          </w:p>
        </w:tc>
      </w:tr>
      <w:tr w:rsidR="00575CD6" w:rsidRPr="003E4723" w14:paraId="0F0D3962" w14:textId="77777777" w:rsidTr="0041705A">
        <w:tc>
          <w:tcPr>
            <w:tcW w:w="3805" w:type="dxa"/>
          </w:tcPr>
          <w:p w14:paraId="6DD73DCB" w14:textId="2E392C6B"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Clearer guidance on the work of management committees should be established</w:t>
            </w:r>
            <w:r w:rsidR="00BC50E0" w:rsidRPr="0041705A">
              <w:rPr>
                <w:rFonts w:ascii="Times New Roman" w:hAnsi="Times New Roman"/>
                <w:sz w:val="18"/>
                <w:szCs w:val="18"/>
              </w:rPr>
              <w:t>.</w:t>
            </w:r>
          </w:p>
        </w:tc>
        <w:tc>
          <w:tcPr>
            <w:tcW w:w="1701" w:type="dxa"/>
          </w:tcPr>
          <w:p w14:paraId="756A8F07"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28</w:t>
            </w:r>
          </w:p>
        </w:tc>
        <w:tc>
          <w:tcPr>
            <w:tcW w:w="3998" w:type="dxa"/>
          </w:tcPr>
          <w:p w14:paraId="13FDEA2B" w14:textId="16C8716F"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w:t>
            </w:r>
            <w:r w:rsidR="00993D12" w:rsidRPr="0041705A">
              <w:rPr>
                <w:rFonts w:ascii="Times New Roman" w:hAnsi="Times New Roman"/>
                <w:sz w:val="18"/>
                <w:szCs w:val="18"/>
              </w:rPr>
              <w:t>Multidisciplinary Expert Panel</w:t>
            </w:r>
            <w:r w:rsidRPr="0041705A">
              <w:rPr>
                <w:rFonts w:ascii="Times New Roman" w:hAnsi="Times New Roman"/>
                <w:sz w:val="18"/>
                <w:szCs w:val="18"/>
              </w:rPr>
              <w:t xml:space="preserve"> and Bureau </w:t>
            </w:r>
            <w:r w:rsidR="00993D12" w:rsidRPr="0041705A">
              <w:rPr>
                <w:rFonts w:ascii="Times New Roman" w:hAnsi="Times New Roman"/>
                <w:sz w:val="18"/>
                <w:szCs w:val="18"/>
              </w:rPr>
              <w:t>provided</w:t>
            </w:r>
            <w:r w:rsidRPr="0041705A">
              <w:rPr>
                <w:rFonts w:ascii="Times New Roman" w:hAnsi="Times New Roman"/>
                <w:sz w:val="18"/>
                <w:szCs w:val="18"/>
              </w:rPr>
              <w:t xml:space="preserve"> guidance to </w:t>
            </w:r>
            <w:r w:rsidR="00993D12" w:rsidRPr="0041705A">
              <w:rPr>
                <w:rFonts w:ascii="Times New Roman" w:hAnsi="Times New Roman"/>
                <w:sz w:val="18"/>
                <w:szCs w:val="18"/>
              </w:rPr>
              <w:t xml:space="preserve">the </w:t>
            </w:r>
            <w:r w:rsidRPr="0041705A">
              <w:rPr>
                <w:rFonts w:ascii="Times New Roman" w:hAnsi="Times New Roman"/>
                <w:sz w:val="18"/>
                <w:szCs w:val="18"/>
              </w:rPr>
              <w:t>management committees of th</w:t>
            </w:r>
            <w:r w:rsidR="00993D12" w:rsidRPr="0041705A">
              <w:rPr>
                <w:rFonts w:ascii="Times New Roman" w:hAnsi="Times New Roman"/>
                <w:sz w:val="18"/>
                <w:szCs w:val="18"/>
              </w:rPr>
              <w:t>e</w:t>
            </w:r>
            <w:r w:rsidRPr="0041705A">
              <w:rPr>
                <w:rFonts w:ascii="Times New Roman" w:hAnsi="Times New Roman"/>
                <w:sz w:val="18"/>
                <w:szCs w:val="18"/>
              </w:rPr>
              <w:t xml:space="preserve"> committees </w:t>
            </w:r>
            <w:r w:rsidR="00993D12" w:rsidRPr="0041705A">
              <w:rPr>
                <w:rFonts w:ascii="Times New Roman" w:hAnsi="Times New Roman"/>
                <w:sz w:val="18"/>
                <w:szCs w:val="18"/>
              </w:rPr>
              <w:t xml:space="preserve">that </w:t>
            </w:r>
            <w:r w:rsidRPr="0041705A">
              <w:rPr>
                <w:rFonts w:ascii="Times New Roman" w:hAnsi="Times New Roman"/>
                <w:sz w:val="18"/>
                <w:szCs w:val="18"/>
              </w:rPr>
              <w:t>start</w:t>
            </w:r>
            <w:r w:rsidR="00993D12" w:rsidRPr="0041705A">
              <w:rPr>
                <w:rFonts w:ascii="Times New Roman" w:hAnsi="Times New Roman"/>
                <w:sz w:val="18"/>
                <w:szCs w:val="18"/>
              </w:rPr>
              <w:t>ed</w:t>
            </w:r>
            <w:r w:rsidRPr="0041705A">
              <w:rPr>
                <w:rFonts w:ascii="Times New Roman" w:hAnsi="Times New Roman"/>
                <w:sz w:val="18"/>
                <w:szCs w:val="18"/>
              </w:rPr>
              <w:t xml:space="preserve"> their work in 2018.</w:t>
            </w:r>
          </w:p>
        </w:tc>
      </w:tr>
      <w:tr w:rsidR="00575CD6" w:rsidRPr="003E4723" w14:paraId="4DB98F24" w14:textId="77777777" w:rsidTr="0041705A">
        <w:tc>
          <w:tcPr>
            <w:tcW w:w="3805" w:type="dxa"/>
          </w:tcPr>
          <w:p w14:paraId="095F1C34" w14:textId="311FDB9F"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Access to drafts of assessments should be simplified</w:t>
            </w:r>
            <w:r w:rsidR="00BC50E0" w:rsidRPr="0041705A">
              <w:rPr>
                <w:rFonts w:ascii="Times New Roman" w:hAnsi="Times New Roman"/>
                <w:sz w:val="18"/>
                <w:szCs w:val="18"/>
              </w:rPr>
              <w:t>.</w:t>
            </w:r>
          </w:p>
        </w:tc>
        <w:tc>
          <w:tcPr>
            <w:tcW w:w="1701" w:type="dxa"/>
          </w:tcPr>
          <w:p w14:paraId="20C9A1D4"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29</w:t>
            </w:r>
          </w:p>
        </w:tc>
        <w:tc>
          <w:tcPr>
            <w:tcW w:w="3998" w:type="dxa"/>
          </w:tcPr>
          <w:p w14:paraId="7251F890" w14:textId="3C9025EB"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Access</w:t>
            </w:r>
            <w:r w:rsidR="00C309C6" w:rsidRPr="0041705A">
              <w:rPr>
                <w:rFonts w:ascii="Times New Roman" w:hAnsi="Times New Roman"/>
                <w:sz w:val="18"/>
                <w:szCs w:val="18"/>
              </w:rPr>
              <w:t xml:space="preserve"> to drafts</w:t>
            </w:r>
            <w:r w:rsidR="008D4E28" w:rsidRPr="0041705A">
              <w:rPr>
                <w:rFonts w:ascii="Times New Roman" w:hAnsi="Times New Roman"/>
                <w:sz w:val="18"/>
                <w:szCs w:val="18"/>
              </w:rPr>
              <w:t xml:space="preserve"> of assessments</w:t>
            </w:r>
            <w:r w:rsidRPr="0041705A">
              <w:rPr>
                <w:rFonts w:ascii="Times New Roman" w:hAnsi="Times New Roman"/>
                <w:sz w:val="18"/>
                <w:szCs w:val="18"/>
              </w:rPr>
              <w:t xml:space="preserve"> was already simplified for the review of drafts of the regional assessments and the land degradation and restoration assessment compared to earlier processes</w:t>
            </w:r>
            <w:r w:rsidR="008D4E28" w:rsidRPr="0041705A">
              <w:rPr>
                <w:rFonts w:ascii="Times New Roman" w:hAnsi="Times New Roman"/>
                <w:sz w:val="18"/>
                <w:szCs w:val="18"/>
              </w:rPr>
              <w:t xml:space="preserve">, including the </w:t>
            </w:r>
            <w:r w:rsidRPr="0041705A">
              <w:rPr>
                <w:rFonts w:ascii="Times New Roman" w:hAnsi="Times New Roman"/>
                <w:sz w:val="18"/>
                <w:szCs w:val="18"/>
              </w:rPr>
              <w:t xml:space="preserve">possibility to circulate and print </w:t>
            </w:r>
            <w:r w:rsidR="001A55F5" w:rsidRPr="0041705A">
              <w:rPr>
                <w:rFonts w:ascii="Times New Roman" w:hAnsi="Times New Roman"/>
                <w:sz w:val="18"/>
                <w:szCs w:val="18"/>
              </w:rPr>
              <w:t>draft summaries for policymakers</w:t>
            </w:r>
            <w:r w:rsidR="008D4E28" w:rsidRPr="0041705A">
              <w:rPr>
                <w:rFonts w:ascii="Times New Roman" w:hAnsi="Times New Roman"/>
                <w:sz w:val="18"/>
                <w:szCs w:val="18"/>
              </w:rPr>
              <w:t xml:space="preserve"> and the</w:t>
            </w:r>
            <w:r w:rsidRPr="0041705A">
              <w:rPr>
                <w:rFonts w:ascii="Times New Roman" w:hAnsi="Times New Roman"/>
                <w:sz w:val="18"/>
                <w:szCs w:val="18"/>
              </w:rPr>
              <w:t xml:space="preserve"> use of a single password per person.</w:t>
            </w:r>
          </w:p>
        </w:tc>
      </w:tr>
      <w:tr w:rsidR="003E4723" w:rsidRPr="003E4723" w14:paraId="58D5CA05" w14:textId="77777777" w:rsidTr="0041705A">
        <w:tc>
          <w:tcPr>
            <w:tcW w:w="3805" w:type="dxa"/>
          </w:tcPr>
          <w:p w14:paraId="62B54865" w14:textId="78A6C6A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Governments could be encouraged to provide more comments through regional dialogues; and to do so earlier in the review process</w:t>
            </w:r>
            <w:r w:rsidR="00BC50E0" w:rsidRPr="0041705A">
              <w:rPr>
                <w:rFonts w:ascii="Times New Roman" w:hAnsi="Times New Roman"/>
                <w:sz w:val="18"/>
                <w:szCs w:val="18"/>
              </w:rPr>
              <w:t>.</w:t>
            </w:r>
          </w:p>
        </w:tc>
        <w:tc>
          <w:tcPr>
            <w:tcW w:w="1701" w:type="dxa"/>
          </w:tcPr>
          <w:p w14:paraId="5FA72F3E"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29</w:t>
            </w:r>
          </w:p>
        </w:tc>
        <w:tc>
          <w:tcPr>
            <w:tcW w:w="3998" w:type="dxa"/>
          </w:tcPr>
          <w:p w14:paraId="2BCC5496" w14:textId="02B89263" w:rsidR="003E4723" w:rsidRPr="0041705A" w:rsidRDefault="008D4E28" w:rsidP="0041705A">
            <w:pPr>
              <w:spacing w:after="120" w:line="240" w:lineRule="auto"/>
              <w:rPr>
                <w:rFonts w:ascii="Times New Roman" w:hAnsi="Times New Roman"/>
                <w:sz w:val="18"/>
                <w:szCs w:val="18"/>
              </w:rPr>
            </w:pPr>
            <w:r w:rsidRPr="0041705A">
              <w:rPr>
                <w:rFonts w:ascii="Times New Roman" w:hAnsi="Times New Roman"/>
                <w:sz w:val="18"/>
                <w:szCs w:val="18"/>
              </w:rPr>
              <w:t>A</w:t>
            </w:r>
            <w:r w:rsidR="003E4723" w:rsidRPr="0041705A">
              <w:rPr>
                <w:rFonts w:ascii="Times New Roman" w:hAnsi="Times New Roman"/>
                <w:sz w:val="18"/>
                <w:szCs w:val="18"/>
              </w:rPr>
              <w:t xml:space="preserve"> meeting </w:t>
            </w:r>
            <w:r w:rsidRPr="0041705A">
              <w:rPr>
                <w:rFonts w:ascii="Times New Roman" w:hAnsi="Times New Roman"/>
                <w:sz w:val="18"/>
                <w:szCs w:val="18"/>
              </w:rPr>
              <w:t xml:space="preserve">for IPBES national focal points was </w:t>
            </w:r>
            <w:r w:rsidR="00C309C6" w:rsidRPr="0041705A">
              <w:rPr>
                <w:rFonts w:ascii="Times New Roman" w:hAnsi="Times New Roman"/>
                <w:sz w:val="18"/>
                <w:szCs w:val="18"/>
              </w:rPr>
              <w:t>held</w:t>
            </w:r>
            <w:r w:rsidR="003E4723" w:rsidRPr="0041705A">
              <w:rPr>
                <w:rFonts w:ascii="Times New Roman" w:hAnsi="Times New Roman"/>
                <w:sz w:val="18"/>
                <w:szCs w:val="18"/>
              </w:rPr>
              <w:t xml:space="preserve"> </w:t>
            </w:r>
            <w:r w:rsidRPr="0041705A">
              <w:rPr>
                <w:rFonts w:ascii="Times New Roman" w:hAnsi="Times New Roman"/>
                <w:sz w:val="18"/>
                <w:szCs w:val="18"/>
              </w:rPr>
              <w:t xml:space="preserve">from </w:t>
            </w:r>
            <w:r w:rsidR="003E4723" w:rsidRPr="0041705A">
              <w:rPr>
                <w:rFonts w:ascii="Times New Roman" w:hAnsi="Times New Roman"/>
                <w:sz w:val="18"/>
                <w:szCs w:val="18"/>
              </w:rPr>
              <w:t>4</w:t>
            </w:r>
            <w:r w:rsidRPr="0041705A">
              <w:rPr>
                <w:rFonts w:ascii="Times New Roman" w:hAnsi="Times New Roman"/>
                <w:sz w:val="18"/>
                <w:szCs w:val="18"/>
              </w:rPr>
              <w:t xml:space="preserve"> to </w:t>
            </w:r>
            <w:r w:rsidR="003E4723" w:rsidRPr="0041705A">
              <w:rPr>
                <w:rFonts w:ascii="Times New Roman" w:hAnsi="Times New Roman"/>
                <w:sz w:val="18"/>
                <w:szCs w:val="18"/>
              </w:rPr>
              <w:t xml:space="preserve">6 June 2018 </w:t>
            </w:r>
            <w:r w:rsidR="00757DF9" w:rsidRPr="0041705A">
              <w:rPr>
                <w:rFonts w:ascii="Times New Roman" w:hAnsi="Times New Roman"/>
                <w:sz w:val="18"/>
                <w:szCs w:val="18"/>
              </w:rPr>
              <w:t>in</w:t>
            </w:r>
            <w:r w:rsidR="00C309C6" w:rsidRPr="0041705A">
              <w:rPr>
                <w:rFonts w:ascii="Times New Roman" w:hAnsi="Times New Roman"/>
                <w:sz w:val="18"/>
                <w:szCs w:val="18"/>
              </w:rPr>
              <w:t xml:space="preserve"> Bonn </w:t>
            </w:r>
            <w:r w:rsidR="003E4723" w:rsidRPr="0041705A">
              <w:rPr>
                <w:rFonts w:ascii="Times New Roman" w:hAnsi="Times New Roman"/>
                <w:sz w:val="18"/>
                <w:szCs w:val="18"/>
              </w:rPr>
              <w:t xml:space="preserve">to build the capacity of </w:t>
            </w:r>
            <w:r w:rsidR="00592A48" w:rsidRPr="0041705A">
              <w:rPr>
                <w:rFonts w:ascii="Times New Roman" w:hAnsi="Times New Roman"/>
                <w:sz w:val="18"/>
                <w:szCs w:val="18"/>
              </w:rPr>
              <w:t>G</w:t>
            </w:r>
            <w:r w:rsidR="003E4723" w:rsidRPr="0041705A">
              <w:rPr>
                <w:rFonts w:ascii="Times New Roman" w:hAnsi="Times New Roman"/>
                <w:sz w:val="18"/>
                <w:szCs w:val="18"/>
              </w:rPr>
              <w:t xml:space="preserve">overnments to </w:t>
            </w:r>
            <w:r w:rsidR="00592A48" w:rsidRPr="0041705A">
              <w:rPr>
                <w:rFonts w:ascii="Times New Roman" w:hAnsi="Times New Roman"/>
                <w:sz w:val="18"/>
                <w:szCs w:val="18"/>
              </w:rPr>
              <w:t>review</w:t>
            </w:r>
            <w:r w:rsidRPr="0041705A">
              <w:rPr>
                <w:rFonts w:ascii="Times New Roman" w:hAnsi="Times New Roman"/>
                <w:sz w:val="18"/>
                <w:szCs w:val="18"/>
              </w:rPr>
              <w:t xml:space="preserve"> drafts of assessments</w:t>
            </w:r>
            <w:r w:rsidR="003E4723" w:rsidRPr="0041705A">
              <w:rPr>
                <w:rFonts w:ascii="Times New Roman" w:hAnsi="Times New Roman"/>
                <w:sz w:val="18"/>
                <w:szCs w:val="18"/>
              </w:rPr>
              <w:t xml:space="preserve"> by sharing experience in the organization of review processes at the national level and providing the opportunity for exchange with assessment authors.</w:t>
            </w:r>
          </w:p>
        </w:tc>
      </w:tr>
      <w:tr w:rsidR="00BC50E0" w:rsidRPr="003E4723" w14:paraId="6C136F9D" w14:textId="77777777" w:rsidTr="0041705A">
        <w:trPr>
          <w:trHeight w:val="3680"/>
        </w:trPr>
        <w:tc>
          <w:tcPr>
            <w:tcW w:w="3805" w:type="dxa"/>
          </w:tcPr>
          <w:p w14:paraId="1CB3FF41" w14:textId="077DA053" w:rsidR="00BC50E0" w:rsidRPr="0041705A" w:rsidRDefault="00BC50E0" w:rsidP="0041705A">
            <w:pPr>
              <w:spacing w:after="120" w:line="240" w:lineRule="auto"/>
              <w:rPr>
                <w:rFonts w:ascii="Times New Roman" w:hAnsi="Times New Roman"/>
                <w:sz w:val="18"/>
                <w:szCs w:val="18"/>
              </w:rPr>
            </w:pPr>
            <w:r w:rsidRPr="0041705A">
              <w:rPr>
                <w:rFonts w:ascii="Times New Roman" w:hAnsi="Times New Roman"/>
                <w:sz w:val="18"/>
                <w:szCs w:val="18"/>
              </w:rPr>
              <w:t>Governments and others should be encouraged to nominate a more balanced set of nominees, including in particular: women; social scientists, and scientists from the humanities; experts in indigenous and local knowledge and indigenous and local knowledge experts; experts from Eastern Europe and Africa.</w:t>
            </w:r>
          </w:p>
        </w:tc>
        <w:tc>
          <w:tcPr>
            <w:tcW w:w="1701" w:type="dxa"/>
          </w:tcPr>
          <w:p w14:paraId="4054277F" w14:textId="77777777" w:rsidR="00BC50E0" w:rsidRPr="0041705A" w:rsidRDefault="00BC50E0" w:rsidP="0041705A">
            <w:pPr>
              <w:spacing w:after="120" w:line="240" w:lineRule="auto"/>
              <w:rPr>
                <w:rFonts w:ascii="Times New Roman" w:hAnsi="Times New Roman"/>
                <w:sz w:val="18"/>
                <w:szCs w:val="18"/>
              </w:rPr>
            </w:pPr>
            <w:r w:rsidRPr="0041705A">
              <w:rPr>
                <w:rFonts w:ascii="Times New Roman" w:hAnsi="Times New Roman"/>
                <w:sz w:val="18"/>
                <w:szCs w:val="18"/>
              </w:rPr>
              <w:t>30, 54</w:t>
            </w:r>
          </w:p>
        </w:tc>
        <w:tc>
          <w:tcPr>
            <w:tcW w:w="3998" w:type="dxa"/>
          </w:tcPr>
          <w:p w14:paraId="61EE6DB9" w14:textId="4E3C0D35" w:rsidR="00BC50E0" w:rsidRPr="0041705A" w:rsidRDefault="00BC50E0" w:rsidP="0041705A">
            <w:pPr>
              <w:spacing w:after="120" w:line="240" w:lineRule="auto"/>
              <w:rPr>
                <w:rFonts w:ascii="Times New Roman" w:hAnsi="Times New Roman"/>
                <w:sz w:val="18"/>
                <w:szCs w:val="18"/>
              </w:rPr>
            </w:pPr>
            <w:r w:rsidRPr="0041705A">
              <w:rPr>
                <w:rFonts w:ascii="Times New Roman" w:hAnsi="Times New Roman"/>
                <w:sz w:val="18"/>
                <w:szCs w:val="18"/>
              </w:rPr>
              <w:t xml:space="preserve">Several paragraphs addressing this matter were included in the letter calling for nomination for the two assessments initiated in 2018 (EM/2018/06/Rev.1 of 15 March 2018, available at </w:t>
            </w:r>
            <w:hyperlink r:id="rId14" w:history="1">
              <w:r w:rsidR="0041705A" w:rsidRPr="0041705A">
                <w:rPr>
                  <w:rStyle w:val="Hyperlink"/>
                  <w:sz w:val="18"/>
                  <w:szCs w:val="18"/>
                  <w:lang w:val="en-US"/>
                </w:rPr>
                <w:t>www.ipbes.net/sites/default/files/</w:t>
              </w:r>
              <w:r w:rsidR="0041705A" w:rsidRPr="0041705A">
                <w:rPr>
                  <w:rStyle w:val="Hyperlink"/>
                  <w:sz w:val="18"/>
                  <w:szCs w:val="18"/>
                  <w:lang w:val="en-US"/>
                </w:rPr>
                <w:br/>
                <w:t>em_2018_06_rev.1_call_experts_tsus.pdf</w:t>
              </w:r>
            </w:hyperlink>
            <w:r w:rsidRPr="0041705A">
              <w:rPr>
                <w:rFonts w:ascii="Times New Roman" w:hAnsi="Times New Roman"/>
                <w:sz w:val="18"/>
                <w:szCs w:val="18"/>
              </w:rPr>
              <w:t xml:space="preserve">). The Multidisciplinary Expert Panel formed a task group to further address this matter. </w:t>
            </w:r>
          </w:p>
          <w:p w14:paraId="777C0687" w14:textId="12F44872" w:rsidR="00BC50E0" w:rsidRPr="0041705A" w:rsidRDefault="00BC50E0"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Multidisciplinary Expert Panel, in consultation with Bureau, used the selection of experts for the values and sustainable use assessments as an opportunity to pay </w:t>
            </w:r>
            <w:proofErr w:type="gramStart"/>
            <w:r w:rsidRPr="0041705A">
              <w:rPr>
                <w:rFonts w:ascii="Times New Roman" w:hAnsi="Times New Roman"/>
                <w:sz w:val="18"/>
                <w:szCs w:val="18"/>
              </w:rPr>
              <w:t>particular attention</w:t>
            </w:r>
            <w:proofErr w:type="gramEnd"/>
            <w:r w:rsidRPr="0041705A">
              <w:rPr>
                <w:rFonts w:ascii="Times New Roman" w:hAnsi="Times New Roman"/>
                <w:sz w:val="18"/>
                <w:szCs w:val="18"/>
              </w:rPr>
              <w:t xml:space="preserve"> to ensuring more balanced expert groups. They also used, where necessary, the procedure to fill gaps and requested additional nominations. </w:t>
            </w:r>
            <w:proofErr w:type="gramStart"/>
            <w:r w:rsidRPr="0041705A">
              <w:rPr>
                <w:rFonts w:ascii="Times New Roman" w:hAnsi="Times New Roman"/>
                <w:sz w:val="18"/>
                <w:szCs w:val="18"/>
              </w:rPr>
              <w:t>Particular attention</w:t>
            </w:r>
            <w:proofErr w:type="gramEnd"/>
            <w:r w:rsidRPr="0041705A">
              <w:rPr>
                <w:rFonts w:ascii="Times New Roman" w:hAnsi="Times New Roman"/>
                <w:sz w:val="18"/>
                <w:szCs w:val="18"/>
              </w:rPr>
              <w:t xml:space="preserve"> was given to the selection of experts on indigenous and local knowledge as members of these assessment expert groups.  </w:t>
            </w:r>
          </w:p>
        </w:tc>
      </w:tr>
      <w:tr w:rsidR="003E4723" w:rsidRPr="003E4723" w14:paraId="457B23E5" w14:textId="77777777" w:rsidTr="00575CD6">
        <w:tc>
          <w:tcPr>
            <w:tcW w:w="9504" w:type="dxa"/>
            <w:gridSpan w:val="3"/>
          </w:tcPr>
          <w:p w14:paraId="41B12F94" w14:textId="77777777" w:rsidR="003E4723" w:rsidRPr="0041705A" w:rsidRDefault="003E4723" w:rsidP="0041705A">
            <w:pPr>
              <w:spacing w:after="120" w:line="240" w:lineRule="auto"/>
              <w:rPr>
                <w:rFonts w:ascii="Times New Roman" w:hAnsi="Times New Roman"/>
                <w:b/>
                <w:sz w:val="18"/>
                <w:szCs w:val="18"/>
              </w:rPr>
            </w:pPr>
            <w:r w:rsidRPr="0041705A">
              <w:rPr>
                <w:rFonts w:ascii="Times New Roman" w:hAnsi="Times New Roman"/>
                <w:b/>
                <w:sz w:val="18"/>
                <w:szCs w:val="18"/>
              </w:rPr>
              <w:t>Policy-relevant tools and methodologies</w:t>
            </w:r>
          </w:p>
        </w:tc>
      </w:tr>
      <w:tr w:rsidR="003E4723" w:rsidRPr="003E4723" w14:paraId="19BFD2E7" w14:textId="77777777" w:rsidTr="0041705A">
        <w:trPr>
          <w:trHeight w:val="1217"/>
        </w:trPr>
        <w:tc>
          <w:tcPr>
            <w:tcW w:w="3805" w:type="dxa"/>
          </w:tcPr>
          <w:p w14:paraId="201CEDF2" w14:textId="02C878AF"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More emphasis, with a clearer mandate and adequate funding, could be placed on this activity in the future; other activities beyond the catalogue could be considered</w:t>
            </w:r>
            <w:r w:rsidR="00BC50E0" w:rsidRPr="0041705A">
              <w:rPr>
                <w:rFonts w:ascii="Times New Roman" w:hAnsi="Times New Roman"/>
                <w:sz w:val="18"/>
                <w:szCs w:val="18"/>
              </w:rPr>
              <w:t>.</w:t>
            </w:r>
          </w:p>
        </w:tc>
        <w:tc>
          <w:tcPr>
            <w:tcW w:w="1701" w:type="dxa"/>
          </w:tcPr>
          <w:p w14:paraId="10E12A05"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32</w:t>
            </w:r>
          </w:p>
        </w:tc>
        <w:tc>
          <w:tcPr>
            <w:tcW w:w="3998" w:type="dxa"/>
          </w:tcPr>
          <w:p w14:paraId="2915B1C6" w14:textId="1BB24D5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Additional funding was agreed </w:t>
            </w:r>
            <w:r w:rsidR="00C309C6" w:rsidRPr="0041705A">
              <w:rPr>
                <w:rFonts w:ascii="Times New Roman" w:hAnsi="Times New Roman"/>
                <w:sz w:val="18"/>
                <w:szCs w:val="18"/>
              </w:rPr>
              <w:t>by the Plenary at its seventh session</w:t>
            </w:r>
            <w:r w:rsidR="00A36A80" w:rsidRPr="0041705A">
              <w:rPr>
                <w:rFonts w:ascii="Times New Roman" w:hAnsi="Times New Roman"/>
                <w:sz w:val="18"/>
                <w:szCs w:val="18"/>
              </w:rPr>
              <w:t>, which allowed the expert group to meet in person in 2018</w:t>
            </w:r>
            <w:r w:rsidR="0051151E" w:rsidRPr="0041705A">
              <w:rPr>
                <w:rFonts w:ascii="Times New Roman" w:hAnsi="Times New Roman"/>
                <w:sz w:val="18"/>
                <w:szCs w:val="18"/>
              </w:rPr>
              <w:t xml:space="preserve"> (see document IPBES/7/INF/13)</w:t>
            </w:r>
            <w:r w:rsidR="00A36A80" w:rsidRPr="0041705A">
              <w:rPr>
                <w:rFonts w:ascii="Times New Roman" w:hAnsi="Times New Roman"/>
                <w:sz w:val="18"/>
                <w:szCs w:val="18"/>
              </w:rPr>
              <w:t>.</w:t>
            </w:r>
            <w:r w:rsidRPr="0041705A">
              <w:rPr>
                <w:rFonts w:ascii="Times New Roman" w:hAnsi="Times New Roman"/>
                <w:sz w:val="18"/>
                <w:szCs w:val="18"/>
              </w:rPr>
              <w:t xml:space="preserve"> </w:t>
            </w:r>
            <w:r w:rsidR="00A36A80" w:rsidRPr="0041705A">
              <w:rPr>
                <w:rFonts w:ascii="Times New Roman" w:hAnsi="Times New Roman"/>
                <w:sz w:val="18"/>
                <w:szCs w:val="18"/>
              </w:rPr>
              <w:t>T</w:t>
            </w:r>
            <w:r w:rsidRPr="0041705A">
              <w:rPr>
                <w:rFonts w:ascii="Times New Roman" w:hAnsi="Times New Roman"/>
                <w:sz w:val="18"/>
                <w:szCs w:val="18"/>
              </w:rPr>
              <w:t xml:space="preserve">he draft next work </w:t>
            </w:r>
            <w:proofErr w:type="spellStart"/>
            <w:r w:rsidRPr="0041705A">
              <w:rPr>
                <w:rFonts w:ascii="Times New Roman" w:hAnsi="Times New Roman"/>
                <w:sz w:val="18"/>
                <w:szCs w:val="18"/>
              </w:rPr>
              <w:t>programme</w:t>
            </w:r>
            <w:proofErr w:type="spellEnd"/>
            <w:r w:rsidRPr="0041705A">
              <w:rPr>
                <w:rFonts w:ascii="Times New Roman" w:hAnsi="Times New Roman"/>
                <w:sz w:val="18"/>
                <w:szCs w:val="18"/>
              </w:rPr>
              <w:t xml:space="preserve"> for IPBES </w:t>
            </w:r>
            <w:r w:rsidR="0051151E" w:rsidRPr="0041705A">
              <w:rPr>
                <w:rFonts w:ascii="Times New Roman" w:hAnsi="Times New Roman"/>
                <w:sz w:val="18"/>
                <w:szCs w:val="18"/>
              </w:rPr>
              <w:t>includes the establishment of a task force on the matter</w:t>
            </w:r>
            <w:r w:rsidRPr="0041705A">
              <w:rPr>
                <w:rFonts w:ascii="Times New Roman" w:hAnsi="Times New Roman"/>
                <w:sz w:val="18"/>
                <w:szCs w:val="18"/>
              </w:rPr>
              <w:t>.</w:t>
            </w:r>
          </w:p>
          <w:p w14:paraId="4051B5FF" w14:textId="77777777" w:rsidR="003E4723" w:rsidRPr="0041705A" w:rsidRDefault="003E4723" w:rsidP="0041705A">
            <w:pPr>
              <w:spacing w:after="120" w:line="240" w:lineRule="auto"/>
              <w:rPr>
                <w:rFonts w:ascii="Times New Roman" w:hAnsi="Times New Roman"/>
                <w:sz w:val="18"/>
                <w:szCs w:val="18"/>
                <w:lang w:val="en-GB"/>
              </w:rPr>
            </w:pPr>
          </w:p>
        </w:tc>
      </w:tr>
      <w:tr w:rsidR="003E4723" w:rsidRPr="003E4723" w14:paraId="0656F397" w14:textId="77777777" w:rsidTr="00575CD6">
        <w:tc>
          <w:tcPr>
            <w:tcW w:w="9504" w:type="dxa"/>
            <w:gridSpan w:val="3"/>
          </w:tcPr>
          <w:p w14:paraId="6F0AA488"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b/>
                <w:sz w:val="18"/>
                <w:szCs w:val="18"/>
              </w:rPr>
              <w:t>Capacity-building</w:t>
            </w:r>
          </w:p>
        </w:tc>
      </w:tr>
      <w:tr w:rsidR="003E4723" w:rsidRPr="003E4723" w14:paraId="38ADE018" w14:textId="77777777" w:rsidTr="0041705A">
        <w:tc>
          <w:tcPr>
            <w:tcW w:w="3805" w:type="dxa"/>
            <w:shd w:val="clear" w:color="auto" w:fill="auto"/>
          </w:tcPr>
          <w:p w14:paraId="50CB96D6" w14:textId="302E7EF0"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There is a need to increase interactions between capacity-building and assessments</w:t>
            </w:r>
            <w:r w:rsidR="00BC50E0" w:rsidRPr="0041705A">
              <w:rPr>
                <w:rFonts w:ascii="Times New Roman" w:hAnsi="Times New Roman"/>
                <w:sz w:val="18"/>
                <w:szCs w:val="18"/>
                <w:lang w:val="en-GB"/>
              </w:rPr>
              <w:t>.</w:t>
            </w:r>
          </w:p>
        </w:tc>
        <w:tc>
          <w:tcPr>
            <w:tcW w:w="1701" w:type="dxa"/>
          </w:tcPr>
          <w:p w14:paraId="2D666550"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37, 85, 92</w:t>
            </w:r>
          </w:p>
        </w:tc>
        <w:tc>
          <w:tcPr>
            <w:tcW w:w="3998" w:type="dxa"/>
          </w:tcPr>
          <w:p w14:paraId="4C49722C" w14:textId="0EA71498"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An effort has been made to build capacity for assessments. Examples include the consultations</w:t>
            </w:r>
            <w:r w:rsidR="00A36A80" w:rsidRPr="0041705A">
              <w:rPr>
                <w:rFonts w:ascii="Times New Roman" w:hAnsi="Times New Roman"/>
                <w:sz w:val="18"/>
                <w:szCs w:val="18"/>
              </w:rPr>
              <w:t xml:space="preserve"> for national focal points held</w:t>
            </w:r>
            <w:r w:rsidRPr="0041705A">
              <w:rPr>
                <w:rFonts w:ascii="Times New Roman" w:hAnsi="Times New Roman"/>
                <w:sz w:val="18"/>
                <w:szCs w:val="18"/>
              </w:rPr>
              <w:t xml:space="preserve"> for the regional assessments </w:t>
            </w:r>
            <w:r w:rsidR="00A36A80" w:rsidRPr="0041705A">
              <w:rPr>
                <w:rFonts w:ascii="Times New Roman" w:hAnsi="Times New Roman"/>
                <w:sz w:val="18"/>
                <w:szCs w:val="18"/>
              </w:rPr>
              <w:t xml:space="preserve">in </w:t>
            </w:r>
            <w:r w:rsidRPr="0041705A">
              <w:rPr>
                <w:rFonts w:ascii="Times New Roman" w:hAnsi="Times New Roman"/>
                <w:sz w:val="18"/>
                <w:szCs w:val="18"/>
              </w:rPr>
              <w:t>July</w:t>
            </w:r>
            <w:r w:rsidR="00A36A80" w:rsidRPr="0041705A">
              <w:rPr>
                <w:rFonts w:ascii="Times New Roman" w:hAnsi="Times New Roman"/>
                <w:sz w:val="18"/>
                <w:szCs w:val="18"/>
              </w:rPr>
              <w:t xml:space="preserve"> and </w:t>
            </w:r>
            <w:r w:rsidRPr="0041705A">
              <w:rPr>
                <w:rFonts w:ascii="Times New Roman" w:hAnsi="Times New Roman"/>
                <w:sz w:val="18"/>
                <w:szCs w:val="18"/>
              </w:rPr>
              <w:t>Aug</w:t>
            </w:r>
            <w:r w:rsidR="00A36A80" w:rsidRPr="0041705A">
              <w:rPr>
                <w:rFonts w:ascii="Times New Roman" w:hAnsi="Times New Roman"/>
                <w:sz w:val="18"/>
                <w:szCs w:val="18"/>
              </w:rPr>
              <w:t>ust</w:t>
            </w:r>
            <w:r w:rsidRPr="0041705A">
              <w:rPr>
                <w:rFonts w:ascii="Times New Roman" w:hAnsi="Times New Roman"/>
                <w:sz w:val="18"/>
                <w:szCs w:val="18"/>
              </w:rPr>
              <w:t xml:space="preserve"> 2017, and for the global assessment </w:t>
            </w:r>
            <w:r w:rsidR="00A36A80" w:rsidRPr="0041705A">
              <w:rPr>
                <w:rFonts w:ascii="Times New Roman" w:hAnsi="Times New Roman"/>
                <w:sz w:val="18"/>
                <w:szCs w:val="18"/>
              </w:rPr>
              <w:t xml:space="preserve">in </w:t>
            </w:r>
            <w:r w:rsidRPr="0041705A">
              <w:rPr>
                <w:rFonts w:ascii="Times New Roman" w:hAnsi="Times New Roman"/>
                <w:sz w:val="18"/>
                <w:szCs w:val="18"/>
              </w:rPr>
              <w:t xml:space="preserve">June 2018. The IPBES fellowship </w:t>
            </w:r>
            <w:proofErr w:type="spellStart"/>
            <w:r w:rsidRPr="0041705A">
              <w:rPr>
                <w:rFonts w:ascii="Times New Roman" w:hAnsi="Times New Roman"/>
                <w:sz w:val="18"/>
                <w:szCs w:val="18"/>
              </w:rPr>
              <w:t>programme</w:t>
            </w:r>
            <w:proofErr w:type="spellEnd"/>
            <w:r w:rsidRPr="0041705A">
              <w:rPr>
                <w:rFonts w:ascii="Times New Roman" w:hAnsi="Times New Roman"/>
                <w:sz w:val="18"/>
                <w:szCs w:val="18"/>
              </w:rPr>
              <w:t xml:space="preserve"> provides an opportunity for early career scientists to participate in IPBES assessments and thereby </w:t>
            </w:r>
            <w:r w:rsidR="00A36A80" w:rsidRPr="0041705A">
              <w:rPr>
                <w:rFonts w:ascii="Times New Roman" w:hAnsi="Times New Roman"/>
                <w:sz w:val="18"/>
                <w:szCs w:val="18"/>
              </w:rPr>
              <w:t>increase</w:t>
            </w:r>
            <w:r w:rsidRPr="0041705A">
              <w:rPr>
                <w:rFonts w:ascii="Times New Roman" w:hAnsi="Times New Roman"/>
                <w:sz w:val="18"/>
                <w:szCs w:val="18"/>
              </w:rPr>
              <w:t xml:space="preserve"> their capacity. </w:t>
            </w:r>
          </w:p>
        </w:tc>
      </w:tr>
      <w:tr w:rsidR="003E4723" w:rsidRPr="003E4723" w14:paraId="7F66AA74" w14:textId="77777777" w:rsidTr="0041705A">
        <w:tc>
          <w:tcPr>
            <w:tcW w:w="3805" w:type="dxa"/>
          </w:tcPr>
          <w:p w14:paraId="017AD7F5" w14:textId="5234019B"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 xml:space="preserve">There is a need to expand </w:t>
            </w:r>
            <w:proofErr w:type="gramStart"/>
            <w:r w:rsidRPr="0041705A">
              <w:rPr>
                <w:rFonts w:ascii="Times New Roman" w:hAnsi="Times New Roman"/>
                <w:sz w:val="18"/>
                <w:szCs w:val="18"/>
                <w:lang w:val="en-GB"/>
              </w:rPr>
              <w:t>partnerships, and</w:t>
            </w:r>
            <w:proofErr w:type="gramEnd"/>
            <w:r w:rsidRPr="0041705A">
              <w:rPr>
                <w:rFonts w:ascii="Times New Roman" w:hAnsi="Times New Roman"/>
                <w:sz w:val="18"/>
                <w:szCs w:val="18"/>
                <w:lang w:val="en-GB"/>
              </w:rPr>
              <w:t xml:space="preserve"> </w:t>
            </w:r>
            <w:r w:rsidRPr="0041705A">
              <w:rPr>
                <w:rFonts w:ascii="Times New Roman" w:hAnsi="Times New Roman"/>
                <w:sz w:val="18"/>
                <w:szCs w:val="18"/>
              </w:rPr>
              <w:t>mobilize financial and technical resources</w:t>
            </w:r>
            <w:r w:rsidR="00BC50E0" w:rsidRPr="0041705A">
              <w:rPr>
                <w:rFonts w:ascii="Times New Roman" w:hAnsi="Times New Roman"/>
                <w:sz w:val="18"/>
                <w:szCs w:val="18"/>
              </w:rPr>
              <w:t>.</w:t>
            </w:r>
          </w:p>
        </w:tc>
        <w:tc>
          <w:tcPr>
            <w:tcW w:w="1701" w:type="dxa"/>
          </w:tcPr>
          <w:p w14:paraId="60BB804F"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37</w:t>
            </w:r>
          </w:p>
        </w:tc>
        <w:tc>
          <w:tcPr>
            <w:tcW w:w="3998" w:type="dxa"/>
          </w:tcPr>
          <w:p w14:paraId="14363A48" w14:textId="03613599"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capacity-building task force has addressed this need by issuing a call for new partners and new ways to </w:t>
            </w:r>
            <w:proofErr w:type="spellStart"/>
            <w:r w:rsidRPr="0041705A">
              <w:rPr>
                <w:rFonts w:ascii="Times New Roman" w:hAnsi="Times New Roman"/>
                <w:sz w:val="18"/>
                <w:szCs w:val="18"/>
              </w:rPr>
              <w:t>catalyse</w:t>
            </w:r>
            <w:proofErr w:type="spellEnd"/>
            <w:r w:rsidRPr="0041705A">
              <w:rPr>
                <w:rFonts w:ascii="Times New Roman" w:hAnsi="Times New Roman"/>
                <w:sz w:val="18"/>
                <w:szCs w:val="18"/>
              </w:rPr>
              <w:t xml:space="preserve"> funding</w:t>
            </w:r>
            <w:r w:rsidR="00E058C1" w:rsidRPr="0041705A">
              <w:rPr>
                <w:rFonts w:ascii="Times New Roman" w:hAnsi="Times New Roman"/>
                <w:sz w:val="18"/>
                <w:szCs w:val="18"/>
              </w:rPr>
              <w:t xml:space="preserve"> </w:t>
            </w:r>
            <w:r w:rsidR="00A36A80" w:rsidRPr="0041705A">
              <w:rPr>
                <w:rFonts w:ascii="Times New Roman" w:hAnsi="Times New Roman"/>
                <w:sz w:val="18"/>
                <w:szCs w:val="18"/>
              </w:rPr>
              <w:t xml:space="preserve">in </w:t>
            </w:r>
            <w:r w:rsidR="00E058C1" w:rsidRPr="0041705A">
              <w:rPr>
                <w:rFonts w:ascii="Times New Roman" w:hAnsi="Times New Roman"/>
                <w:sz w:val="18"/>
                <w:szCs w:val="18"/>
              </w:rPr>
              <w:t>March 2018</w:t>
            </w:r>
            <w:r w:rsidRPr="0041705A">
              <w:rPr>
                <w:rFonts w:ascii="Times New Roman" w:hAnsi="Times New Roman"/>
                <w:sz w:val="18"/>
                <w:szCs w:val="18"/>
              </w:rPr>
              <w:t>.</w:t>
            </w:r>
            <w:r w:rsidR="00E058C1" w:rsidRPr="0041705A">
              <w:rPr>
                <w:rFonts w:ascii="Times New Roman" w:hAnsi="Times New Roman"/>
                <w:sz w:val="18"/>
                <w:szCs w:val="18"/>
              </w:rPr>
              <w:t xml:space="preserve"> The third meeting of the IPBES </w:t>
            </w:r>
            <w:r w:rsidR="00A36A80" w:rsidRPr="0041705A">
              <w:rPr>
                <w:rFonts w:ascii="Times New Roman" w:hAnsi="Times New Roman"/>
                <w:sz w:val="18"/>
                <w:szCs w:val="18"/>
              </w:rPr>
              <w:t>f</w:t>
            </w:r>
            <w:r w:rsidR="00E058C1" w:rsidRPr="0041705A">
              <w:rPr>
                <w:rFonts w:ascii="Times New Roman" w:hAnsi="Times New Roman"/>
                <w:sz w:val="18"/>
                <w:szCs w:val="18"/>
              </w:rPr>
              <w:t>orum</w:t>
            </w:r>
            <w:r w:rsidR="00A36A80" w:rsidRPr="0041705A">
              <w:rPr>
                <w:rFonts w:ascii="Times New Roman" w:hAnsi="Times New Roman"/>
                <w:sz w:val="18"/>
                <w:szCs w:val="18"/>
              </w:rPr>
              <w:t xml:space="preserve"> on capacity-building held in S</w:t>
            </w:r>
            <w:r w:rsidR="00E058C1" w:rsidRPr="0041705A">
              <w:rPr>
                <w:rFonts w:ascii="Times New Roman" w:hAnsi="Times New Roman"/>
                <w:sz w:val="18"/>
                <w:szCs w:val="18"/>
              </w:rPr>
              <w:t>eptember 2018</w:t>
            </w:r>
            <w:r w:rsidR="00A36A80" w:rsidRPr="0041705A">
              <w:rPr>
                <w:rFonts w:ascii="Times New Roman" w:hAnsi="Times New Roman"/>
                <w:sz w:val="18"/>
                <w:szCs w:val="18"/>
              </w:rPr>
              <w:t xml:space="preserve"> </w:t>
            </w:r>
            <w:r w:rsidR="00E058C1" w:rsidRPr="0041705A">
              <w:rPr>
                <w:rFonts w:ascii="Times New Roman" w:hAnsi="Times New Roman"/>
                <w:sz w:val="18"/>
                <w:szCs w:val="18"/>
              </w:rPr>
              <w:t>also contributed to these efforts.</w:t>
            </w:r>
            <w:r w:rsidRPr="0041705A">
              <w:rPr>
                <w:rFonts w:ascii="Times New Roman" w:hAnsi="Times New Roman"/>
                <w:sz w:val="18"/>
                <w:szCs w:val="18"/>
              </w:rPr>
              <w:t xml:space="preserve"> </w:t>
            </w:r>
          </w:p>
        </w:tc>
      </w:tr>
      <w:tr w:rsidR="003E4723" w:rsidRPr="003E4723" w14:paraId="21E7767D" w14:textId="77777777" w:rsidTr="0041705A">
        <w:tc>
          <w:tcPr>
            <w:tcW w:w="3805" w:type="dxa"/>
            <w:shd w:val="clear" w:color="auto" w:fill="auto"/>
          </w:tcPr>
          <w:p w14:paraId="20A61D3A" w14:textId="54120418"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There is a need to reconsider the format of the capacity-building fora and membership of the capacity-building task force</w:t>
            </w:r>
            <w:r w:rsidR="00BC50E0" w:rsidRPr="0041705A">
              <w:rPr>
                <w:rFonts w:ascii="Times New Roman" w:hAnsi="Times New Roman"/>
                <w:sz w:val="18"/>
                <w:szCs w:val="18"/>
              </w:rPr>
              <w:t>.</w:t>
            </w:r>
          </w:p>
        </w:tc>
        <w:tc>
          <w:tcPr>
            <w:tcW w:w="1701" w:type="dxa"/>
          </w:tcPr>
          <w:p w14:paraId="1FBC01EE"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37</w:t>
            </w:r>
          </w:p>
        </w:tc>
        <w:tc>
          <w:tcPr>
            <w:tcW w:w="3998" w:type="dxa"/>
          </w:tcPr>
          <w:p w14:paraId="2106EE0F" w14:textId="31921DF3" w:rsidR="003E4723" w:rsidRPr="0041705A" w:rsidRDefault="00E058C1"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third meeting of the IPBES </w:t>
            </w:r>
            <w:r w:rsidR="0051151E" w:rsidRPr="0041705A">
              <w:rPr>
                <w:rFonts w:ascii="Times New Roman" w:hAnsi="Times New Roman"/>
                <w:sz w:val="18"/>
                <w:szCs w:val="18"/>
              </w:rPr>
              <w:t>f</w:t>
            </w:r>
            <w:r w:rsidRPr="0041705A">
              <w:rPr>
                <w:rFonts w:ascii="Times New Roman" w:hAnsi="Times New Roman"/>
                <w:sz w:val="18"/>
                <w:szCs w:val="18"/>
              </w:rPr>
              <w:t xml:space="preserve">orum </w:t>
            </w:r>
            <w:r w:rsidR="0051151E" w:rsidRPr="0041705A">
              <w:rPr>
                <w:rFonts w:ascii="Times New Roman" w:hAnsi="Times New Roman"/>
                <w:sz w:val="18"/>
                <w:szCs w:val="18"/>
              </w:rPr>
              <w:t xml:space="preserve">on </w:t>
            </w:r>
            <w:r w:rsidR="00435E90">
              <w:rPr>
                <w:rFonts w:ascii="Times New Roman" w:hAnsi="Times New Roman"/>
                <w:sz w:val="18"/>
                <w:szCs w:val="18"/>
              </w:rPr>
              <w:br/>
            </w:r>
            <w:r w:rsidR="0051151E" w:rsidRPr="0041705A">
              <w:rPr>
                <w:rFonts w:ascii="Times New Roman" w:hAnsi="Times New Roman"/>
                <w:sz w:val="18"/>
                <w:szCs w:val="18"/>
              </w:rPr>
              <w:t xml:space="preserve">capacity-building </w:t>
            </w:r>
            <w:r w:rsidRPr="0041705A">
              <w:rPr>
                <w:rFonts w:ascii="Times New Roman" w:hAnsi="Times New Roman"/>
                <w:sz w:val="18"/>
                <w:szCs w:val="18"/>
              </w:rPr>
              <w:t>focused on identifying specific opportunities for collaboration on the uptake of IPBES assessments; national and sub-regional science-policy platforms; learning materials on IPBES guides and assessments; as well as on indigenous and local knowledge. The Plenary will be invited to</w:t>
            </w:r>
            <w:r w:rsidR="00DA0DF7" w:rsidRPr="0041705A">
              <w:rPr>
                <w:rFonts w:ascii="Times New Roman" w:hAnsi="Times New Roman"/>
                <w:sz w:val="18"/>
                <w:szCs w:val="18"/>
              </w:rPr>
              <w:t xml:space="preserve"> </w:t>
            </w:r>
            <w:r w:rsidR="003E4723" w:rsidRPr="0041705A">
              <w:rPr>
                <w:rFonts w:ascii="Times New Roman" w:hAnsi="Times New Roman"/>
                <w:sz w:val="18"/>
                <w:szCs w:val="18"/>
              </w:rPr>
              <w:t>consider</w:t>
            </w:r>
            <w:r w:rsidRPr="0041705A">
              <w:rPr>
                <w:rFonts w:ascii="Times New Roman" w:hAnsi="Times New Roman"/>
                <w:sz w:val="18"/>
                <w:szCs w:val="18"/>
              </w:rPr>
              <w:t>,</w:t>
            </w:r>
            <w:r w:rsidR="003E4723" w:rsidRPr="0041705A">
              <w:rPr>
                <w:rFonts w:ascii="Times New Roman" w:hAnsi="Times New Roman"/>
                <w:sz w:val="18"/>
                <w:szCs w:val="18"/>
              </w:rPr>
              <w:t xml:space="preserve"> as part of the development of the next work </w:t>
            </w:r>
            <w:proofErr w:type="spellStart"/>
            <w:r w:rsidR="003E4723" w:rsidRPr="0041705A">
              <w:rPr>
                <w:rFonts w:ascii="Times New Roman" w:hAnsi="Times New Roman"/>
                <w:sz w:val="18"/>
                <w:szCs w:val="18"/>
              </w:rPr>
              <w:t>programme</w:t>
            </w:r>
            <w:proofErr w:type="spellEnd"/>
            <w:r w:rsidR="003E4723" w:rsidRPr="0041705A">
              <w:rPr>
                <w:rFonts w:ascii="Times New Roman" w:hAnsi="Times New Roman"/>
                <w:sz w:val="18"/>
                <w:szCs w:val="18"/>
              </w:rPr>
              <w:t xml:space="preserve"> of IPBES</w:t>
            </w:r>
            <w:r w:rsidRPr="0041705A">
              <w:rPr>
                <w:rFonts w:ascii="Times New Roman" w:hAnsi="Times New Roman"/>
                <w:sz w:val="18"/>
                <w:szCs w:val="18"/>
              </w:rPr>
              <w:t>, revised terms of reference for the task force</w:t>
            </w:r>
            <w:r w:rsidR="003E4723" w:rsidRPr="0041705A">
              <w:rPr>
                <w:rFonts w:ascii="Times New Roman" w:hAnsi="Times New Roman"/>
                <w:sz w:val="18"/>
                <w:szCs w:val="18"/>
              </w:rPr>
              <w:t xml:space="preserve">. </w:t>
            </w:r>
          </w:p>
        </w:tc>
      </w:tr>
      <w:tr w:rsidR="003E4723" w:rsidRPr="003E4723" w14:paraId="2E98C62B" w14:textId="77777777" w:rsidTr="00575CD6">
        <w:tc>
          <w:tcPr>
            <w:tcW w:w="9504" w:type="dxa"/>
            <w:gridSpan w:val="3"/>
          </w:tcPr>
          <w:p w14:paraId="47B9665D" w14:textId="77777777" w:rsidR="003E4723" w:rsidRPr="0041705A" w:rsidRDefault="003E4723" w:rsidP="0041705A">
            <w:pPr>
              <w:keepNext/>
              <w:keepLines/>
              <w:spacing w:after="120" w:line="240" w:lineRule="auto"/>
              <w:rPr>
                <w:rFonts w:ascii="Times New Roman" w:hAnsi="Times New Roman"/>
                <w:sz w:val="18"/>
                <w:szCs w:val="18"/>
              </w:rPr>
            </w:pPr>
            <w:r w:rsidRPr="0041705A">
              <w:rPr>
                <w:rFonts w:ascii="Times New Roman" w:hAnsi="Times New Roman"/>
                <w:b/>
                <w:sz w:val="18"/>
                <w:szCs w:val="18"/>
              </w:rPr>
              <w:t>Knowledge and data</w:t>
            </w:r>
          </w:p>
        </w:tc>
      </w:tr>
      <w:tr w:rsidR="003E4723" w:rsidRPr="003E4723" w14:paraId="08E22EEF" w14:textId="77777777" w:rsidTr="0041705A">
        <w:tc>
          <w:tcPr>
            <w:tcW w:w="3805" w:type="dxa"/>
          </w:tcPr>
          <w:p w14:paraId="35F724EE" w14:textId="77777777"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 xml:space="preserve">The indicators work should become more interdisciplinary and more policy-relevant.  Synergies with existing data and indicator processes could be enhanced. Further guidance could be provided regarding the role of indicators in assessments.  </w:t>
            </w:r>
          </w:p>
        </w:tc>
        <w:tc>
          <w:tcPr>
            <w:tcW w:w="1701" w:type="dxa"/>
          </w:tcPr>
          <w:p w14:paraId="655098F9"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40</w:t>
            </w:r>
          </w:p>
        </w:tc>
        <w:tc>
          <w:tcPr>
            <w:tcW w:w="3998" w:type="dxa"/>
          </w:tcPr>
          <w:p w14:paraId="6009727B" w14:textId="7CEB985D"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Some work on social-ecological bundles of indicators and the role of indicators in assessments more generally has been undertaken and reported to </w:t>
            </w:r>
            <w:r w:rsidR="00BC5A5C" w:rsidRPr="0041705A">
              <w:rPr>
                <w:rFonts w:ascii="Times New Roman" w:hAnsi="Times New Roman"/>
                <w:sz w:val="18"/>
                <w:szCs w:val="18"/>
              </w:rPr>
              <w:t>the Plenary at its sixth session</w:t>
            </w:r>
            <w:r w:rsidRPr="0041705A">
              <w:rPr>
                <w:rFonts w:ascii="Times New Roman" w:hAnsi="Times New Roman"/>
                <w:sz w:val="18"/>
                <w:szCs w:val="18"/>
              </w:rPr>
              <w:t xml:space="preserve"> (IPBES/6/INF/14).</w:t>
            </w:r>
          </w:p>
          <w:p w14:paraId="6579B358" w14:textId="5E65F524"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work on indicators has started to involve </w:t>
            </w:r>
            <w:r w:rsidR="003D79F9" w:rsidRPr="0041705A">
              <w:rPr>
                <w:rFonts w:ascii="Times New Roman" w:hAnsi="Times New Roman"/>
                <w:sz w:val="18"/>
                <w:szCs w:val="18"/>
              </w:rPr>
              <w:t xml:space="preserve">members of assessment </w:t>
            </w:r>
            <w:r w:rsidRPr="0041705A">
              <w:rPr>
                <w:rFonts w:ascii="Times New Roman" w:hAnsi="Times New Roman"/>
                <w:sz w:val="18"/>
                <w:szCs w:val="18"/>
              </w:rPr>
              <w:t xml:space="preserve">expert </w:t>
            </w:r>
            <w:r w:rsidR="003D79F9" w:rsidRPr="0041705A">
              <w:rPr>
                <w:rFonts w:ascii="Times New Roman" w:hAnsi="Times New Roman"/>
                <w:sz w:val="18"/>
                <w:szCs w:val="18"/>
              </w:rPr>
              <w:t>teams</w:t>
            </w:r>
            <w:r w:rsidRPr="0041705A">
              <w:rPr>
                <w:rFonts w:ascii="Times New Roman" w:hAnsi="Times New Roman"/>
                <w:sz w:val="18"/>
                <w:szCs w:val="18"/>
              </w:rPr>
              <w:t>, working in collaboration with task force members on the identification of indicators to be used in assessments.</w:t>
            </w:r>
            <w:r w:rsidR="00BC5A5C" w:rsidRPr="0041705A">
              <w:rPr>
                <w:rFonts w:ascii="Times New Roman" w:hAnsi="Times New Roman"/>
                <w:sz w:val="18"/>
                <w:szCs w:val="18"/>
              </w:rPr>
              <w:t xml:space="preserve"> The Plenary will be invited to consider, as part of the development of the next work </w:t>
            </w:r>
            <w:proofErr w:type="spellStart"/>
            <w:r w:rsidR="00BC5A5C" w:rsidRPr="0041705A">
              <w:rPr>
                <w:rFonts w:ascii="Times New Roman" w:hAnsi="Times New Roman"/>
                <w:sz w:val="18"/>
                <w:szCs w:val="18"/>
              </w:rPr>
              <w:t>programme</w:t>
            </w:r>
            <w:proofErr w:type="spellEnd"/>
            <w:r w:rsidR="00BC5A5C" w:rsidRPr="0041705A">
              <w:rPr>
                <w:rFonts w:ascii="Times New Roman" w:hAnsi="Times New Roman"/>
                <w:sz w:val="18"/>
                <w:szCs w:val="18"/>
              </w:rPr>
              <w:t xml:space="preserve"> of IPBES, revised terms of reference for the task force on knowledge and data.</w:t>
            </w:r>
          </w:p>
        </w:tc>
      </w:tr>
      <w:tr w:rsidR="003E4723" w:rsidRPr="003E4723" w14:paraId="2799832F" w14:textId="77777777" w:rsidTr="0041705A">
        <w:tc>
          <w:tcPr>
            <w:tcW w:w="3805" w:type="dxa"/>
          </w:tcPr>
          <w:p w14:paraId="682F32E1"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The work on knowledge generation should increase as assessments are completed, uncertainties and research needs identified, and potential funders engaged in a dialogue.</w:t>
            </w:r>
          </w:p>
        </w:tc>
        <w:tc>
          <w:tcPr>
            <w:tcW w:w="1701" w:type="dxa"/>
          </w:tcPr>
          <w:p w14:paraId="75BFDA72"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41</w:t>
            </w:r>
          </w:p>
        </w:tc>
        <w:tc>
          <w:tcPr>
            <w:tcW w:w="3998" w:type="dxa"/>
          </w:tcPr>
          <w:p w14:paraId="5C2C3927" w14:textId="03BEE3D6"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This </w:t>
            </w:r>
            <w:r w:rsidR="00CD1D54" w:rsidRPr="0041705A">
              <w:rPr>
                <w:rFonts w:ascii="Times New Roman" w:hAnsi="Times New Roman"/>
                <w:sz w:val="18"/>
                <w:szCs w:val="18"/>
              </w:rPr>
              <w:t>was</w:t>
            </w:r>
            <w:r w:rsidR="00BC5A5C" w:rsidRPr="0041705A">
              <w:rPr>
                <w:rFonts w:ascii="Times New Roman" w:hAnsi="Times New Roman"/>
                <w:sz w:val="18"/>
                <w:szCs w:val="18"/>
              </w:rPr>
              <w:t xml:space="preserve"> piloted</w:t>
            </w:r>
            <w:r w:rsidRPr="0041705A">
              <w:rPr>
                <w:rFonts w:ascii="Times New Roman" w:hAnsi="Times New Roman"/>
                <w:sz w:val="18"/>
                <w:szCs w:val="18"/>
              </w:rPr>
              <w:t xml:space="preserve"> in relation </w:t>
            </w:r>
            <w:r w:rsidR="0051151E" w:rsidRPr="0041705A">
              <w:rPr>
                <w:rFonts w:ascii="Times New Roman" w:hAnsi="Times New Roman"/>
                <w:sz w:val="18"/>
                <w:szCs w:val="18"/>
              </w:rPr>
              <w:t xml:space="preserve">to the assessment of </w:t>
            </w:r>
            <w:r w:rsidRPr="0041705A">
              <w:rPr>
                <w:rFonts w:ascii="Times New Roman" w:hAnsi="Times New Roman"/>
                <w:sz w:val="18"/>
                <w:szCs w:val="18"/>
              </w:rPr>
              <w:t xml:space="preserve">land degradation and </w:t>
            </w:r>
            <w:r w:rsidR="0051151E" w:rsidRPr="0041705A">
              <w:rPr>
                <w:rFonts w:ascii="Times New Roman" w:hAnsi="Times New Roman"/>
                <w:sz w:val="18"/>
                <w:szCs w:val="18"/>
              </w:rPr>
              <w:t xml:space="preserve">restoration </w:t>
            </w:r>
            <w:r w:rsidRPr="0041705A">
              <w:rPr>
                <w:rFonts w:ascii="Times New Roman" w:hAnsi="Times New Roman"/>
                <w:sz w:val="18"/>
                <w:szCs w:val="18"/>
              </w:rPr>
              <w:t xml:space="preserve">in </w:t>
            </w:r>
            <w:r w:rsidR="00BC5A5C" w:rsidRPr="0041705A">
              <w:rPr>
                <w:rFonts w:ascii="Times New Roman" w:hAnsi="Times New Roman"/>
                <w:sz w:val="18"/>
                <w:szCs w:val="18"/>
              </w:rPr>
              <w:t xml:space="preserve">early </w:t>
            </w:r>
            <w:r w:rsidRPr="0041705A">
              <w:rPr>
                <w:rFonts w:ascii="Times New Roman" w:hAnsi="Times New Roman"/>
                <w:sz w:val="18"/>
                <w:szCs w:val="18"/>
              </w:rPr>
              <w:t>201</w:t>
            </w:r>
            <w:r w:rsidR="00BC5A5C" w:rsidRPr="0041705A">
              <w:rPr>
                <w:rFonts w:ascii="Times New Roman" w:hAnsi="Times New Roman"/>
                <w:sz w:val="18"/>
                <w:szCs w:val="18"/>
              </w:rPr>
              <w:t>9</w:t>
            </w:r>
            <w:r w:rsidR="0051151E" w:rsidRPr="0041705A">
              <w:rPr>
                <w:rFonts w:ascii="Times New Roman" w:hAnsi="Times New Roman"/>
                <w:sz w:val="18"/>
                <w:szCs w:val="18"/>
              </w:rPr>
              <w:t xml:space="preserve"> (see IPBES/7/INF/9)</w:t>
            </w:r>
            <w:r w:rsidRPr="0041705A">
              <w:rPr>
                <w:rFonts w:ascii="Times New Roman" w:hAnsi="Times New Roman"/>
                <w:sz w:val="18"/>
                <w:szCs w:val="18"/>
              </w:rPr>
              <w:t xml:space="preserve">. Journal articles based on the IPBES assessments also contribute to highlighting and addressing identified gaps. </w:t>
            </w:r>
          </w:p>
        </w:tc>
      </w:tr>
      <w:tr w:rsidR="003E4723" w:rsidRPr="003E4723" w14:paraId="7A7F8812" w14:textId="77777777" w:rsidTr="0041705A">
        <w:tc>
          <w:tcPr>
            <w:tcW w:w="3805" w:type="dxa"/>
          </w:tcPr>
          <w:p w14:paraId="474A58C6" w14:textId="77777777"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The terms of reference, scope and membership of the data and knowledge task force should be revisited.</w:t>
            </w:r>
          </w:p>
        </w:tc>
        <w:tc>
          <w:tcPr>
            <w:tcW w:w="1701" w:type="dxa"/>
          </w:tcPr>
          <w:p w14:paraId="0A3C6E56"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42</w:t>
            </w:r>
          </w:p>
        </w:tc>
        <w:tc>
          <w:tcPr>
            <w:tcW w:w="3998" w:type="dxa"/>
          </w:tcPr>
          <w:p w14:paraId="4B619AE1" w14:textId="3ED7BC03" w:rsidR="003E4723" w:rsidRPr="0041705A" w:rsidRDefault="00BC5A5C"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Plenary will be invited to consider, as part of the development of the next work </w:t>
            </w:r>
            <w:proofErr w:type="spellStart"/>
            <w:r w:rsidRPr="0041705A">
              <w:rPr>
                <w:rFonts w:ascii="Times New Roman" w:hAnsi="Times New Roman"/>
                <w:sz w:val="18"/>
                <w:szCs w:val="18"/>
              </w:rPr>
              <w:t>programme</w:t>
            </w:r>
            <w:proofErr w:type="spellEnd"/>
            <w:r w:rsidRPr="0041705A">
              <w:rPr>
                <w:rFonts w:ascii="Times New Roman" w:hAnsi="Times New Roman"/>
                <w:sz w:val="18"/>
                <w:szCs w:val="18"/>
              </w:rPr>
              <w:t xml:space="preserve"> of IPBES, revised terms of reference for the task force on knowledge and data. </w:t>
            </w:r>
            <w:r w:rsidR="003E4723" w:rsidRPr="0041705A">
              <w:rPr>
                <w:rFonts w:ascii="Times New Roman" w:hAnsi="Times New Roman"/>
                <w:sz w:val="18"/>
                <w:szCs w:val="18"/>
              </w:rPr>
              <w:t>The expert groups on the values assessment and the assessment of the sustainable use of wild species w</w:t>
            </w:r>
            <w:r w:rsidRPr="0041705A">
              <w:rPr>
                <w:rFonts w:ascii="Times New Roman" w:hAnsi="Times New Roman"/>
                <w:sz w:val="18"/>
                <w:szCs w:val="18"/>
              </w:rPr>
              <w:t>ere</w:t>
            </w:r>
            <w:r w:rsidR="003E4723" w:rsidRPr="0041705A">
              <w:rPr>
                <w:rFonts w:ascii="Times New Roman" w:hAnsi="Times New Roman"/>
                <w:sz w:val="18"/>
                <w:szCs w:val="18"/>
              </w:rPr>
              <w:t xml:space="preserve"> encouraged to form liaison groups on matters such as </w:t>
            </w:r>
            <w:r w:rsidRPr="0041705A">
              <w:rPr>
                <w:rFonts w:ascii="Times New Roman" w:hAnsi="Times New Roman"/>
                <w:sz w:val="18"/>
                <w:szCs w:val="18"/>
              </w:rPr>
              <w:t>indigenous and local knowledge</w:t>
            </w:r>
            <w:r w:rsidR="003E4723" w:rsidRPr="0041705A">
              <w:rPr>
                <w:rFonts w:ascii="Times New Roman" w:hAnsi="Times New Roman"/>
                <w:sz w:val="18"/>
                <w:szCs w:val="18"/>
              </w:rPr>
              <w:t xml:space="preserve"> and indicators to enhance coherence among the work of IPBES pertaining to its four functions. </w:t>
            </w:r>
          </w:p>
        </w:tc>
      </w:tr>
      <w:tr w:rsidR="00575CD6" w:rsidRPr="003E4723" w14:paraId="771E9472" w14:textId="77777777" w:rsidTr="00575CD6">
        <w:tc>
          <w:tcPr>
            <w:tcW w:w="9504" w:type="dxa"/>
            <w:gridSpan w:val="3"/>
          </w:tcPr>
          <w:p w14:paraId="025AF967" w14:textId="4AF06983" w:rsidR="00575CD6" w:rsidRPr="0041705A" w:rsidRDefault="00575CD6" w:rsidP="0041705A">
            <w:pPr>
              <w:spacing w:after="120" w:line="240" w:lineRule="auto"/>
              <w:rPr>
                <w:rFonts w:ascii="Times New Roman" w:hAnsi="Times New Roman"/>
                <w:sz w:val="18"/>
                <w:szCs w:val="18"/>
              </w:rPr>
            </w:pPr>
            <w:r w:rsidRPr="0041705A">
              <w:rPr>
                <w:rFonts w:ascii="Times New Roman" w:hAnsi="Times New Roman"/>
                <w:b/>
                <w:sz w:val="18"/>
                <w:szCs w:val="18"/>
              </w:rPr>
              <w:t>Synergies between the four functions</w:t>
            </w:r>
          </w:p>
        </w:tc>
      </w:tr>
      <w:tr w:rsidR="003E4723" w:rsidRPr="003E4723" w14:paraId="125F06F4" w14:textId="77777777" w:rsidTr="0041705A">
        <w:tc>
          <w:tcPr>
            <w:tcW w:w="3805" w:type="dxa"/>
          </w:tcPr>
          <w:p w14:paraId="6B31C3D0" w14:textId="77777777"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Synergies among the four IPBES functions should be improved.</w:t>
            </w:r>
          </w:p>
        </w:tc>
        <w:tc>
          <w:tcPr>
            <w:tcW w:w="1701" w:type="dxa"/>
          </w:tcPr>
          <w:p w14:paraId="6F31F0C8"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44, 47</w:t>
            </w:r>
          </w:p>
        </w:tc>
        <w:tc>
          <w:tcPr>
            <w:tcW w:w="3998" w:type="dxa"/>
          </w:tcPr>
          <w:p w14:paraId="69EF09FC" w14:textId="11FD9F2E"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This is being addressed by involving assessment experts directly in the work on capacity-building (</w:t>
            </w:r>
            <w:r w:rsidR="0051151E" w:rsidRPr="0041705A">
              <w:rPr>
                <w:rFonts w:ascii="Times New Roman" w:hAnsi="Times New Roman"/>
                <w:sz w:val="18"/>
                <w:szCs w:val="18"/>
                <w:lang w:val="en-GB"/>
              </w:rPr>
              <w:t>for example</w:t>
            </w:r>
            <w:r w:rsidRPr="0041705A">
              <w:rPr>
                <w:rFonts w:ascii="Times New Roman" w:hAnsi="Times New Roman"/>
                <w:sz w:val="18"/>
                <w:szCs w:val="18"/>
                <w:lang w:val="en-GB"/>
              </w:rPr>
              <w:t xml:space="preserve"> for the review of draft assessments), on </w:t>
            </w:r>
            <w:r w:rsidR="00986B35" w:rsidRPr="0041705A">
              <w:rPr>
                <w:rFonts w:ascii="Times New Roman" w:hAnsi="Times New Roman"/>
                <w:sz w:val="18"/>
                <w:szCs w:val="18"/>
                <w:lang w:val="en-GB"/>
              </w:rPr>
              <w:t xml:space="preserve">indigenous and local knowledge </w:t>
            </w:r>
            <w:r w:rsidRPr="0041705A">
              <w:rPr>
                <w:rFonts w:ascii="Times New Roman" w:hAnsi="Times New Roman"/>
                <w:sz w:val="18"/>
                <w:szCs w:val="18"/>
                <w:lang w:val="en-GB"/>
              </w:rPr>
              <w:t xml:space="preserve"> (through the liaison group of </w:t>
            </w:r>
            <w:r w:rsidR="00116DEE" w:rsidRPr="0041705A">
              <w:rPr>
                <w:rFonts w:ascii="Times New Roman" w:hAnsi="Times New Roman"/>
                <w:sz w:val="18"/>
                <w:szCs w:val="18"/>
                <w:lang w:val="en-GB"/>
              </w:rPr>
              <w:t xml:space="preserve">indigenous and local knowledge </w:t>
            </w:r>
            <w:r w:rsidRPr="0041705A">
              <w:rPr>
                <w:rFonts w:ascii="Times New Roman" w:hAnsi="Times New Roman"/>
                <w:sz w:val="18"/>
                <w:szCs w:val="18"/>
                <w:lang w:val="en-GB"/>
              </w:rPr>
              <w:t xml:space="preserve"> experts within the assessments); on values; and on indicators (see above).</w:t>
            </w:r>
            <w:r w:rsidRPr="0041705A">
              <w:rPr>
                <w:rFonts w:ascii="Times New Roman" w:hAnsi="Times New Roman"/>
                <w:sz w:val="18"/>
                <w:szCs w:val="18"/>
              </w:rPr>
              <w:t>The expert groups on the values assessment and the assessment of the sustainable use of wild species w</w:t>
            </w:r>
            <w:r w:rsidR="00116DEE" w:rsidRPr="0041705A">
              <w:rPr>
                <w:rFonts w:ascii="Times New Roman" w:hAnsi="Times New Roman"/>
                <w:sz w:val="18"/>
                <w:szCs w:val="18"/>
              </w:rPr>
              <w:t>ere</w:t>
            </w:r>
            <w:r w:rsidRPr="0041705A">
              <w:rPr>
                <w:rFonts w:ascii="Times New Roman" w:hAnsi="Times New Roman"/>
                <w:sz w:val="18"/>
                <w:szCs w:val="18"/>
              </w:rPr>
              <w:t xml:space="preserve"> encouraged to form liaison groups on matters such as </w:t>
            </w:r>
            <w:r w:rsidR="00116DEE" w:rsidRPr="0041705A">
              <w:rPr>
                <w:rFonts w:ascii="Times New Roman" w:hAnsi="Times New Roman"/>
                <w:sz w:val="18"/>
                <w:szCs w:val="18"/>
              </w:rPr>
              <w:t xml:space="preserve">indigenous and local knowledge </w:t>
            </w:r>
            <w:r w:rsidRPr="0041705A">
              <w:rPr>
                <w:rFonts w:ascii="Times New Roman" w:hAnsi="Times New Roman"/>
                <w:sz w:val="18"/>
                <w:szCs w:val="18"/>
              </w:rPr>
              <w:t>and indicators to enhance coherence among the work of IPBES pertaining to its four functions.</w:t>
            </w:r>
          </w:p>
        </w:tc>
      </w:tr>
      <w:tr w:rsidR="003E4723" w:rsidRPr="003E4723" w14:paraId="5C8E3E3F" w14:textId="77777777" w:rsidTr="00575CD6">
        <w:tc>
          <w:tcPr>
            <w:tcW w:w="9504" w:type="dxa"/>
            <w:gridSpan w:val="3"/>
          </w:tcPr>
          <w:p w14:paraId="629A8286"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b/>
                <w:sz w:val="18"/>
                <w:szCs w:val="18"/>
              </w:rPr>
              <w:t>Indigenous and local knowledge</w:t>
            </w:r>
          </w:p>
        </w:tc>
      </w:tr>
      <w:tr w:rsidR="003E4723" w:rsidRPr="003E4723" w14:paraId="45F6EF00" w14:textId="77777777" w:rsidTr="0041705A">
        <w:tc>
          <w:tcPr>
            <w:tcW w:w="3805" w:type="dxa"/>
          </w:tcPr>
          <w:p w14:paraId="57F6E27C" w14:textId="49D0726A"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 xml:space="preserve">There should be a better link between the work of the task force on </w:t>
            </w:r>
            <w:r w:rsidR="0051151E" w:rsidRPr="0041705A">
              <w:rPr>
                <w:rFonts w:ascii="Times New Roman" w:hAnsi="Times New Roman"/>
                <w:sz w:val="18"/>
                <w:szCs w:val="18"/>
                <w:lang w:val="en-GB"/>
              </w:rPr>
              <w:t>indigenous and local knowledge</w:t>
            </w:r>
            <w:r w:rsidRPr="0041705A">
              <w:rPr>
                <w:rFonts w:ascii="Times New Roman" w:hAnsi="Times New Roman"/>
                <w:sz w:val="18"/>
                <w:szCs w:val="18"/>
                <w:lang w:val="en-GB"/>
              </w:rPr>
              <w:t xml:space="preserve"> and the assessments. </w:t>
            </w:r>
          </w:p>
        </w:tc>
        <w:tc>
          <w:tcPr>
            <w:tcW w:w="1701" w:type="dxa"/>
          </w:tcPr>
          <w:p w14:paraId="355B8298"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47, 82</w:t>
            </w:r>
          </w:p>
        </w:tc>
        <w:tc>
          <w:tcPr>
            <w:tcW w:w="3998" w:type="dxa"/>
          </w:tcPr>
          <w:p w14:paraId="12ADC901" w14:textId="7575A264"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Much work has been undertaken in the context of the global assessment to strengthen this link. The global assessment has a liaison group on </w:t>
            </w:r>
            <w:r w:rsidR="00116DEE" w:rsidRPr="0041705A">
              <w:rPr>
                <w:rFonts w:ascii="Times New Roman" w:hAnsi="Times New Roman"/>
                <w:sz w:val="18"/>
                <w:szCs w:val="18"/>
              </w:rPr>
              <w:t>indigenous and local knowledge</w:t>
            </w:r>
            <w:r w:rsidRPr="0041705A">
              <w:rPr>
                <w:rFonts w:ascii="Times New Roman" w:hAnsi="Times New Roman"/>
                <w:sz w:val="18"/>
                <w:szCs w:val="18"/>
              </w:rPr>
              <w:t>, advised by the IPBES task force</w:t>
            </w:r>
            <w:r w:rsidR="00116DEE" w:rsidRPr="0041705A">
              <w:rPr>
                <w:rFonts w:ascii="Times New Roman" w:hAnsi="Times New Roman"/>
                <w:sz w:val="18"/>
                <w:szCs w:val="18"/>
              </w:rPr>
              <w:t xml:space="preserve"> on indigenous and local knowledge</w:t>
            </w:r>
            <w:r w:rsidRPr="0041705A">
              <w:rPr>
                <w:rFonts w:ascii="Times New Roman" w:hAnsi="Times New Roman"/>
                <w:sz w:val="18"/>
                <w:szCs w:val="18"/>
              </w:rPr>
              <w:t>.</w:t>
            </w:r>
          </w:p>
          <w:p w14:paraId="3004DF4A" w14:textId="7DD48E91"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expert groups </w:t>
            </w:r>
            <w:r w:rsidR="00855C3D" w:rsidRPr="0041705A">
              <w:rPr>
                <w:rFonts w:ascii="Times New Roman" w:hAnsi="Times New Roman"/>
                <w:sz w:val="18"/>
                <w:szCs w:val="18"/>
              </w:rPr>
              <w:t xml:space="preserve">of </w:t>
            </w:r>
            <w:r w:rsidRPr="0041705A">
              <w:rPr>
                <w:rFonts w:ascii="Times New Roman" w:hAnsi="Times New Roman"/>
                <w:sz w:val="18"/>
                <w:szCs w:val="18"/>
              </w:rPr>
              <w:t xml:space="preserve">the values assessment and </w:t>
            </w:r>
            <w:r w:rsidR="00855C3D" w:rsidRPr="0041705A">
              <w:rPr>
                <w:rFonts w:ascii="Times New Roman" w:hAnsi="Times New Roman"/>
                <w:sz w:val="18"/>
                <w:szCs w:val="18"/>
              </w:rPr>
              <w:t xml:space="preserve">of </w:t>
            </w:r>
            <w:r w:rsidRPr="0041705A">
              <w:rPr>
                <w:rFonts w:ascii="Times New Roman" w:hAnsi="Times New Roman"/>
                <w:sz w:val="18"/>
                <w:szCs w:val="18"/>
              </w:rPr>
              <w:t xml:space="preserve">the assessment of the sustainable use of wild species </w:t>
            </w:r>
            <w:r w:rsidR="00116DEE" w:rsidRPr="0041705A">
              <w:rPr>
                <w:rFonts w:ascii="Times New Roman" w:hAnsi="Times New Roman"/>
                <w:sz w:val="18"/>
                <w:szCs w:val="18"/>
              </w:rPr>
              <w:t>were</w:t>
            </w:r>
            <w:r w:rsidRPr="0041705A">
              <w:rPr>
                <w:rFonts w:ascii="Times New Roman" w:hAnsi="Times New Roman"/>
                <w:sz w:val="18"/>
                <w:szCs w:val="18"/>
              </w:rPr>
              <w:t xml:space="preserve"> encouraged to form liaison groups on matters </w:t>
            </w:r>
            <w:r w:rsidR="00DA0DF7" w:rsidRPr="0041705A">
              <w:rPr>
                <w:rFonts w:ascii="Times New Roman" w:hAnsi="Times New Roman"/>
                <w:sz w:val="18"/>
                <w:szCs w:val="18"/>
              </w:rPr>
              <w:t>related to</w:t>
            </w:r>
            <w:r w:rsidRPr="0041705A">
              <w:rPr>
                <w:rFonts w:ascii="Times New Roman" w:hAnsi="Times New Roman"/>
                <w:sz w:val="18"/>
                <w:szCs w:val="18"/>
              </w:rPr>
              <w:t xml:space="preserve"> </w:t>
            </w:r>
            <w:r w:rsidR="00116DEE" w:rsidRPr="0041705A">
              <w:rPr>
                <w:rFonts w:ascii="Times New Roman" w:hAnsi="Times New Roman"/>
                <w:sz w:val="18"/>
                <w:szCs w:val="18"/>
              </w:rPr>
              <w:t xml:space="preserve">indigenous and local </w:t>
            </w:r>
            <w:r w:rsidR="00DA0DF7" w:rsidRPr="0041705A">
              <w:rPr>
                <w:rFonts w:ascii="Times New Roman" w:hAnsi="Times New Roman"/>
                <w:sz w:val="18"/>
                <w:szCs w:val="18"/>
              </w:rPr>
              <w:t>knowledge</w:t>
            </w:r>
            <w:r w:rsidR="003D79F9" w:rsidRPr="0041705A">
              <w:rPr>
                <w:rFonts w:ascii="Times New Roman" w:hAnsi="Times New Roman"/>
                <w:sz w:val="18"/>
                <w:szCs w:val="18"/>
              </w:rPr>
              <w:t>.</w:t>
            </w:r>
          </w:p>
        </w:tc>
      </w:tr>
      <w:tr w:rsidR="003E4723" w:rsidRPr="003E4723" w14:paraId="250BB77D" w14:textId="77777777" w:rsidTr="0041705A">
        <w:tc>
          <w:tcPr>
            <w:tcW w:w="3805" w:type="dxa"/>
          </w:tcPr>
          <w:p w14:paraId="2D3BBA07" w14:textId="77777777"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 xml:space="preserve">Engagement of indigenous peoples and local communities in IPBES should be enhanced, </w:t>
            </w:r>
            <w:proofErr w:type="gramStart"/>
            <w:r w:rsidRPr="0041705A">
              <w:rPr>
                <w:rFonts w:ascii="Times New Roman" w:hAnsi="Times New Roman"/>
                <w:sz w:val="18"/>
                <w:szCs w:val="18"/>
                <w:lang w:val="en-GB"/>
              </w:rPr>
              <w:t>in particular through</w:t>
            </w:r>
            <w:proofErr w:type="gramEnd"/>
            <w:r w:rsidRPr="0041705A">
              <w:rPr>
                <w:rFonts w:ascii="Times New Roman" w:hAnsi="Times New Roman"/>
                <w:sz w:val="18"/>
                <w:szCs w:val="18"/>
                <w:lang w:val="en-GB"/>
              </w:rPr>
              <w:t xml:space="preserve"> the participatory mechanism. </w:t>
            </w:r>
          </w:p>
        </w:tc>
        <w:tc>
          <w:tcPr>
            <w:tcW w:w="1701" w:type="dxa"/>
          </w:tcPr>
          <w:p w14:paraId="675C6F04"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48</w:t>
            </w:r>
          </w:p>
        </w:tc>
        <w:tc>
          <w:tcPr>
            <w:tcW w:w="3998" w:type="dxa"/>
          </w:tcPr>
          <w:p w14:paraId="601BC970" w14:textId="1F94DC92"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The global assessment conduct</w:t>
            </w:r>
            <w:r w:rsidR="00116DEE" w:rsidRPr="0041705A">
              <w:rPr>
                <w:rFonts w:ascii="Times New Roman" w:hAnsi="Times New Roman"/>
                <w:sz w:val="18"/>
                <w:szCs w:val="18"/>
              </w:rPr>
              <w:t>ed</w:t>
            </w:r>
            <w:r w:rsidRPr="0041705A">
              <w:rPr>
                <w:rFonts w:ascii="Times New Roman" w:hAnsi="Times New Roman"/>
                <w:sz w:val="18"/>
                <w:szCs w:val="18"/>
              </w:rPr>
              <w:t xml:space="preserve">, as part of the approach to </w:t>
            </w:r>
            <w:r w:rsidR="0051151E" w:rsidRPr="0041705A">
              <w:rPr>
                <w:rFonts w:ascii="Times New Roman" w:hAnsi="Times New Roman"/>
                <w:sz w:val="18"/>
                <w:szCs w:val="18"/>
              </w:rPr>
              <w:t xml:space="preserve">recognizing and </w:t>
            </w:r>
            <w:r w:rsidRPr="0041705A">
              <w:rPr>
                <w:rFonts w:ascii="Times New Roman" w:hAnsi="Times New Roman"/>
                <w:sz w:val="18"/>
                <w:szCs w:val="18"/>
              </w:rPr>
              <w:t>work</w:t>
            </w:r>
            <w:r w:rsidR="0051151E" w:rsidRPr="0041705A">
              <w:rPr>
                <w:rFonts w:ascii="Times New Roman" w:hAnsi="Times New Roman"/>
                <w:sz w:val="18"/>
                <w:szCs w:val="18"/>
              </w:rPr>
              <w:t>ing</w:t>
            </w:r>
            <w:r w:rsidRPr="0041705A">
              <w:rPr>
                <w:rFonts w:ascii="Times New Roman" w:hAnsi="Times New Roman"/>
                <w:sz w:val="18"/>
                <w:szCs w:val="18"/>
              </w:rPr>
              <w:t xml:space="preserve"> with </w:t>
            </w:r>
            <w:r w:rsidR="00116DEE" w:rsidRPr="0041705A">
              <w:rPr>
                <w:rFonts w:ascii="Times New Roman" w:hAnsi="Times New Roman"/>
                <w:sz w:val="18"/>
                <w:szCs w:val="18"/>
              </w:rPr>
              <w:t>indigenous and local knowledge</w:t>
            </w:r>
            <w:r w:rsidR="0051151E" w:rsidRPr="0041705A">
              <w:rPr>
                <w:rFonts w:ascii="Times New Roman" w:hAnsi="Times New Roman"/>
                <w:sz w:val="18"/>
                <w:szCs w:val="18"/>
              </w:rPr>
              <w:t xml:space="preserve"> in IPBES</w:t>
            </w:r>
            <w:r w:rsidRPr="0041705A">
              <w:rPr>
                <w:rFonts w:ascii="Times New Roman" w:hAnsi="Times New Roman"/>
                <w:sz w:val="18"/>
                <w:szCs w:val="18"/>
              </w:rPr>
              <w:t xml:space="preserve">, many dialogues involving a broad set of </w:t>
            </w:r>
            <w:r w:rsidR="0051151E" w:rsidRPr="0041705A">
              <w:rPr>
                <w:rFonts w:ascii="Times New Roman" w:hAnsi="Times New Roman"/>
                <w:sz w:val="18"/>
                <w:szCs w:val="18"/>
              </w:rPr>
              <w:t>indigenous peoples and local communities</w:t>
            </w:r>
            <w:r w:rsidR="00116DEE" w:rsidRPr="0041705A">
              <w:rPr>
                <w:rFonts w:ascii="Times New Roman" w:hAnsi="Times New Roman"/>
                <w:sz w:val="18"/>
                <w:szCs w:val="18"/>
              </w:rPr>
              <w:t>.</w:t>
            </w:r>
            <w:r w:rsidRPr="0041705A">
              <w:rPr>
                <w:rFonts w:ascii="Times New Roman" w:hAnsi="Times New Roman"/>
                <w:sz w:val="18"/>
                <w:szCs w:val="18"/>
              </w:rPr>
              <w:t xml:space="preserve"> Based on the experience of the global assessment, methodological guidance for assessment authors on recognizing and working with </w:t>
            </w:r>
            <w:r w:rsidR="00116DEE" w:rsidRPr="0041705A">
              <w:rPr>
                <w:rFonts w:ascii="Times New Roman" w:hAnsi="Times New Roman"/>
                <w:sz w:val="18"/>
                <w:szCs w:val="18"/>
              </w:rPr>
              <w:t>indigenous and local knowledge</w:t>
            </w:r>
            <w:r w:rsidRPr="0041705A">
              <w:rPr>
                <w:rFonts w:ascii="Times New Roman" w:hAnsi="Times New Roman"/>
                <w:sz w:val="18"/>
                <w:szCs w:val="18"/>
              </w:rPr>
              <w:t xml:space="preserve"> in IPBES assessments </w:t>
            </w:r>
            <w:r w:rsidR="00116DEE" w:rsidRPr="0041705A">
              <w:rPr>
                <w:rFonts w:ascii="Times New Roman" w:hAnsi="Times New Roman"/>
                <w:sz w:val="18"/>
                <w:szCs w:val="18"/>
              </w:rPr>
              <w:t>was prepared by the task force on indigenous and local knowledge</w:t>
            </w:r>
            <w:r w:rsidRPr="0041705A">
              <w:rPr>
                <w:rFonts w:ascii="Times New Roman" w:hAnsi="Times New Roman"/>
                <w:sz w:val="18"/>
                <w:szCs w:val="18"/>
              </w:rPr>
              <w:t xml:space="preserve">. </w:t>
            </w:r>
          </w:p>
        </w:tc>
      </w:tr>
      <w:tr w:rsidR="003E4723" w:rsidRPr="003E4723" w14:paraId="477AF567" w14:textId="77777777" w:rsidTr="00575CD6">
        <w:tc>
          <w:tcPr>
            <w:tcW w:w="9504" w:type="dxa"/>
            <w:gridSpan w:val="3"/>
          </w:tcPr>
          <w:p w14:paraId="1A04DC0F"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b/>
                <w:sz w:val="18"/>
                <w:szCs w:val="18"/>
              </w:rPr>
              <w:t>Policy-relevant information</w:t>
            </w:r>
          </w:p>
        </w:tc>
      </w:tr>
      <w:tr w:rsidR="003E4723" w:rsidRPr="003E4723" w14:paraId="3BF20BE3" w14:textId="77777777" w:rsidTr="0041705A">
        <w:tc>
          <w:tcPr>
            <w:tcW w:w="3805" w:type="dxa"/>
          </w:tcPr>
          <w:p w14:paraId="532554F9" w14:textId="5E6E5021"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 xml:space="preserve">To ensure assessments meet the needs of </w:t>
            </w:r>
            <w:r w:rsidR="00592A48" w:rsidRPr="0041705A">
              <w:rPr>
                <w:rFonts w:ascii="Times New Roman" w:hAnsi="Times New Roman"/>
                <w:sz w:val="18"/>
                <w:szCs w:val="18"/>
                <w:lang w:val="en-GB"/>
              </w:rPr>
              <w:t>G</w:t>
            </w:r>
            <w:r w:rsidRPr="0041705A">
              <w:rPr>
                <w:rFonts w:ascii="Times New Roman" w:hAnsi="Times New Roman"/>
                <w:sz w:val="18"/>
                <w:szCs w:val="18"/>
                <w:lang w:val="en-GB"/>
              </w:rPr>
              <w:t xml:space="preserve">overnments and other users, calls for requests for future elements of the second work programme could be complemented by regional dialogue meetings, taking place very early in the process of framing the programme, as a mechanism to discuss future elements of a second work program.  </w:t>
            </w:r>
          </w:p>
        </w:tc>
        <w:tc>
          <w:tcPr>
            <w:tcW w:w="1701" w:type="dxa"/>
          </w:tcPr>
          <w:p w14:paraId="5A39A527"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59</w:t>
            </w:r>
          </w:p>
        </w:tc>
        <w:tc>
          <w:tcPr>
            <w:tcW w:w="3998" w:type="dxa"/>
          </w:tcPr>
          <w:p w14:paraId="7081BB0E" w14:textId="3C3925AA"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This approach </w:t>
            </w:r>
            <w:r w:rsidR="00116DEE" w:rsidRPr="0041705A">
              <w:rPr>
                <w:rFonts w:ascii="Times New Roman" w:hAnsi="Times New Roman"/>
                <w:sz w:val="18"/>
                <w:szCs w:val="18"/>
              </w:rPr>
              <w:t>was</w:t>
            </w:r>
            <w:r w:rsidRPr="0041705A">
              <w:rPr>
                <w:rFonts w:ascii="Times New Roman" w:hAnsi="Times New Roman"/>
                <w:sz w:val="18"/>
                <w:szCs w:val="18"/>
              </w:rPr>
              <w:t xml:space="preserve"> followed with the workshop</w:t>
            </w:r>
            <w:r w:rsidR="0051151E" w:rsidRPr="0041705A">
              <w:rPr>
                <w:rFonts w:ascii="Times New Roman" w:hAnsi="Times New Roman"/>
                <w:sz w:val="18"/>
                <w:szCs w:val="18"/>
              </w:rPr>
              <w:t xml:space="preserve"> for national focal points held in June 2018</w:t>
            </w:r>
            <w:r w:rsidRPr="0041705A">
              <w:rPr>
                <w:rFonts w:ascii="Times New Roman" w:hAnsi="Times New Roman"/>
                <w:sz w:val="18"/>
                <w:szCs w:val="18"/>
              </w:rPr>
              <w:t xml:space="preserve">, whose </w:t>
            </w:r>
            <w:r w:rsidR="0051151E" w:rsidRPr="0041705A">
              <w:rPr>
                <w:rFonts w:ascii="Times New Roman" w:hAnsi="Times New Roman"/>
                <w:sz w:val="18"/>
                <w:szCs w:val="18"/>
              </w:rPr>
              <w:t xml:space="preserve">third </w:t>
            </w:r>
            <w:r w:rsidRPr="0041705A">
              <w:rPr>
                <w:rFonts w:ascii="Times New Roman" w:hAnsi="Times New Roman"/>
                <w:sz w:val="18"/>
                <w:szCs w:val="18"/>
              </w:rPr>
              <w:t xml:space="preserve">objective </w:t>
            </w:r>
            <w:proofErr w:type="gramStart"/>
            <w:r w:rsidR="00116DEE" w:rsidRPr="0041705A">
              <w:rPr>
                <w:rFonts w:ascii="Times New Roman" w:hAnsi="Times New Roman"/>
                <w:sz w:val="18"/>
                <w:szCs w:val="18"/>
              </w:rPr>
              <w:t>was</w:t>
            </w:r>
            <w:r w:rsidRPr="0041705A">
              <w:rPr>
                <w:rFonts w:ascii="Times New Roman" w:hAnsi="Times New Roman"/>
                <w:sz w:val="18"/>
                <w:szCs w:val="18"/>
              </w:rPr>
              <w:t xml:space="preserve"> dedicated to providing</w:t>
            </w:r>
            <w:proofErr w:type="gramEnd"/>
            <w:r w:rsidRPr="0041705A">
              <w:rPr>
                <w:rFonts w:ascii="Times New Roman" w:hAnsi="Times New Roman"/>
                <w:sz w:val="18"/>
                <w:szCs w:val="18"/>
              </w:rPr>
              <w:t xml:space="preserve"> input to the </w:t>
            </w:r>
            <w:r w:rsidR="00116DEE" w:rsidRPr="0041705A">
              <w:rPr>
                <w:rFonts w:ascii="Times New Roman" w:hAnsi="Times New Roman"/>
                <w:sz w:val="18"/>
                <w:szCs w:val="18"/>
              </w:rPr>
              <w:t xml:space="preserve">next IPBES </w:t>
            </w:r>
            <w:r w:rsidRPr="0041705A">
              <w:rPr>
                <w:rFonts w:ascii="Times New Roman" w:hAnsi="Times New Roman"/>
                <w:sz w:val="18"/>
                <w:szCs w:val="18"/>
              </w:rPr>
              <w:t xml:space="preserve">work </w:t>
            </w:r>
            <w:proofErr w:type="spellStart"/>
            <w:r w:rsidRPr="0041705A">
              <w:rPr>
                <w:rFonts w:ascii="Times New Roman" w:hAnsi="Times New Roman"/>
                <w:sz w:val="18"/>
                <w:szCs w:val="18"/>
              </w:rPr>
              <w:t>programme</w:t>
            </w:r>
            <w:proofErr w:type="spellEnd"/>
            <w:r w:rsidRPr="0041705A">
              <w:rPr>
                <w:rFonts w:ascii="Times New Roman" w:hAnsi="Times New Roman"/>
                <w:sz w:val="18"/>
                <w:szCs w:val="18"/>
              </w:rPr>
              <w:t>.</w:t>
            </w:r>
          </w:p>
        </w:tc>
      </w:tr>
      <w:tr w:rsidR="003E4723" w:rsidRPr="003E4723" w14:paraId="51F78B07" w14:textId="77777777" w:rsidTr="0041705A">
        <w:tc>
          <w:tcPr>
            <w:tcW w:w="3805" w:type="dxa"/>
          </w:tcPr>
          <w:p w14:paraId="4FBECA6C" w14:textId="4904F1B5"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 xml:space="preserve">To further ensure assessments are policy relevant, expert scoping meetings should include policy experts from </w:t>
            </w:r>
            <w:r w:rsidR="00592A48" w:rsidRPr="0041705A">
              <w:rPr>
                <w:rFonts w:ascii="Times New Roman" w:hAnsi="Times New Roman"/>
                <w:sz w:val="18"/>
                <w:szCs w:val="18"/>
                <w:lang w:val="en-GB"/>
              </w:rPr>
              <w:t>G</w:t>
            </w:r>
            <w:r w:rsidRPr="0041705A">
              <w:rPr>
                <w:rFonts w:ascii="Times New Roman" w:hAnsi="Times New Roman"/>
                <w:sz w:val="18"/>
                <w:szCs w:val="18"/>
                <w:lang w:val="en-GB"/>
              </w:rPr>
              <w:t>overnments.</w:t>
            </w:r>
          </w:p>
        </w:tc>
        <w:tc>
          <w:tcPr>
            <w:tcW w:w="1701" w:type="dxa"/>
          </w:tcPr>
          <w:p w14:paraId="65686B99"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60</w:t>
            </w:r>
          </w:p>
        </w:tc>
        <w:tc>
          <w:tcPr>
            <w:tcW w:w="3998" w:type="dxa"/>
          </w:tcPr>
          <w:p w14:paraId="71F4A8AB" w14:textId="7766BB01"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The call</w:t>
            </w:r>
            <w:r w:rsidR="00116DEE" w:rsidRPr="0041705A">
              <w:rPr>
                <w:rFonts w:ascii="Times New Roman" w:hAnsi="Times New Roman"/>
                <w:sz w:val="18"/>
                <w:szCs w:val="18"/>
              </w:rPr>
              <w:t>s</w:t>
            </w:r>
            <w:r w:rsidRPr="0041705A">
              <w:rPr>
                <w:rFonts w:ascii="Times New Roman" w:hAnsi="Times New Roman"/>
                <w:sz w:val="18"/>
                <w:szCs w:val="18"/>
              </w:rPr>
              <w:t xml:space="preserve"> for nomination of experts</w:t>
            </w:r>
            <w:r w:rsidR="00116DEE" w:rsidRPr="0041705A">
              <w:rPr>
                <w:rFonts w:ascii="Times New Roman" w:hAnsi="Times New Roman"/>
                <w:sz w:val="18"/>
                <w:szCs w:val="18"/>
              </w:rPr>
              <w:t xml:space="preserve"> issued in 2018</w:t>
            </w:r>
            <w:r w:rsidRPr="0041705A">
              <w:rPr>
                <w:rFonts w:ascii="Times New Roman" w:hAnsi="Times New Roman"/>
                <w:sz w:val="18"/>
                <w:szCs w:val="18"/>
              </w:rPr>
              <w:t xml:space="preserve"> included </w:t>
            </w:r>
            <w:r w:rsidR="00F73013" w:rsidRPr="0041705A">
              <w:rPr>
                <w:rFonts w:ascii="Times New Roman" w:hAnsi="Times New Roman"/>
                <w:sz w:val="18"/>
                <w:szCs w:val="18"/>
              </w:rPr>
              <w:t>a specific request</w:t>
            </w:r>
            <w:r w:rsidRPr="0041705A">
              <w:rPr>
                <w:rFonts w:ascii="Times New Roman" w:hAnsi="Times New Roman"/>
                <w:sz w:val="18"/>
                <w:szCs w:val="18"/>
              </w:rPr>
              <w:t xml:space="preserve"> to nominate policy experts.</w:t>
            </w:r>
            <w:r w:rsidR="00F73013" w:rsidRPr="0041705A">
              <w:rPr>
                <w:rFonts w:ascii="Times New Roman" w:hAnsi="Times New Roman"/>
                <w:sz w:val="18"/>
                <w:szCs w:val="18"/>
              </w:rPr>
              <w:t xml:space="preserve"> Very few were, however, nominated.</w:t>
            </w:r>
          </w:p>
        </w:tc>
      </w:tr>
      <w:tr w:rsidR="003E4723" w:rsidRPr="003E4723" w14:paraId="0C752E30" w14:textId="77777777" w:rsidTr="0041705A">
        <w:tc>
          <w:tcPr>
            <w:tcW w:w="3805" w:type="dxa"/>
          </w:tcPr>
          <w:p w14:paraId="209D5C65" w14:textId="5DB97FEC"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 xml:space="preserve">To further ensure assessments are policy relevant, intersessional regional dialogue meetings could assist </w:t>
            </w:r>
            <w:r w:rsidR="00592A48" w:rsidRPr="0041705A">
              <w:rPr>
                <w:rFonts w:ascii="Times New Roman" w:hAnsi="Times New Roman"/>
                <w:sz w:val="18"/>
                <w:szCs w:val="18"/>
                <w:lang w:val="en-GB"/>
              </w:rPr>
              <w:t>G</w:t>
            </w:r>
            <w:r w:rsidRPr="0041705A">
              <w:rPr>
                <w:rFonts w:ascii="Times New Roman" w:hAnsi="Times New Roman"/>
                <w:sz w:val="18"/>
                <w:szCs w:val="18"/>
                <w:lang w:val="en-GB"/>
              </w:rPr>
              <w:t>overnments in the preparation of peer-review comments.</w:t>
            </w:r>
          </w:p>
        </w:tc>
        <w:tc>
          <w:tcPr>
            <w:tcW w:w="1701" w:type="dxa"/>
          </w:tcPr>
          <w:p w14:paraId="4FEE41CB"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60</w:t>
            </w:r>
          </w:p>
        </w:tc>
        <w:tc>
          <w:tcPr>
            <w:tcW w:w="3998" w:type="dxa"/>
          </w:tcPr>
          <w:p w14:paraId="025EDDF2" w14:textId="306D726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This approach </w:t>
            </w:r>
            <w:r w:rsidR="00116DEE" w:rsidRPr="0041705A">
              <w:rPr>
                <w:rFonts w:ascii="Times New Roman" w:hAnsi="Times New Roman"/>
                <w:sz w:val="18"/>
                <w:szCs w:val="18"/>
              </w:rPr>
              <w:t>wa</w:t>
            </w:r>
            <w:r w:rsidR="0051151E" w:rsidRPr="0041705A">
              <w:rPr>
                <w:rFonts w:ascii="Times New Roman" w:hAnsi="Times New Roman"/>
                <w:sz w:val="18"/>
                <w:szCs w:val="18"/>
              </w:rPr>
              <w:t>s</w:t>
            </w:r>
            <w:r w:rsidRPr="0041705A">
              <w:rPr>
                <w:rFonts w:ascii="Times New Roman" w:hAnsi="Times New Roman"/>
                <w:sz w:val="18"/>
                <w:szCs w:val="18"/>
              </w:rPr>
              <w:t xml:space="preserve"> followed with the </w:t>
            </w:r>
            <w:r w:rsidR="003D79F9" w:rsidRPr="0041705A">
              <w:rPr>
                <w:rFonts w:ascii="Times New Roman" w:hAnsi="Times New Roman"/>
                <w:sz w:val="18"/>
                <w:szCs w:val="18"/>
              </w:rPr>
              <w:t>national focal points</w:t>
            </w:r>
            <w:r w:rsidRPr="0041705A">
              <w:rPr>
                <w:rFonts w:ascii="Times New Roman" w:hAnsi="Times New Roman"/>
                <w:sz w:val="18"/>
                <w:szCs w:val="18"/>
              </w:rPr>
              <w:t xml:space="preserve"> workshop</w:t>
            </w:r>
            <w:r w:rsidR="003D79F9" w:rsidRPr="0041705A">
              <w:rPr>
                <w:rFonts w:ascii="Times New Roman" w:hAnsi="Times New Roman"/>
                <w:sz w:val="18"/>
                <w:szCs w:val="18"/>
              </w:rPr>
              <w:t xml:space="preserve"> held in June 2018</w:t>
            </w:r>
            <w:r w:rsidRPr="0041705A">
              <w:rPr>
                <w:rFonts w:ascii="Times New Roman" w:hAnsi="Times New Roman"/>
                <w:sz w:val="18"/>
                <w:szCs w:val="18"/>
              </w:rPr>
              <w:t xml:space="preserve">, </w:t>
            </w:r>
            <w:r w:rsidR="00F73013" w:rsidRPr="0041705A">
              <w:rPr>
                <w:rFonts w:ascii="Times New Roman" w:hAnsi="Times New Roman"/>
                <w:sz w:val="18"/>
                <w:szCs w:val="18"/>
              </w:rPr>
              <w:t>following up on similar meetings held in 2017 for regional assessments, with the</w:t>
            </w:r>
            <w:r w:rsidR="0051151E" w:rsidRPr="0041705A">
              <w:rPr>
                <w:rFonts w:ascii="Times New Roman" w:hAnsi="Times New Roman"/>
                <w:sz w:val="18"/>
                <w:szCs w:val="18"/>
              </w:rPr>
              <w:t xml:space="preserve"> </w:t>
            </w:r>
            <w:r w:rsidRPr="0041705A">
              <w:rPr>
                <w:rFonts w:ascii="Times New Roman" w:hAnsi="Times New Roman"/>
                <w:sz w:val="18"/>
                <w:szCs w:val="18"/>
              </w:rPr>
              <w:t xml:space="preserve">objective to building the capacity of </w:t>
            </w:r>
            <w:r w:rsidR="00592A48" w:rsidRPr="0041705A">
              <w:rPr>
                <w:rFonts w:ascii="Times New Roman" w:hAnsi="Times New Roman"/>
                <w:sz w:val="18"/>
                <w:szCs w:val="18"/>
              </w:rPr>
              <w:t>G</w:t>
            </w:r>
            <w:r w:rsidRPr="0041705A">
              <w:rPr>
                <w:rFonts w:ascii="Times New Roman" w:hAnsi="Times New Roman"/>
                <w:sz w:val="18"/>
                <w:szCs w:val="18"/>
              </w:rPr>
              <w:t>overnments to provide comments</w:t>
            </w:r>
            <w:r w:rsidR="00F73013" w:rsidRPr="0041705A">
              <w:rPr>
                <w:rFonts w:ascii="Times New Roman" w:hAnsi="Times New Roman"/>
                <w:sz w:val="18"/>
                <w:szCs w:val="18"/>
              </w:rPr>
              <w:t>. This was achieved</w:t>
            </w:r>
            <w:r w:rsidRPr="0041705A">
              <w:rPr>
                <w:rFonts w:ascii="Times New Roman" w:hAnsi="Times New Roman"/>
                <w:sz w:val="18"/>
                <w:szCs w:val="18"/>
              </w:rPr>
              <w:t xml:space="preserve"> by sharing experience in the organization of review processes at the national level and </w:t>
            </w:r>
            <w:r w:rsidR="00F73013" w:rsidRPr="0041705A">
              <w:rPr>
                <w:rFonts w:ascii="Times New Roman" w:hAnsi="Times New Roman"/>
                <w:sz w:val="18"/>
                <w:szCs w:val="18"/>
              </w:rPr>
              <w:t xml:space="preserve">by </w:t>
            </w:r>
            <w:r w:rsidRPr="0041705A">
              <w:rPr>
                <w:rFonts w:ascii="Times New Roman" w:hAnsi="Times New Roman"/>
                <w:sz w:val="18"/>
                <w:szCs w:val="18"/>
              </w:rPr>
              <w:t xml:space="preserve">providing the opportunity for exchange with assessment authors. Similar meetings </w:t>
            </w:r>
            <w:r w:rsidR="00116DEE" w:rsidRPr="0041705A">
              <w:rPr>
                <w:rFonts w:ascii="Times New Roman" w:hAnsi="Times New Roman"/>
                <w:sz w:val="18"/>
                <w:szCs w:val="18"/>
              </w:rPr>
              <w:t>are</w:t>
            </w:r>
            <w:r w:rsidRPr="0041705A">
              <w:rPr>
                <w:rFonts w:ascii="Times New Roman" w:hAnsi="Times New Roman"/>
                <w:sz w:val="18"/>
                <w:szCs w:val="18"/>
              </w:rPr>
              <w:t xml:space="preserve"> envisaged for the review of drafts of currently ongoing assessments</w:t>
            </w:r>
            <w:r w:rsidR="00855C3D" w:rsidRPr="0041705A">
              <w:rPr>
                <w:rFonts w:ascii="Times New Roman" w:hAnsi="Times New Roman"/>
                <w:sz w:val="18"/>
                <w:szCs w:val="18"/>
              </w:rPr>
              <w:t xml:space="preserve">, and for the next IPBES work </w:t>
            </w:r>
            <w:proofErr w:type="spellStart"/>
            <w:r w:rsidR="00855C3D" w:rsidRPr="0041705A">
              <w:rPr>
                <w:rFonts w:ascii="Times New Roman" w:hAnsi="Times New Roman"/>
                <w:sz w:val="18"/>
                <w:szCs w:val="18"/>
              </w:rPr>
              <w:t>programme</w:t>
            </w:r>
            <w:proofErr w:type="spellEnd"/>
            <w:r w:rsidRPr="0041705A">
              <w:rPr>
                <w:rFonts w:ascii="Times New Roman" w:hAnsi="Times New Roman"/>
                <w:sz w:val="18"/>
                <w:szCs w:val="18"/>
              </w:rPr>
              <w:t xml:space="preserve">. </w:t>
            </w:r>
          </w:p>
        </w:tc>
      </w:tr>
      <w:tr w:rsidR="003E4723" w:rsidRPr="003E4723" w14:paraId="143331E7" w14:textId="77777777" w:rsidTr="0041705A">
        <w:tc>
          <w:tcPr>
            <w:tcW w:w="3805" w:type="dxa"/>
          </w:tcPr>
          <w:p w14:paraId="003382F5" w14:textId="7B91DC7F" w:rsidR="003E4723" w:rsidRPr="0041705A" w:rsidRDefault="003E4723" w:rsidP="0041705A">
            <w:pPr>
              <w:spacing w:after="120" w:line="240" w:lineRule="auto"/>
              <w:rPr>
                <w:rFonts w:ascii="Times New Roman" w:hAnsi="Times New Roman"/>
                <w:sz w:val="18"/>
                <w:szCs w:val="18"/>
                <w:lang w:val="en-GB"/>
              </w:rPr>
            </w:pPr>
            <w:r w:rsidRPr="0041705A">
              <w:rPr>
                <w:rFonts w:ascii="Times New Roman" w:hAnsi="Times New Roman"/>
                <w:sz w:val="18"/>
                <w:szCs w:val="18"/>
                <w:lang w:val="en-GB"/>
              </w:rPr>
              <w:t>Processes to track the policy impact of assessments could be further developed.</w:t>
            </w:r>
          </w:p>
        </w:tc>
        <w:tc>
          <w:tcPr>
            <w:tcW w:w="1701" w:type="dxa"/>
          </w:tcPr>
          <w:p w14:paraId="53339898"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61</w:t>
            </w:r>
          </w:p>
        </w:tc>
        <w:tc>
          <w:tcPr>
            <w:tcW w:w="3998" w:type="dxa"/>
          </w:tcPr>
          <w:p w14:paraId="7D71DCDE" w14:textId="598A51EB"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The secretariat releas</w:t>
            </w:r>
            <w:r w:rsidR="00116DEE" w:rsidRPr="0041705A">
              <w:rPr>
                <w:rFonts w:ascii="Times New Roman" w:hAnsi="Times New Roman"/>
                <w:sz w:val="18"/>
                <w:szCs w:val="18"/>
              </w:rPr>
              <w:t>ed</w:t>
            </w:r>
            <w:r w:rsidRPr="0041705A">
              <w:rPr>
                <w:rFonts w:ascii="Times New Roman" w:hAnsi="Times New Roman"/>
                <w:sz w:val="18"/>
                <w:szCs w:val="18"/>
              </w:rPr>
              <w:t xml:space="preserve"> on its web site a</w:t>
            </w:r>
            <w:r w:rsidR="006A649E" w:rsidRPr="0041705A">
              <w:rPr>
                <w:rFonts w:ascii="Times New Roman" w:hAnsi="Times New Roman"/>
                <w:sz w:val="18"/>
                <w:szCs w:val="18"/>
              </w:rPr>
              <w:t>n online</w:t>
            </w:r>
            <w:r w:rsidRPr="0041705A">
              <w:rPr>
                <w:rFonts w:ascii="Times New Roman" w:hAnsi="Times New Roman"/>
                <w:sz w:val="18"/>
                <w:szCs w:val="18"/>
              </w:rPr>
              <w:t xml:space="preserve"> tool called TRACK, which </w:t>
            </w:r>
            <w:r w:rsidR="00855C3D" w:rsidRPr="0041705A">
              <w:rPr>
                <w:rFonts w:ascii="Times New Roman" w:hAnsi="Times New Roman"/>
                <w:sz w:val="18"/>
                <w:szCs w:val="18"/>
              </w:rPr>
              <w:t xml:space="preserve">invites </w:t>
            </w:r>
            <w:r w:rsidRPr="0041705A">
              <w:rPr>
                <w:rFonts w:ascii="Times New Roman" w:hAnsi="Times New Roman"/>
                <w:sz w:val="18"/>
                <w:szCs w:val="18"/>
              </w:rPr>
              <w:t xml:space="preserve">all </w:t>
            </w:r>
            <w:r w:rsidR="00592A48" w:rsidRPr="0041705A">
              <w:rPr>
                <w:rFonts w:ascii="Times New Roman" w:hAnsi="Times New Roman"/>
                <w:sz w:val="18"/>
                <w:szCs w:val="18"/>
              </w:rPr>
              <w:t>G</w:t>
            </w:r>
            <w:r w:rsidRPr="0041705A">
              <w:rPr>
                <w:rFonts w:ascii="Times New Roman" w:hAnsi="Times New Roman"/>
                <w:sz w:val="18"/>
                <w:szCs w:val="18"/>
              </w:rPr>
              <w:t>overnments and stakeholders to list new</w:t>
            </w:r>
            <w:r w:rsidR="006A649E" w:rsidRPr="0041705A">
              <w:rPr>
                <w:rFonts w:ascii="Times New Roman" w:hAnsi="Times New Roman"/>
                <w:sz w:val="18"/>
                <w:szCs w:val="18"/>
              </w:rPr>
              <w:t xml:space="preserve"> or </w:t>
            </w:r>
            <w:r w:rsidR="00855C3D" w:rsidRPr="0041705A">
              <w:rPr>
                <w:rFonts w:ascii="Times New Roman" w:hAnsi="Times New Roman"/>
                <w:sz w:val="18"/>
                <w:szCs w:val="18"/>
              </w:rPr>
              <w:t xml:space="preserve">revised </w:t>
            </w:r>
            <w:r w:rsidRPr="0041705A">
              <w:rPr>
                <w:rFonts w:ascii="Times New Roman" w:hAnsi="Times New Roman"/>
                <w:sz w:val="18"/>
                <w:szCs w:val="18"/>
              </w:rPr>
              <w:t>projects, laws, decisions or any initiative having benefited from an IPBES assessment</w:t>
            </w:r>
            <w:r w:rsidR="007A0074" w:rsidRPr="0041705A">
              <w:rPr>
                <w:rFonts w:ascii="Times New Roman" w:hAnsi="Times New Roman"/>
                <w:sz w:val="18"/>
                <w:szCs w:val="18"/>
              </w:rPr>
              <w:t xml:space="preserve"> or other </w:t>
            </w:r>
            <w:r w:rsidR="00855C3D" w:rsidRPr="0041705A">
              <w:rPr>
                <w:rFonts w:ascii="Times New Roman" w:hAnsi="Times New Roman"/>
                <w:sz w:val="18"/>
                <w:szCs w:val="18"/>
              </w:rPr>
              <w:t xml:space="preserve">IPBES </w:t>
            </w:r>
            <w:r w:rsidR="007A0074" w:rsidRPr="0041705A">
              <w:rPr>
                <w:rFonts w:ascii="Times New Roman" w:hAnsi="Times New Roman"/>
                <w:sz w:val="18"/>
                <w:szCs w:val="18"/>
              </w:rPr>
              <w:t xml:space="preserve">work </w:t>
            </w:r>
            <w:proofErr w:type="spellStart"/>
            <w:r w:rsidR="007A0074" w:rsidRPr="0041705A">
              <w:rPr>
                <w:rFonts w:ascii="Times New Roman" w:hAnsi="Times New Roman"/>
                <w:sz w:val="18"/>
                <w:szCs w:val="18"/>
              </w:rPr>
              <w:t>programme</w:t>
            </w:r>
            <w:proofErr w:type="spellEnd"/>
            <w:r w:rsidR="007A0074" w:rsidRPr="0041705A">
              <w:rPr>
                <w:rFonts w:ascii="Times New Roman" w:hAnsi="Times New Roman"/>
                <w:sz w:val="18"/>
                <w:szCs w:val="18"/>
              </w:rPr>
              <w:t xml:space="preserve"> output</w:t>
            </w:r>
            <w:r w:rsidRPr="0041705A">
              <w:rPr>
                <w:rFonts w:ascii="Times New Roman" w:hAnsi="Times New Roman"/>
                <w:sz w:val="18"/>
                <w:szCs w:val="18"/>
              </w:rPr>
              <w:t>.</w:t>
            </w:r>
          </w:p>
        </w:tc>
      </w:tr>
      <w:tr w:rsidR="00575CD6" w:rsidRPr="003E4723" w14:paraId="0F1EFE0C" w14:textId="77777777" w:rsidTr="00575CD6">
        <w:tc>
          <w:tcPr>
            <w:tcW w:w="9504" w:type="dxa"/>
            <w:gridSpan w:val="3"/>
          </w:tcPr>
          <w:p w14:paraId="51784C96" w14:textId="5189F8B4" w:rsidR="00575CD6" w:rsidRPr="0041705A" w:rsidRDefault="00575CD6" w:rsidP="0041705A">
            <w:pPr>
              <w:spacing w:after="120" w:line="240" w:lineRule="auto"/>
              <w:rPr>
                <w:rFonts w:ascii="Times New Roman" w:hAnsi="Times New Roman"/>
                <w:sz w:val="18"/>
                <w:szCs w:val="18"/>
              </w:rPr>
            </w:pPr>
            <w:r w:rsidRPr="0041705A">
              <w:rPr>
                <w:rFonts w:ascii="Times New Roman" w:hAnsi="Times New Roman"/>
                <w:b/>
                <w:sz w:val="18"/>
                <w:szCs w:val="18"/>
              </w:rPr>
              <w:t>Communication</w:t>
            </w:r>
          </w:p>
        </w:tc>
      </w:tr>
      <w:tr w:rsidR="003E4723" w:rsidRPr="003E4723" w14:paraId="5562AB9E" w14:textId="77777777" w:rsidTr="0041705A">
        <w:tc>
          <w:tcPr>
            <w:tcW w:w="3805" w:type="dxa"/>
          </w:tcPr>
          <w:p w14:paraId="3304C6E3" w14:textId="2E451E3E"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Where possible, the use of communication materials in languages other than English could be increased</w:t>
            </w:r>
            <w:r w:rsidR="00BC50E0" w:rsidRPr="0041705A">
              <w:rPr>
                <w:rFonts w:ascii="Times New Roman" w:hAnsi="Times New Roman"/>
                <w:sz w:val="18"/>
                <w:szCs w:val="18"/>
              </w:rPr>
              <w:t>.</w:t>
            </w:r>
          </w:p>
        </w:tc>
        <w:tc>
          <w:tcPr>
            <w:tcW w:w="1701" w:type="dxa"/>
          </w:tcPr>
          <w:p w14:paraId="594EB29A" w14:textId="77777777"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91</w:t>
            </w:r>
          </w:p>
        </w:tc>
        <w:tc>
          <w:tcPr>
            <w:tcW w:w="3998" w:type="dxa"/>
          </w:tcPr>
          <w:p w14:paraId="3B26AA5E" w14:textId="1C2C1615" w:rsidR="003E4723" w:rsidRPr="0041705A" w:rsidRDefault="003E4723" w:rsidP="0041705A">
            <w:pPr>
              <w:spacing w:after="120" w:line="240" w:lineRule="auto"/>
              <w:rPr>
                <w:rFonts w:ascii="Times New Roman" w:hAnsi="Times New Roman"/>
                <w:sz w:val="18"/>
                <w:szCs w:val="18"/>
              </w:rPr>
            </w:pPr>
            <w:r w:rsidRPr="0041705A">
              <w:rPr>
                <w:rFonts w:ascii="Times New Roman" w:hAnsi="Times New Roman"/>
                <w:sz w:val="18"/>
                <w:szCs w:val="18"/>
              </w:rPr>
              <w:t xml:space="preserve">The secretariat piloted in 2017 a number of multilingual outreach products and messages in all six official languages of the United Nations (brochure, </w:t>
            </w:r>
            <w:r w:rsidR="007A0074" w:rsidRPr="0041705A">
              <w:rPr>
                <w:rFonts w:ascii="Times New Roman" w:hAnsi="Times New Roman"/>
                <w:sz w:val="18"/>
                <w:szCs w:val="18"/>
              </w:rPr>
              <w:t xml:space="preserve">subtitled </w:t>
            </w:r>
            <w:r w:rsidRPr="0041705A">
              <w:rPr>
                <w:rFonts w:ascii="Times New Roman" w:hAnsi="Times New Roman"/>
                <w:sz w:val="18"/>
                <w:szCs w:val="18"/>
              </w:rPr>
              <w:t>outreach videos</w:t>
            </w:r>
            <w:r w:rsidR="007A0074" w:rsidRPr="0041705A">
              <w:rPr>
                <w:rFonts w:ascii="Times New Roman" w:hAnsi="Times New Roman"/>
                <w:sz w:val="18"/>
                <w:szCs w:val="18"/>
              </w:rPr>
              <w:t>,</w:t>
            </w:r>
            <w:r w:rsidRPr="0041705A">
              <w:rPr>
                <w:rFonts w:ascii="Times New Roman" w:hAnsi="Times New Roman"/>
                <w:sz w:val="18"/>
                <w:szCs w:val="18"/>
              </w:rPr>
              <w:t xml:space="preserve"> IPBES message ‘primers’</w:t>
            </w:r>
            <w:r w:rsidR="00116DEE" w:rsidRPr="0041705A">
              <w:rPr>
                <w:rFonts w:ascii="Times New Roman" w:hAnsi="Times New Roman"/>
                <w:sz w:val="18"/>
                <w:szCs w:val="18"/>
              </w:rPr>
              <w:t>)</w:t>
            </w:r>
            <w:r w:rsidRPr="0041705A">
              <w:rPr>
                <w:rFonts w:ascii="Times New Roman" w:hAnsi="Times New Roman"/>
                <w:sz w:val="18"/>
                <w:szCs w:val="18"/>
              </w:rPr>
              <w:t>. This commitment to multilingualism in communications and outreach continu</w:t>
            </w:r>
            <w:r w:rsidR="00116DEE" w:rsidRPr="0041705A">
              <w:rPr>
                <w:rFonts w:ascii="Times New Roman" w:hAnsi="Times New Roman"/>
                <w:sz w:val="18"/>
                <w:szCs w:val="18"/>
              </w:rPr>
              <w:t>ed</w:t>
            </w:r>
            <w:r w:rsidRPr="0041705A">
              <w:rPr>
                <w:rFonts w:ascii="Times New Roman" w:hAnsi="Times New Roman"/>
                <w:sz w:val="18"/>
                <w:szCs w:val="18"/>
              </w:rPr>
              <w:t xml:space="preserve"> in 2018. </w:t>
            </w:r>
          </w:p>
        </w:tc>
      </w:tr>
    </w:tbl>
    <w:p w14:paraId="6CDBD186" w14:textId="58ECD85A" w:rsidR="0041705A" w:rsidRDefault="0041705A" w:rsidP="0041705A">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1823F3" w14:paraId="1C245A26" w14:textId="77777777" w:rsidTr="001823F3">
        <w:tc>
          <w:tcPr>
            <w:tcW w:w="1899" w:type="dxa"/>
            <w:tcMar>
              <w:top w:w="28" w:type="dxa"/>
              <w:bottom w:w="28" w:type="dxa"/>
            </w:tcMar>
          </w:tcPr>
          <w:p w14:paraId="21737837" w14:textId="35DFFC38" w:rsidR="001823F3" w:rsidRDefault="001823F3">
            <w:pPr>
              <w:pStyle w:val="Normal-pool"/>
            </w:pPr>
          </w:p>
        </w:tc>
        <w:tc>
          <w:tcPr>
            <w:tcW w:w="1898" w:type="dxa"/>
            <w:tcMar>
              <w:top w:w="28" w:type="dxa"/>
              <w:bottom w:w="28" w:type="dxa"/>
            </w:tcMar>
          </w:tcPr>
          <w:p w14:paraId="65D79B83" w14:textId="77777777" w:rsidR="001823F3" w:rsidRDefault="001823F3">
            <w:pPr>
              <w:pStyle w:val="Normal-pool"/>
            </w:pPr>
          </w:p>
        </w:tc>
        <w:tc>
          <w:tcPr>
            <w:tcW w:w="1899" w:type="dxa"/>
            <w:tcBorders>
              <w:top w:val="nil"/>
              <w:left w:val="nil"/>
              <w:bottom w:val="single" w:sz="4" w:space="0" w:color="auto"/>
              <w:right w:val="nil"/>
            </w:tcBorders>
            <w:tcMar>
              <w:top w:w="28" w:type="dxa"/>
              <w:bottom w:w="28" w:type="dxa"/>
            </w:tcMar>
          </w:tcPr>
          <w:p w14:paraId="1B75E003" w14:textId="77777777" w:rsidR="001823F3" w:rsidRDefault="001823F3">
            <w:pPr>
              <w:pStyle w:val="Normal-pool"/>
              <w:spacing w:before="520"/>
            </w:pPr>
          </w:p>
        </w:tc>
        <w:tc>
          <w:tcPr>
            <w:tcW w:w="1900" w:type="dxa"/>
            <w:tcMar>
              <w:top w:w="28" w:type="dxa"/>
              <w:bottom w:w="28" w:type="dxa"/>
            </w:tcMar>
          </w:tcPr>
          <w:p w14:paraId="141F8A64" w14:textId="77777777" w:rsidR="001823F3" w:rsidRDefault="001823F3">
            <w:pPr>
              <w:pStyle w:val="Normal-pool"/>
            </w:pPr>
          </w:p>
        </w:tc>
        <w:tc>
          <w:tcPr>
            <w:tcW w:w="1900" w:type="dxa"/>
            <w:tcMar>
              <w:top w:w="28" w:type="dxa"/>
              <w:bottom w:w="28" w:type="dxa"/>
            </w:tcMar>
          </w:tcPr>
          <w:p w14:paraId="190CD3C1" w14:textId="77777777" w:rsidR="001823F3" w:rsidRDefault="001823F3">
            <w:pPr>
              <w:pStyle w:val="Normal-pool"/>
            </w:pPr>
          </w:p>
        </w:tc>
      </w:tr>
    </w:tbl>
    <w:p w14:paraId="39A31EC6" w14:textId="77777777" w:rsidR="001823F3" w:rsidRPr="00DA0DF7" w:rsidRDefault="001823F3" w:rsidP="001823F3">
      <w:pPr>
        <w:pStyle w:val="Normal-pool"/>
        <w:spacing w:line="20" w:lineRule="exact"/>
        <w:rPr>
          <w:sz w:val="4"/>
          <w:szCs w:val="4"/>
          <w:lang w:val="en-US" w:eastAsia="ja-JP"/>
        </w:rPr>
      </w:pPr>
    </w:p>
    <w:p w14:paraId="2347FEAD" w14:textId="77777777" w:rsidR="00396929" w:rsidRPr="0041705A" w:rsidRDefault="00396929" w:rsidP="0041705A">
      <w:pPr>
        <w:pStyle w:val="Normal-pool"/>
      </w:pPr>
    </w:p>
    <w:sectPr w:rsidR="00396929" w:rsidRPr="0041705A" w:rsidSect="00435E90">
      <w:headerReference w:type="even" r:id="rId15"/>
      <w:headerReference w:type="default" r:id="rId16"/>
      <w:footerReference w:type="even" r:id="rId17"/>
      <w:footerReference w:type="defaul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CC9C" w14:textId="77777777" w:rsidR="00C7591E" w:rsidRDefault="00C7591E">
      <w:r>
        <w:separator/>
      </w:r>
    </w:p>
  </w:endnote>
  <w:endnote w:type="continuationSeparator" w:id="0">
    <w:p w14:paraId="7A48760F" w14:textId="77777777" w:rsidR="00C7591E" w:rsidRDefault="00C7591E">
      <w:r>
        <w:continuationSeparator/>
      </w:r>
    </w:p>
  </w:endnote>
  <w:endnote w:type="continuationNotice" w:id="1">
    <w:p w14:paraId="3FDB581B" w14:textId="77777777" w:rsidR="00C7591E" w:rsidRDefault="00C75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219579"/>
      <w:docPartObj>
        <w:docPartGallery w:val="Page Numbers (Bottom of Page)"/>
        <w:docPartUnique/>
      </w:docPartObj>
    </w:sdtPr>
    <w:sdtEndPr>
      <w:rPr>
        <w:noProof/>
      </w:rPr>
    </w:sdtEndPr>
    <w:sdtContent>
      <w:p w14:paraId="58127A61" w14:textId="59F1FBAF" w:rsidR="00E17B76" w:rsidRPr="0041705A" w:rsidRDefault="00E17B76" w:rsidP="00435E90">
        <w:pPr>
          <w:pStyle w:val="Footer-pool"/>
        </w:pPr>
        <w:r w:rsidRPr="00E17B76">
          <w:fldChar w:fldCharType="begin"/>
        </w:r>
        <w:r w:rsidRPr="00E17B76">
          <w:instrText xml:space="preserve"> PAGE   \* MERGEFORMAT </w:instrText>
        </w:r>
        <w:r w:rsidRPr="00E17B76">
          <w:fldChar w:fldCharType="separate"/>
        </w:r>
        <w:r w:rsidR="00435E90">
          <w:rPr>
            <w:noProof/>
          </w:rPr>
          <w:t>4</w:t>
        </w:r>
        <w:r w:rsidRPr="00E17B7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743966"/>
      <w:docPartObj>
        <w:docPartGallery w:val="Page Numbers (Bottom of Page)"/>
        <w:docPartUnique/>
      </w:docPartObj>
    </w:sdtPr>
    <w:sdtEndPr>
      <w:rPr>
        <w:noProof/>
      </w:rPr>
    </w:sdtEndPr>
    <w:sdtContent>
      <w:p w14:paraId="43F9DF6E" w14:textId="502B65A5" w:rsidR="00334BAB" w:rsidRPr="0041705A" w:rsidRDefault="00E17B76" w:rsidP="00435E90">
        <w:pPr>
          <w:pStyle w:val="Footer-pool"/>
          <w:jc w:val="right"/>
        </w:pPr>
        <w:r w:rsidRPr="00E17B76">
          <w:fldChar w:fldCharType="begin"/>
        </w:r>
        <w:r w:rsidRPr="00E17B76">
          <w:instrText xml:space="preserve"> PAGE   \* MERGEFORMAT </w:instrText>
        </w:r>
        <w:r w:rsidRPr="00E17B76">
          <w:fldChar w:fldCharType="separate"/>
        </w:r>
        <w:r w:rsidR="00435E90">
          <w:rPr>
            <w:noProof/>
          </w:rPr>
          <w:t>5</w:t>
        </w:r>
        <w:r w:rsidRPr="00E17B7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76F7" w14:textId="659BB4EA" w:rsidR="0041705A" w:rsidRDefault="0041705A" w:rsidP="0041705A">
    <w:pPr>
      <w:pStyle w:val="Normal-pool"/>
    </w:pPr>
    <w:r>
      <w:t>K</w:t>
    </w:r>
    <w:r w:rsidR="00435E90">
      <w:t>1900584</w:t>
    </w:r>
    <w:r w:rsidR="00435E90">
      <w:tab/>
      <w:t>12</w:t>
    </w:r>
    <w: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C50A" w14:textId="77777777" w:rsidR="00C7591E" w:rsidRPr="00435E90" w:rsidRDefault="00C7591E" w:rsidP="00435E90">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435E90">
        <w:rPr>
          <w:sz w:val="18"/>
          <w:szCs w:val="18"/>
        </w:rPr>
        <w:separator/>
      </w:r>
    </w:p>
  </w:footnote>
  <w:footnote w:type="continuationSeparator" w:id="0">
    <w:p w14:paraId="0622859D" w14:textId="77777777" w:rsidR="00C7591E" w:rsidRDefault="00C7591E">
      <w:r>
        <w:continuationSeparator/>
      </w:r>
    </w:p>
  </w:footnote>
  <w:footnote w:type="continuationNotice" w:id="1">
    <w:p w14:paraId="5F481CBC" w14:textId="77777777" w:rsidR="00C7591E" w:rsidRDefault="00C7591E">
      <w:pPr>
        <w:spacing w:after="0" w:line="240" w:lineRule="auto"/>
      </w:pPr>
    </w:p>
  </w:footnote>
  <w:footnote w:id="2">
    <w:p w14:paraId="76D7E19B" w14:textId="6069CC92" w:rsidR="00056FD8" w:rsidRDefault="00056FD8" w:rsidP="00435E90">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E37727">
        <w:rPr>
          <w:rStyle w:val="FootnoteReference"/>
          <w:sz w:val="18"/>
          <w:vertAlign w:val="baseline"/>
        </w:rPr>
        <w:t>*</w:t>
      </w:r>
      <w:r>
        <w:rPr>
          <w:sz w:val="18"/>
          <w:szCs w:val="18"/>
        </w:rPr>
        <w:t xml:space="preserve"> IPBES/7/1</w:t>
      </w:r>
      <w:r w:rsidR="00B40523">
        <w:rPr>
          <w:sz w:val="18"/>
          <w:szCs w:val="18"/>
          <w:lang w:val="en-US"/>
        </w:rPr>
        <w:t>/</w:t>
      </w:r>
      <w:r w:rsidR="00B40523">
        <w:rPr>
          <w:sz w:val="18"/>
          <w:szCs w:val="18"/>
        </w:rPr>
        <w:t>Rev.1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3FDEFAFE" w:rsidR="00056FD8" w:rsidRPr="00CB426D" w:rsidRDefault="00056FD8" w:rsidP="00CB426D">
    <w:pPr>
      <w:pStyle w:val="Header"/>
      <w:tabs>
        <w:tab w:val="left" w:pos="624"/>
      </w:tabs>
      <w:rPr>
        <w:rFonts w:ascii="Times New Roman" w:eastAsiaTheme="minorEastAsia" w:hAnsi="Times New Roman"/>
        <w:szCs w:val="18"/>
        <w:lang w:val="en-GB"/>
      </w:rPr>
    </w:pPr>
    <w:r>
      <w:rPr>
        <w:rFonts w:ascii="Times New Roman" w:hAnsi="Times New Roman"/>
        <w:szCs w:val="18"/>
      </w:rPr>
      <w:t>I</w:t>
    </w:r>
    <w:r w:rsidR="00504857">
      <w:rPr>
        <w:rFonts w:ascii="Times New Roman" w:hAnsi="Times New Roman"/>
        <w:szCs w:val="18"/>
      </w:rPr>
      <w:t>PBES/7</w:t>
    </w:r>
    <w:r>
      <w:rPr>
        <w:rFonts w:ascii="Times New Roman" w:hAnsi="Times New Roman"/>
        <w:szCs w:val="18"/>
      </w:rPr>
      <w:t>/INF/</w:t>
    </w:r>
    <w:r w:rsidR="00101931">
      <w:rPr>
        <w:rFonts w:ascii="Times New Roman" w:hAnsi="Times New Roman"/>
        <w:szCs w:val="18"/>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5400FDC0" w:rsidR="00056FD8" w:rsidRPr="00CB426D" w:rsidRDefault="00101931"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FC4"/>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166C70C2"/>
    <w:lvl w:ilvl="0" w:tplc="A5D44548">
      <w:start w:val="1"/>
      <w:numFmt w:val="decimal"/>
      <w:lvlText w:val="%1."/>
      <w:lvlJc w:val="left"/>
      <w:pPr>
        <w:ind w:left="162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24C43D5A"/>
    <w:multiLevelType w:val="hybridMultilevel"/>
    <w:tmpl w:val="C3C86930"/>
    <w:lvl w:ilvl="0" w:tplc="EAFE9C00">
      <w:start w:val="1"/>
      <w:numFmt w:val="lowerLetter"/>
      <w:lvlText w:val="(%1)"/>
      <w:lvlJc w:val="left"/>
      <w:pPr>
        <w:ind w:left="2327" w:hanging="360"/>
      </w:pPr>
    </w:lvl>
    <w:lvl w:ilvl="1" w:tplc="EAFE9C00">
      <w:start w:val="1"/>
      <w:numFmt w:val="lowerLetter"/>
      <w:lvlText w:val="(%2)"/>
      <w:lvlJc w:val="left"/>
      <w:pPr>
        <w:ind w:left="3047" w:hanging="360"/>
      </w:pPr>
    </w:lvl>
    <w:lvl w:ilvl="2" w:tplc="0809001B">
      <w:start w:val="1"/>
      <w:numFmt w:val="lowerRoman"/>
      <w:lvlText w:val="%3."/>
      <w:lvlJc w:val="right"/>
      <w:pPr>
        <w:ind w:left="3767" w:hanging="180"/>
      </w:pPr>
    </w:lvl>
    <w:lvl w:ilvl="3" w:tplc="0809000F">
      <w:start w:val="1"/>
      <w:numFmt w:val="decimal"/>
      <w:lvlText w:val="%4."/>
      <w:lvlJc w:val="left"/>
      <w:pPr>
        <w:ind w:left="4487" w:hanging="360"/>
      </w:pPr>
    </w:lvl>
    <w:lvl w:ilvl="4" w:tplc="08090019">
      <w:start w:val="1"/>
      <w:numFmt w:val="lowerLetter"/>
      <w:lvlText w:val="%5."/>
      <w:lvlJc w:val="left"/>
      <w:pPr>
        <w:ind w:left="5207" w:hanging="360"/>
      </w:pPr>
    </w:lvl>
    <w:lvl w:ilvl="5" w:tplc="0809001B">
      <w:start w:val="1"/>
      <w:numFmt w:val="lowerRoman"/>
      <w:lvlText w:val="%6."/>
      <w:lvlJc w:val="right"/>
      <w:pPr>
        <w:ind w:left="5927" w:hanging="180"/>
      </w:pPr>
    </w:lvl>
    <w:lvl w:ilvl="6" w:tplc="0809000F">
      <w:start w:val="1"/>
      <w:numFmt w:val="decimal"/>
      <w:lvlText w:val="%7."/>
      <w:lvlJc w:val="left"/>
      <w:pPr>
        <w:ind w:left="6647" w:hanging="360"/>
      </w:pPr>
    </w:lvl>
    <w:lvl w:ilvl="7" w:tplc="08090019">
      <w:start w:val="1"/>
      <w:numFmt w:val="lowerLetter"/>
      <w:lvlText w:val="%8."/>
      <w:lvlJc w:val="left"/>
      <w:pPr>
        <w:ind w:left="7367" w:hanging="360"/>
      </w:pPr>
    </w:lvl>
    <w:lvl w:ilvl="8" w:tplc="0809001B">
      <w:start w:val="1"/>
      <w:numFmt w:val="lowerRoman"/>
      <w:lvlText w:val="%9."/>
      <w:lvlJc w:val="right"/>
      <w:pPr>
        <w:ind w:left="8087" w:hanging="180"/>
      </w:pPr>
    </w:lvl>
  </w:abstractNum>
  <w:abstractNum w:abstractNumId="5" w15:restartNumberingAfterBreak="0">
    <w:nsid w:val="35361886"/>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A4929CF"/>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8" w15:restartNumberingAfterBreak="0">
    <w:nsid w:val="507F6BD0"/>
    <w:multiLevelType w:val="hybridMultilevel"/>
    <w:tmpl w:val="C4B604C0"/>
    <w:lvl w:ilvl="0" w:tplc="A72E2362">
      <w:start w:val="1"/>
      <w:numFmt w:val="lowerRoman"/>
      <w:lvlText w:val="(%1)"/>
      <w:lvlJc w:val="right"/>
      <w:pPr>
        <w:ind w:left="720" w:hanging="360"/>
      </w:pPr>
    </w:lvl>
    <w:lvl w:ilvl="1" w:tplc="08090019">
      <w:start w:val="1"/>
      <w:numFmt w:val="lowerLetter"/>
      <w:lvlText w:val="%2."/>
      <w:lvlJc w:val="left"/>
      <w:pPr>
        <w:ind w:left="1440" w:hanging="360"/>
      </w:pPr>
    </w:lvl>
    <w:lvl w:ilvl="2" w:tplc="A72E2362">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542C6DFB"/>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1" w15:restartNumberingAfterBreak="0">
    <w:nsid w:val="54A50FFA"/>
    <w:multiLevelType w:val="hybridMultilevel"/>
    <w:tmpl w:val="64A0E9DE"/>
    <w:lvl w:ilvl="0" w:tplc="DB8E93B8">
      <w:start w:val="1"/>
      <w:numFmt w:val="decimal"/>
      <w:lvlText w:val="%1."/>
      <w:lvlJc w:val="left"/>
      <w:pPr>
        <w:ind w:left="16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B2D1F29"/>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3" w15:restartNumberingAfterBreak="0">
    <w:nsid w:val="5E2E5C15"/>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4" w15:restartNumberingAfterBreak="0">
    <w:nsid w:val="7A4D24C8"/>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num w:numId="1">
    <w:abstractNumId w:val="9"/>
  </w:num>
  <w:num w:numId="2">
    <w:abstractNumId w:val="2"/>
  </w:num>
  <w:num w:numId="3">
    <w:abstractNumId w:val="6"/>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5E55"/>
    <w:rsid w:val="00026997"/>
    <w:rsid w:val="00033E0B"/>
    <w:rsid w:val="00035EDE"/>
    <w:rsid w:val="000509B4"/>
    <w:rsid w:val="00056FD8"/>
    <w:rsid w:val="0006035B"/>
    <w:rsid w:val="00065148"/>
    <w:rsid w:val="00071886"/>
    <w:rsid w:val="000742BC"/>
    <w:rsid w:val="00082A0C"/>
    <w:rsid w:val="00082FCD"/>
    <w:rsid w:val="00083504"/>
    <w:rsid w:val="00086BAF"/>
    <w:rsid w:val="0009640C"/>
    <w:rsid w:val="000A146D"/>
    <w:rsid w:val="000B22A2"/>
    <w:rsid w:val="000C2A52"/>
    <w:rsid w:val="000D0316"/>
    <w:rsid w:val="000D33C0"/>
    <w:rsid w:val="000D463E"/>
    <w:rsid w:val="000D6941"/>
    <w:rsid w:val="00101931"/>
    <w:rsid w:val="00102CDD"/>
    <w:rsid w:val="00116DEE"/>
    <w:rsid w:val="001202E3"/>
    <w:rsid w:val="00123699"/>
    <w:rsid w:val="00130063"/>
    <w:rsid w:val="0013059D"/>
    <w:rsid w:val="0013088E"/>
    <w:rsid w:val="00141A55"/>
    <w:rsid w:val="001446A3"/>
    <w:rsid w:val="00155395"/>
    <w:rsid w:val="00160D74"/>
    <w:rsid w:val="00167D02"/>
    <w:rsid w:val="00181EC8"/>
    <w:rsid w:val="001823F3"/>
    <w:rsid w:val="00184349"/>
    <w:rsid w:val="00195F33"/>
    <w:rsid w:val="001A1536"/>
    <w:rsid w:val="001A55F5"/>
    <w:rsid w:val="001A6FD1"/>
    <w:rsid w:val="001B1617"/>
    <w:rsid w:val="001B504B"/>
    <w:rsid w:val="001D3874"/>
    <w:rsid w:val="001D7E75"/>
    <w:rsid w:val="001E56D2"/>
    <w:rsid w:val="001E7D56"/>
    <w:rsid w:val="001F75DE"/>
    <w:rsid w:val="00200D58"/>
    <w:rsid w:val="002013BE"/>
    <w:rsid w:val="002030D2"/>
    <w:rsid w:val="002063A4"/>
    <w:rsid w:val="0021145B"/>
    <w:rsid w:val="002172AB"/>
    <w:rsid w:val="002277B9"/>
    <w:rsid w:val="00237E98"/>
    <w:rsid w:val="00243D36"/>
    <w:rsid w:val="00247707"/>
    <w:rsid w:val="00254AF3"/>
    <w:rsid w:val="0026018E"/>
    <w:rsid w:val="0026199B"/>
    <w:rsid w:val="0027671F"/>
    <w:rsid w:val="00286740"/>
    <w:rsid w:val="002874CC"/>
    <w:rsid w:val="002929D8"/>
    <w:rsid w:val="002A237D"/>
    <w:rsid w:val="002A4C53"/>
    <w:rsid w:val="002B0672"/>
    <w:rsid w:val="002B247F"/>
    <w:rsid w:val="002B27F6"/>
    <w:rsid w:val="002C0328"/>
    <w:rsid w:val="002C1316"/>
    <w:rsid w:val="002C145D"/>
    <w:rsid w:val="002C2C3E"/>
    <w:rsid w:val="002C533E"/>
    <w:rsid w:val="002D027F"/>
    <w:rsid w:val="002D19FE"/>
    <w:rsid w:val="002D7A85"/>
    <w:rsid w:val="002D7B60"/>
    <w:rsid w:val="002E2371"/>
    <w:rsid w:val="002F4761"/>
    <w:rsid w:val="002F5C79"/>
    <w:rsid w:val="003019E2"/>
    <w:rsid w:val="00303337"/>
    <w:rsid w:val="003054E4"/>
    <w:rsid w:val="00306862"/>
    <w:rsid w:val="0031413F"/>
    <w:rsid w:val="003148BB"/>
    <w:rsid w:val="00317976"/>
    <w:rsid w:val="00331F81"/>
    <w:rsid w:val="00334BAB"/>
    <w:rsid w:val="00355EA9"/>
    <w:rsid w:val="003578DE"/>
    <w:rsid w:val="00365846"/>
    <w:rsid w:val="00396257"/>
    <w:rsid w:val="00396929"/>
    <w:rsid w:val="00397EB8"/>
    <w:rsid w:val="003A4FD0"/>
    <w:rsid w:val="003A69D1"/>
    <w:rsid w:val="003A7705"/>
    <w:rsid w:val="003A77F1"/>
    <w:rsid w:val="003B1545"/>
    <w:rsid w:val="003C409D"/>
    <w:rsid w:val="003C5BA6"/>
    <w:rsid w:val="003C5E38"/>
    <w:rsid w:val="003C6ABD"/>
    <w:rsid w:val="003D79F9"/>
    <w:rsid w:val="003E4723"/>
    <w:rsid w:val="003F0E85"/>
    <w:rsid w:val="0041056E"/>
    <w:rsid w:val="00410C55"/>
    <w:rsid w:val="00416854"/>
    <w:rsid w:val="0041705A"/>
    <w:rsid w:val="00417725"/>
    <w:rsid w:val="00431FDA"/>
    <w:rsid w:val="00435E90"/>
    <w:rsid w:val="00437F26"/>
    <w:rsid w:val="00444097"/>
    <w:rsid w:val="00445487"/>
    <w:rsid w:val="00454769"/>
    <w:rsid w:val="00466101"/>
    <w:rsid w:val="00466991"/>
    <w:rsid w:val="0047064C"/>
    <w:rsid w:val="00471270"/>
    <w:rsid w:val="004A1E5F"/>
    <w:rsid w:val="004A345B"/>
    <w:rsid w:val="004A42E1"/>
    <w:rsid w:val="004B162C"/>
    <w:rsid w:val="004C3DBE"/>
    <w:rsid w:val="004C5C96"/>
    <w:rsid w:val="004D06A4"/>
    <w:rsid w:val="004F1A81"/>
    <w:rsid w:val="00504857"/>
    <w:rsid w:val="0051151E"/>
    <w:rsid w:val="0051220F"/>
    <w:rsid w:val="005218D9"/>
    <w:rsid w:val="0052620F"/>
    <w:rsid w:val="00536186"/>
    <w:rsid w:val="00541C17"/>
    <w:rsid w:val="00544CBB"/>
    <w:rsid w:val="0057315F"/>
    <w:rsid w:val="00575CD6"/>
    <w:rsid w:val="00576104"/>
    <w:rsid w:val="00592A48"/>
    <w:rsid w:val="005A1727"/>
    <w:rsid w:val="005C67C8"/>
    <w:rsid w:val="005D010D"/>
    <w:rsid w:val="005D0249"/>
    <w:rsid w:val="005D6E8C"/>
    <w:rsid w:val="005E775D"/>
    <w:rsid w:val="005F06C5"/>
    <w:rsid w:val="005F100C"/>
    <w:rsid w:val="005F68DA"/>
    <w:rsid w:val="0060773B"/>
    <w:rsid w:val="006157B5"/>
    <w:rsid w:val="006254B9"/>
    <w:rsid w:val="00626FC6"/>
    <w:rsid w:val="006303B4"/>
    <w:rsid w:val="00632246"/>
    <w:rsid w:val="00633D3D"/>
    <w:rsid w:val="00641703"/>
    <w:rsid w:val="006431A6"/>
    <w:rsid w:val="006459F6"/>
    <w:rsid w:val="00646F3F"/>
    <w:rsid w:val="006501AD"/>
    <w:rsid w:val="00651BFA"/>
    <w:rsid w:val="00654475"/>
    <w:rsid w:val="00661A50"/>
    <w:rsid w:val="00665A4B"/>
    <w:rsid w:val="00674D0B"/>
    <w:rsid w:val="00676210"/>
    <w:rsid w:val="00692E2A"/>
    <w:rsid w:val="006A649E"/>
    <w:rsid w:val="006A76F2"/>
    <w:rsid w:val="006B74F5"/>
    <w:rsid w:val="006C10B1"/>
    <w:rsid w:val="006D66CD"/>
    <w:rsid w:val="006D7EFB"/>
    <w:rsid w:val="006E6672"/>
    <w:rsid w:val="006E6722"/>
    <w:rsid w:val="006F0656"/>
    <w:rsid w:val="007027B9"/>
    <w:rsid w:val="00715E88"/>
    <w:rsid w:val="00722846"/>
    <w:rsid w:val="00734CAA"/>
    <w:rsid w:val="007476C3"/>
    <w:rsid w:val="007538EE"/>
    <w:rsid w:val="0075533C"/>
    <w:rsid w:val="00757581"/>
    <w:rsid w:val="007575D6"/>
    <w:rsid w:val="00757DF9"/>
    <w:rsid w:val="007611A0"/>
    <w:rsid w:val="00764A22"/>
    <w:rsid w:val="007814B0"/>
    <w:rsid w:val="00796D3F"/>
    <w:rsid w:val="007A0074"/>
    <w:rsid w:val="007A1683"/>
    <w:rsid w:val="007A5C12"/>
    <w:rsid w:val="007A7CB0"/>
    <w:rsid w:val="007B68A3"/>
    <w:rsid w:val="007C2541"/>
    <w:rsid w:val="007C71BC"/>
    <w:rsid w:val="007D66A8"/>
    <w:rsid w:val="007E003F"/>
    <w:rsid w:val="007E0C3C"/>
    <w:rsid w:val="007E0F8D"/>
    <w:rsid w:val="0081058C"/>
    <w:rsid w:val="008164F2"/>
    <w:rsid w:val="0081770D"/>
    <w:rsid w:val="00820D21"/>
    <w:rsid w:val="00821395"/>
    <w:rsid w:val="00830E26"/>
    <w:rsid w:val="00843576"/>
    <w:rsid w:val="00843B64"/>
    <w:rsid w:val="008478FC"/>
    <w:rsid w:val="008520C8"/>
    <w:rsid w:val="00855C3D"/>
    <w:rsid w:val="00867BFF"/>
    <w:rsid w:val="0088480A"/>
    <w:rsid w:val="0088757A"/>
    <w:rsid w:val="008957DD"/>
    <w:rsid w:val="00897D98"/>
    <w:rsid w:val="008A6DF2"/>
    <w:rsid w:val="008A7807"/>
    <w:rsid w:val="008B4CC9"/>
    <w:rsid w:val="008D4E28"/>
    <w:rsid w:val="008D5601"/>
    <w:rsid w:val="008D7C99"/>
    <w:rsid w:val="008E0FCB"/>
    <w:rsid w:val="009114B4"/>
    <w:rsid w:val="0092178C"/>
    <w:rsid w:val="00930B88"/>
    <w:rsid w:val="00940A34"/>
    <w:rsid w:val="00940DCC"/>
    <w:rsid w:val="0094179A"/>
    <w:rsid w:val="0094459E"/>
    <w:rsid w:val="00944DBC"/>
    <w:rsid w:val="00950977"/>
    <w:rsid w:val="00951A7B"/>
    <w:rsid w:val="009564A6"/>
    <w:rsid w:val="0095661A"/>
    <w:rsid w:val="00957706"/>
    <w:rsid w:val="00967621"/>
    <w:rsid w:val="00967E6A"/>
    <w:rsid w:val="00986B35"/>
    <w:rsid w:val="0098781D"/>
    <w:rsid w:val="00993D12"/>
    <w:rsid w:val="009B4A0F"/>
    <w:rsid w:val="009C11D2"/>
    <w:rsid w:val="009C6C70"/>
    <w:rsid w:val="009D0B63"/>
    <w:rsid w:val="009E307E"/>
    <w:rsid w:val="00A07870"/>
    <w:rsid w:val="00A07F19"/>
    <w:rsid w:val="00A1348D"/>
    <w:rsid w:val="00A16DD3"/>
    <w:rsid w:val="00A232EE"/>
    <w:rsid w:val="00A36A80"/>
    <w:rsid w:val="00A378D4"/>
    <w:rsid w:val="00A4175F"/>
    <w:rsid w:val="00A44411"/>
    <w:rsid w:val="00A469FA"/>
    <w:rsid w:val="00A475C7"/>
    <w:rsid w:val="00A55B01"/>
    <w:rsid w:val="00A56B5B"/>
    <w:rsid w:val="00A603FF"/>
    <w:rsid w:val="00A60D1F"/>
    <w:rsid w:val="00A61BD8"/>
    <w:rsid w:val="00A653CB"/>
    <w:rsid w:val="00A657DD"/>
    <w:rsid w:val="00A666A6"/>
    <w:rsid w:val="00A675FD"/>
    <w:rsid w:val="00A72437"/>
    <w:rsid w:val="00A72851"/>
    <w:rsid w:val="00A73C3E"/>
    <w:rsid w:val="00A80611"/>
    <w:rsid w:val="00A901DA"/>
    <w:rsid w:val="00A94B6F"/>
    <w:rsid w:val="00AA4707"/>
    <w:rsid w:val="00AA5CB4"/>
    <w:rsid w:val="00AB5340"/>
    <w:rsid w:val="00AC0A89"/>
    <w:rsid w:val="00AC7C96"/>
    <w:rsid w:val="00AE237D"/>
    <w:rsid w:val="00AE502A"/>
    <w:rsid w:val="00AF7C07"/>
    <w:rsid w:val="00B1147B"/>
    <w:rsid w:val="00B126F8"/>
    <w:rsid w:val="00B22C93"/>
    <w:rsid w:val="00B24E15"/>
    <w:rsid w:val="00B27589"/>
    <w:rsid w:val="00B40523"/>
    <w:rsid w:val="00B405B7"/>
    <w:rsid w:val="00B52222"/>
    <w:rsid w:val="00B54FE7"/>
    <w:rsid w:val="00B61D82"/>
    <w:rsid w:val="00B66901"/>
    <w:rsid w:val="00B71216"/>
    <w:rsid w:val="00B71E6D"/>
    <w:rsid w:val="00B72070"/>
    <w:rsid w:val="00B779E1"/>
    <w:rsid w:val="00B86535"/>
    <w:rsid w:val="00B91EE1"/>
    <w:rsid w:val="00BA0090"/>
    <w:rsid w:val="00BA04E5"/>
    <w:rsid w:val="00BA1A67"/>
    <w:rsid w:val="00BC50E0"/>
    <w:rsid w:val="00BC5A5C"/>
    <w:rsid w:val="00BD339B"/>
    <w:rsid w:val="00BD416F"/>
    <w:rsid w:val="00BE5B5F"/>
    <w:rsid w:val="00BF6C7B"/>
    <w:rsid w:val="00C2380A"/>
    <w:rsid w:val="00C26F55"/>
    <w:rsid w:val="00C309C6"/>
    <w:rsid w:val="00C30C63"/>
    <w:rsid w:val="00C36B8B"/>
    <w:rsid w:val="00C415C1"/>
    <w:rsid w:val="00C458E8"/>
    <w:rsid w:val="00C459DD"/>
    <w:rsid w:val="00C47DBF"/>
    <w:rsid w:val="00C552FF"/>
    <w:rsid w:val="00C558DA"/>
    <w:rsid w:val="00C55AF3"/>
    <w:rsid w:val="00C73B3F"/>
    <w:rsid w:val="00C7591E"/>
    <w:rsid w:val="00C84759"/>
    <w:rsid w:val="00C85B7D"/>
    <w:rsid w:val="00CA22CD"/>
    <w:rsid w:val="00CA6C7F"/>
    <w:rsid w:val="00CB426D"/>
    <w:rsid w:val="00CC10A6"/>
    <w:rsid w:val="00CD1D54"/>
    <w:rsid w:val="00CD5EB8"/>
    <w:rsid w:val="00CD7044"/>
    <w:rsid w:val="00CE08B9"/>
    <w:rsid w:val="00CE404F"/>
    <w:rsid w:val="00CE524C"/>
    <w:rsid w:val="00CF141F"/>
    <w:rsid w:val="00CF4777"/>
    <w:rsid w:val="00CF5930"/>
    <w:rsid w:val="00D067BB"/>
    <w:rsid w:val="00D07148"/>
    <w:rsid w:val="00D1352A"/>
    <w:rsid w:val="00D13D35"/>
    <w:rsid w:val="00D169AF"/>
    <w:rsid w:val="00D23330"/>
    <w:rsid w:val="00D25249"/>
    <w:rsid w:val="00D359AF"/>
    <w:rsid w:val="00D44172"/>
    <w:rsid w:val="00D5373E"/>
    <w:rsid w:val="00D53DA4"/>
    <w:rsid w:val="00D63B8C"/>
    <w:rsid w:val="00D739CC"/>
    <w:rsid w:val="00D8093D"/>
    <w:rsid w:val="00D8108C"/>
    <w:rsid w:val="00D842AE"/>
    <w:rsid w:val="00D9211C"/>
    <w:rsid w:val="00D92DE0"/>
    <w:rsid w:val="00D92FEF"/>
    <w:rsid w:val="00D93A0F"/>
    <w:rsid w:val="00D93BFF"/>
    <w:rsid w:val="00DA0DF7"/>
    <w:rsid w:val="00DA1BCA"/>
    <w:rsid w:val="00DA3EA9"/>
    <w:rsid w:val="00DB7FB9"/>
    <w:rsid w:val="00DC1A57"/>
    <w:rsid w:val="00DC46FF"/>
    <w:rsid w:val="00DC5254"/>
    <w:rsid w:val="00DD1A4F"/>
    <w:rsid w:val="00DD3107"/>
    <w:rsid w:val="00DD7C2C"/>
    <w:rsid w:val="00DF17EE"/>
    <w:rsid w:val="00DF1E4C"/>
    <w:rsid w:val="00DF228D"/>
    <w:rsid w:val="00E058C1"/>
    <w:rsid w:val="00E06797"/>
    <w:rsid w:val="00E07703"/>
    <w:rsid w:val="00E1265B"/>
    <w:rsid w:val="00E13B48"/>
    <w:rsid w:val="00E1404F"/>
    <w:rsid w:val="00E17B76"/>
    <w:rsid w:val="00E20BD0"/>
    <w:rsid w:val="00E21C83"/>
    <w:rsid w:val="00E24ADA"/>
    <w:rsid w:val="00E27D48"/>
    <w:rsid w:val="00E32F59"/>
    <w:rsid w:val="00E41A2B"/>
    <w:rsid w:val="00E46D9A"/>
    <w:rsid w:val="00E507F3"/>
    <w:rsid w:val="00E565FF"/>
    <w:rsid w:val="00E6359E"/>
    <w:rsid w:val="00E65388"/>
    <w:rsid w:val="00E85B7D"/>
    <w:rsid w:val="00E9121B"/>
    <w:rsid w:val="00E92894"/>
    <w:rsid w:val="00EA0AE2"/>
    <w:rsid w:val="00EA39E5"/>
    <w:rsid w:val="00EC5A46"/>
    <w:rsid w:val="00EC63E2"/>
    <w:rsid w:val="00EE1806"/>
    <w:rsid w:val="00EF22B3"/>
    <w:rsid w:val="00F03B69"/>
    <w:rsid w:val="00F07A50"/>
    <w:rsid w:val="00F113DA"/>
    <w:rsid w:val="00F277EB"/>
    <w:rsid w:val="00F37DC8"/>
    <w:rsid w:val="00F439B3"/>
    <w:rsid w:val="00F56735"/>
    <w:rsid w:val="00F61341"/>
    <w:rsid w:val="00F650C3"/>
    <w:rsid w:val="00F65D85"/>
    <w:rsid w:val="00F73013"/>
    <w:rsid w:val="00F8091E"/>
    <w:rsid w:val="00F8615C"/>
    <w:rsid w:val="00F874E0"/>
    <w:rsid w:val="00F937CB"/>
    <w:rsid w:val="00F969E5"/>
    <w:rsid w:val="00FA6BB0"/>
    <w:rsid w:val="00FC0D95"/>
    <w:rsid w:val="00FD3B75"/>
    <w:rsid w:val="00FD5860"/>
    <w:rsid w:val="00FD7A9F"/>
    <w:rsid w:val="00FE352D"/>
    <w:rsid w:val="00FE40EB"/>
    <w:rsid w:val="00FE4D02"/>
    <w:rsid w:val="00FE574D"/>
    <w:rsid w:val="00FE7D62"/>
    <w:rsid w:val="00FF049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86BAF"/>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9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table" w:customStyle="1" w:styleId="TableGrid1">
    <w:name w:val="Table Grid1"/>
    <w:basedOn w:val="TableNormal"/>
    <w:next w:val="TableGrid"/>
    <w:uiPriority w:val="59"/>
    <w:rsid w:val="003E472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
    <w:name w:val="Normal_list1"/>
    <w:basedOn w:val="NoList"/>
    <w:rsid w:val="003E4723"/>
  </w:style>
  <w:style w:type="paragraph" w:styleId="Revision">
    <w:name w:val="Revision"/>
    <w:hidden/>
    <w:uiPriority w:val="99"/>
    <w:semiHidden/>
    <w:rsid w:val="00E058C1"/>
    <w:rPr>
      <w:rFonts w:ascii="Calibri" w:eastAsia="MS Mincho" w:hAnsi="Calibri"/>
      <w:sz w:val="22"/>
      <w:szCs w:val="22"/>
      <w:lang w:val="en-US" w:eastAsia="en-US"/>
    </w:rPr>
  </w:style>
  <w:style w:type="character" w:customStyle="1" w:styleId="FooterChar">
    <w:name w:val="Footer Char"/>
    <w:basedOn w:val="DefaultParagraphFont"/>
    <w:link w:val="Footer"/>
    <w:uiPriority w:val="99"/>
    <w:rsid w:val="00E17B76"/>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535145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bes.net/sites/default/files/em_2018_06_rev.1_call_experts_ts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2961-067E-429E-8FD9-6AA2DA9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2019-03-12T19:06:00Z</cp:lastPrinted>
  <dcterms:created xsi:type="dcterms:W3CDTF">2019-03-13T18:06:00Z</dcterms:created>
  <dcterms:modified xsi:type="dcterms:W3CDTF">2019-03-13T18:06:00Z</dcterms:modified>
</cp:coreProperties>
</file>