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8C52E5" w14:paraId="37CA1D58" w14:textId="77777777" w:rsidTr="001546CE">
        <w:trPr>
          <w:cantSplit/>
          <w:trHeight w:val="1079"/>
          <w:jc w:val="right"/>
        </w:trPr>
        <w:tc>
          <w:tcPr>
            <w:tcW w:w="1489" w:type="dxa"/>
          </w:tcPr>
          <w:p w14:paraId="15AFB66E" w14:textId="59FB30E3" w:rsidR="00396929" w:rsidRPr="008C52E5" w:rsidRDefault="004E2A49" w:rsidP="00B268EF">
            <w:pPr>
              <w:pStyle w:val="Normal-pool"/>
              <w:rPr>
                <w:rFonts w:ascii="Arial" w:hAnsi="Arial" w:cs="Arial"/>
                <w:b/>
                <w:sz w:val="27"/>
                <w:szCs w:val="27"/>
                <w:lang w:val="fr-FR"/>
              </w:rPr>
            </w:pPr>
            <w:bookmarkStart w:id="0" w:name="_GoBack"/>
            <w:bookmarkEnd w:id="0"/>
            <w:r w:rsidRPr="008C52E5">
              <w:rPr>
                <w:rFonts w:ascii="Arial" w:hAnsi="Arial" w:cs="Arial"/>
                <w:b/>
                <w:noProof/>
                <w:sz w:val="27"/>
                <w:szCs w:val="27"/>
                <w:lang w:val="fr-FR"/>
              </w:rPr>
              <w:t>NATIONS</w:t>
            </w:r>
            <w:r w:rsidR="00396929" w:rsidRPr="008C52E5">
              <w:rPr>
                <w:rFonts w:ascii="Arial" w:hAnsi="Arial" w:cs="Arial"/>
                <w:b/>
                <w:noProof/>
                <w:sz w:val="27"/>
                <w:szCs w:val="27"/>
                <w:lang w:val="fr-FR"/>
              </w:rPr>
              <w:t xml:space="preserve"> </w:t>
            </w:r>
            <w:r w:rsidR="00396929" w:rsidRPr="008C52E5">
              <w:rPr>
                <w:rFonts w:ascii="Arial" w:hAnsi="Arial" w:cs="Arial"/>
                <w:b/>
                <w:noProof/>
                <w:sz w:val="27"/>
                <w:szCs w:val="27"/>
                <w:lang w:val="fr-FR"/>
              </w:rPr>
              <w:br/>
            </w:r>
            <w:r w:rsidRPr="008C52E5">
              <w:rPr>
                <w:rFonts w:ascii="Arial" w:hAnsi="Arial" w:cs="Arial"/>
                <w:b/>
                <w:noProof/>
                <w:sz w:val="27"/>
                <w:szCs w:val="27"/>
                <w:lang w:val="fr-FR"/>
              </w:rPr>
              <w:t>UNIES</w:t>
            </w:r>
          </w:p>
        </w:tc>
        <w:tc>
          <w:tcPr>
            <w:tcW w:w="972" w:type="dxa"/>
            <w:gridSpan w:val="2"/>
            <w:tcBorders>
              <w:left w:val="nil"/>
            </w:tcBorders>
            <w:vAlign w:val="center"/>
          </w:tcPr>
          <w:p w14:paraId="10F66A23" w14:textId="77777777" w:rsidR="00396929" w:rsidRPr="008C52E5" w:rsidRDefault="00396929" w:rsidP="00B268EF">
            <w:pPr>
              <w:pStyle w:val="Normal-pool"/>
              <w:ind w:left="-108"/>
              <w:jc w:val="both"/>
              <w:rPr>
                <w:lang w:val="fr-FR"/>
              </w:rPr>
            </w:pPr>
            <w:r w:rsidRPr="008C52E5">
              <w:rPr>
                <w:noProof/>
                <w:lang w:val="fr-FR" w:eastAsia="fr-FR"/>
              </w:rPr>
              <w:drawing>
                <wp:inline distT="0" distB="0" distL="0" distR="0" wp14:anchorId="2C235A66" wp14:editId="634FB6B2">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34" w:type="dxa"/>
            <w:tcBorders>
              <w:left w:val="nil"/>
            </w:tcBorders>
            <w:vAlign w:val="center"/>
          </w:tcPr>
          <w:p w14:paraId="585281D4" w14:textId="380D087D" w:rsidR="00396929" w:rsidRPr="008C52E5" w:rsidRDefault="004E2A49" w:rsidP="00B268EF">
            <w:pPr>
              <w:pStyle w:val="Normal-pool"/>
              <w:ind w:left="-108"/>
              <w:rPr>
                <w:lang w:val="fr-FR"/>
              </w:rPr>
            </w:pPr>
            <w:r w:rsidRPr="008C52E5">
              <w:rPr>
                <w:noProof/>
                <w:lang w:val="fr-FR" w:eastAsia="fr-FR"/>
              </w:rPr>
              <w:drawing>
                <wp:inline distT="0" distB="0" distL="0" distR="0" wp14:anchorId="670B7D79" wp14:editId="3ED97189">
                  <wp:extent cx="362710" cy="4788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71" w:type="dxa"/>
            <w:tcBorders>
              <w:left w:val="nil"/>
            </w:tcBorders>
            <w:vAlign w:val="center"/>
          </w:tcPr>
          <w:p w14:paraId="704B75EF" w14:textId="77777777" w:rsidR="00396929" w:rsidRPr="008C52E5" w:rsidRDefault="00396929" w:rsidP="00B268EF">
            <w:pPr>
              <w:pStyle w:val="Normal-pool"/>
              <w:ind w:left="-108"/>
              <w:rPr>
                <w:lang w:val="fr-FR"/>
              </w:rPr>
            </w:pPr>
            <w:r w:rsidRPr="008C52E5">
              <w:rPr>
                <w:noProof/>
                <w:lang w:val="fr-FR" w:eastAsia="fr-FR"/>
              </w:rPr>
              <w:drawing>
                <wp:inline distT="0" distB="0" distL="0" distR="0" wp14:anchorId="28AC0A5C" wp14:editId="6B163706">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350" w:type="dxa"/>
            <w:tcBorders>
              <w:left w:val="nil"/>
            </w:tcBorders>
            <w:vAlign w:val="center"/>
          </w:tcPr>
          <w:p w14:paraId="19F83C73" w14:textId="59E1230E" w:rsidR="00396929" w:rsidRPr="008C52E5" w:rsidRDefault="004E2A49" w:rsidP="00B268EF">
            <w:pPr>
              <w:pStyle w:val="Normal-pool"/>
              <w:ind w:left="-108"/>
              <w:rPr>
                <w:lang w:val="fr-FR"/>
              </w:rPr>
            </w:pPr>
            <w:r w:rsidRPr="008C52E5">
              <w:rPr>
                <w:noProof/>
                <w:lang w:val="fr-FR" w:eastAsia="fr-FR"/>
              </w:rPr>
              <w:drawing>
                <wp:inline distT="0" distB="0" distL="0" distR="0" wp14:anchorId="2D0AC92C" wp14:editId="5F68A465">
                  <wp:extent cx="1485900" cy="354871"/>
                  <wp:effectExtent l="0" t="0" r="0" b="7620"/>
                  <wp:docPr id="6"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3529" cy="371023"/>
                          </a:xfrm>
                          <a:prstGeom prst="rect">
                            <a:avLst/>
                          </a:prstGeom>
                          <a:noFill/>
                          <a:ln>
                            <a:noFill/>
                          </a:ln>
                        </pic:spPr>
                      </pic:pic>
                    </a:graphicData>
                  </a:graphic>
                </wp:inline>
              </w:drawing>
            </w:r>
          </w:p>
        </w:tc>
        <w:tc>
          <w:tcPr>
            <w:tcW w:w="695" w:type="dxa"/>
            <w:tcBorders>
              <w:left w:val="nil"/>
              <w:right w:val="nil"/>
            </w:tcBorders>
          </w:tcPr>
          <w:p w14:paraId="6333CD89" w14:textId="4ABBEB6D" w:rsidR="00396929" w:rsidRPr="008C52E5" w:rsidRDefault="004E2A49" w:rsidP="00B268EF">
            <w:pPr>
              <w:pStyle w:val="Normal-pool"/>
              <w:rPr>
                <w:lang w:val="fr-FR"/>
              </w:rPr>
            </w:pPr>
            <w:r w:rsidRPr="008C52E5">
              <w:rPr>
                <w:noProof/>
                <w:lang w:val="fr-FR" w:eastAsia="fr-FR"/>
              </w:rPr>
              <w:drawing>
                <wp:inline distT="0" distB="0" distL="0" distR="0" wp14:anchorId="26439003" wp14:editId="08F88DA6">
                  <wp:extent cx="327617" cy="63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558" w:type="dxa"/>
            <w:tcBorders>
              <w:left w:val="nil"/>
            </w:tcBorders>
            <w:vAlign w:val="center"/>
          </w:tcPr>
          <w:p w14:paraId="5560DEBB" w14:textId="77777777" w:rsidR="00396929" w:rsidRPr="008C52E5" w:rsidRDefault="00396929" w:rsidP="00B268EF">
            <w:pPr>
              <w:pStyle w:val="Normal-pool"/>
              <w:rPr>
                <w:lang w:val="fr-FR"/>
              </w:rPr>
            </w:pPr>
          </w:p>
        </w:tc>
        <w:tc>
          <w:tcPr>
            <w:tcW w:w="1627" w:type="dxa"/>
          </w:tcPr>
          <w:p w14:paraId="004D7D3C" w14:textId="77777777" w:rsidR="00396929" w:rsidRPr="008C52E5" w:rsidRDefault="00396929" w:rsidP="005C34BE">
            <w:pPr>
              <w:pStyle w:val="Normal-pool"/>
              <w:jc w:val="right"/>
              <w:rPr>
                <w:rFonts w:ascii="Arial" w:hAnsi="Arial" w:cs="Arial"/>
                <w:b/>
                <w:sz w:val="64"/>
                <w:szCs w:val="64"/>
                <w:lang w:val="fr-FR"/>
              </w:rPr>
            </w:pPr>
            <w:r w:rsidRPr="008C52E5">
              <w:rPr>
                <w:rFonts w:ascii="Arial" w:hAnsi="Arial" w:cs="Arial"/>
                <w:b/>
                <w:sz w:val="64"/>
                <w:szCs w:val="64"/>
                <w:lang w:val="fr-FR"/>
              </w:rPr>
              <w:t>BES</w:t>
            </w:r>
          </w:p>
        </w:tc>
      </w:tr>
      <w:tr w:rsidR="00396929" w:rsidRPr="008C52E5" w14:paraId="3D37D50F" w14:textId="77777777" w:rsidTr="001546CE">
        <w:trPr>
          <w:cantSplit/>
          <w:trHeight w:val="282"/>
          <w:jc w:val="right"/>
        </w:trPr>
        <w:tc>
          <w:tcPr>
            <w:tcW w:w="1489" w:type="dxa"/>
            <w:tcBorders>
              <w:bottom w:val="single" w:sz="2" w:space="0" w:color="auto"/>
            </w:tcBorders>
          </w:tcPr>
          <w:p w14:paraId="5FD49BCD" w14:textId="77777777" w:rsidR="00396929" w:rsidRPr="008C52E5" w:rsidRDefault="00396929" w:rsidP="00B268EF">
            <w:pPr>
              <w:pStyle w:val="Normal-pool"/>
              <w:rPr>
                <w:noProof/>
                <w:lang w:val="fr-FR"/>
              </w:rPr>
            </w:pPr>
          </w:p>
        </w:tc>
        <w:tc>
          <w:tcPr>
            <w:tcW w:w="5822" w:type="dxa"/>
            <w:gridSpan w:val="6"/>
            <w:tcBorders>
              <w:bottom w:val="single" w:sz="2" w:space="0" w:color="auto"/>
            </w:tcBorders>
          </w:tcPr>
          <w:p w14:paraId="7A69DFBC" w14:textId="77777777" w:rsidR="00396929" w:rsidRPr="008C52E5" w:rsidRDefault="00396929" w:rsidP="00B268EF">
            <w:pPr>
              <w:pStyle w:val="Normal-pool"/>
              <w:rPr>
                <w:sz w:val="24"/>
                <w:szCs w:val="24"/>
                <w:lang w:val="fr-FR"/>
              </w:rPr>
            </w:pPr>
          </w:p>
        </w:tc>
        <w:tc>
          <w:tcPr>
            <w:tcW w:w="2185" w:type="dxa"/>
            <w:gridSpan w:val="2"/>
            <w:tcBorders>
              <w:bottom w:val="single" w:sz="2" w:space="0" w:color="auto"/>
            </w:tcBorders>
          </w:tcPr>
          <w:p w14:paraId="4AB92E73" w14:textId="77777777" w:rsidR="00396929" w:rsidRPr="008C52E5" w:rsidRDefault="00396929" w:rsidP="00B268EF">
            <w:pPr>
              <w:pStyle w:val="Normal-pool"/>
              <w:rPr>
                <w:sz w:val="24"/>
                <w:szCs w:val="24"/>
                <w:lang w:val="fr-FR"/>
              </w:rPr>
            </w:pPr>
            <w:r w:rsidRPr="008C52E5">
              <w:rPr>
                <w:b/>
                <w:sz w:val="24"/>
                <w:szCs w:val="24"/>
                <w:lang w:val="fr-FR"/>
              </w:rPr>
              <w:t>IPBES</w:t>
            </w:r>
            <w:r w:rsidRPr="008C52E5">
              <w:rPr>
                <w:lang w:val="fr-FR"/>
              </w:rPr>
              <w:t>/</w:t>
            </w:r>
            <w:r w:rsidR="005F06C5" w:rsidRPr="008C52E5">
              <w:rPr>
                <w:lang w:val="fr-FR"/>
              </w:rPr>
              <w:t>7</w:t>
            </w:r>
            <w:r w:rsidRPr="008C52E5">
              <w:rPr>
                <w:lang w:val="fr-FR"/>
              </w:rPr>
              <w:t>/</w:t>
            </w:r>
            <w:r w:rsidR="00D205D1" w:rsidRPr="008C52E5">
              <w:rPr>
                <w:lang w:val="fr-FR"/>
              </w:rPr>
              <w:t>6</w:t>
            </w:r>
            <w:r w:rsidR="00E43DFA" w:rsidRPr="008C52E5">
              <w:rPr>
                <w:lang w:val="fr-FR"/>
              </w:rPr>
              <w:t>/Add.2</w:t>
            </w:r>
          </w:p>
        </w:tc>
      </w:tr>
      <w:tr w:rsidR="00396929" w:rsidRPr="0082513F" w14:paraId="29446C91" w14:textId="77777777" w:rsidTr="001546CE">
        <w:trPr>
          <w:cantSplit/>
          <w:trHeight w:val="1433"/>
          <w:jc w:val="right"/>
        </w:trPr>
        <w:tc>
          <w:tcPr>
            <w:tcW w:w="1963" w:type="dxa"/>
            <w:gridSpan w:val="2"/>
            <w:tcBorders>
              <w:top w:val="single" w:sz="2" w:space="0" w:color="auto"/>
              <w:bottom w:val="single" w:sz="24" w:space="0" w:color="auto"/>
            </w:tcBorders>
          </w:tcPr>
          <w:p w14:paraId="21F56DC7" w14:textId="77777777" w:rsidR="00396929" w:rsidRPr="008C52E5" w:rsidRDefault="00396929" w:rsidP="00B268EF">
            <w:pPr>
              <w:pStyle w:val="Normal-pool"/>
              <w:spacing w:before="240" w:after="240"/>
              <w:rPr>
                <w:sz w:val="28"/>
                <w:szCs w:val="28"/>
                <w:lang w:val="fr-FR"/>
              </w:rPr>
            </w:pPr>
            <w:r w:rsidRPr="008C52E5">
              <w:rPr>
                <w:noProof/>
                <w:sz w:val="28"/>
                <w:szCs w:val="28"/>
                <w:lang w:val="fr-FR" w:eastAsia="fr-FR"/>
              </w:rPr>
              <w:drawing>
                <wp:inline distT="0" distB="0" distL="0" distR="0" wp14:anchorId="36815F8D" wp14:editId="1C3B723A">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gridSpan w:val="5"/>
            <w:tcBorders>
              <w:top w:val="single" w:sz="2" w:space="0" w:color="auto"/>
              <w:bottom w:val="single" w:sz="24" w:space="0" w:color="auto"/>
            </w:tcBorders>
          </w:tcPr>
          <w:p w14:paraId="5F813027" w14:textId="59952D87" w:rsidR="00396929" w:rsidRPr="008C52E5" w:rsidRDefault="002F4337" w:rsidP="00B268EF">
            <w:pPr>
              <w:pStyle w:val="Normal-pool"/>
              <w:spacing w:before="120" w:after="240"/>
              <w:rPr>
                <w:rFonts w:ascii="Arial" w:hAnsi="Arial" w:cs="Arial"/>
                <w:b/>
                <w:lang w:val="fr-FR"/>
              </w:rPr>
            </w:pPr>
            <w:hyperlink r:id="rId15" w:tgtFrame="_blank" w:history="1">
              <w:r w:rsidR="004E2A49" w:rsidRPr="008C52E5">
                <w:rPr>
                  <w:rStyle w:val="Hyperlink"/>
                  <w:rFonts w:ascii="Arial" w:hAnsi="Arial" w:cs="Arial"/>
                  <w:b/>
                  <w:sz w:val="28"/>
                  <w:szCs w:val="28"/>
                </w:rPr>
                <w:t>Plateforme intergouvernementale scientifique et politique sur la biodiversité et les services écosystémiques</w:t>
              </w:r>
            </w:hyperlink>
          </w:p>
        </w:tc>
        <w:tc>
          <w:tcPr>
            <w:tcW w:w="2185" w:type="dxa"/>
            <w:gridSpan w:val="2"/>
            <w:tcBorders>
              <w:top w:val="single" w:sz="2" w:space="0" w:color="auto"/>
              <w:bottom w:val="single" w:sz="24" w:space="0" w:color="auto"/>
            </w:tcBorders>
          </w:tcPr>
          <w:p w14:paraId="7A211F3B" w14:textId="732D2315" w:rsidR="00396929" w:rsidRPr="008C52E5" w:rsidRDefault="00396929" w:rsidP="00471270">
            <w:pPr>
              <w:pStyle w:val="Normal-pool"/>
              <w:spacing w:before="120"/>
              <w:rPr>
                <w:lang w:val="fr-FR"/>
              </w:rPr>
            </w:pPr>
            <w:proofErr w:type="spellStart"/>
            <w:r w:rsidRPr="008C52E5">
              <w:rPr>
                <w:lang w:val="fr-FR"/>
              </w:rPr>
              <w:t>Distr</w:t>
            </w:r>
            <w:proofErr w:type="spellEnd"/>
            <w:r w:rsidRPr="008C52E5">
              <w:rPr>
                <w:lang w:val="fr-FR"/>
              </w:rPr>
              <w:t>.</w:t>
            </w:r>
            <w:r w:rsidR="008C32C3">
              <w:rPr>
                <w:lang w:val="fr-FR"/>
              </w:rPr>
              <w:t> </w:t>
            </w:r>
            <w:proofErr w:type="gramStart"/>
            <w:r w:rsidR="004E2A49" w:rsidRPr="008C52E5">
              <w:rPr>
                <w:lang w:val="fr-FR"/>
              </w:rPr>
              <w:t>générale</w:t>
            </w:r>
            <w:proofErr w:type="gramEnd"/>
            <w:r w:rsidR="005F06C5" w:rsidRPr="008C52E5">
              <w:rPr>
                <w:lang w:val="fr-FR"/>
              </w:rPr>
              <w:t xml:space="preserve"> </w:t>
            </w:r>
            <w:r w:rsidRPr="008C52E5">
              <w:rPr>
                <w:lang w:val="fr-FR"/>
              </w:rPr>
              <w:br/>
            </w:r>
            <w:r w:rsidR="00CB6D22" w:rsidRPr="008C52E5">
              <w:rPr>
                <w:lang w:val="fr-FR"/>
              </w:rPr>
              <w:t>5 mars</w:t>
            </w:r>
            <w:r w:rsidR="004E2A49" w:rsidRPr="008C52E5">
              <w:rPr>
                <w:lang w:val="fr-FR"/>
              </w:rPr>
              <w:t> </w:t>
            </w:r>
            <w:r w:rsidR="00FF1304" w:rsidRPr="008C52E5">
              <w:rPr>
                <w:lang w:val="fr-FR"/>
              </w:rPr>
              <w:t>2019</w:t>
            </w:r>
          </w:p>
          <w:p w14:paraId="7FCDF586" w14:textId="77777777" w:rsidR="004E2A49" w:rsidRPr="008C52E5" w:rsidRDefault="004E2A49" w:rsidP="004E2A49">
            <w:pPr>
              <w:pStyle w:val="Normal-pool"/>
              <w:rPr>
                <w:lang w:val="fr-FR"/>
              </w:rPr>
            </w:pPr>
          </w:p>
          <w:p w14:paraId="1292FBE7" w14:textId="17515D94" w:rsidR="004E2A49" w:rsidRPr="008C52E5" w:rsidRDefault="004E2A49" w:rsidP="004E2A49">
            <w:pPr>
              <w:pStyle w:val="Normal-pool"/>
              <w:rPr>
                <w:lang w:val="fr-FR"/>
              </w:rPr>
            </w:pPr>
            <w:r w:rsidRPr="008C52E5">
              <w:rPr>
                <w:lang w:val="fr-FR"/>
              </w:rPr>
              <w:t>Français</w:t>
            </w:r>
          </w:p>
          <w:p w14:paraId="63B81D2E" w14:textId="29977388" w:rsidR="00396929" w:rsidRPr="008C52E5" w:rsidRDefault="00396929" w:rsidP="004E2A49">
            <w:pPr>
              <w:pStyle w:val="Normal-pool"/>
              <w:rPr>
                <w:lang w:val="fr-FR"/>
              </w:rPr>
            </w:pPr>
            <w:r w:rsidRPr="008C52E5">
              <w:rPr>
                <w:lang w:val="fr-FR"/>
              </w:rPr>
              <w:t>Original</w:t>
            </w:r>
            <w:r w:rsidR="004E2A49" w:rsidRPr="008C52E5">
              <w:rPr>
                <w:lang w:val="fr-FR"/>
              </w:rPr>
              <w:t> </w:t>
            </w:r>
            <w:r w:rsidRPr="008C52E5">
              <w:rPr>
                <w:lang w:val="fr-FR"/>
              </w:rPr>
              <w:t xml:space="preserve">: </w:t>
            </w:r>
            <w:r w:rsidR="004E2A49" w:rsidRPr="008C52E5">
              <w:rPr>
                <w:lang w:val="fr-FR"/>
              </w:rPr>
              <w:t>anglais</w:t>
            </w:r>
          </w:p>
        </w:tc>
      </w:tr>
    </w:tbl>
    <w:p w14:paraId="4105BE02" w14:textId="28A17C7D" w:rsidR="001546CE" w:rsidRPr="008C52E5" w:rsidRDefault="004E2A49" w:rsidP="001546CE">
      <w:pPr>
        <w:pStyle w:val="AATitle"/>
        <w:rPr>
          <w:lang w:val="fr-FR"/>
        </w:rPr>
      </w:pPr>
      <w:r w:rsidRPr="008C52E5">
        <w:rPr>
          <w:lang w:val="fr-FR"/>
        </w:rPr>
        <w:t xml:space="preserve">Plénière de la </w:t>
      </w:r>
      <w:bookmarkStart w:id="1" w:name="_Hlk2256199"/>
      <w:r w:rsidRPr="008C52E5">
        <w:rPr>
          <w:lang w:val="fr-FR"/>
        </w:rPr>
        <w:t xml:space="preserve">Plateforme intergouvernementale scientifique et politique sur la biodiversité </w:t>
      </w:r>
      <w:r w:rsidRPr="008C52E5">
        <w:rPr>
          <w:lang w:val="fr-FR"/>
        </w:rPr>
        <w:br/>
        <w:t>et les services écosystémiques</w:t>
      </w:r>
      <w:bookmarkEnd w:id="1"/>
    </w:p>
    <w:p w14:paraId="14572992" w14:textId="7BC49F77" w:rsidR="001546CE" w:rsidRPr="008C52E5" w:rsidRDefault="004E2A49" w:rsidP="001546CE">
      <w:pPr>
        <w:pStyle w:val="AATitle"/>
        <w:rPr>
          <w:lang w:val="fr-FR"/>
        </w:rPr>
      </w:pPr>
      <w:r w:rsidRPr="008C52E5">
        <w:rPr>
          <w:lang w:val="fr-FR"/>
        </w:rPr>
        <w:t>Septième</w:t>
      </w:r>
      <w:r w:rsidR="001546CE" w:rsidRPr="008C52E5">
        <w:rPr>
          <w:lang w:val="fr-FR"/>
        </w:rPr>
        <w:t xml:space="preserve"> session</w:t>
      </w:r>
    </w:p>
    <w:p w14:paraId="6EE28D85" w14:textId="1C7AA105" w:rsidR="001546CE" w:rsidRPr="008C52E5" w:rsidRDefault="001546CE" w:rsidP="001546CE">
      <w:pPr>
        <w:pStyle w:val="AATitle"/>
        <w:rPr>
          <w:b w:val="0"/>
          <w:lang w:val="fr-FR"/>
        </w:rPr>
      </w:pPr>
      <w:r w:rsidRPr="008C52E5">
        <w:rPr>
          <w:b w:val="0"/>
          <w:lang w:val="fr-FR" w:eastAsia="ja-JP"/>
        </w:rPr>
        <w:t>Paris, 29</w:t>
      </w:r>
      <w:r w:rsidR="004E2A49" w:rsidRPr="008C52E5">
        <w:rPr>
          <w:b w:val="0"/>
          <w:lang w:val="fr-FR" w:eastAsia="ja-JP"/>
        </w:rPr>
        <w:t xml:space="preserve"> avril </w:t>
      </w:r>
      <w:r w:rsidRPr="008C52E5">
        <w:rPr>
          <w:b w:val="0"/>
          <w:lang w:val="fr-FR" w:eastAsia="ja-JP"/>
        </w:rPr>
        <w:t>–</w:t>
      </w:r>
      <w:r w:rsidR="004E2A49" w:rsidRPr="008C52E5">
        <w:rPr>
          <w:b w:val="0"/>
          <w:lang w:val="fr-FR" w:eastAsia="ja-JP"/>
        </w:rPr>
        <w:t xml:space="preserve"> </w:t>
      </w:r>
      <w:r w:rsidRPr="008C52E5">
        <w:rPr>
          <w:b w:val="0"/>
          <w:lang w:val="fr-FR" w:eastAsia="ja-JP"/>
        </w:rPr>
        <w:t>4</w:t>
      </w:r>
      <w:r w:rsidR="004E2A49" w:rsidRPr="008C52E5">
        <w:rPr>
          <w:b w:val="0"/>
          <w:lang w:val="fr-FR" w:eastAsia="ja-JP"/>
        </w:rPr>
        <w:t> mai </w:t>
      </w:r>
      <w:r w:rsidRPr="008C52E5">
        <w:rPr>
          <w:b w:val="0"/>
          <w:lang w:val="fr-FR" w:eastAsia="ja-JP"/>
        </w:rPr>
        <w:t>2019</w:t>
      </w:r>
    </w:p>
    <w:p w14:paraId="045C0C19" w14:textId="5B868405" w:rsidR="001546CE" w:rsidRPr="008C52E5" w:rsidRDefault="004E2A49" w:rsidP="001546CE">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fr-FR"/>
        </w:rPr>
      </w:pPr>
      <w:r w:rsidRPr="008C52E5">
        <w:rPr>
          <w:rFonts w:ascii="Times New Roman" w:eastAsia="Times New Roman" w:hAnsi="Times New Roman"/>
          <w:sz w:val="20"/>
          <w:szCs w:val="20"/>
          <w:lang w:val="fr-FR"/>
        </w:rPr>
        <w:t>Point </w:t>
      </w:r>
      <w:r w:rsidR="001546CE" w:rsidRPr="008C52E5">
        <w:rPr>
          <w:rFonts w:ascii="Times New Roman" w:eastAsia="Times New Roman" w:hAnsi="Times New Roman"/>
          <w:sz w:val="20"/>
          <w:szCs w:val="20"/>
          <w:lang w:val="fr-FR"/>
        </w:rPr>
        <w:t xml:space="preserve">9 </w:t>
      </w:r>
      <w:r w:rsidRPr="008C52E5">
        <w:rPr>
          <w:rFonts w:ascii="Times New Roman" w:eastAsia="Times New Roman" w:hAnsi="Times New Roman"/>
          <w:sz w:val="20"/>
          <w:szCs w:val="20"/>
          <w:lang w:val="fr-FR"/>
        </w:rPr>
        <w:t>de l’ordre du jour provisoire</w:t>
      </w:r>
      <w:r w:rsidR="001546CE" w:rsidRPr="008C52E5">
        <w:rPr>
          <w:rFonts w:ascii="Times New Roman" w:eastAsia="Times New Roman" w:hAnsi="Times New Roman"/>
          <w:sz w:val="20"/>
          <w:szCs w:val="18"/>
          <w:lang w:val="fr-FR"/>
        </w:rPr>
        <w:footnoteReference w:customMarkFollows="1" w:id="1"/>
        <w:t>*</w:t>
      </w:r>
    </w:p>
    <w:p w14:paraId="5A48DA65" w14:textId="3D665C91" w:rsidR="001546CE" w:rsidRPr="008C52E5" w:rsidRDefault="004E2A49" w:rsidP="00771BDE">
      <w:pPr>
        <w:pStyle w:val="AATitle2"/>
        <w:rPr>
          <w:lang w:val="fr-FR"/>
        </w:rPr>
      </w:pPr>
      <w:r w:rsidRPr="008C52E5">
        <w:rPr>
          <w:lang w:val="fr-FR"/>
        </w:rPr>
        <w:t>Prochain programme de travail de la Plateforme</w:t>
      </w:r>
    </w:p>
    <w:p w14:paraId="37EF4130" w14:textId="35EBABBC" w:rsidR="002C1316" w:rsidRPr="008C52E5" w:rsidRDefault="00547311" w:rsidP="00771BDE">
      <w:pPr>
        <w:pStyle w:val="BBTitle"/>
        <w:rPr>
          <w:lang w:val="fr-FR"/>
        </w:rPr>
      </w:pPr>
      <w:r w:rsidRPr="008C52E5">
        <w:rPr>
          <w:lang w:val="fr-FR"/>
        </w:rPr>
        <w:t xml:space="preserve">Modalités d’exécution </w:t>
      </w:r>
      <w:r w:rsidR="004E2A49" w:rsidRPr="008C52E5">
        <w:rPr>
          <w:lang w:val="fr-FR"/>
        </w:rPr>
        <w:t>des pr</w:t>
      </w:r>
      <w:r w:rsidR="0082513F">
        <w:rPr>
          <w:lang w:val="fr-FR"/>
        </w:rPr>
        <w:t>oduits du prochain programme de </w:t>
      </w:r>
      <w:r w:rsidR="004E2A49" w:rsidRPr="008C52E5">
        <w:rPr>
          <w:lang w:val="fr-FR"/>
        </w:rPr>
        <w:t xml:space="preserve">travail </w:t>
      </w:r>
      <w:r w:rsidR="006E6250" w:rsidRPr="008C52E5">
        <w:rPr>
          <w:lang w:val="fr-FR"/>
        </w:rPr>
        <w:t>de la Plateforme</w:t>
      </w:r>
    </w:p>
    <w:p w14:paraId="70A4A8E0" w14:textId="05463332" w:rsidR="002C1316" w:rsidRPr="008C52E5" w:rsidRDefault="002C1316" w:rsidP="002D75B3">
      <w:pPr>
        <w:pStyle w:val="CH2"/>
        <w:ind w:firstLine="29"/>
        <w:rPr>
          <w:lang w:val="fr-FR"/>
        </w:rPr>
      </w:pPr>
      <w:r w:rsidRPr="008C52E5">
        <w:rPr>
          <w:lang w:val="fr-FR"/>
        </w:rPr>
        <w:t xml:space="preserve">Note </w:t>
      </w:r>
      <w:r w:rsidR="006E6250" w:rsidRPr="008C52E5">
        <w:rPr>
          <w:lang w:val="fr-FR"/>
        </w:rPr>
        <w:t>du secrétariat</w:t>
      </w:r>
      <w:r w:rsidR="00F2413E" w:rsidRPr="008C52E5">
        <w:rPr>
          <w:lang w:val="fr-FR"/>
        </w:rPr>
        <w:t xml:space="preserve"> </w:t>
      </w:r>
    </w:p>
    <w:p w14:paraId="77EF7C6D" w14:textId="367CAC00" w:rsidR="000874C3" w:rsidRPr="008C52E5" w:rsidRDefault="000874C3" w:rsidP="002D75B3">
      <w:pPr>
        <w:pStyle w:val="CH1"/>
        <w:ind w:firstLine="29"/>
        <w:rPr>
          <w:lang w:val="fr-FR"/>
        </w:rPr>
      </w:pPr>
      <w:r w:rsidRPr="008C52E5">
        <w:rPr>
          <w:lang w:val="fr-FR"/>
        </w:rPr>
        <w:t>Introduction</w:t>
      </w:r>
    </w:p>
    <w:p w14:paraId="398566E5" w14:textId="26DDA537" w:rsidR="00F422E4" w:rsidRPr="008C52E5" w:rsidRDefault="000F2521" w:rsidP="005C34BE">
      <w:pPr>
        <w:pStyle w:val="Normalnumber"/>
        <w:numPr>
          <w:ilvl w:val="0"/>
          <w:numId w:val="5"/>
        </w:numPr>
        <w:tabs>
          <w:tab w:val="left" w:pos="1871"/>
          <w:tab w:val="left" w:pos="2495"/>
        </w:tabs>
        <w:ind w:left="1247" w:firstLine="0"/>
        <w:rPr>
          <w:rFonts w:eastAsia="Calibri"/>
          <w:lang w:val="fr-FR"/>
        </w:rPr>
      </w:pPr>
      <w:r w:rsidRPr="008C52E5">
        <w:rPr>
          <w:rFonts w:eastAsia="Calibri"/>
          <w:lang w:val="fr-FR"/>
        </w:rPr>
        <w:t xml:space="preserve">La présente note </w:t>
      </w:r>
      <w:r w:rsidR="00811E57" w:rsidRPr="008C52E5">
        <w:rPr>
          <w:rFonts w:eastAsia="Calibri"/>
          <w:lang w:val="fr-FR"/>
        </w:rPr>
        <w:t>décrit</w:t>
      </w:r>
      <w:r w:rsidR="00547311" w:rsidRPr="008C52E5">
        <w:rPr>
          <w:rFonts w:eastAsia="Calibri"/>
          <w:lang w:val="fr-FR"/>
        </w:rPr>
        <w:t xml:space="preserve"> les modalités d’exécution </w:t>
      </w:r>
      <w:r w:rsidRPr="008C52E5">
        <w:rPr>
          <w:rFonts w:eastAsia="Calibri"/>
          <w:lang w:val="fr-FR"/>
        </w:rPr>
        <w:t xml:space="preserve">des produits </w:t>
      </w:r>
      <w:r w:rsidR="00547311" w:rsidRPr="008C52E5">
        <w:rPr>
          <w:rFonts w:eastAsia="Calibri"/>
          <w:lang w:val="fr-FR"/>
        </w:rPr>
        <w:t xml:space="preserve">relevant </w:t>
      </w:r>
      <w:r w:rsidR="0082513F">
        <w:rPr>
          <w:rFonts w:eastAsia="Calibri"/>
          <w:lang w:val="fr-FR"/>
        </w:rPr>
        <w:t>de chaque objectif du </w:t>
      </w:r>
      <w:r w:rsidRPr="008C52E5">
        <w:rPr>
          <w:rFonts w:eastAsia="Calibri"/>
          <w:lang w:val="fr-FR"/>
        </w:rPr>
        <w:t>projet de programme de travail de la</w:t>
      </w:r>
      <w:r w:rsidR="008B43C2" w:rsidRPr="008C52E5">
        <w:rPr>
          <w:rFonts w:eastAsia="Calibri"/>
          <w:lang w:val="fr-FR"/>
        </w:rPr>
        <w:t xml:space="preserve"> </w:t>
      </w:r>
      <w:r w:rsidRPr="008C52E5">
        <w:rPr>
          <w:rFonts w:eastAsia="Calibri"/>
          <w:lang w:val="fr-FR"/>
        </w:rPr>
        <w:t>Plateforme intergouvernemental</w:t>
      </w:r>
      <w:r w:rsidR="0082513F">
        <w:rPr>
          <w:rFonts w:eastAsia="Calibri"/>
          <w:lang w:val="fr-FR"/>
        </w:rPr>
        <w:t>e scientifique et politique sur </w:t>
      </w:r>
      <w:r w:rsidRPr="008C52E5">
        <w:rPr>
          <w:rFonts w:eastAsia="Calibri"/>
          <w:lang w:val="fr-FR"/>
        </w:rPr>
        <w:t xml:space="preserve">la biodiversité et les services écosystémiques </w:t>
      </w:r>
      <w:r w:rsidR="00F43674" w:rsidRPr="008C52E5">
        <w:rPr>
          <w:rFonts w:eastAsia="Calibri"/>
          <w:lang w:val="fr-FR"/>
        </w:rPr>
        <w:t>(</w:t>
      </w:r>
      <w:r w:rsidR="00547311" w:rsidRPr="008C52E5">
        <w:rPr>
          <w:rFonts w:eastAsia="Calibri"/>
          <w:lang w:val="fr-FR"/>
        </w:rPr>
        <w:t>la « Plateforme »</w:t>
      </w:r>
      <w:r w:rsidR="00F43674" w:rsidRPr="008C52E5">
        <w:rPr>
          <w:rFonts w:eastAsia="Calibri"/>
          <w:lang w:val="fr-FR"/>
        </w:rPr>
        <w:t>)</w:t>
      </w:r>
      <w:r w:rsidR="005F0720" w:rsidRPr="008C52E5">
        <w:rPr>
          <w:rFonts w:eastAsia="Calibri"/>
          <w:lang w:val="fr-FR"/>
        </w:rPr>
        <w:t xml:space="preserve"> </w:t>
      </w:r>
      <w:r w:rsidR="00DF7EE9" w:rsidRPr="008C52E5">
        <w:rPr>
          <w:rFonts w:eastAsia="Calibri"/>
          <w:lang w:val="fr-FR"/>
        </w:rPr>
        <w:t xml:space="preserve">allant </w:t>
      </w:r>
      <w:r w:rsidRPr="008C52E5">
        <w:rPr>
          <w:rFonts w:eastAsia="Calibri"/>
          <w:lang w:val="fr-FR"/>
        </w:rPr>
        <w:t>jusqu’en</w:t>
      </w:r>
      <w:r w:rsidR="008B43C2" w:rsidRPr="008C52E5">
        <w:rPr>
          <w:rFonts w:eastAsia="Calibri"/>
          <w:lang w:val="fr-FR"/>
        </w:rPr>
        <w:t xml:space="preserve"> 2030</w:t>
      </w:r>
      <w:r w:rsidR="00244C4A" w:rsidRPr="008C52E5">
        <w:rPr>
          <w:rFonts w:eastAsia="Calibri"/>
          <w:lang w:val="fr-FR"/>
        </w:rPr>
        <w:t>,</w:t>
      </w:r>
      <w:r w:rsidR="008B43C2" w:rsidRPr="008C52E5">
        <w:rPr>
          <w:rFonts w:eastAsia="Calibri"/>
          <w:lang w:val="fr-FR"/>
        </w:rPr>
        <w:t xml:space="preserve"> </w:t>
      </w:r>
      <w:r w:rsidR="009C6E6E">
        <w:rPr>
          <w:rFonts w:eastAsia="Calibri"/>
          <w:lang w:val="fr-FR"/>
        </w:rPr>
        <w:t>tel </w:t>
      </w:r>
      <w:r w:rsidR="004D7D7D" w:rsidRPr="008C52E5">
        <w:rPr>
          <w:rFonts w:eastAsia="Calibri"/>
          <w:lang w:val="fr-FR"/>
        </w:rPr>
        <w:t>qu’indiqué dans le</w:t>
      </w:r>
      <w:r w:rsidR="008C32C3">
        <w:rPr>
          <w:rFonts w:eastAsia="Calibri"/>
          <w:lang w:val="fr-FR"/>
        </w:rPr>
        <w:t xml:space="preserve"> document </w:t>
      </w:r>
      <w:r w:rsidR="008B43C2" w:rsidRPr="008C52E5">
        <w:rPr>
          <w:rFonts w:eastAsia="Calibri"/>
          <w:lang w:val="fr-FR"/>
        </w:rPr>
        <w:t xml:space="preserve">IPBES/7/6. </w:t>
      </w:r>
      <w:r w:rsidR="004D7D7D" w:rsidRPr="008C52E5">
        <w:rPr>
          <w:rFonts w:eastAsia="Calibri"/>
          <w:lang w:val="fr-FR"/>
        </w:rPr>
        <w:t>Pour chaque produit, une</w:t>
      </w:r>
      <w:r w:rsidR="009C6E6E">
        <w:rPr>
          <w:rFonts w:eastAsia="Calibri"/>
          <w:lang w:val="fr-FR"/>
        </w:rPr>
        <w:t xml:space="preserve"> série d’hypothèses ainsi qu’un </w:t>
      </w:r>
      <w:r w:rsidR="004D7D7D" w:rsidRPr="008C52E5">
        <w:rPr>
          <w:rFonts w:eastAsia="Calibri"/>
          <w:lang w:val="fr-FR"/>
        </w:rPr>
        <w:t xml:space="preserve">plan d’action indicatif, des </w:t>
      </w:r>
      <w:r w:rsidR="00811E57" w:rsidRPr="008C52E5">
        <w:rPr>
          <w:rFonts w:eastAsia="Calibri"/>
          <w:lang w:val="fr-FR"/>
        </w:rPr>
        <w:t>étapes intermédiaires</w:t>
      </w:r>
      <w:r w:rsidR="004D7D7D" w:rsidRPr="008C52E5">
        <w:rPr>
          <w:rFonts w:eastAsia="Calibri"/>
          <w:lang w:val="fr-FR"/>
        </w:rPr>
        <w:t xml:space="preserve"> et des dispositions institutionnelles sont présentés</w:t>
      </w:r>
      <w:r w:rsidR="008B43C2" w:rsidRPr="008C52E5">
        <w:rPr>
          <w:rFonts w:eastAsia="Calibri"/>
          <w:lang w:val="fr-FR"/>
        </w:rPr>
        <w:t>.</w:t>
      </w:r>
      <w:r w:rsidR="004D7D7D" w:rsidRPr="008C52E5">
        <w:rPr>
          <w:rFonts w:eastAsia="Calibri"/>
          <w:lang w:val="fr-FR"/>
        </w:rPr>
        <w:t xml:space="preserve"> </w:t>
      </w:r>
      <w:r w:rsidR="00811E57" w:rsidRPr="008C52E5">
        <w:rPr>
          <w:rFonts w:eastAsia="Calibri"/>
          <w:lang w:val="fr-FR"/>
        </w:rPr>
        <w:t>Des prévisions annuelles</w:t>
      </w:r>
      <w:r w:rsidR="004D7D7D" w:rsidRPr="008C52E5">
        <w:rPr>
          <w:rFonts w:eastAsia="Calibri"/>
          <w:lang w:val="fr-FR"/>
        </w:rPr>
        <w:t xml:space="preserve"> des principaux postes de dépenses pour chaque produit figure</w:t>
      </w:r>
      <w:r w:rsidR="004B42F0" w:rsidRPr="008C52E5">
        <w:rPr>
          <w:rFonts w:eastAsia="Calibri"/>
          <w:lang w:val="fr-FR"/>
        </w:rPr>
        <w:t>nt</w:t>
      </w:r>
      <w:r w:rsidR="004D7D7D" w:rsidRPr="008C52E5">
        <w:rPr>
          <w:rFonts w:eastAsia="Calibri"/>
          <w:lang w:val="fr-FR"/>
        </w:rPr>
        <w:t xml:space="preserve"> dans le </w:t>
      </w:r>
      <w:r w:rsidR="008C32C3">
        <w:rPr>
          <w:rFonts w:eastAsia="Calibri"/>
          <w:lang w:val="fr-FR"/>
        </w:rPr>
        <w:t>document </w:t>
      </w:r>
      <w:r w:rsidR="00F43674" w:rsidRPr="008C52E5">
        <w:rPr>
          <w:rFonts w:eastAsia="Calibri"/>
          <w:lang w:val="fr-FR"/>
        </w:rPr>
        <w:t>IPBES/7/4</w:t>
      </w:r>
      <w:r w:rsidR="008B43C2" w:rsidRPr="008C52E5">
        <w:rPr>
          <w:rFonts w:eastAsia="Calibri"/>
          <w:lang w:val="fr-FR"/>
        </w:rPr>
        <w:t>.</w:t>
      </w:r>
    </w:p>
    <w:p w14:paraId="3C6CB044" w14:textId="285E4656" w:rsidR="000874C3" w:rsidRPr="008C52E5" w:rsidRDefault="00771BDE" w:rsidP="002D75B3">
      <w:pPr>
        <w:pStyle w:val="CH1"/>
        <w:tabs>
          <w:tab w:val="clear" w:pos="851"/>
        </w:tabs>
        <w:ind w:left="567" w:firstLine="0"/>
        <w:rPr>
          <w:lang w:val="fr-FR"/>
        </w:rPr>
      </w:pPr>
      <w:r w:rsidRPr="008C52E5">
        <w:rPr>
          <w:lang w:val="fr-FR"/>
        </w:rPr>
        <w:t>I.</w:t>
      </w:r>
      <w:r w:rsidRPr="008C52E5">
        <w:rPr>
          <w:lang w:val="fr-FR"/>
        </w:rPr>
        <w:tab/>
      </w:r>
      <w:r w:rsidR="00375077" w:rsidRPr="008C52E5">
        <w:rPr>
          <w:lang w:val="fr-FR"/>
        </w:rPr>
        <w:t>Objecti</w:t>
      </w:r>
      <w:r w:rsidR="004D7D7D" w:rsidRPr="008C52E5">
        <w:rPr>
          <w:lang w:val="fr-FR"/>
        </w:rPr>
        <w:t>f </w:t>
      </w:r>
      <w:r w:rsidR="00375077" w:rsidRPr="008C52E5">
        <w:rPr>
          <w:lang w:val="fr-FR"/>
        </w:rPr>
        <w:t>1</w:t>
      </w:r>
      <w:r w:rsidR="004D7D7D" w:rsidRPr="008C52E5">
        <w:rPr>
          <w:lang w:val="fr-FR"/>
        </w:rPr>
        <w:t> </w:t>
      </w:r>
      <w:r w:rsidR="00375077" w:rsidRPr="008C52E5">
        <w:rPr>
          <w:lang w:val="fr-FR"/>
        </w:rPr>
        <w:t xml:space="preserve">: </w:t>
      </w:r>
      <w:r w:rsidR="00BB66B3" w:rsidRPr="008C52E5">
        <w:rPr>
          <w:lang w:val="fr-FR"/>
        </w:rPr>
        <w:t>évaluation</w:t>
      </w:r>
      <w:r w:rsidR="00C47E66" w:rsidRPr="008C52E5">
        <w:rPr>
          <w:lang w:val="fr-FR"/>
        </w:rPr>
        <w:t xml:space="preserve"> des connaissances</w:t>
      </w:r>
    </w:p>
    <w:p w14:paraId="30B30449" w14:textId="43BD1221" w:rsidR="005F0720" w:rsidRPr="008C52E5" w:rsidRDefault="00771BDE" w:rsidP="002D75B3">
      <w:pPr>
        <w:pStyle w:val="CH2"/>
        <w:tabs>
          <w:tab w:val="clear" w:pos="851"/>
        </w:tabs>
        <w:ind w:hanging="673"/>
        <w:rPr>
          <w:lang w:val="fr-FR"/>
        </w:rPr>
      </w:pPr>
      <w:r w:rsidRPr="008C52E5">
        <w:rPr>
          <w:lang w:val="fr-FR"/>
        </w:rPr>
        <w:t>A.</w:t>
      </w:r>
      <w:r w:rsidRPr="008C52E5">
        <w:rPr>
          <w:lang w:val="fr-FR"/>
        </w:rPr>
        <w:tab/>
      </w:r>
      <w:r w:rsidR="00C47E66" w:rsidRPr="008C52E5">
        <w:rPr>
          <w:lang w:val="fr-FR"/>
        </w:rPr>
        <w:t>Produit </w:t>
      </w:r>
      <w:r w:rsidR="00375077" w:rsidRPr="008C52E5">
        <w:rPr>
          <w:lang w:val="fr-FR"/>
        </w:rPr>
        <w:t>1</w:t>
      </w:r>
      <w:r w:rsidR="00C47E66" w:rsidRPr="008C52E5">
        <w:rPr>
          <w:lang w:val="fr-FR"/>
        </w:rPr>
        <w:t> </w:t>
      </w:r>
      <w:r w:rsidR="00375077" w:rsidRPr="008C52E5">
        <w:rPr>
          <w:lang w:val="fr-FR"/>
        </w:rPr>
        <w:t>a</w:t>
      </w:r>
      <w:r w:rsidR="00052EA6" w:rsidRPr="008C52E5">
        <w:rPr>
          <w:lang w:val="fr-FR"/>
        </w:rPr>
        <w:t>)</w:t>
      </w:r>
      <w:r w:rsidR="00C47E66" w:rsidRPr="008C52E5">
        <w:rPr>
          <w:lang w:val="fr-FR"/>
        </w:rPr>
        <w:t> </w:t>
      </w:r>
      <w:r w:rsidR="00375077" w:rsidRPr="008C52E5">
        <w:rPr>
          <w:lang w:val="fr-FR"/>
        </w:rPr>
        <w:t xml:space="preserve">: </w:t>
      </w:r>
      <w:r w:rsidR="00C47E66" w:rsidRPr="008C52E5">
        <w:rPr>
          <w:lang w:val="fr-FR"/>
        </w:rPr>
        <w:t>évaluation thématique des liens entre biodiversité, eau, alimentation et santé</w:t>
      </w:r>
    </w:p>
    <w:p w14:paraId="5EB8275B" w14:textId="5ABCA51E" w:rsidR="003F3EF1" w:rsidRPr="008C52E5" w:rsidRDefault="00270837" w:rsidP="002D75B3">
      <w:pPr>
        <w:pStyle w:val="CH3"/>
        <w:tabs>
          <w:tab w:val="clear" w:pos="851"/>
        </w:tabs>
        <w:ind w:left="567" w:firstLine="7"/>
        <w:rPr>
          <w:lang w:val="fr-FR"/>
        </w:rPr>
      </w:pPr>
      <w:r w:rsidRPr="008C52E5">
        <w:rPr>
          <w:rFonts w:eastAsia="SimSun"/>
          <w:lang w:val="fr-FR" w:eastAsia="zh-CN"/>
        </w:rPr>
        <w:t>1.</w:t>
      </w:r>
      <w:r w:rsidRPr="008C52E5">
        <w:rPr>
          <w:rFonts w:eastAsia="SimSun"/>
          <w:lang w:val="fr-FR" w:eastAsia="zh-CN"/>
        </w:rPr>
        <w:tab/>
      </w:r>
      <w:r w:rsidR="00C47E66" w:rsidRPr="008C52E5">
        <w:rPr>
          <w:rFonts w:eastAsia="SimSun"/>
          <w:lang w:val="fr-FR" w:eastAsia="zh-CN"/>
        </w:rPr>
        <w:t>Hypothèses et dispositions institutionnelles</w:t>
      </w:r>
    </w:p>
    <w:p w14:paraId="55145E73" w14:textId="649435B6" w:rsidR="005C1C71" w:rsidRDefault="00C47E66" w:rsidP="00A44768">
      <w:pPr>
        <w:pStyle w:val="Normalnumber"/>
        <w:numPr>
          <w:ilvl w:val="0"/>
          <w:numId w:val="5"/>
        </w:numPr>
        <w:tabs>
          <w:tab w:val="left" w:pos="1871"/>
          <w:tab w:val="left" w:pos="2495"/>
        </w:tabs>
        <w:ind w:left="1247" w:firstLine="0"/>
        <w:rPr>
          <w:lang w:val="fr-FR"/>
        </w:rPr>
      </w:pPr>
      <w:r w:rsidRPr="008C52E5">
        <w:rPr>
          <w:rFonts w:eastAsia="Calibri"/>
          <w:lang w:val="fr-FR"/>
        </w:rPr>
        <w:t xml:space="preserve">Le Groupe d’experts multidisciplinaire et le </w:t>
      </w:r>
      <w:r w:rsidR="00F422E4" w:rsidRPr="008C52E5">
        <w:rPr>
          <w:rFonts w:eastAsia="Calibri"/>
          <w:lang w:val="fr-FR"/>
        </w:rPr>
        <w:t>Bureau</w:t>
      </w:r>
      <w:r w:rsidRPr="008C52E5">
        <w:rPr>
          <w:rFonts w:eastAsia="Calibri"/>
          <w:lang w:val="fr-FR"/>
        </w:rPr>
        <w:t xml:space="preserve"> superviser</w:t>
      </w:r>
      <w:r w:rsidR="00811E57" w:rsidRPr="008C52E5">
        <w:rPr>
          <w:rFonts w:eastAsia="Calibri"/>
          <w:lang w:val="fr-FR"/>
        </w:rPr>
        <w:t>ont</w:t>
      </w:r>
      <w:r w:rsidRPr="008C52E5">
        <w:rPr>
          <w:rFonts w:eastAsia="Calibri"/>
          <w:lang w:val="fr-FR"/>
        </w:rPr>
        <w:t xml:space="preserve"> un processus de cadrage complet </w:t>
      </w:r>
      <w:r w:rsidR="00811E57" w:rsidRPr="008C52E5">
        <w:rPr>
          <w:rFonts w:eastAsia="Calibri"/>
          <w:lang w:val="fr-FR"/>
        </w:rPr>
        <w:t xml:space="preserve">et, sous réserve de l’approbation de la Plénière, la </w:t>
      </w:r>
      <w:r w:rsidR="00547311" w:rsidRPr="008C52E5">
        <w:rPr>
          <w:rFonts w:eastAsia="Calibri"/>
          <w:lang w:val="fr-FR"/>
        </w:rPr>
        <w:t>création</w:t>
      </w:r>
      <w:r w:rsidR="00811E57" w:rsidRPr="008C52E5">
        <w:rPr>
          <w:rFonts w:eastAsia="Calibri"/>
          <w:lang w:val="fr-FR"/>
        </w:rPr>
        <w:t xml:space="preserve"> d’un groupe d’experts mondial doté d’un mandat précis à durée déterminée pour l’évaluation</w:t>
      </w:r>
      <w:r w:rsidR="00B11568" w:rsidRPr="008C52E5">
        <w:rPr>
          <w:lang w:val="fr-FR"/>
        </w:rPr>
        <w:t>,</w:t>
      </w:r>
      <w:r w:rsidR="00811E57" w:rsidRPr="008C52E5">
        <w:rPr>
          <w:lang w:val="fr-FR"/>
        </w:rPr>
        <w:t xml:space="preserve"> qui serait composé de</w:t>
      </w:r>
      <w:r w:rsidR="00547311" w:rsidRPr="008C52E5">
        <w:rPr>
          <w:lang w:val="fr-FR"/>
        </w:rPr>
        <w:t>s</w:t>
      </w:r>
      <w:r w:rsidR="00B11568" w:rsidRPr="008C52E5">
        <w:rPr>
          <w:lang w:val="fr-FR"/>
        </w:rPr>
        <w:t xml:space="preserve"> </w:t>
      </w:r>
      <w:r w:rsidR="006640B8" w:rsidRPr="008C52E5">
        <w:rPr>
          <w:lang w:val="fr-FR"/>
        </w:rPr>
        <w:t>coprésid</w:t>
      </w:r>
      <w:r w:rsidR="009C6E6E">
        <w:rPr>
          <w:lang w:val="fr-FR"/>
        </w:rPr>
        <w:t>ents des </w:t>
      </w:r>
      <w:r w:rsidR="006640B8" w:rsidRPr="008C52E5">
        <w:rPr>
          <w:lang w:val="fr-FR"/>
        </w:rPr>
        <w:t>équipes c</w:t>
      </w:r>
      <w:r w:rsidR="00547311" w:rsidRPr="008C52E5">
        <w:rPr>
          <w:lang w:val="fr-FR"/>
        </w:rPr>
        <w:t>hargées des rapports, d’auteurs</w:t>
      </w:r>
      <w:r w:rsidR="00547311" w:rsidRPr="008C52E5">
        <w:rPr>
          <w:lang w:val="fr-FR"/>
        </w:rPr>
        <w:noBreakHyphen/>
      </w:r>
      <w:r w:rsidR="006640B8" w:rsidRPr="008C52E5">
        <w:rPr>
          <w:lang w:val="fr-FR"/>
        </w:rPr>
        <w:t>coordonnateurs principaux, d’auteurs principaux et d’éditeurs-réviseurs</w:t>
      </w:r>
      <w:r w:rsidR="00B11568" w:rsidRPr="008C52E5">
        <w:rPr>
          <w:lang w:val="fr-FR"/>
        </w:rPr>
        <w:t>.</w:t>
      </w:r>
      <w:r w:rsidR="006640B8" w:rsidRPr="008C52E5">
        <w:rPr>
          <w:lang w:val="fr-FR"/>
        </w:rPr>
        <w:t xml:space="preserve"> Les groupes d’experts pour le processus de cadrage et l’évaluation seront choisis conformément aux procédures d’établissement</w:t>
      </w:r>
      <w:r w:rsidR="00B11568" w:rsidRPr="008C52E5">
        <w:rPr>
          <w:lang w:val="fr-FR"/>
        </w:rPr>
        <w:t xml:space="preserve"> </w:t>
      </w:r>
      <w:r w:rsidR="006640B8" w:rsidRPr="008C52E5">
        <w:rPr>
          <w:lang w:val="fr-FR"/>
        </w:rPr>
        <w:t>des produits de la Plateforme</w:t>
      </w:r>
      <w:r w:rsidR="00910358" w:rsidRPr="008C52E5">
        <w:rPr>
          <w:rStyle w:val="FootnoteReference"/>
          <w:lang w:val="fr-FR"/>
        </w:rPr>
        <w:footnoteReference w:id="2"/>
      </w:r>
      <w:r w:rsidR="00B11568" w:rsidRPr="008C52E5">
        <w:rPr>
          <w:lang w:val="fr-FR"/>
        </w:rPr>
        <w:t xml:space="preserve"> </w:t>
      </w:r>
      <w:bookmarkStart w:id="2" w:name="_Hlk2262751"/>
      <w:r w:rsidR="006640B8" w:rsidRPr="008C52E5">
        <w:rPr>
          <w:lang w:val="fr-FR"/>
        </w:rPr>
        <w:t xml:space="preserve">et </w:t>
      </w:r>
      <w:r w:rsidR="00C1298D" w:rsidRPr="008C52E5">
        <w:rPr>
          <w:lang w:val="fr-FR"/>
        </w:rPr>
        <w:t>mèneront leurs travaux conformément aux</w:t>
      </w:r>
      <w:r w:rsidR="00547311" w:rsidRPr="008C52E5">
        <w:rPr>
          <w:lang w:val="fr-FR"/>
        </w:rPr>
        <w:t xml:space="preserve">dites </w:t>
      </w:r>
      <w:r w:rsidR="00C1298D" w:rsidRPr="008C52E5">
        <w:rPr>
          <w:lang w:val="fr-FR"/>
        </w:rPr>
        <w:t>procédures</w:t>
      </w:r>
      <w:bookmarkEnd w:id="2"/>
      <w:r w:rsidR="00B11568" w:rsidRPr="008C52E5">
        <w:rPr>
          <w:lang w:val="fr-FR"/>
        </w:rPr>
        <w:t>.</w:t>
      </w:r>
      <w:r w:rsidR="00C1298D" w:rsidRPr="008C52E5">
        <w:rPr>
          <w:lang w:val="fr-FR"/>
        </w:rPr>
        <w:t xml:space="preserve"> Il est proposé que le processus de cadrage commence par une conférence en ligne</w:t>
      </w:r>
      <w:r w:rsidR="00B72C43" w:rsidRPr="008C52E5">
        <w:rPr>
          <w:lang w:val="fr-FR"/>
        </w:rPr>
        <w:t>,</w:t>
      </w:r>
      <w:r w:rsidR="00C1298D" w:rsidRPr="008C52E5">
        <w:rPr>
          <w:lang w:val="fr-FR"/>
        </w:rPr>
        <w:t xml:space="preserve"> suivie par une réunion de 80 experts destinée à produire un projet de rapport de cadrage, compte </w:t>
      </w:r>
      <w:r w:rsidR="00547311" w:rsidRPr="008C52E5">
        <w:rPr>
          <w:lang w:val="fr-FR"/>
        </w:rPr>
        <w:t xml:space="preserve">tenu </w:t>
      </w:r>
      <w:r w:rsidR="00C1298D" w:rsidRPr="008C52E5">
        <w:rPr>
          <w:lang w:val="fr-FR"/>
        </w:rPr>
        <w:t>des résultats de la conférence en ligne</w:t>
      </w:r>
      <w:r w:rsidR="00135CCA" w:rsidRPr="008C52E5">
        <w:rPr>
          <w:lang w:val="fr-FR"/>
        </w:rPr>
        <w:t>.</w:t>
      </w:r>
      <w:r w:rsidR="00B11568" w:rsidRPr="008C52E5">
        <w:rPr>
          <w:lang w:val="fr-FR"/>
        </w:rPr>
        <w:t xml:space="preserve"> </w:t>
      </w:r>
      <w:r w:rsidR="00C1298D" w:rsidRPr="008C52E5">
        <w:rPr>
          <w:lang w:val="fr-FR"/>
        </w:rPr>
        <w:t xml:space="preserve">Il est </w:t>
      </w:r>
      <w:r w:rsidR="00176E3C" w:rsidRPr="008C52E5">
        <w:rPr>
          <w:lang w:val="fr-FR"/>
        </w:rPr>
        <w:t xml:space="preserve">également </w:t>
      </w:r>
      <w:r w:rsidR="00C1298D" w:rsidRPr="008C52E5">
        <w:rPr>
          <w:lang w:val="fr-FR"/>
        </w:rPr>
        <w:t xml:space="preserve">proposé que l’évaluation associe </w:t>
      </w:r>
      <w:r w:rsidR="000F1C9E" w:rsidRPr="008C52E5">
        <w:rPr>
          <w:lang w:val="fr-FR"/>
        </w:rPr>
        <w:t>quelque</w:t>
      </w:r>
      <w:r w:rsidR="00C1298D" w:rsidRPr="008C52E5">
        <w:rPr>
          <w:lang w:val="fr-FR"/>
        </w:rPr>
        <w:t xml:space="preserve"> </w:t>
      </w:r>
      <w:r w:rsidR="004B00F0" w:rsidRPr="008C52E5">
        <w:rPr>
          <w:lang w:val="fr-FR"/>
        </w:rPr>
        <w:t>120</w:t>
      </w:r>
      <w:r w:rsidR="00C1298D" w:rsidRPr="008C52E5">
        <w:rPr>
          <w:lang w:val="fr-FR"/>
        </w:rPr>
        <w:t> auteurs</w:t>
      </w:r>
      <w:r w:rsidR="00CD4653" w:rsidRPr="008C52E5">
        <w:rPr>
          <w:lang w:val="fr-FR"/>
        </w:rPr>
        <w:t>,</w:t>
      </w:r>
      <w:r w:rsidR="00C1298D" w:rsidRPr="008C52E5">
        <w:rPr>
          <w:lang w:val="fr-FR"/>
        </w:rPr>
        <w:t xml:space="preserve"> qui se réuniraie</w:t>
      </w:r>
      <w:r w:rsidR="000F1C9E" w:rsidRPr="008C52E5">
        <w:rPr>
          <w:lang w:val="fr-FR"/>
        </w:rPr>
        <w:t>nt trois fois, et 12 éditeurs-réviseurs, qui se réuniraient deux fois avec les auteurs</w:t>
      </w:r>
      <w:r w:rsidR="00B11568" w:rsidRPr="008C52E5">
        <w:rPr>
          <w:lang w:val="fr-FR"/>
        </w:rPr>
        <w:t>.</w:t>
      </w:r>
      <w:r w:rsidR="000F1C9E" w:rsidRPr="008C52E5">
        <w:rPr>
          <w:lang w:val="fr-FR"/>
        </w:rPr>
        <w:t xml:space="preserve"> Deux réunions seraient tenues afin </w:t>
      </w:r>
      <w:r w:rsidR="00547311" w:rsidRPr="008C52E5">
        <w:rPr>
          <w:lang w:val="fr-FR"/>
        </w:rPr>
        <w:t xml:space="preserve">de faciliter </w:t>
      </w:r>
      <w:r w:rsidR="000F1C9E" w:rsidRPr="008C52E5">
        <w:rPr>
          <w:lang w:val="fr-FR"/>
        </w:rPr>
        <w:t>l’élaboration du résumé à l’intention des décideurs, qui ferait l’objet d’un examen supplémentaire</w:t>
      </w:r>
      <w:r w:rsidR="006B61A3" w:rsidRPr="008C52E5">
        <w:rPr>
          <w:lang w:val="fr-FR"/>
        </w:rPr>
        <w:t>.</w:t>
      </w:r>
      <w:r w:rsidR="000F1C9E" w:rsidRPr="008C52E5">
        <w:rPr>
          <w:lang w:val="fr-FR"/>
        </w:rPr>
        <w:t xml:space="preserve"> </w:t>
      </w:r>
    </w:p>
    <w:p w14:paraId="67850C2F" w14:textId="77777777" w:rsidR="005C1C71" w:rsidRDefault="005C1C71">
      <w:pPr>
        <w:spacing w:after="0" w:line="240" w:lineRule="auto"/>
        <w:rPr>
          <w:rFonts w:ascii="Times New Roman" w:eastAsia="Times New Roman" w:hAnsi="Times New Roman"/>
          <w:sz w:val="20"/>
          <w:szCs w:val="20"/>
          <w:lang w:val="fr-FR"/>
        </w:rPr>
      </w:pPr>
      <w:r>
        <w:rPr>
          <w:lang w:val="fr-FR"/>
        </w:rPr>
        <w:br w:type="page"/>
      </w:r>
    </w:p>
    <w:p w14:paraId="59CAA8CC" w14:textId="40AA14B8" w:rsidR="00107F35" w:rsidRPr="008C52E5" w:rsidRDefault="000F1C9E" w:rsidP="005C1C71">
      <w:pPr>
        <w:pStyle w:val="Normalnumber"/>
        <w:numPr>
          <w:ilvl w:val="0"/>
          <w:numId w:val="0"/>
        </w:numPr>
        <w:tabs>
          <w:tab w:val="left" w:pos="1871"/>
          <w:tab w:val="left" w:pos="2495"/>
        </w:tabs>
        <w:ind w:left="1247"/>
        <w:rPr>
          <w:lang w:val="fr-FR"/>
        </w:rPr>
      </w:pPr>
      <w:r w:rsidRPr="008C52E5">
        <w:rPr>
          <w:lang w:val="fr-FR"/>
        </w:rPr>
        <w:lastRenderedPageBreak/>
        <w:t xml:space="preserve">Trois ateliers de dialogue seraient organisés pour mettre en œuvre </w:t>
      </w:r>
      <w:r w:rsidR="006A574C" w:rsidRPr="008C52E5">
        <w:rPr>
          <w:lang w:val="fr-FR"/>
        </w:rPr>
        <w:t>l’approche appliquée par la Plateforme en vue de reconnaître et d’exploiter les savoirs autochtones et locaux</w:t>
      </w:r>
      <w:r w:rsidR="00FA32D2" w:rsidRPr="008C52E5">
        <w:rPr>
          <w:lang w:val="fr-FR"/>
        </w:rPr>
        <w:t>.</w:t>
      </w:r>
      <w:r w:rsidRPr="008C52E5">
        <w:rPr>
          <w:lang w:val="fr-FR"/>
        </w:rPr>
        <w:t xml:space="preserve"> Il est proposé </w:t>
      </w:r>
      <w:r w:rsidR="0082513F">
        <w:rPr>
          <w:lang w:val="fr-FR"/>
        </w:rPr>
        <w:t>en </w:t>
      </w:r>
      <w:r w:rsidR="00176E3C" w:rsidRPr="008C52E5">
        <w:rPr>
          <w:lang w:val="fr-FR"/>
        </w:rPr>
        <w:t xml:space="preserve">outre </w:t>
      </w:r>
      <w:r w:rsidRPr="008C52E5">
        <w:rPr>
          <w:lang w:val="fr-FR"/>
        </w:rPr>
        <w:t>que l’évaluation soit</w:t>
      </w:r>
      <w:r w:rsidR="000559DA" w:rsidRPr="008C52E5">
        <w:rPr>
          <w:lang w:val="fr-FR"/>
        </w:rPr>
        <w:t xml:space="preserve"> menée sur une période de trois à quatre ans</w:t>
      </w:r>
      <w:r w:rsidR="00547311" w:rsidRPr="008C52E5">
        <w:rPr>
          <w:lang w:val="fr-FR"/>
        </w:rPr>
        <w:t>.</w:t>
      </w:r>
    </w:p>
    <w:p w14:paraId="4EBA72AD" w14:textId="4A3FB90B" w:rsidR="00B11568" w:rsidRPr="008C52E5" w:rsidRDefault="000559DA" w:rsidP="00A44768">
      <w:pPr>
        <w:pStyle w:val="Normalnumber"/>
        <w:numPr>
          <w:ilvl w:val="0"/>
          <w:numId w:val="5"/>
        </w:numPr>
        <w:tabs>
          <w:tab w:val="left" w:pos="1871"/>
          <w:tab w:val="left" w:pos="2495"/>
        </w:tabs>
        <w:ind w:left="1247" w:firstLine="0"/>
        <w:rPr>
          <w:lang w:val="fr-FR"/>
        </w:rPr>
      </w:pPr>
      <w:r w:rsidRPr="008C52E5">
        <w:rPr>
          <w:lang w:val="fr-FR"/>
        </w:rPr>
        <w:t xml:space="preserve">Le secrétariat conclura des accords avec des institutions partenaires </w:t>
      </w:r>
      <w:r w:rsidR="00547311" w:rsidRPr="008C52E5">
        <w:rPr>
          <w:lang w:val="fr-FR"/>
        </w:rPr>
        <w:t xml:space="preserve">aux fins de la prestation </w:t>
      </w:r>
      <w:r w:rsidRPr="008C52E5">
        <w:rPr>
          <w:lang w:val="fr-FR"/>
        </w:rPr>
        <w:t>d’un appui technique</w:t>
      </w:r>
      <w:r w:rsidR="00547311" w:rsidRPr="008C52E5">
        <w:rPr>
          <w:lang w:val="fr-FR"/>
        </w:rPr>
        <w:t>, sur approbation du</w:t>
      </w:r>
      <w:r w:rsidRPr="008C52E5">
        <w:rPr>
          <w:lang w:val="fr-FR"/>
        </w:rPr>
        <w:t xml:space="preserve"> Bureau</w:t>
      </w:r>
      <w:r w:rsidR="00B11568" w:rsidRPr="008C52E5">
        <w:rPr>
          <w:lang w:val="fr-FR"/>
        </w:rPr>
        <w:t xml:space="preserve">. </w:t>
      </w:r>
      <w:r w:rsidRPr="008C52E5">
        <w:rPr>
          <w:lang w:val="fr-FR"/>
        </w:rPr>
        <w:t>Cet appui technique sera financé en partie par la Plateforme et en partie par les contributions en nature approuvées par la Plénière</w:t>
      </w:r>
      <w:r w:rsidR="00107F35" w:rsidRPr="008C52E5">
        <w:rPr>
          <w:lang w:val="fr-FR"/>
        </w:rPr>
        <w:t>.</w:t>
      </w:r>
    </w:p>
    <w:p w14:paraId="61CE2525" w14:textId="66D98BFB" w:rsidR="003F3EF1" w:rsidRPr="008C52E5" w:rsidRDefault="00270837" w:rsidP="002D75B3">
      <w:pPr>
        <w:pStyle w:val="CH3"/>
        <w:tabs>
          <w:tab w:val="clear" w:pos="851"/>
        </w:tabs>
        <w:ind w:hanging="680"/>
        <w:rPr>
          <w:rFonts w:eastAsia="SimSun"/>
          <w:lang w:val="fr-FR" w:eastAsia="zh-CN"/>
        </w:rPr>
      </w:pPr>
      <w:r w:rsidRPr="008C52E5">
        <w:rPr>
          <w:rFonts w:eastAsia="SimSun"/>
          <w:lang w:val="fr-FR" w:eastAsia="zh-CN"/>
        </w:rPr>
        <w:t>2.</w:t>
      </w:r>
      <w:r w:rsidRPr="008C52E5">
        <w:rPr>
          <w:rFonts w:eastAsia="SimSun"/>
          <w:lang w:val="fr-FR" w:eastAsia="zh-CN"/>
        </w:rPr>
        <w:tab/>
      </w:r>
      <w:r w:rsidR="00275781" w:rsidRPr="008C52E5">
        <w:rPr>
          <w:rFonts w:eastAsia="SimSun"/>
          <w:lang w:val="fr-FR" w:eastAsia="zh-CN"/>
        </w:rPr>
        <w:t>Réunions et étapes intermédiaires</w:t>
      </w:r>
      <w:r w:rsidR="003F3EF1" w:rsidRPr="008C52E5">
        <w:rPr>
          <w:rFonts w:eastAsia="SimSun"/>
          <w:lang w:val="fr-FR" w:eastAsia="zh-CN"/>
        </w:rPr>
        <w:t xml:space="preserve"> </w:t>
      </w:r>
    </w:p>
    <w:p w14:paraId="3C73F587" w14:textId="19AE251B" w:rsidR="00C53C6C" w:rsidRPr="008C52E5" w:rsidRDefault="00275781" w:rsidP="00C53C6C">
      <w:pPr>
        <w:pStyle w:val="Normalnumber"/>
        <w:numPr>
          <w:ilvl w:val="0"/>
          <w:numId w:val="5"/>
        </w:numPr>
        <w:tabs>
          <w:tab w:val="left" w:pos="1871"/>
          <w:tab w:val="left" w:pos="2495"/>
        </w:tabs>
        <w:ind w:left="1247" w:firstLine="0"/>
        <w:rPr>
          <w:lang w:val="fr-FR"/>
        </w:rPr>
      </w:pPr>
      <w:r w:rsidRPr="008C52E5">
        <w:rPr>
          <w:lang w:val="fr-FR"/>
        </w:rPr>
        <w:t xml:space="preserve">Un aperçu des </w:t>
      </w:r>
      <w:r w:rsidR="00547311" w:rsidRPr="008C52E5">
        <w:rPr>
          <w:lang w:val="fr-FR"/>
        </w:rPr>
        <w:t xml:space="preserve">activités </w:t>
      </w:r>
      <w:r w:rsidRPr="008C52E5">
        <w:rPr>
          <w:lang w:val="fr-FR"/>
        </w:rPr>
        <w:t xml:space="preserve">à mener </w:t>
      </w:r>
      <w:r w:rsidR="00547311" w:rsidRPr="008C52E5">
        <w:rPr>
          <w:lang w:val="fr-FR"/>
        </w:rPr>
        <w:t xml:space="preserve">pour exécuter </w:t>
      </w:r>
      <w:r w:rsidRPr="008C52E5">
        <w:rPr>
          <w:lang w:val="fr-FR"/>
        </w:rPr>
        <w:t>ce produit</w:t>
      </w:r>
      <w:r w:rsidR="00581730" w:rsidRPr="008C52E5">
        <w:rPr>
          <w:lang w:val="fr-FR"/>
        </w:rPr>
        <w:t xml:space="preserve"> est présenté ci-après</w:t>
      </w:r>
      <w:r w:rsidR="00C53C6C" w:rsidRPr="008C52E5">
        <w:rPr>
          <w:lang w:val="fr-FR"/>
        </w:rPr>
        <w:t xml:space="preserve">. </w:t>
      </w:r>
      <w:r w:rsidR="00581730" w:rsidRPr="008C52E5">
        <w:rPr>
          <w:lang w:val="fr-FR"/>
        </w:rPr>
        <w:t xml:space="preserve">Un projet de budget </w:t>
      </w:r>
      <w:r w:rsidR="00547311" w:rsidRPr="008C52E5">
        <w:rPr>
          <w:lang w:val="fr-FR"/>
        </w:rPr>
        <w:t xml:space="preserve">correspondant </w:t>
      </w:r>
      <w:r w:rsidR="00581730" w:rsidRPr="008C52E5">
        <w:rPr>
          <w:lang w:val="fr-FR"/>
        </w:rPr>
        <w:t>figure dans les tableaux </w:t>
      </w:r>
      <w:r w:rsidR="00ED3111" w:rsidRPr="008C52E5">
        <w:rPr>
          <w:lang w:val="fr-FR"/>
        </w:rPr>
        <w:t>A</w:t>
      </w:r>
      <w:r w:rsidR="00114549" w:rsidRPr="008C52E5">
        <w:rPr>
          <w:lang w:val="fr-FR"/>
        </w:rPr>
        <w:t>-1</w:t>
      </w:r>
      <w:r w:rsidR="00C53C6C" w:rsidRPr="008C52E5">
        <w:rPr>
          <w:lang w:val="fr-FR"/>
        </w:rPr>
        <w:t xml:space="preserve"> </w:t>
      </w:r>
      <w:r w:rsidR="00581730" w:rsidRPr="008C52E5">
        <w:rPr>
          <w:lang w:val="fr-FR"/>
        </w:rPr>
        <w:t>et</w:t>
      </w:r>
      <w:r w:rsidR="00C53C6C" w:rsidRPr="008C52E5">
        <w:rPr>
          <w:lang w:val="fr-FR"/>
        </w:rPr>
        <w:t xml:space="preserve"> </w:t>
      </w:r>
      <w:r w:rsidR="00114549" w:rsidRPr="008C52E5">
        <w:rPr>
          <w:lang w:val="fr-FR"/>
        </w:rPr>
        <w:t>A-2</w:t>
      </w:r>
      <w:r w:rsidR="00C53C6C" w:rsidRPr="008C52E5">
        <w:rPr>
          <w:lang w:val="fr-FR"/>
        </w:rPr>
        <w:t xml:space="preserve"> </w:t>
      </w:r>
      <w:r w:rsidR="00581730" w:rsidRPr="008C52E5">
        <w:rPr>
          <w:lang w:val="fr-FR"/>
        </w:rPr>
        <w:t xml:space="preserve">dans l’annexe </w:t>
      </w:r>
      <w:r w:rsidR="00547311" w:rsidRPr="008C52E5">
        <w:rPr>
          <w:lang w:val="fr-FR"/>
        </w:rPr>
        <w:t>d</w:t>
      </w:r>
      <w:r w:rsidR="00581730" w:rsidRPr="008C52E5">
        <w:rPr>
          <w:lang w:val="fr-FR"/>
        </w:rPr>
        <w:t>u</w:t>
      </w:r>
      <w:r w:rsidR="008C32C3">
        <w:rPr>
          <w:lang w:val="fr-FR"/>
        </w:rPr>
        <w:t xml:space="preserve"> document </w:t>
      </w:r>
      <w:r w:rsidR="00C53C6C" w:rsidRPr="008C52E5">
        <w:rPr>
          <w:lang w:val="fr-FR"/>
        </w:rPr>
        <w:t>IPBES/7/4.</w:t>
      </w:r>
      <w:bookmarkStart w:id="3" w:name="_Hlk536373952"/>
    </w:p>
    <w:tbl>
      <w:tblPr>
        <w:tblW w:w="8352" w:type="dxa"/>
        <w:tblInd w:w="1248" w:type="dxa"/>
        <w:tblLook w:val="04A0" w:firstRow="1" w:lastRow="0" w:firstColumn="1" w:lastColumn="0" w:noHBand="0" w:noVBand="1"/>
      </w:tblPr>
      <w:tblGrid>
        <w:gridCol w:w="1152"/>
        <w:gridCol w:w="7200"/>
      </w:tblGrid>
      <w:tr w:rsidR="00665656" w:rsidRPr="008C52E5" w14:paraId="607F4F8F" w14:textId="77777777" w:rsidTr="005C34BE">
        <w:trPr>
          <w:trHeight w:val="233"/>
          <w:tblHeader/>
        </w:trPr>
        <w:tc>
          <w:tcPr>
            <w:tcW w:w="1152" w:type="dxa"/>
            <w:tcBorders>
              <w:top w:val="single" w:sz="4" w:space="0" w:color="auto"/>
              <w:bottom w:val="single" w:sz="12" w:space="0" w:color="auto"/>
            </w:tcBorders>
            <w:shd w:val="clear" w:color="auto" w:fill="auto"/>
          </w:tcPr>
          <w:p w14:paraId="479F03E6" w14:textId="3499AB1E" w:rsidR="00665656" w:rsidRPr="008C52E5" w:rsidDel="003F5A7B" w:rsidRDefault="00581730" w:rsidP="00FC5E47">
            <w:pPr>
              <w:pStyle w:val="Normal-pool"/>
              <w:spacing w:before="20" w:after="20"/>
              <w:rPr>
                <w:rFonts w:eastAsia="SimSun"/>
                <w:sz w:val="18"/>
                <w:szCs w:val="18"/>
                <w:lang w:val="fr-FR" w:eastAsia="zh-CN"/>
              </w:rPr>
            </w:pPr>
            <w:r w:rsidRPr="008C52E5">
              <w:rPr>
                <w:rFonts w:eastAsia="SimSun"/>
                <w:i/>
                <w:sz w:val="18"/>
                <w:szCs w:val="18"/>
                <w:lang w:val="fr-FR" w:eastAsia="zh-CN"/>
              </w:rPr>
              <w:t>Calendrier</w:t>
            </w:r>
          </w:p>
        </w:tc>
        <w:tc>
          <w:tcPr>
            <w:tcW w:w="7200" w:type="dxa"/>
            <w:tcBorders>
              <w:top w:val="single" w:sz="4" w:space="0" w:color="auto"/>
              <w:bottom w:val="single" w:sz="12" w:space="0" w:color="auto"/>
            </w:tcBorders>
            <w:shd w:val="clear" w:color="auto" w:fill="auto"/>
            <w:vAlign w:val="center"/>
          </w:tcPr>
          <w:p w14:paraId="3A656FD0" w14:textId="3BFA248E" w:rsidR="00665656" w:rsidRPr="008C52E5" w:rsidDel="000C28ED" w:rsidRDefault="00581730" w:rsidP="0037124A">
            <w:pPr>
              <w:pStyle w:val="Normal-pool"/>
              <w:keepNext/>
              <w:keepLines/>
              <w:spacing w:before="20" w:after="20"/>
              <w:rPr>
                <w:rFonts w:eastAsia="SimSun"/>
                <w:sz w:val="18"/>
                <w:szCs w:val="18"/>
                <w:lang w:val="fr-FR" w:eastAsia="zh-CN"/>
              </w:rPr>
            </w:pPr>
            <w:r w:rsidRPr="008C52E5">
              <w:rPr>
                <w:rFonts w:eastAsia="SimSun"/>
                <w:i/>
                <w:sz w:val="18"/>
                <w:szCs w:val="18"/>
                <w:lang w:val="fr-FR" w:eastAsia="zh-CN"/>
              </w:rPr>
              <w:t>Réunions et étapes intermédiaires</w:t>
            </w:r>
          </w:p>
        </w:tc>
      </w:tr>
      <w:tr w:rsidR="00107BA7" w:rsidRPr="0082513F" w14:paraId="617275AF" w14:textId="77777777" w:rsidTr="00E8569A">
        <w:trPr>
          <w:trHeight w:val="233"/>
        </w:trPr>
        <w:tc>
          <w:tcPr>
            <w:tcW w:w="1152" w:type="dxa"/>
            <w:vMerge w:val="restart"/>
            <w:tcBorders>
              <w:top w:val="single" w:sz="12" w:space="0" w:color="auto"/>
            </w:tcBorders>
            <w:shd w:val="clear" w:color="auto" w:fill="auto"/>
            <w:vAlign w:val="center"/>
          </w:tcPr>
          <w:p w14:paraId="0F1C085B" w14:textId="77777777" w:rsidR="00107BA7" w:rsidRPr="008C52E5" w:rsidRDefault="00107BA7" w:rsidP="0082513F">
            <w:pPr>
              <w:pStyle w:val="Normal-pool"/>
              <w:spacing w:before="20" w:after="20"/>
              <w:ind w:right="-121"/>
              <w:rPr>
                <w:rFonts w:eastAsia="SimSun"/>
                <w:sz w:val="18"/>
                <w:szCs w:val="18"/>
                <w:lang w:val="fr-FR" w:eastAsia="zh-CN"/>
              </w:rPr>
            </w:pPr>
            <w:r w:rsidRPr="008C52E5">
              <w:rPr>
                <w:rFonts w:eastAsia="SimSun"/>
                <w:sz w:val="18"/>
                <w:szCs w:val="18"/>
                <w:lang w:val="fr-FR" w:eastAsia="zh-CN"/>
              </w:rPr>
              <w:t>2019</w:t>
            </w:r>
            <w:r w:rsidR="004A1FE9" w:rsidRPr="008C52E5">
              <w:rPr>
                <w:rFonts w:eastAsia="SimSun"/>
                <w:sz w:val="18"/>
                <w:szCs w:val="18"/>
                <w:lang w:val="fr-FR" w:eastAsia="zh-CN"/>
              </w:rPr>
              <w:t xml:space="preserve"> </w:t>
            </w:r>
          </w:p>
        </w:tc>
        <w:tc>
          <w:tcPr>
            <w:tcW w:w="7200" w:type="dxa"/>
            <w:tcBorders>
              <w:top w:val="single" w:sz="12" w:space="0" w:color="auto"/>
            </w:tcBorders>
            <w:shd w:val="clear" w:color="auto" w:fill="auto"/>
          </w:tcPr>
          <w:p w14:paraId="417931A6" w14:textId="14ABF2A5" w:rsidR="00107BA7" w:rsidRPr="008C52E5" w:rsidRDefault="00581730" w:rsidP="0037124A">
            <w:pPr>
              <w:pStyle w:val="Normal-pool"/>
              <w:keepNext/>
              <w:keepLines/>
              <w:spacing w:before="20" w:after="20"/>
              <w:rPr>
                <w:rFonts w:eastAsia="SimSun"/>
                <w:sz w:val="18"/>
                <w:szCs w:val="18"/>
                <w:lang w:val="fr-FR" w:eastAsia="zh-CN"/>
              </w:rPr>
            </w:pPr>
            <w:r w:rsidRPr="008C52E5">
              <w:rPr>
                <w:rFonts w:eastAsia="SimSun"/>
                <w:sz w:val="18"/>
                <w:szCs w:val="18"/>
                <w:lang w:val="fr-FR" w:eastAsia="zh-CN"/>
              </w:rPr>
              <w:t>La Plénière approuve le processus de cadrage complet</w:t>
            </w:r>
          </w:p>
        </w:tc>
      </w:tr>
      <w:tr w:rsidR="00107BA7" w:rsidRPr="0082513F" w14:paraId="5608C814" w14:textId="77777777" w:rsidTr="005C34BE">
        <w:trPr>
          <w:trHeight w:val="233"/>
        </w:trPr>
        <w:tc>
          <w:tcPr>
            <w:tcW w:w="1152" w:type="dxa"/>
            <w:vMerge/>
            <w:shd w:val="clear" w:color="auto" w:fill="auto"/>
            <w:vAlign w:val="center"/>
          </w:tcPr>
          <w:p w14:paraId="7F19A63E" w14:textId="77777777" w:rsidR="00107BA7" w:rsidRPr="008C52E5" w:rsidRDefault="00107BA7" w:rsidP="00FC5E47">
            <w:pPr>
              <w:pStyle w:val="Normal-pool"/>
              <w:spacing w:before="20" w:after="20"/>
              <w:rPr>
                <w:rFonts w:eastAsia="SimSun"/>
                <w:sz w:val="18"/>
                <w:szCs w:val="18"/>
                <w:lang w:val="fr-FR" w:eastAsia="zh-CN"/>
              </w:rPr>
            </w:pPr>
          </w:p>
        </w:tc>
        <w:tc>
          <w:tcPr>
            <w:tcW w:w="7200" w:type="dxa"/>
            <w:shd w:val="clear" w:color="auto" w:fill="auto"/>
          </w:tcPr>
          <w:p w14:paraId="160B9967" w14:textId="03BDF6A0" w:rsidR="00107BA7" w:rsidRPr="008C52E5" w:rsidRDefault="00581730">
            <w:pPr>
              <w:pStyle w:val="Normal-pool"/>
              <w:keepNext/>
              <w:keepLines/>
              <w:spacing w:before="20" w:after="20"/>
              <w:rPr>
                <w:rFonts w:eastAsia="SimSun"/>
                <w:sz w:val="18"/>
                <w:szCs w:val="18"/>
                <w:lang w:val="fr-FR" w:eastAsia="zh-CN"/>
              </w:rPr>
            </w:pPr>
            <w:r w:rsidRPr="008C52E5">
              <w:rPr>
                <w:rFonts w:eastAsia="SimSun"/>
                <w:sz w:val="18"/>
                <w:szCs w:val="18"/>
                <w:lang w:val="fr-FR" w:eastAsia="zh-CN"/>
              </w:rPr>
              <w:t>Conférence de cadrage en ligne</w:t>
            </w:r>
          </w:p>
        </w:tc>
      </w:tr>
      <w:tr w:rsidR="00107BA7" w:rsidRPr="0082513F" w14:paraId="6A2666DE" w14:textId="77777777" w:rsidTr="005C34BE">
        <w:trPr>
          <w:trHeight w:val="233"/>
        </w:trPr>
        <w:tc>
          <w:tcPr>
            <w:tcW w:w="1152" w:type="dxa"/>
            <w:vMerge/>
            <w:shd w:val="clear" w:color="auto" w:fill="auto"/>
            <w:vAlign w:val="center"/>
          </w:tcPr>
          <w:p w14:paraId="29F081EE" w14:textId="77777777" w:rsidR="00107BA7" w:rsidRPr="008C52E5" w:rsidRDefault="00107BA7" w:rsidP="00FC5E47">
            <w:pPr>
              <w:pStyle w:val="Normal-pool"/>
              <w:spacing w:before="20" w:after="20"/>
              <w:rPr>
                <w:rFonts w:eastAsia="SimSun"/>
                <w:sz w:val="18"/>
                <w:szCs w:val="18"/>
                <w:lang w:val="fr-FR" w:eastAsia="zh-CN"/>
              </w:rPr>
            </w:pPr>
          </w:p>
        </w:tc>
        <w:tc>
          <w:tcPr>
            <w:tcW w:w="7200" w:type="dxa"/>
            <w:shd w:val="clear" w:color="auto" w:fill="auto"/>
          </w:tcPr>
          <w:p w14:paraId="0AB55910" w14:textId="1F75E540" w:rsidR="00107BA7" w:rsidRPr="008C52E5" w:rsidRDefault="00581730">
            <w:pPr>
              <w:pStyle w:val="Normal-pool"/>
              <w:keepNext/>
              <w:keepLines/>
              <w:spacing w:before="20" w:after="20"/>
              <w:rPr>
                <w:rFonts w:eastAsia="SimSun"/>
                <w:sz w:val="18"/>
                <w:szCs w:val="18"/>
                <w:lang w:val="fr-FR" w:eastAsia="zh-CN"/>
              </w:rPr>
            </w:pPr>
            <w:r w:rsidRPr="008C52E5">
              <w:rPr>
                <w:rFonts w:eastAsia="SimSun"/>
                <w:sz w:val="18"/>
                <w:szCs w:val="18"/>
                <w:lang w:val="fr-FR" w:eastAsia="zh-CN"/>
              </w:rPr>
              <w:t>Désignation</w:t>
            </w:r>
            <w:r w:rsidR="00107BA7" w:rsidRPr="008C52E5">
              <w:rPr>
                <w:rFonts w:eastAsia="SimSun"/>
                <w:sz w:val="18"/>
                <w:szCs w:val="18"/>
                <w:lang w:val="fr-FR" w:eastAsia="zh-CN"/>
              </w:rPr>
              <w:t xml:space="preserve"> </w:t>
            </w:r>
            <w:r w:rsidRPr="008C52E5">
              <w:rPr>
                <w:rFonts w:eastAsia="SimSun"/>
                <w:sz w:val="18"/>
                <w:szCs w:val="18"/>
                <w:lang w:val="fr-FR" w:eastAsia="zh-CN"/>
              </w:rPr>
              <w:t>et</w:t>
            </w:r>
            <w:r w:rsidR="00107BA7" w:rsidRPr="008C52E5">
              <w:rPr>
                <w:rFonts w:eastAsia="SimSun"/>
                <w:sz w:val="18"/>
                <w:szCs w:val="18"/>
                <w:lang w:val="fr-FR" w:eastAsia="zh-CN"/>
              </w:rPr>
              <w:t xml:space="preserve"> s</w:t>
            </w:r>
            <w:r w:rsidRPr="008C52E5">
              <w:rPr>
                <w:rFonts w:eastAsia="SimSun"/>
                <w:sz w:val="18"/>
                <w:szCs w:val="18"/>
                <w:lang w:val="fr-FR" w:eastAsia="zh-CN"/>
              </w:rPr>
              <w:t>é</w:t>
            </w:r>
            <w:r w:rsidR="00107BA7" w:rsidRPr="008C52E5">
              <w:rPr>
                <w:rFonts w:eastAsia="SimSun"/>
                <w:sz w:val="18"/>
                <w:szCs w:val="18"/>
                <w:lang w:val="fr-FR" w:eastAsia="zh-CN"/>
              </w:rPr>
              <w:t xml:space="preserve">lection </w:t>
            </w:r>
            <w:r w:rsidRPr="008C52E5">
              <w:rPr>
                <w:rFonts w:eastAsia="SimSun"/>
                <w:sz w:val="18"/>
                <w:szCs w:val="18"/>
                <w:lang w:val="fr-FR" w:eastAsia="zh-CN"/>
              </w:rPr>
              <w:t>d</w:t>
            </w:r>
            <w:r w:rsidR="00E84E16" w:rsidRPr="008C52E5">
              <w:rPr>
                <w:rFonts w:eastAsia="SimSun"/>
                <w:sz w:val="18"/>
                <w:szCs w:val="18"/>
                <w:lang w:val="fr-FR" w:eastAsia="zh-CN"/>
              </w:rPr>
              <w:t xml:space="preserve">es </w:t>
            </w:r>
            <w:r w:rsidRPr="008C52E5">
              <w:rPr>
                <w:rFonts w:eastAsia="SimSun"/>
                <w:sz w:val="18"/>
                <w:szCs w:val="18"/>
                <w:lang w:val="fr-FR" w:eastAsia="zh-CN"/>
              </w:rPr>
              <w:t>experts chargés du cadrage</w:t>
            </w:r>
          </w:p>
        </w:tc>
      </w:tr>
      <w:tr w:rsidR="00107BA7" w:rsidRPr="008C52E5" w14:paraId="07922EFA" w14:textId="77777777" w:rsidTr="005C34BE">
        <w:trPr>
          <w:trHeight w:val="233"/>
        </w:trPr>
        <w:tc>
          <w:tcPr>
            <w:tcW w:w="1152" w:type="dxa"/>
            <w:vMerge/>
            <w:shd w:val="clear" w:color="auto" w:fill="auto"/>
            <w:vAlign w:val="center"/>
          </w:tcPr>
          <w:p w14:paraId="5E454B5B" w14:textId="77777777" w:rsidR="00107BA7" w:rsidRPr="008C52E5" w:rsidRDefault="00107BA7" w:rsidP="00FC5E47">
            <w:pPr>
              <w:pStyle w:val="Normal-pool"/>
              <w:spacing w:before="20" w:after="20"/>
              <w:rPr>
                <w:rFonts w:eastAsia="SimSun"/>
                <w:sz w:val="18"/>
                <w:szCs w:val="18"/>
                <w:lang w:val="fr-FR" w:eastAsia="zh-CN"/>
              </w:rPr>
            </w:pPr>
          </w:p>
        </w:tc>
        <w:tc>
          <w:tcPr>
            <w:tcW w:w="7200" w:type="dxa"/>
            <w:shd w:val="clear" w:color="auto" w:fill="auto"/>
          </w:tcPr>
          <w:p w14:paraId="2368D3CD" w14:textId="5B52A378" w:rsidR="00107BA7" w:rsidRPr="008C52E5" w:rsidRDefault="00581730">
            <w:pPr>
              <w:pStyle w:val="Normal-pool"/>
              <w:keepNext/>
              <w:keepLines/>
              <w:spacing w:before="20" w:after="20"/>
              <w:rPr>
                <w:rFonts w:eastAsia="SimSun"/>
                <w:sz w:val="18"/>
                <w:szCs w:val="18"/>
                <w:lang w:val="fr-FR" w:eastAsia="zh-CN"/>
              </w:rPr>
            </w:pPr>
            <w:r w:rsidRPr="008C52E5">
              <w:rPr>
                <w:rFonts w:eastAsia="SimSun"/>
                <w:sz w:val="18"/>
                <w:szCs w:val="18"/>
                <w:lang w:val="fr-FR" w:eastAsia="zh-CN"/>
              </w:rPr>
              <w:t>Réunion de cadrage</w:t>
            </w:r>
          </w:p>
        </w:tc>
      </w:tr>
      <w:tr w:rsidR="00107BA7" w:rsidRPr="0082513F" w14:paraId="6E9B9E2E" w14:textId="77777777" w:rsidTr="005C34BE">
        <w:trPr>
          <w:trHeight w:val="181"/>
        </w:trPr>
        <w:tc>
          <w:tcPr>
            <w:tcW w:w="1152" w:type="dxa"/>
            <w:vMerge w:val="restart"/>
            <w:shd w:val="clear" w:color="auto" w:fill="auto"/>
            <w:vAlign w:val="center"/>
          </w:tcPr>
          <w:p w14:paraId="0E20D596" w14:textId="77777777" w:rsidR="00107BA7" w:rsidRPr="008C52E5" w:rsidRDefault="00107BA7" w:rsidP="00FC5E47">
            <w:pPr>
              <w:pStyle w:val="Normal-pool"/>
              <w:spacing w:before="20" w:after="20"/>
              <w:rPr>
                <w:rFonts w:eastAsia="SimSun"/>
                <w:sz w:val="18"/>
                <w:szCs w:val="18"/>
                <w:lang w:val="fr-FR" w:eastAsia="zh-CN"/>
              </w:rPr>
            </w:pPr>
            <w:r w:rsidRPr="008C52E5">
              <w:rPr>
                <w:rFonts w:eastAsia="SimSun"/>
                <w:sz w:val="18"/>
                <w:szCs w:val="18"/>
                <w:lang w:val="fr-FR" w:eastAsia="zh-CN"/>
              </w:rPr>
              <w:t>2020</w:t>
            </w:r>
          </w:p>
        </w:tc>
        <w:tc>
          <w:tcPr>
            <w:tcW w:w="7200" w:type="dxa"/>
            <w:shd w:val="clear" w:color="auto" w:fill="auto"/>
          </w:tcPr>
          <w:p w14:paraId="1CAE87C7" w14:textId="5A2F6F28" w:rsidR="00107BA7" w:rsidRPr="008C52E5" w:rsidRDefault="00581730" w:rsidP="0037124A">
            <w:pPr>
              <w:pStyle w:val="Normal-pool"/>
              <w:keepNext/>
              <w:keepLines/>
              <w:spacing w:before="20" w:after="20"/>
              <w:rPr>
                <w:rFonts w:eastAsia="SimSun"/>
                <w:sz w:val="18"/>
                <w:szCs w:val="18"/>
                <w:lang w:val="fr-FR" w:eastAsia="zh-CN"/>
              </w:rPr>
            </w:pPr>
            <w:r w:rsidRPr="008C52E5">
              <w:rPr>
                <w:rFonts w:eastAsia="SimSun"/>
                <w:sz w:val="18"/>
                <w:szCs w:val="18"/>
                <w:lang w:val="fr-FR" w:eastAsia="zh-CN"/>
              </w:rPr>
              <w:t>La Plénière examine et approuve le document de cadrage et</w:t>
            </w:r>
            <w:r w:rsidR="00107BA7" w:rsidRPr="008C52E5">
              <w:rPr>
                <w:rFonts w:eastAsia="SimSun"/>
                <w:sz w:val="18"/>
                <w:szCs w:val="18"/>
                <w:lang w:val="fr-FR" w:eastAsia="zh-CN"/>
              </w:rPr>
              <w:t xml:space="preserve"> </w:t>
            </w:r>
            <w:r w:rsidR="00EF0D72" w:rsidRPr="008C52E5">
              <w:rPr>
                <w:rFonts w:eastAsia="SimSun"/>
                <w:sz w:val="18"/>
                <w:szCs w:val="18"/>
                <w:lang w:val="fr-FR" w:eastAsia="zh-CN"/>
              </w:rPr>
              <w:t xml:space="preserve">le </w:t>
            </w:r>
            <w:r w:rsidR="00E84E16" w:rsidRPr="008C52E5">
              <w:rPr>
                <w:rFonts w:eastAsia="SimSun"/>
                <w:sz w:val="18"/>
                <w:szCs w:val="18"/>
                <w:lang w:val="fr-FR" w:eastAsia="zh-CN"/>
              </w:rPr>
              <w:t>lancement de l’évaluation</w:t>
            </w:r>
          </w:p>
        </w:tc>
      </w:tr>
      <w:tr w:rsidR="00107BA7" w:rsidRPr="0082513F" w14:paraId="650EEB9D" w14:textId="77777777" w:rsidTr="005C34BE">
        <w:trPr>
          <w:trHeight w:val="181"/>
        </w:trPr>
        <w:tc>
          <w:tcPr>
            <w:tcW w:w="1152" w:type="dxa"/>
            <w:vMerge/>
            <w:shd w:val="clear" w:color="auto" w:fill="auto"/>
            <w:vAlign w:val="center"/>
          </w:tcPr>
          <w:p w14:paraId="63103016" w14:textId="77777777" w:rsidR="00107BA7" w:rsidRPr="008C52E5" w:rsidRDefault="00107BA7" w:rsidP="00FC5E47">
            <w:pPr>
              <w:pStyle w:val="Normal-pool"/>
              <w:spacing w:before="20" w:after="20"/>
              <w:rPr>
                <w:rFonts w:eastAsia="SimSun"/>
                <w:sz w:val="18"/>
                <w:szCs w:val="18"/>
                <w:lang w:val="fr-FR" w:eastAsia="zh-CN"/>
              </w:rPr>
            </w:pPr>
          </w:p>
        </w:tc>
        <w:tc>
          <w:tcPr>
            <w:tcW w:w="7200" w:type="dxa"/>
            <w:shd w:val="clear" w:color="auto" w:fill="auto"/>
          </w:tcPr>
          <w:p w14:paraId="7F11B30D" w14:textId="3F55B295" w:rsidR="00107BA7" w:rsidRPr="008C52E5" w:rsidRDefault="00E84E16">
            <w:pPr>
              <w:pStyle w:val="Normal-pool"/>
              <w:keepNext/>
              <w:keepLines/>
              <w:spacing w:before="20" w:after="20"/>
              <w:rPr>
                <w:rFonts w:eastAsia="SimSun"/>
                <w:sz w:val="18"/>
                <w:szCs w:val="18"/>
                <w:lang w:val="fr-FR" w:eastAsia="zh-CN"/>
              </w:rPr>
            </w:pPr>
            <w:r w:rsidRPr="008C52E5">
              <w:rPr>
                <w:rFonts w:eastAsia="SimSun"/>
                <w:sz w:val="18"/>
                <w:szCs w:val="18"/>
                <w:lang w:val="fr-FR" w:eastAsia="zh-CN"/>
              </w:rPr>
              <w:t>Désignation et sélection des experts chargés de l’évaluation</w:t>
            </w:r>
          </w:p>
        </w:tc>
      </w:tr>
      <w:tr w:rsidR="00107BA7" w:rsidRPr="0082513F" w14:paraId="27206E81" w14:textId="77777777" w:rsidTr="005C34BE">
        <w:trPr>
          <w:trHeight w:val="189"/>
        </w:trPr>
        <w:tc>
          <w:tcPr>
            <w:tcW w:w="1152" w:type="dxa"/>
            <w:vMerge/>
            <w:shd w:val="clear" w:color="auto" w:fill="auto"/>
            <w:vAlign w:val="center"/>
          </w:tcPr>
          <w:p w14:paraId="0871C379" w14:textId="77777777" w:rsidR="00107BA7" w:rsidRPr="008C52E5" w:rsidRDefault="00107BA7" w:rsidP="00FC5E47">
            <w:pPr>
              <w:pStyle w:val="Normal-pool"/>
              <w:spacing w:before="20" w:after="20"/>
              <w:rPr>
                <w:rFonts w:eastAsia="SimSun"/>
                <w:sz w:val="18"/>
                <w:szCs w:val="18"/>
                <w:lang w:val="fr-FR" w:eastAsia="zh-CN"/>
              </w:rPr>
            </w:pPr>
          </w:p>
        </w:tc>
        <w:tc>
          <w:tcPr>
            <w:tcW w:w="7200" w:type="dxa"/>
            <w:shd w:val="clear" w:color="auto" w:fill="auto"/>
          </w:tcPr>
          <w:p w14:paraId="0F64BFD8" w14:textId="6F3FBC80" w:rsidR="00107BA7" w:rsidRPr="008C52E5" w:rsidRDefault="00E84E16">
            <w:pPr>
              <w:pStyle w:val="Normal-pool"/>
              <w:keepNext/>
              <w:keepLines/>
              <w:spacing w:before="20" w:after="20"/>
              <w:rPr>
                <w:rFonts w:eastAsia="SimSun"/>
                <w:sz w:val="18"/>
                <w:szCs w:val="18"/>
                <w:lang w:val="fr-FR" w:eastAsia="zh-CN"/>
              </w:rPr>
            </w:pPr>
            <w:r w:rsidRPr="008C52E5">
              <w:rPr>
                <w:rFonts w:eastAsia="SimSun"/>
                <w:sz w:val="18"/>
                <w:szCs w:val="18"/>
                <w:lang w:val="fr-FR" w:eastAsia="zh-CN"/>
              </w:rPr>
              <w:t>Réunion du comité de direction</w:t>
            </w:r>
          </w:p>
        </w:tc>
      </w:tr>
      <w:tr w:rsidR="00107BA7" w:rsidRPr="008C52E5" w14:paraId="14FFA2E4" w14:textId="77777777" w:rsidTr="005C34BE">
        <w:trPr>
          <w:trHeight w:val="189"/>
        </w:trPr>
        <w:tc>
          <w:tcPr>
            <w:tcW w:w="1152" w:type="dxa"/>
            <w:vMerge/>
            <w:shd w:val="clear" w:color="auto" w:fill="auto"/>
            <w:vAlign w:val="center"/>
          </w:tcPr>
          <w:p w14:paraId="223C04B6" w14:textId="77777777" w:rsidR="00107BA7" w:rsidRPr="008C52E5" w:rsidRDefault="00107BA7" w:rsidP="00FC5E47">
            <w:pPr>
              <w:pStyle w:val="Normal-pool"/>
              <w:spacing w:before="20" w:after="20"/>
              <w:rPr>
                <w:rFonts w:eastAsia="SimSun"/>
                <w:sz w:val="18"/>
                <w:szCs w:val="18"/>
                <w:lang w:val="fr-FR" w:eastAsia="zh-CN"/>
              </w:rPr>
            </w:pPr>
          </w:p>
        </w:tc>
        <w:tc>
          <w:tcPr>
            <w:tcW w:w="7200" w:type="dxa"/>
            <w:shd w:val="clear" w:color="auto" w:fill="auto"/>
          </w:tcPr>
          <w:p w14:paraId="738D7648" w14:textId="2F36E06A" w:rsidR="00107BA7" w:rsidRPr="008C52E5" w:rsidRDefault="00E84E16">
            <w:pPr>
              <w:pStyle w:val="Normal-pool"/>
              <w:keepNext/>
              <w:keepLines/>
              <w:tabs>
                <w:tab w:val="left" w:pos="4965"/>
              </w:tabs>
              <w:spacing w:before="20" w:after="20"/>
              <w:rPr>
                <w:rFonts w:eastAsia="SimSun"/>
                <w:sz w:val="18"/>
                <w:szCs w:val="18"/>
                <w:lang w:val="fr-FR" w:eastAsia="zh-CN"/>
              </w:rPr>
            </w:pPr>
            <w:r w:rsidRPr="008C52E5">
              <w:rPr>
                <w:rFonts w:eastAsia="SimSun"/>
                <w:sz w:val="18"/>
                <w:szCs w:val="18"/>
                <w:lang w:val="fr-FR" w:eastAsia="zh-CN"/>
              </w:rPr>
              <w:t>Première réunion des auteurs</w:t>
            </w:r>
          </w:p>
        </w:tc>
      </w:tr>
      <w:tr w:rsidR="00107BA7" w:rsidRPr="0082513F" w14:paraId="7A515A60" w14:textId="77777777" w:rsidTr="005C34BE">
        <w:trPr>
          <w:trHeight w:val="298"/>
        </w:trPr>
        <w:tc>
          <w:tcPr>
            <w:tcW w:w="1152" w:type="dxa"/>
            <w:vMerge/>
            <w:shd w:val="clear" w:color="auto" w:fill="auto"/>
            <w:vAlign w:val="center"/>
          </w:tcPr>
          <w:p w14:paraId="2E18CCB0" w14:textId="77777777" w:rsidR="00107BA7" w:rsidRPr="008C52E5" w:rsidRDefault="00107BA7" w:rsidP="00FC5E47">
            <w:pPr>
              <w:pStyle w:val="Normal-pool"/>
              <w:spacing w:before="20" w:after="20"/>
              <w:rPr>
                <w:rFonts w:eastAsia="SimSun"/>
                <w:sz w:val="18"/>
                <w:szCs w:val="18"/>
                <w:lang w:val="fr-FR" w:eastAsia="zh-CN"/>
              </w:rPr>
            </w:pPr>
          </w:p>
        </w:tc>
        <w:tc>
          <w:tcPr>
            <w:tcW w:w="7200" w:type="dxa"/>
            <w:shd w:val="clear" w:color="auto" w:fill="auto"/>
          </w:tcPr>
          <w:p w14:paraId="087136D6" w14:textId="5149DB8B" w:rsidR="00107BA7" w:rsidRPr="008C52E5" w:rsidRDefault="00E84E16">
            <w:pPr>
              <w:pStyle w:val="Normal-pool"/>
              <w:spacing w:before="20" w:after="20"/>
              <w:rPr>
                <w:rFonts w:eastAsia="SimSun"/>
                <w:sz w:val="18"/>
                <w:szCs w:val="18"/>
                <w:lang w:val="fr-FR" w:eastAsia="zh-CN"/>
              </w:rPr>
            </w:pPr>
            <w:r w:rsidRPr="008C52E5">
              <w:rPr>
                <w:rFonts w:eastAsia="SimSun"/>
                <w:sz w:val="18"/>
                <w:szCs w:val="18"/>
                <w:lang w:val="fr-FR" w:eastAsia="zh-CN"/>
              </w:rPr>
              <w:t>Premier dialogue sur les</w:t>
            </w:r>
            <w:r w:rsidR="00107BA7" w:rsidRPr="008C52E5">
              <w:rPr>
                <w:rFonts w:eastAsia="SimSun"/>
                <w:sz w:val="18"/>
                <w:szCs w:val="18"/>
                <w:lang w:val="fr-FR" w:eastAsia="zh-CN"/>
              </w:rPr>
              <w:t xml:space="preserve"> </w:t>
            </w:r>
            <w:r w:rsidRPr="008C52E5">
              <w:rPr>
                <w:rFonts w:eastAsia="SimSun"/>
                <w:sz w:val="18"/>
                <w:szCs w:val="18"/>
                <w:lang w:val="fr-FR" w:eastAsia="zh-CN"/>
              </w:rPr>
              <w:t>savoirs autochtones et locaux</w:t>
            </w:r>
          </w:p>
        </w:tc>
      </w:tr>
      <w:tr w:rsidR="00B71B19" w:rsidRPr="0082513F" w14:paraId="3142F3C5" w14:textId="77777777" w:rsidTr="005C34BE">
        <w:trPr>
          <w:trHeight w:val="64"/>
        </w:trPr>
        <w:tc>
          <w:tcPr>
            <w:tcW w:w="1152" w:type="dxa"/>
            <w:vMerge w:val="restart"/>
            <w:shd w:val="clear" w:color="auto" w:fill="auto"/>
            <w:vAlign w:val="center"/>
          </w:tcPr>
          <w:p w14:paraId="1E04FC47" w14:textId="77777777" w:rsidR="00B71B19" w:rsidRPr="008C52E5" w:rsidRDefault="00B71B19" w:rsidP="00FC5E47">
            <w:pPr>
              <w:pStyle w:val="Normal-pool"/>
              <w:spacing w:before="20" w:after="20"/>
              <w:rPr>
                <w:rFonts w:eastAsia="SimSun"/>
                <w:sz w:val="18"/>
                <w:szCs w:val="18"/>
                <w:lang w:val="fr-FR" w:eastAsia="zh-CN"/>
              </w:rPr>
            </w:pPr>
            <w:r w:rsidRPr="008C52E5">
              <w:rPr>
                <w:rFonts w:eastAsia="SimSun"/>
                <w:sz w:val="18"/>
                <w:szCs w:val="18"/>
                <w:lang w:val="fr-FR" w:eastAsia="zh-CN"/>
              </w:rPr>
              <w:t>2021</w:t>
            </w:r>
          </w:p>
        </w:tc>
        <w:tc>
          <w:tcPr>
            <w:tcW w:w="7200" w:type="dxa"/>
            <w:shd w:val="clear" w:color="auto" w:fill="auto"/>
          </w:tcPr>
          <w:p w14:paraId="404EFCBF" w14:textId="12921644" w:rsidR="00B71B19" w:rsidRPr="008C52E5" w:rsidRDefault="00E84E16">
            <w:pPr>
              <w:pStyle w:val="Normal-pool"/>
              <w:spacing w:before="20" w:after="20"/>
              <w:rPr>
                <w:rFonts w:eastAsia="SimSun"/>
                <w:sz w:val="18"/>
                <w:szCs w:val="18"/>
                <w:lang w:val="fr-FR" w:eastAsia="zh-CN"/>
              </w:rPr>
            </w:pPr>
            <w:r w:rsidRPr="008C52E5">
              <w:rPr>
                <w:rFonts w:eastAsia="SimSun"/>
                <w:sz w:val="18"/>
                <w:szCs w:val="18"/>
                <w:lang w:val="fr-FR" w:eastAsia="zh-CN"/>
              </w:rPr>
              <w:t>Premier examen </w:t>
            </w:r>
            <w:r w:rsidR="00B71B19" w:rsidRPr="008C52E5">
              <w:rPr>
                <w:rFonts w:eastAsia="SimSun"/>
                <w:sz w:val="18"/>
                <w:szCs w:val="18"/>
                <w:lang w:val="fr-FR" w:eastAsia="zh-CN"/>
              </w:rPr>
              <w:t xml:space="preserve">: </w:t>
            </w:r>
            <w:r w:rsidRPr="008C52E5">
              <w:rPr>
                <w:rFonts w:eastAsia="SimSun"/>
                <w:sz w:val="18"/>
                <w:szCs w:val="18"/>
                <w:lang w:val="fr-FR" w:eastAsia="zh-CN"/>
              </w:rPr>
              <w:t>examen</w:t>
            </w:r>
            <w:r w:rsidR="00B71B19" w:rsidRPr="008C52E5">
              <w:rPr>
                <w:rFonts w:eastAsia="SimSun"/>
                <w:sz w:val="18"/>
                <w:szCs w:val="18"/>
                <w:lang w:val="fr-FR" w:eastAsia="zh-CN"/>
              </w:rPr>
              <w:t xml:space="preserve"> </w:t>
            </w:r>
            <w:r w:rsidRPr="008C52E5">
              <w:rPr>
                <w:rFonts w:eastAsia="SimSun"/>
                <w:sz w:val="18"/>
                <w:szCs w:val="18"/>
                <w:lang w:val="fr-FR" w:eastAsia="zh-CN"/>
              </w:rPr>
              <w:t>de la première version des projets de chapitre de l’évaluation</w:t>
            </w:r>
          </w:p>
        </w:tc>
      </w:tr>
      <w:tr w:rsidR="00B71B19" w:rsidRPr="0082513F" w14:paraId="2EEAA67D" w14:textId="77777777" w:rsidTr="005C34BE">
        <w:trPr>
          <w:trHeight w:val="64"/>
        </w:trPr>
        <w:tc>
          <w:tcPr>
            <w:tcW w:w="1152" w:type="dxa"/>
            <w:vMerge/>
            <w:shd w:val="clear" w:color="auto" w:fill="auto"/>
            <w:vAlign w:val="center"/>
          </w:tcPr>
          <w:p w14:paraId="708E91DF" w14:textId="77777777" w:rsidR="00B71B19" w:rsidRPr="008C52E5" w:rsidRDefault="00B71B19" w:rsidP="00FC5E47">
            <w:pPr>
              <w:pStyle w:val="Normal-pool"/>
              <w:spacing w:before="20" w:after="20"/>
              <w:rPr>
                <w:rFonts w:eastAsia="SimSun"/>
                <w:sz w:val="18"/>
                <w:szCs w:val="18"/>
                <w:lang w:val="fr-FR" w:eastAsia="zh-CN"/>
              </w:rPr>
            </w:pPr>
          </w:p>
        </w:tc>
        <w:tc>
          <w:tcPr>
            <w:tcW w:w="7200" w:type="dxa"/>
            <w:shd w:val="clear" w:color="auto" w:fill="auto"/>
          </w:tcPr>
          <w:p w14:paraId="287F18E4" w14:textId="66B14D3B" w:rsidR="00B71B19" w:rsidRPr="008C52E5" w:rsidRDefault="00E84E16">
            <w:pPr>
              <w:pStyle w:val="Normal-pool"/>
              <w:spacing w:before="20" w:after="20"/>
              <w:rPr>
                <w:rFonts w:eastAsia="SimSun"/>
                <w:sz w:val="18"/>
                <w:szCs w:val="18"/>
                <w:lang w:val="fr-FR" w:eastAsia="zh-CN"/>
              </w:rPr>
            </w:pPr>
            <w:r w:rsidRPr="008C52E5">
              <w:rPr>
                <w:rFonts w:eastAsia="SimSun"/>
                <w:sz w:val="18"/>
                <w:szCs w:val="18"/>
                <w:lang w:val="fr-FR" w:eastAsia="zh-CN"/>
              </w:rPr>
              <w:t>Deuxième</w:t>
            </w:r>
            <w:r w:rsidR="00B71B19" w:rsidRPr="008C52E5">
              <w:rPr>
                <w:rFonts w:eastAsia="SimSun"/>
                <w:sz w:val="18"/>
                <w:szCs w:val="18"/>
                <w:lang w:val="fr-FR" w:eastAsia="zh-CN"/>
              </w:rPr>
              <w:t xml:space="preserve"> </w:t>
            </w:r>
            <w:r w:rsidRPr="008C52E5">
              <w:rPr>
                <w:rFonts w:eastAsia="SimSun"/>
                <w:sz w:val="18"/>
                <w:szCs w:val="18"/>
                <w:lang w:val="fr-FR" w:eastAsia="zh-CN"/>
              </w:rPr>
              <w:t xml:space="preserve">dialogue sur les savoirs autochtones et locaux </w:t>
            </w:r>
          </w:p>
        </w:tc>
      </w:tr>
      <w:tr w:rsidR="00B71B19" w:rsidRPr="008C52E5" w14:paraId="58DCC6FF" w14:textId="77777777" w:rsidTr="005C34BE">
        <w:trPr>
          <w:trHeight w:val="242"/>
        </w:trPr>
        <w:tc>
          <w:tcPr>
            <w:tcW w:w="1152" w:type="dxa"/>
            <w:vMerge/>
            <w:shd w:val="clear" w:color="auto" w:fill="auto"/>
            <w:vAlign w:val="center"/>
          </w:tcPr>
          <w:p w14:paraId="7B01E412" w14:textId="77777777" w:rsidR="00B71B19" w:rsidRPr="008C52E5" w:rsidRDefault="00B71B19" w:rsidP="00FC5E47">
            <w:pPr>
              <w:pStyle w:val="Normal-pool"/>
              <w:spacing w:before="20" w:after="20"/>
              <w:rPr>
                <w:rFonts w:eastAsia="SimSun"/>
                <w:sz w:val="18"/>
                <w:szCs w:val="18"/>
                <w:lang w:val="fr-FR" w:eastAsia="zh-CN"/>
              </w:rPr>
            </w:pPr>
          </w:p>
        </w:tc>
        <w:tc>
          <w:tcPr>
            <w:tcW w:w="7200" w:type="dxa"/>
            <w:shd w:val="clear" w:color="auto" w:fill="auto"/>
          </w:tcPr>
          <w:p w14:paraId="12977E81" w14:textId="6CF6D94D" w:rsidR="00B71B19" w:rsidRPr="008C52E5" w:rsidRDefault="00E84E16">
            <w:pPr>
              <w:pStyle w:val="Normal-pool"/>
              <w:spacing w:before="20" w:after="20"/>
              <w:rPr>
                <w:rFonts w:eastAsia="SimSun"/>
                <w:sz w:val="18"/>
                <w:szCs w:val="18"/>
                <w:lang w:val="fr-FR" w:eastAsia="zh-CN"/>
              </w:rPr>
            </w:pPr>
            <w:r w:rsidRPr="008C52E5">
              <w:rPr>
                <w:rFonts w:eastAsia="SimSun"/>
                <w:sz w:val="18"/>
                <w:szCs w:val="18"/>
                <w:lang w:val="fr-FR" w:eastAsia="zh-CN"/>
              </w:rPr>
              <w:t>Deuxième réunion des auteurs</w:t>
            </w:r>
          </w:p>
        </w:tc>
      </w:tr>
      <w:tr w:rsidR="00B71B19" w:rsidRPr="0082513F" w14:paraId="762F876D" w14:textId="77777777" w:rsidTr="005C34BE">
        <w:trPr>
          <w:trHeight w:val="280"/>
        </w:trPr>
        <w:tc>
          <w:tcPr>
            <w:tcW w:w="1152" w:type="dxa"/>
            <w:vMerge/>
            <w:shd w:val="clear" w:color="auto" w:fill="auto"/>
            <w:vAlign w:val="center"/>
          </w:tcPr>
          <w:p w14:paraId="28CAFDF4" w14:textId="77777777" w:rsidR="00B71B19" w:rsidRPr="008C52E5" w:rsidRDefault="00B71B19" w:rsidP="00FC5E47">
            <w:pPr>
              <w:pStyle w:val="Normal-pool"/>
              <w:spacing w:before="20" w:after="20"/>
              <w:rPr>
                <w:rFonts w:eastAsia="SimSun"/>
                <w:sz w:val="18"/>
                <w:szCs w:val="18"/>
                <w:lang w:val="fr-FR" w:eastAsia="zh-CN"/>
              </w:rPr>
            </w:pPr>
          </w:p>
        </w:tc>
        <w:tc>
          <w:tcPr>
            <w:tcW w:w="7200" w:type="dxa"/>
            <w:shd w:val="clear" w:color="auto" w:fill="auto"/>
          </w:tcPr>
          <w:p w14:paraId="0E7D40E7" w14:textId="61575F1E" w:rsidR="00B71B19" w:rsidRPr="008C52E5" w:rsidRDefault="00E84E16">
            <w:pPr>
              <w:pStyle w:val="Normal-pool"/>
              <w:spacing w:before="20" w:after="20"/>
              <w:rPr>
                <w:rFonts w:eastAsia="SimSun"/>
                <w:sz w:val="18"/>
                <w:szCs w:val="18"/>
                <w:lang w:val="fr-FR" w:eastAsia="zh-CN"/>
              </w:rPr>
            </w:pPr>
            <w:r w:rsidRPr="008C52E5">
              <w:rPr>
                <w:rFonts w:eastAsia="SimSun"/>
                <w:sz w:val="18"/>
                <w:szCs w:val="18"/>
                <w:lang w:val="fr-FR" w:eastAsia="zh-CN"/>
              </w:rPr>
              <w:t xml:space="preserve">Première réunion </w:t>
            </w:r>
            <w:r w:rsidR="00EF0D72" w:rsidRPr="008C52E5">
              <w:rPr>
                <w:rFonts w:eastAsia="SimSun"/>
                <w:sz w:val="18"/>
                <w:szCs w:val="18"/>
                <w:lang w:val="fr-FR" w:eastAsia="zh-CN"/>
              </w:rPr>
              <w:t>d’élaboration du</w:t>
            </w:r>
            <w:r w:rsidRPr="008C52E5">
              <w:rPr>
                <w:rFonts w:eastAsia="SimSun"/>
                <w:sz w:val="18"/>
                <w:szCs w:val="18"/>
                <w:lang w:val="fr-FR" w:eastAsia="zh-CN"/>
              </w:rPr>
              <w:t xml:space="preserve"> résumé à l’intention des décideurs </w:t>
            </w:r>
            <w:r w:rsidR="00F422E4" w:rsidRPr="008C52E5">
              <w:rPr>
                <w:rFonts w:eastAsia="SimSun"/>
                <w:sz w:val="18"/>
                <w:szCs w:val="18"/>
                <w:lang w:val="fr-FR" w:eastAsia="zh-CN"/>
              </w:rPr>
              <w:t>(co</w:t>
            </w:r>
            <w:r w:rsidRPr="008C52E5">
              <w:rPr>
                <w:rFonts w:eastAsia="SimSun"/>
                <w:sz w:val="18"/>
                <w:szCs w:val="18"/>
                <w:lang w:val="fr-FR" w:eastAsia="zh-CN"/>
              </w:rPr>
              <w:t>présidents et auteurs</w:t>
            </w:r>
            <w:r w:rsidR="00EF0D72" w:rsidRPr="008C52E5">
              <w:rPr>
                <w:rFonts w:eastAsia="SimSun"/>
                <w:sz w:val="18"/>
                <w:szCs w:val="18"/>
                <w:lang w:val="fr-FR" w:eastAsia="zh-CN"/>
              </w:rPr>
              <w:noBreakHyphen/>
            </w:r>
            <w:r w:rsidRPr="008C52E5">
              <w:rPr>
                <w:rFonts w:eastAsia="SimSun"/>
                <w:sz w:val="18"/>
                <w:szCs w:val="18"/>
                <w:lang w:val="fr-FR" w:eastAsia="zh-CN"/>
              </w:rPr>
              <w:t>coordonnateurs principaux</w:t>
            </w:r>
            <w:r w:rsidR="00F422E4" w:rsidRPr="008C52E5">
              <w:rPr>
                <w:rFonts w:eastAsia="SimSun"/>
                <w:sz w:val="18"/>
                <w:szCs w:val="18"/>
                <w:lang w:val="fr-FR" w:eastAsia="zh-CN"/>
              </w:rPr>
              <w:t>)</w:t>
            </w:r>
          </w:p>
        </w:tc>
      </w:tr>
      <w:tr w:rsidR="00B71B19" w:rsidRPr="0082513F" w14:paraId="2A4E2F7A" w14:textId="77777777" w:rsidTr="005C34BE">
        <w:trPr>
          <w:trHeight w:val="177"/>
        </w:trPr>
        <w:tc>
          <w:tcPr>
            <w:tcW w:w="1152" w:type="dxa"/>
            <w:vMerge w:val="restart"/>
            <w:shd w:val="clear" w:color="auto" w:fill="auto"/>
            <w:vAlign w:val="center"/>
          </w:tcPr>
          <w:p w14:paraId="186B5291" w14:textId="77777777" w:rsidR="00B71B19" w:rsidRPr="008C52E5" w:rsidRDefault="00B71B19" w:rsidP="00FC5E47">
            <w:pPr>
              <w:pStyle w:val="Normal-pool"/>
              <w:spacing w:before="20" w:after="20"/>
              <w:rPr>
                <w:rFonts w:eastAsia="SimSun"/>
                <w:sz w:val="18"/>
                <w:szCs w:val="18"/>
                <w:lang w:val="fr-FR" w:eastAsia="zh-CN"/>
              </w:rPr>
            </w:pPr>
            <w:r w:rsidRPr="008C52E5">
              <w:rPr>
                <w:rFonts w:eastAsia="SimSun"/>
                <w:sz w:val="18"/>
                <w:szCs w:val="18"/>
                <w:lang w:val="fr-FR" w:eastAsia="zh-CN"/>
              </w:rPr>
              <w:t>2022</w:t>
            </w:r>
          </w:p>
        </w:tc>
        <w:tc>
          <w:tcPr>
            <w:tcW w:w="7200" w:type="dxa"/>
            <w:shd w:val="clear" w:color="auto" w:fill="auto"/>
          </w:tcPr>
          <w:p w14:paraId="684B42CA" w14:textId="0B548D98" w:rsidR="00B71B19" w:rsidRPr="008C52E5" w:rsidRDefault="00E84E16">
            <w:pPr>
              <w:pStyle w:val="Normal-pool"/>
              <w:spacing w:before="20" w:after="20"/>
              <w:rPr>
                <w:rFonts w:eastAsia="SimSun"/>
                <w:sz w:val="18"/>
                <w:szCs w:val="18"/>
                <w:lang w:val="fr-FR" w:eastAsia="zh-CN"/>
              </w:rPr>
            </w:pPr>
            <w:r w:rsidRPr="008C52E5">
              <w:rPr>
                <w:rFonts w:eastAsia="SimSun"/>
                <w:sz w:val="18"/>
                <w:szCs w:val="18"/>
                <w:lang w:val="fr-FR" w:eastAsia="zh-CN"/>
              </w:rPr>
              <w:t>Deuxième examen </w:t>
            </w:r>
            <w:r w:rsidR="00B71B19" w:rsidRPr="008C52E5">
              <w:rPr>
                <w:rFonts w:eastAsia="SimSun"/>
                <w:sz w:val="18"/>
                <w:szCs w:val="18"/>
                <w:lang w:val="fr-FR" w:eastAsia="zh-CN"/>
              </w:rPr>
              <w:t xml:space="preserve">: </w:t>
            </w:r>
            <w:r w:rsidRPr="008C52E5">
              <w:rPr>
                <w:rFonts w:eastAsia="SimSun"/>
                <w:sz w:val="18"/>
                <w:szCs w:val="18"/>
                <w:lang w:val="fr-FR" w:eastAsia="zh-CN"/>
              </w:rPr>
              <w:t>examen de la deuxième version des projets de</w:t>
            </w:r>
            <w:r w:rsidR="0082513F">
              <w:rPr>
                <w:rFonts w:eastAsia="SimSun"/>
                <w:sz w:val="18"/>
                <w:szCs w:val="18"/>
                <w:lang w:val="fr-FR" w:eastAsia="zh-CN"/>
              </w:rPr>
              <w:t xml:space="preserve"> chapitre de l’évaluation et de </w:t>
            </w:r>
            <w:r w:rsidRPr="008C52E5">
              <w:rPr>
                <w:rFonts w:eastAsia="SimSun"/>
                <w:sz w:val="18"/>
                <w:szCs w:val="18"/>
                <w:lang w:val="fr-FR" w:eastAsia="zh-CN"/>
              </w:rPr>
              <w:t xml:space="preserve">la première version du projet de résumé à l’intention des décideurs </w:t>
            </w:r>
          </w:p>
        </w:tc>
      </w:tr>
      <w:tr w:rsidR="00B71B19" w:rsidRPr="0082513F" w14:paraId="76EC4DEF" w14:textId="77777777" w:rsidTr="005C34BE">
        <w:trPr>
          <w:trHeight w:val="64"/>
        </w:trPr>
        <w:tc>
          <w:tcPr>
            <w:tcW w:w="1152" w:type="dxa"/>
            <w:vMerge/>
            <w:shd w:val="clear" w:color="auto" w:fill="auto"/>
            <w:vAlign w:val="center"/>
          </w:tcPr>
          <w:p w14:paraId="14802AF9" w14:textId="77777777" w:rsidR="00B71B19" w:rsidRPr="008C52E5" w:rsidRDefault="00B71B19" w:rsidP="00FC5E47">
            <w:pPr>
              <w:pStyle w:val="Normal-pool"/>
              <w:spacing w:before="20" w:after="20"/>
              <w:rPr>
                <w:rFonts w:eastAsia="SimSun"/>
                <w:sz w:val="18"/>
                <w:szCs w:val="18"/>
                <w:lang w:val="fr-FR" w:eastAsia="zh-CN"/>
              </w:rPr>
            </w:pPr>
          </w:p>
        </w:tc>
        <w:tc>
          <w:tcPr>
            <w:tcW w:w="7200" w:type="dxa"/>
            <w:shd w:val="clear" w:color="auto" w:fill="auto"/>
          </w:tcPr>
          <w:p w14:paraId="13FD4928" w14:textId="7592EDFB" w:rsidR="00B71B19" w:rsidRPr="008C52E5" w:rsidRDefault="004240F2">
            <w:pPr>
              <w:pStyle w:val="Normal-pool"/>
              <w:spacing w:before="20" w:after="20"/>
              <w:rPr>
                <w:rFonts w:eastAsia="SimSun"/>
                <w:sz w:val="18"/>
                <w:szCs w:val="18"/>
                <w:lang w:val="fr-FR" w:eastAsia="zh-CN"/>
              </w:rPr>
            </w:pPr>
            <w:r w:rsidRPr="008C52E5">
              <w:rPr>
                <w:rFonts w:eastAsia="SimSun"/>
                <w:sz w:val="18"/>
                <w:szCs w:val="18"/>
                <w:lang w:val="fr-FR" w:eastAsia="zh-CN"/>
              </w:rPr>
              <w:t>Troisième</w:t>
            </w:r>
            <w:r w:rsidR="00B71B19" w:rsidRPr="008C52E5">
              <w:rPr>
                <w:rFonts w:eastAsia="SimSun"/>
                <w:sz w:val="18"/>
                <w:szCs w:val="18"/>
                <w:lang w:val="fr-FR" w:eastAsia="zh-CN"/>
              </w:rPr>
              <w:t xml:space="preserve"> </w:t>
            </w:r>
            <w:r w:rsidRPr="008C52E5">
              <w:rPr>
                <w:rFonts w:eastAsia="SimSun"/>
                <w:sz w:val="18"/>
                <w:szCs w:val="18"/>
                <w:lang w:val="fr-FR" w:eastAsia="zh-CN"/>
              </w:rPr>
              <w:t>dialogue sur les savoirs autochtones et locaux</w:t>
            </w:r>
          </w:p>
        </w:tc>
      </w:tr>
      <w:tr w:rsidR="00B71B19" w:rsidRPr="008C52E5" w14:paraId="13A1BCB0" w14:textId="77777777" w:rsidTr="005C34BE">
        <w:trPr>
          <w:trHeight w:val="277"/>
        </w:trPr>
        <w:tc>
          <w:tcPr>
            <w:tcW w:w="1152" w:type="dxa"/>
            <w:vMerge/>
            <w:shd w:val="clear" w:color="auto" w:fill="auto"/>
            <w:vAlign w:val="center"/>
          </w:tcPr>
          <w:p w14:paraId="6276B1D3" w14:textId="77777777" w:rsidR="00B71B19" w:rsidRPr="008C52E5" w:rsidRDefault="00B71B19" w:rsidP="00FC5E47">
            <w:pPr>
              <w:pStyle w:val="Normal-pool"/>
              <w:spacing w:before="20" w:after="20"/>
              <w:rPr>
                <w:rFonts w:eastAsia="SimSun"/>
                <w:sz w:val="18"/>
                <w:szCs w:val="18"/>
                <w:lang w:val="fr-FR" w:eastAsia="zh-CN"/>
              </w:rPr>
            </w:pPr>
          </w:p>
        </w:tc>
        <w:tc>
          <w:tcPr>
            <w:tcW w:w="7200" w:type="dxa"/>
            <w:shd w:val="clear" w:color="auto" w:fill="auto"/>
          </w:tcPr>
          <w:p w14:paraId="7E90C9FC" w14:textId="4E49C7BC" w:rsidR="00B71B19" w:rsidRPr="008C52E5" w:rsidRDefault="004240F2">
            <w:pPr>
              <w:pStyle w:val="Normal-pool"/>
              <w:spacing w:before="20" w:after="20"/>
              <w:rPr>
                <w:rFonts w:eastAsia="SimSun"/>
                <w:sz w:val="18"/>
                <w:szCs w:val="18"/>
                <w:lang w:val="fr-FR" w:eastAsia="zh-CN"/>
              </w:rPr>
            </w:pPr>
            <w:r w:rsidRPr="008C52E5">
              <w:rPr>
                <w:rFonts w:eastAsia="SimSun"/>
                <w:sz w:val="18"/>
                <w:szCs w:val="18"/>
                <w:lang w:val="fr-FR" w:eastAsia="zh-CN"/>
              </w:rPr>
              <w:t>Troisième réunion des auteurs</w:t>
            </w:r>
          </w:p>
        </w:tc>
      </w:tr>
      <w:tr w:rsidR="0019590E" w:rsidRPr="0082513F" w14:paraId="5CFA8A7C" w14:textId="77777777" w:rsidTr="005C34BE">
        <w:trPr>
          <w:trHeight w:val="271"/>
        </w:trPr>
        <w:tc>
          <w:tcPr>
            <w:tcW w:w="1152" w:type="dxa"/>
            <w:vMerge/>
            <w:shd w:val="clear" w:color="auto" w:fill="auto"/>
          </w:tcPr>
          <w:p w14:paraId="3ED07465" w14:textId="77777777" w:rsidR="0019590E" w:rsidRPr="008C52E5" w:rsidRDefault="0019590E" w:rsidP="00FC5E47">
            <w:pPr>
              <w:pStyle w:val="Normal-pool"/>
              <w:spacing w:before="20" w:after="20"/>
              <w:rPr>
                <w:rFonts w:eastAsia="SimSun"/>
                <w:sz w:val="18"/>
                <w:szCs w:val="18"/>
                <w:lang w:val="fr-FR" w:eastAsia="zh-CN"/>
              </w:rPr>
            </w:pPr>
          </w:p>
        </w:tc>
        <w:tc>
          <w:tcPr>
            <w:tcW w:w="7200" w:type="dxa"/>
            <w:shd w:val="clear" w:color="auto" w:fill="auto"/>
          </w:tcPr>
          <w:p w14:paraId="5E0E12F8" w14:textId="6B8D01FE" w:rsidR="0019590E" w:rsidRPr="008C52E5" w:rsidRDefault="004240F2">
            <w:pPr>
              <w:pStyle w:val="Normal-pool"/>
              <w:spacing w:before="20" w:after="20"/>
              <w:rPr>
                <w:rFonts w:eastAsia="SimSun"/>
                <w:sz w:val="18"/>
                <w:szCs w:val="18"/>
                <w:lang w:val="fr-FR" w:eastAsia="zh-CN"/>
              </w:rPr>
            </w:pPr>
            <w:r w:rsidRPr="008C52E5">
              <w:rPr>
                <w:rFonts w:eastAsia="SimSun"/>
                <w:sz w:val="18"/>
                <w:szCs w:val="18"/>
                <w:lang w:val="fr-FR" w:eastAsia="zh-CN"/>
              </w:rPr>
              <w:t>Troisième</w:t>
            </w:r>
            <w:r w:rsidR="00715BC5">
              <w:rPr>
                <w:rFonts w:eastAsia="SimSun"/>
                <w:sz w:val="18"/>
                <w:szCs w:val="18"/>
                <w:lang w:val="fr-FR" w:eastAsia="zh-CN"/>
              </w:rPr>
              <w:t xml:space="preserve"> examen : examen de la deuxième </w:t>
            </w:r>
            <w:r w:rsidRPr="008C52E5">
              <w:rPr>
                <w:rFonts w:eastAsia="SimSun"/>
                <w:sz w:val="18"/>
                <w:szCs w:val="18"/>
                <w:lang w:val="fr-FR" w:eastAsia="zh-CN"/>
              </w:rPr>
              <w:t>version du pro</w:t>
            </w:r>
            <w:r w:rsidR="0082513F">
              <w:rPr>
                <w:rFonts w:eastAsia="SimSun"/>
                <w:sz w:val="18"/>
                <w:szCs w:val="18"/>
                <w:lang w:val="fr-FR" w:eastAsia="zh-CN"/>
              </w:rPr>
              <w:t>jet de résumé à l’intention des </w:t>
            </w:r>
            <w:r w:rsidRPr="008C52E5">
              <w:rPr>
                <w:rFonts w:eastAsia="SimSun"/>
                <w:sz w:val="18"/>
                <w:szCs w:val="18"/>
                <w:lang w:val="fr-FR" w:eastAsia="zh-CN"/>
              </w:rPr>
              <w:t>décideurs</w:t>
            </w:r>
            <w:r w:rsidR="0019590E" w:rsidRPr="008C52E5">
              <w:rPr>
                <w:rFonts w:eastAsia="SimSun"/>
                <w:sz w:val="18"/>
                <w:szCs w:val="18"/>
                <w:lang w:val="fr-FR" w:eastAsia="zh-CN"/>
              </w:rPr>
              <w:t xml:space="preserve"> </w:t>
            </w:r>
          </w:p>
        </w:tc>
      </w:tr>
      <w:tr w:rsidR="0043250C" w:rsidRPr="0082513F" w14:paraId="7E3B4FF0" w14:textId="77777777" w:rsidTr="005C34BE">
        <w:trPr>
          <w:trHeight w:val="206"/>
        </w:trPr>
        <w:tc>
          <w:tcPr>
            <w:tcW w:w="1152" w:type="dxa"/>
            <w:vMerge w:val="restart"/>
            <w:tcBorders>
              <w:bottom w:val="single" w:sz="12" w:space="0" w:color="auto"/>
            </w:tcBorders>
            <w:shd w:val="clear" w:color="auto" w:fill="auto"/>
            <w:vAlign w:val="center"/>
          </w:tcPr>
          <w:p w14:paraId="129FA173" w14:textId="77777777" w:rsidR="0043250C" w:rsidRPr="008C52E5" w:rsidRDefault="0043250C" w:rsidP="00FC5E47">
            <w:pPr>
              <w:pStyle w:val="Normal-pool"/>
              <w:spacing w:before="20" w:after="20"/>
              <w:rPr>
                <w:rFonts w:eastAsia="SimSun"/>
                <w:sz w:val="18"/>
                <w:szCs w:val="18"/>
                <w:lang w:val="fr-FR" w:eastAsia="zh-CN"/>
              </w:rPr>
            </w:pPr>
            <w:r w:rsidRPr="008C52E5">
              <w:rPr>
                <w:rFonts w:eastAsia="SimSun"/>
                <w:sz w:val="18"/>
                <w:szCs w:val="18"/>
                <w:lang w:val="fr-FR" w:eastAsia="zh-CN"/>
              </w:rPr>
              <w:t>2023</w:t>
            </w:r>
          </w:p>
        </w:tc>
        <w:tc>
          <w:tcPr>
            <w:tcW w:w="7200" w:type="dxa"/>
            <w:shd w:val="clear" w:color="auto" w:fill="auto"/>
          </w:tcPr>
          <w:p w14:paraId="1101698F" w14:textId="25B44FD4" w:rsidR="0043250C" w:rsidRPr="008C52E5" w:rsidRDefault="004240F2" w:rsidP="0037124A">
            <w:pPr>
              <w:pStyle w:val="Normal-pool"/>
              <w:spacing w:before="20" w:after="20"/>
              <w:rPr>
                <w:rFonts w:eastAsia="SimSun"/>
                <w:sz w:val="18"/>
                <w:szCs w:val="18"/>
                <w:lang w:val="fr-FR" w:eastAsia="zh-CN"/>
              </w:rPr>
            </w:pPr>
            <w:r w:rsidRPr="008C52E5">
              <w:rPr>
                <w:rFonts w:eastAsia="SimSun"/>
                <w:sz w:val="18"/>
                <w:szCs w:val="18"/>
                <w:lang w:val="fr-FR" w:eastAsia="zh-CN"/>
              </w:rPr>
              <w:t xml:space="preserve">Deuxième réunion </w:t>
            </w:r>
            <w:r w:rsidR="00EF0D72" w:rsidRPr="008C52E5">
              <w:rPr>
                <w:rFonts w:eastAsia="SimSun"/>
                <w:sz w:val="18"/>
                <w:szCs w:val="18"/>
                <w:lang w:val="fr-FR" w:eastAsia="zh-CN"/>
              </w:rPr>
              <w:t>de révision du</w:t>
            </w:r>
            <w:r w:rsidRPr="008C52E5">
              <w:rPr>
                <w:rFonts w:eastAsia="SimSun"/>
                <w:sz w:val="18"/>
                <w:szCs w:val="18"/>
                <w:lang w:val="fr-FR" w:eastAsia="zh-CN"/>
              </w:rPr>
              <w:t xml:space="preserve"> résumé à l’intention des décideurs </w:t>
            </w:r>
            <w:r w:rsidR="0043250C" w:rsidRPr="008C52E5">
              <w:rPr>
                <w:rFonts w:eastAsia="SimSun"/>
                <w:sz w:val="18"/>
                <w:szCs w:val="18"/>
                <w:lang w:val="fr-FR" w:eastAsia="zh-CN"/>
              </w:rPr>
              <w:t>(</w:t>
            </w:r>
            <w:r w:rsidRPr="008C52E5">
              <w:rPr>
                <w:rFonts w:eastAsia="SimSun"/>
                <w:sz w:val="18"/>
                <w:szCs w:val="18"/>
                <w:lang w:val="fr-FR" w:eastAsia="zh-CN"/>
              </w:rPr>
              <w:t>coprésidents et auteurs</w:t>
            </w:r>
            <w:r w:rsidR="00EF0D72" w:rsidRPr="008C52E5">
              <w:rPr>
                <w:rFonts w:eastAsia="SimSun"/>
                <w:sz w:val="18"/>
                <w:szCs w:val="18"/>
                <w:lang w:val="fr-FR" w:eastAsia="zh-CN"/>
              </w:rPr>
              <w:noBreakHyphen/>
            </w:r>
            <w:r w:rsidRPr="008C52E5">
              <w:rPr>
                <w:rFonts w:eastAsia="SimSun"/>
                <w:sz w:val="18"/>
                <w:szCs w:val="18"/>
                <w:lang w:val="fr-FR" w:eastAsia="zh-CN"/>
              </w:rPr>
              <w:t>coordonnateurs principaux</w:t>
            </w:r>
            <w:r w:rsidR="0043250C" w:rsidRPr="008C52E5">
              <w:rPr>
                <w:rFonts w:eastAsia="SimSun"/>
                <w:sz w:val="18"/>
                <w:szCs w:val="18"/>
                <w:lang w:val="fr-FR" w:eastAsia="zh-CN"/>
              </w:rPr>
              <w:t>)</w:t>
            </w:r>
          </w:p>
        </w:tc>
      </w:tr>
      <w:tr w:rsidR="0043250C" w:rsidRPr="0082513F" w14:paraId="67106D59" w14:textId="77777777" w:rsidTr="005C34BE">
        <w:trPr>
          <w:trHeight w:val="206"/>
        </w:trPr>
        <w:tc>
          <w:tcPr>
            <w:tcW w:w="1152" w:type="dxa"/>
            <w:vMerge/>
            <w:tcBorders>
              <w:bottom w:val="single" w:sz="12" w:space="0" w:color="auto"/>
            </w:tcBorders>
            <w:shd w:val="clear" w:color="auto" w:fill="auto"/>
          </w:tcPr>
          <w:p w14:paraId="4476A4D8" w14:textId="77777777" w:rsidR="0043250C" w:rsidRPr="008C52E5" w:rsidRDefault="0043250C">
            <w:pPr>
              <w:pStyle w:val="Normal-pool"/>
              <w:spacing w:before="20" w:after="20"/>
              <w:rPr>
                <w:rFonts w:eastAsia="SimSun"/>
                <w:sz w:val="18"/>
                <w:szCs w:val="18"/>
                <w:lang w:val="fr-FR" w:eastAsia="zh-CN"/>
              </w:rPr>
            </w:pPr>
          </w:p>
        </w:tc>
        <w:tc>
          <w:tcPr>
            <w:tcW w:w="7200" w:type="dxa"/>
            <w:shd w:val="clear" w:color="auto" w:fill="auto"/>
          </w:tcPr>
          <w:p w14:paraId="169ED9A6" w14:textId="374DEC95" w:rsidR="0043250C" w:rsidRPr="008C52E5" w:rsidRDefault="004240F2">
            <w:pPr>
              <w:pStyle w:val="Normal-pool"/>
              <w:spacing w:before="20" w:after="20"/>
              <w:rPr>
                <w:rFonts w:eastAsia="SimSun"/>
                <w:sz w:val="18"/>
                <w:szCs w:val="18"/>
                <w:lang w:val="fr-FR" w:eastAsia="zh-CN"/>
              </w:rPr>
            </w:pPr>
            <w:r w:rsidRPr="008C52E5">
              <w:rPr>
                <w:rFonts w:eastAsia="SimSun"/>
                <w:sz w:val="18"/>
                <w:szCs w:val="18"/>
                <w:lang w:val="fr-FR" w:eastAsia="zh-CN"/>
              </w:rPr>
              <w:t>Examen final par les gouvernements du résumé à l’intention des décideurs</w:t>
            </w:r>
            <w:r w:rsidR="0043250C" w:rsidRPr="008C52E5">
              <w:rPr>
                <w:rFonts w:eastAsia="SimSun"/>
                <w:sz w:val="18"/>
                <w:szCs w:val="18"/>
                <w:lang w:val="fr-FR" w:eastAsia="zh-CN"/>
              </w:rPr>
              <w:t xml:space="preserve"> </w:t>
            </w:r>
          </w:p>
        </w:tc>
      </w:tr>
      <w:tr w:rsidR="0043250C" w:rsidRPr="0082513F" w14:paraId="3162A407" w14:textId="77777777" w:rsidTr="005C34BE">
        <w:trPr>
          <w:trHeight w:val="206"/>
        </w:trPr>
        <w:tc>
          <w:tcPr>
            <w:tcW w:w="1152" w:type="dxa"/>
            <w:vMerge/>
            <w:tcBorders>
              <w:bottom w:val="single" w:sz="12" w:space="0" w:color="auto"/>
            </w:tcBorders>
            <w:shd w:val="clear" w:color="auto" w:fill="auto"/>
          </w:tcPr>
          <w:p w14:paraId="7C3FEA70" w14:textId="77777777" w:rsidR="0043250C" w:rsidRPr="008C52E5" w:rsidRDefault="0043250C">
            <w:pPr>
              <w:pStyle w:val="Normal-pool"/>
              <w:spacing w:before="20" w:after="20"/>
              <w:rPr>
                <w:rFonts w:eastAsia="SimSun"/>
                <w:sz w:val="18"/>
                <w:szCs w:val="18"/>
                <w:lang w:val="fr-FR" w:eastAsia="zh-CN"/>
              </w:rPr>
            </w:pPr>
          </w:p>
        </w:tc>
        <w:tc>
          <w:tcPr>
            <w:tcW w:w="7200" w:type="dxa"/>
            <w:shd w:val="clear" w:color="auto" w:fill="auto"/>
          </w:tcPr>
          <w:p w14:paraId="3B11B53C" w14:textId="40575536" w:rsidR="0043250C" w:rsidRPr="008C52E5" w:rsidRDefault="004240F2">
            <w:pPr>
              <w:pStyle w:val="Normal-pool"/>
              <w:spacing w:before="20" w:after="20"/>
              <w:rPr>
                <w:rFonts w:eastAsia="SimSun"/>
                <w:sz w:val="18"/>
                <w:szCs w:val="18"/>
                <w:lang w:val="fr-FR" w:eastAsia="zh-CN"/>
              </w:rPr>
            </w:pPr>
            <w:r w:rsidRPr="008C52E5">
              <w:rPr>
                <w:rFonts w:eastAsia="SimSun"/>
                <w:sz w:val="18"/>
                <w:szCs w:val="18"/>
                <w:lang w:val="fr-FR" w:eastAsia="zh-CN"/>
              </w:rPr>
              <w:t>Examen de l’évaluation</w:t>
            </w:r>
            <w:r w:rsidR="0043250C" w:rsidRPr="008C52E5">
              <w:rPr>
                <w:rFonts w:eastAsia="SimSun"/>
                <w:sz w:val="18"/>
                <w:szCs w:val="18"/>
                <w:lang w:val="fr-FR" w:eastAsia="zh-CN"/>
              </w:rPr>
              <w:t xml:space="preserve"> </w:t>
            </w:r>
            <w:r w:rsidRPr="008C52E5">
              <w:rPr>
                <w:rFonts w:eastAsia="SimSun"/>
                <w:sz w:val="18"/>
                <w:szCs w:val="18"/>
                <w:lang w:val="fr-FR" w:eastAsia="zh-CN"/>
              </w:rPr>
              <w:t>par la Plénière</w:t>
            </w:r>
          </w:p>
        </w:tc>
      </w:tr>
      <w:tr w:rsidR="0043250C" w:rsidRPr="0082513F" w14:paraId="3C022D9B" w14:textId="77777777" w:rsidTr="005C34BE">
        <w:trPr>
          <w:trHeight w:val="206"/>
        </w:trPr>
        <w:tc>
          <w:tcPr>
            <w:tcW w:w="1152" w:type="dxa"/>
            <w:vMerge/>
            <w:tcBorders>
              <w:bottom w:val="single" w:sz="12" w:space="0" w:color="auto"/>
            </w:tcBorders>
            <w:shd w:val="clear" w:color="auto" w:fill="auto"/>
          </w:tcPr>
          <w:p w14:paraId="303B633B" w14:textId="77777777" w:rsidR="0043250C" w:rsidRPr="008C52E5" w:rsidRDefault="0043250C">
            <w:pPr>
              <w:pStyle w:val="Normal-pool"/>
              <w:spacing w:before="20" w:after="20"/>
              <w:rPr>
                <w:rFonts w:eastAsia="SimSun"/>
                <w:sz w:val="18"/>
                <w:szCs w:val="18"/>
                <w:lang w:val="fr-FR" w:eastAsia="zh-CN"/>
              </w:rPr>
            </w:pPr>
          </w:p>
        </w:tc>
        <w:tc>
          <w:tcPr>
            <w:tcW w:w="7200" w:type="dxa"/>
            <w:tcBorders>
              <w:bottom w:val="single" w:sz="12" w:space="0" w:color="auto"/>
            </w:tcBorders>
            <w:shd w:val="clear" w:color="auto" w:fill="auto"/>
          </w:tcPr>
          <w:p w14:paraId="715A9B3B" w14:textId="64B18AAB" w:rsidR="0043250C" w:rsidRPr="008C52E5" w:rsidRDefault="004240F2">
            <w:pPr>
              <w:pStyle w:val="Normal-pool"/>
              <w:spacing w:before="20" w:after="20"/>
              <w:rPr>
                <w:rFonts w:eastAsia="SimSun"/>
                <w:sz w:val="18"/>
                <w:szCs w:val="18"/>
                <w:lang w:val="fr-FR" w:eastAsia="zh-CN"/>
              </w:rPr>
            </w:pPr>
            <w:r w:rsidRPr="008C52E5">
              <w:rPr>
                <w:rFonts w:eastAsia="SimSun"/>
                <w:sz w:val="18"/>
                <w:szCs w:val="18"/>
                <w:lang w:val="fr-FR" w:eastAsia="zh-CN"/>
              </w:rPr>
              <w:t>Conception, présentation, diffusion et communication</w:t>
            </w:r>
          </w:p>
        </w:tc>
      </w:tr>
    </w:tbl>
    <w:bookmarkEnd w:id="3"/>
    <w:p w14:paraId="3A9C60DC" w14:textId="08D77701" w:rsidR="003B34B0" w:rsidRPr="008C52E5" w:rsidRDefault="00771BDE" w:rsidP="002D75B3">
      <w:pPr>
        <w:pStyle w:val="CH2"/>
        <w:tabs>
          <w:tab w:val="clear" w:pos="851"/>
        </w:tabs>
        <w:ind w:hanging="680"/>
        <w:rPr>
          <w:lang w:val="fr-FR"/>
        </w:rPr>
      </w:pPr>
      <w:r w:rsidRPr="008C52E5">
        <w:rPr>
          <w:lang w:val="fr-FR"/>
        </w:rPr>
        <w:t>B.</w:t>
      </w:r>
      <w:r w:rsidRPr="008C52E5">
        <w:rPr>
          <w:lang w:val="fr-FR"/>
        </w:rPr>
        <w:tab/>
      </w:r>
      <w:r w:rsidR="00FE7368" w:rsidRPr="008C52E5">
        <w:rPr>
          <w:lang w:val="fr-FR"/>
        </w:rPr>
        <w:t>Produit </w:t>
      </w:r>
      <w:r w:rsidR="00375077" w:rsidRPr="008C52E5">
        <w:rPr>
          <w:lang w:val="fr-FR"/>
        </w:rPr>
        <w:t>1</w:t>
      </w:r>
      <w:r w:rsidR="00FE7368" w:rsidRPr="008C52E5">
        <w:rPr>
          <w:lang w:val="fr-FR"/>
        </w:rPr>
        <w:t> </w:t>
      </w:r>
      <w:r w:rsidR="00375077" w:rsidRPr="008C52E5">
        <w:rPr>
          <w:lang w:val="fr-FR"/>
        </w:rPr>
        <w:t>b</w:t>
      </w:r>
      <w:r w:rsidR="00052EA6" w:rsidRPr="008C52E5">
        <w:rPr>
          <w:lang w:val="fr-FR"/>
        </w:rPr>
        <w:t>)</w:t>
      </w:r>
      <w:r w:rsidR="00FE7368" w:rsidRPr="008C52E5">
        <w:rPr>
          <w:lang w:val="fr-FR"/>
        </w:rPr>
        <w:t> </w:t>
      </w:r>
      <w:r w:rsidR="00375077" w:rsidRPr="008C52E5">
        <w:rPr>
          <w:lang w:val="fr-FR"/>
        </w:rPr>
        <w:t xml:space="preserve">: </w:t>
      </w:r>
      <w:r w:rsidR="00FE7368" w:rsidRPr="008C52E5">
        <w:rPr>
          <w:lang w:val="fr-FR"/>
        </w:rPr>
        <w:t xml:space="preserve">document technique sur les liens entre biodiversité et changements climatiques </w:t>
      </w:r>
    </w:p>
    <w:p w14:paraId="1C3CB1B0" w14:textId="48A685AD" w:rsidR="000B36DF" w:rsidRPr="008C52E5" w:rsidRDefault="00270837" w:rsidP="002D75B3">
      <w:pPr>
        <w:pStyle w:val="CH3"/>
        <w:tabs>
          <w:tab w:val="clear" w:pos="851"/>
        </w:tabs>
        <w:ind w:hanging="680"/>
        <w:rPr>
          <w:lang w:val="fr-FR"/>
        </w:rPr>
      </w:pPr>
      <w:r w:rsidRPr="008C52E5">
        <w:rPr>
          <w:rFonts w:eastAsia="SimSun"/>
          <w:lang w:val="fr-FR" w:eastAsia="zh-CN"/>
        </w:rPr>
        <w:t>1.</w:t>
      </w:r>
      <w:r w:rsidRPr="008C52E5">
        <w:rPr>
          <w:rFonts w:eastAsia="SimSun"/>
          <w:lang w:val="fr-FR" w:eastAsia="zh-CN"/>
        </w:rPr>
        <w:tab/>
      </w:r>
      <w:r w:rsidR="00FE7368" w:rsidRPr="008C52E5">
        <w:rPr>
          <w:rFonts w:eastAsia="SimSun"/>
          <w:lang w:val="fr-FR" w:eastAsia="zh-CN"/>
        </w:rPr>
        <w:t>Hypothèses et dispositions institutionnelles</w:t>
      </w:r>
    </w:p>
    <w:p w14:paraId="5F7977A4" w14:textId="308550E8" w:rsidR="000B36DF" w:rsidRPr="008C52E5" w:rsidRDefault="00B30546" w:rsidP="000B36DF">
      <w:pPr>
        <w:pStyle w:val="Normalnumber"/>
        <w:numPr>
          <w:ilvl w:val="0"/>
          <w:numId w:val="5"/>
        </w:numPr>
        <w:tabs>
          <w:tab w:val="left" w:pos="1871"/>
          <w:tab w:val="left" w:pos="2495"/>
        </w:tabs>
        <w:ind w:left="1247" w:firstLine="0"/>
        <w:rPr>
          <w:lang w:val="fr-FR"/>
        </w:rPr>
      </w:pPr>
      <w:r w:rsidRPr="008C52E5">
        <w:rPr>
          <w:rFonts w:eastAsia="Calibri"/>
          <w:lang w:val="fr-FR"/>
        </w:rPr>
        <w:t>Le Groupe et le</w:t>
      </w:r>
      <w:r w:rsidR="00023275" w:rsidRPr="008C52E5">
        <w:rPr>
          <w:rFonts w:eastAsia="Calibri"/>
          <w:lang w:val="fr-FR"/>
        </w:rPr>
        <w:t xml:space="preserve"> </w:t>
      </w:r>
      <w:r w:rsidR="00662AD3" w:rsidRPr="008C52E5">
        <w:rPr>
          <w:rFonts w:eastAsia="Calibri"/>
          <w:lang w:val="fr-FR"/>
        </w:rPr>
        <w:t xml:space="preserve">Bureau </w:t>
      </w:r>
      <w:r w:rsidR="004509FE" w:rsidRPr="008C52E5">
        <w:rPr>
          <w:rFonts w:eastAsia="Calibri"/>
          <w:lang w:val="fr-FR"/>
        </w:rPr>
        <w:t>choisiront une équipe d’experts pour l’élaboration du document technique</w:t>
      </w:r>
      <w:r w:rsidR="000B36DF" w:rsidRPr="008C52E5">
        <w:rPr>
          <w:lang w:val="fr-FR"/>
        </w:rPr>
        <w:t>.</w:t>
      </w:r>
      <w:r w:rsidR="004509FE" w:rsidRPr="008C52E5">
        <w:rPr>
          <w:lang w:val="fr-FR"/>
        </w:rPr>
        <w:t xml:space="preserve"> Les experts seront choisis</w:t>
      </w:r>
      <w:r w:rsidR="000B36DF" w:rsidRPr="008C52E5">
        <w:rPr>
          <w:lang w:val="fr-FR"/>
        </w:rPr>
        <w:t xml:space="preserve"> </w:t>
      </w:r>
      <w:r w:rsidR="004509FE" w:rsidRPr="008C52E5">
        <w:rPr>
          <w:lang w:val="fr-FR"/>
        </w:rPr>
        <w:t>conformément aux procédures d’é</w:t>
      </w:r>
      <w:r w:rsidR="0082513F">
        <w:rPr>
          <w:lang w:val="fr-FR"/>
        </w:rPr>
        <w:t>tablissement des produits de la </w:t>
      </w:r>
      <w:r w:rsidR="004509FE" w:rsidRPr="008C52E5">
        <w:rPr>
          <w:lang w:val="fr-FR"/>
        </w:rPr>
        <w:t>Plateforme</w:t>
      </w:r>
      <w:r w:rsidR="000B36DF" w:rsidRPr="008C52E5">
        <w:rPr>
          <w:rStyle w:val="FootnoteReference"/>
          <w:lang w:val="fr-FR"/>
        </w:rPr>
        <w:footnoteReference w:id="3"/>
      </w:r>
      <w:r w:rsidR="000B36DF" w:rsidRPr="008C52E5">
        <w:rPr>
          <w:lang w:val="fr-FR"/>
        </w:rPr>
        <w:t xml:space="preserve"> </w:t>
      </w:r>
      <w:r w:rsidR="004509FE" w:rsidRPr="008C52E5">
        <w:rPr>
          <w:lang w:val="fr-FR"/>
        </w:rPr>
        <w:t>et mèneront leurs travaux conformément aux</w:t>
      </w:r>
      <w:r w:rsidR="00184146" w:rsidRPr="008C52E5">
        <w:rPr>
          <w:lang w:val="fr-FR"/>
        </w:rPr>
        <w:t>dites</w:t>
      </w:r>
      <w:r w:rsidR="004509FE" w:rsidRPr="008C52E5">
        <w:rPr>
          <w:lang w:val="fr-FR"/>
        </w:rPr>
        <w:t xml:space="preserve"> procédures</w:t>
      </w:r>
      <w:r w:rsidR="000B36DF" w:rsidRPr="008C52E5">
        <w:rPr>
          <w:lang w:val="fr-FR"/>
        </w:rPr>
        <w:t>.</w:t>
      </w:r>
      <w:r w:rsidR="004509FE" w:rsidRPr="008C52E5">
        <w:rPr>
          <w:lang w:val="fr-FR"/>
        </w:rPr>
        <w:t xml:space="preserve"> Le document technique associera </w:t>
      </w:r>
      <w:r w:rsidR="00EC5270" w:rsidRPr="008C52E5">
        <w:rPr>
          <w:lang w:val="fr-FR"/>
        </w:rPr>
        <w:t>11</w:t>
      </w:r>
      <w:r w:rsidR="004509FE" w:rsidRPr="008C52E5">
        <w:rPr>
          <w:lang w:val="fr-FR"/>
        </w:rPr>
        <w:t> auteurs</w:t>
      </w:r>
      <w:r w:rsidR="00E94E8A" w:rsidRPr="008C52E5">
        <w:rPr>
          <w:lang w:val="fr-FR"/>
        </w:rPr>
        <w:t xml:space="preserve"> chargés de l’évaluation</w:t>
      </w:r>
      <w:r w:rsidR="00EC5270" w:rsidRPr="008C52E5">
        <w:rPr>
          <w:lang w:val="fr-FR"/>
        </w:rPr>
        <w:t xml:space="preserve"> </w:t>
      </w:r>
      <w:r w:rsidR="004509FE" w:rsidRPr="008C52E5">
        <w:rPr>
          <w:lang w:val="fr-FR"/>
        </w:rPr>
        <w:t>et un</w:t>
      </w:r>
      <w:r w:rsidR="000B36DF" w:rsidRPr="008C52E5">
        <w:rPr>
          <w:lang w:val="fr-FR"/>
        </w:rPr>
        <w:t xml:space="preserve"> </w:t>
      </w:r>
      <w:r w:rsidR="004509FE" w:rsidRPr="008C52E5">
        <w:rPr>
          <w:lang w:val="fr-FR"/>
        </w:rPr>
        <w:t>éditeur-réviseur</w:t>
      </w:r>
      <w:r w:rsidR="0040423A" w:rsidRPr="008C52E5">
        <w:rPr>
          <w:lang w:val="fr-FR"/>
        </w:rPr>
        <w:t>,</w:t>
      </w:r>
      <w:r w:rsidR="004509FE" w:rsidRPr="008C52E5">
        <w:rPr>
          <w:lang w:val="fr-FR"/>
        </w:rPr>
        <w:t xml:space="preserve"> tous choisis par le Groupe</w:t>
      </w:r>
      <w:r w:rsidR="000B36DF" w:rsidRPr="008C52E5">
        <w:rPr>
          <w:lang w:val="fr-FR"/>
        </w:rPr>
        <w:t xml:space="preserve">. </w:t>
      </w:r>
      <w:r w:rsidR="004509FE" w:rsidRPr="008C52E5">
        <w:rPr>
          <w:lang w:val="fr-FR"/>
        </w:rPr>
        <w:t>Le</w:t>
      </w:r>
      <w:r w:rsidR="0082513F">
        <w:rPr>
          <w:lang w:val="fr-FR"/>
        </w:rPr>
        <w:t> </w:t>
      </w:r>
      <w:r w:rsidR="004509FE" w:rsidRPr="008C52E5">
        <w:rPr>
          <w:lang w:val="fr-FR"/>
        </w:rPr>
        <w:t>Groupe d’experts intergouvernemental sur l’évolution du climat</w:t>
      </w:r>
      <w:r w:rsidR="00B05800" w:rsidRPr="008C52E5">
        <w:rPr>
          <w:lang w:val="fr-FR"/>
        </w:rPr>
        <w:t xml:space="preserve"> </w:t>
      </w:r>
      <w:r w:rsidR="00C63CB5" w:rsidRPr="008C52E5">
        <w:rPr>
          <w:lang w:val="fr-FR"/>
        </w:rPr>
        <w:t>(</w:t>
      </w:r>
      <w:r w:rsidR="004509FE" w:rsidRPr="008C52E5">
        <w:rPr>
          <w:lang w:val="fr-FR"/>
        </w:rPr>
        <w:t>GIEC</w:t>
      </w:r>
      <w:r w:rsidR="00C63CB5" w:rsidRPr="008C52E5">
        <w:rPr>
          <w:lang w:val="fr-FR"/>
        </w:rPr>
        <w:t xml:space="preserve">) </w:t>
      </w:r>
      <w:r w:rsidR="004509FE" w:rsidRPr="008C52E5">
        <w:rPr>
          <w:lang w:val="fr-FR"/>
        </w:rPr>
        <w:t>sera invité à approuver l’élaboration du document</w:t>
      </w:r>
      <w:r w:rsidR="009D7B41" w:rsidRPr="008C52E5">
        <w:rPr>
          <w:lang w:val="fr-FR"/>
        </w:rPr>
        <w:t xml:space="preserve"> en tant que document conjoint et à fournir un nombre similaire d’auteurs</w:t>
      </w:r>
      <w:r w:rsidR="00E94E8A" w:rsidRPr="008C52E5">
        <w:rPr>
          <w:lang w:val="fr-FR"/>
        </w:rPr>
        <w:t xml:space="preserve"> chargés de l’évaluation</w:t>
      </w:r>
      <w:r w:rsidR="009D7B41" w:rsidRPr="008C52E5">
        <w:rPr>
          <w:lang w:val="fr-FR"/>
        </w:rPr>
        <w:t xml:space="preserve"> ainsi qu’un deuxième éditeur-réviseur</w:t>
      </w:r>
      <w:r w:rsidR="000B69C6" w:rsidRPr="008C52E5">
        <w:rPr>
          <w:lang w:val="fr-FR"/>
        </w:rPr>
        <w:t>.</w:t>
      </w:r>
      <w:r w:rsidR="009D7B41" w:rsidRPr="008C52E5">
        <w:rPr>
          <w:lang w:val="fr-FR"/>
        </w:rPr>
        <w:t xml:space="preserve"> L’équipe d’auteurs </w:t>
      </w:r>
      <w:r w:rsidR="00184146" w:rsidRPr="008C52E5">
        <w:rPr>
          <w:lang w:val="fr-FR"/>
        </w:rPr>
        <w:t xml:space="preserve">complète </w:t>
      </w:r>
      <w:r w:rsidR="009D7B41" w:rsidRPr="008C52E5">
        <w:rPr>
          <w:lang w:val="fr-FR"/>
        </w:rPr>
        <w:t>se rencontrera à l’occasion de trois réunions</w:t>
      </w:r>
      <w:r w:rsidR="00702B83" w:rsidRPr="008C52E5">
        <w:rPr>
          <w:lang w:val="fr-FR"/>
        </w:rPr>
        <w:t>.</w:t>
      </w:r>
      <w:r w:rsidR="009D7B41" w:rsidRPr="008C52E5">
        <w:rPr>
          <w:lang w:val="fr-FR"/>
        </w:rPr>
        <w:t xml:space="preserve"> Le document technique devrait être élaboré sur une période de 18 mois</w:t>
      </w:r>
      <w:r w:rsidR="00184146" w:rsidRPr="008C52E5">
        <w:rPr>
          <w:lang w:val="fr-FR"/>
        </w:rPr>
        <w:t>.</w:t>
      </w:r>
    </w:p>
    <w:p w14:paraId="51EFAC16" w14:textId="0ED39985" w:rsidR="000B36DF" w:rsidRPr="008C52E5" w:rsidRDefault="001249A8" w:rsidP="000B36DF">
      <w:pPr>
        <w:pStyle w:val="Normalnumber"/>
        <w:numPr>
          <w:ilvl w:val="0"/>
          <w:numId w:val="5"/>
        </w:numPr>
        <w:tabs>
          <w:tab w:val="left" w:pos="1871"/>
          <w:tab w:val="left" w:pos="2495"/>
        </w:tabs>
        <w:ind w:left="1247" w:firstLine="0"/>
        <w:rPr>
          <w:lang w:val="fr-FR"/>
        </w:rPr>
      </w:pPr>
      <w:r w:rsidRPr="008C52E5">
        <w:rPr>
          <w:lang w:val="fr-FR"/>
        </w:rPr>
        <w:t>Un appui</w:t>
      </w:r>
      <w:r w:rsidR="009D7B41" w:rsidRPr="008C52E5">
        <w:rPr>
          <w:lang w:val="fr-FR"/>
        </w:rPr>
        <w:t xml:space="preserve"> technique sera fourni conjointement par les secrétariats de </w:t>
      </w:r>
      <w:r w:rsidR="00944F83" w:rsidRPr="008C52E5">
        <w:rPr>
          <w:lang w:val="fr-FR"/>
        </w:rPr>
        <w:t>la Plateforme</w:t>
      </w:r>
      <w:r w:rsidR="009D7B41" w:rsidRPr="008C52E5">
        <w:rPr>
          <w:lang w:val="fr-FR"/>
        </w:rPr>
        <w:t xml:space="preserve"> et du GIEC</w:t>
      </w:r>
      <w:r w:rsidR="006125FF" w:rsidRPr="008C52E5">
        <w:rPr>
          <w:lang w:val="fr-FR"/>
        </w:rPr>
        <w:t xml:space="preserve">. </w:t>
      </w:r>
    </w:p>
    <w:p w14:paraId="72A9BC34" w14:textId="36494641" w:rsidR="000B36DF" w:rsidRPr="008C52E5" w:rsidRDefault="00270837" w:rsidP="002D75B3">
      <w:pPr>
        <w:pStyle w:val="CH3"/>
        <w:tabs>
          <w:tab w:val="clear" w:pos="851"/>
        </w:tabs>
        <w:ind w:hanging="659"/>
        <w:rPr>
          <w:rFonts w:eastAsia="SimSun"/>
          <w:lang w:val="fr-FR" w:eastAsia="zh-CN"/>
        </w:rPr>
      </w:pPr>
      <w:r w:rsidRPr="008C52E5">
        <w:rPr>
          <w:rFonts w:eastAsia="SimSun"/>
          <w:lang w:val="fr-FR" w:eastAsia="zh-CN"/>
        </w:rPr>
        <w:t>2.</w:t>
      </w:r>
      <w:r w:rsidRPr="008C52E5">
        <w:rPr>
          <w:rFonts w:eastAsia="SimSun"/>
          <w:lang w:val="fr-FR" w:eastAsia="zh-CN"/>
        </w:rPr>
        <w:tab/>
      </w:r>
      <w:r w:rsidR="009D7B41" w:rsidRPr="008C52E5">
        <w:rPr>
          <w:rFonts w:eastAsia="SimSun"/>
          <w:lang w:val="fr-FR" w:eastAsia="zh-CN"/>
        </w:rPr>
        <w:t>Réunions et étapes intermédiaires</w:t>
      </w:r>
    </w:p>
    <w:p w14:paraId="74A60C86" w14:textId="63311259" w:rsidR="00C53C6C" w:rsidRPr="008C52E5" w:rsidRDefault="009D7B41" w:rsidP="00C53C6C">
      <w:pPr>
        <w:pStyle w:val="Normalnumber"/>
        <w:numPr>
          <w:ilvl w:val="0"/>
          <w:numId w:val="5"/>
        </w:numPr>
        <w:tabs>
          <w:tab w:val="left" w:pos="1871"/>
          <w:tab w:val="left" w:pos="2495"/>
        </w:tabs>
        <w:ind w:left="1247" w:firstLine="0"/>
        <w:rPr>
          <w:lang w:val="fr-FR"/>
        </w:rPr>
      </w:pPr>
      <w:r w:rsidRPr="008C52E5">
        <w:rPr>
          <w:lang w:val="fr-FR"/>
        </w:rPr>
        <w:t xml:space="preserve">Un aperçu des </w:t>
      </w:r>
      <w:r w:rsidR="00184146" w:rsidRPr="008C52E5">
        <w:rPr>
          <w:lang w:val="fr-FR"/>
        </w:rPr>
        <w:t xml:space="preserve">activités </w:t>
      </w:r>
      <w:r w:rsidRPr="008C52E5">
        <w:rPr>
          <w:lang w:val="fr-FR"/>
        </w:rPr>
        <w:t xml:space="preserve">à mener </w:t>
      </w:r>
      <w:r w:rsidR="00184146" w:rsidRPr="008C52E5">
        <w:rPr>
          <w:lang w:val="fr-FR"/>
        </w:rPr>
        <w:t xml:space="preserve">au titre </w:t>
      </w:r>
      <w:r w:rsidRPr="008C52E5">
        <w:rPr>
          <w:lang w:val="fr-FR"/>
        </w:rPr>
        <w:t xml:space="preserve">de ce produit est présenté ci-après. Un projet de budget </w:t>
      </w:r>
      <w:r w:rsidR="00184146" w:rsidRPr="008C52E5">
        <w:rPr>
          <w:lang w:val="fr-FR"/>
        </w:rPr>
        <w:t xml:space="preserve">correspondant </w:t>
      </w:r>
      <w:r w:rsidRPr="008C52E5">
        <w:rPr>
          <w:lang w:val="fr-FR"/>
        </w:rPr>
        <w:t>figure dans le tableau </w:t>
      </w:r>
      <w:r w:rsidR="00114549" w:rsidRPr="008C52E5">
        <w:rPr>
          <w:lang w:val="fr-FR"/>
        </w:rPr>
        <w:t>A-3</w:t>
      </w:r>
      <w:r w:rsidR="00C53C6C" w:rsidRPr="008C52E5">
        <w:rPr>
          <w:lang w:val="fr-FR"/>
        </w:rPr>
        <w:t xml:space="preserve"> </w:t>
      </w:r>
      <w:r w:rsidRPr="008C52E5">
        <w:rPr>
          <w:lang w:val="fr-FR"/>
        </w:rPr>
        <w:t xml:space="preserve">dans l’annexe </w:t>
      </w:r>
      <w:r w:rsidR="00184146" w:rsidRPr="008C52E5">
        <w:rPr>
          <w:lang w:val="fr-FR"/>
        </w:rPr>
        <w:t>d</w:t>
      </w:r>
      <w:r w:rsidRPr="008C52E5">
        <w:rPr>
          <w:lang w:val="fr-FR"/>
        </w:rPr>
        <w:t>u</w:t>
      </w:r>
      <w:r w:rsidR="00715BC5">
        <w:rPr>
          <w:lang w:val="fr-FR"/>
        </w:rPr>
        <w:t xml:space="preserve"> document </w:t>
      </w:r>
      <w:r w:rsidR="00C53C6C" w:rsidRPr="008C52E5">
        <w:rPr>
          <w:lang w:val="fr-FR"/>
        </w:rPr>
        <w:t>IPBES/7/4.</w:t>
      </w:r>
      <w:r w:rsidR="00127197" w:rsidRPr="008C52E5">
        <w:rPr>
          <w:lang w:val="fr-FR"/>
        </w:rPr>
        <w:t xml:space="preserve"> </w:t>
      </w:r>
    </w:p>
    <w:tbl>
      <w:tblPr>
        <w:tblW w:w="8352" w:type="dxa"/>
        <w:tblInd w:w="1248" w:type="dxa"/>
        <w:tblLook w:val="04A0" w:firstRow="1" w:lastRow="0" w:firstColumn="1" w:lastColumn="0" w:noHBand="0" w:noVBand="1"/>
      </w:tblPr>
      <w:tblGrid>
        <w:gridCol w:w="1587"/>
        <w:gridCol w:w="6765"/>
      </w:tblGrid>
      <w:tr w:rsidR="000B36DF" w:rsidRPr="008C52E5" w14:paraId="13C5F622" w14:textId="77777777" w:rsidTr="00D510F0">
        <w:trPr>
          <w:trHeight w:val="233"/>
          <w:tblHeader/>
        </w:trPr>
        <w:tc>
          <w:tcPr>
            <w:tcW w:w="1587" w:type="dxa"/>
            <w:tcBorders>
              <w:top w:val="single" w:sz="4" w:space="0" w:color="auto"/>
              <w:bottom w:val="single" w:sz="12" w:space="0" w:color="auto"/>
            </w:tcBorders>
            <w:shd w:val="clear" w:color="auto" w:fill="auto"/>
            <w:vAlign w:val="center"/>
          </w:tcPr>
          <w:p w14:paraId="213B77C7" w14:textId="6129B821" w:rsidR="000B36DF" w:rsidRPr="008C52E5" w:rsidDel="003F5A7B" w:rsidRDefault="009D7B41" w:rsidP="00E8569A">
            <w:pPr>
              <w:pStyle w:val="Normal-pool"/>
              <w:spacing w:before="20" w:after="20"/>
              <w:rPr>
                <w:rFonts w:eastAsia="SimSun"/>
                <w:sz w:val="18"/>
                <w:szCs w:val="18"/>
                <w:lang w:val="fr-FR" w:eastAsia="zh-CN"/>
              </w:rPr>
            </w:pPr>
            <w:r w:rsidRPr="008C52E5">
              <w:rPr>
                <w:rFonts w:eastAsia="SimSun"/>
                <w:i/>
                <w:sz w:val="18"/>
                <w:szCs w:val="18"/>
                <w:lang w:val="fr-FR" w:eastAsia="zh-CN"/>
              </w:rPr>
              <w:t>Calendrier</w:t>
            </w:r>
          </w:p>
        </w:tc>
        <w:tc>
          <w:tcPr>
            <w:tcW w:w="6765" w:type="dxa"/>
            <w:tcBorders>
              <w:top w:val="single" w:sz="4" w:space="0" w:color="auto"/>
              <w:bottom w:val="single" w:sz="12" w:space="0" w:color="auto"/>
            </w:tcBorders>
            <w:shd w:val="clear" w:color="auto" w:fill="auto"/>
          </w:tcPr>
          <w:p w14:paraId="016ED3F4" w14:textId="2F70B420" w:rsidR="000B36DF" w:rsidRPr="008C52E5" w:rsidDel="000C28ED" w:rsidRDefault="009D7B41" w:rsidP="00E8569A">
            <w:pPr>
              <w:pStyle w:val="Normal-pool"/>
              <w:spacing w:before="20" w:after="20"/>
              <w:rPr>
                <w:rFonts w:eastAsia="SimSun"/>
                <w:sz w:val="18"/>
                <w:szCs w:val="18"/>
                <w:lang w:val="fr-FR" w:eastAsia="zh-CN"/>
              </w:rPr>
            </w:pPr>
            <w:r w:rsidRPr="008C52E5">
              <w:rPr>
                <w:rFonts w:eastAsia="SimSun"/>
                <w:i/>
                <w:sz w:val="18"/>
                <w:szCs w:val="18"/>
                <w:lang w:val="fr-FR" w:eastAsia="zh-CN"/>
              </w:rPr>
              <w:t>Réunions et étapes intermédiaires</w:t>
            </w:r>
          </w:p>
        </w:tc>
      </w:tr>
      <w:tr w:rsidR="002675A4" w:rsidRPr="0082513F" w14:paraId="70FF8D23" w14:textId="77777777" w:rsidTr="00D510F0">
        <w:trPr>
          <w:trHeight w:val="233"/>
        </w:trPr>
        <w:tc>
          <w:tcPr>
            <w:tcW w:w="1587" w:type="dxa"/>
            <w:vMerge w:val="restart"/>
            <w:tcBorders>
              <w:top w:val="single" w:sz="12" w:space="0" w:color="auto"/>
            </w:tcBorders>
            <w:shd w:val="clear" w:color="auto" w:fill="auto"/>
            <w:vAlign w:val="center"/>
          </w:tcPr>
          <w:p w14:paraId="2C803C90" w14:textId="77777777" w:rsidR="002675A4" w:rsidRPr="008C52E5" w:rsidRDefault="002675A4" w:rsidP="00E8569A">
            <w:pPr>
              <w:pStyle w:val="Normal-pool"/>
              <w:spacing w:before="20" w:after="20"/>
              <w:rPr>
                <w:rFonts w:eastAsia="SimSun"/>
                <w:i/>
                <w:sz w:val="18"/>
                <w:szCs w:val="18"/>
                <w:lang w:val="fr-FR" w:eastAsia="zh-CN"/>
              </w:rPr>
            </w:pPr>
            <w:r w:rsidRPr="008C52E5">
              <w:rPr>
                <w:rFonts w:eastAsia="SimSun"/>
                <w:sz w:val="18"/>
                <w:szCs w:val="18"/>
                <w:lang w:val="fr-FR" w:eastAsia="zh-CN"/>
              </w:rPr>
              <w:t>2019</w:t>
            </w:r>
            <w:r w:rsidR="00C46BC5" w:rsidRPr="008C52E5">
              <w:rPr>
                <w:rFonts w:eastAsia="SimSun"/>
                <w:sz w:val="18"/>
                <w:szCs w:val="18"/>
                <w:lang w:val="fr-FR" w:eastAsia="zh-CN"/>
              </w:rPr>
              <w:t xml:space="preserve"> </w:t>
            </w:r>
          </w:p>
        </w:tc>
        <w:tc>
          <w:tcPr>
            <w:tcW w:w="6765" w:type="dxa"/>
            <w:tcBorders>
              <w:top w:val="single" w:sz="12" w:space="0" w:color="auto"/>
            </w:tcBorders>
            <w:shd w:val="clear" w:color="auto" w:fill="auto"/>
          </w:tcPr>
          <w:p w14:paraId="4EA026DB" w14:textId="4FBD0ECE" w:rsidR="002675A4" w:rsidRPr="008C52E5" w:rsidRDefault="009D7B41" w:rsidP="00E8569A">
            <w:pPr>
              <w:pStyle w:val="Normal-pool"/>
              <w:spacing w:before="20" w:after="20"/>
              <w:rPr>
                <w:rFonts w:eastAsia="SimSun"/>
                <w:sz w:val="18"/>
                <w:szCs w:val="18"/>
                <w:lang w:val="fr-FR" w:eastAsia="zh-CN"/>
              </w:rPr>
            </w:pPr>
            <w:r w:rsidRPr="008C52E5">
              <w:rPr>
                <w:rFonts w:eastAsia="SimSun"/>
                <w:sz w:val="18"/>
                <w:szCs w:val="18"/>
                <w:lang w:val="fr-FR" w:eastAsia="zh-CN"/>
              </w:rPr>
              <w:t>La Plénière décide du thème du document technique et invite le GIEC à élaborer le document de façon conjointe</w:t>
            </w:r>
          </w:p>
        </w:tc>
      </w:tr>
      <w:tr w:rsidR="00D45A72" w:rsidRPr="0082513F" w14:paraId="55440CF7" w14:textId="77777777" w:rsidTr="00D510F0">
        <w:trPr>
          <w:trHeight w:val="541"/>
        </w:trPr>
        <w:tc>
          <w:tcPr>
            <w:tcW w:w="1587" w:type="dxa"/>
            <w:vMerge/>
            <w:shd w:val="clear" w:color="auto" w:fill="auto"/>
            <w:vAlign w:val="center"/>
          </w:tcPr>
          <w:p w14:paraId="16D67DB1" w14:textId="77777777" w:rsidR="00D45A72" w:rsidRPr="008C52E5" w:rsidRDefault="00D45A72" w:rsidP="00E8569A">
            <w:pPr>
              <w:pStyle w:val="Normal-pool"/>
              <w:spacing w:before="20" w:after="20"/>
              <w:rPr>
                <w:rFonts w:eastAsia="SimSun"/>
                <w:sz w:val="18"/>
                <w:szCs w:val="18"/>
                <w:lang w:val="fr-FR" w:eastAsia="zh-CN"/>
              </w:rPr>
            </w:pPr>
          </w:p>
        </w:tc>
        <w:tc>
          <w:tcPr>
            <w:tcW w:w="6765" w:type="dxa"/>
            <w:shd w:val="clear" w:color="auto" w:fill="auto"/>
          </w:tcPr>
          <w:p w14:paraId="3DA09A16" w14:textId="40EB791F" w:rsidR="00D45A72" w:rsidRPr="008C52E5" w:rsidRDefault="009D7B41" w:rsidP="00E8569A">
            <w:pPr>
              <w:pStyle w:val="Normal-pool"/>
              <w:spacing w:before="20" w:after="20"/>
              <w:rPr>
                <w:rFonts w:eastAsia="SimSun"/>
                <w:sz w:val="18"/>
                <w:szCs w:val="18"/>
                <w:lang w:val="fr-FR" w:eastAsia="zh-CN"/>
              </w:rPr>
            </w:pPr>
            <w:r w:rsidRPr="008C52E5">
              <w:rPr>
                <w:rFonts w:eastAsia="SimSun"/>
                <w:sz w:val="18"/>
                <w:szCs w:val="18"/>
                <w:lang w:val="fr-FR" w:eastAsia="zh-CN"/>
              </w:rPr>
              <w:t>Le GIEC examine l’</w:t>
            </w:r>
            <w:r w:rsidR="00D45A72" w:rsidRPr="008C52E5">
              <w:rPr>
                <w:rFonts w:eastAsia="SimSun"/>
                <w:sz w:val="18"/>
                <w:szCs w:val="18"/>
                <w:lang w:val="fr-FR" w:eastAsia="zh-CN"/>
              </w:rPr>
              <w:t xml:space="preserve">invitation </w:t>
            </w:r>
            <w:r w:rsidR="003661AA" w:rsidRPr="008C52E5">
              <w:rPr>
                <w:rFonts w:eastAsia="SimSun"/>
                <w:sz w:val="18"/>
                <w:szCs w:val="18"/>
                <w:lang w:val="fr-FR" w:eastAsia="zh-CN"/>
              </w:rPr>
              <w:t xml:space="preserve">de </w:t>
            </w:r>
            <w:r w:rsidR="00944F83" w:rsidRPr="008C52E5">
              <w:rPr>
                <w:rFonts w:eastAsia="SimSun"/>
                <w:sz w:val="18"/>
                <w:szCs w:val="18"/>
                <w:lang w:val="fr-FR" w:eastAsia="zh-CN"/>
              </w:rPr>
              <w:t>la Plateforme</w:t>
            </w:r>
            <w:r w:rsidR="00D45A72" w:rsidRPr="008C52E5">
              <w:rPr>
                <w:rFonts w:eastAsia="SimSun"/>
                <w:sz w:val="18"/>
                <w:szCs w:val="18"/>
                <w:lang w:val="fr-FR" w:eastAsia="zh-CN"/>
              </w:rPr>
              <w:t xml:space="preserve"> </w:t>
            </w:r>
            <w:r w:rsidR="003661AA" w:rsidRPr="008C52E5">
              <w:rPr>
                <w:rFonts w:eastAsia="SimSun"/>
                <w:sz w:val="18"/>
                <w:szCs w:val="18"/>
                <w:lang w:val="fr-FR" w:eastAsia="zh-CN"/>
              </w:rPr>
              <w:t xml:space="preserve">et peut décider de l’élaboration conjointe du document technique </w:t>
            </w:r>
          </w:p>
        </w:tc>
      </w:tr>
      <w:tr w:rsidR="00D45A72" w:rsidRPr="008C52E5" w14:paraId="7575AD5B" w14:textId="77777777" w:rsidTr="00D510F0">
        <w:trPr>
          <w:trHeight w:val="433"/>
        </w:trPr>
        <w:tc>
          <w:tcPr>
            <w:tcW w:w="1587" w:type="dxa"/>
            <w:vMerge w:val="restart"/>
            <w:shd w:val="clear" w:color="auto" w:fill="auto"/>
            <w:vAlign w:val="center"/>
          </w:tcPr>
          <w:p w14:paraId="2EB24ACE" w14:textId="36170162" w:rsidR="00D45A72" w:rsidRPr="008C52E5" w:rsidRDefault="00D45A72" w:rsidP="00D510F0">
            <w:pPr>
              <w:pStyle w:val="Normal-pool"/>
              <w:keepNext/>
              <w:keepLines/>
              <w:spacing w:before="20" w:after="20"/>
              <w:rPr>
                <w:rFonts w:eastAsia="SimSun"/>
                <w:sz w:val="18"/>
                <w:szCs w:val="18"/>
                <w:lang w:val="fr-FR" w:eastAsia="zh-CN"/>
              </w:rPr>
            </w:pPr>
            <w:r w:rsidRPr="008C52E5">
              <w:rPr>
                <w:rFonts w:eastAsia="SimSun"/>
                <w:sz w:val="18"/>
                <w:szCs w:val="18"/>
                <w:lang w:val="fr-FR" w:eastAsia="zh-CN"/>
              </w:rPr>
              <w:t xml:space="preserve">2019 </w:t>
            </w:r>
            <w:r w:rsidR="003661AA" w:rsidRPr="008C52E5">
              <w:rPr>
                <w:rFonts w:eastAsia="SimSun"/>
                <w:sz w:val="18"/>
                <w:szCs w:val="18"/>
                <w:lang w:val="fr-FR" w:eastAsia="zh-CN"/>
              </w:rPr>
              <w:t>ou plus tard</w:t>
            </w:r>
            <w:r w:rsidRPr="008C52E5">
              <w:rPr>
                <w:rFonts w:eastAsia="SimSun"/>
                <w:sz w:val="18"/>
                <w:szCs w:val="18"/>
                <w:lang w:val="fr-FR" w:eastAsia="zh-CN"/>
              </w:rPr>
              <w:t xml:space="preserve">, </w:t>
            </w:r>
            <w:r w:rsidR="003661AA" w:rsidRPr="008C52E5">
              <w:rPr>
                <w:rFonts w:eastAsia="SimSun"/>
                <w:sz w:val="18"/>
                <w:szCs w:val="18"/>
                <w:lang w:val="fr-FR" w:eastAsia="zh-CN"/>
              </w:rPr>
              <w:t>en fonction de la décision du Groupe</w:t>
            </w:r>
          </w:p>
        </w:tc>
        <w:tc>
          <w:tcPr>
            <w:tcW w:w="6765" w:type="dxa"/>
            <w:shd w:val="clear" w:color="auto" w:fill="auto"/>
          </w:tcPr>
          <w:p w14:paraId="08EC89F8" w14:textId="1E5CC9BD" w:rsidR="00D45A72" w:rsidRPr="008C52E5" w:rsidRDefault="003661AA" w:rsidP="00D510F0">
            <w:pPr>
              <w:pStyle w:val="Normal-pool"/>
              <w:keepNext/>
              <w:keepLines/>
              <w:spacing w:before="20"/>
              <w:rPr>
                <w:rFonts w:eastAsia="SimSun"/>
                <w:sz w:val="18"/>
                <w:szCs w:val="18"/>
                <w:lang w:val="fr-FR" w:eastAsia="zh-CN"/>
              </w:rPr>
            </w:pPr>
            <w:r w:rsidRPr="008C52E5">
              <w:rPr>
                <w:rFonts w:eastAsia="SimSun"/>
                <w:sz w:val="18"/>
                <w:szCs w:val="18"/>
                <w:lang w:val="fr-FR" w:eastAsia="zh-CN"/>
              </w:rPr>
              <w:t>Désignation des</w:t>
            </w:r>
            <w:r w:rsidR="00D45A72" w:rsidRPr="008C52E5">
              <w:rPr>
                <w:rFonts w:eastAsia="SimSun"/>
                <w:sz w:val="18"/>
                <w:szCs w:val="18"/>
                <w:lang w:val="fr-FR" w:eastAsia="zh-CN"/>
              </w:rPr>
              <w:t xml:space="preserve"> experts</w:t>
            </w:r>
          </w:p>
        </w:tc>
      </w:tr>
      <w:tr w:rsidR="00D45A72" w:rsidRPr="008C52E5" w14:paraId="39C45564" w14:textId="77777777" w:rsidTr="00D510F0">
        <w:trPr>
          <w:trHeight w:val="379"/>
        </w:trPr>
        <w:tc>
          <w:tcPr>
            <w:tcW w:w="1587" w:type="dxa"/>
            <w:vMerge/>
            <w:shd w:val="clear" w:color="auto" w:fill="auto"/>
            <w:vAlign w:val="center"/>
          </w:tcPr>
          <w:p w14:paraId="3E887A17" w14:textId="77777777" w:rsidR="00D45A72" w:rsidRPr="008C52E5" w:rsidRDefault="00D45A72" w:rsidP="00E8569A">
            <w:pPr>
              <w:pStyle w:val="Normal-pool"/>
              <w:spacing w:before="20" w:after="20"/>
              <w:rPr>
                <w:rFonts w:eastAsia="SimSun"/>
                <w:sz w:val="18"/>
                <w:szCs w:val="18"/>
                <w:lang w:val="fr-FR" w:eastAsia="zh-CN"/>
              </w:rPr>
            </w:pPr>
          </w:p>
        </w:tc>
        <w:tc>
          <w:tcPr>
            <w:tcW w:w="6765" w:type="dxa"/>
            <w:shd w:val="clear" w:color="auto" w:fill="auto"/>
          </w:tcPr>
          <w:p w14:paraId="14C08BEA" w14:textId="737E148B" w:rsidR="00D45A72" w:rsidRPr="008C52E5" w:rsidRDefault="00715BC5" w:rsidP="00D510F0">
            <w:pPr>
              <w:pStyle w:val="Normal-pool"/>
              <w:keepNext/>
              <w:keepLines/>
              <w:rPr>
                <w:rFonts w:eastAsia="SimSun"/>
                <w:sz w:val="18"/>
                <w:szCs w:val="18"/>
                <w:lang w:val="fr-FR" w:eastAsia="zh-CN"/>
              </w:rPr>
            </w:pPr>
            <w:r>
              <w:rPr>
                <w:rFonts w:eastAsia="SimSun"/>
                <w:sz w:val="18"/>
                <w:szCs w:val="18"/>
                <w:lang w:val="fr-FR" w:eastAsia="zh-CN"/>
              </w:rPr>
              <w:t>Première </w:t>
            </w:r>
            <w:r w:rsidR="003661AA" w:rsidRPr="008C52E5">
              <w:rPr>
                <w:rFonts w:eastAsia="SimSun"/>
                <w:sz w:val="18"/>
                <w:szCs w:val="18"/>
                <w:lang w:val="fr-FR" w:eastAsia="zh-CN"/>
              </w:rPr>
              <w:t>réunion des auteurs</w:t>
            </w:r>
          </w:p>
        </w:tc>
      </w:tr>
      <w:tr w:rsidR="00D45A72" w:rsidRPr="0082513F" w14:paraId="4F2E4D7C" w14:textId="77777777" w:rsidTr="00D510F0">
        <w:trPr>
          <w:trHeight w:val="233"/>
        </w:trPr>
        <w:tc>
          <w:tcPr>
            <w:tcW w:w="1587" w:type="dxa"/>
            <w:vMerge/>
            <w:shd w:val="clear" w:color="auto" w:fill="auto"/>
            <w:vAlign w:val="center"/>
          </w:tcPr>
          <w:p w14:paraId="3C0CBECF" w14:textId="77777777" w:rsidR="00D45A72" w:rsidRPr="008C52E5" w:rsidRDefault="00D45A72" w:rsidP="00E8569A">
            <w:pPr>
              <w:pStyle w:val="Normal-pool"/>
              <w:spacing w:before="20" w:after="20"/>
              <w:rPr>
                <w:rFonts w:eastAsia="SimSun"/>
                <w:sz w:val="18"/>
                <w:szCs w:val="18"/>
                <w:lang w:val="fr-FR" w:eastAsia="zh-CN"/>
              </w:rPr>
            </w:pPr>
          </w:p>
        </w:tc>
        <w:tc>
          <w:tcPr>
            <w:tcW w:w="6765" w:type="dxa"/>
            <w:shd w:val="clear" w:color="auto" w:fill="auto"/>
          </w:tcPr>
          <w:p w14:paraId="5000F11A" w14:textId="489DDA9B" w:rsidR="00D45A72" w:rsidRPr="008C52E5" w:rsidRDefault="003661AA" w:rsidP="00D510F0">
            <w:pPr>
              <w:pStyle w:val="Normal-pool"/>
              <w:keepNext/>
              <w:keepLines/>
              <w:spacing w:before="20" w:after="20"/>
              <w:rPr>
                <w:rFonts w:eastAsia="SimSun"/>
                <w:sz w:val="18"/>
                <w:szCs w:val="18"/>
                <w:lang w:val="fr-FR" w:eastAsia="zh-CN"/>
              </w:rPr>
            </w:pPr>
            <w:r w:rsidRPr="008C52E5">
              <w:rPr>
                <w:rFonts w:eastAsia="SimSun"/>
                <w:sz w:val="18"/>
                <w:szCs w:val="18"/>
                <w:lang w:val="fr-FR" w:eastAsia="zh-CN"/>
              </w:rPr>
              <w:t>Premier</w:t>
            </w:r>
            <w:r w:rsidR="00913913" w:rsidRPr="008C52E5">
              <w:rPr>
                <w:rFonts w:eastAsia="SimSun"/>
                <w:sz w:val="18"/>
                <w:szCs w:val="18"/>
                <w:lang w:val="fr-FR" w:eastAsia="zh-CN"/>
              </w:rPr>
              <w:t> </w:t>
            </w:r>
            <w:r w:rsidRPr="008C52E5">
              <w:rPr>
                <w:rFonts w:eastAsia="SimSun"/>
                <w:sz w:val="18"/>
                <w:szCs w:val="18"/>
                <w:lang w:val="fr-FR" w:eastAsia="zh-CN"/>
              </w:rPr>
              <w:t>examen du projet de document technique</w:t>
            </w:r>
          </w:p>
        </w:tc>
      </w:tr>
      <w:tr w:rsidR="00D45A72" w:rsidRPr="008C52E5" w14:paraId="0E9DC446" w14:textId="77777777" w:rsidTr="00D510F0">
        <w:trPr>
          <w:trHeight w:val="233"/>
        </w:trPr>
        <w:tc>
          <w:tcPr>
            <w:tcW w:w="1587" w:type="dxa"/>
            <w:vMerge w:val="restart"/>
            <w:tcBorders>
              <w:bottom w:val="single" w:sz="12" w:space="0" w:color="auto"/>
            </w:tcBorders>
            <w:shd w:val="clear" w:color="auto" w:fill="auto"/>
            <w:vAlign w:val="center"/>
          </w:tcPr>
          <w:p w14:paraId="3E5F5C1F" w14:textId="60FB561D" w:rsidR="00D45A72" w:rsidRPr="008C52E5" w:rsidRDefault="00D45A72" w:rsidP="00E8569A">
            <w:pPr>
              <w:pStyle w:val="Normal-pool"/>
              <w:spacing w:before="20" w:after="20"/>
              <w:rPr>
                <w:rFonts w:eastAsia="SimSun"/>
                <w:sz w:val="18"/>
                <w:szCs w:val="18"/>
                <w:lang w:val="fr-FR" w:eastAsia="zh-CN"/>
              </w:rPr>
            </w:pPr>
            <w:r w:rsidRPr="008C52E5">
              <w:rPr>
                <w:rFonts w:eastAsia="SimSun"/>
                <w:sz w:val="18"/>
                <w:szCs w:val="18"/>
                <w:lang w:val="fr-FR" w:eastAsia="zh-CN"/>
              </w:rPr>
              <w:t xml:space="preserve">2020 </w:t>
            </w:r>
            <w:r w:rsidR="003661AA" w:rsidRPr="008C52E5">
              <w:rPr>
                <w:rFonts w:eastAsia="SimSun"/>
                <w:sz w:val="18"/>
                <w:szCs w:val="18"/>
                <w:lang w:val="fr-FR" w:eastAsia="zh-CN"/>
              </w:rPr>
              <w:t>ou plus tard</w:t>
            </w:r>
          </w:p>
        </w:tc>
        <w:tc>
          <w:tcPr>
            <w:tcW w:w="6765" w:type="dxa"/>
            <w:shd w:val="clear" w:color="auto" w:fill="auto"/>
          </w:tcPr>
          <w:p w14:paraId="6B5DF570" w14:textId="5237562B" w:rsidR="00D45A72" w:rsidRPr="008C52E5" w:rsidRDefault="003661AA" w:rsidP="00E8569A">
            <w:pPr>
              <w:pStyle w:val="Normal-pool"/>
              <w:spacing w:before="20" w:after="20"/>
              <w:rPr>
                <w:rFonts w:eastAsia="SimSun"/>
                <w:sz w:val="18"/>
                <w:szCs w:val="18"/>
                <w:lang w:val="fr-FR" w:eastAsia="zh-CN"/>
              </w:rPr>
            </w:pPr>
            <w:r w:rsidRPr="008C52E5">
              <w:rPr>
                <w:rFonts w:eastAsia="SimSun"/>
                <w:sz w:val="18"/>
                <w:szCs w:val="18"/>
                <w:lang w:val="fr-FR" w:eastAsia="zh-CN"/>
              </w:rPr>
              <w:t>Deuxième</w:t>
            </w:r>
            <w:r w:rsidR="00913913" w:rsidRPr="008C52E5">
              <w:rPr>
                <w:rFonts w:eastAsia="SimSun"/>
                <w:sz w:val="18"/>
                <w:szCs w:val="18"/>
                <w:lang w:val="fr-FR" w:eastAsia="zh-CN"/>
              </w:rPr>
              <w:t> </w:t>
            </w:r>
            <w:r w:rsidRPr="008C52E5">
              <w:rPr>
                <w:rFonts w:eastAsia="SimSun"/>
                <w:sz w:val="18"/>
                <w:szCs w:val="18"/>
                <w:lang w:val="fr-FR" w:eastAsia="zh-CN"/>
              </w:rPr>
              <w:t>réunion des auteurs</w:t>
            </w:r>
          </w:p>
        </w:tc>
      </w:tr>
      <w:tr w:rsidR="00D45A72" w:rsidRPr="0082513F" w14:paraId="048CCDDA" w14:textId="77777777" w:rsidTr="00D510F0">
        <w:trPr>
          <w:trHeight w:val="233"/>
        </w:trPr>
        <w:tc>
          <w:tcPr>
            <w:tcW w:w="1587" w:type="dxa"/>
            <w:vMerge/>
            <w:tcBorders>
              <w:top w:val="single" w:sz="4" w:space="0" w:color="auto"/>
              <w:bottom w:val="single" w:sz="12" w:space="0" w:color="auto"/>
            </w:tcBorders>
            <w:shd w:val="clear" w:color="auto" w:fill="auto"/>
          </w:tcPr>
          <w:p w14:paraId="557F6B33" w14:textId="77777777" w:rsidR="00D45A72" w:rsidRPr="008C52E5" w:rsidRDefault="00D45A72" w:rsidP="00E8569A">
            <w:pPr>
              <w:pStyle w:val="Normal-pool"/>
              <w:spacing w:before="20" w:after="20"/>
              <w:rPr>
                <w:rFonts w:eastAsia="SimSun"/>
                <w:sz w:val="18"/>
                <w:szCs w:val="18"/>
                <w:lang w:val="fr-FR" w:eastAsia="zh-CN"/>
              </w:rPr>
            </w:pPr>
          </w:p>
        </w:tc>
        <w:tc>
          <w:tcPr>
            <w:tcW w:w="6765" w:type="dxa"/>
            <w:shd w:val="clear" w:color="auto" w:fill="auto"/>
          </w:tcPr>
          <w:p w14:paraId="14405F18" w14:textId="77B29BE3" w:rsidR="00D45A72" w:rsidRPr="008C52E5" w:rsidRDefault="003661AA" w:rsidP="00E8569A">
            <w:pPr>
              <w:pStyle w:val="Normal-pool"/>
              <w:spacing w:before="20" w:after="20"/>
              <w:rPr>
                <w:rFonts w:eastAsia="SimSun"/>
                <w:sz w:val="18"/>
                <w:szCs w:val="18"/>
                <w:lang w:val="fr-FR" w:eastAsia="zh-CN"/>
              </w:rPr>
            </w:pPr>
            <w:r w:rsidRPr="008C52E5">
              <w:rPr>
                <w:rFonts w:eastAsia="SimSun"/>
                <w:sz w:val="18"/>
                <w:szCs w:val="18"/>
                <w:lang w:val="fr-FR" w:eastAsia="zh-CN"/>
              </w:rPr>
              <w:t>Deuxième</w:t>
            </w:r>
            <w:r w:rsidR="00913913" w:rsidRPr="008C52E5">
              <w:rPr>
                <w:rFonts w:eastAsia="SimSun"/>
                <w:sz w:val="18"/>
                <w:szCs w:val="18"/>
                <w:lang w:val="fr-FR" w:eastAsia="zh-CN"/>
              </w:rPr>
              <w:t> </w:t>
            </w:r>
            <w:r w:rsidRPr="008C52E5">
              <w:rPr>
                <w:rFonts w:eastAsia="SimSun"/>
                <w:sz w:val="18"/>
                <w:szCs w:val="18"/>
                <w:lang w:val="fr-FR" w:eastAsia="zh-CN"/>
              </w:rPr>
              <w:t>examen du projet de document technique</w:t>
            </w:r>
          </w:p>
        </w:tc>
      </w:tr>
      <w:tr w:rsidR="00D45A72" w:rsidRPr="008C52E5" w14:paraId="51A4B3ED" w14:textId="77777777" w:rsidTr="00D510F0">
        <w:trPr>
          <w:trHeight w:val="233"/>
        </w:trPr>
        <w:tc>
          <w:tcPr>
            <w:tcW w:w="1587" w:type="dxa"/>
            <w:vMerge/>
            <w:tcBorders>
              <w:top w:val="single" w:sz="4" w:space="0" w:color="auto"/>
              <w:bottom w:val="single" w:sz="12" w:space="0" w:color="auto"/>
            </w:tcBorders>
            <w:shd w:val="clear" w:color="auto" w:fill="auto"/>
          </w:tcPr>
          <w:p w14:paraId="28C1C52A" w14:textId="77777777" w:rsidR="00D45A72" w:rsidRPr="008C52E5" w:rsidRDefault="00D45A72" w:rsidP="00E8569A">
            <w:pPr>
              <w:pStyle w:val="Normal-pool"/>
              <w:spacing w:before="20" w:after="20"/>
              <w:rPr>
                <w:rFonts w:eastAsia="SimSun"/>
                <w:sz w:val="18"/>
                <w:szCs w:val="18"/>
                <w:lang w:val="fr-FR" w:eastAsia="zh-CN"/>
              </w:rPr>
            </w:pPr>
          </w:p>
        </w:tc>
        <w:tc>
          <w:tcPr>
            <w:tcW w:w="6765" w:type="dxa"/>
            <w:shd w:val="clear" w:color="auto" w:fill="auto"/>
          </w:tcPr>
          <w:p w14:paraId="2CB5B31A" w14:textId="34A08EB9" w:rsidR="00D45A72" w:rsidRPr="008C52E5" w:rsidRDefault="003661AA" w:rsidP="00E8569A">
            <w:pPr>
              <w:pStyle w:val="Normal-pool"/>
              <w:spacing w:before="20" w:after="20"/>
              <w:rPr>
                <w:rFonts w:eastAsia="SimSun"/>
                <w:sz w:val="18"/>
                <w:szCs w:val="18"/>
                <w:lang w:val="fr-FR" w:eastAsia="zh-CN"/>
              </w:rPr>
            </w:pPr>
            <w:r w:rsidRPr="008C52E5">
              <w:rPr>
                <w:rFonts w:eastAsia="SimSun"/>
                <w:sz w:val="18"/>
                <w:szCs w:val="18"/>
                <w:lang w:val="fr-FR" w:eastAsia="zh-CN"/>
              </w:rPr>
              <w:t>Troisième</w:t>
            </w:r>
            <w:r w:rsidR="00913913" w:rsidRPr="008C52E5">
              <w:rPr>
                <w:rFonts w:eastAsia="SimSun"/>
                <w:sz w:val="18"/>
                <w:szCs w:val="18"/>
                <w:lang w:val="fr-FR" w:eastAsia="zh-CN"/>
              </w:rPr>
              <w:t> </w:t>
            </w:r>
            <w:r w:rsidRPr="008C52E5">
              <w:rPr>
                <w:rFonts w:eastAsia="SimSun"/>
                <w:sz w:val="18"/>
                <w:szCs w:val="18"/>
                <w:lang w:val="fr-FR" w:eastAsia="zh-CN"/>
              </w:rPr>
              <w:t>réunion des auteurs</w:t>
            </w:r>
          </w:p>
        </w:tc>
      </w:tr>
      <w:tr w:rsidR="00D45A72" w:rsidRPr="0082513F" w14:paraId="5B706159" w14:textId="77777777" w:rsidTr="00D510F0">
        <w:trPr>
          <w:trHeight w:val="233"/>
        </w:trPr>
        <w:tc>
          <w:tcPr>
            <w:tcW w:w="1587" w:type="dxa"/>
            <w:vMerge/>
            <w:tcBorders>
              <w:top w:val="single" w:sz="4" w:space="0" w:color="auto"/>
              <w:bottom w:val="single" w:sz="12" w:space="0" w:color="auto"/>
            </w:tcBorders>
            <w:shd w:val="clear" w:color="auto" w:fill="auto"/>
          </w:tcPr>
          <w:p w14:paraId="36976FE1" w14:textId="77777777" w:rsidR="00D45A72" w:rsidRPr="008C52E5" w:rsidRDefault="00D45A72" w:rsidP="00E8569A">
            <w:pPr>
              <w:pStyle w:val="Normal-pool"/>
              <w:spacing w:before="20" w:after="20"/>
              <w:rPr>
                <w:rFonts w:eastAsia="SimSun"/>
                <w:sz w:val="18"/>
                <w:szCs w:val="18"/>
                <w:lang w:val="fr-FR" w:eastAsia="zh-CN"/>
              </w:rPr>
            </w:pPr>
          </w:p>
        </w:tc>
        <w:tc>
          <w:tcPr>
            <w:tcW w:w="6765" w:type="dxa"/>
            <w:tcBorders>
              <w:bottom w:val="single" w:sz="12" w:space="0" w:color="auto"/>
            </w:tcBorders>
            <w:shd w:val="clear" w:color="auto" w:fill="auto"/>
          </w:tcPr>
          <w:p w14:paraId="6AABC9FA" w14:textId="065D2FEA" w:rsidR="00D45A72" w:rsidRPr="008C52E5" w:rsidRDefault="003661AA" w:rsidP="00E8569A">
            <w:pPr>
              <w:pStyle w:val="Normal-pool"/>
              <w:spacing w:before="20" w:after="20"/>
              <w:rPr>
                <w:rFonts w:eastAsia="SimSun"/>
                <w:sz w:val="18"/>
                <w:szCs w:val="18"/>
                <w:lang w:val="fr-FR" w:eastAsia="zh-CN"/>
              </w:rPr>
            </w:pPr>
            <w:r w:rsidRPr="008C52E5">
              <w:rPr>
                <w:rFonts w:eastAsia="SimSun"/>
                <w:sz w:val="18"/>
                <w:szCs w:val="18"/>
                <w:lang w:val="fr-FR" w:eastAsia="zh-CN"/>
              </w:rPr>
              <w:t>Conception, présentation, diffusion et communication</w:t>
            </w:r>
          </w:p>
        </w:tc>
      </w:tr>
    </w:tbl>
    <w:p w14:paraId="015371E5" w14:textId="537CD20B" w:rsidR="00513BC3" w:rsidRPr="008C52E5" w:rsidRDefault="00771BDE" w:rsidP="0044443E">
      <w:pPr>
        <w:pStyle w:val="CH2"/>
        <w:tabs>
          <w:tab w:val="clear" w:pos="851"/>
        </w:tabs>
        <w:ind w:hanging="680"/>
        <w:rPr>
          <w:lang w:val="fr-FR"/>
        </w:rPr>
      </w:pPr>
      <w:r w:rsidRPr="008C52E5">
        <w:rPr>
          <w:lang w:val="fr-FR"/>
        </w:rPr>
        <w:t>C.</w:t>
      </w:r>
      <w:r w:rsidRPr="008C52E5">
        <w:rPr>
          <w:lang w:val="fr-FR"/>
        </w:rPr>
        <w:tab/>
      </w:r>
      <w:r w:rsidR="003661AA" w:rsidRPr="008C52E5">
        <w:rPr>
          <w:lang w:val="fr-FR"/>
        </w:rPr>
        <w:t>Produit </w:t>
      </w:r>
      <w:r w:rsidR="00375077" w:rsidRPr="008C52E5">
        <w:rPr>
          <w:lang w:val="fr-FR"/>
        </w:rPr>
        <w:t>1</w:t>
      </w:r>
      <w:r w:rsidR="003661AA" w:rsidRPr="008C52E5">
        <w:rPr>
          <w:lang w:val="fr-FR"/>
        </w:rPr>
        <w:t> </w:t>
      </w:r>
      <w:r w:rsidR="00375077" w:rsidRPr="008C52E5">
        <w:rPr>
          <w:lang w:val="fr-FR"/>
        </w:rPr>
        <w:t>c</w:t>
      </w:r>
      <w:r w:rsidR="00052EA6" w:rsidRPr="008C52E5">
        <w:rPr>
          <w:lang w:val="fr-FR"/>
        </w:rPr>
        <w:t>)</w:t>
      </w:r>
      <w:r w:rsidR="003661AA" w:rsidRPr="008C52E5">
        <w:rPr>
          <w:lang w:val="fr-FR"/>
        </w:rPr>
        <w:t> </w:t>
      </w:r>
      <w:r w:rsidR="00375077" w:rsidRPr="008C52E5">
        <w:rPr>
          <w:lang w:val="fr-FR"/>
        </w:rPr>
        <w:t xml:space="preserve">: </w:t>
      </w:r>
      <w:r w:rsidR="003661AA" w:rsidRPr="008C52E5">
        <w:rPr>
          <w:lang w:val="fr-FR"/>
        </w:rPr>
        <w:t>évaluation thématique des causes de l’appauvrissement de la diversité biologique et des</w:t>
      </w:r>
      <w:r w:rsidR="00375077" w:rsidRPr="008C52E5">
        <w:rPr>
          <w:lang w:val="fr-FR"/>
        </w:rPr>
        <w:t xml:space="preserve"> </w:t>
      </w:r>
      <w:r w:rsidR="00D061C5" w:rsidRPr="008C52E5">
        <w:rPr>
          <w:lang w:val="fr-FR"/>
        </w:rPr>
        <w:t>facteurs de</w:t>
      </w:r>
      <w:r w:rsidR="00375077" w:rsidRPr="008C52E5">
        <w:rPr>
          <w:lang w:val="fr-FR"/>
        </w:rPr>
        <w:t xml:space="preserve"> </w:t>
      </w:r>
      <w:r w:rsidR="003661AA" w:rsidRPr="008C52E5">
        <w:rPr>
          <w:lang w:val="fr-FR"/>
        </w:rPr>
        <w:t>changement porteur de transformation</w:t>
      </w:r>
    </w:p>
    <w:p w14:paraId="79451A81" w14:textId="220BBD09" w:rsidR="00E5245E" w:rsidRPr="008C52E5" w:rsidRDefault="00270837" w:rsidP="0044443E">
      <w:pPr>
        <w:pStyle w:val="CH3"/>
        <w:tabs>
          <w:tab w:val="clear" w:pos="851"/>
        </w:tabs>
        <w:ind w:hanging="680"/>
        <w:rPr>
          <w:lang w:val="fr-FR"/>
        </w:rPr>
      </w:pPr>
      <w:bookmarkStart w:id="4" w:name="_Hlk535948213"/>
      <w:r w:rsidRPr="008C52E5">
        <w:rPr>
          <w:rFonts w:eastAsia="SimSun"/>
          <w:lang w:val="fr-FR" w:eastAsia="zh-CN"/>
        </w:rPr>
        <w:t>1.</w:t>
      </w:r>
      <w:r w:rsidRPr="008C52E5">
        <w:rPr>
          <w:rFonts w:eastAsia="SimSun"/>
          <w:lang w:val="fr-FR" w:eastAsia="zh-CN"/>
        </w:rPr>
        <w:tab/>
      </w:r>
      <w:r w:rsidR="003661AA" w:rsidRPr="008C52E5">
        <w:rPr>
          <w:rFonts w:eastAsia="SimSun"/>
          <w:lang w:val="fr-FR" w:eastAsia="zh-CN"/>
        </w:rPr>
        <w:t>Hypothèses et dispositions institutionnelles</w:t>
      </w:r>
    </w:p>
    <w:p w14:paraId="6B16CF88" w14:textId="7FF2D1D3" w:rsidR="00E5245E" w:rsidRPr="008C52E5" w:rsidRDefault="00185D79" w:rsidP="00E5245E">
      <w:pPr>
        <w:pStyle w:val="Normalnumber"/>
        <w:numPr>
          <w:ilvl w:val="0"/>
          <w:numId w:val="5"/>
        </w:numPr>
        <w:tabs>
          <w:tab w:val="left" w:pos="1871"/>
          <w:tab w:val="left" w:pos="2495"/>
        </w:tabs>
        <w:ind w:left="1247" w:firstLine="0"/>
        <w:rPr>
          <w:lang w:val="fr-FR"/>
        </w:rPr>
      </w:pPr>
      <w:r w:rsidRPr="008C52E5">
        <w:rPr>
          <w:rFonts w:eastAsia="Calibri"/>
          <w:lang w:val="fr-FR"/>
        </w:rPr>
        <w:t xml:space="preserve">Le Groupe et le Bureau superviseront un processus de cadrage complet et, sous réserve de l’approbation de la Plénière, la mise en place d’un groupe d’experts mondial doté d’un mandat précis </w:t>
      </w:r>
      <w:r w:rsidR="00F22C81">
        <w:rPr>
          <w:rFonts w:eastAsia="Calibri"/>
          <w:lang w:val="fr-FR"/>
        </w:rPr>
        <w:t>à </w:t>
      </w:r>
      <w:r w:rsidRPr="008C52E5">
        <w:rPr>
          <w:rFonts w:eastAsia="Calibri"/>
          <w:lang w:val="fr-FR"/>
        </w:rPr>
        <w:t>durée déterminée pour l’évaluation, qui serait composé de coprésidents des équipes chargées des rapports, d’auteurs</w:t>
      </w:r>
      <w:r w:rsidR="00184146" w:rsidRPr="008C52E5">
        <w:rPr>
          <w:rFonts w:eastAsia="Calibri"/>
          <w:lang w:val="fr-FR"/>
        </w:rPr>
        <w:noBreakHyphen/>
      </w:r>
      <w:r w:rsidRPr="008C52E5">
        <w:rPr>
          <w:rFonts w:eastAsia="Calibri"/>
          <w:lang w:val="fr-FR"/>
        </w:rPr>
        <w:t>coordonnateurs principaux, d’auteurs principaux et d’éditeurs-réviseurs</w:t>
      </w:r>
      <w:r w:rsidR="00E5245E" w:rsidRPr="008C52E5">
        <w:rPr>
          <w:lang w:val="fr-FR"/>
        </w:rPr>
        <w:t xml:space="preserve">. </w:t>
      </w:r>
      <w:r w:rsidR="00F22C81">
        <w:rPr>
          <w:lang w:val="fr-FR"/>
        </w:rPr>
        <w:t>Les </w:t>
      </w:r>
      <w:r w:rsidR="00B845A5" w:rsidRPr="008C52E5">
        <w:rPr>
          <w:lang w:val="fr-FR"/>
        </w:rPr>
        <w:t>groupes d’experts pour le processus de cadrage et l’évaluation seront choisis conformément aux procédures d’établissement des produits de la Plateforme</w:t>
      </w:r>
      <w:r w:rsidR="00E5245E" w:rsidRPr="008C52E5">
        <w:rPr>
          <w:rStyle w:val="FootnoteReference"/>
          <w:lang w:val="fr-FR"/>
        </w:rPr>
        <w:footnoteReference w:id="4"/>
      </w:r>
      <w:r w:rsidR="00E5245E" w:rsidRPr="008C52E5">
        <w:rPr>
          <w:lang w:val="fr-FR"/>
        </w:rPr>
        <w:t xml:space="preserve"> </w:t>
      </w:r>
      <w:r w:rsidR="00B845A5" w:rsidRPr="008C52E5">
        <w:rPr>
          <w:lang w:val="fr-FR"/>
        </w:rPr>
        <w:t>et mèneront leurs travaux conformément aux</w:t>
      </w:r>
      <w:r w:rsidR="00184146" w:rsidRPr="008C52E5">
        <w:rPr>
          <w:lang w:val="fr-FR"/>
        </w:rPr>
        <w:t xml:space="preserve">dites </w:t>
      </w:r>
      <w:r w:rsidR="00B845A5" w:rsidRPr="008C52E5">
        <w:rPr>
          <w:lang w:val="fr-FR"/>
        </w:rPr>
        <w:t>procédures</w:t>
      </w:r>
      <w:r w:rsidR="00E5245E" w:rsidRPr="008C52E5">
        <w:rPr>
          <w:lang w:val="fr-FR"/>
        </w:rPr>
        <w:t xml:space="preserve">. </w:t>
      </w:r>
      <w:r w:rsidR="00B845A5" w:rsidRPr="008C52E5">
        <w:rPr>
          <w:lang w:val="fr-FR"/>
        </w:rPr>
        <w:t>Le processus de cadrage commencera par une conf</w:t>
      </w:r>
      <w:r w:rsidR="00F22C81">
        <w:rPr>
          <w:lang w:val="fr-FR"/>
        </w:rPr>
        <w:t>érence en ligne, suivie par une </w:t>
      </w:r>
      <w:r w:rsidR="00B845A5" w:rsidRPr="008C52E5">
        <w:rPr>
          <w:lang w:val="fr-FR"/>
        </w:rPr>
        <w:t xml:space="preserve">réunion de 45 experts destinée à produire le projet de rapport de cadrage, compte </w:t>
      </w:r>
      <w:r w:rsidR="00184146" w:rsidRPr="008C52E5">
        <w:rPr>
          <w:lang w:val="fr-FR"/>
        </w:rPr>
        <w:t xml:space="preserve">tenu </w:t>
      </w:r>
      <w:r w:rsidR="00B845A5" w:rsidRPr="008C52E5">
        <w:rPr>
          <w:lang w:val="fr-FR"/>
        </w:rPr>
        <w:t>des résultats de la conférence en ligne</w:t>
      </w:r>
      <w:r w:rsidR="00E5245E" w:rsidRPr="008C52E5">
        <w:rPr>
          <w:lang w:val="fr-FR"/>
        </w:rPr>
        <w:t xml:space="preserve">. </w:t>
      </w:r>
      <w:r w:rsidR="00B845A5" w:rsidRPr="008C52E5">
        <w:rPr>
          <w:lang w:val="fr-FR"/>
        </w:rPr>
        <w:t>L’évaluation associera 62 auteurs, qui se réuniront trois fois, et 12 éditeurs</w:t>
      </w:r>
      <w:r w:rsidR="00184146" w:rsidRPr="008C52E5">
        <w:rPr>
          <w:lang w:val="fr-FR"/>
        </w:rPr>
        <w:noBreakHyphen/>
      </w:r>
      <w:r w:rsidR="00B845A5" w:rsidRPr="008C52E5">
        <w:rPr>
          <w:lang w:val="fr-FR"/>
        </w:rPr>
        <w:t>réviseurs, qui se réuniront deux fois avec les auteurs</w:t>
      </w:r>
      <w:r w:rsidR="00E5245E" w:rsidRPr="008C52E5">
        <w:rPr>
          <w:lang w:val="fr-FR"/>
        </w:rPr>
        <w:t xml:space="preserve">. </w:t>
      </w:r>
      <w:r w:rsidR="00B845A5" w:rsidRPr="008C52E5">
        <w:rPr>
          <w:lang w:val="fr-FR"/>
        </w:rPr>
        <w:t xml:space="preserve">Deux réunions seront tenues afin </w:t>
      </w:r>
      <w:r w:rsidR="00F22C81">
        <w:rPr>
          <w:lang w:val="fr-FR"/>
        </w:rPr>
        <w:t>de </w:t>
      </w:r>
      <w:r w:rsidR="00184146" w:rsidRPr="008C52E5">
        <w:rPr>
          <w:lang w:val="fr-FR"/>
        </w:rPr>
        <w:t xml:space="preserve">faciliter </w:t>
      </w:r>
      <w:r w:rsidR="00B845A5" w:rsidRPr="008C52E5">
        <w:rPr>
          <w:lang w:val="fr-FR"/>
        </w:rPr>
        <w:t>l’élaboration du résumé à l’intention des décideurs, qui fera ensuite l’objet d’un examen supplémentaire</w:t>
      </w:r>
      <w:r w:rsidR="00E5245E" w:rsidRPr="008C52E5">
        <w:rPr>
          <w:lang w:val="fr-FR"/>
        </w:rPr>
        <w:t xml:space="preserve">. </w:t>
      </w:r>
      <w:r w:rsidR="00B845A5" w:rsidRPr="008C52E5">
        <w:rPr>
          <w:lang w:val="fr-FR"/>
        </w:rPr>
        <w:t xml:space="preserve">Trois réunions de dialogue seront organisées pour mettre en œuvre </w:t>
      </w:r>
      <w:r w:rsidR="006A574C" w:rsidRPr="008C52E5">
        <w:rPr>
          <w:lang w:val="fr-FR"/>
        </w:rPr>
        <w:t>l’approche appliquée par la Plateforme en vue de reconnaître et d’exploiter les savoirs autochtones et locaux</w:t>
      </w:r>
      <w:r w:rsidR="00E5245E" w:rsidRPr="008C52E5">
        <w:rPr>
          <w:lang w:val="fr-FR"/>
        </w:rPr>
        <w:t xml:space="preserve">. </w:t>
      </w:r>
      <w:r w:rsidR="00715BC5">
        <w:rPr>
          <w:lang w:val="fr-FR"/>
        </w:rPr>
        <w:t>Il </w:t>
      </w:r>
      <w:r w:rsidR="00B845A5" w:rsidRPr="008C52E5">
        <w:rPr>
          <w:lang w:val="fr-FR"/>
        </w:rPr>
        <w:t xml:space="preserve">est prévu que l’évaluation soit menée sur une période de quatre ans, dont un </w:t>
      </w:r>
      <w:r w:rsidR="00184146" w:rsidRPr="008C52E5">
        <w:rPr>
          <w:lang w:val="fr-FR"/>
        </w:rPr>
        <w:t xml:space="preserve">an </w:t>
      </w:r>
      <w:r w:rsidR="00B845A5" w:rsidRPr="008C52E5">
        <w:rPr>
          <w:lang w:val="fr-FR"/>
        </w:rPr>
        <w:t>pour la désignation et la sélection des auteurs</w:t>
      </w:r>
      <w:r w:rsidR="00184146" w:rsidRPr="008C52E5">
        <w:rPr>
          <w:lang w:val="fr-FR"/>
        </w:rPr>
        <w:t>.</w:t>
      </w:r>
    </w:p>
    <w:p w14:paraId="652485C5" w14:textId="2805CCDD" w:rsidR="00E5245E" w:rsidRPr="008C52E5" w:rsidRDefault="0015296A" w:rsidP="00E5245E">
      <w:pPr>
        <w:pStyle w:val="Normalnumber"/>
        <w:numPr>
          <w:ilvl w:val="0"/>
          <w:numId w:val="5"/>
        </w:numPr>
        <w:tabs>
          <w:tab w:val="left" w:pos="1871"/>
          <w:tab w:val="left" w:pos="2495"/>
        </w:tabs>
        <w:ind w:left="1247" w:firstLine="0"/>
        <w:rPr>
          <w:lang w:val="fr-FR"/>
        </w:rPr>
      </w:pPr>
      <w:r w:rsidRPr="008C52E5">
        <w:rPr>
          <w:lang w:val="fr-FR"/>
        </w:rPr>
        <w:t xml:space="preserve">Le secrétariat conclura des accords avec des institutions partenaires pour la </w:t>
      </w:r>
      <w:r w:rsidR="00184146" w:rsidRPr="008C52E5">
        <w:rPr>
          <w:lang w:val="fr-FR"/>
        </w:rPr>
        <w:t xml:space="preserve">prestation </w:t>
      </w:r>
      <w:r w:rsidR="00715BC5">
        <w:rPr>
          <w:lang w:val="fr-FR"/>
        </w:rPr>
        <w:t>d’un </w:t>
      </w:r>
      <w:r w:rsidRPr="008C52E5">
        <w:rPr>
          <w:lang w:val="fr-FR"/>
        </w:rPr>
        <w:t xml:space="preserve">appui technique </w:t>
      </w:r>
      <w:r w:rsidR="00184146" w:rsidRPr="008C52E5">
        <w:rPr>
          <w:lang w:val="fr-FR"/>
        </w:rPr>
        <w:t xml:space="preserve">sur approbation du </w:t>
      </w:r>
      <w:r w:rsidRPr="008C52E5">
        <w:rPr>
          <w:lang w:val="fr-FR"/>
        </w:rPr>
        <w:t xml:space="preserve">Bureau. Cet appui technique sera financé en partie par </w:t>
      </w:r>
      <w:proofErr w:type="gramStart"/>
      <w:r w:rsidRPr="008C52E5">
        <w:rPr>
          <w:lang w:val="fr-FR"/>
        </w:rPr>
        <w:t xml:space="preserve">la </w:t>
      </w:r>
      <w:r w:rsidR="00F22C81">
        <w:rPr>
          <w:lang w:val="fr-FR"/>
        </w:rPr>
        <w:t> </w:t>
      </w:r>
      <w:r w:rsidRPr="008C52E5">
        <w:rPr>
          <w:lang w:val="fr-FR"/>
        </w:rPr>
        <w:t>Plateforme</w:t>
      </w:r>
      <w:proofErr w:type="gramEnd"/>
      <w:r w:rsidRPr="008C52E5">
        <w:rPr>
          <w:lang w:val="fr-FR"/>
        </w:rPr>
        <w:t xml:space="preserve"> et en partie par les contributions en nature approuvées par la Plénière</w:t>
      </w:r>
      <w:r w:rsidR="00E5245E" w:rsidRPr="008C52E5">
        <w:rPr>
          <w:lang w:val="fr-FR"/>
        </w:rPr>
        <w:t>.</w:t>
      </w:r>
    </w:p>
    <w:p w14:paraId="452CD006" w14:textId="5F752282" w:rsidR="00E5245E" w:rsidRPr="008C52E5" w:rsidRDefault="00270837" w:rsidP="0044443E">
      <w:pPr>
        <w:pStyle w:val="CH3"/>
        <w:tabs>
          <w:tab w:val="clear" w:pos="851"/>
        </w:tabs>
        <w:ind w:hanging="680"/>
        <w:rPr>
          <w:rFonts w:eastAsia="SimSun"/>
          <w:lang w:val="fr-FR" w:eastAsia="zh-CN"/>
        </w:rPr>
      </w:pPr>
      <w:r w:rsidRPr="008C52E5">
        <w:rPr>
          <w:rFonts w:eastAsia="SimSun"/>
          <w:lang w:val="fr-FR" w:eastAsia="zh-CN"/>
        </w:rPr>
        <w:t>2.</w:t>
      </w:r>
      <w:r w:rsidRPr="008C52E5">
        <w:rPr>
          <w:rFonts w:eastAsia="SimSun"/>
          <w:lang w:val="fr-FR" w:eastAsia="zh-CN"/>
        </w:rPr>
        <w:tab/>
      </w:r>
      <w:r w:rsidR="0015296A" w:rsidRPr="008C52E5">
        <w:rPr>
          <w:rFonts w:eastAsia="SimSun"/>
          <w:lang w:val="fr-FR" w:eastAsia="zh-CN"/>
        </w:rPr>
        <w:t>Réunions et étapes intermédiaires</w:t>
      </w:r>
    </w:p>
    <w:p w14:paraId="633560E0" w14:textId="46C6D5D6" w:rsidR="00C53C6C" w:rsidRPr="008C52E5" w:rsidRDefault="0015296A" w:rsidP="00C53C6C">
      <w:pPr>
        <w:pStyle w:val="Normalnumber"/>
        <w:numPr>
          <w:ilvl w:val="0"/>
          <w:numId w:val="5"/>
        </w:numPr>
        <w:tabs>
          <w:tab w:val="left" w:pos="1871"/>
          <w:tab w:val="left" w:pos="2495"/>
        </w:tabs>
        <w:ind w:left="1247" w:firstLine="0"/>
        <w:rPr>
          <w:lang w:val="fr-FR"/>
        </w:rPr>
      </w:pPr>
      <w:r w:rsidRPr="008C52E5">
        <w:rPr>
          <w:lang w:val="fr-FR"/>
        </w:rPr>
        <w:t xml:space="preserve">Un aperçu des </w:t>
      </w:r>
      <w:r w:rsidR="00184146" w:rsidRPr="008C52E5">
        <w:rPr>
          <w:lang w:val="fr-FR"/>
        </w:rPr>
        <w:t xml:space="preserve">activités </w:t>
      </w:r>
      <w:r w:rsidRPr="008C52E5">
        <w:rPr>
          <w:lang w:val="fr-FR"/>
        </w:rPr>
        <w:t xml:space="preserve">à mener </w:t>
      </w:r>
      <w:r w:rsidR="00184146" w:rsidRPr="008C52E5">
        <w:rPr>
          <w:lang w:val="fr-FR"/>
        </w:rPr>
        <w:t xml:space="preserve">au titre </w:t>
      </w:r>
      <w:r w:rsidRPr="008C52E5">
        <w:rPr>
          <w:lang w:val="fr-FR"/>
        </w:rPr>
        <w:t xml:space="preserve">de ce produit est présenté ci-après. Un projet de budget </w:t>
      </w:r>
      <w:r w:rsidR="00184146" w:rsidRPr="008C52E5">
        <w:rPr>
          <w:lang w:val="fr-FR"/>
        </w:rPr>
        <w:t xml:space="preserve">correspondant </w:t>
      </w:r>
      <w:r w:rsidRPr="008C52E5">
        <w:rPr>
          <w:lang w:val="fr-FR"/>
        </w:rPr>
        <w:t>figure dans les tableaux </w:t>
      </w:r>
      <w:r w:rsidR="00E50C73" w:rsidRPr="008C52E5">
        <w:rPr>
          <w:lang w:val="fr-FR"/>
        </w:rPr>
        <w:t>A</w:t>
      </w:r>
      <w:r w:rsidR="00114549" w:rsidRPr="008C52E5">
        <w:rPr>
          <w:lang w:val="fr-FR"/>
        </w:rPr>
        <w:t>-1</w:t>
      </w:r>
      <w:r w:rsidR="00C53C6C" w:rsidRPr="008C52E5">
        <w:rPr>
          <w:lang w:val="fr-FR"/>
        </w:rPr>
        <w:t xml:space="preserve"> </w:t>
      </w:r>
      <w:r w:rsidRPr="008C52E5">
        <w:rPr>
          <w:lang w:val="fr-FR"/>
        </w:rPr>
        <w:t>et</w:t>
      </w:r>
      <w:r w:rsidR="00C53C6C" w:rsidRPr="008C52E5">
        <w:rPr>
          <w:lang w:val="fr-FR"/>
        </w:rPr>
        <w:t xml:space="preserve"> </w:t>
      </w:r>
      <w:r w:rsidR="00114549" w:rsidRPr="008C52E5">
        <w:rPr>
          <w:lang w:val="fr-FR"/>
        </w:rPr>
        <w:t xml:space="preserve">A-4 </w:t>
      </w:r>
      <w:r w:rsidRPr="008C52E5">
        <w:rPr>
          <w:lang w:val="fr-FR"/>
        </w:rPr>
        <w:t xml:space="preserve">dans l’annexe </w:t>
      </w:r>
      <w:r w:rsidR="00184146" w:rsidRPr="008C52E5">
        <w:rPr>
          <w:lang w:val="fr-FR"/>
        </w:rPr>
        <w:t>d</w:t>
      </w:r>
      <w:r w:rsidRPr="008C52E5">
        <w:rPr>
          <w:lang w:val="fr-FR"/>
        </w:rPr>
        <w:t>u</w:t>
      </w:r>
      <w:r w:rsidR="00715BC5">
        <w:rPr>
          <w:lang w:val="fr-FR"/>
        </w:rPr>
        <w:t xml:space="preserve"> document </w:t>
      </w:r>
      <w:r w:rsidR="00C53C6C" w:rsidRPr="008C52E5">
        <w:rPr>
          <w:lang w:val="fr-FR"/>
        </w:rPr>
        <w:t>IPBES/7/4.</w:t>
      </w:r>
      <w:r w:rsidR="00E61371" w:rsidRPr="008C52E5">
        <w:rPr>
          <w:lang w:val="fr-FR"/>
        </w:rPr>
        <w:t xml:space="preserve"> </w:t>
      </w:r>
    </w:p>
    <w:tbl>
      <w:tblPr>
        <w:tblW w:w="7778" w:type="dxa"/>
        <w:tblInd w:w="1248" w:type="dxa"/>
        <w:tblLayout w:type="fixed"/>
        <w:tblLook w:val="04A0" w:firstRow="1" w:lastRow="0" w:firstColumn="1" w:lastColumn="0" w:noHBand="0" w:noVBand="1"/>
      </w:tblPr>
      <w:tblGrid>
        <w:gridCol w:w="1162"/>
        <w:gridCol w:w="6616"/>
      </w:tblGrid>
      <w:tr w:rsidR="00D510F0" w:rsidRPr="008C52E5" w14:paraId="545668CC" w14:textId="77777777" w:rsidTr="004E2A49">
        <w:trPr>
          <w:trHeight w:val="233"/>
          <w:tblHeader/>
        </w:trPr>
        <w:tc>
          <w:tcPr>
            <w:tcW w:w="1162" w:type="dxa"/>
            <w:tcBorders>
              <w:top w:val="single" w:sz="4" w:space="0" w:color="auto"/>
              <w:bottom w:val="single" w:sz="12" w:space="0" w:color="auto"/>
            </w:tcBorders>
            <w:shd w:val="clear" w:color="auto" w:fill="auto"/>
            <w:vAlign w:val="center"/>
          </w:tcPr>
          <w:p w14:paraId="4E15C2EF" w14:textId="3DDB1D8E" w:rsidR="00D510F0" w:rsidRPr="008C52E5" w:rsidDel="003F5A7B" w:rsidRDefault="0015296A" w:rsidP="004E2A49">
            <w:pPr>
              <w:pStyle w:val="Normal-pool"/>
              <w:spacing w:before="40" w:after="40"/>
              <w:rPr>
                <w:rFonts w:eastAsia="SimSun"/>
                <w:sz w:val="18"/>
                <w:szCs w:val="18"/>
                <w:lang w:val="fr-FR" w:eastAsia="zh-CN"/>
              </w:rPr>
            </w:pPr>
            <w:r w:rsidRPr="008C52E5">
              <w:rPr>
                <w:rFonts w:eastAsia="SimSun"/>
                <w:i/>
                <w:sz w:val="18"/>
                <w:szCs w:val="18"/>
                <w:lang w:val="fr-FR" w:eastAsia="zh-CN"/>
              </w:rPr>
              <w:t>Calendrier</w:t>
            </w:r>
          </w:p>
        </w:tc>
        <w:tc>
          <w:tcPr>
            <w:tcW w:w="6616" w:type="dxa"/>
            <w:tcBorders>
              <w:top w:val="single" w:sz="4" w:space="0" w:color="auto"/>
              <w:bottom w:val="single" w:sz="12" w:space="0" w:color="auto"/>
            </w:tcBorders>
            <w:shd w:val="clear" w:color="auto" w:fill="auto"/>
            <w:vAlign w:val="center"/>
          </w:tcPr>
          <w:p w14:paraId="33E431C7" w14:textId="4EA8001D" w:rsidR="00D510F0" w:rsidRPr="008C52E5" w:rsidDel="000C28ED" w:rsidRDefault="0015296A" w:rsidP="004E2A49">
            <w:pPr>
              <w:pStyle w:val="Normal-pool"/>
              <w:spacing w:before="40" w:after="40"/>
              <w:rPr>
                <w:rFonts w:eastAsia="SimSun"/>
                <w:sz w:val="18"/>
                <w:szCs w:val="18"/>
                <w:lang w:val="fr-FR" w:eastAsia="zh-CN"/>
              </w:rPr>
            </w:pPr>
            <w:r w:rsidRPr="008C52E5">
              <w:rPr>
                <w:rFonts w:eastAsia="SimSun"/>
                <w:i/>
                <w:sz w:val="18"/>
                <w:szCs w:val="18"/>
                <w:lang w:val="fr-FR" w:eastAsia="zh-CN"/>
              </w:rPr>
              <w:t>Réunions et étapes intermédiaires</w:t>
            </w:r>
          </w:p>
        </w:tc>
      </w:tr>
      <w:tr w:rsidR="00D510F0" w:rsidRPr="0082513F" w14:paraId="2A89DD10" w14:textId="77777777" w:rsidTr="004E2A49">
        <w:trPr>
          <w:trHeight w:val="233"/>
        </w:trPr>
        <w:tc>
          <w:tcPr>
            <w:tcW w:w="1162" w:type="dxa"/>
            <w:vMerge w:val="restart"/>
            <w:tcBorders>
              <w:top w:val="single" w:sz="12" w:space="0" w:color="auto"/>
            </w:tcBorders>
            <w:shd w:val="clear" w:color="auto" w:fill="auto"/>
            <w:vAlign w:val="center"/>
          </w:tcPr>
          <w:p w14:paraId="11FF3B38" w14:textId="77777777" w:rsidR="00D510F0" w:rsidRPr="008C52E5" w:rsidRDefault="00D510F0" w:rsidP="004E2A49">
            <w:pPr>
              <w:pStyle w:val="Normal-pool"/>
              <w:spacing w:before="40" w:after="40"/>
              <w:rPr>
                <w:rFonts w:eastAsia="SimSun"/>
                <w:sz w:val="18"/>
                <w:szCs w:val="18"/>
                <w:lang w:val="fr-FR" w:eastAsia="zh-CN"/>
              </w:rPr>
            </w:pPr>
            <w:r w:rsidRPr="008C52E5">
              <w:rPr>
                <w:rFonts w:eastAsia="SimSun"/>
                <w:sz w:val="18"/>
                <w:szCs w:val="18"/>
                <w:lang w:val="fr-FR" w:eastAsia="zh-CN"/>
              </w:rPr>
              <w:t xml:space="preserve">2020 </w:t>
            </w:r>
          </w:p>
        </w:tc>
        <w:tc>
          <w:tcPr>
            <w:tcW w:w="6616" w:type="dxa"/>
            <w:tcBorders>
              <w:top w:val="single" w:sz="12" w:space="0" w:color="auto"/>
            </w:tcBorders>
            <w:shd w:val="clear" w:color="auto" w:fill="auto"/>
            <w:vAlign w:val="center"/>
          </w:tcPr>
          <w:p w14:paraId="078F9669" w14:textId="3BA99943" w:rsidR="00D510F0" w:rsidRPr="008C52E5" w:rsidRDefault="00403014" w:rsidP="004E2A49">
            <w:pPr>
              <w:pStyle w:val="Normal-pool"/>
              <w:spacing w:before="40" w:after="40"/>
              <w:rPr>
                <w:rFonts w:eastAsia="SimSun"/>
                <w:sz w:val="18"/>
                <w:szCs w:val="18"/>
                <w:lang w:val="fr-FR" w:eastAsia="zh-CN"/>
              </w:rPr>
            </w:pPr>
            <w:r w:rsidRPr="008C52E5">
              <w:rPr>
                <w:rFonts w:eastAsia="SimSun"/>
                <w:sz w:val="18"/>
                <w:szCs w:val="18"/>
                <w:lang w:val="fr-FR" w:eastAsia="zh-CN"/>
              </w:rPr>
              <w:t>La Plénière approuve le processus de cadrage complet</w:t>
            </w:r>
          </w:p>
        </w:tc>
      </w:tr>
      <w:tr w:rsidR="00D510F0" w:rsidRPr="0082513F" w14:paraId="61AEDAE4" w14:textId="77777777" w:rsidTr="004E2A49">
        <w:trPr>
          <w:trHeight w:val="233"/>
        </w:trPr>
        <w:tc>
          <w:tcPr>
            <w:tcW w:w="1162" w:type="dxa"/>
            <w:vMerge/>
            <w:shd w:val="clear" w:color="auto" w:fill="auto"/>
            <w:vAlign w:val="center"/>
          </w:tcPr>
          <w:p w14:paraId="05F27B05" w14:textId="77777777" w:rsidR="00D510F0" w:rsidRPr="008C52E5" w:rsidRDefault="00D510F0" w:rsidP="004E2A49">
            <w:pPr>
              <w:pStyle w:val="Normal-pool"/>
              <w:spacing w:before="40" w:after="40"/>
              <w:rPr>
                <w:rFonts w:eastAsia="SimSun"/>
                <w:sz w:val="18"/>
                <w:szCs w:val="18"/>
                <w:lang w:val="fr-FR" w:eastAsia="zh-CN"/>
              </w:rPr>
            </w:pPr>
          </w:p>
        </w:tc>
        <w:tc>
          <w:tcPr>
            <w:tcW w:w="6616" w:type="dxa"/>
            <w:shd w:val="clear" w:color="auto" w:fill="auto"/>
            <w:vAlign w:val="center"/>
          </w:tcPr>
          <w:p w14:paraId="426617E1" w14:textId="5C24C289" w:rsidR="00D510F0" w:rsidRPr="008C52E5" w:rsidRDefault="00403014" w:rsidP="004E2A49">
            <w:pPr>
              <w:pStyle w:val="Normal-pool"/>
              <w:spacing w:before="40" w:after="40"/>
              <w:rPr>
                <w:rFonts w:eastAsia="SimSun"/>
                <w:sz w:val="18"/>
                <w:szCs w:val="18"/>
                <w:lang w:val="fr-FR" w:eastAsia="zh-CN"/>
              </w:rPr>
            </w:pPr>
            <w:r w:rsidRPr="008C52E5">
              <w:rPr>
                <w:rFonts w:eastAsia="SimSun"/>
                <w:sz w:val="18"/>
                <w:szCs w:val="18"/>
                <w:lang w:val="fr-FR" w:eastAsia="zh-CN"/>
              </w:rPr>
              <w:t>Conférence de cadrage en ligne</w:t>
            </w:r>
          </w:p>
        </w:tc>
      </w:tr>
      <w:tr w:rsidR="00D510F0" w:rsidRPr="0082513F" w14:paraId="4B0D8AA3" w14:textId="77777777" w:rsidTr="004E2A49">
        <w:trPr>
          <w:trHeight w:val="233"/>
        </w:trPr>
        <w:tc>
          <w:tcPr>
            <w:tcW w:w="1162" w:type="dxa"/>
            <w:vMerge/>
            <w:shd w:val="clear" w:color="auto" w:fill="auto"/>
            <w:vAlign w:val="center"/>
          </w:tcPr>
          <w:p w14:paraId="0C1059F6" w14:textId="77777777" w:rsidR="00D510F0" w:rsidRPr="008C52E5" w:rsidRDefault="00D510F0" w:rsidP="004E2A49">
            <w:pPr>
              <w:pStyle w:val="Normal-pool"/>
              <w:spacing w:before="40" w:after="40"/>
              <w:rPr>
                <w:rFonts w:eastAsia="SimSun"/>
                <w:sz w:val="18"/>
                <w:szCs w:val="18"/>
                <w:lang w:val="fr-FR" w:eastAsia="zh-CN"/>
              </w:rPr>
            </w:pPr>
          </w:p>
        </w:tc>
        <w:tc>
          <w:tcPr>
            <w:tcW w:w="6616" w:type="dxa"/>
            <w:shd w:val="clear" w:color="auto" w:fill="auto"/>
            <w:vAlign w:val="center"/>
          </w:tcPr>
          <w:p w14:paraId="6A57F2E1" w14:textId="5AD6880B" w:rsidR="00D510F0" w:rsidRPr="008C52E5" w:rsidRDefault="00403014" w:rsidP="004E2A49">
            <w:pPr>
              <w:pStyle w:val="Normal-pool"/>
              <w:spacing w:before="40" w:after="40"/>
              <w:rPr>
                <w:rFonts w:eastAsia="SimSun"/>
                <w:sz w:val="18"/>
                <w:szCs w:val="18"/>
                <w:lang w:val="fr-FR" w:eastAsia="zh-CN"/>
              </w:rPr>
            </w:pPr>
            <w:r w:rsidRPr="008C52E5">
              <w:rPr>
                <w:rFonts w:eastAsia="SimSun"/>
                <w:sz w:val="18"/>
                <w:szCs w:val="18"/>
                <w:lang w:val="fr-FR" w:eastAsia="zh-CN"/>
              </w:rPr>
              <w:t>Désignation et sélection des experts chargés du cadrage</w:t>
            </w:r>
          </w:p>
        </w:tc>
      </w:tr>
      <w:tr w:rsidR="00D510F0" w:rsidRPr="008C52E5" w14:paraId="37E33E3F" w14:textId="77777777" w:rsidTr="004E2A49">
        <w:trPr>
          <w:trHeight w:val="233"/>
        </w:trPr>
        <w:tc>
          <w:tcPr>
            <w:tcW w:w="1162" w:type="dxa"/>
            <w:vMerge/>
            <w:shd w:val="clear" w:color="auto" w:fill="auto"/>
            <w:vAlign w:val="center"/>
          </w:tcPr>
          <w:p w14:paraId="618C7471" w14:textId="77777777" w:rsidR="00D510F0" w:rsidRPr="008C52E5" w:rsidRDefault="00D510F0" w:rsidP="004E2A49">
            <w:pPr>
              <w:pStyle w:val="Normal-pool"/>
              <w:spacing w:before="40" w:after="40"/>
              <w:rPr>
                <w:rFonts w:eastAsia="SimSun"/>
                <w:sz w:val="18"/>
                <w:szCs w:val="18"/>
                <w:lang w:val="fr-FR" w:eastAsia="zh-CN"/>
              </w:rPr>
            </w:pPr>
          </w:p>
        </w:tc>
        <w:tc>
          <w:tcPr>
            <w:tcW w:w="6616" w:type="dxa"/>
            <w:shd w:val="clear" w:color="auto" w:fill="auto"/>
            <w:vAlign w:val="center"/>
          </w:tcPr>
          <w:p w14:paraId="645BFC19" w14:textId="5B98D883" w:rsidR="00D510F0" w:rsidRPr="008C52E5" w:rsidRDefault="00403014" w:rsidP="004E2A49">
            <w:pPr>
              <w:pStyle w:val="Normal-pool"/>
              <w:spacing w:before="40" w:after="40"/>
              <w:rPr>
                <w:rFonts w:eastAsia="SimSun"/>
                <w:sz w:val="18"/>
                <w:szCs w:val="18"/>
                <w:lang w:val="fr-FR" w:eastAsia="zh-CN"/>
              </w:rPr>
            </w:pPr>
            <w:r w:rsidRPr="008C52E5">
              <w:rPr>
                <w:rFonts w:eastAsia="SimSun"/>
                <w:sz w:val="18"/>
                <w:szCs w:val="18"/>
                <w:lang w:val="fr-FR" w:eastAsia="zh-CN"/>
              </w:rPr>
              <w:t>Réunion de cadrage</w:t>
            </w:r>
          </w:p>
        </w:tc>
      </w:tr>
      <w:tr w:rsidR="00D510F0" w:rsidRPr="0082513F" w14:paraId="3BBB38BF" w14:textId="77777777" w:rsidTr="004E2A49">
        <w:trPr>
          <w:trHeight w:val="233"/>
        </w:trPr>
        <w:tc>
          <w:tcPr>
            <w:tcW w:w="1162" w:type="dxa"/>
            <w:vMerge w:val="restart"/>
            <w:shd w:val="clear" w:color="auto" w:fill="auto"/>
            <w:vAlign w:val="center"/>
          </w:tcPr>
          <w:p w14:paraId="23D7D7B2" w14:textId="77777777" w:rsidR="00D510F0" w:rsidRPr="008C52E5" w:rsidRDefault="00D510F0" w:rsidP="004E2A49">
            <w:pPr>
              <w:pStyle w:val="Normal-pool"/>
              <w:spacing w:before="40" w:after="40"/>
              <w:rPr>
                <w:rFonts w:eastAsia="SimSun"/>
                <w:sz w:val="18"/>
                <w:szCs w:val="18"/>
                <w:lang w:val="fr-FR" w:eastAsia="zh-CN"/>
              </w:rPr>
            </w:pPr>
            <w:r w:rsidRPr="008C52E5">
              <w:rPr>
                <w:rFonts w:eastAsia="SimSun"/>
                <w:sz w:val="18"/>
                <w:szCs w:val="18"/>
                <w:lang w:val="fr-FR" w:eastAsia="zh-CN"/>
              </w:rPr>
              <w:t>2021</w:t>
            </w:r>
          </w:p>
        </w:tc>
        <w:tc>
          <w:tcPr>
            <w:tcW w:w="6616" w:type="dxa"/>
            <w:shd w:val="clear" w:color="auto" w:fill="auto"/>
            <w:vAlign w:val="center"/>
          </w:tcPr>
          <w:p w14:paraId="2A7A9537" w14:textId="5D88E00A" w:rsidR="00D510F0" w:rsidRPr="008C52E5" w:rsidRDefault="00403014" w:rsidP="004E2A49">
            <w:pPr>
              <w:pStyle w:val="Normal-pool"/>
              <w:spacing w:before="40" w:after="40"/>
              <w:rPr>
                <w:rFonts w:eastAsia="SimSun"/>
                <w:sz w:val="18"/>
                <w:szCs w:val="18"/>
                <w:lang w:val="fr-FR" w:eastAsia="zh-CN"/>
              </w:rPr>
            </w:pPr>
            <w:r w:rsidRPr="008C52E5">
              <w:rPr>
                <w:rFonts w:eastAsia="SimSun"/>
                <w:sz w:val="18"/>
                <w:szCs w:val="18"/>
                <w:lang w:val="fr-FR" w:eastAsia="zh-CN"/>
              </w:rPr>
              <w:t xml:space="preserve">La Plénière examine et approuve le document de cadrage et </w:t>
            </w:r>
            <w:r w:rsidR="00184146" w:rsidRPr="008C52E5">
              <w:rPr>
                <w:rFonts w:eastAsia="SimSun"/>
                <w:sz w:val="18"/>
                <w:szCs w:val="18"/>
                <w:lang w:val="fr-FR" w:eastAsia="zh-CN"/>
              </w:rPr>
              <w:t xml:space="preserve">le </w:t>
            </w:r>
            <w:r w:rsidRPr="008C52E5">
              <w:rPr>
                <w:rFonts w:eastAsia="SimSun"/>
                <w:sz w:val="18"/>
                <w:szCs w:val="18"/>
                <w:lang w:val="fr-FR" w:eastAsia="zh-CN"/>
              </w:rPr>
              <w:t>lancement de l’évaluation</w:t>
            </w:r>
          </w:p>
        </w:tc>
      </w:tr>
      <w:tr w:rsidR="00D510F0" w:rsidRPr="0082513F" w14:paraId="6F03177F" w14:textId="77777777" w:rsidTr="004E2A49">
        <w:trPr>
          <w:trHeight w:val="233"/>
        </w:trPr>
        <w:tc>
          <w:tcPr>
            <w:tcW w:w="1162" w:type="dxa"/>
            <w:vMerge/>
            <w:shd w:val="clear" w:color="auto" w:fill="auto"/>
            <w:vAlign w:val="center"/>
          </w:tcPr>
          <w:p w14:paraId="187CC218" w14:textId="77777777" w:rsidR="00D510F0" w:rsidRPr="008C52E5" w:rsidRDefault="00D510F0" w:rsidP="004E2A49">
            <w:pPr>
              <w:pStyle w:val="Normal-pool"/>
              <w:spacing w:before="40" w:after="40"/>
              <w:rPr>
                <w:rFonts w:eastAsia="SimSun"/>
                <w:sz w:val="18"/>
                <w:szCs w:val="18"/>
                <w:lang w:val="fr-FR" w:eastAsia="zh-CN"/>
              </w:rPr>
            </w:pPr>
          </w:p>
        </w:tc>
        <w:tc>
          <w:tcPr>
            <w:tcW w:w="6616" w:type="dxa"/>
            <w:shd w:val="clear" w:color="auto" w:fill="auto"/>
            <w:vAlign w:val="center"/>
          </w:tcPr>
          <w:p w14:paraId="052EC9DF" w14:textId="55FBF982" w:rsidR="00D510F0" w:rsidRPr="008C52E5" w:rsidRDefault="00403014" w:rsidP="004E2A49">
            <w:pPr>
              <w:pStyle w:val="Normal-pool"/>
              <w:spacing w:before="40" w:after="40"/>
              <w:rPr>
                <w:rFonts w:eastAsia="SimSun"/>
                <w:sz w:val="18"/>
                <w:szCs w:val="18"/>
                <w:lang w:val="fr-FR" w:eastAsia="zh-CN"/>
              </w:rPr>
            </w:pPr>
            <w:r w:rsidRPr="008C52E5">
              <w:rPr>
                <w:rFonts w:eastAsia="SimSun"/>
                <w:sz w:val="18"/>
                <w:szCs w:val="18"/>
                <w:lang w:val="fr-FR" w:eastAsia="zh-CN"/>
              </w:rPr>
              <w:t>Désignation et sélection des experts</w:t>
            </w:r>
          </w:p>
        </w:tc>
      </w:tr>
      <w:tr w:rsidR="00D510F0" w:rsidRPr="0082513F" w14:paraId="01513458" w14:textId="77777777" w:rsidTr="004E2A49">
        <w:trPr>
          <w:trHeight w:val="271"/>
        </w:trPr>
        <w:tc>
          <w:tcPr>
            <w:tcW w:w="1162" w:type="dxa"/>
            <w:vMerge w:val="restart"/>
            <w:shd w:val="clear" w:color="auto" w:fill="auto"/>
            <w:vAlign w:val="center"/>
          </w:tcPr>
          <w:p w14:paraId="64A958C6" w14:textId="77777777" w:rsidR="00D510F0" w:rsidRPr="008C52E5" w:rsidRDefault="00D510F0" w:rsidP="004E2A49">
            <w:pPr>
              <w:pStyle w:val="Normal-pool"/>
              <w:spacing w:before="40" w:after="40"/>
              <w:rPr>
                <w:rFonts w:eastAsia="SimSun"/>
                <w:sz w:val="18"/>
                <w:szCs w:val="18"/>
                <w:lang w:val="fr-FR" w:eastAsia="zh-CN"/>
              </w:rPr>
            </w:pPr>
            <w:r w:rsidRPr="008C52E5">
              <w:rPr>
                <w:rFonts w:eastAsia="SimSun"/>
                <w:sz w:val="18"/>
                <w:szCs w:val="18"/>
                <w:lang w:val="fr-FR" w:eastAsia="zh-CN"/>
              </w:rPr>
              <w:t>2022</w:t>
            </w:r>
          </w:p>
        </w:tc>
        <w:tc>
          <w:tcPr>
            <w:tcW w:w="6616" w:type="dxa"/>
            <w:shd w:val="clear" w:color="auto" w:fill="auto"/>
            <w:vAlign w:val="center"/>
          </w:tcPr>
          <w:p w14:paraId="4FBF84A9" w14:textId="7CF176B9" w:rsidR="00D510F0" w:rsidRPr="008C52E5" w:rsidRDefault="00403014" w:rsidP="004E2A49">
            <w:pPr>
              <w:pStyle w:val="Normal-pool"/>
              <w:spacing w:before="40" w:after="40"/>
              <w:rPr>
                <w:rFonts w:eastAsia="SimSun"/>
                <w:sz w:val="18"/>
                <w:szCs w:val="18"/>
                <w:lang w:val="fr-FR" w:eastAsia="zh-CN"/>
              </w:rPr>
            </w:pPr>
            <w:r w:rsidRPr="008C52E5">
              <w:rPr>
                <w:rFonts w:eastAsia="SimSun"/>
                <w:sz w:val="18"/>
                <w:szCs w:val="18"/>
                <w:lang w:val="fr-FR" w:eastAsia="zh-CN"/>
              </w:rPr>
              <w:t>Réunion du comité de direction</w:t>
            </w:r>
          </w:p>
        </w:tc>
      </w:tr>
      <w:tr w:rsidR="00D510F0" w:rsidRPr="008C52E5" w14:paraId="3C31B0FB" w14:textId="77777777" w:rsidTr="004E2A49">
        <w:trPr>
          <w:trHeight w:val="189"/>
        </w:trPr>
        <w:tc>
          <w:tcPr>
            <w:tcW w:w="1162" w:type="dxa"/>
            <w:vMerge/>
            <w:shd w:val="clear" w:color="auto" w:fill="auto"/>
            <w:vAlign w:val="center"/>
          </w:tcPr>
          <w:p w14:paraId="2351CB7E" w14:textId="77777777" w:rsidR="00D510F0" w:rsidRPr="008C52E5" w:rsidRDefault="00D510F0" w:rsidP="004E2A49">
            <w:pPr>
              <w:pStyle w:val="Normal-pool"/>
              <w:spacing w:before="40" w:after="40"/>
              <w:rPr>
                <w:rFonts w:eastAsia="SimSun"/>
                <w:sz w:val="18"/>
                <w:szCs w:val="18"/>
                <w:lang w:val="fr-FR" w:eastAsia="zh-CN"/>
              </w:rPr>
            </w:pPr>
          </w:p>
        </w:tc>
        <w:tc>
          <w:tcPr>
            <w:tcW w:w="6616" w:type="dxa"/>
            <w:shd w:val="clear" w:color="auto" w:fill="auto"/>
            <w:vAlign w:val="center"/>
          </w:tcPr>
          <w:p w14:paraId="13F86B1B" w14:textId="1EF74C46" w:rsidR="00D510F0" w:rsidRPr="008C52E5" w:rsidRDefault="00403014" w:rsidP="004E2A49">
            <w:pPr>
              <w:pStyle w:val="Normal-pool"/>
              <w:spacing w:before="40" w:after="40"/>
              <w:rPr>
                <w:rFonts w:eastAsia="SimSun"/>
                <w:sz w:val="18"/>
                <w:szCs w:val="18"/>
                <w:lang w:val="fr-FR" w:eastAsia="zh-CN"/>
              </w:rPr>
            </w:pPr>
            <w:r w:rsidRPr="008C52E5">
              <w:rPr>
                <w:rFonts w:eastAsia="SimSun"/>
                <w:sz w:val="18"/>
                <w:szCs w:val="18"/>
                <w:lang w:val="fr-FR" w:eastAsia="zh-CN"/>
              </w:rPr>
              <w:t>Première réunion des auteurs</w:t>
            </w:r>
          </w:p>
        </w:tc>
      </w:tr>
      <w:tr w:rsidR="00D510F0" w:rsidRPr="0082513F" w14:paraId="1FD815AF" w14:textId="77777777" w:rsidTr="004E2A49">
        <w:trPr>
          <w:trHeight w:val="298"/>
        </w:trPr>
        <w:tc>
          <w:tcPr>
            <w:tcW w:w="1162" w:type="dxa"/>
            <w:vMerge/>
            <w:shd w:val="clear" w:color="auto" w:fill="auto"/>
            <w:vAlign w:val="center"/>
          </w:tcPr>
          <w:p w14:paraId="595F57EC" w14:textId="77777777" w:rsidR="00D510F0" w:rsidRPr="008C52E5" w:rsidRDefault="00D510F0" w:rsidP="004E2A49">
            <w:pPr>
              <w:pStyle w:val="Normal-pool"/>
              <w:spacing w:before="40" w:after="40"/>
              <w:rPr>
                <w:rFonts w:eastAsia="SimSun"/>
                <w:sz w:val="18"/>
                <w:szCs w:val="18"/>
                <w:lang w:val="fr-FR" w:eastAsia="zh-CN"/>
              </w:rPr>
            </w:pPr>
          </w:p>
        </w:tc>
        <w:tc>
          <w:tcPr>
            <w:tcW w:w="6616" w:type="dxa"/>
            <w:shd w:val="clear" w:color="auto" w:fill="auto"/>
            <w:vAlign w:val="center"/>
          </w:tcPr>
          <w:p w14:paraId="39BCECE0" w14:textId="67297FD1" w:rsidR="00D510F0" w:rsidRPr="008C52E5" w:rsidRDefault="00403014" w:rsidP="004E2A49">
            <w:pPr>
              <w:pStyle w:val="Normal-pool"/>
              <w:spacing w:before="40" w:after="40"/>
              <w:rPr>
                <w:rFonts w:eastAsia="SimSun"/>
                <w:sz w:val="18"/>
                <w:szCs w:val="18"/>
                <w:lang w:val="fr-FR" w:eastAsia="zh-CN"/>
              </w:rPr>
            </w:pPr>
            <w:r w:rsidRPr="008C52E5">
              <w:rPr>
                <w:rFonts w:eastAsia="SimSun"/>
                <w:sz w:val="18"/>
                <w:szCs w:val="18"/>
                <w:lang w:val="fr-FR" w:eastAsia="zh-CN"/>
              </w:rPr>
              <w:t>Premier dialogue sur les savoirs autochtones et locaux</w:t>
            </w:r>
          </w:p>
        </w:tc>
      </w:tr>
      <w:tr w:rsidR="00D510F0" w:rsidRPr="0082513F" w14:paraId="369CA83A" w14:textId="77777777" w:rsidTr="004E2A49">
        <w:trPr>
          <w:trHeight w:val="64"/>
        </w:trPr>
        <w:tc>
          <w:tcPr>
            <w:tcW w:w="1162" w:type="dxa"/>
            <w:vMerge w:val="restart"/>
            <w:shd w:val="clear" w:color="auto" w:fill="auto"/>
            <w:vAlign w:val="center"/>
          </w:tcPr>
          <w:p w14:paraId="3FC498EA" w14:textId="77777777" w:rsidR="00D510F0" w:rsidRPr="008C52E5" w:rsidRDefault="00D510F0" w:rsidP="004E2A49">
            <w:pPr>
              <w:pStyle w:val="Normal-pool"/>
              <w:spacing w:before="40" w:after="40"/>
              <w:rPr>
                <w:rFonts w:eastAsia="SimSun"/>
                <w:sz w:val="18"/>
                <w:szCs w:val="18"/>
                <w:lang w:val="fr-FR" w:eastAsia="zh-CN"/>
              </w:rPr>
            </w:pPr>
            <w:r w:rsidRPr="008C52E5">
              <w:rPr>
                <w:rFonts w:eastAsia="SimSun"/>
                <w:sz w:val="18"/>
                <w:szCs w:val="18"/>
                <w:lang w:val="fr-FR" w:eastAsia="zh-CN"/>
              </w:rPr>
              <w:t>2023</w:t>
            </w:r>
          </w:p>
        </w:tc>
        <w:tc>
          <w:tcPr>
            <w:tcW w:w="6616" w:type="dxa"/>
            <w:shd w:val="clear" w:color="auto" w:fill="auto"/>
            <w:vAlign w:val="center"/>
          </w:tcPr>
          <w:p w14:paraId="742B27A4" w14:textId="64A41129" w:rsidR="00D510F0" w:rsidRPr="008C52E5" w:rsidRDefault="00403014" w:rsidP="004E2A49">
            <w:pPr>
              <w:pStyle w:val="Normal-pool"/>
              <w:spacing w:before="40" w:after="40"/>
              <w:rPr>
                <w:rFonts w:eastAsia="SimSun"/>
                <w:sz w:val="18"/>
                <w:szCs w:val="18"/>
                <w:lang w:val="fr-FR" w:eastAsia="zh-CN"/>
              </w:rPr>
            </w:pPr>
            <w:r w:rsidRPr="008C52E5">
              <w:rPr>
                <w:rFonts w:eastAsia="SimSun"/>
                <w:sz w:val="18"/>
                <w:szCs w:val="18"/>
                <w:lang w:val="fr-FR" w:eastAsia="zh-CN"/>
              </w:rPr>
              <w:t>Premier examen : examen de la première version des projets de chapitre de l’évaluation</w:t>
            </w:r>
          </w:p>
        </w:tc>
      </w:tr>
      <w:tr w:rsidR="00D510F0" w:rsidRPr="0082513F" w14:paraId="76F3BC41" w14:textId="77777777" w:rsidTr="004E2A49">
        <w:trPr>
          <w:trHeight w:val="64"/>
        </w:trPr>
        <w:tc>
          <w:tcPr>
            <w:tcW w:w="1162" w:type="dxa"/>
            <w:vMerge/>
            <w:shd w:val="clear" w:color="auto" w:fill="auto"/>
            <w:vAlign w:val="center"/>
          </w:tcPr>
          <w:p w14:paraId="32EE9768" w14:textId="77777777" w:rsidR="00D510F0" w:rsidRPr="008C52E5" w:rsidRDefault="00D510F0" w:rsidP="004E2A49">
            <w:pPr>
              <w:pStyle w:val="Normal-pool"/>
              <w:spacing w:before="40" w:after="40"/>
              <w:jc w:val="center"/>
              <w:rPr>
                <w:rFonts w:eastAsia="SimSun"/>
                <w:sz w:val="18"/>
                <w:szCs w:val="18"/>
                <w:lang w:val="fr-FR" w:eastAsia="zh-CN"/>
              </w:rPr>
            </w:pPr>
          </w:p>
        </w:tc>
        <w:tc>
          <w:tcPr>
            <w:tcW w:w="6616" w:type="dxa"/>
            <w:shd w:val="clear" w:color="auto" w:fill="auto"/>
            <w:vAlign w:val="center"/>
          </w:tcPr>
          <w:p w14:paraId="06333E90" w14:textId="345641B6" w:rsidR="00D510F0" w:rsidRPr="008C52E5" w:rsidRDefault="00403014" w:rsidP="004E2A49">
            <w:pPr>
              <w:pStyle w:val="Normal-pool"/>
              <w:spacing w:before="40" w:after="40"/>
              <w:rPr>
                <w:rFonts w:eastAsia="SimSun"/>
                <w:sz w:val="18"/>
                <w:szCs w:val="18"/>
                <w:lang w:val="fr-FR" w:eastAsia="zh-CN"/>
              </w:rPr>
            </w:pPr>
            <w:r w:rsidRPr="008C52E5">
              <w:rPr>
                <w:rFonts w:eastAsia="SimSun"/>
                <w:sz w:val="18"/>
                <w:szCs w:val="18"/>
                <w:lang w:val="fr-FR" w:eastAsia="zh-CN"/>
              </w:rPr>
              <w:t>Deuxième dialogue sur les savoirs autochtones et locaux</w:t>
            </w:r>
          </w:p>
        </w:tc>
      </w:tr>
      <w:tr w:rsidR="00D510F0" w:rsidRPr="008C52E5" w14:paraId="3372C12D" w14:textId="77777777" w:rsidTr="004E2A49">
        <w:trPr>
          <w:trHeight w:val="242"/>
        </w:trPr>
        <w:tc>
          <w:tcPr>
            <w:tcW w:w="1162" w:type="dxa"/>
            <w:vMerge/>
            <w:shd w:val="clear" w:color="auto" w:fill="auto"/>
            <w:vAlign w:val="center"/>
          </w:tcPr>
          <w:p w14:paraId="7F89EE50" w14:textId="77777777" w:rsidR="00D510F0" w:rsidRPr="008C52E5" w:rsidRDefault="00D510F0" w:rsidP="004E2A49">
            <w:pPr>
              <w:pStyle w:val="Normal-pool"/>
              <w:spacing w:before="40" w:after="40"/>
              <w:jc w:val="center"/>
              <w:rPr>
                <w:rFonts w:eastAsia="SimSun"/>
                <w:sz w:val="18"/>
                <w:szCs w:val="18"/>
                <w:lang w:val="fr-FR" w:eastAsia="zh-CN"/>
              </w:rPr>
            </w:pPr>
          </w:p>
        </w:tc>
        <w:tc>
          <w:tcPr>
            <w:tcW w:w="6616" w:type="dxa"/>
            <w:shd w:val="clear" w:color="auto" w:fill="auto"/>
            <w:vAlign w:val="center"/>
          </w:tcPr>
          <w:p w14:paraId="6988780F" w14:textId="4D0BFC6F" w:rsidR="00D510F0" w:rsidRPr="008C52E5" w:rsidRDefault="00403014" w:rsidP="004E2A49">
            <w:pPr>
              <w:pStyle w:val="Normal-pool"/>
              <w:spacing w:before="40" w:after="40"/>
              <w:rPr>
                <w:rFonts w:eastAsia="SimSun"/>
                <w:sz w:val="18"/>
                <w:szCs w:val="18"/>
                <w:lang w:val="fr-FR" w:eastAsia="zh-CN"/>
              </w:rPr>
            </w:pPr>
            <w:r w:rsidRPr="008C52E5">
              <w:rPr>
                <w:rFonts w:eastAsia="SimSun"/>
                <w:sz w:val="18"/>
                <w:szCs w:val="18"/>
                <w:lang w:val="fr-FR" w:eastAsia="zh-CN"/>
              </w:rPr>
              <w:t>Deuxième réunion des auteurs</w:t>
            </w:r>
          </w:p>
        </w:tc>
      </w:tr>
      <w:tr w:rsidR="00D510F0" w:rsidRPr="0082513F" w14:paraId="451CED08" w14:textId="77777777" w:rsidTr="004E2A49">
        <w:trPr>
          <w:trHeight w:val="280"/>
        </w:trPr>
        <w:tc>
          <w:tcPr>
            <w:tcW w:w="1162" w:type="dxa"/>
            <w:vMerge/>
            <w:shd w:val="clear" w:color="auto" w:fill="auto"/>
            <w:vAlign w:val="center"/>
          </w:tcPr>
          <w:p w14:paraId="54699A23" w14:textId="77777777" w:rsidR="00D510F0" w:rsidRPr="008C52E5" w:rsidRDefault="00D510F0" w:rsidP="004E2A49">
            <w:pPr>
              <w:pStyle w:val="Normal-pool"/>
              <w:spacing w:before="40" w:after="40"/>
              <w:jc w:val="center"/>
              <w:rPr>
                <w:rFonts w:eastAsia="SimSun"/>
                <w:sz w:val="18"/>
                <w:szCs w:val="18"/>
                <w:lang w:val="fr-FR" w:eastAsia="zh-CN"/>
              </w:rPr>
            </w:pPr>
          </w:p>
        </w:tc>
        <w:tc>
          <w:tcPr>
            <w:tcW w:w="6616" w:type="dxa"/>
            <w:shd w:val="clear" w:color="auto" w:fill="auto"/>
            <w:vAlign w:val="center"/>
          </w:tcPr>
          <w:p w14:paraId="724B12CB" w14:textId="7A8D21D6" w:rsidR="00D510F0" w:rsidRPr="008C52E5" w:rsidRDefault="00403014" w:rsidP="004E2A49">
            <w:pPr>
              <w:pStyle w:val="Normal-pool"/>
              <w:spacing w:before="40" w:after="40"/>
              <w:rPr>
                <w:rFonts w:eastAsia="SimSun"/>
                <w:sz w:val="18"/>
                <w:szCs w:val="18"/>
                <w:lang w:val="fr-FR" w:eastAsia="zh-CN"/>
              </w:rPr>
            </w:pPr>
            <w:r w:rsidRPr="008C52E5">
              <w:rPr>
                <w:rFonts w:eastAsia="SimSun"/>
                <w:sz w:val="18"/>
                <w:szCs w:val="18"/>
                <w:lang w:val="fr-FR" w:eastAsia="zh-CN"/>
              </w:rPr>
              <w:t xml:space="preserve">Première réunion </w:t>
            </w:r>
            <w:r w:rsidR="00184146" w:rsidRPr="008C52E5">
              <w:rPr>
                <w:rFonts w:eastAsia="SimSun"/>
                <w:sz w:val="18"/>
                <w:szCs w:val="18"/>
                <w:lang w:val="fr-FR" w:eastAsia="zh-CN"/>
              </w:rPr>
              <w:t>d’élaboration du</w:t>
            </w:r>
            <w:r w:rsidRPr="008C52E5">
              <w:rPr>
                <w:rFonts w:eastAsia="SimSun"/>
                <w:sz w:val="18"/>
                <w:szCs w:val="18"/>
                <w:lang w:val="fr-FR" w:eastAsia="zh-CN"/>
              </w:rPr>
              <w:t xml:space="preserve"> résumé à l’intention des déc</w:t>
            </w:r>
            <w:r w:rsidR="00184146" w:rsidRPr="008C52E5">
              <w:rPr>
                <w:rFonts w:eastAsia="SimSun"/>
                <w:sz w:val="18"/>
                <w:szCs w:val="18"/>
                <w:lang w:val="fr-FR" w:eastAsia="zh-CN"/>
              </w:rPr>
              <w:t>ideurs (coprésidents et auteurs</w:t>
            </w:r>
            <w:r w:rsidR="00184146" w:rsidRPr="008C52E5">
              <w:rPr>
                <w:rFonts w:eastAsia="SimSun"/>
                <w:sz w:val="18"/>
                <w:szCs w:val="18"/>
                <w:lang w:val="fr-FR" w:eastAsia="zh-CN"/>
              </w:rPr>
              <w:noBreakHyphen/>
            </w:r>
            <w:r w:rsidRPr="008C52E5">
              <w:rPr>
                <w:rFonts w:eastAsia="SimSun"/>
                <w:sz w:val="18"/>
                <w:szCs w:val="18"/>
                <w:lang w:val="fr-FR" w:eastAsia="zh-CN"/>
              </w:rPr>
              <w:t>coordonnateurs principaux</w:t>
            </w:r>
            <w:r w:rsidR="00D510F0" w:rsidRPr="008C52E5">
              <w:rPr>
                <w:rFonts w:eastAsia="SimSun"/>
                <w:sz w:val="18"/>
                <w:szCs w:val="18"/>
                <w:lang w:val="fr-FR" w:eastAsia="zh-CN"/>
              </w:rPr>
              <w:t>)</w:t>
            </w:r>
          </w:p>
        </w:tc>
      </w:tr>
      <w:tr w:rsidR="00D510F0" w:rsidRPr="0082513F" w14:paraId="62B39938" w14:textId="77777777" w:rsidTr="004E2A49">
        <w:trPr>
          <w:trHeight w:val="177"/>
        </w:trPr>
        <w:tc>
          <w:tcPr>
            <w:tcW w:w="1162" w:type="dxa"/>
            <w:vMerge w:val="restart"/>
            <w:tcBorders>
              <w:bottom w:val="single" w:sz="12" w:space="0" w:color="auto"/>
            </w:tcBorders>
            <w:shd w:val="clear" w:color="auto" w:fill="auto"/>
            <w:vAlign w:val="center"/>
          </w:tcPr>
          <w:p w14:paraId="01BE2C58" w14:textId="77777777" w:rsidR="00D510F0" w:rsidRPr="008C52E5" w:rsidRDefault="00D510F0" w:rsidP="004E2A49">
            <w:pPr>
              <w:pStyle w:val="Normal-pool"/>
              <w:keepNext/>
              <w:keepLines/>
              <w:spacing w:before="40" w:after="40"/>
              <w:rPr>
                <w:rFonts w:eastAsia="SimSun"/>
                <w:sz w:val="18"/>
                <w:szCs w:val="18"/>
                <w:lang w:val="fr-FR" w:eastAsia="zh-CN"/>
              </w:rPr>
            </w:pPr>
            <w:r w:rsidRPr="008C52E5">
              <w:rPr>
                <w:rFonts w:eastAsia="SimSun"/>
                <w:sz w:val="18"/>
                <w:szCs w:val="18"/>
                <w:lang w:val="fr-FR" w:eastAsia="zh-CN"/>
              </w:rPr>
              <w:t>2024</w:t>
            </w:r>
          </w:p>
        </w:tc>
        <w:tc>
          <w:tcPr>
            <w:tcW w:w="6616" w:type="dxa"/>
            <w:shd w:val="clear" w:color="auto" w:fill="auto"/>
            <w:vAlign w:val="center"/>
          </w:tcPr>
          <w:p w14:paraId="77B7D6AD" w14:textId="599B89CF" w:rsidR="00D510F0" w:rsidRPr="008C52E5" w:rsidRDefault="00403014" w:rsidP="004E2A49">
            <w:pPr>
              <w:pStyle w:val="Normal-pool"/>
              <w:keepNext/>
              <w:keepLines/>
              <w:spacing w:before="40" w:after="40"/>
              <w:rPr>
                <w:rFonts w:eastAsia="SimSun"/>
                <w:sz w:val="18"/>
                <w:szCs w:val="18"/>
                <w:lang w:val="fr-FR" w:eastAsia="zh-CN"/>
              </w:rPr>
            </w:pPr>
            <w:r w:rsidRPr="008C52E5">
              <w:rPr>
                <w:rFonts w:eastAsia="SimSun"/>
                <w:sz w:val="18"/>
                <w:szCs w:val="18"/>
                <w:lang w:val="fr-FR" w:eastAsia="zh-CN"/>
              </w:rPr>
              <w:t xml:space="preserve">Deuxième examen : examen de la deuxième version des projets de chapitre de l’évaluation et de la première version du projet de résumé à l’intention des décideurs </w:t>
            </w:r>
          </w:p>
        </w:tc>
      </w:tr>
      <w:tr w:rsidR="00D510F0" w:rsidRPr="0082513F" w14:paraId="66872707" w14:textId="77777777" w:rsidTr="004E2A49">
        <w:trPr>
          <w:trHeight w:val="64"/>
        </w:trPr>
        <w:tc>
          <w:tcPr>
            <w:tcW w:w="1162" w:type="dxa"/>
            <w:vMerge/>
            <w:tcBorders>
              <w:bottom w:val="single" w:sz="12" w:space="0" w:color="auto"/>
            </w:tcBorders>
            <w:shd w:val="clear" w:color="auto" w:fill="auto"/>
            <w:vAlign w:val="center"/>
          </w:tcPr>
          <w:p w14:paraId="1F09D92E" w14:textId="77777777" w:rsidR="00D510F0" w:rsidRPr="008C52E5" w:rsidRDefault="00D510F0" w:rsidP="004E2A49">
            <w:pPr>
              <w:pStyle w:val="Normal-pool"/>
              <w:keepNext/>
              <w:keepLines/>
              <w:spacing w:before="40" w:after="40"/>
              <w:jc w:val="center"/>
              <w:rPr>
                <w:rFonts w:eastAsia="SimSun"/>
                <w:sz w:val="18"/>
                <w:szCs w:val="18"/>
                <w:lang w:val="fr-FR" w:eastAsia="zh-CN"/>
              </w:rPr>
            </w:pPr>
          </w:p>
        </w:tc>
        <w:tc>
          <w:tcPr>
            <w:tcW w:w="6616" w:type="dxa"/>
            <w:shd w:val="clear" w:color="auto" w:fill="auto"/>
            <w:vAlign w:val="center"/>
          </w:tcPr>
          <w:p w14:paraId="57DD7966" w14:textId="415407DF" w:rsidR="00D510F0" w:rsidRPr="008C52E5" w:rsidRDefault="00403014" w:rsidP="004E2A49">
            <w:pPr>
              <w:pStyle w:val="Normal-pool"/>
              <w:keepNext/>
              <w:keepLines/>
              <w:spacing w:before="40" w:after="40"/>
              <w:rPr>
                <w:rFonts w:eastAsia="SimSun"/>
                <w:sz w:val="18"/>
                <w:szCs w:val="18"/>
                <w:lang w:val="fr-FR" w:eastAsia="zh-CN"/>
              </w:rPr>
            </w:pPr>
            <w:r w:rsidRPr="008C52E5">
              <w:rPr>
                <w:rFonts w:eastAsia="SimSun"/>
                <w:sz w:val="18"/>
                <w:szCs w:val="18"/>
                <w:lang w:val="fr-FR" w:eastAsia="zh-CN"/>
              </w:rPr>
              <w:t>Troisième dialogue sur les savoirs autochtones et locaux</w:t>
            </w:r>
          </w:p>
        </w:tc>
      </w:tr>
      <w:tr w:rsidR="00D510F0" w:rsidRPr="008C52E5" w14:paraId="6971E408" w14:textId="77777777" w:rsidTr="004E2A49">
        <w:trPr>
          <w:trHeight w:val="277"/>
        </w:trPr>
        <w:tc>
          <w:tcPr>
            <w:tcW w:w="1162" w:type="dxa"/>
            <w:vMerge/>
            <w:tcBorders>
              <w:bottom w:val="single" w:sz="12" w:space="0" w:color="auto"/>
            </w:tcBorders>
            <w:shd w:val="clear" w:color="auto" w:fill="auto"/>
            <w:vAlign w:val="center"/>
          </w:tcPr>
          <w:p w14:paraId="69F123BD" w14:textId="77777777" w:rsidR="00D510F0" w:rsidRPr="008C52E5" w:rsidRDefault="00D510F0" w:rsidP="004E2A49">
            <w:pPr>
              <w:pStyle w:val="Normal-pool"/>
              <w:keepNext/>
              <w:keepLines/>
              <w:spacing w:before="40" w:after="40"/>
              <w:jc w:val="center"/>
              <w:rPr>
                <w:rFonts w:eastAsia="SimSun"/>
                <w:sz w:val="18"/>
                <w:szCs w:val="18"/>
                <w:lang w:val="fr-FR" w:eastAsia="zh-CN"/>
              </w:rPr>
            </w:pPr>
          </w:p>
        </w:tc>
        <w:tc>
          <w:tcPr>
            <w:tcW w:w="6616" w:type="dxa"/>
            <w:shd w:val="clear" w:color="auto" w:fill="auto"/>
            <w:vAlign w:val="center"/>
          </w:tcPr>
          <w:p w14:paraId="62F4EE96" w14:textId="663A1FAA" w:rsidR="00D510F0" w:rsidRPr="008C52E5" w:rsidRDefault="00403014" w:rsidP="004E2A49">
            <w:pPr>
              <w:pStyle w:val="Normal-pool"/>
              <w:keepNext/>
              <w:keepLines/>
              <w:spacing w:before="40" w:after="40"/>
              <w:rPr>
                <w:rFonts w:eastAsia="SimSun"/>
                <w:sz w:val="18"/>
                <w:szCs w:val="18"/>
                <w:lang w:val="fr-FR" w:eastAsia="zh-CN"/>
              </w:rPr>
            </w:pPr>
            <w:r w:rsidRPr="008C52E5">
              <w:rPr>
                <w:rFonts w:eastAsia="SimSun"/>
                <w:sz w:val="18"/>
                <w:szCs w:val="18"/>
                <w:lang w:val="fr-FR" w:eastAsia="zh-CN"/>
              </w:rPr>
              <w:t>Troisième réunion des auteurs</w:t>
            </w:r>
          </w:p>
        </w:tc>
      </w:tr>
      <w:tr w:rsidR="00D510F0" w:rsidRPr="0082513F" w14:paraId="76C70CCE" w14:textId="77777777" w:rsidTr="004E2A49">
        <w:trPr>
          <w:trHeight w:val="277"/>
        </w:trPr>
        <w:tc>
          <w:tcPr>
            <w:tcW w:w="1162" w:type="dxa"/>
            <w:vMerge/>
            <w:tcBorders>
              <w:bottom w:val="single" w:sz="12" w:space="0" w:color="auto"/>
            </w:tcBorders>
            <w:shd w:val="clear" w:color="auto" w:fill="auto"/>
            <w:vAlign w:val="center"/>
          </w:tcPr>
          <w:p w14:paraId="5145E431" w14:textId="77777777" w:rsidR="00D510F0" w:rsidRPr="008C52E5" w:rsidRDefault="00D510F0" w:rsidP="004E2A49">
            <w:pPr>
              <w:pStyle w:val="Normal-pool"/>
              <w:keepNext/>
              <w:keepLines/>
              <w:spacing w:before="40" w:after="40"/>
              <w:jc w:val="center"/>
              <w:rPr>
                <w:rFonts w:eastAsia="SimSun"/>
                <w:sz w:val="18"/>
                <w:szCs w:val="18"/>
                <w:lang w:val="fr-FR" w:eastAsia="zh-CN"/>
              </w:rPr>
            </w:pPr>
          </w:p>
        </w:tc>
        <w:tc>
          <w:tcPr>
            <w:tcW w:w="6616" w:type="dxa"/>
            <w:shd w:val="clear" w:color="auto" w:fill="auto"/>
            <w:vAlign w:val="center"/>
          </w:tcPr>
          <w:p w14:paraId="01500B1D" w14:textId="6A3F0E2F" w:rsidR="00D510F0" w:rsidRPr="008C52E5" w:rsidRDefault="00403014" w:rsidP="004E2A49">
            <w:pPr>
              <w:pStyle w:val="Normal-pool"/>
              <w:keepNext/>
              <w:keepLines/>
              <w:spacing w:before="40" w:after="40"/>
              <w:rPr>
                <w:rFonts w:eastAsia="SimSun"/>
                <w:sz w:val="18"/>
                <w:szCs w:val="18"/>
                <w:lang w:val="fr-FR" w:eastAsia="zh-CN"/>
              </w:rPr>
            </w:pPr>
            <w:r w:rsidRPr="008C52E5">
              <w:rPr>
                <w:rFonts w:eastAsia="SimSun"/>
                <w:sz w:val="18"/>
                <w:szCs w:val="18"/>
                <w:lang w:val="fr-FR" w:eastAsia="zh-CN"/>
              </w:rPr>
              <w:t>Troisième examen : examen de la deuxième version du projet de rés</w:t>
            </w:r>
            <w:r w:rsidR="00550193" w:rsidRPr="008C52E5">
              <w:rPr>
                <w:rFonts w:eastAsia="SimSun"/>
                <w:sz w:val="18"/>
                <w:szCs w:val="18"/>
                <w:lang w:val="fr-FR" w:eastAsia="zh-CN"/>
              </w:rPr>
              <w:t>umé à l’intention des décideurs</w:t>
            </w:r>
          </w:p>
        </w:tc>
      </w:tr>
      <w:tr w:rsidR="00D510F0" w:rsidRPr="0082513F" w14:paraId="3105FB9C" w14:textId="77777777" w:rsidTr="004E2A49">
        <w:trPr>
          <w:trHeight w:val="277"/>
        </w:trPr>
        <w:tc>
          <w:tcPr>
            <w:tcW w:w="1162" w:type="dxa"/>
            <w:vMerge/>
            <w:tcBorders>
              <w:bottom w:val="single" w:sz="12" w:space="0" w:color="auto"/>
            </w:tcBorders>
            <w:shd w:val="clear" w:color="auto" w:fill="auto"/>
            <w:vAlign w:val="center"/>
          </w:tcPr>
          <w:p w14:paraId="4D4340A9" w14:textId="77777777" w:rsidR="00D510F0" w:rsidRPr="008C52E5" w:rsidRDefault="00D510F0" w:rsidP="004E2A49">
            <w:pPr>
              <w:pStyle w:val="Normal-pool"/>
              <w:keepNext/>
              <w:keepLines/>
              <w:spacing w:before="40" w:after="40"/>
              <w:jc w:val="center"/>
              <w:rPr>
                <w:rFonts w:eastAsia="SimSun"/>
                <w:sz w:val="18"/>
                <w:szCs w:val="18"/>
                <w:lang w:val="fr-FR" w:eastAsia="zh-CN"/>
              </w:rPr>
            </w:pPr>
          </w:p>
        </w:tc>
        <w:tc>
          <w:tcPr>
            <w:tcW w:w="6616" w:type="dxa"/>
            <w:shd w:val="clear" w:color="auto" w:fill="auto"/>
            <w:vAlign w:val="center"/>
          </w:tcPr>
          <w:p w14:paraId="28146225" w14:textId="4EBBA2A3" w:rsidR="00D510F0" w:rsidRPr="008C52E5" w:rsidRDefault="00403014" w:rsidP="004E2A49">
            <w:pPr>
              <w:pStyle w:val="Normal-pool"/>
              <w:keepNext/>
              <w:keepLines/>
              <w:spacing w:before="40" w:after="40"/>
              <w:rPr>
                <w:rFonts w:eastAsia="SimSun"/>
                <w:sz w:val="18"/>
                <w:szCs w:val="18"/>
                <w:lang w:val="fr-FR" w:eastAsia="zh-CN"/>
              </w:rPr>
            </w:pPr>
            <w:r w:rsidRPr="008C52E5">
              <w:rPr>
                <w:rFonts w:eastAsia="SimSun"/>
                <w:sz w:val="18"/>
                <w:szCs w:val="18"/>
                <w:lang w:val="fr-FR" w:eastAsia="zh-CN"/>
              </w:rPr>
              <w:t xml:space="preserve">Deuxième réunion </w:t>
            </w:r>
            <w:r w:rsidR="00184146" w:rsidRPr="008C52E5">
              <w:rPr>
                <w:rFonts w:eastAsia="SimSun"/>
                <w:sz w:val="18"/>
                <w:szCs w:val="18"/>
                <w:lang w:val="fr-FR" w:eastAsia="zh-CN"/>
              </w:rPr>
              <w:t>de révision du</w:t>
            </w:r>
            <w:r w:rsidRPr="008C52E5">
              <w:rPr>
                <w:rFonts w:eastAsia="SimSun"/>
                <w:sz w:val="18"/>
                <w:szCs w:val="18"/>
                <w:lang w:val="fr-FR" w:eastAsia="zh-CN"/>
              </w:rPr>
              <w:t xml:space="preserve"> résumé à l’intention des déc</w:t>
            </w:r>
            <w:r w:rsidR="00184146" w:rsidRPr="008C52E5">
              <w:rPr>
                <w:rFonts w:eastAsia="SimSun"/>
                <w:sz w:val="18"/>
                <w:szCs w:val="18"/>
                <w:lang w:val="fr-FR" w:eastAsia="zh-CN"/>
              </w:rPr>
              <w:t>ideurs (coprésidents et auteurs</w:t>
            </w:r>
            <w:r w:rsidR="00184146" w:rsidRPr="008C52E5">
              <w:rPr>
                <w:rFonts w:eastAsia="SimSun"/>
                <w:sz w:val="18"/>
                <w:szCs w:val="18"/>
                <w:lang w:val="fr-FR" w:eastAsia="zh-CN"/>
              </w:rPr>
              <w:noBreakHyphen/>
            </w:r>
            <w:r w:rsidRPr="008C52E5">
              <w:rPr>
                <w:rFonts w:eastAsia="SimSun"/>
                <w:sz w:val="18"/>
                <w:szCs w:val="18"/>
                <w:lang w:val="fr-FR" w:eastAsia="zh-CN"/>
              </w:rPr>
              <w:t>coordonnateurs principaux</w:t>
            </w:r>
            <w:r w:rsidR="00D510F0" w:rsidRPr="008C52E5">
              <w:rPr>
                <w:rFonts w:eastAsia="SimSun"/>
                <w:sz w:val="18"/>
                <w:szCs w:val="18"/>
                <w:lang w:val="fr-FR" w:eastAsia="zh-CN"/>
              </w:rPr>
              <w:t>)</w:t>
            </w:r>
          </w:p>
        </w:tc>
      </w:tr>
      <w:tr w:rsidR="00D510F0" w:rsidRPr="0082513F" w14:paraId="21781E13" w14:textId="77777777" w:rsidTr="004E2A49">
        <w:trPr>
          <w:trHeight w:val="277"/>
        </w:trPr>
        <w:tc>
          <w:tcPr>
            <w:tcW w:w="1162" w:type="dxa"/>
            <w:vMerge/>
            <w:tcBorders>
              <w:bottom w:val="single" w:sz="12" w:space="0" w:color="auto"/>
            </w:tcBorders>
            <w:shd w:val="clear" w:color="auto" w:fill="auto"/>
            <w:vAlign w:val="center"/>
          </w:tcPr>
          <w:p w14:paraId="4D92652A" w14:textId="77777777" w:rsidR="00D510F0" w:rsidRPr="008C52E5" w:rsidRDefault="00D510F0" w:rsidP="004E2A49">
            <w:pPr>
              <w:pStyle w:val="Normal-pool"/>
              <w:keepNext/>
              <w:keepLines/>
              <w:spacing w:before="40" w:after="40"/>
              <w:jc w:val="center"/>
              <w:rPr>
                <w:rFonts w:eastAsia="SimSun"/>
                <w:sz w:val="18"/>
                <w:szCs w:val="18"/>
                <w:lang w:val="fr-FR" w:eastAsia="zh-CN"/>
              </w:rPr>
            </w:pPr>
          </w:p>
        </w:tc>
        <w:tc>
          <w:tcPr>
            <w:tcW w:w="6616" w:type="dxa"/>
            <w:shd w:val="clear" w:color="auto" w:fill="auto"/>
            <w:vAlign w:val="center"/>
          </w:tcPr>
          <w:p w14:paraId="043FDFC4" w14:textId="71D122C1" w:rsidR="00D510F0" w:rsidRPr="008C52E5" w:rsidRDefault="00403014" w:rsidP="004E2A49">
            <w:pPr>
              <w:pStyle w:val="Normal-pool"/>
              <w:keepNext/>
              <w:keepLines/>
              <w:spacing w:before="40" w:after="40"/>
              <w:rPr>
                <w:rFonts w:eastAsia="SimSun"/>
                <w:sz w:val="18"/>
                <w:szCs w:val="18"/>
                <w:lang w:val="fr-FR" w:eastAsia="zh-CN"/>
              </w:rPr>
            </w:pPr>
            <w:r w:rsidRPr="008C52E5">
              <w:rPr>
                <w:rFonts w:eastAsia="SimSun"/>
                <w:sz w:val="18"/>
                <w:szCs w:val="18"/>
                <w:lang w:val="fr-FR" w:eastAsia="zh-CN"/>
              </w:rPr>
              <w:t xml:space="preserve">Examen final par les gouvernements du résumé à l’intention des décideurs </w:t>
            </w:r>
          </w:p>
        </w:tc>
      </w:tr>
      <w:tr w:rsidR="00D510F0" w:rsidRPr="0082513F" w14:paraId="4642AEB5" w14:textId="77777777" w:rsidTr="004E2A49">
        <w:trPr>
          <w:trHeight w:val="277"/>
        </w:trPr>
        <w:tc>
          <w:tcPr>
            <w:tcW w:w="1162" w:type="dxa"/>
            <w:vMerge/>
            <w:tcBorders>
              <w:bottom w:val="single" w:sz="12" w:space="0" w:color="auto"/>
            </w:tcBorders>
            <w:shd w:val="clear" w:color="auto" w:fill="auto"/>
            <w:vAlign w:val="center"/>
          </w:tcPr>
          <w:p w14:paraId="18267767" w14:textId="77777777" w:rsidR="00D510F0" w:rsidRPr="008C52E5" w:rsidRDefault="00D510F0" w:rsidP="004E2A49">
            <w:pPr>
              <w:pStyle w:val="Normal-pool"/>
              <w:keepNext/>
              <w:keepLines/>
              <w:spacing w:before="40" w:after="40"/>
              <w:jc w:val="center"/>
              <w:rPr>
                <w:rFonts w:eastAsia="SimSun"/>
                <w:sz w:val="18"/>
                <w:szCs w:val="18"/>
                <w:lang w:val="fr-FR" w:eastAsia="zh-CN"/>
              </w:rPr>
            </w:pPr>
          </w:p>
        </w:tc>
        <w:tc>
          <w:tcPr>
            <w:tcW w:w="6616" w:type="dxa"/>
            <w:shd w:val="clear" w:color="auto" w:fill="auto"/>
            <w:vAlign w:val="center"/>
          </w:tcPr>
          <w:p w14:paraId="16BF5C40" w14:textId="1E685DBA" w:rsidR="00D510F0" w:rsidRPr="008C52E5" w:rsidRDefault="00403014" w:rsidP="004E2A49">
            <w:pPr>
              <w:pStyle w:val="Normal-pool"/>
              <w:keepNext/>
              <w:keepLines/>
              <w:spacing w:before="40" w:after="40"/>
              <w:rPr>
                <w:rFonts w:eastAsia="SimSun"/>
                <w:sz w:val="18"/>
                <w:szCs w:val="18"/>
                <w:lang w:val="fr-FR" w:eastAsia="zh-CN"/>
              </w:rPr>
            </w:pPr>
            <w:r w:rsidRPr="008C52E5">
              <w:rPr>
                <w:rFonts w:eastAsia="SimSun"/>
                <w:sz w:val="18"/>
                <w:szCs w:val="18"/>
                <w:lang w:val="fr-FR" w:eastAsia="zh-CN"/>
              </w:rPr>
              <w:t>Examen de l’évaluation par la Plénière</w:t>
            </w:r>
          </w:p>
        </w:tc>
      </w:tr>
      <w:tr w:rsidR="00D510F0" w:rsidRPr="0082513F" w14:paraId="46A49789" w14:textId="77777777" w:rsidTr="004E2A49">
        <w:trPr>
          <w:trHeight w:val="271"/>
        </w:trPr>
        <w:tc>
          <w:tcPr>
            <w:tcW w:w="1162" w:type="dxa"/>
            <w:vMerge/>
            <w:tcBorders>
              <w:bottom w:val="single" w:sz="12" w:space="0" w:color="auto"/>
            </w:tcBorders>
            <w:shd w:val="clear" w:color="auto" w:fill="auto"/>
            <w:vAlign w:val="center"/>
          </w:tcPr>
          <w:p w14:paraId="07353D15" w14:textId="77777777" w:rsidR="00D510F0" w:rsidRPr="008C52E5" w:rsidRDefault="00D510F0" w:rsidP="004E2A49">
            <w:pPr>
              <w:pStyle w:val="Normal-pool"/>
              <w:keepNext/>
              <w:keepLines/>
              <w:spacing w:before="40" w:after="40"/>
              <w:jc w:val="center"/>
              <w:rPr>
                <w:rFonts w:eastAsia="SimSun"/>
                <w:sz w:val="18"/>
                <w:szCs w:val="18"/>
                <w:lang w:val="fr-FR" w:eastAsia="zh-CN"/>
              </w:rPr>
            </w:pPr>
          </w:p>
        </w:tc>
        <w:tc>
          <w:tcPr>
            <w:tcW w:w="6616" w:type="dxa"/>
            <w:tcBorders>
              <w:bottom w:val="single" w:sz="12" w:space="0" w:color="auto"/>
            </w:tcBorders>
            <w:shd w:val="clear" w:color="auto" w:fill="auto"/>
            <w:vAlign w:val="center"/>
          </w:tcPr>
          <w:p w14:paraId="2075149D" w14:textId="196F5E1F" w:rsidR="00D510F0" w:rsidRPr="008C52E5" w:rsidRDefault="00403014" w:rsidP="004E2A49">
            <w:pPr>
              <w:pStyle w:val="Normal-pool"/>
              <w:keepNext/>
              <w:keepLines/>
              <w:spacing w:before="40" w:after="40"/>
              <w:rPr>
                <w:rFonts w:eastAsia="SimSun"/>
                <w:sz w:val="18"/>
                <w:szCs w:val="18"/>
                <w:lang w:val="fr-FR" w:eastAsia="zh-CN"/>
              </w:rPr>
            </w:pPr>
            <w:r w:rsidRPr="008C52E5">
              <w:rPr>
                <w:rFonts w:eastAsia="SimSun"/>
                <w:sz w:val="18"/>
                <w:szCs w:val="18"/>
                <w:lang w:val="fr-FR" w:eastAsia="zh-CN"/>
              </w:rPr>
              <w:t>Conception, présentation, diffusion et communication</w:t>
            </w:r>
          </w:p>
        </w:tc>
      </w:tr>
    </w:tbl>
    <w:p w14:paraId="629A8F75" w14:textId="3ACCD204" w:rsidR="003B27F2" w:rsidRPr="008C52E5" w:rsidRDefault="00771BDE" w:rsidP="0044443E">
      <w:pPr>
        <w:pStyle w:val="CH2"/>
        <w:tabs>
          <w:tab w:val="clear" w:pos="851"/>
        </w:tabs>
        <w:ind w:hanging="680"/>
        <w:rPr>
          <w:lang w:val="fr-FR"/>
        </w:rPr>
      </w:pPr>
      <w:r w:rsidRPr="008C52E5">
        <w:rPr>
          <w:lang w:val="fr-FR"/>
        </w:rPr>
        <w:t>D.</w:t>
      </w:r>
      <w:r w:rsidRPr="008C52E5">
        <w:rPr>
          <w:lang w:val="fr-FR"/>
        </w:rPr>
        <w:tab/>
      </w:r>
      <w:r w:rsidR="00A14614" w:rsidRPr="008C52E5">
        <w:rPr>
          <w:lang w:val="fr-FR"/>
        </w:rPr>
        <w:t>Produit </w:t>
      </w:r>
      <w:r w:rsidR="00375077" w:rsidRPr="008C52E5">
        <w:rPr>
          <w:lang w:val="fr-FR"/>
        </w:rPr>
        <w:t>1</w:t>
      </w:r>
      <w:r w:rsidR="00A14614" w:rsidRPr="008C52E5">
        <w:rPr>
          <w:lang w:val="fr-FR"/>
        </w:rPr>
        <w:t> </w:t>
      </w:r>
      <w:r w:rsidR="00375077" w:rsidRPr="008C52E5">
        <w:rPr>
          <w:lang w:val="fr-FR"/>
        </w:rPr>
        <w:t>d</w:t>
      </w:r>
      <w:r w:rsidR="00052EA6" w:rsidRPr="008C52E5">
        <w:rPr>
          <w:lang w:val="fr-FR"/>
        </w:rPr>
        <w:t>)</w:t>
      </w:r>
      <w:r w:rsidR="00A14614" w:rsidRPr="008C52E5">
        <w:rPr>
          <w:lang w:val="fr-FR"/>
        </w:rPr>
        <w:t> </w:t>
      </w:r>
      <w:r w:rsidR="003B27F2" w:rsidRPr="008C52E5">
        <w:rPr>
          <w:lang w:val="fr-FR"/>
        </w:rPr>
        <w:t>:</w:t>
      </w:r>
      <w:r w:rsidR="00375077" w:rsidRPr="008C52E5">
        <w:rPr>
          <w:lang w:val="fr-FR"/>
        </w:rPr>
        <w:t xml:space="preserve"> </w:t>
      </w:r>
      <w:r w:rsidR="00A14614" w:rsidRPr="008C52E5">
        <w:rPr>
          <w:lang w:val="fr-FR"/>
        </w:rPr>
        <w:t xml:space="preserve">évaluation méthodologique de l’incidence et de la dépendance des activités des entreprises à l’égard de la diversité biologique et des contributions apportées par la nature aux populations </w:t>
      </w:r>
    </w:p>
    <w:bookmarkEnd w:id="4"/>
    <w:p w14:paraId="5E7E6D2B" w14:textId="73CDD8A0" w:rsidR="00E5245E" w:rsidRPr="008C52E5" w:rsidRDefault="00270837" w:rsidP="0044443E">
      <w:pPr>
        <w:pStyle w:val="CH3"/>
        <w:tabs>
          <w:tab w:val="clear" w:pos="851"/>
        </w:tabs>
        <w:ind w:hanging="680"/>
        <w:rPr>
          <w:lang w:val="fr-FR"/>
        </w:rPr>
      </w:pPr>
      <w:r w:rsidRPr="008C52E5">
        <w:rPr>
          <w:rFonts w:eastAsia="SimSun"/>
          <w:lang w:val="fr-FR" w:eastAsia="zh-CN"/>
        </w:rPr>
        <w:t>1.</w:t>
      </w:r>
      <w:r w:rsidRPr="008C52E5">
        <w:rPr>
          <w:rFonts w:eastAsia="SimSun"/>
          <w:lang w:val="fr-FR" w:eastAsia="zh-CN"/>
        </w:rPr>
        <w:tab/>
      </w:r>
      <w:r w:rsidR="00A14614" w:rsidRPr="008C52E5">
        <w:rPr>
          <w:rFonts w:eastAsia="SimSun"/>
          <w:lang w:val="fr-FR" w:eastAsia="zh-CN"/>
        </w:rPr>
        <w:t>Hypothèses et dispositions institutionnelles</w:t>
      </w:r>
    </w:p>
    <w:p w14:paraId="332EF984" w14:textId="5967B2BE" w:rsidR="00E5245E" w:rsidRPr="008C52E5" w:rsidRDefault="00A14614" w:rsidP="00E5245E">
      <w:pPr>
        <w:pStyle w:val="Normalnumber"/>
        <w:numPr>
          <w:ilvl w:val="0"/>
          <w:numId w:val="5"/>
        </w:numPr>
        <w:tabs>
          <w:tab w:val="left" w:pos="1871"/>
          <w:tab w:val="left" w:pos="2495"/>
        </w:tabs>
        <w:ind w:left="1247" w:firstLine="0"/>
        <w:rPr>
          <w:lang w:val="fr-FR"/>
        </w:rPr>
      </w:pPr>
      <w:r w:rsidRPr="008C52E5">
        <w:rPr>
          <w:rFonts w:eastAsia="Calibri"/>
          <w:lang w:val="fr-FR"/>
        </w:rPr>
        <w:t xml:space="preserve">L’évaluation sera menée selon </w:t>
      </w:r>
      <w:r w:rsidR="007F20DE" w:rsidRPr="008C52E5">
        <w:rPr>
          <w:rFonts w:eastAsia="Calibri"/>
          <w:lang w:val="fr-FR"/>
        </w:rPr>
        <w:t>la méthode accélérée pour l’élaboration d’évaluations thématiques et méthodologiques</w:t>
      </w:r>
      <w:r w:rsidR="00DA0A9E" w:rsidRPr="008C52E5">
        <w:rPr>
          <w:rStyle w:val="FootnoteReference"/>
          <w:lang w:val="fr-FR"/>
        </w:rPr>
        <w:footnoteReference w:id="5"/>
      </w:r>
      <w:r w:rsidR="007F20DE" w:rsidRPr="008C52E5">
        <w:rPr>
          <w:rFonts w:eastAsia="Calibri"/>
          <w:lang w:val="fr-FR"/>
        </w:rPr>
        <w:t>.</w:t>
      </w:r>
      <w:r w:rsidR="00DA0A9E" w:rsidRPr="008C52E5">
        <w:rPr>
          <w:lang w:val="fr-FR"/>
        </w:rPr>
        <w:t xml:space="preserve"> </w:t>
      </w:r>
      <w:r w:rsidR="00184146" w:rsidRPr="008C52E5">
        <w:rPr>
          <w:rFonts w:eastAsia="Calibri"/>
          <w:lang w:val="fr-FR"/>
        </w:rPr>
        <w:t xml:space="preserve">Faisant </w:t>
      </w:r>
      <w:r w:rsidR="007F20DE" w:rsidRPr="008C52E5">
        <w:rPr>
          <w:rFonts w:eastAsia="Calibri"/>
          <w:lang w:val="fr-FR"/>
        </w:rPr>
        <w:t>exception à cette méthode, le Groupe supervisera</w:t>
      </w:r>
      <w:r w:rsidR="00DA0A9E" w:rsidRPr="008C52E5">
        <w:rPr>
          <w:rFonts w:eastAsia="Calibri"/>
          <w:lang w:val="fr-FR"/>
        </w:rPr>
        <w:t xml:space="preserve"> </w:t>
      </w:r>
      <w:r w:rsidR="00E9140B">
        <w:rPr>
          <w:rFonts w:eastAsia="Calibri"/>
          <w:lang w:val="fr-FR"/>
        </w:rPr>
        <w:t>un </w:t>
      </w:r>
      <w:r w:rsidR="007F20DE" w:rsidRPr="008C52E5">
        <w:rPr>
          <w:rFonts w:eastAsia="Calibri"/>
          <w:lang w:val="fr-FR"/>
        </w:rPr>
        <w:t>processus de cadrage complet</w:t>
      </w:r>
      <w:r w:rsidR="00DA0A9E" w:rsidRPr="008C52E5">
        <w:rPr>
          <w:lang w:val="fr-FR"/>
        </w:rPr>
        <w:t>.</w:t>
      </w:r>
      <w:r w:rsidR="00E5245E" w:rsidRPr="008C52E5">
        <w:rPr>
          <w:rFonts w:eastAsia="Calibri"/>
          <w:lang w:val="fr-FR"/>
        </w:rPr>
        <w:t xml:space="preserve"> </w:t>
      </w:r>
      <w:r w:rsidR="007F20DE" w:rsidRPr="008C52E5">
        <w:rPr>
          <w:rFonts w:eastAsia="Calibri"/>
          <w:lang w:val="fr-FR"/>
        </w:rPr>
        <w:t xml:space="preserve">Après l’approbation du rapport de cadrage et le lancement de l’évaluation par </w:t>
      </w:r>
      <w:r w:rsidR="000A0271" w:rsidRPr="008C52E5">
        <w:rPr>
          <w:rFonts w:eastAsia="Calibri"/>
          <w:lang w:val="fr-FR"/>
        </w:rPr>
        <w:t>la Plénière</w:t>
      </w:r>
      <w:r w:rsidR="007F20DE" w:rsidRPr="008C52E5">
        <w:rPr>
          <w:rFonts w:eastAsia="Calibri"/>
          <w:lang w:val="fr-FR"/>
        </w:rPr>
        <w:t>, un groupe d’experts mondial doté d’un mandat précis à durée déterminée sera mis en place pour l’évaluation, qui serait composé de coprésidents des équipes chargées des rapports, d’auteurs</w:t>
      </w:r>
      <w:r w:rsidR="00184146" w:rsidRPr="008C52E5">
        <w:rPr>
          <w:rFonts w:eastAsia="Calibri"/>
          <w:lang w:val="fr-FR"/>
        </w:rPr>
        <w:noBreakHyphen/>
      </w:r>
      <w:r w:rsidR="007F20DE" w:rsidRPr="008C52E5">
        <w:rPr>
          <w:rFonts w:eastAsia="Calibri"/>
          <w:lang w:val="fr-FR"/>
        </w:rPr>
        <w:t>coordonnateurs principaux, d’auteurs principaux et d’éditeurs-réviseurs choisis</w:t>
      </w:r>
      <w:r w:rsidR="00E5245E" w:rsidRPr="008C52E5">
        <w:rPr>
          <w:lang w:val="fr-FR"/>
        </w:rPr>
        <w:t xml:space="preserve"> </w:t>
      </w:r>
      <w:r w:rsidR="007F20DE" w:rsidRPr="008C52E5">
        <w:rPr>
          <w:lang w:val="fr-FR"/>
        </w:rPr>
        <w:t>conformément aux procédures d’établissement des produits de la Plateforme et menant</w:t>
      </w:r>
      <w:r w:rsidR="00DA0A9E" w:rsidRPr="008C52E5">
        <w:rPr>
          <w:lang w:val="fr-FR"/>
        </w:rPr>
        <w:t xml:space="preserve"> </w:t>
      </w:r>
      <w:r w:rsidR="007F20DE" w:rsidRPr="008C52E5">
        <w:rPr>
          <w:lang w:val="fr-FR"/>
        </w:rPr>
        <w:t>leurs travaux conformément aux</w:t>
      </w:r>
      <w:r w:rsidR="00184146" w:rsidRPr="008C52E5">
        <w:rPr>
          <w:lang w:val="fr-FR"/>
        </w:rPr>
        <w:t>dites</w:t>
      </w:r>
      <w:r w:rsidR="007F20DE" w:rsidRPr="008C52E5">
        <w:rPr>
          <w:lang w:val="fr-FR"/>
        </w:rPr>
        <w:t xml:space="preserve"> procédures</w:t>
      </w:r>
      <w:r w:rsidR="00E5245E" w:rsidRPr="008C52E5">
        <w:rPr>
          <w:lang w:val="fr-FR"/>
        </w:rPr>
        <w:t xml:space="preserve">. </w:t>
      </w:r>
      <w:r w:rsidR="007F20DE" w:rsidRPr="008C52E5">
        <w:rPr>
          <w:lang w:val="fr-FR"/>
        </w:rPr>
        <w:t>Il est proposé que le processus de cadrage commence par une conférence en ligne, suivie par une réunion de 36 experts</w:t>
      </w:r>
      <w:r w:rsidR="00B154D3" w:rsidRPr="008C52E5">
        <w:rPr>
          <w:lang w:val="fr-FR"/>
        </w:rPr>
        <w:t xml:space="preserve"> chargés du cadrage</w:t>
      </w:r>
      <w:r w:rsidR="007F20DE" w:rsidRPr="008C52E5">
        <w:rPr>
          <w:lang w:val="fr-FR"/>
        </w:rPr>
        <w:t xml:space="preserve"> </w:t>
      </w:r>
      <w:r w:rsidR="00B154D3" w:rsidRPr="008C52E5">
        <w:rPr>
          <w:lang w:val="fr-FR"/>
        </w:rPr>
        <w:t>pour élaborer le rapport</w:t>
      </w:r>
      <w:r w:rsidR="007B45B1" w:rsidRPr="008C52E5">
        <w:rPr>
          <w:lang w:val="fr-FR"/>
        </w:rPr>
        <w:t xml:space="preserve"> de</w:t>
      </w:r>
      <w:r w:rsidR="007F20DE" w:rsidRPr="008C52E5">
        <w:rPr>
          <w:lang w:val="fr-FR"/>
        </w:rPr>
        <w:t xml:space="preserve"> cadrage, compte </w:t>
      </w:r>
      <w:r w:rsidR="00184146" w:rsidRPr="008C52E5">
        <w:rPr>
          <w:lang w:val="fr-FR"/>
        </w:rPr>
        <w:t xml:space="preserve">tenu </w:t>
      </w:r>
      <w:r w:rsidR="007F20DE" w:rsidRPr="008C52E5">
        <w:rPr>
          <w:lang w:val="fr-FR"/>
        </w:rPr>
        <w:t>des résultats de la conférence en ligne</w:t>
      </w:r>
      <w:r w:rsidR="00E5245E" w:rsidRPr="008C52E5">
        <w:rPr>
          <w:lang w:val="fr-FR"/>
        </w:rPr>
        <w:t xml:space="preserve">. </w:t>
      </w:r>
      <w:r w:rsidR="00B154D3" w:rsidRPr="008C52E5">
        <w:rPr>
          <w:lang w:val="fr-FR"/>
        </w:rPr>
        <w:t>Il est proposé que l’évaluation associe 54 auteurs</w:t>
      </w:r>
      <w:r w:rsidR="007B45B1" w:rsidRPr="008C52E5">
        <w:rPr>
          <w:lang w:val="fr-FR"/>
        </w:rPr>
        <w:t xml:space="preserve"> chargés de l’évaluation</w:t>
      </w:r>
      <w:r w:rsidR="00B154D3" w:rsidRPr="008C52E5">
        <w:rPr>
          <w:lang w:val="fr-FR"/>
        </w:rPr>
        <w:t>, qui se réuniront trois fois, et 10 éditeurs-réviseurs, qui se réuniront deux fois avec les auteurs</w:t>
      </w:r>
      <w:r w:rsidR="00E5245E" w:rsidRPr="008C52E5">
        <w:rPr>
          <w:lang w:val="fr-FR"/>
        </w:rPr>
        <w:t xml:space="preserve">. </w:t>
      </w:r>
      <w:r w:rsidR="00B154D3" w:rsidRPr="008C52E5">
        <w:rPr>
          <w:lang w:val="fr-FR"/>
        </w:rPr>
        <w:t xml:space="preserve">Une réunion sera tenue afin </w:t>
      </w:r>
      <w:r w:rsidR="00184146" w:rsidRPr="008C52E5">
        <w:rPr>
          <w:lang w:val="fr-FR"/>
        </w:rPr>
        <w:t>de faciliter</w:t>
      </w:r>
      <w:r w:rsidR="00B154D3" w:rsidRPr="008C52E5">
        <w:rPr>
          <w:lang w:val="fr-FR"/>
        </w:rPr>
        <w:t xml:space="preserve"> l’élaboration du résumé à l’intention des décideurs</w:t>
      </w:r>
      <w:r w:rsidR="00E5245E" w:rsidRPr="008C52E5">
        <w:rPr>
          <w:lang w:val="fr-FR"/>
        </w:rPr>
        <w:t xml:space="preserve">. </w:t>
      </w:r>
      <w:r w:rsidR="00B154D3" w:rsidRPr="008C52E5">
        <w:rPr>
          <w:lang w:val="fr-FR"/>
        </w:rPr>
        <w:t xml:space="preserve">Une réunion de dialogue sera organisée pour mettre en œuvre </w:t>
      </w:r>
      <w:r w:rsidR="006A574C" w:rsidRPr="008C52E5">
        <w:rPr>
          <w:lang w:val="fr-FR"/>
        </w:rPr>
        <w:t>l’approche appliquée par la Plateforme en vue de reconnaître et d’exploiter les savoirs autochtones et locaux</w:t>
      </w:r>
      <w:r w:rsidR="00B154D3" w:rsidRPr="008C52E5">
        <w:rPr>
          <w:lang w:val="fr-FR"/>
        </w:rPr>
        <w:t xml:space="preserve"> dans le cadre de l’évaluation. Il est prévu que l’évaluation soit menée sur une période de deux ans</w:t>
      </w:r>
      <w:r w:rsidR="00184146" w:rsidRPr="008C52E5">
        <w:rPr>
          <w:lang w:val="fr-FR"/>
        </w:rPr>
        <w:t>.</w:t>
      </w:r>
    </w:p>
    <w:p w14:paraId="2C271033" w14:textId="69616241" w:rsidR="00E5245E" w:rsidRPr="008C52E5" w:rsidRDefault="00B154D3" w:rsidP="00E5245E">
      <w:pPr>
        <w:pStyle w:val="Normalnumber"/>
        <w:numPr>
          <w:ilvl w:val="0"/>
          <w:numId w:val="5"/>
        </w:numPr>
        <w:tabs>
          <w:tab w:val="left" w:pos="1871"/>
          <w:tab w:val="left" w:pos="2495"/>
        </w:tabs>
        <w:ind w:left="1247" w:firstLine="0"/>
        <w:rPr>
          <w:lang w:val="fr-FR"/>
        </w:rPr>
      </w:pPr>
      <w:r w:rsidRPr="008C52E5">
        <w:rPr>
          <w:lang w:val="fr-FR"/>
        </w:rPr>
        <w:t xml:space="preserve">Le secrétariat conclura des accords avec des institutions partenaires pour la </w:t>
      </w:r>
      <w:r w:rsidR="00184146" w:rsidRPr="008C52E5">
        <w:rPr>
          <w:lang w:val="fr-FR"/>
        </w:rPr>
        <w:t>prestation</w:t>
      </w:r>
      <w:r w:rsidRPr="008C52E5">
        <w:rPr>
          <w:lang w:val="fr-FR"/>
        </w:rPr>
        <w:t xml:space="preserve"> d’un appui technique </w:t>
      </w:r>
      <w:r w:rsidR="00184146" w:rsidRPr="008C52E5">
        <w:rPr>
          <w:lang w:val="fr-FR"/>
        </w:rPr>
        <w:t xml:space="preserve">sur approbation du </w:t>
      </w:r>
      <w:r w:rsidRPr="008C52E5">
        <w:rPr>
          <w:lang w:val="fr-FR"/>
        </w:rPr>
        <w:t>Bureau. Cet appui technique sera financé en partie par la Plateforme et en partie par les contributions en nature approuvées par la Plénière</w:t>
      </w:r>
      <w:r w:rsidR="00E5245E" w:rsidRPr="008C52E5">
        <w:rPr>
          <w:lang w:val="fr-FR"/>
        </w:rPr>
        <w:t>.</w:t>
      </w:r>
    </w:p>
    <w:p w14:paraId="71A546CC" w14:textId="4AFAAE5C" w:rsidR="00E5245E" w:rsidRPr="008C52E5" w:rsidRDefault="00270837" w:rsidP="0044443E">
      <w:pPr>
        <w:pStyle w:val="CH3"/>
        <w:tabs>
          <w:tab w:val="clear" w:pos="851"/>
        </w:tabs>
        <w:ind w:hanging="659"/>
        <w:rPr>
          <w:rFonts w:eastAsia="SimSun"/>
          <w:lang w:val="fr-FR" w:eastAsia="zh-CN"/>
        </w:rPr>
      </w:pPr>
      <w:r w:rsidRPr="008C52E5">
        <w:rPr>
          <w:rFonts w:eastAsia="SimSun"/>
          <w:lang w:val="fr-FR" w:eastAsia="zh-CN"/>
        </w:rPr>
        <w:t>2.</w:t>
      </w:r>
      <w:r w:rsidRPr="008C52E5">
        <w:rPr>
          <w:rFonts w:eastAsia="SimSun"/>
          <w:lang w:val="fr-FR" w:eastAsia="zh-CN"/>
        </w:rPr>
        <w:tab/>
      </w:r>
      <w:r w:rsidR="00B154D3" w:rsidRPr="008C52E5">
        <w:rPr>
          <w:rFonts w:eastAsia="SimSun"/>
          <w:lang w:val="fr-FR" w:eastAsia="zh-CN"/>
        </w:rPr>
        <w:t>Réunions et étapes intermédiaires</w:t>
      </w:r>
    </w:p>
    <w:p w14:paraId="6C99EAE1" w14:textId="151690E1" w:rsidR="00C53C6C" w:rsidRPr="008C52E5" w:rsidRDefault="00B154D3" w:rsidP="00C53C6C">
      <w:pPr>
        <w:pStyle w:val="Normalnumber"/>
        <w:numPr>
          <w:ilvl w:val="0"/>
          <w:numId w:val="5"/>
        </w:numPr>
        <w:tabs>
          <w:tab w:val="left" w:pos="1871"/>
          <w:tab w:val="left" w:pos="2495"/>
        </w:tabs>
        <w:ind w:left="1247" w:firstLine="0"/>
        <w:rPr>
          <w:lang w:val="fr-FR"/>
        </w:rPr>
      </w:pPr>
      <w:r w:rsidRPr="008C52E5">
        <w:rPr>
          <w:lang w:val="fr-FR"/>
        </w:rPr>
        <w:t xml:space="preserve">Un aperçu des </w:t>
      </w:r>
      <w:r w:rsidR="00184146" w:rsidRPr="008C52E5">
        <w:rPr>
          <w:lang w:val="fr-FR"/>
        </w:rPr>
        <w:t>activités</w:t>
      </w:r>
      <w:r w:rsidRPr="008C52E5">
        <w:rPr>
          <w:lang w:val="fr-FR"/>
        </w:rPr>
        <w:t xml:space="preserve"> à mener </w:t>
      </w:r>
      <w:r w:rsidR="00184146" w:rsidRPr="008C52E5">
        <w:rPr>
          <w:lang w:val="fr-FR"/>
        </w:rPr>
        <w:t xml:space="preserve">au titre </w:t>
      </w:r>
      <w:r w:rsidRPr="008C52E5">
        <w:rPr>
          <w:lang w:val="fr-FR"/>
        </w:rPr>
        <w:t xml:space="preserve">de ce produit est présenté ci-après. Un projet de budget </w:t>
      </w:r>
      <w:r w:rsidR="00184146" w:rsidRPr="008C52E5">
        <w:rPr>
          <w:lang w:val="fr-FR"/>
        </w:rPr>
        <w:t xml:space="preserve">correspondant </w:t>
      </w:r>
      <w:r w:rsidRPr="008C52E5">
        <w:rPr>
          <w:lang w:val="fr-FR"/>
        </w:rPr>
        <w:t xml:space="preserve">figure dans les tableaux A-1 et A-5 dans l’annexe </w:t>
      </w:r>
      <w:r w:rsidR="00184146" w:rsidRPr="008C52E5">
        <w:rPr>
          <w:lang w:val="fr-FR"/>
        </w:rPr>
        <w:t>d</w:t>
      </w:r>
      <w:r w:rsidRPr="008C52E5">
        <w:rPr>
          <w:lang w:val="fr-FR"/>
        </w:rPr>
        <w:t>u document IPBES/7/4</w:t>
      </w:r>
      <w:r w:rsidR="00C53C6C" w:rsidRPr="008C52E5">
        <w:rPr>
          <w:lang w:val="fr-FR"/>
        </w:rPr>
        <w:t>.</w:t>
      </w:r>
      <w:r w:rsidR="00E61371" w:rsidRPr="008C52E5">
        <w:rPr>
          <w:lang w:val="fr-FR"/>
        </w:rPr>
        <w:t xml:space="preserve"> </w:t>
      </w:r>
    </w:p>
    <w:tbl>
      <w:tblPr>
        <w:tblW w:w="8352" w:type="dxa"/>
        <w:tblInd w:w="1248" w:type="dxa"/>
        <w:tblLook w:val="04A0" w:firstRow="1" w:lastRow="0" w:firstColumn="1" w:lastColumn="0" w:noHBand="0" w:noVBand="1"/>
      </w:tblPr>
      <w:tblGrid>
        <w:gridCol w:w="1152"/>
        <w:gridCol w:w="7200"/>
      </w:tblGrid>
      <w:tr w:rsidR="00E5245E" w:rsidRPr="008C52E5" w14:paraId="06656CF0" w14:textId="77777777" w:rsidTr="005C34BE">
        <w:trPr>
          <w:trHeight w:val="233"/>
          <w:tblHeader/>
        </w:trPr>
        <w:tc>
          <w:tcPr>
            <w:tcW w:w="1152" w:type="dxa"/>
            <w:tcBorders>
              <w:top w:val="single" w:sz="4" w:space="0" w:color="auto"/>
              <w:bottom w:val="single" w:sz="12" w:space="0" w:color="auto"/>
            </w:tcBorders>
            <w:shd w:val="clear" w:color="auto" w:fill="auto"/>
            <w:vAlign w:val="center"/>
          </w:tcPr>
          <w:p w14:paraId="67D4B3CB" w14:textId="222B1B71" w:rsidR="00E5245E" w:rsidRPr="008C52E5" w:rsidDel="003F5A7B" w:rsidRDefault="00E474A9" w:rsidP="00FC5E47">
            <w:pPr>
              <w:pStyle w:val="Normal-pool"/>
              <w:spacing w:before="40" w:after="40"/>
              <w:rPr>
                <w:rFonts w:eastAsia="SimSun"/>
                <w:sz w:val="18"/>
                <w:szCs w:val="18"/>
                <w:lang w:val="fr-FR" w:eastAsia="zh-CN"/>
              </w:rPr>
            </w:pPr>
            <w:r w:rsidRPr="008C52E5">
              <w:rPr>
                <w:rFonts w:eastAsia="SimSun"/>
                <w:i/>
                <w:sz w:val="18"/>
                <w:szCs w:val="18"/>
                <w:lang w:val="fr-FR" w:eastAsia="zh-CN"/>
              </w:rPr>
              <w:t>Calendrier</w:t>
            </w:r>
          </w:p>
        </w:tc>
        <w:tc>
          <w:tcPr>
            <w:tcW w:w="7200" w:type="dxa"/>
            <w:tcBorders>
              <w:top w:val="single" w:sz="4" w:space="0" w:color="auto"/>
              <w:bottom w:val="single" w:sz="12" w:space="0" w:color="auto"/>
            </w:tcBorders>
            <w:shd w:val="clear" w:color="auto" w:fill="auto"/>
          </w:tcPr>
          <w:p w14:paraId="66026EE6" w14:textId="291D66ED" w:rsidR="00E5245E" w:rsidRPr="008C52E5" w:rsidDel="000C28ED" w:rsidRDefault="00E474A9" w:rsidP="00FC5E47">
            <w:pPr>
              <w:pStyle w:val="Normal-pool"/>
              <w:spacing w:before="40" w:after="40"/>
              <w:rPr>
                <w:rFonts w:eastAsia="SimSun"/>
                <w:sz w:val="18"/>
                <w:szCs w:val="18"/>
                <w:lang w:val="fr-FR" w:eastAsia="zh-CN"/>
              </w:rPr>
            </w:pPr>
            <w:r w:rsidRPr="008C52E5">
              <w:rPr>
                <w:rFonts w:eastAsia="SimSun"/>
                <w:i/>
                <w:sz w:val="18"/>
                <w:szCs w:val="18"/>
                <w:lang w:val="fr-FR" w:eastAsia="zh-CN"/>
              </w:rPr>
              <w:t>Réunions et étapes intermédiaires</w:t>
            </w:r>
          </w:p>
        </w:tc>
      </w:tr>
      <w:tr w:rsidR="0037124A" w:rsidRPr="0082513F" w14:paraId="1E867E50" w14:textId="77777777" w:rsidTr="00E8569A">
        <w:trPr>
          <w:trHeight w:val="233"/>
        </w:trPr>
        <w:tc>
          <w:tcPr>
            <w:tcW w:w="1152" w:type="dxa"/>
            <w:vMerge w:val="restart"/>
            <w:tcBorders>
              <w:top w:val="single" w:sz="12" w:space="0" w:color="auto"/>
            </w:tcBorders>
            <w:shd w:val="clear" w:color="auto" w:fill="auto"/>
            <w:vAlign w:val="center"/>
          </w:tcPr>
          <w:p w14:paraId="7C10DE91" w14:textId="77777777" w:rsidR="0037124A" w:rsidRPr="008C52E5" w:rsidRDefault="0037124A" w:rsidP="00FC5E47">
            <w:pPr>
              <w:pStyle w:val="Normal-pool"/>
              <w:spacing w:before="40" w:after="40"/>
              <w:rPr>
                <w:rFonts w:eastAsia="SimSun"/>
                <w:sz w:val="18"/>
                <w:szCs w:val="18"/>
                <w:lang w:val="fr-FR" w:eastAsia="zh-CN"/>
              </w:rPr>
            </w:pPr>
            <w:r w:rsidRPr="008C52E5">
              <w:rPr>
                <w:rFonts w:eastAsia="SimSun"/>
                <w:sz w:val="18"/>
                <w:szCs w:val="18"/>
                <w:lang w:val="fr-FR" w:eastAsia="zh-CN"/>
              </w:rPr>
              <w:t>2019</w:t>
            </w:r>
            <w:r w:rsidR="00C46BC5" w:rsidRPr="008C52E5">
              <w:rPr>
                <w:rFonts w:eastAsia="SimSun"/>
                <w:sz w:val="18"/>
                <w:szCs w:val="18"/>
                <w:lang w:val="fr-FR" w:eastAsia="zh-CN"/>
              </w:rPr>
              <w:t xml:space="preserve"> </w:t>
            </w:r>
          </w:p>
        </w:tc>
        <w:tc>
          <w:tcPr>
            <w:tcW w:w="7200" w:type="dxa"/>
            <w:tcBorders>
              <w:top w:val="single" w:sz="12" w:space="0" w:color="auto"/>
            </w:tcBorders>
            <w:shd w:val="clear" w:color="auto" w:fill="auto"/>
          </w:tcPr>
          <w:p w14:paraId="2E376766" w14:textId="0EA6AFE0" w:rsidR="0037124A" w:rsidRPr="008C52E5" w:rsidRDefault="00E474A9" w:rsidP="00FC5E47">
            <w:pPr>
              <w:pStyle w:val="Normal-pool"/>
              <w:spacing w:before="40" w:after="40"/>
              <w:rPr>
                <w:rFonts w:eastAsia="SimSun"/>
                <w:sz w:val="18"/>
                <w:szCs w:val="18"/>
                <w:lang w:val="fr-FR" w:eastAsia="zh-CN"/>
              </w:rPr>
            </w:pPr>
            <w:r w:rsidRPr="008C52E5">
              <w:rPr>
                <w:rFonts w:eastAsia="SimSun"/>
                <w:sz w:val="18"/>
                <w:szCs w:val="18"/>
                <w:lang w:val="fr-FR" w:eastAsia="zh-CN"/>
              </w:rPr>
              <w:t>La Plénière approuve le processus de cadrage complet</w:t>
            </w:r>
          </w:p>
        </w:tc>
      </w:tr>
      <w:tr w:rsidR="0037124A" w:rsidRPr="0082513F" w14:paraId="0F66BEE7" w14:textId="77777777" w:rsidTr="00E8569A">
        <w:trPr>
          <w:trHeight w:val="233"/>
        </w:trPr>
        <w:tc>
          <w:tcPr>
            <w:tcW w:w="1152" w:type="dxa"/>
            <w:vMerge/>
            <w:shd w:val="clear" w:color="auto" w:fill="auto"/>
            <w:vAlign w:val="center"/>
          </w:tcPr>
          <w:p w14:paraId="28A876C4" w14:textId="77777777" w:rsidR="0037124A" w:rsidRPr="008C52E5" w:rsidRDefault="0037124A" w:rsidP="00FC5E47">
            <w:pPr>
              <w:pStyle w:val="Normal-pool"/>
              <w:spacing w:before="40" w:after="40"/>
              <w:rPr>
                <w:rFonts w:eastAsia="SimSun"/>
                <w:sz w:val="18"/>
                <w:szCs w:val="18"/>
                <w:lang w:val="fr-FR" w:eastAsia="zh-CN"/>
              </w:rPr>
            </w:pPr>
          </w:p>
        </w:tc>
        <w:tc>
          <w:tcPr>
            <w:tcW w:w="7200" w:type="dxa"/>
            <w:shd w:val="clear" w:color="auto" w:fill="auto"/>
          </w:tcPr>
          <w:p w14:paraId="61E0FD6A" w14:textId="35849385" w:rsidR="0037124A" w:rsidRPr="008C52E5" w:rsidRDefault="00E474A9" w:rsidP="00FC5E47">
            <w:pPr>
              <w:pStyle w:val="Normal-pool"/>
              <w:spacing w:before="40" w:after="40"/>
              <w:rPr>
                <w:rFonts w:eastAsia="SimSun"/>
                <w:sz w:val="18"/>
                <w:szCs w:val="18"/>
                <w:lang w:val="fr-FR" w:eastAsia="zh-CN"/>
              </w:rPr>
            </w:pPr>
            <w:r w:rsidRPr="008C52E5">
              <w:rPr>
                <w:rFonts w:eastAsia="SimSun"/>
                <w:sz w:val="18"/>
                <w:szCs w:val="18"/>
                <w:lang w:val="fr-FR" w:eastAsia="zh-CN"/>
              </w:rPr>
              <w:t>Conférence de cadrage en ligne</w:t>
            </w:r>
          </w:p>
        </w:tc>
      </w:tr>
      <w:tr w:rsidR="0037124A" w:rsidRPr="0082513F" w14:paraId="2D5DD3A2" w14:textId="77777777" w:rsidTr="00E8569A">
        <w:trPr>
          <w:trHeight w:val="233"/>
        </w:trPr>
        <w:tc>
          <w:tcPr>
            <w:tcW w:w="1152" w:type="dxa"/>
            <w:vMerge/>
            <w:shd w:val="clear" w:color="auto" w:fill="auto"/>
            <w:vAlign w:val="center"/>
          </w:tcPr>
          <w:p w14:paraId="73B64CE7" w14:textId="77777777" w:rsidR="0037124A" w:rsidRPr="008C52E5" w:rsidRDefault="0037124A" w:rsidP="00FC5E47">
            <w:pPr>
              <w:pStyle w:val="Normal-pool"/>
              <w:spacing w:before="40" w:after="40"/>
              <w:rPr>
                <w:rFonts w:eastAsia="SimSun"/>
                <w:sz w:val="18"/>
                <w:szCs w:val="18"/>
                <w:lang w:val="fr-FR" w:eastAsia="zh-CN"/>
              </w:rPr>
            </w:pPr>
          </w:p>
        </w:tc>
        <w:tc>
          <w:tcPr>
            <w:tcW w:w="7200" w:type="dxa"/>
            <w:shd w:val="clear" w:color="auto" w:fill="auto"/>
          </w:tcPr>
          <w:p w14:paraId="33B12178" w14:textId="25A442F3" w:rsidR="0037124A" w:rsidRPr="008C52E5" w:rsidRDefault="00E474A9" w:rsidP="00FC5E47">
            <w:pPr>
              <w:pStyle w:val="Normal-pool"/>
              <w:spacing w:before="40" w:after="40"/>
              <w:rPr>
                <w:rFonts w:eastAsia="SimSun"/>
                <w:sz w:val="18"/>
                <w:szCs w:val="18"/>
                <w:lang w:val="fr-FR" w:eastAsia="zh-CN"/>
              </w:rPr>
            </w:pPr>
            <w:r w:rsidRPr="008C52E5">
              <w:rPr>
                <w:rFonts w:eastAsia="SimSun"/>
                <w:sz w:val="18"/>
                <w:szCs w:val="18"/>
                <w:lang w:val="fr-FR" w:eastAsia="zh-CN"/>
              </w:rPr>
              <w:t>Désignation et sélection des experts pour la réunion de cadrage</w:t>
            </w:r>
          </w:p>
        </w:tc>
      </w:tr>
      <w:tr w:rsidR="0037124A" w:rsidRPr="008C52E5" w14:paraId="5FAB1303" w14:textId="77777777" w:rsidTr="00E8569A">
        <w:trPr>
          <w:trHeight w:val="233"/>
        </w:trPr>
        <w:tc>
          <w:tcPr>
            <w:tcW w:w="1152" w:type="dxa"/>
            <w:vMerge/>
            <w:shd w:val="clear" w:color="auto" w:fill="auto"/>
            <w:vAlign w:val="center"/>
          </w:tcPr>
          <w:p w14:paraId="038CBBEE" w14:textId="77777777" w:rsidR="0037124A" w:rsidRPr="008C52E5" w:rsidRDefault="0037124A" w:rsidP="00FC5E47">
            <w:pPr>
              <w:pStyle w:val="Normal-pool"/>
              <w:spacing w:before="40" w:after="40"/>
              <w:rPr>
                <w:rFonts w:eastAsia="SimSun"/>
                <w:sz w:val="18"/>
                <w:szCs w:val="18"/>
                <w:lang w:val="fr-FR" w:eastAsia="zh-CN"/>
              </w:rPr>
            </w:pPr>
          </w:p>
        </w:tc>
        <w:tc>
          <w:tcPr>
            <w:tcW w:w="7200" w:type="dxa"/>
            <w:shd w:val="clear" w:color="auto" w:fill="auto"/>
          </w:tcPr>
          <w:p w14:paraId="49125747" w14:textId="0ED554FB" w:rsidR="0037124A" w:rsidRPr="008C52E5" w:rsidRDefault="00E474A9" w:rsidP="00FC5E47">
            <w:pPr>
              <w:pStyle w:val="Normal-pool"/>
              <w:spacing w:before="40" w:after="40"/>
              <w:rPr>
                <w:rFonts w:eastAsia="SimSun"/>
                <w:sz w:val="18"/>
                <w:szCs w:val="18"/>
                <w:lang w:val="fr-FR" w:eastAsia="zh-CN"/>
              </w:rPr>
            </w:pPr>
            <w:r w:rsidRPr="008C52E5">
              <w:rPr>
                <w:rFonts w:eastAsia="SimSun"/>
                <w:sz w:val="18"/>
                <w:szCs w:val="18"/>
                <w:lang w:val="fr-FR" w:eastAsia="zh-CN"/>
              </w:rPr>
              <w:t>Réunion de cadrage</w:t>
            </w:r>
          </w:p>
        </w:tc>
      </w:tr>
      <w:tr w:rsidR="0037124A" w:rsidRPr="0082513F" w14:paraId="4DEDC78E" w14:textId="77777777" w:rsidTr="00E8569A">
        <w:trPr>
          <w:trHeight w:val="233"/>
        </w:trPr>
        <w:tc>
          <w:tcPr>
            <w:tcW w:w="1152" w:type="dxa"/>
            <w:vMerge/>
            <w:shd w:val="clear" w:color="auto" w:fill="auto"/>
            <w:vAlign w:val="center"/>
          </w:tcPr>
          <w:p w14:paraId="41053A39" w14:textId="77777777" w:rsidR="0037124A" w:rsidRPr="008C52E5" w:rsidRDefault="0037124A" w:rsidP="00FC5E47">
            <w:pPr>
              <w:pStyle w:val="Normal-pool"/>
              <w:spacing w:before="40" w:after="40"/>
              <w:rPr>
                <w:rFonts w:eastAsia="SimSun"/>
                <w:sz w:val="18"/>
                <w:szCs w:val="18"/>
                <w:lang w:val="fr-FR" w:eastAsia="zh-CN"/>
              </w:rPr>
            </w:pPr>
          </w:p>
        </w:tc>
        <w:tc>
          <w:tcPr>
            <w:tcW w:w="7200" w:type="dxa"/>
            <w:shd w:val="clear" w:color="auto" w:fill="auto"/>
          </w:tcPr>
          <w:p w14:paraId="00977846" w14:textId="51B07232" w:rsidR="0037124A" w:rsidRPr="008C52E5" w:rsidRDefault="00E474A9" w:rsidP="00FC5E47">
            <w:pPr>
              <w:pStyle w:val="Normal-pool"/>
              <w:spacing w:before="40" w:after="40"/>
              <w:rPr>
                <w:rFonts w:eastAsia="SimSun"/>
                <w:sz w:val="18"/>
                <w:szCs w:val="18"/>
                <w:lang w:val="fr-FR" w:eastAsia="zh-CN"/>
              </w:rPr>
            </w:pPr>
            <w:r w:rsidRPr="008C52E5">
              <w:rPr>
                <w:rFonts w:eastAsia="SimSun"/>
                <w:sz w:val="18"/>
                <w:szCs w:val="18"/>
                <w:lang w:val="fr-FR" w:eastAsia="zh-CN"/>
              </w:rPr>
              <w:t>La Plénière examine et approuve le document de cadrage et lance l’élaboration de l’évaluation</w:t>
            </w:r>
          </w:p>
        </w:tc>
      </w:tr>
      <w:tr w:rsidR="007C4EA7" w:rsidRPr="0082513F" w14:paraId="5E5990B1" w14:textId="77777777" w:rsidTr="00E8569A">
        <w:trPr>
          <w:trHeight w:val="233"/>
        </w:trPr>
        <w:tc>
          <w:tcPr>
            <w:tcW w:w="1152" w:type="dxa"/>
            <w:shd w:val="clear" w:color="auto" w:fill="auto"/>
            <w:vAlign w:val="center"/>
          </w:tcPr>
          <w:p w14:paraId="360D8048" w14:textId="77777777" w:rsidR="007C4EA7" w:rsidRPr="008C52E5" w:rsidRDefault="007C4EA7" w:rsidP="00FC5E47">
            <w:pPr>
              <w:pStyle w:val="Normal-pool"/>
              <w:spacing w:before="40" w:after="40"/>
              <w:rPr>
                <w:rFonts w:eastAsia="SimSun"/>
                <w:sz w:val="18"/>
                <w:szCs w:val="18"/>
                <w:lang w:val="fr-FR" w:eastAsia="zh-CN"/>
              </w:rPr>
            </w:pPr>
            <w:r w:rsidRPr="008C52E5">
              <w:rPr>
                <w:rFonts w:eastAsia="SimSun"/>
                <w:sz w:val="18"/>
                <w:szCs w:val="18"/>
                <w:lang w:val="fr-FR" w:eastAsia="zh-CN"/>
              </w:rPr>
              <w:t>2020</w:t>
            </w:r>
          </w:p>
        </w:tc>
        <w:tc>
          <w:tcPr>
            <w:tcW w:w="7200" w:type="dxa"/>
            <w:shd w:val="clear" w:color="auto" w:fill="auto"/>
          </w:tcPr>
          <w:p w14:paraId="3EFF2C76" w14:textId="4365B566" w:rsidR="007C4EA7" w:rsidRPr="008C52E5" w:rsidRDefault="00E474A9" w:rsidP="00FC5E47">
            <w:pPr>
              <w:pStyle w:val="Normal-pool"/>
              <w:spacing w:before="40" w:after="40"/>
              <w:rPr>
                <w:rFonts w:eastAsia="SimSun"/>
                <w:sz w:val="18"/>
                <w:szCs w:val="18"/>
                <w:lang w:val="fr-FR" w:eastAsia="zh-CN"/>
              </w:rPr>
            </w:pPr>
            <w:r w:rsidRPr="008C52E5">
              <w:rPr>
                <w:rFonts w:eastAsia="SimSun"/>
                <w:sz w:val="18"/>
                <w:szCs w:val="18"/>
                <w:lang w:val="fr-FR" w:eastAsia="zh-CN"/>
              </w:rPr>
              <w:t>Désignation et sélection des experts</w:t>
            </w:r>
          </w:p>
        </w:tc>
      </w:tr>
      <w:tr w:rsidR="007C4EA7" w:rsidRPr="0082513F" w14:paraId="0A7B5B95" w14:textId="77777777" w:rsidTr="00E8569A">
        <w:trPr>
          <w:trHeight w:val="145"/>
        </w:trPr>
        <w:tc>
          <w:tcPr>
            <w:tcW w:w="1152" w:type="dxa"/>
            <w:vMerge w:val="restart"/>
            <w:shd w:val="clear" w:color="auto" w:fill="auto"/>
            <w:vAlign w:val="center"/>
          </w:tcPr>
          <w:p w14:paraId="2D10D0BC" w14:textId="77777777" w:rsidR="007C4EA7" w:rsidRPr="008C52E5" w:rsidRDefault="007C4EA7" w:rsidP="00FC5E47">
            <w:pPr>
              <w:pStyle w:val="Normal-pool"/>
              <w:spacing w:before="40" w:after="40"/>
              <w:rPr>
                <w:rFonts w:eastAsia="SimSun"/>
                <w:sz w:val="18"/>
                <w:szCs w:val="18"/>
                <w:lang w:val="fr-FR" w:eastAsia="zh-CN"/>
              </w:rPr>
            </w:pPr>
            <w:r w:rsidRPr="008C52E5">
              <w:rPr>
                <w:rFonts w:eastAsia="SimSun"/>
                <w:sz w:val="18"/>
                <w:szCs w:val="18"/>
                <w:lang w:val="fr-FR" w:eastAsia="zh-CN"/>
              </w:rPr>
              <w:t>2021</w:t>
            </w:r>
          </w:p>
        </w:tc>
        <w:tc>
          <w:tcPr>
            <w:tcW w:w="7200" w:type="dxa"/>
            <w:shd w:val="clear" w:color="auto" w:fill="auto"/>
          </w:tcPr>
          <w:p w14:paraId="79248E7D" w14:textId="7862C162" w:rsidR="007C4EA7" w:rsidRPr="008C52E5" w:rsidRDefault="00E474A9" w:rsidP="00FC5E47">
            <w:pPr>
              <w:pStyle w:val="Normal-pool"/>
              <w:spacing w:before="40" w:after="40"/>
              <w:rPr>
                <w:rFonts w:eastAsia="SimSun"/>
                <w:sz w:val="18"/>
                <w:szCs w:val="18"/>
                <w:lang w:val="fr-FR" w:eastAsia="zh-CN"/>
              </w:rPr>
            </w:pPr>
            <w:r w:rsidRPr="008C52E5">
              <w:rPr>
                <w:rFonts w:eastAsia="SimSun"/>
                <w:sz w:val="18"/>
                <w:szCs w:val="18"/>
                <w:lang w:val="fr-FR" w:eastAsia="zh-CN"/>
              </w:rPr>
              <w:t>Réunion du comité de direction</w:t>
            </w:r>
          </w:p>
        </w:tc>
      </w:tr>
      <w:tr w:rsidR="00E5245E" w:rsidRPr="008C52E5" w14:paraId="396526A3" w14:textId="77777777" w:rsidTr="00E8569A">
        <w:trPr>
          <w:trHeight w:val="189"/>
        </w:trPr>
        <w:tc>
          <w:tcPr>
            <w:tcW w:w="1152" w:type="dxa"/>
            <w:vMerge/>
            <w:shd w:val="clear" w:color="auto" w:fill="auto"/>
            <w:vAlign w:val="center"/>
          </w:tcPr>
          <w:p w14:paraId="39751482" w14:textId="77777777" w:rsidR="00E5245E" w:rsidRPr="008C52E5" w:rsidRDefault="00E5245E" w:rsidP="00FC5E47">
            <w:pPr>
              <w:pStyle w:val="Normal-pool"/>
              <w:spacing w:before="40" w:after="40"/>
              <w:rPr>
                <w:rFonts w:eastAsia="SimSun"/>
                <w:sz w:val="18"/>
                <w:szCs w:val="18"/>
                <w:lang w:val="fr-FR" w:eastAsia="zh-CN"/>
              </w:rPr>
            </w:pPr>
          </w:p>
        </w:tc>
        <w:tc>
          <w:tcPr>
            <w:tcW w:w="7200" w:type="dxa"/>
            <w:shd w:val="clear" w:color="auto" w:fill="auto"/>
          </w:tcPr>
          <w:p w14:paraId="5BA08D9A" w14:textId="6CB9F886" w:rsidR="00E5245E" w:rsidRPr="008C52E5" w:rsidRDefault="00E474A9" w:rsidP="00FC5E47">
            <w:pPr>
              <w:pStyle w:val="Normal-pool"/>
              <w:spacing w:before="40" w:after="40"/>
              <w:rPr>
                <w:rFonts w:eastAsia="SimSun"/>
                <w:sz w:val="18"/>
                <w:szCs w:val="18"/>
                <w:lang w:val="fr-FR" w:eastAsia="zh-CN"/>
              </w:rPr>
            </w:pPr>
            <w:r w:rsidRPr="008C52E5">
              <w:rPr>
                <w:rFonts w:eastAsia="SimSun"/>
                <w:sz w:val="18"/>
                <w:szCs w:val="18"/>
                <w:lang w:val="fr-FR" w:eastAsia="zh-CN"/>
              </w:rPr>
              <w:t>Première réunion des auteurs</w:t>
            </w:r>
          </w:p>
        </w:tc>
      </w:tr>
      <w:tr w:rsidR="00E5245E" w:rsidRPr="0082513F" w14:paraId="58866532" w14:textId="77777777" w:rsidTr="00E8569A">
        <w:trPr>
          <w:trHeight w:val="271"/>
        </w:trPr>
        <w:tc>
          <w:tcPr>
            <w:tcW w:w="1152" w:type="dxa"/>
            <w:vMerge/>
            <w:shd w:val="clear" w:color="auto" w:fill="auto"/>
            <w:vAlign w:val="center"/>
          </w:tcPr>
          <w:p w14:paraId="7887FEF2" w14:textId="77777777" w:rsidR="00E5245E" w:rsidRPr="008C52E5" w:rsidRDefault="00E5245E" w:rsidP="00FC5E47">
            <w:pPr>
              <w:pStyle w:val="Normal-pool"/>
              <w:spacing w:before="40" w:after="40"/>
              <w:rPr>
                <w:rFonts w:eastAsia="SimSun"/>
                <w:sz w:val="18"/>
                <w:szCs w:val="18"/>
                <w:lang w:val="fr-FR" w:eastAsia="zh-CN"/>
              </w:rPr>
            </w:pPr>
          </w:p>
        </w:tc>
        <w:tc>
          <w:tcPr>
            <w:tcW w:w="7200" w:type="dxa"/>
            <w:shd w:val="clear" w:color="auto" w:fill="auto"/>
          </w:tcPr>
          <w:p w14:paraId="144C91E9" w14:textId="763AED34" w:rsidR="00E5245E" w:rsidRPr="008C52E5" w:rsidRDefault="00E474A9" w:rsidP="00FC5E47">
            <w:pPr>
              <w:pStyle w:val="Normal-pool"/>
              <w:spacing w:before="40" w:after="40"/>
              <w:rPr>
                <w:rFonts w:eastAsia="SimSun"/>
                <w:sz w:val="18"/>
                <w:szCs w:val="18"/>
                <w:lang w:val="fr-FR" w:eastAsia="zh-CN"/>
              </w:rPr>
            </w:pPr>
            <w:r w:rsidRPr="008C52E5">
              <w:rPr>
                <w:rFonts w:eastAsia="SimSun"/>
                <w:sz w:val="18"/>
                <w:szCs w:val="18"/>
                <w:lang w:val="fr-FR" w:eastAsia="zh-CN"/>
              </w:rPr>
              <w:t>Dialogue sur les savoirs autochtones et locaux</w:t>
            </w:r>
          </w:p>
        </w:tc>
      </w:tr>
      <w:tr w:rsidR="00A26807" w:rsidRPr="008C52E5" w14:paraId="55C6F1C4" w14:textId="77777777" w:rsidTr="00E8569A">
        <w:trPr>
          <w:trHeight w:val="235"/>
        </w:trPr>
        <w:tc>
          <w:tcPr>
            <w:tcW w:w="1152" w:type="dxa"/>
            <w:vMerge w:val="restart"/>
            <w:tcBorders>
              <w:bottom w:val="single" w:sz="12" w:space="0" w:color="auto"/>
            </w:tcBorders>
            <w:shd w:val="clear" w:color="auto" w:fill="auto"/>
            <w:vAlign w:val="center"/>
          </w:tcPr>
          <w:p w14:paraId="36E508EE" w14:textId="77777777" w:rsidR="00A26807" w:rsidRPr="008C52E5" w:rsidRDefault="00A26807" w:rsidP="00ED76A4">
            <w:pPr>
              <w:pStyle w:val="Normal-pool"/>
              <w:keepNext/>
              <w:keepLines/>
              <w:spacing w:before="40" w:after="40"/>
              <w:rPr>
                <w:rFonts w:eastAsia="SimSun"/>
                <w:sz w:val="18"/>
                <w:szCs w:val="18"/>
                <w:lang w:val="fr-FR" w:eastAsia="zh-CN"/>
              </w:rPr>
            </w:pPr>
            <w:r w:rsidRPr="008C52E5">
              <w:rPr>
                <w:rFonts w:eastAsia="SimSun"/>
                <w:sz w:val="18"/>
                <w:szCs w:val="18"/>
                <w:lang w:val="fr-FR" w:eastAsia="zh-CN"/>
              </w:rPr>
              <w:t>2022</w:t>
            </w:r>
          </w:p>
        </w:tc>
        <w:tc>
          <w:tcPr>
            <w:tcW w:w="7200" w:type="dxa"/>
            <w:shd w:val="clear" w:color="auto" w:fill="auto"/>
          </w:tcPr>
          <w:p w14:paraId="0B945D2B" w14:textId="0537FC7C" w:rsidR="00A26807" w:rsidRPr="008C52E5" w:rsidRDefault="00E474A9" w:rsidP="00ED76A4">
            <w:pPr>
              <w:pStyle w:val="Normal-pool"/>
              <w:keepNext/>
              <w:keepLines/>
              <w:spacing w:before="40" w:after="40"/>
              <w:rPr>
                <w:rFonts w:eastAsia="SimSun"/>
                <w:sz w:val="18"/>
                <w:szCs w:val="18"/>
                <w:lang w:val="fr-FR" w:eastAsia="zh-CN"/>
              </w:rPr>
            </w:pPr>
            <w:r w:rsidRPr="008C52E5">
              <w:rPr>
                <w:rFonts w:eastAsia="SimSun"/>
                <w:sz w:val="18"/>
                <w:szCs w:val="18"/>
                <w:lang w:val="fr-FR" w:eastAsia="zh-CN"/>
              </w:rPr>
              <w:t>Deuxième</w:t>
            </w:r>
            <w:r w:rsidR="00913913" w:rsidRPr="008C52E5">
              <w:rPr>
                <w:rFonts w:eastAsia="SimSun"/>
                <w:sz w:val="18"/>
                <w:szCs w:val="18"/>
                <w:lang w:val="fr-FR" w:eastAsia="zh-CN"/>
              </w:rPr>
              <w:t> </w:t>
            </w:r>
            <w:r w:rsidRPr="008C52E5">
              <w:rPr>
                <w:rFonts w:eastAsia="SimSun"/>
                <w:sz w:val="18"/>
                <w:szCs w:val="18"/>
                <w:lang w:val="fr-FR" w:eastAsia="zh-CN"/>
              </w:rPr>
              <w:t>réunion des auteurs</w:t>
            </w:r>
          </w:p>
        </w:tc>
      </w:tr>
      <w:tr w:rsidR="000A36C9" w:rsidRPr="0082513F" w14:paraId="7949C405" w14:textId="77777777" w:rsidTr="005C34BE">
        <w:trPr>
          <w:trHeight w:val="242"/>
        </w:trPr>
        <w:tc>
          <w:tcPr>
            <w:tcW w:w="1152" w:type="dxa"/>
            <w:vMerge/>
            <w:tcBorders>
              <w:top w:val="single" w:sz="4" w:space="0" w:color="auto"/>
              <w:bottom w:val="single" w:sz="12" w:space="0" w:color="auto"/>
            </w:tcBorders>
            <w:shd w:val="clear" w:color="auto" w:fill="auto"/>
          </w:tcPr>
          <w:p w14:paraId="4C35E06B" w14:textId="77777777" w:rsidR="000A36C9" w:rsidRPr="008C52E5" w:rsidRDefault="000A36C9" w:rsidP="00ED76A4">
            <w:pPr>
              <w:pStyle w:val="Normal-pool"/>
              <w:keepNext/>
              <w:keepLines/>
              <w:spacing w:before="40" w:after="40"/>
              <w:jc w:val="center"/>
              <w:rPr>
                <w:rFonts w:eastAsia="SimSun"/>
                <w:sz w:val="18"/>
                <w:szCs w:val="18"/>
                <w:lang w:val="fr-FR" w:eastAsia="zh-CN"/>
              </w:rPr>
            </w:pPr>
          </w:p>
        </w:tc>
        <w:tc>
          <w:tcPr>
            <w:tcW w:w="7200" w:type="dxa"/>
            <w:shd w:val="clear" w:color="auto" w:fill="auto"/>
          </w:tcPr>
          <w:p w14:paraId="49EF3825" w14:textId="2489ADD3" w:rsidR="000A36C9" w:rsidRPr="008C52E5" w:rsidRDefault="00913913" w:rsidP="00ED76A4">
            <w:pPr>
              <w:pStyle w:val="Normal-pool"/>
              <w:keepNext/>
              <w:keepLines/>
              <w:spacing w:before="40" w:after="40"/>
              <w:rPr>
                <w:rFonts w:eastAsia="SimSun"/>
                <w:sz w:val="18"/>
                <w:szCs w:val="18"/>
                <w:lang w:val="fr-FR" w:eastAsia="zh-CN"/>
              </w:rPr>
            </w:pPr>
            <w:r w:rsidRPr="008C52E5">
              <w:rPr>
                <w:rFonts w:eastAsia="SimSun"/>
                <w:sz w:val="18"/>
                <w:szCs w:val="18"/>
                <w:lang w:val="fr-FR" w:eastAsia="zh-CN"/>
              </w:rPr>
              <w:t>Examen de la première </w:t>
            </w:r>
            <w:r w:rsidR="00E474A9" w:rsidRPr="008C52E5">
              <w:rPr>
                <w:rFonts w:eastAsia="SimSun"/>
                <w:sz w:val="18"/>
                <w:szCs w:val="18"/>
                <w:lang w:val="fr-FR" w:eastAsia="zh-CN"/>
              </w:rPr>
              <w:t>version des projets de chapitre et du résumé à l’intention des décideurs</w:t>
            </w:r>
          </w:p>
        </w:tc>
      </w:tr>
      <w:tr w:rsidR="00636CCA" w:rsidRPr="0082513F" w14:paraId="5BAA6041" w14:textId="77777777" w:rsidTr="005C34BE">
        <w:trPr>
          <w:trHeight w:val="242"/>
        </w:trPr>
        <w:tc>
          <w:tcPr>
            <w:tcW w:w="1152" w:type="dxa"/>
            <w:vMerge/>
            <w:tcBorders>
              <w:top w:val="single" w:sz="4" w:space="0" w:color="auto"/>
              <w:bottom w:val="single" w:sz="12" w:space="0" w:color="auto"/>
            </w:tcBorders>
            <w:shd w:val="clear" w:color="auto" w:fill="auto"/>
          </w:tcPr>
          <w:p w14:paraId="1DF1F931" w14:textId="77777777" w:rsidR="00636CCA" w:rsidRPr="008C52E5" w:rsidRDefault="00636CCA" w:rsidP="00ED76A4">
            <w:pPr>
              <w:pStyle w:val="Normal-pool"/>
              <w:keepNext/>
              <w:keepLines/>
              <w:spacing w:before="40" w:after="40"/>
              <w:jc w:val="center"/>
              <w:rPr>
                <w:rFonts w:eastAsia="SimSun"/>
                <w:sz w:val="18"/>
                <w:szCs w:val="18"/>
                <w:lang w:val="fr-FR" w:eastAsia="zh-CN"/>
              </w:rPr>
            </w:pPr>
          </w:p>
        </w:tc>
        <w:tc>
          <w:tcPr>
            <w:tcW w:w="7200" w:type="dxa"/>
            <w:shd w:val="clear" w:color="auto" w:fill="auto"/>
          </w:tcPr>
          <w:p w14:paraId="66F18C90" w14:textId="7DB51AE6" w:rsidR="00636CCA" w:rsidRPr="008C52E5" w:rsidRDefault="00E474A9" w:rsidP="00ED76A4">
            <w:pPr>
              <w:pStyle w:val="Normal-pool"/>
              <w:keepNext/>
              <w:keepLines/>
              <w:spacing w:before="40" w:after="40"/>
              <w:rPr>
                <w:rFonts w:eastAsia="SimSun"/>
                <w:sz w:val="18"/>
                <w:szCs w:val="18"/>
                <w:lang w:val="fr-FR" w:eastAsia="zh-CN"/>
              </w:rPr>
            </w:pPr>
            <w:r w:rsidRPr="008C52E5">
              <w:rPr>
                <w:rFonts w:eastAsia="SimSun"/>
                <w:sz w:val="18"/>
                <w:szCs w:val="18"/>
                <w:lang w:val="fr-FR" w:eastAsia="zh-CN"/>
              </w:rPr>
              <w:t xml:space="preserve">Réunion </w:t>
            </w:r>
            <w:r w:rsidR="00184146" w:rsidRPr="008C52E5">
              <w:rPr>
                <w:rFonts w:eastAsia="SimSun"/>
                <w:sz w:val="18"/>
                <w:szCs w:val="18"/>
                <w:lang w:val="fr-FR" w:eastAsia="zh-CN"/>
              </w:rPr>
              <w:t xml:space="preserve">de révision du </w:t>
            </w:r>
            <w:r w:rsidRPr="008C52E5">
              <w:rPr>
                <w:rFonts w:eastAsia="SimSun"/>
                <w:sz w:val="18"/>
                <w:szCs w:val="18"/>
                <w:lang w:val="fr-FR" w:eastAsia="zh-CN"/>
              </w:rPr>
              <w:t>résumé à l’intention des déc</w:t>
            </w:r>
            <w:r w:rsidR="00184146" w:rsidRPr="008C52E5">
              <w:rPr>
                <w:rFonts w:eastAsia="SimSun"/>
                <w:sz w:val="18"/>
                <w:szCs w:val="18"/>
                <w:lang w:val="fr-FR" w:eastAsia="zh-CN"/>
              </w:rPr>
              <w:t>ideurs (coprésidents et auteurs</w:t>
            </w:r>
            <w:r w:rsidR="00184146" w:rsidRPr="008C52E5">
              <w:rPr>
                <w:rFonts w:eastAsia="SimSun"/>
                <w:sz w:val="18"/>
                <w:szCs w:val="18"/>
                <w:lang w:val="fr-FR" w:eastAsia="zh-CN"/>
              </w:rPr>
              <w:noBreakHyphen/>
            </w:r>
            <w:r w:rsidRPr="008C52E5">
              <w:rPr>
                <w:rFonts w:eastAsia="SimSun"/>
                <w:sz w:val="18"/>
                <w:szCs w:val="18"/>
                <w:lang w:val="fr-FR" w:eastAsia="zh-CN"/>
              </w:rPr>
              <w:t>coordonnateurs principaux</w:t>
            </w:r>
            <w:r w:rsidR="00662AD3" w:rsidRPr="008C52E5">
              <w:rPr>
                <w:rFonts w:eastAsia="SimSun"/>
                <w:sz w:val="18"/>
                <w:szCs w:val="18"/>
                <w:lang w:val="fr-FR" w:eastAsia="zh-CN"/>
              </w:rPr>
              <w:t>)</w:t>
            </w:r>
          </w:p>
        </w:tc>
      </w:tr>
      <w:tr w:rsidR="000A36C9" w:rsidRPr="0082513F" w14:paraId="6984922D" w14:textId="77777777" w:rsidTr="005C34BE">
        <w:trPr>
          <w:trHeight w:val="280"/>
        </w:trPr>
        <w:tc>
          <w:tcPr>
            <w:tcW w:w="1152" w:type="dxa"/>
            <w:vMerge/>
            <w:tcBorders>
              <w:top w:val="single" w:sz="4" w:space="0" w:color="auto"/>
              <w:bottom w:val="single" w:sz="12" w:space="0" w:color="auto"/>
            </w:tcBorders>
            <w:shd w:val="clear" w:color="auto" w:fill="auto"/>
          </w:tcPr>
          <w:p w14:paraId="323B85B1" w14:textId="77777777" w:rsidR="000A36C9" w:rsidRPr="008C52E5" w:rsidRDefault="000A36C9" w:rsidP="00ED76A4">
            <w:pPr>
              <w:pStyle w:val="Normal-pool"/>
              <w:keepNext/>
              <w:keepLines/>
              <w:spacing w:before="40" w:after="40"/>
              <w:jc w:val="center"/>
              <w:rPr>
                <w:rFonts w:eastAsia="SimSun"/>
                <w:sz w:val="18"/>
                <w:szCs w:val="18"/>
                <w:lang w:val="fr-FR" w:eastAsia="zh-CN"/>
              </w:rPr>
            </w:pPr>
          </w:p>
        </w:tc>
        <w:tc>
          <w:tcPr>
            <w:tcW w:w="7200" w:type="dxa"/>
            <w:shd w:val="clear" w:color="auto" w:fill="auto"/>
          </w:tcPr>
          <w:p w14:paraId="3084963E" w14:textId="2D38F9DF" w:rsidR="000A36C9" w:rsidRPr="008C52E5" w:rsidRDefault="00E474A9" w:rsidP="00ED76A4">
            <w:pPr>
              <w:pStyle w:val="Normal-pool"/>
              <w:keepNext/>
              <w:keepLines/>
              <w:spacing w:before="40" w:after="40"/>
              <w:rPr>
                <w:rFonts w:eastAsia="SimSun"/>
                <w:sz w:val="18"/>
                <w:szCs w:val="18"/>
                <w:lang w:val="fr-FR" w:eastAsia="zh-CN"/>
              </w:rPr>
            </w:pPr>
            <w:r w:rsidRPr="008C52E5">
              <w:rPr>
                <w:rFonts w:eastAsia="SimSun"/>
                <w:sz w:val="18"/>
                <w:szCs w:val="18"/>
                <w:lang w:val="fr-FR" w:eastAsia="zh-CN"/>
              </w:rPr>
              <w:t>Examen final par les gouvernements du résumé à l’intention des décideurs</w:t>
            </w:r>
            <w:r w:rsidR="000A36C9" w:rsidRPr="008C52E5">
              <w:rPr>
                <w:rFonts w:eastAsia="SimSun"/>
                <w:sz w:val="18"/>
                <w:szCs w:val="18"/>
                <w:lang w:val="fr-FR" w:eastAsia="zh-CN"/>
              </w:rPr>
              <w:t xml:space="preserve"> </w:t>
            </w:r>
          </w:p>
        </w:tc>
      </w:tr>
      <w:tr w:rsidR="000A36C9" w:rsidRPr="0082513F" w14:paraId="6AE0639E" w14:textId="77777777" w:rsidTr="005C34BE">
        <w:trPr>
          <w:trHeight w:val="280"/>
        </w:trPr>
        <w:tc>
          <w:tcPr>
            <w:tcW w:w="1152" w:type="dxa"/>
            <w:vMerge/>
            <w:tcBorders>
              <w:top w:val="single" w:sz="4" w:space="0" w:color="auto"/>
              <w:bottom w:val="single" w:sz="12" w:space="0" w:color="auto"/>
            </w:tcBorders>
            <w:shd w:val="clear" w:color="auto" w:fill="auto"/>
          </w:tcPr>
          <w:p w14:paraId="1DE8B765" w14:textId="77777777" w:rsidR="000A36C9" w:rsidRPr="008C52E5" w:rsidRDefault="000A36C9" w:rsidP="00FC5E47">
            <w:pPr>
              <w:pStyle w:val="Normal-pool"/>
              <w:spacing w:before="40" w:after="40"/>
              <w:jc w:val="center"/>
              <w:rPr>
                <w:rFonts w:eastAsia="SimSun"/>
                <w:sz w:val="18"/>
                <w:szCs w:val="18"/>
                <w:lang w:val="fr-FR" w:eastAsia="zh-CN"/>
              </w:rPr>
            </w:pPr>
          </w:p>
        </w:tc>
        <w:tc>
          <w:tcPr>
            <w:tcW w:w="7200" w:type="dxa"/>
            <w:shd w:val="clear" w:color="auto" w:fill="auto"/>
          </w:tcPr>
          <w:p w14:paraId="03D05884" w14:textId="002986F6" w:rsidR="000A36C9" w:rsidRPr="008C52E5" w:rsidRDefault="00E474A9" w:rsidP="00FC5E47">
            <w:pPr>
              <w:pStyle w:val="Normal-pool"/>
              <w:spacing w:before="40" w:after="40"/>
              <w:rPr>
                <w:rFonts w:eastAsia="SimSun"/>
                <w:sz w:val="18"/>
                <w:szCs w:val="18"/>
                <w:lang w:val="fr-FR" w:eastAsia="zh-CN"/>
              </w:rPr>
            </w:pPr>
            <w:r w:rsidRPr="008C52E5">
              <w:rPr>
                <w:rFonts w:eastAsia="SimSun"/>
                <w:sz w:val="18"/>
                <w:szCs w:val="18"/>
                <w:lang w:val="fr-FR" w:eastAsia="zh-CN"/>
              </w:rPr>
              <w:t>Examen de l’évaluation par la Plénière</w:t>
            </w:r>
          </w:p>
        </w:tc>
      </w:tr>
      <w:tr w:rsidR="000A36C9" w:rsidRPr="0082513F" w14:paraId="5A8431D6" w14:textId="77777777" w:rsidTr="005C34BE">
        <w:trPr>
          <w:trHeight w:val="280"/>
        </w:trPr>
        <w:tc>
          <w:tcPr>
            <w:tcW w:w="1152" w:type="dxa"/>
            <w:vMerge/>
            <w:tcBorders>
              <w:top w:val="single" w:sz="4" w:space="0" w:color="auto"/>
              <w:bottom w:val="single" w:sz="12" w:space="0" w:color="auto"/>
            </w:tcBorders>
            <w:shd w:val="clear" w:color="auto" w:fill="auto"/>
          </w:tcPr>
          <w:p w14:paraId="3D5A8FEC" w14:textId="77777777" w:rsidR="000A36C9" w:rsidRPr="008C52E5" w:rsidRDefault="000A36C9" w:rsidP="00FC5E47">
            <w:pPr>
              <w:pStyle w:val="Normal-pool"/>
              <w:spacing w:before="40" w:after="40"/>
              <w:jc w:val="center"/>
              <w:rPr>
                <w:rFonts w:eastAsia="SimSun"/>
                <w:sz w:val="18"/>
                <w:szCs w:val="18"/>
                <w:lang w:val="fr-FR" w:eastAsia="zh-CN"/>
              </w:rPr>
            </w:pPr>
          </w:p>
        </w:tc>
        <w:tc>
          <w:tcPr>
            <w:tcW w:w="7200" w:type="dxa"/>
            <w:tcBorders>
              <w:bottom w:val="single" w:sz="12" w:space="0" w:color="auto"/>
            </w:tcBorders>
            <w:shd w:val="clear" w:color="auto" w:fill="auto"/>
          </w:tcPr>
          <w:p w14:paraId="56501D63" w14:textId="0C4B7AE1" w:rsidR="000A36C9" w:rsidRPr="008C52E5" w:rsidRDefault="00E474A9" w:rsidP="00FC5E47">
            <w:pPr>
              <w:pStyle w:val="Normal-pool"/>
              <w:spacing w:before="40" w:after="40"/>
              <w:rPr>
                <w:rFonts w:eastAsia="SimSun"/>
                <w:sz w:val="18"/>
                <w:szCs w:val="18"/>
                <w:lang w:val="fr-FR" w:eastAsia="zh-CN"/>
              </w:rPr>
            </w:pPr>
            <w:r w:rsidRPr="008C52E5">
              <w:rPr>
                <w:rFonts w:eastAsia="SimSun"/>
                <w:sz w:val="18"/>
                <w:szCs w:val="18"/>
                <w:lang w:val="fr-FR" w:eastAsia="zh-CN"/>
              </w:rPr>
              <w:t>Conception, présentation, diffusion et communication</w:t>
            </w:r>
          </w:p>
        </w:tc>
      </w:tr>
    </w:tbl>
    <w:p w14:paraId="1C78B48A" w14:textId="71F61F0A" w:rsidR="00B54807" w:rsidRPr="008C52E5" w:rsidRDefault="00771BDE" w:rsidP="0044443E">
      <w:pPr>
        <w:pStyle w:val="CH1"/>
        <w:tabs>
          <w:tab w:val="clear" w:pos="851"/>
        </w:tabs>
        <w:ind w:hanging="680"/>
        <w:rPr>
          <w:lang w:val="fr-FR"/>
        </w:rPr>
      </w:pPr>
      <w:r w:rsidRPr="008C52E5">
        <w:rPr>
          <w:lang w:val="fr-FR"/>
        </w:rPr>
        <w:t>II.</w:t>
      </w:r>
      <w:r w:rsidRPr="008C52E5">
        <w:rPr>
          <w:lang w:val="fr-FR"/>
        </w:rPr>
        <w:tab/>
      </w:r>
      <w:r w:rsidR="003B57A4" w:rsidRPr="008C52E5">
        <w:rPr>
          <w:lang w:val="fr-FR"/>
        </w:rPr>
        <w:t>Objecti</w:t>
      </w:r>
      <w:r w:rsidR="009705AD" w:rsidRPr="008C52E5">
        <w:rPr>
          <w:lang w:val="fr-FR"/>
        </w:rPr>
        <w:t>f </w:t>
      </w:r>
      <w:r w:rsidR="003B57A4" w:rsidRPr="008C52E5">
        <w:rPr>
          <w:lang w:val="fr-FR"/>
        </w:rPr>
        <w:t>2</w:t>
      </w:r>
      <w:r w:rsidR="009705AD" w:rsidRPr="008C52E5">
        <w:rPr>
          <w:lang w:val="fr-FR"/>
        </w:rPr>
        <w:t> </w:t>
      </w:r>
      <w:r w:rsidR="003B57A4" w:rsidRPr="008C52E5">
        <w:rPr>
          <w:lang w:val="fr-FR"/>
        </w:rPr>
        <w:t>:</w:t>
      </w:r>
      <w:r w:rsidR="00B54807" w:rsidRPr="008C52E5">
        <w:rPr>
          <w:lang w:val="fr-FR"/>
        </w:rPr>
        <w:t xml:space="preserve"> </w:t>
      </w:r>
      <w:r w:rsidR="009705AD" w:rsidRPr="008C52E5">
        <w:rPr>
          <w:lang w:val="fr-FR"/>
        </w:rPr>
        <w:t>renforcement des capacités</w:t>
      </w:r>
    </w:p>
    <w:p w14:paraId="5DB2C4C8" w14:textId="0A243BD7" w:rsidR="00690364" w:rsidRPr="008C52E5" w:rsidRDefault="00771BDE" w:rsidP="0044443E">
      <w:pPr>
        <w:pStyle w:val="CH2"/>
        <w:tabs>
          <w:tab w:val="clear" w:pos="851"/>
        </w:tabs>
        <w:ind w:hanging="680"/>
        <w:rPr>
          <w:lang w:val="fr-FR"/>
        </w:rPr>
      </w:pPr>
      <w:r w:rsidRPr="008C52E5">
        <w:rPr>
          <w:rFonts w:eastAsia="SimSun"/>
          <w:lang w:val="fr-FR" w:eastAsia="zh-CN"/>
        </w:rPr>
        <w:tab/>
      </w:r>
      <w:r w:rsidR="00BB3BA6" w:rsidRPr="008C52E5">
        <w:rPr>
          <w:rFonts w:eastAsia="SimSun"/>
          <w:lang w:val="fr-FR" w:eastAsia="zh-CN"/>
        </w:rPr>
        <w:t>Contexte</w:t>
      </w:r>
    </w:p>
    <w:p w14:paraId="2E3424C5" w14:textId="2847C0A0" w:rsidR="00F83F89" w:rsidRPr="008C52E5" w:rsidRDefault="00DF26BC" w:rsidP="0043299F">
      <w:pPr>
        <w:pStyle w:val="Normalnumber"/>
        <w:numPr>
          <w:ilvl w:val="0"/>
          <w:numId w:val="5"/>
        </w:numPr>
        <w:tabs>
          <w:tab w:val="left" w:pos="1871"/>
          <w:tab w:val="left" w:pos="2495"/>
        </w:tabs>
        <w:ind w:left="1247" w:firstLine="0"/>
        <w:rPr>
          <w:lang w:val="fr-FR"/>
        </w:rPr>
      </w:pPr>
      <w:r w:rsidRPr="008C52E5">
        <w:rPr>
          <w:lang w:val="fr-FR"/>
        </w:rPr>
        <w:t>Le premier programme de travail de la Plateforme</w:t>
      </w:r>
      <w:r w:rsidR="00F83F89" w:rsidRPr="008C52E5">
        <w:rPr>
          <w:lang w:val="fr-FR"/>
        </w:rPr>
        <w:t xml:space="preserve"> </w:t>
      </w:r>
      <w:r w:rsidR="006A574C" w:rsidRPr="008C52E5">
        <w:rPr>
          <w:lang w:val="fr-FR"/>
        </w:rPr>
        <w:t>figurant dans l’annexe I à la décision </w:t>
      </w:r>
      <w:r w:rsidR="00F83F89" w:rsidRPr="008C52E5">
        <w:rPr>
          <w:lang w:val="fr-FR"/>
        </w:rPr>
        <w:t>IPBES-2/5</w:t>
      </w:r>
      <w:r w:rsidR="006A574C" w:rsidRPr="008C52E5">
        <w:rPr>
          <w:lang w:val="fr-FR"/>
        </w:rPr>
        <w:t xml:space="preserve"> comprenait le produit </w:t>
      </w:r>
      <w:r w:rsidR="00F83F89" w:rsidRPr="008C52E5">
        <w:rPr>
          <w:lang w:val="fr-FR"/>
        </w:rPr>
        <w:t>1</w:t>
      </w:r>
      <w:r w:rsidR="006A574C" w:rsidRPr="008C52E5">
        <w:rPr>
          <w:lang w:val="fr-FR"/>
        </w:rPr>
        <w:t> </w:t>
      </w:r>
      <w:r w:rsidR="00F83F89" w:rsidRPr="008C52E5">
        <w:rPr>
          <w:lang w:val="fr-FR"/>
        </w:rPr>
        <w:t>a)</w:t>
      </w:r>
      <w:r w:rsidR="006A574C" w:rsidRPr="008C52E5">
        <w:rPr>
          <w:lang w:val="fr-FR"/>
        </w:rPr>
        <w:t> </w:t>
      </w:r>
      <w:r w:rsidR="00F83F89" w:rsidRPr="008C52E5">
        <w:rPr>
          <w:lang w:val="fr-FR"/>
        </w:rPr>
        <w:t xml:space="preserve">: </w:t>
      </w:r>
      <w:r w:rsidR="006A574C" w:rsidRPr="008C52E5">
        <w:rPr>
          <w:lang w:val="fr-FR"/>
        </w:rPr>
        <w:t>« Mettre en adéquation les besoins prioritaires en matière de renforcement des capacités, auxquels il faut répondre pour mener à bien le programme de travail de la Plateforme, et les ressources que l’on pourrait mobiliser en catalysant l’appui financier et en nature »</w:t>
      </w:r>
      <w:r w:rsidR="00043D72" w:rsidRPr="008C52E5">
        <w:rPr>
          <w:lang w:val="fr-FR"/>
        </w:rPr>
        <w:t xml:space="preserve"> </w:t>
      </w:r>
      <w:r w:rsidR="006A574C" w:rsidRPr="008C52E5">
        <w:rPr>
          <w:lang w:val="fr-FR"/>
        </w:rPr>
        <w:t>et le produit </w:t>
      </w:r>
      <w:r w:rsidR="00043D72" w:rsidRPr="008C52E5">
        <w:rPr>
          <w:lang w:val="fr-FR"/>
        </w:rPr>
        <w:t>1</w:t>
      </w:r>
      <w:r w:rsidR="006A574C" w:rsidRPr="008C52E5">
        <w:rPr>
          <w:lang w:val="fr-FR"/>
        </w:rPr>
        <w:t> </w:t>
      </w:r>
      <w:r w:rsidR="00F83F89" w:rsidRPr="008C52E5">
        <w:rPr>
          <w:lang w:val="fr-FR"/>
        </w:rPr>
        <w:t>b)</w:t>
      </w:r>
      <w:r w:rsidR="006A574C" w:rsidRPr="008C52E5">
        <w:rPr>
          <w:lang w:val="fr-FR"/>
        </w:rPr>
        <w:t> </w:t>
      </w:r>
      <w:r w:rsidR="00F83F89" w:rsidRPr="008C52E5">
        <w:rPr>
          <w:lang w:val="fr-FR"/>
        </w:rPr>
        <w:t xml:space="preserve">: </w:t>
      </w:r>
      <w:r w:rsidR="006A574C" w:rsidRPr="008C52E5">
        <w:rPr>
          <w:lang w:val="fr-FR"/>
        </w:rPr>
        <w:t>« Développer les capacités nécessaires pour mener à bien le programme de travail de la Plateforme »</w:t>
      </w:r>
      <w:r w:rsidR="00F83F89" w:rsidRPr="008C52E5">
        <w:rPr>
          <w:lang w:val="fr-FR"/>
        </w:rPr>
        <w:t xml:space="preserve">. </w:t>
      </w:r>
      <w:r w:rsidR="00B503B5" w:rsidRPr="008C52E5">
        <w:rPr>
          <w:lang w:val="fr-FR"/>
        </w:rPr>
        <w:t xml:space="preserve">La Plénière a ensuite </w:t>
      </w:r>
      <w:r w:rsidR="00F84895" w:rsidRPr="008C52E5">
        <w:rPr>
          <w:lang w:val="fr-FR"/>
        </w:rPr>
        <w:t>créé</w:t>
      </w:r>
      <w:r w:rsidR="00B503B5" w:rsidRPr="008C52E5">
        <w:rPr>
          <w:lang w:val="fr-FR"/>
        </w:rPr>
        <w:t xml:space="preserve"> une équipe spéciale </w:t>
      </w:r>
      <w:r w:rsidR="00F84895" w:rsidRPr="008C52E5">
        <w:rPr>
          <w:lang w:val="fr-FR"/>
        </w:rPr>
        <w:t xml:space="preserve">chargée de l’exécution </w:t>
      </w:r>
      <w:r w:rsidR="00B503B5" w:rsidRPr="008C52E5">
        <w:rPr>
          <w:lang w:val="fr-FR"/>
        </w:rPr>
        <w:t>de ces produits, dont le mandat figure dans l’</w:t>
      </w:r>
      <w:r w:rsidR="00F83F89" w:rsidRPr="008C52E5">
        <w:rPr>
          <w:lang w:val="fr-FR"/>
        </w:rPr>
        <w:t>annex</w:t>
      </w:r>
      <w:r w:rsidR="00B503B5" w:rsidRPr="008C52E5">
        <w:rPr>
          <w:lang w:val="fr-FR"/>
        </w:rPr>
        <w:t>e </w:t>
      </w:r>
      <w:r w:rsidR="00F83F89" w:rsidRPr="008C52E5">
        <w:rPr>
          <w:lang w:val="fr-FR"/>
        </w:rPr>
        <w:t xml:space="preserve">II </w:t>
      </w:r>
      <w:r w:rsidR="00B503B5" w:rsidRPr="008C52E5">
        <w:rPr>
          <w:lang w:val="fr-FR"/>
        </w:rPr>
        <w:t>de la décision </w:t>
      </w:r>
      <w:r w:rsidR="00F83F89" w:rsidRPr="008C52E5">
        <w:rPr>
          <w:lang w:val="fr-FR"/>
        </w:rPr>
        <w:t xml:space="preserve">IPBES-2/5. </w:t>
      </w:r>
    </w:p>
    <w:p w14:paraId="21735390" w14:textId="04A76E4D" w:rsidR="00F83F89" w:rsidRPr="008C52E5" w:rsidRDefault="00F83F89" w:rsidP="0043299F">
      <w:pPr>
        <w:pStyle w:val="Normalnumber"/>
        <w:numPr>
          <w:ilvl w:val="0"/>
          <w:numId w:val="5"/>
        </w:numPr>
        <w:tabs>
          <w:tab w:val="left" w:pos="1871"/>
          <w:tab w:val="left" w:pos="2495"/>
        </w:tabs>
        <w:ind w:left="1247" w:firstLine="0"/>
        <w:rPr>
          <w:lang w:val="fr-FR"/>
        </w:rPr>
      </w:pPr>
      <w:r w:rsidRPr="008C52E5">
        <w:rPr>
          <w:lang w:val="fr-FR"/>
        </w:rPr>
        <w:t>Dur</w:t>
      </w:r>
      <w:r w:rsidR="00391E3C" w:rsidRPr="008C52E5">
        <w:rPr>
          <w:lang w:val="fr-FR"/>
        </w:rPr>
        <w:t xml:space="preserve">ant le premier programme de </w:t>
      </w:r>
      <w:r w:rsidR="00BB0E1F" w:rsidRPr="008C52E5">
        <w:rPr>
          <w:lang w:val="fr-FR"/>
        </w:rPr>
        <w:t xml:space="preserve">travail, l’équipe spéciale sur le renforcement des capacités a élaboré un plan glissant </w:t>
      </w:r>
      <w:r w:rsidR="0035049B" w:rsidRPr="008C52E5">
        <w:rPr>
          <w:lang w:val="fr-FR"/>
        </w:rPr>
        <w:t>en matière de</w:t>
      </w:r>
      <w:r w:rsidR="00BB0E1F" w:rsidRPr="008C52E5">
        <w:rPr>
          <w:lang w:val="fr-FR"/>
        </w:rPr>
        <w:t xml:space="preserve"> renforcement des capacités ayant pour objectif </w:t>
      </w:r>
      <w:r w:rsidR="0035049B" w:rsidRPr="008C52E5">
        <w:rPr>
          <w:lang w:val="fr-FR"/>
        </w:rPr>
        <w:t xml:space="preserve">de définir les principes, les orientations stratégiques, les modalités et les mesures à mettre en place pour doter les particuliers et les institutions de moyens et développer ceux-ci en se fondant sur les besoins prioritaires déterminés par la Plénière </w:t>
      </w:r>
      <w:r w:rsidR="00BB0E1F" w:rsidRPr="008C52E5">
        <w:rPr>
          <w:lang w:val="fr-FR"/>
        </w:rPr>
        <w:t>dans la décision </w:t>
      </w:r>
      <w:r w:rsidRPr="008C52E5">
        <w:rPr>
          <w:lang w:val="fr-FR"/>
        </w:rPr>
        <w:t>IP</w:t>
      </w:r>
      <w:r w:rsidR="00546FF3" w:rsidRPr="008C52E5">
        <w:rPr>
          <w:lang w:val="fr-FR"/>
        </w:rPr>
        <w:t>B</w:t>
      </w:r>
      <w:r w:rsidRPr="008C52E5">
        <w:rPr>
          <w:lang w:val="fr-FR"/>
        </w:rPr>
        <w:t xml:space="preserve">ES-3/1. </w:t>
      </w:r>
      <w:r w:rsidR="00BB0E1F" w:rsidRPr="008C52E5">
        <w:rPr>
          <w:lang w:val="fr-FR"/>
        </w:rPr>
        <w:t>Le</w:t>
      </w:r>
      <w:r w:rsidRPr="008C52E5">
        <w:rPr>
          <w:lang w:val="fr-FR"/>
        </w:rPr>
        <w:t xml:space="preserve"> </w:t>
      </w:r>
      <w:r w:rsidR="00546FF3" w:rsidRPr="008C52E5">
        <w:rPr>
          <w:lang w:val="fr-FR"/>
        </w:rPr>
        <w:t>p</w:t>
      </w:r>
      <w:r w:rsidRPr="008C52E5">
        <w:rPr>
          <w:lang w:val="fr-FR"/>
        </w:rPr>
        <w:t>lan</w:t>
      </w:r>
      <w:r w:rsidR="00BB0E1F" w:rsidRPr="008C52E5">
        <w:rPr>
          <w:lang w:val="fr-FR"/>
        </w:rPr>
        <w:t xml:space="preserve"> comprend trois stratégies </w:t>
      </w:r>
      <w:r w:rsidR="00546FF3" w:rsidRPr="008C52E5">
        <w:rPr>
          <w:lang w:val="fr-FR"/>
        </w:rPr>
        <w:t>:</w:t>
      </w:r>
      <w:r w:rsidRPr="008C52E5">
        <w:rPr>
          <w:lang w:val="fr-FR"/>
        </w:rPr>
        <w:t xml:space="preserve"> </w:t>
      </w:r>
      <w:r w:rsidR="0035049B" w:rsidRPr="008C52E5">
        <w:rPr>
          <w:lang w:val="fr-FR"/>
        </w:rPr>
        <w:t>apprentissage et participation</w:t>
      </w:r>
      <w:r w:rsidR="00F84895" w:rsidRPr="008C52E5">
        <w:rPr>
          <w:lang w:val="fr-FR"/>
        </w:rPr>
        <w:t> ;</w:t>
      </w:r>
      <w:r w:rsidR="0035049B" w:rsidRPr="008C52E5">
        <w:rPr>
          <w:lang w:val="fr-FR"/>
        </w:rPr>
        <w:t xml:space="preserve"> facilitation de l’accès aux connaissances spécialisées et à l’information</w:t>
      </w:r>
      <w:r w:rsidR="00F84895" w:rsidRPr="008C52E5">
        <w:rPr>
          <w:lang w:val="fr-FR"/>
        </w:rPr>
        <w:t> ;</w:t>
      </w:r>
      <w:r w:rsidR="0035049B" w:rsidRPr="008C52E5">
        <w:rPr>
          <w:lang w:val="fr-FR"/>
        </w:rPr>
        <w:t xml:space="preserve"> renforcement des capacités aux niveaux national et régional</w:t>
      </w:r>
      <w:r w:rsidRPr="008C52E5">
        <w:rPr>
          <w:lang w:val="fr-FR"/>
        </w:rPr>
        <w:t>.</w:t>
      </w:r>
      <w:r w:rsidR="00F84895" w:rsidRPr="008C52E5">
        <w:rPr>
          <w:lang w:val="fr-FR"/>
        </w:rPr>
        <w:t xml:space="preserve"> A</w:t>
      </w:r>
      <w:r w:rsidR="0035049B" w:rsidRPr="008C52E5">
        <w:rPr>
          <w:lang w:val="fr-FR"/>
        </w:rPr>
        <w:t>u paragraphe </w:t>
      </w:r>
      <w:r w:rsidRPr="008C52E5">
        <w:rPr>
          <w:lang w:val="fr-FR"/>
        </w:rPr>
        <w:t xml:space="preserve">1 </w:t>
      </w:r>
      <w:r w:rsidR="00E9140B">
        <w:rPr>
          <w:lang w:val="fr-FR"/>
        </w:rPr>
        <w:t>de </w:t>
      </w:r>
      <w:r w:rsidR="0035049B" w:rsidRPr="008C52E5">
        <w:rPr>
          <w:lang w:val="fr-FR"/>
        </w:rPr>
        <w:t>la</w:t>
      </w:r>
      <w:r w:rsidR="00E9140B">
        <w:rPr>
          <w:lang w:val="fr-FR"/>
        </w:rPr>
        <w:t> </w:t>
      </w:r>
      <w:r w:rsidRPr="008C52E5">
        <w:rPr>
          <w:lang w:val="fr-FR"/>
        </w:rPr>
        <w:t>section</w:t>
      </w:r>
      <w:r w:rsidR="00CE03E7" w:rsidRPr="008C52E5">
        <w:rPr>
          <w:lang w:val="fr-FR"/>
        </w:rPr>
        <w:t> </w:t>
      </w:r>
      <w:r w:rsidRPr="008C52E5">
        <w:rPr>
          <w:lang w:val="fr-FR"/>
        </w:rPr>
        <w:t xml:space="preserve">II </w:t>
      </w:r>
      <w:r w:rsidR="0035049B" w:rsidRPr="008C52E5">
        <w:rPr>
          <w:lang w:val="fr-FR"/>
        </w:rPr>
        <w:t xml:space="preserve">de </w:t>
      </w:r>
      <w:r w:rsidR="00F84895" w:rsidRPr="008C52E5">
        <w:rPr>
          <w:lang w:val="fr-FR"/>
        </w:rPr>
        <w:t>s</w:t>
      </w:r>
      <w:r w:rsidR="0035049B" w:rsidRPr="008C52E5">
        <w:rPr>
          <w:lang w:val="fr-FR"/>
        </w:rPr>
        <w:t>a décision </w:t>
      </w:r>
      <w:r w:rsidRPr="008C52E5">
        <w:rPr>
          <w:lang w:val="fr-FR"/>
        </w:rPr>
        <w:t xml:space="preserve">IPBES-5/1, </w:t>
      </w:r>
      <w:r w:rsidR="00F84895" w:rsidRPr="008C52E5">
        <w:rPr>
          <w:lang w:val="fr-FR"/>
        </w:rPr>
        <w:t xml:space="preserve">la Plénière </w:t>
      </w:r>
      <w:r w:rsidR="0035049B" w:rsidRPr="008C52E5">
        <w:rPr>
          <w:lang w:val="fr-FR"/>
        </w:rPr>
        <w:t>a accueilli avec satisfaction le plan</w:t>
      </w:r>
      <w:r w:rsidRPr="008C52E5">
        <w:rPr>
          <w:lang w:val="fr-FR"/>
        </w:rPr>
        <w:t xml:space="preserve"> </w:t>
      </w:r>
      <w:r w:rsidR="00E9140B">
        <w:rPr>
          <w:lang w:val="fr-FR"/>
        </w:rPr>
        <w:t>ainsi que son </w:t>
      </w:r>
      <w:r w:rsidR="0035049B" w:rsidRPr="008C52E5">
        <w:rPr>
          <w:lang w:val="fr-FR"/>
        </w:rPr>
        <w:t>résumé analytique</w:t>
      </w:r>
      <w:r w:rsidRPr="008C52E5">
        <w:rPr>
          <w:lang w:val="fr-FR"/>
        </w:rPr>
        <w:t>.</w:t>
      </w:r>
      <w:r w:rsidR="0035049B" w:rsidRPr="008C52E5">
        <w:rPr>
          <w:lang w:val="fr-FR"/>
        </w:rPr>
        <w:t xml:space="preserve"> Le plan a été continuellement actualisé par l’équipe spéciale dans le cadre d’activités à l’appui de la mise en œuvre des trois stratégies</w:t>
      </w:r>
      <w:r w:rsidR="00F84895" w:rsidRPr="008C52E5">
        <w:rPr>
          <w:lang w:val="fr-FR"/>
        </w:rPr>
        <w:t>.</w:t>
      </w:r>
    </w:p>
    <w:p w14:paraId="6059856A" w14:textId="3D02708B" w:rsidR="00F83F89" w:rsidRPr="008C52E5" w:rsidRDefault="0035049B" w:rsidP="0043299F">
      <w:pPr>
        <w:pStyle w:val="Normalnumber"/>
        <w:numPr>
          <w:ilvl w:val="0"/>
          <w:numId w:val="5"/>
        </w:numPr>
        <w:tabs>
          <w:tab w:val="left" w:pos="1871"/>
          <w:tab w:val="left" w:pos="2495"/>
        </w:tabs>
        <w:ind w:left="1247" w:firstLine="0"/>
        <w:rPr>
          <w:lang w:val="fr-FR"/>
        </w:rPr>
      </w:pPr>
      <w:r w:rsidRPr="008C52E5">
        <w:rPr>
          <w:lang w:val="fr-FR"/>
        </w:rPr>
        <w:t xml:space="preserve">La </w:t>
      </w:r>
      <w:r w:rsidR="002A546C" w:rsidRPr="008C52E5">
        <w:rPr>
          <w:lang w:val="fr-FR"/>
        </w:rPr>
        <w:t>collaboration avec</w:t>
      </w:r>
      <w:r w:rsidRPr="008C52E5">
        <w:rPr>
          <w:lang w:val="fr-FR"/>
        </w:rPr>
        <w:t xml:space="preserve"> des institutions scientifiques</w:t>
      </w:r>
      <w:r w:rsidR="002A546C" w:rsidRPr="008C52E5">
        <w:rPr>
          <w:lang w:val="fr-FR"/>
        </w:rPr>
        <w:t xml:space="preserve"> nationales, rég</w:t>
      </w:r>
      <w:r w:rsidR="00E9140B">
        <w:rPr>
          <w:lang w:val="fr-FR"/>
        </w:rPr>
        <w:t>ionales et internationales, des </w:t>
      </w:r>
      <w:r w:rsidR="002A546C" w:rsidRPr="008C52E5">
        <w:rPr>
          <w:lang w:val="fr-FR"/>
        </w:rPr>
        <w:t xml:space="preserve">centres d’excellence et des institutions reconnues pour leur expertise, </w:t>
      </w:r>
      <w:r w:rsidR="00AC2F12" w:rsidRPr="008C52E5">
        <w:rPr>
          <w:lang w:val="fr-FR"/>
        </w:rPr>
        <w:t>comprenant</w:t>
      </w:r>
      <w:r w:rsidR="002A546C" w:rsidRPr="008C52E5">
        <w:rPr>
          <w:lang w:val="fr-FR"/>
        </w:rPr>
        <w:t xml:space="preserve"> des experts en</w:t>
      </w:r>
      <w:r w:rsidR="00E9140B">
        <w:rPr>
          <w:lang w:val="fr-FR"/>
        </w:rPr>
        <w:t> </w:t>
      </w:r>
      <w:r w:rsidR="002A546C" w:rsidRPr="008C52E5">
        <w:rPr>
          <w:lang w:val="fr-FR"/>
        </w:rPr>
        <w:t xml:space="preserve">savoirs autochtones et locaux </w:t>
      </w:r>
      <w:r w:rsidR="00C15203" w:rsidRPr="008C52E5">
        <w:rPr>
          <w:lang w:val="fr-FR"/>
        </w:rPr>
        <w:t>sur</w:t>
      </w:r>
      <w:r w:rsidR="002A546C" w:rsidRPr="008C52E5">
        <w:rPr>
          <w:lang w:val="fr-FR"/>
        </w:rPr>
        <w:t xml:space="preserve"> des questions liées aux fonctions et au programme de travail de </w:t>
      </w:r>
      <w:r w:rsidR="00944F83" w:rsidRPr="008C52E5">
        <w:rPr>
          <w:lang w:val="fr-FR"/>
        </w:rPr>
        <w:t>la Plateforme</w:t>
      </w:r>
      <w:r w:rsidR="00F84895" w:rsidRPr="008C52E5">
        <w:rPr>
          <w:lang w:val="fr-FR"/>
        </w:rPr>
        <w:t>, a constitué une composante clef</w:t>
      </w:r>
      <w:r w:rsidR="00F84B95" w:rsidRPr="008C52E5">
        <w:rPr>
          <w:lang w:val="fr-FR"/>
        </w:rPr>
        <w:t xml:space="preserve"> des travaux de </w:t>
      </w:r>
      <w:r w:rsidR="00C15203" w:rsidRPr="008C52E5">
        <w:rPr>
          <w:lang w:val="fr-FR"/>
        </w:rPr>
        <w:t>cette dernière</w:t>
      </w:r>
      <w:r w:rsidR="00F84B95" w:rsidRPr="008C52E5">
        <w:rPr>
          <w:lang w:val="fr-FR"/>
        </w:rPr>
        <w:t xml:space="preserve"> en matière de renforcement des capacités.</w:t>
      </w:r>
      <w:r w:rsidR="00F83F89" w:rsidRPr="008C52E5">
        <w:rPr>
          <w:lang w:val="fr-FR" w:eastAsia="nb-NO"/>
        </w:rPr>
        <w:t xml:space="preserve"> </w:t>
      </w:r>
      <w:r w:rsidR="00F84B95" w:rsidRPr="008C52E5">
        <w:rPr>
          <w:lang w:val="fr-FR" w:eastAsia="nb-NO"/>
        </w:rPr>
        <w:t>Conformément</w:t>
      </w:r>
      <w:r w:rsidR="00F83F89" w:rsidRPr="008C52E5">
        <w:rPr>
          <w:lang w:val="fr-FR" w:eastAsia="nb-NO"/>
        </w:rPr>
        <w:t xml:space="preserve"> </w:t>
      </w:r>
      <w:r w:rsidR="00F84B95" w:rsidRPr="008C52E5">
        <w:rPr>
          <w:lang w:val="fr-FR" w:eastAsia="nb-NO"/>
        </w:rPr>
        <w:t>aux orientations concernant l’établissement de partenariats stratégiques et autres accords de collaboration</w:t>
      </w:r>
      <w:r w:rsidR="00F83F89" w:rsidRPr="008C52E5">
        <w:rPr>
          <w:szCs w:val="18"/>
          <w:vertAlign w:val="superscript"/>
          <w:lang w:val="fr-FR" w:eastAsia="nb-NO"/>
        </w:rPr>
        <w:footnoteReference w:id="6"/>
      </w:r>
      <w:r w:rsidR="00F84B95" w:rsidRPr="008C52E5">
        <w:rPr>
          <w:lang w:val="fr-FR" w:eastAsia="nb-NO"/>
        </w:rPr>
        <w:t>,</w:t>
      </w:r>
      <w:r w:rsidR="00F83F89" w:rsidRPr="008C52E5">
        <w:rPr>
          <w:lang w:val="fr-FR" w:eastAsia="nb-NO"/>
        </w:rPr>
        <w:t xml:space="preserve"> </w:t>
      </w:r>
      <w:r w:rsidR="00F84B95" w:rsidRPr="008C52E5">
        <w:rPr>
          <w:lang w:val="fr-FR" w:eastAsia="nb-NO"/>
        </w:rPr>
        <w:t>l’équipe spéciale s’est efforcée d’éclairer et éventuellement d’influencer les priorités de ces entités</w:t>
      </w:r>
      <w:r w:rsidR="00F83F89" w:rsidRPr="008C52E5">
        <w:rPr>
          <w:lang w:val="fr-FR" w:eastAsia="nb-NO"/>
        </w:rPr>
        <w:t>,</w:t>
      </w:r>
      <w:r w:rsidR="00F84B95" w:rsidRPr="008C52E5">
        <w:rPr>
          <w:lang w:val="fr-FR" w:eastAsia="nb-NO"/>
        </w:rPr>
        <w:t xml:space="preserve"> de promouvoir </w:t>
      </w:r>
      <w:r w:rsidR="00740824" w:rsidRPr="008C52E5">
        <w:rPr>
          <w:lang w:val="fr-FR" w:eastAsia="nb-NO"/>
        </w:rPr>
        <w:t xml:space="preserve">une coopération et une coordination entre elles et de reconnaître ce que ces entités produisent ou font </w:t>
      </w:r>
      <w:r w:rsidR="00C15203" w:rsidRPr="008C52E5">
        <w:rPr>
          <w:lang w:val="fr-FR" w:eastAsia="nb-NO"/>
        </w:rPr>
        <w:t>pour contribuer</w:t>
      </w:r>
      <w:r w:rsidR="00740824" w:rsidRPr="008C52E5">
        <w:rPr>
          <w:lang w:val="fr-FR" w:eastAsia="nb-NO"/>
        </w:rPr>
        <w:t xml:space="preserve"> aux travaux de </w:t>
      </w:r>
      <w:r w:rsidR="00944F83" w:rsidRPr="008C52E5">
        <w:rPr>
          <w:lang w:val="fr-FR" w:eastAsia="nb-NO"/>
        </w:rPr>
        <w:t xml:space="preserve">la Plateforme </w:t>
      </w:r>
      <w:r w:rsidR="00740824" w:rsidRPr="008C52E5">
        <w:rPr>
          <w:lang w:val="fr-FR" w:eastAsia="nb-NO"/>
        </w:rPr>
        <w:t>en matière de renforcement des capacités</w:t>
      </w:r>
      <w:r w:rsidR="00F83F89" w:rsidRPr="008C52E5">
        <w:rPr>
          <w:lang w:val="fr-FR" w:eastAsia="nb-NO"/>
        </w:rPr>
        <w:t xml:space="preserve">. </w:t>
      </w:r>
      <w:r w:rsidR="00740824" w:rsidRPr="008C52E5">
        <w:rPr>
          <w:lang w:val="fr-FR" w:eastAsia="nb-NO"/>
        </w:rPr>
        <w:t xml:space="preserve">La principale plateforme </w:t>
      </w:r>
      <w:r w:rsidR="00F84895" w:rsidRPr="008C52E5">
        <w:rPr>
          <w:lang w:val="fr-FR" w:eastAsia="nb-NO"/>
        </w:rPr>
        <w:t>de</w:t>
      </w:r>
      <w:r w:rsidR="00740824" w:rsidRPr="008C52E5">
        <w:rPr>
          <w:lang w:val="fr-FR" w:eastAsia="nb-NO"/>
        </w:rPr>
        <w:t xml:space="preserve"> diffusion des informations à ces entités et </w:t>
      </w:r>
      <w:r w:rsidR="00F84895" w:rsidRPr="008C52E5">
        <w:rPr>
          <w:lang w:val="fr-FR" w:eastAsia="nb-NO"/>
        </w:rPr>
        <w:t>de</w:t>
      </w:r>
      <w:r w:rsidR="00740824" w:rsidRPr="008C52E5">
        <w:rPr>
          <w:lang w:val="fr-FR" w:eastAsia="nb-NO"/>
        </w:rPr>
        <w:t xml:space="preserve"> promotion de la coopération entre elles a été le forum sur le renforcement des capacités de la Plateforme</w:t>
      </w:r>
      <w:r w:rsidR="005E0F0F" w:rsidRPr="008C52E5">
        <w:rPr>
          <w:lang w:val="fr-FR" w:eastAsia="nb-NO"/>
        </w:rPr>
        <w:t>, qui fait partie des</w:t>
      </w:r>
      <w:r w:rsidR="00740824" w:rsidRPr="008C52E5">
        <w:rPr>
          <w:lang w:val="fr-FR" w:eastAsia="nb-NO"/>
        </w:rPr>
        <w:t xml:space="preserve"> fonctions de </w:t>
      </w:r>
      <w:r w:rsidR="00C15203" w:rsidRPr="008C52E5">
        <w:rPr>
          <w:lang w:val="fr-FR" w:eastAsia="nb-NO"/>
        </w:rPr>
        <w:t>cette dernière</w:t>
      </w:r>
      <w:r w:rsidR="00944F83" w:rsidRPr="008C52E5">
        <w:rPr>
          <w:lang w:val="fr-FR" w:eastAsia="nb-NO"/>
        </w:rPr>
        <w:t xml:space="preserve"> </w:t>
      </w:r>
      <w:r w:rsidR="00740824" w:rsidRPr="008C52E5">
        <w:rPr>
          <w:lang w:val="fr-FR" w:eastAsia="nb-NO"/>
        </w:rPr>
        <w:t>en matière de renforcement des capacités</w:t>
      </w:r>
      <w:r w:rsidR="005E0F0F" w:rsidRPr="008C52E5">
        <w:rPr>
          <w:lang w:val="fr-FR" w:eastAsia="nb-NO"/>
        </w:rPr>
        <w:t xml:space="preserve"> figurant</w:t>
      </w:r>
      <w:r w:rsidR="00740824" w:rsidRPr="008C52E5">
        <w:rPr>
          <w:lang w:val="fr-FR" w:eastAsia="nb-NO"/>
        </w:rPr>
        <w:t xml:space="preserve"> dans </w:t>
      </w:r>
      <w:r w:rsidR="005E0F0F" w:rsidRPr="008C52E5">
        <w:rPr>
          <w:lang w:val="fr-FR" w:eastAsia="nb-NO"/>
        </w:rPr>
        <w:t>la</w:t>
      </w:r>
      <w:r w:rsidR="003475A3" w:rsidRPr="008C52E5">
        <w:rPr>
          <w:lang w:val="fr-FR" w:eastAsia="nb-NO"/>
        </w:rPr>
        <w:t xml:space="preserve"> résolution portant création</w:t>
      </w:r>
      <w:r w:rsidR="005E0F0F" w:rsidRPr="008C52E5">
        <w:rPr>
          <w:lang w:val="fr-FR" w:eastAsia="nb-NO"/>
        </w:rPr>
        <w:t xml:space="preserve"> de la Plateforme</w:t>
      </w:r>
      <w:r w:rsidR="00F83F89" w:rsidRPr="008C52E5">
        <w:rPr>
          <w:lang w:val="fr-FR" w:eastAsia="nb-NO"/>
        </w:rPr>
        <w:t>.</w:t>
      </w:r>
      <w:r w:rsidR="003475A3" w:rsidRPr="008C52E5">
        <w:rPr>
          <w:lang w:val="fr-FR" w:eastAsia="nb-NO"/>
        </w:rPr>
        <w:t xml:space="preserve"> L’expérience du premier programme de travail a montré que la collaboration avec d’autres entités représentait un élément crucial des travaux de </w:t>
      </w:r>
      <w:r w:rsidR="00944F83" w:rsidRPr="008C52E5">
        <w:rPr>
          <w:lang w:val="fr-FR" w:eastAsia="nb-NO"/>
        </w:rPr>
        <w:t xml:space="preserve">la Plateforme </w:t>
      </w:r>
      <w:r w:rsidR="00582256" w:rsidRPr="008C52E5">
        <w:rPr>
          <w:lang w:val="fr-FR" w:eastAsia="nb-NO"/>
        </w:rPr>
        <w:t>et devrait être renforcée à l’avenir</w:t>
      </w:r>
      <w:r w:rsidR="00F83F89" w:rsidRPr="008C52E5">
        <w:rPr>
          <w:lang w:val="fr-FR" w:eastAsia="nb-NO"/>
        </w:rPr>
        <w:t xml:space="preserve">. </w:t>
      </w:r>
    </w:p>
    <w:p w14:paraId="656025FF" w14:textId="79A35446" w:rsidR="00F83F89" w:rsidRPr="008C52E5" w:rsidRDefault="00D10E6A" w:rsidP="0043299F">
      <w:pPr>
        <w:pStyle w:val="Normalnumber"/>
        <w:numPr>
          <w:ilvl w:val="0"/>
          <w:numId w:val="5"/>
        </w:numPr>
        <w:tabs>
          <w:tab w:val="left" w:pos="1871"/>
          <w:tab w:val="left" w:pos="2495"/>
        </w:tabs>
        <w:ind w:left="1247" w:firstLine="0"/>
        <w:rPr>
          <w:lang w:val="fr-FR"/>
        </w:rPr>
      </w:pPr>
      <w:r w:rsidRPr="008C52E5">
        <w:rPr>
          <w:lang w:val="fr-FR" w:eastAsia="nb-NO"/>
        </w:rPr>
        <w:t xml:space="preserve">Pour le prochain programme de travail de </w:t>
      </w:r>
      <w:r w:rsidR="00944F83" w:rsidRPr="008C52E5">
        <w:rPr>
          <w:lang w:val="fr-FR" w:eastAsia="nb-NO"/>
        </w:rPr>
        <w:t>la Plateforme</w:t>
      </w:r>
      <w:r w:rsidRPr="008C52E5">
        <w:rPr>
          <w:lang w:val="fr-FR" w:eastAsia="nb-NO"/>
        </w:rPr>
        <w:t>, il est donc recommandé</w:t>
      </w:r>
      <w:r w:rsidR="00C11B6E" w:rsidRPr="008C52E5">
        <w:rPr>
          <w:lang w:val="fr-FR" w:eastAsia="nb-NO"/>
        </w:rPr>
        <w:t xml:space="preserve"> que </w:t>
      </w:r>
      <w:r w:rsidR="001249A8" w:rsidRPr="008C52E5">
        <w:rPr>
          <w:lang w:val="fr-FR" w:eastAsia="nb-NO"/>
        </w:rPr>
        <w:t>d</w:t>
      </w:r>
      <w:r w:rsidR="00C11B6E" w:rsidRPr="008C52E5">
        <w:rPr>
          <w:lang w:val="fr-FR" w:eastAsia="nb-NO"/>
        </w:rPr>
        <w:t xml:space="preserve">es représentants de ces entités soient </w:t>
      </w:r>
      <w:r w:rsidR="001249A8" w:rsidRPr="008C52E5">
        <w:rPr>
          <w:lang w:val="fr-FR" w:eastAsia="nb-NO"/>
        </w:rPr>
        <w:t xml:space="preserve">inclus </w:t>
      </w:r>
      <w:r w:rsidR="00263DE1" w:rsidRPr="008C52E5">
        <w:rPr>
          <w:lang w:val="fr-FR" w:eastAsia="nb-NO"/>
        </w:rPr>
        <w:t>au sein de</w:t>
      </w:r>
      <w:r w:rsidR="00C11B6E" w:rsidRPr="008C52E5">
        <w:rPr>
          <w:lang w:val="fr-FR" w:eastAsia="nb-NO"/>
        </w:rPr>
        <w:t xml:space="preserve"> l’équipe spéciale sur le renforcement des capacités</w:t>
      </w:r>
      <w:r w:rsidR="00F83F89" w:rsidRPr="008C52E5">
        <w:rPr>
          <w:lang w:val="fr-FR" w:eastAsia="nb-NO"/>
        </w:rPr>
        <w:t>.</w:t>
      </w:r>
      <w:r w:rsidR="00C11B6E" w:rsidRPr="008C52E5">
        <w:rPr>
          <w:lang w:val="fr-FR" w:eastAsia="nb-NO"/>
        </w:rPr>
        <w:t xml:space="preserve"> Il est également recommandé que les travaux liés au renforcement des capacités soient orientés par le</w:t>
      </w:r>
      <w:r w:rsidR="00F83F89" w:rsidRPr="008C52E5">
        <w:rPr>
          <w:lang w:val="fr-FR" w:eastAsia="nb-NO"/>
        </w:rPr>
        <w:t xml:space="preserve"> </w:t>
      </w:r>
      <w:r w:rsidR="00C11B6E" w:rsidRPr="008C52E5">
        <w:rPr>
          <w:lang w:val="fr-FR" w:eastAsia="nb-NO"/>
        </w:rPr>
        <w:t xml:space="preserve">plan glissant en matière de renforcement des capacités </w:t>
      </w:r>
      <w:r w:rsidR="00263DE1" w:rsidRPr="008C52E5">
        <w:rPr>
          <w:lang w:val="fr-FR" w:eastAsia="nb-NO"/>
        </w:rPr>
        <w:t xml:space="preserve">qui est </w:t>
      </w:r>
      <w:r w:rsidR="00C11B6E" w:rsidRPr="008C52E5">
        <w:rPr>
          <w:lang w:val="fr-FR" w:eastAsia="nb-NO"/>
        </w:rPr>
        <w:t>continuellement actualisé</w:t>
      </w:r>
      <w:r w:rsidR="00F83F89" w:rsidRPr="008C52E5">
        <w:rPr>
          <w:szCs w:val="18"/>
          <w:vertAlign w:val="superscript"/>
          <w:lang w:val="fr-FR" w:eastAsia="nb-NO"/>
        </w:rPr>
        <w:footnoteReference w:id="7"/>
      </w:r>
      <w:r w:rsidR="00F83F89" w:rsidRPr="008C52E5">
        <w:rPr>
          <w:lang w:val="fr-FR" w:eastAsia="nb-NO"/>
        </w:rPr>
        <w:t xml:space="preserve"> </w:t>
      </w:r>
      <w:r w:rsidR="00C11B6E" w:rsidRPr="008C52E5">
        <w:rPr>
          <w:lang w:val="fr-FR" w:eastAsia="nb-NO"/>
        </w:rPr>
        <w:t>et que le</w:t>
      </w:r>
      <w:r w:rsidR="00F83F89" w:rsidRPr="008C52E5">
        <w:rPr>
          <w:lang w:val="fr-FR" w:eastAsia="nb-NO"/>
        </w:rPr>
        <w:t xml:space="preserve"> </w:t>
      </w:r>
      <w:r w:rsidR="00C11B6E" w:rsidRPr="008C52E5">
        <w:rPr>
          <w:lang w:val="fr-FR" w:eastAsia="nb-NO"/>
        </w:rPr>
        <w:t xml:space="preserve">forum sur le renforcement des capacités de la Plateforme soit développé afin de promouvoir les travaux de </w:t>
      </w:r>
      <w:r w:rsidR="00944F83" w:rsidRPr="008C52E5">
        <w:rPr>
          <w:lang w:val="fr-FR" w:eastAsia="nb-NO"/>
        </w:rPr>
        <w:t xml:space="preserve">la Plateforme </w:t>
      </w:r>
      <w:r w:rsidR="00C11B6E" w:rsidRPr="008C52E5">
        <w:rPr>
          <w:lang w:val="fr-FR" w:eastAsia="nb-NO"/>
        </w:rPr>
        <w:t>et de renforcer l’appui</w:t>
      </w:r>
      <w:r w:rsidR="00FF69EB" w:rsidRPr="008C52E5">
        <w:rPr>
          <w:lang w:val="fr-FR" w:eastAsia="nb-NO"/>
        </w:rPr>
        <w:t xml:space="preserve"> </w:t>
      </w:r>
      <w:r w:rsidR="00263DE1" w:rsidRPr="008C52E5">
        <w:rPr>
          <w:lang w:val="fr-FR" w:eastAsia="nb-NO"/>
        </w:rPr>
        <w:t xml:space="preserve">apporté par </w:t>
      </w:r>
      <w:r w:rsidR="00FF69EB" w:rsidRPr="008C52E5">
        <w:rPr>
          <w:lang w:val="fr-FR" w:eastAsia="nb-NO"/>
        </w:rPr>
        <w:t>d’autres entités à ses travaux</w:t>
      </w:r>
      <w:r w:rsidR="00F83F89" w:rsidRPr="008C52E5">
        <w:rPr>
          <w:lang w:val="fr-FR" w:eastAsia="nb-NO"/>
        </w:rPr>
        <w:t xml:space="preserve">. </w:t>
      </w:r>
    </w:p>
    <w:p w14:paraId="6A4AACD8" w14:textId="77777777" w:rsidR="005C1C71" w:rsidRDefault="00FF69EB" w:rsidP="0043299F">
      <w:pPr>
        <w:pStyle w:val="Normalnumber"/>
        <w:numPr>
          <w:ilvl w:val="0"/>
          <w:numId w:val="5"/>
        </w:numPr>
        <w:tabs>
          <w:tab w:val="left" w:pos="1871"/>
          <w:tab w:val="left" w:pos="2495"/>
        </w:tabs>
        <w:ind w:left="1247" w:firstLine="0"/>
        <w:rPr>
          <w:lang w:val="fr-FR"/>
        </w:rPr>
      </w:pPr>
      <w:r w:rsidRPr="008C52E5">
        <w:rPr>
          <w:lang w:val="fr-FR"/>
        </w:rPr>
        <w:t>Cet objectif comprendra l’organisation de réunions</w:t>
      </w:r>
      <w:r w:rsidR="00F83F89" w:rsidRPr="008C52E5">
        <w:rPr>
          <w:lang w:val="fr-FR"/>
        </w:rPr>
        <w:t xml:space="preserve"> </w:t>
      </w:r>
      <w:r w:rsidRPr="008C52E5">
        <w:rPr>
          <w:lang w:val="fr-FR"/>
        </w:rPr>
        <w:t>ordinaires du forum sur le renforcement des capacités visant à améliorer la collaboration avec d’autres organisations dans le cadre de la mise en œuvre du plan glissant</w:t>
      </w:r>
      <w:r w:rsidR="00F83F89" w:rsidRPr="008C52E5">
        <w:rPr>
          <w:lang w:val="fr-FR"/>
        </w:rPr>
        <w:t>.</w:t>
      </w:r>
      <w:r w:rsidR="00263DE1" w:rsidRPr="008C52E5">
        <w:rPr>
          <w:lang w:val="fr-FR"/>
        </w:rPr>
        <w:t xml:space="preserve"> </w:t>
      </w:r>
    </w:p>
    <w:p w14:paraId="1E0AE2FD" w14:textId="77777777" w:rsidR="005C1C71" w:rsidRDefault="005C1C71">
      <w:pPr>
        <w:spacing w:after="0" w:line="240" w:lineRule="auto"/>
        <w:rPr>
          <w:rFonts w:ascii="Times New Roman" w:eastAsia="Times New Roman" w:hAnsi="Times New Roman"/>
          <w:sz w:val="20"/>
          <w:szCs w:val="20"/>
          <w:lang w:val="fr-FR"/>
        </w:rPr>
      </w:pPr>
      <w:r>
        <w:rPr>
          <w:lang w:val="fr-FR"/>
        </w:rPr>
        <w:br w:type="page"/>
      </w:r>
    </w:p>
    <w:p w14:paraId="349E9675" w14:textId="7ED96018" w:rsidR="00F83F89" w:rsidRPr="008C52E5" w:rsidRDefault="00263DE1" w:rsidP="005C1C71">
      <w:pPr>
        <w:pStyle w:val="Normalnumber"/>
        <w:numPr>
          <w:ilvl w:val="0"/>
          <w:numId w:val="0"/>
        </w:numPr>
        <w:tabs>
          <w:tab w:val="left" w:pos="1871"/>
          <w:tab w:val="left" w:pos="2495"/>
        </w:tabs>
        <w:ind w:left="1247"/>
        <w:rPr>
          <w:lang w:val="fr-FR" w:eastAsia="en-GB"/>
        </w:rPr>
      </w:pPr>
      <w:r w:rsidRPr="008C52E5">
        <w:rPr>
          <w:lang w:val="fr-FR"/>
        </w:rPr>
        <w:t xml:space="preserve">Il comprendra également la mise au point </w:t>
      </w:r>
      <w:r w:rsidR="00FF69EB" w:rsidRPr="008C52E5">
        <w:rPr>
          <w:lang w:val="fr-FR"/>
        </w:rPr>
        <w:t xml:space="preserve">d’un portail dédié au renforcement des capacités sur le site Web de </w:t>
      </w:r>
      <w:r w:rsidR="00944F83" w:rsidRPr="008C52E5">
        <w:rPr>
          <w:lang w:val="fr-FR"/>
        </w:rPr>
        <w:t xml:space="preserve">la Plateforme </w:t>
      </w:r>
      <w:r w:rsidR="00FF69EB" w:rsidRPr="008C52E5">
        <w:rPr>
          <w:lang w:val="fr-FR" w:eastAsia="en-GB"/>
        </w:rPr>
        <w:t>visant à rendre compte des activités en cours et des contributions</w:t>
      </w:r>
      <w:r w:rsidR="005C1C71">
        <w:rPr>
          <w:lang w:val="fr-FR" w:eastAsia="en-GB"/>
        </w:rPr>
        <w:t xml:space="preserve"> ainsi qu’à </w:t>
      </w:r>
      <w:r w:rsidR="0089419C" w:rsidRPr="008C52E5">
        <w:rPr>
          <w:lang w:val="fr-FR" w:eastAsia="en-GB"/>
        </w:rPr>
        <w:t>faciliter la participation aux travaux en matière de renforcement des capacités</w:t>
      </w:r>
      <w:r w:rsidR="00F83F89" w:rsidRPr="008C52E5">
        <w:rPr>
          <w:lang w:val="fr-FR" w:eastAsia="en-GB"/>
        </w:rPr>
        <w:t>.</w:t>
      </w:r>
    </w:p>
    <w:p w14:paraId="42FED2C8" w14:textId="373AAAC1" w:rsidR="00F83F89" w:rsidRPr="008C52E5" w:rsidRDefault="00207DCC" w:rsidP="0043299F">
      <w:pPr>
        <w:pStyle w:val="Normalnumber"/>
        <w:numPr>
          <w:ilvl w:val="0"/>
          <w:numId w:val="5"/>
        </w:numPr>
        <w:tabs>
          <w:tab w:val="left" w:pos="1871"/>
          <w:tab w:val="left" w:pos="2495"/>
        </w:tabs>
        <w:ind w:left="1247" w:firstLine="0"/>
        <w:rPr>
          <w:lang w:val="fr-FR" w:eastAsia="en-GB"/>
        </w:rPr>
      </w:pPr>
      <w:r w:rsidRPr="008C52E5">
        <w:rPr>
          <w:lang w:val="fr-FR" w:eastAsia="en-GB"/>
        </w:rPr>
        <w:t xml:space="preserve">Les travaux liés au renforcement des capacités dans le cadre des trois produits vont également être étendus </w:t>
      </w:r>
      <w:r w:rsidR="00DB2129" w:rsidRPr="008C52E5">
        <w:rPr>
          <w:lang w:val="fr-FR" w:eastAsia="en-GB"/>
        </w:rPr>
        <w:t>de façon à inclure</w:t>
      </w:r>
      <w:r w:rsidRPr="008C52E5">
        <w:rPr>
          <w:lang w:val="fr-FR" w:eastAsia="en-GB"/>
        </w:rPr>
        <w:t xml:space="preserve"> tout nouveau sujet approuvé par la Plénière après les deuxième et troisième appels à demandes, contributions et suggestions</w:t>
      </w:r>
      <w:r w:rsidR="00F83F89" w:rsidRPr="008C52E5">
        <w:rPr>
          <w:lang w:val="fr-FR" w:eastAsia="en-GB"/>
        </w:rPr>
        <w:t xml:space="preserve">. </w:t>
      </w:r>
    </w:p>
    <w:p w14:paraId="44E9190C" w14:textId="052EE4FC" w:rsidR="00F83F89" w:rsidRPr="008C52E5" w:rsidRDefault="00207DCC" w:rsidP="0043299F">
      <w:pPr>
        <w:pStyle w:val="Normalnumber"/>
        <w:numPr>
          <w:ilvl w:val="0"/>
          <w:numId w:val="5"/>
        </w:numPr>
        <w:tabs>
          <w:tab w:val="left" w:pos="1871"/>
          <w:tab w:val="left" w:pos="2495"/>
        </w:tabs>
        <w:ind w:left="1247" w:firstLine="0"/>
        <w:rPr>
          <w:lang w:val="fr-FR" w:eastAsia="en-GB"/>
        </w:rPr>
      </w:pPr>
      <w:r w:rsidRPr="008C52E5">
        <w:rPr>
          <w:lang w:val="fr-FR" w:eastAsia="en-GB"/>
        </w:rPr>
        <w:t xml:space="preserve">Un aperçu des travaux entrepris depuis la sixième session de la Plénière ainsi que les mesures proposées pour </w:t>
      </w:r>
      <w:r w:rsidR="00F83F89" w:rsidRPr="008C52E5">
        <w:rPr>
          <w:lang w:val="fr-FR" w:eastAsia="en-GB"/>
        </w:rPr>
        <w:t xml:space="preserve">2019 </w:t>
      </w:r>
      <w:r w:rsidRPr="008C52E5">
        <w:rPr>
          <w:lang w:val="fr-FR" w:eastAsia="en-GB"/>
        </w:rPr>
        <w:t>et</w:t>
      </w:r>
      <w:r w:rsidR="00F83F89" w:rsidRPr="008C52E5">
        <w:rPr>
          <w:lang w:val="fr-FR" w:eastAsia="en-GB"/>
        </w:rPr>
        <w:t xml:space="preserve"> 2020 </w:t>
      </w:r>
      <w:r w:rsidRPr="008C52E5">
        <w:rPr>
          <w:lang w:val="fr-FR" w:eastAsia="en-GB"/>
        </w:rPr>
        <w:t>sont présentés dans le</w:t>
      </w:r>
      <w:r w:rsidR="00F83F89" w:rsidRPr="008C52E5">
        <w:rPr>
          <w:lang w:val="fr-FR" w:eastAsia="en-GB"/>
        </w:rPr>
        <w:t xml:space="preserve"> document IPBES/7/INF/7.</w:t>
      </w:r>
      <w:r w:rsidR="0036184F" w:rsidRPr="008C52E5">
        <w:rPr>
          <w:lang w:val="fr-FR" w:eastAsia="en-GB"/>
        </w:rPr>
        <w:t xml:space="preserve"> </w:t>
      </w:r>
    </w:p>
    <w:p w14:paraId="3D72CBC2" w14:textId="16BD1646" w:rsidR="00E60887" w:rsidRPr="008C52E5" w:rsidRDefault="00270837" w:rsidP="0044443E">
      <w:pPr>
        <w:pStyle w:val="CH3"/>
        <w:tabs>
          <w:tab w:val="clear" w:pos="851"/>
        </w:tabs>
        <w:ind w:hanging="680"/>
        <w:rPr>
          <w:lang w:val="fr-FR"/>
        </w:rPr>
      </w:pPr>
      <w:r w:rsidRPr="008C52E5">
        <w:rPr>
          <w:rFonts w:eastAsia="SimSun"/>
          <w:lang w:val="fr-FR" w:eastAsia="zh-CN"/>
        </w:rPr>
        <w:t>1</w:t>
      </w:r>
      <w:r w:rsidR="00E63AFB" w:rsidRPr="008C52E5">
        <w:rPr>
          <w:rFonts w:eastAsia="SimSun"/>
          <w:lang w:val="fr-FR" w:eastAsia="zh-CN"/>
        </w:rPr>
        <w:t>.</w:t>
      </w:r>
      <w:r w:rsidR="00E63AFB" w:rsidRPr="008C52E5">
        <w:rPr>
          <w:rFonts w:eastAsia="SimSun"/>
          <w:lang w:val="fr-FR" w:eastAsia="zh-CN"/>
        </w:rPr>
        <w:tab/>
      </w:r>
      <w:r w:rsidR="00207DCC" w:rsidRPr="008C52E5">
        <w:rPr>
          <w:rFonts w:eastAsia="SimSun"/>
          <w:lang w:val="fr-FR" w:eastAsia="zh-CN"/>
        </w:rPr>
        <w:t>Hypothèses et dispositions institutionnelles</w:t>
      </w:r>
    </w:p>
    <w:p w14:paraId="77FFA89D" w14:textId="165A4263" w:rsidR="00931329" w:rsidRPr="008C52E5" w:rsidRDefault="00207DCC" w:rsidP="0044443E">
      <w:pPr>
        <w:pStyle w:val="Normalnumber"/>
        <w:numPr>
          <w:ilvl w:val="0"/>
          <w:numId w:val="5"/>
        </w:numPr>
        <w:tabs>
          <w:tab w:val="left" w:pos="1871"/>
          <w:tab w:val="left" w:pos="2495"/>
        </w:tabs>
        <w:ind w:left="1247" w:firstLine="0"/>
        <w:rPr>
          <w:lang w:val="fr-FR"/>
        </w:rPr>
      </w:pPr>
      <w:r w:rsidRPr="008C52E5">
        <w:rPr>
          <w:rFonts w:eastAsia="Calibri"/>
          <w:lang w:val="fr-FR"/>
        </w:rPr>
        <w:t>La Plénière</w:t>
      </w:r>
      <w:r w:rsidR="00931329" w:rsidRPr="008C52E5">
        <w:rPr>
          <w:rFonts w:eastAsia="Calibri"/>
          <w:lang w:val="fr-FR"/>
        </w:rPr>
        <w:t xml:space="preserve"> </w:t>
      </w:r>
      <w:r w:rsidR="00BF7736" w:rsidRPr="008C52E5">
        <w:rPr>
          <w:rFonts w:eastAsia="Calibri"/>
          <w:lang w:val="fr-FR"/>
        </w:rPr>
        <w:t xml:space="preserve">prorogera le mandat de l’équipe spéciale sur le </w:t>
      </w:r>
      <w:r w:rsidR="00E9140B">
        <w:rPr>
          <w:rFonts w:eastAsia="Calibri"/>
          <w:lang w:val="fr-FR"/>
        </w:rPr>
        <w:t>renforcement des capacités, qui </w:t>
      </w:r>
      <w:r w:rsidR="00DB2129" w:rsidRPr="008C52E5">
        <w:rPr>
          <w:rFonts w:eastAsia="Calibri"/>
          <w:lang w:val="fr-FR"/>
        </w:rPr>
        <w:t>facilitera la réalisation des</w:t>
      </w:r>
      <w:r w:rsidR="00BF7736" w:rsidRPr="008C52E5">
        <w:rPr>
          <w:rFonts w:eastAsia="Calibri"/>
          <w:lang w:val="fr-FR"/>
        </w:rPr>
        <w:t xml:space="preserve"> produits </w:t>
      </w:r>
      <w:r w:rsidR="002E1FC6" w:rsidRPr="008C52E5">
        <w:rPr>
          <w:rFonts w:eastAsia="Calibri"/>
          <w:lang w:val="fr-FR"/>
        </w:rPr>
        <w:t>2</w:t>
      </w:r>
      <w:r w:rsidR="00BF7736" w:rsidRPr="008C52E5">
        <w:rPr>
          <w:rFonts w:eastAsia="Calibri"/>
          <w:lang w:val="fr-FR"/>
        </w:rPr>
        <w:t> </w:t>
      </w:r>
      <w:r w:rsidR="00860766" w:rsidRPr="008C52E5">
        <w:rPr>
          <w:rFonts w:eastAsia="Calibri"/>
          <w:lang w:val="fr-FR"/>
        </w:rPr>
        <w:t>a</w:t>
      </w:r>
      <w:r w:rsidR="00664F4F" w:rsidRPr="008C52E5">
        <w:rPr>
          <w:rFonts w:eastAsia="Calibri"/>
          <w:lang w:val="fr-FR"/>
        </w:rPr>
        <w:t>)</w:t>
      </w:r>
      <w:r w:rsidR="002D5D42" w:rsidRPr="008C52E5">
        <w:rPr>
          <w:rFonts w:eastAsia="Calibri"/>
          <w:lang w:val="fr-FR"/>
        </w:rPr>
        <w:t xml:space="preserve">, </w:t>
      </w:r>
      <w:r w:rsidR="00860766" w:rsidRPr="008C52E5">
        <w:rPr>
          <w:rFonts w:eastAsia="Calibri"/>
          <w:lang w:val="fr-FR"/>
        </w:rPr>
        <w:t>2</w:t>
      </w:r>
      <w:r w:rsidR="00BF7736" w:rsidRPr="008C52E5">
        <w:rPr>
          <w:rFonts w:eastAsia="Calibri"/>
          <w:lang w:val="fr-FR"/>
        </w:rPr>
        <w:t> </w:t>
      </w:r>
      <w:r w:rsidR="00860766" w:rsidRPr="008C52E5">
        <w:rPr>
          <w:rFonts w:eastAsia="Calibri"/>
          <w:lang w:val="fr-FR"/>
        </w:rPr>
        <w:t>b</w:t>
      </w:r>
      <w:r w:rsidR="00664F4F" w:rsidRPr="008C52E5">
        <w:rPr>
          <w:rFonts w:eastAsia="Calibri"/>
          <w:lang w:val="fr-FR"/>
        </w:rPr>
        <w:t>)</w:t>
      </w:r>
      <w:r w:rsidR="00860766" w:rsidRPr="008C52E5">
        <w:rPr>
          <w:rFonts w:eastAsia="Calibri"/>
          <w:lang w:val="fr-FR"/>
        </w:rPr>
        <w:t xml:space="preserve"> </w:t>
      </w:r>
      <w:r w:rsidR="00BF7736" w:rsidRPr="008C52E5">
        <w:rPr>
          <w:rFonts w:eastAsia="Calibri"/>
          <w:lang w:val="fr-FR"/>
        </w:rPr>
        <w:t>et</w:t>
      </w:r>
      <w:r w:rsidR="00860766" w:rsidRPr="008C52E5">
        <w:rPr>
          <w:rFonts w:eastAsia="Calibri"/>
          <w:lang w:val="fr-FR"/>
        </w:rPr>
        <w:t xml:space="preserve"> 2</w:t>
      </w:r>
      <w:r w:rsidR="00BF7736" w:rsidRPr="008C52E5">
        <w:rPr>
          <w:rFonts w:eastAsia="Calibri"/>
          <w:lang w:val="fr-FR"/>
        </w:rPr>
        <w:t> </w:t>
      </w:r>
      <w:r w:rsidR="00860766" w:rsidRPr="008C52E5">
        <w:rPr>
          <w:rFonts w:eastAsia="Calibri"/>
          <w:lang w:val="fr-FR"/>
        </w:rPr>
        <w:t>c</w:t>
      </w:r>
      <w:r w:rsidR="00664F4F" w:rsidRPr="008C52E5">
        <w:rPr>
          <w:rFonts w:eastAsia="Calibri"/>
          <w:lang w:val="fr-FR"/>
        </w:rPr>
        <w:t>)</w:t>
      </w:r>
      <w:r w:rsidR="00043D72" w:rsidRPr="008C52E5">
        <w:rPr>
          <w:rFonts w:eastAsia="Calibri"/>
          <w:lang w:val="fr-FR"/>
        </w:rPr>
        <w:t>.</w:t>
      </w:r>
      <w:r w:rsidR="005A63D1" w:rsidRPr="008C52E5">
        <w:rPr>
          <w:rFonts w:eastAsia="Calibri"/>
          <w:lang w:val="fr-FR"/>
        </w:rPr>
        <w:t xml:space="preserve"> </w:t>
      </w:r>
      <w:r w:rsidR="00BF7736" w:rsidRPr="008C52E5">
        <w:rPr>
          <w:rFonts w:eastAsia="Calibri"/>
          <w:lang w:val="fr-FR"/>
        </w:rPr>
        <w:t>Le mandat de l</w:t>
      </w:r>
      <w:r w:rsidR="00E9140B">
        <w:rPr>
          <w:rFonts w:eastAsia="Calibri"/>
          <w:lang w:val="fr-FR"/>
        </w:rPr>
        <w:t>’équipe spéciale établi pour le </w:t>
      </w:r>
      <w:r w:rsidR="00BF7736" w:rsidRPr="008C52E5">
        <w:rPr>
          <w:rFonts w:eastAsia="Calibri"/>
          <w:lang w:val="fr-FR"/>
        </w:rPr>
        <w:t xml:space="preserve">premier programme de travail a été révisé à la lumière de l’expérience et des enseignements </w:t>
      </w:r>
      <w:r w:rsidR="00DB2129" w:rsidRPr="008C52E5">
        <w:rPr>
          <w:rFonts w:eastAsia="Calibri"/>
          <w:lang w:val="fr-FR"/>
        </w:rPr>
        <w:t xml:space="preserve">tirés </w:t>
      </w:r>
      <w:r w:rsidR="00E9140B">
        <w:rPr>
          <w:rFonts w:eastAsia="Calibri"/>
          <w:lang w:val="fr-FR"/>
        </w:rPr>
        <w:t>et </w:t>
      </w:r>
      <w:r w:rsidR="00BF7736" w:rsidRPr="008C52E5">
        <w:rPr>
          <w:rFonts w:eastAsia="Calibri"/>
          <w:lang w:val="fr-FR"/>
        </w:rPr>
        <w:t xml:space="preserve">figure dans le </w:t>
      </w:r>
      <w:r w:rsidR="00715BC5">
        <w:rPr>
          <w:lang w:val="fr-FR" w:eastAsia="nb-NO"/>
        </w:rPr>
        <w:t>document </w:t>
      </w:r>
      <w:r w:rsidR="00043D72" w:rsidRPr="008C52E5">
        <w:rPr>
          <w:lang w:val="fr-FR" w:eastAsia="nb-NO"/>
        </w:rPr>
        <w:t>IPBES</w:t>
      </w:r>
      <w:r w:rsidR="00313B2C" w:rsidRPr="008C52E5">
        <w:rPr>
          <w:lang w:val="fr-FR" w:eastAsia="nb-NO"/>
        </w:rPr>
        <w:t>/</w:t>
      </w:r>
      <w:r w:rsidR="00043D72" w:rsidRPr="008C52E5">
        <w:rPr>
          <w:lang w:val="fr-FR" w:eastAsia="nb-NO"/>
        </w:rPr>
        <w:t>7/6</w:t>
      </w:r>
      <w:r w:rsidR="00513FDF" w:rsidRPr="008C52E5">
        <w:rPr>
          <w:lang w:val="fr-FR" w:eastAsia="nb-NO"/>
        </w:rPr>
        <w:t xml:space="preserve">. </w:t>
      </w:r>
      <w:r w:rsidR="00BF7736" w:rsidRPr="008C52E5">
        <w:rPr>
          <w:lang w:val="fr-FR" w:eastAsia="nb-NO"/>
        </w:rPr>
        <w:t>Une réunion de l’équipe spéciale et une réunion du forum sur le</w:t>
      </w:r>
      <w:r w:rsidR="00E9140B">
        <w:rPr>
          <w:lang w:val="fr-FR" w:eastAsia="nb-NO"/>
        </w:rPr>
        <w:t> </w:t>
      </w:r>
      <w:r w:rsidR="00BF7736" w:rsidRPr="008C52E5">
        <w:rPr>
          <w:lang w:val="fr-FR" w:eastAsia="nb-NO"/>
        </w:rPr>
        <w:t>renforcement des capacités de la Plateforme seront organisées durant chaque période intersessions</w:t>
      </w:r>
      <w:r w:rsidR="00043D72" w:rsidRPr="008C52E5">
        <w:rPr>
          <w:lang w:val="fr-FR" w:eastAsia="nb-NO"/>
        </w:rPr>
        <w:t xml:space="preserve">. </w:t>
      </w:r>
    </w:p>
    <w:p w14:paraId="25F498C1" w14:textId="062032D2" w:rsidR="00995053" w:rsidRPr="008C52E5" w:rsidRDefault="00C12196" w:rsidP="0044443E">
      <w:pPr>
        <w:pStyle w:val="Normalnumber"/>
        <w:numPr>
          <w:ilvl w:val="0"/>
          <w:numId w:val="5"/>
        </w:numPr>
        <w:tabs>
          <w:tab w:val="left" w:pos="1871"/>
          <w:tab w:val="left" w:pos="2495"/>
        </w:tabs>
        <w:ind w:left="1247" w:firstLine="0"/>
        <w:rPr>
          <w:lang w:val="fr-FR"/>
        </w:rPr>
      </w:pPr>
      <w:r w:rsidRPr="008C52E5">
        <w:rPr>
          <w:lang w:val="fr-FR"/>
        </w:rPr>
        <w:t xml:space="preserve">Le secrétariat conclura des accords avec des institutions partenaires pour la </w:t>
      </w:r>
      <w:r w:rsidR="00DB2129" w:rsidRPr="008C52E5">
        <w:rPr>
          <w:lang w:val="fr-FR"/>
        </w:rPr>
        <w:t xml:space="preserve">prestation </w:t>
      </w:r>
      <w:r w:rsidR="003B36B9">
        <w:rPr>
          <w:lang w:val="fr-FR"/>
        </w:rPr>
        <w:t>d’un </w:t>
      </w:r>
      <w:r w:rsidRPr="008C52E5">
        <w:rPr>
          <w:lang w:val="fr-FR"/>
        </w:rPr>
        <w:t>appui technique</w:t>
      </w:r>
      <w:r w:rsidR="00DB2129" w:rsidRPr="008C52E5">
        <w:rPr>
          <w:lang w:val="fr-FR"/>
        </w:rPr>
        <w:t xml:space="preserve"> sur approbation du</w:t>
      </w:r>
      <w:r w:rsidRPr="008C52E5">
        <w:rPr>
          <w:lang w:val="fr-FR"/>
        </w:rPr>
        <w:t xml:space="preserve"> Bureau. Cet appui techniqu</w:t>
      </w:r>
      <w:r w:rsidR="003B36B9">
        <w:rPr>
          <w:lang w:val="fr-FR"/>
        </w:rPr>
        <w:t>e sera financé en partie par la </w:t>
      </w:r>
      <w:r w:rsidRPr="008C52E5">
        <w:rPr>
          <w:lang w:val="fr-FR"/>
        </w:rPr>
        <w:t>Plateforme et en partie par les contributions en nature approuvées par la Plénière.</w:t>
      </w:r>
    </w:p>
    <w:p w14:paraId="3394F88F" w14:textId="3068254B" w:rsidR="00070C57" w:rsidRPr="008C52E5" w:rsidRDefault="00270837" w:rsidP="0044443E">
      <w:pPr>
        <w:pStyle w:val="CH3"/>
        <w:tabs>
          <w:tab w:val="clear" w:pos="851"/>
        </w:tabs>
        <w:ind w:hanging="680"/>
        <w:rPr>
          <w:rFonts w:eastAsia="SimSun"/>
          <w:lang w:val="fr-FR" w:eastAsia="zh-CN"/>
        </w:rPr>
      </w:pPr>
      <w:r w:rsidRPr="008C52E5">
        <w:rPr>
          <w:rFonts w:eastAsia="SimSun"/>
          <w:lang w:val="fr-FR" w:eastAsia="zh-CN"/>
        </w:rPr>
        <w:t>2</w:t>
      </w:r>
      <w:r w:rsidR="00E63AFB" w:rsidRPr="008C52E5">
        <w:rPr>
          <w:rFonts w:eastAsia="SimSun"/>
          <w:lang w:val="fr-FR" w:eastAsia="zh-CN"/>
        </w:rPr>
        <w:t>.</w:t>
      </w:r>
      <w:r w:rsidR="00E63AFB" w:rsidRPr="008C52E5">
        <w:rPr>
          <w:rFonts w:eastAsia="SimSun"/>
          <w:lang w:val="fr-FR" w:eastAsia="zh-CN"/>
        </w:rPr>
        <w:tab/>
      </w:r>
      <w:r w:rsidR="00C12196" w:rsidRPr="008C52E5">
        <w:rPr>
          <w:rFonts w:eastAsia="SimSun"/>
          <w:lang w:val="fr-FR" w:eastAsia="zh-CN"/>
        </w:rPr>
        <w:t>Réunions et étapes intermédiaires</w:t>
      </w:r>
      <w:r w:rsidR="00070C57" w:rsidRPr="008C52E5">
        <w:rPr>
          <w:rFonts w:eastAsia="SimSun"/>
          <w:lang w:val="fr-FR" w:eastAsia="zh-CN"/>
        </w:rPr>
        <w:t xml:space="preserve"> </w:t>
      </w:r>
    </w:p>
    <w:p w14:paraId="7510549F" w14:textId="43A91ABD" w:rsidR="00070C57" w:rsidRPr="008C52E5" w:rsidRDefault="00C12196" w:rsidP="00991C02">
      <w:pPr>
        <w:pStyle w:val="Normalnumber"/>
        <w:numPr>
          <w:ilvl w:val="0"/>
          <w:numId w:val="5"/>
        </w:numPr>
        <w:tabs>
          <w:tab w:val="left" w:pos="1871"/>
          <w:tab w:val="left" w:pos="2495"/>
        </w:tabs>
        <w:ind w:left="1247" w:firstLine="0"/>
        <w:rPr>
          <w:lang w:val="fr-FR"/>
        </w:rPr>
      </w:pPr>
      <w:r w:rsidRPr="008C52E5">
        <w:rPr>
          <w:lang w:val="fr-FR"/>
        </w:rPr>
        <w:t xml:space="preserve">Un aperçu des </w:t>
      </w:r>
      <w:r w:rsidR="00DB2129" w:rsidRPr="008C52E5">
        <w:rPr>
          <w:lang w:val="fr-FR"/>
        </w:rPr>
        <w:t xml:space="preserve">activités </w:t>
      </w:r>
      <w:r w:rsidRPr="008C52E5">
        <w:rPr>
          <w:lang w:val="fr-FR"/>
        </w:rPr>
        <w:t xml:space="preserve">à mener </w:t>
      </w:r>
      <w:r w:rsidR="00DB2129" w:rsidRPr="008C52E5">
        <w:rPr>
          <w:lang w:val="fr-FR"/>
        </w:rPr>
        <w:t xml:space="preserve">au titre </w:t>
      </w:r>
      <w:r w:rsidRPr="008C52E5">
        <w:rPr>
          <w:lang w:val="fr-FR"/>
        </w:rPr>
        <w:t xml:space="preserve">de ce produit est présenté ci-après. Un projet de budget </w:t>
      </w:r>
      <w:r w:rsidR="00DB2129" w:rsidRPr="008C52E5">
        <w:rPr>
          <w:lang w:val="fr-FR"/>
        </w:rPr>
        <w:t xml:space="preserve">correspondant </w:t>
      </w:r>
      <w:r w:rsidRPr="008C52E5">
        <w:rPr>
          <w:lang w:val="fr-FR"/>
        </w:rPr>
        <w:t xml:space="preserve">figure dans le tableau A-7 dans l’annexe </w:t>
      </w:r>
      <w:r w:rsidR="00DB2129" w:rsidRPr="008C52E5">
        <w:rPr>
          <w:lang w:val="fr-FR"/>
        </w:rPr>
        <w:t>d</w:t>
      </w:r>
      <w:r w:rsidR="00715BC5">
        <w:rPr>
          <w:lang w:val="fr-FR"/>
        </w:rPr>
        <w:t>u document </w:t>
      </w:r>
      <w:r w:rsidRPr="008C52E5">
        <w:rPr>
          <w:lang w:val="fr-FR"/>
        </w:rPr>
        <w:t>IPBES/7/4</w:t>
      </w:r>
      <w:r w:rsidR="00C53C6C" w:rsidRPr="008C52E5">
        <w:rPr>
          <w:lang w:val="fr-FR"/>
        </w:rPr>
        <w:t>.</w:t>
      </w:r>
    </w:p>
    <w:tbl>
      <w:tblPr>
        <w:tblW w:w="8357" w:type="dxa"/>
        <w:tblInd w:w="1248" w:type="dxa"/>
        <w:tblLook w:val="04A0" w:firstRow="1" w:lastRow="0" w:firstColumn="1" w:lastColumn="0" w:noHBand="0" w:noVBand="1"/>
      </w:tblPr>
      <w:tblGrid>
        <w:gridCol w:w="1236"/>
        <w:gridCol w:w="7121"/>
      </w:tblGrid>
      <w:tr w:rsidR="008F25B4" w:rsidRPr="008C52E5" w14:paraId="6A6B1C34" w14:textId="77777777" w:rsidTr="00234A9A">
        <w:trPr>
          <w:trHeight w:val="233"/>
          <w:tblHeader/>
        </w:trPr>
        <w:tc>
          <w:tcPr>
            <w:tcW w:w="1153" w:type="dxa"/>
            <w:tcBorders>
              <w:top w:val="single" w:sz="4" w:space="0" w:color="auto"/>
              <w:bottom w:val="single" w:sz="12" w:space="0" w:color="auto"/>
            </w:tcBorders>
            <w:shd w:val="clear" w:color="auto" w:fill="auto"/>
            <w:vAlign w:val="center"/>
          </w:tcPr>
          <w:p w14:paraId="0E8B4D54" w14:textId="1A345FBC" w:rsidR="008F25B4" w:rsidRPr="008C52E5" w:rsidDel="003F5A7B" w:rsidRDefault="00C12196" w:rsidP="00FC5E47">
            <w:pPr>
              <w:pStyle w:val="Normal-pool"/>
              <w:spacing w:before="40" w:after="40"/>
              <w:rPr>
                <w:rFonts w:eastAsia="SimSun"/>
                <w:sz w:val="18"/>
                <w:szCs w:val="18"/>
                <w:lang w:val="fr-FR" w:eastAsia="zh-CN"/>
              </w:rPr>
            </w:pPr>
            <w:r w:rsidRPr="008C52E5">
              <w:rPr>
                <w:rFonts w:eastAsia="SimSun"/>
                <w:i/>
                <w:sz w:val="18"/>
                <w:szCs w:val="18"/>
                <w:lang w:val="fr-FR" w:eastAsia="zh-CN"/>
              </w:rPr>
              <w:t>Calendrier</w:t>
            </w:r>
          </w:p>
        </w:tc>
        <w:tc>
          <w:tcPr>
            <w:tcW w:w="7204" w:type="dxa"/>
            <w:tcBorders>
              <w:top w:val="single" w:sz="4" w:space="0" w:color="auto"/>
              <w:bottom w:val="single" w:sz="12" w:space="0" w:color="auto"/>
            </w:tcBorders>
            <w:shd w:val="clear" w:color="auto" w:fill="auto"/>
            <w:vAlign w:val="center"/>
          </w:tcPr>
          <w:p w14:paraId="112242D8" w14:textId="469052E3" w:rsidR="008F25B4" w:rsidRPr="008C52E5" w:rsidDel="000C28ED" w:rsidRDefault="00C12196" w:rsidP="005C34BE">
            <w:pPr>
              <w:pStyle w:val="Normal-pool"/>
              <w:keepNext/>
              <w:keepLines/>
              <w:spacing w:before="40" w:after="40"/>
              <w:rPr>
                <w:rFonts w:eastAsia="SimSun"/>
                <w:sz w:val="18"/>
                <w:szCs w:val="18"/>
                <w:lang w:val="fr-FR" w:eastAsia="zh-CN"/>
              </w:rPr>
            </w:pPr>
            <w:r w:rsidRPr="008C52E5">
              <w:rPr>
                <w:rFonts w:eastAsia="SimSun"/>
                <w:i/>
                <w:sz w:val="18"/>
                <w:szCs w:val="18"/>
                <w:lang w:val="fr-FR" w:eastAsia="zh-CN"/>
              </w:rPr>
              <w:t>Réunions et étapes intermédiaires</w:t>
            </w:r>
          </w:p>
        </w:tc>
      </w:tr>
      <w:tr w:rsidR="00FC0BC6" w:rsidRPr="0082513F" w14:paraId="78B16AB8" w14:textId="77777777" w:rsidTr="00ED76A4">
        <w:tblPrEx>
          <w:tblCellMar>
            <w:left w:w="0" w:type="dxa"/>
            <w:right w:w="0" w:type="dxa"/>
          </w:tblCellMar>
        </w:tblPrEx>
        <w:trPr>
          <w:trHeight w:val="233"/>
        </w:trPr>
        <w:tc>
          <w:tcPr>
            <w:tcW w:w="1153" w:type="dxa"/>
            <w:vMerge w:val="restart"/>
            <w:tcBorders>
              <w:top w:val="single" w:sz="12" w:space="0" w:color="auto"/>
              <w:bottom w:val="single" w:sz="12" w:space="0" w:color="auto"/>
            </w:tcBorders>
            <w:tcMar>
              <w:top w:w="0" w:type="dxa"/>
              <w:left w:w="108" w:type="dxa"/>
              <w:bottom w:w="0" w:type="dxa"/>
              <w:right w:w="108" w:type="dxa"/>
            </w:tcMar>
            <w:vAlign w:val="center"/>
            <w:hideMark/>
          </w:tcPr>
          <w:p w14:paraId="2A25D886" w14:textId="09A1949A" w:rsidR="00FC0BC6" w:rsidRPr="008C52E5" w:rsidRDefault="00B90361" w:rsidP="00FC5E47">
            <w:pPr>
              <w:pStyle w:val="Normal-pool"/>
              <w:spacing w:before="40" w:after="40"/>
              <w:rPr>
                <w:sz w:val="18"/>
                <w:szCs w:val="18"/>
                <w:lang w:val="fr-FR" w:eastAsia="zh-CN"/>
              </w:rPr>
            </w:pPr>
            <w:r w:rsidRPr="008C52E5">
              <w:rPr>
                <w:sz w:val="18"/>
                <w:szCs w:val="18"/>
                <w:lang w:val="fr-FR" w:eastAsia="zh-CN"/>
              </w:rPr>
              <w:t>Annu</w:t>
            </w:r>
            <w:r w:rsidR="00C12196" w:rsidRPr="008C52E5">
              <w:rPr>
                <w:sz w:val="18"/>
                <w:szCs w:val="18"/>
                <w:lang w:val="fr-FR" w:eastAsia="zh-CN"/>
              </w:rPr>
              <w:t>ellement</w:t>
            </w:r>
          </w:p>
        </w:tc>
        <w:tc>
          <w:tcPr>
            <w:tcW w:w="7204" w:type="dxa"/>
            <w:tcBorders>
              <w:top w:val="single" w:sz="12" w:space="0" w:color="auto"/>
            </w:tcBorders>
            <w:tcMar>
              <w:top w:w="0" w:type="dxa"/>
              <w:left w:w="108" w:type="dxa"/>
              <w:bottom w:w="0" w:type="dxa"/>
              <w:right w:w="108" w:type="dxa"/>
            </w:tcMar>
            <w:hideMark/>
          </w:tcPr>
          <w:p w14:paraId="08F05A29" w14:textId="0E829D56" w:rsidR="00FC0BC6" w:rsidRPr="008C52E5" w:rsidRDefault="00FC0BC6" w:rsidP="005C34BE">
            <w:pPr>
              <w:pStyle w:val="Normal-pool"/>
              <w:keepNext/>
              <w:spacing w:before="40" w:after="40"/>
              <w:rPr>
                <w:sz w:val="18"/>
                <w:szCs w:val="18"/>
                <w:lang w:val="fr-FR" w:eastAsia="zh-CN"/>
              </w:rPr>
            </w:pPr>
            <w:r w:rsidRPr="008C52E5">
              <w:rPr>
                <w:sz w:val="18"/>
                <w:szCs w:val="18"/>
                <w:lang w:val="fr-FR" w:eastAsia="zh-CN"/>
              </w:rPr>
              <w:t>Activit</w:t>
            </w:r>
            <w:r w:rsidR="00C12196" w:rsidRPr="008C52E5">
              <w:rPr>
                <w:sz w:val="18"/>
                <w:szCs w:val="18"/>
                <w:lang w:val="fr-FR" w:eastAsia="zh-CN"/>
              </w:rPr>
              <w:t>és communes aux produits </w:t>
            </w:r>
            <w:r w:rsidRPr="008C52E5">
              <w:rPr>
                <w:sz w:val="18"/>
                <w:szCs w:val="18"/>
                <w:lang w:val="fr-FR" w:eastAsia="zh-CN"/>
              </w:rPr>
              <w:t>2</w:t>
            </w:r>
            <w:r w:rsidR="00C12196" w:rsidRPr="008C52E5">
              <w:rPr>
                <w:sz w:val="18"/>
                <w:szCs w:val="18"/>
                <w:lang w:val="fr-FR" w:eastAsia="zh-CN"/>
              </w:rPr>
              <w:t> </w:t>
            </w:r>
            <w:r w:rsidRPr="008C52E5">
              <w:rPr>
                <w:sz w:val="18"/>
                <w:szCs w:val="18"/>
                <w:lang w:val="fr-FR" w:eastAsia="zh-CN"/>
              </w:rPr>
              <w:t>a</w:t>
            </w:r>
            <w:r w:rsidR="005B72D7" w:rsidRPr="008C52E5">
              <w:rPr>
                <w:sz w:val="18"/>
                <w:szCs w:val="18"/>
                <w:lang w:val="fr-FR" w:eastAsia="zh-CN"/>
              </w:rPr>
              <w:t>)</w:t>
            </w:r>
            <w:r w:rsidRPr="008C52E5">
              <w:rPr>
                <w:sz w:val="18"/>
                <w:szCs w:val="18"/>
                <w:lang w:val="fr-FR" w:eastAsia="zh-CN"/>
              </w:rPr>
              <w:t>, 2</w:t>
            </w:r>
            <w:r w:rsidR="00C12196" w:rsidRPr="008C52E5">
              <w:rPr>
                <w:sz w:val="18"/>
                <w:szCs w:val="18"/>
                <w:lang w:val="fr-FR" w:eastAsia="zh-CN"/>
              </w:rPr>
              <w:t> </w:t>
            </w:r>
            <w:r w:rsidRPr="008C52E5">
              <w:rPr>
                <w:sz w:val="18"/>
                <w:szCs w:val="18"/>
                <w:lang w:val="fr-FR" w:eastAsia="zh-CN"/>
              </w:rPr>
              <w:t>b</w:t>
            </w:r>
            <w:r w:rsidR="005B72D7" w:rsidRPr="008C52E5">
              <w:rPr>
                <w:sz w:val="18"/>
                <w:szCs w:val="18"/>
                <w:lang w:val="fr-FR" w:eastAsia="zh-CN"/>
              </w:rPr>
              <w:t>)</w:t>
            </w:r>
            <w:r w:rsidRPr="008C52E5">
              <w:rPr>
                <w:sz w:val="18"/>
                <w:szCs w:val="18"/>
                <w:lang w:val="fr-FR" w:eastAsia="zh-CN"/>
              </w:rPr>
              <w:t xml:space="preserve"> </w:t>
            </w:r>
            <w:r w:rsidR="00C12196" w:rsidRPr="008C52E5">
              <w:rPr>
                <w:sz w:val="18"/>
                <w:szCs w:val="18"/>
                <w:lang w:val="fr-FR" w:eastAsia="zh-CN"/>
              </w:rPr>
              <w:t>et</w:t>
            </w:r>
            <w:r w:rsidRPr="008C52E5">
              <w:rPr>
                <w:sz w:val="18"/>
                <w:szCs w:val="18"/>
                <w:lang w:val="fr-FR" w:eastAsia="zh-CN"/>
              </w:rPr>
              <w:t xml:space="preserve"> 2</w:t>
            </w:r>
            <w:r w:rsidR="00C12196" w:rsidRPr="008C52E5">
              <w:rPr>
                <w:sz w:val="18"/>
                <w:szCs w:val="18"/>
                <w:lang w:val="fr-FR" w:eastAsia="zh-CN"/>
              </w:rPr>
              <w:t> </w:t>
            </w:r>
            <w:r w:rsidRPr="008C52E5">
              <w:rPr>
                <w:sz w:val="18"/>
                <w:szCs w:val="18"/>
                <w:lang w:val="fr-FR" w:eastAsia="zh-CN"/>
              </w:rPr>
              <w:t>c</w:t>
            </w:r>
            <w:r w:rsidR="005B72D7" w:rsidRPr="008C52E5">
              <w:rPr>
                <w:sz w:val="18"/>
                <w:szCs w:val="18"/>
                <w:lang w:val="fr-FR" w:eastAsia="zh-CN"/>
              </w:rPr>
              <w:t>)</w:t>
            </w:r>
            <w:r w:rsidR="00C12196" w:rsidRPr="008C52E5">
              <w:rPr>
                <w:sz w:val="18"/>
                <w:szCs w:val="18"/>
                <w:lang w:val="fr-FR" w:eastAsia="zh-CN"/>
              </w:rPr>
              <w:t> </w:t>
            </w:r>
            <w:r w:rsidRPr="008C52E5">
              <w:rPr>
                <w:sz w:val="18"/>
                <w:szCs w:val="18"/>
                <w:lang w:val="fr-FR" w:eastAsia="zh-CN"/>
              </w:rPr>
              <w:t>:</w:t>
            </w:r>
          </w:p>
          <w:p w14:paraId="07BF8355" w14:textId="760F900D" w:rsidR="00FC0BC6" w:rsidRPr="008C52E5" w:rsidRDefault="00C12196" w:rsidP="005C34BE">
            <w:pPr>
              <w:pStyle w:val="Normal-pool"/>
              <w:keepNext/>
              <w:tabs>
                <w:tab w:val="left" w:pos="4779"/>
              </w:tabs>
              <w:spacing w:before="40" w:after="40"/>
              <w:ind w:left="288"/>
              <w:rPr>
                <w:sz w:val="18"/>
                <w:szCs w:val="18"/>
                <w:lang w:val="fr-FR" w:eastAsia="zh-CN"/>
              </w:rPr>
            </w:pPr>
            <w:r w:rsidRPr="008C52E5">
              <w:rPr>
                <w:sz w:val="18"/>
                <w:szCs w:val="18"/>
                <w:lang w:val="fr-FR" w:eastAsia="zh-CN"/>
              </w:rPr>
              <w:t>Une réunion de l’équipe spéciale</w:t>
            </w:r>
          </w:p>
          <w:p w14:paraId="591DFC57" w14:textId="53FF1C84" w:rsidR="00FC0BC6" w:rsidRPr="008C52E5" w:rsidRDefault="00FC0BC6" w:rsidP="005C34BE">
            <w:pPr>
              <w:pStyle w:val="Normal-pool"/>
              <w:keepNext/>
              <w:tabs>
                <w:tab w:val="left" w:pos="4779"/>
              </w:tabs>
              <w:spacing w:before="40" w:after="40"/>
              <w:ind w:left="288"/>
              <w:rPr>
                <w:sz w:val="18"/>
                <w:szCs w:val="18"/>
                <w:lang w:val="fr-FR" w:eastAsia="zh-CN"/>
              </w:rPr>
            </w:pPr>
            <w:r w:rsidRPr="008C52E5">
              <w:rPr>
                <w:sz w:val="18"/>
                <w:szCs w:val="18"/>
                <w:lang w:val="fr-FR" w:eastAsia="zh-CN"/>
              </w:rPr>
              <w:t xml:space="preserve">Forum </w:t>
            </w:r>
            <w:r w:rsidR="00C12196" w:rsidRPr="008C52E5">
              <w:rPr>
                <w:sz w:val="18"/>
                <w:szCs w:val="18"/>
                <w:lang w:val="fr-FR" w:eastAsia="zh-CN"/>
              </w:rPr>
              <w:t>sur le renforcement des capacités</w:t>
            </w:r>
            <w:r w:rsidR="007D0C09" w:rsidRPr="008C52E5">
              <w:rPr>
                <w:sz w:val="18"/>
                <w:szCs w:val="18"/>
                <w:lang w:val="fr-FR" w:eastAsia="zh-CN"/>
              </w:rPr>
              <w:t xml:space="preserve"> visant à associer</w:t>
            </w:r>
            <w:r w:rsidR="00E9140B">
              <w:rPr>
                <w:sz w:val="18"/>
                <w:szCs w:val="18"/>
                <w:lang w:val="fr-FR" w:eastAsia="zh-CN"/>
              </w:rPr>
              <w:t xml:space="preserve"> les organisations à la mise en </w:t>
            </w:r>
            <w:r w:rsidR="007D0C09" w:rsidRPr="008C52E5">
              <w:rPr>
                <w:sz w:val="18"/>
                <w:szCs w:val="18"/>
                <w:lang w:val="fr-FR" w:eastAsia="zh-CN"/>
              </w:rPr>
              <w:t>œuvre du plan glissant en matière de renforcement des capacités</w:t>
            </w:r>
          </w:p>
          <w:p w14:paraId="6E6672BD" w14:textId="6E80B291" w:rsidR="00FC0BC6" w:rsidRPr="008C52E5" w:rsidRDefault="00FC0BC6" w:rsidP="005C34BE">
            <w:pPr>
              <w:pStyle w:val="Normal-pool"/>
              <w:keepNext/>
              <w:tabs>
                <w:tab w:val="left" w:pos="4779"/>
              </w:tabs>
              <w:spacing w:before="40" w:after="40"/>
              <w:ind w:left="288"/>
              <w:rPr>
                <w:sz w:val="18"/>
                <w:szCs w:val="18"/>
                <w:lang w:val="fr-FR" w:eastAsia="zh-CN"/>
              </w:rPr>
            </w:pPr>
            <w:r w:rsidRPr="008C52E5">
              <w:rPr>
                <w:sz w:val="18"/>
                <w:szCs w:val="18"/>
                <w:lang w:val="fr-FR" w:eastAsia="zh-CN"/>
              </w:rPr>
              <w:t>Activit</w:t>
            </w:r>
            <w:r w:rsidR="00DB2129" w:rsidRPr="008C52E5">
              <w:rPr>
                <w:sz w:val="18"/>
                <w:szCs w:val="18"/>
                <w:lang w:val="fr-FR" w:eastAsia="zh-CN"/>
              </w:rPr>
              <w:t xml:space="preserve">és à l’appui de l’exécution </w:t>
            </w:r>
            <w:r w:rsidR="007D0C09" w:rsidRPr="008C52E5">
              <w:rPr>
                <w:sz w:val="18"/>
                <w:szCs w:val="18"/>
                <w:lang w:val="fr-FR" w:eastAsia="zh-CN"/>
              </w:rPr>
              <w:t>d’autres produits</w:t>
            </w:r>
          </w:p>
          <w:p w14:paraId="6B4CB465" w14:textId="6DABC9C9" w:rsidR="00FC0BC6" w:rsidRPr="008C52E5" w:rsidRDefault="007D0C09" w:rsidP="005C34BE">
            <w:pPr>
              <w:pStyle w:val="Normal-pool"/>
              <w:keepNext/>
              <w:tabs>
                <w:tab w:val="left" w:pos="4779"/>
              </w:tabs>
              <w:spacing w:before="40" w:after="40"/>
              <w:ind w:left="288"/>
              <w:rPr>
                <w:sz w:val="18"/>
                <w:szCs w:val="18"/>
                <w:lang w:val="fr-FR" w:eastAsia="zh-CN"/>
              </w:rPr>
            </w:pPr>
            <w:r w:rsidRPr="008C52E5">
              <w:rPr>
                <w:sz w:val="18"/>
                <w:szCs w:val="18"/>
                <w:lang w:val="fr-FR" w:eastAsia="zh-CN"/>
              </w:rPr>
              <w:t>Élaboration de matériels d’apprentissage électroniques</w:t>
            </w:r>
          </w:p>
        </w:tc>
      </w:tr>
      <w:tr w:rsidR="00FC0BC6" w:rsidRPr="0082513F" w14:paraId="0126E5C3" w14:textId="77777777" w:rsidTr="005C34BE">
        <w:tblPrEx>
          <w:tblCellMar>
            <w:left w:w="0" w:type="dxa"/>
            <w:right w:w="0" w:type="dxa"/>
          </w:tblCellMar>
        </w:tblPrEx>
        <w:trPr>
          <w:trHeight w:val="233"/>
        </w:trPr>
        <w:tc>
          <w:tcPr>
            <w:tcW w:w="0" w:type="auto"/>
            <w:vMerge/>
            <w:tcBorders>
              <w:bottom w:val="single" w:sz="12" w:space="0" w:color="auto"/>
            </w:tcBorders>
            <w:vAlign w:val="center"/>
            <w:hideMark/>
          </w:tcPr>
          <w:p w14:paraId="49580191" w14:textId="77777777" w:rsidR="00FC0BC6" w:rsidRPr="008C52E5" w:rsidRDefault="00FC0BC6" w:rsidP="005C34BE">
            <w:pPr>
              <w:spacing w:before="40" w:after="40"/>
              <w:rPr>
                <w:rFonts w:ascii="Times New Roman" w:eastAsia="Times New Roman" w:hAnsi="Times New Roman"/>
                <w:sz w:val="18"/>
                <w:szCs w:val="18"/>
                <w:lang w:val="fr-FR" w:eastAsia="zh-CN"/>
              </w:rPr>
            </w:pPr>
          </w:p>
        </w:tc>
        <w:tc>
          <w:tcPr>
            <w:tcW w:w="7204" w:type="dxa"/>
            <w:tcMar>
              <w:top w:w="0" w:type="dxa"/>
              <w:left w:w="108" w:type="dxa"/>
              <w:bottom w:w="0" w:type="dxa"/>
              <w:right w:w="108" w:type="dxa"/>
            </w:tcMar>
            <w:hideMark/>
          </w:tcPr>
          <w:p w14:paraId="5040E0BB" w14:textId="2D8213D8" w:rsidR="00FC0BC6" w:rsidRPr="008C52E5" w:rsidRDefault="005B72D7" w:rsidP="005C34BE">
            <w:pPr>
              <w:pStyle w:val="Normal-pool"/>
              <w:keepNext/>
              <w:spacing w:before="40" w:after="40"/>
              <w:rPr>
                <w:sz w:val="18"/>
                <w:szCs w:val="18"/>
                <w:lang w:val="fr-FR" w:eastAsia="zh-CN"/>
              </w:rPr>
            </w:pPr>
            <w:r w:rsidRPr="008C52E5">
              <w:rPr>
                <w:sz w:val="18"/>
                <w:szCs w:val="18"/>
                <w:lang w:val="fr-FR" w:eastAsia="zh-CN"/>
              </w:rPr>
              <w:t>Activit</w:t>
            </w:r>
            <w:r w:rsidR="007D0C09" w:rsidRPr="008C52E5">
              <w:rPr>
                <w:sz w:val="18"/>
                <w:szCs w:val="18"/>
                <w:lang w:val="fr-FR" w:eastAsia="zh-CN"/>
              </w:rPr>
              <w:t xml:space="preserve">és </w:t>
            </w:r>
            <w:r w:rsidR="00DB2129" w:rsidRPr="008C52E5">
              <w:rPr>
                <w:sz w:val="18"/>
                <w:szCs w:val="18"/>
                <w:lang w:val="fr-FR" w:eastAsia="zh-CN"/>
              </w:rPr>
              <w:t>propres</w:t>
            </w:r>
            <w:r w:rsidR="007D0C09" w:rsidRPr="008C52E5">
              <w:rPr>
                <w:sz w:val="18"/>
                <w:szCs w:val="18"/>
                <w:lang w:val="fr-FR" w:eastAsia="zh-CN"/>
              </w:rPr>
              <w:t xml:space="preserve"> au produit </w:t>
            </w:r>
            <w:r w:rsidR="00FC0BC6" w:rsidRPr="008C52E5">
              <w:rPr>
                <w:sz w:val="18"/>
                <w:szCs w:val="18"/>
                <w:lang w:val="fr-FR" w:eastAsia="zh-CN"/>
              </w:rPr>
              <w:t>2</w:t>
            </w:r>
            <w:r w:rsidR="007D0C09" w:rsidRPr="008C52E5">
              <w:rPr>
                <w:sz w:val="18"/>
                <w:szCs w:val="18"/>
                <w:lang w:val="fr-FR" w:eastAsia="zh-CN"/>
              </w:rPr>
              <w:t> </w:t>
            </w:r>
            <w:r w:rsidR="00FC0BC6" w:rsidRPr="008C52E5">
              <w:rPr>
                <w:sz w:val="18"/>
                <w:szCs w:val="18"/>
                <w:lang w:val="fr-FR" w:eastAsia="zh-CN"/>
              </w:rPr>
              <w:t>a</w:t>
            </w:r>
            <w:r w:rsidRPr="008C52E5">
              <w:rPr>
                <w:sz w:val="18"/>
                <w:szCs w:val="18"/>
                <w:lang w:val="fr-FR" w:eastAsia="zh-CN"/>
              </w:rPr>
              <w:t>)</w:t>
            </w:r>
            <w:r w:rsidR="007D0C09" w:rsidRPr="008C52E5">
              <w:rPr>
                <w:sz w:val="18"/>
                <w:szCs w:val="18"/>
                <w:lang w:val="fr-FR" w:eastAsia="zh-CN"/>
              </w:rPr>
              <w:t> </w:t>
            </w:r>
            <w:r w:rsidR="00FC0BC6" w:rsidRPr="008C52E5">
              <w:rPr>
                <w:sz w:val="18"/>
                <w:szCs w:val="18"/>
                <w:lang w:val="fr-FR" w:eastAsia="zh-CN"/>
              </w:rPr>
              <w:t>:</w:t>
            </w:r>
          </w:p>
          <w:p w14:paraId="63FA4398" w14:textId="11524BE8" w:rsidR="00FC0BC6" w:rsidRPr="008C52E5" w:rsidRDefault="007D0C09" w:rsidP="005C34BE">
            <w:pPr>
              <w:pStyle w:val="Normal-pool"/>
              <w:keepNext/>
              <w:tabs>
                <w:tab w:val="left" w:pos="4779"/>
              </w:tabs>
              <w:spacing w:before="40" w:after="40"/>
              <w:ind w:left="288"/>
              <w:rPr>
                <w:sz w:val="18"/>
                <w:szCs w:val="18"/>
                <w:lang w:val="fr-FR" w:eastAsia="zh-CN"/>
              </w:rPr>
            </w:pPr>
            <w:r w:rsidRPr="008C52E5">
              <w:rPr>
                <w:sz w:val="18"/>
                <w:szCs w:val="18"/>
                <w:lang w:val="fr-FR" w:eastAsia="zh-CN"/>
              </w:rPr>
              <w:t>Mise en œuvre du programme de bourses pour les évaluations</w:t>
            </w:r>
            <w:r w:rsidR="00FC0BC6" w:rsidRPr="008C52E5">
              <w:rPr>
                <w:sz w:val="18"/>
                <w:szCs w:val="18"/>
                <w:lang w:val="fr-FR" w:eastAsia="zh-CN"/>
              </w:rPr>
              <w:t xml:space="preserve"> </w:t>
            </w:r>
            <w:r w:rsidRPr="008C52E5">
              <w:rPr>
                <w:sz w:val="18"/>
                <w:szCs w:val="18"/>
                <w:lang w:val="fr-FR" w:eastAsia="zh-CN"/>
              </w:rPr>
              <w:t>en cours et d’autres produits </w:t>
            </w:r>
          </w:p>
          <w:p w14:paraId="12FFFA02" w14:textId="6E1A9875" w:rsidR="00FC0BC6" w:rsidRPr="008C52E5" w:rsidRDefault="00FC0BC6" w:rsidP="005C34BE">
            <w:pPr>
              <w:pStyle w:val="Normal-pool"/>
              <w:keepNext/>
              <w:tabs>
                <w:tab w:val="left" w:pos="4779"/>
              </w:tabs>
              <w:spacing w:before="40" w:after="40"/>
              <w:ind w:left="288"/>
              <w:rPr>
                <w:sz w:val="18"/>
                <w:szCs w:val="18"/>
                <w:lang w:val="fr-FR" w:eastAsia="zh-CN"/>
              </w:rPr>
            </w:pPr>
            <w:r w:rsidRPr="008C52E5">
              <w:rPr>
                <w:sz w:val="18"/>
                <w:szCs w:val="18"/>
                <w:lang w:val="fr-FR" w:eastAsia="zh-CN"/>
              </w:rPr>
              <w:t>Activit</w:t>
            </w:r>
            <w:r w:rsidR="007D0C09" w:rsidRPr="008C52E5">
              <w:rPr>
                <w:sz w:val="18"/>
                <w:szCs w:val="18"/>
                <w:lang w:val="fr-FR" w:eastAsia="zh-CN"/>
              </w:rPr>
              <w:t xml:space="preserve">és </w:t>
            </w:r>
            <w:r w:rsidR="00DB2129" w:rsidRPr="008C52E5">
              <w:rPr>
                <w:sz w:val="18"/>
                <w:szCs w:val="18"/>
                <w:lang w:val="fr-FR" w:eastAsia="zh-CN"/>
              </w:rPr>
              <w:t>relevant</w:t>
            </w:r>
            <w:r w:rsidR="007D0C09" w:rsidRPr="008C52E5">
              <w:rPr>
                <w:sz w:val="18"/>
                <w:szCs w:val="18"/>
                <w:lang w:val="fr-FR" w:eastAsia="zh-CN"/>
              </w:rPr>
              <w:t xml:space="preserve"> du programme de formation et de familiarisation</w:t>
            </w:r>
          </w:p>
        </w:tc>
      </w:tr>
      <w:tr w:rsidR="00FC0BC6" w:rsidRPr="0082513F" w14:paraId="33CC36AC" w14:textId="77777777" w:rsidTr="005C34BE">
        <w:tblPrEx>
          <w:tblCellMar>
            <w:left w:w="0" w:type="dxa"/>
            <w:right w:w="0" w:type="dxa"/>
          </w:tblCellMar>
        </w:tblPrEx>
        <w:trPr>
          <w:trHeight w:val="233"/>
        </w:trPr>
        <w:tc>
          <w:tcPr>
            <w:tcW w:w="0" w:type="auto"/>
            <w:vMerge/>
            <w:tcBorders>
              <w:bottom w:val="single" w:sz="12" w:space="0" w:color="auto"/>
            </w:tcBorders>
            <w:vAlign w:val="center"/>
            <w:hideMark/>
          </w:tcPr>
          <w:p w14:paraId="4C4924CF" w14:textId="77777777" w:rsidR="00FC0BC6" w:rsidRPr="008C52E5" w:rsidRDefault="00FC0BC6" w:rsidP="005C34BE">
            <w:pPr>
              <w:spacing w:before="40" w:after="40"/>
              <w:rPr>
                <w:rFonts w:ascii="Times New Roman" w:eastAsia="Times New Roman" w:hAnsi="Times New Roman"/>
                <w:sz w:val="18"/>
                <w:szCs w:val="18"/>
                <w:lang w:val="fr-FR" w:eastAsia="zh-CN"/>
              </w:rPr>
            </w:pPr>
          </w:p>
        </w:tc>
        <w:tc>
          <w:tcPr>
            <w:tcW w:w="7204" w:type="dxa"/>
            <w:tcMar>
              <w:top w:w="0" w:type="dxa"/>
              <w:left w:w="108" w:type="dxa"/>
              <w:bottom w:w="0" w:type="dxa"/>
              <w:right w:w="108" w:type="dxa"/>
            </w:tcMar>
            <w:hideMark/>
          </w:tcPr>
          <w:p w14:paraId="2D15F12B" w14:textId="7435D72A" w:rsidR="00FC0BC6" w:rsidRPr="008C52E5" w:rsidRDefault="007D0C09" w:rsidP="005C34BE">
            <w:pPr>
              <w:pStyle w:val="Normal-pool"/>
              <w:keepNext/>
              <w:spacing w:before="40" w:after="40"/>
              <w:rPr>
                <w:sz w:val="18"/>
                <w:szCs w:val="18"/>
                <w:lang w:val="fr-FR" w:eastAsia="zh-CN"/>
              </w:rPr>
            </w:pPr>
            <w:r w:rsidRPr="008C52E5">
              <w:rPr>
                <w:sz w:val="18"/>
                <w:szCs w:val="18"/>
                <w:lang w:val="fr-FR" w:eastAsia="zh-CN"/>
              </w:rPr>
              <w:t xml:space="preserve">Activités </w:t>
            </w:r>
            <w:r w:rsidR="00DB2129" w:rsidRPr="008C52E5">
              <w:rPr>
                <w:sz w:val="18"/>
                <w:szCs w:val="18"/>
                <w:lang w:val="fr-FR" w:eastAsia="zh-CN"/>
              </w:rPr>
              <w:t xml:space="preserve">propres </w:t>
            </w:r>
            <w:r w:rsidRPr="008C52E5">
              <w:rPr>
                <w:sz w:val="18"/>
                <w:szCs w:val="18"/>
                <w:lang w:val="fr-FR" w:eastAsia="zh-CN"/>
              </w:rPr>
              <w:t>au produit </w:t>
            </w:r>
            <w:r w:rsidR="00FC0BC6" w:rsidRPr="008C52E5">
              <w:rPr>
                <w:sz w:val="18"/>
                <w:szCs w:val="18"/>
                <w:lang w:val="fr-FR" w:eastAsia="zh-CN"/>
              </w:rPr>
              <w:t>2</w:t>
            </w:r>
            <w:r w:rsidRPr="008C52E5">
              <w:rPr>
                <w:sz w:val="18"/>
                <w:szCs w:val="18"/>
                <w:lang w:val="fr-FR" w:eastAsia="zh-CN"/>
              </w:rPr>
              <w:t> </w:t>
            </w:r>
            <w:r w:rsidR="00FC0BC6" w:rsidRPr="008C52E5">
              <w:rPr>
                <w:sz w:val="18"/>
                <w:szCs w:val="18"/>
                <w:lang w:val="fr-FR" w:eastAsia="zh-CN"/>
              </w:rPr>
              <w:t>b</w:t>
            </w:r>
            <w:r w:rsidR="00F121C3" w:rsidRPr="008C52E5">
              <w:rPr>
                <w:sz w:val="18"/>
                <w:szCs w:val="18"/>
                <w:lang w:val="fr-FR" w:eastAsia="zh-CN"/>
              </w:rPr>
              <w:t>)</w:t>
            </w:r>
            <w:r w:rsidRPr="008C52E5">
              <w:rPr>
                <w:sz w:val="18"/>
                <w:szCs w:val="18"/>
                <w:lang w:val="fr-FR" w:eastAsia="zh-CN"/>
              </w:rPr>
              <w:t> </w:t>
            </w:r>
            <w:r w:rsidR="00FC0BC6" w:rsidRPr="008C52E5">
              <w:rPr>
                <w:sz w:val="18"/>
                <w:szCs w:val="18"/>
                <w:lang w:val="fr-FR" w:eastAsia="zh-CN"/>
              </w:rPr>
              <w:t>:</w:t>
            </w:r>
          </w:p>
          <w:p w14:paraId="3DD1C701" w14:textId="03FA80F5" w:rsidR="00FC0BC6" w:rsidRPr="008C52E5" w:rsidRDefault="007D0C09" w:rsidP="005C34BE">
            <w:pPr>
              <w:pStyle w:val="Normal-pool"/>
              <w:keepNext/>
              <w:tabs>
                <w:tab w:val="left" w:pos="4779"/>
              </w:tabs>
              <w:spacing w:before="40" w:after="40"/>
              <w:ind w:left="288"/>
              <w:rPr>
                <w:sz w:val="18"/>
                <w:szCs w:val="18"/>
                <w:lang w:val="fr-FR" w:eastAsia="zh-CN"/>
              </w:rPr>
            </w:pPr>
            <w:r w:rsidRPr="008C52E5">
              <w:rPr>
                <w:sz w:val="18"/>
                <w:szCs w:val="18"/>
                <w:lang w:val="fr-FR" w:eastAsia="zh-CN"/>
              </w:rPr>
              <w:t>Facilitation de l’accès aux connaissances spécialisées et à l’information</w:t>
            </w:r>
            <w:r w:rsidR="00FC0BC6" w:rsidRPr="008C52E5">
              <w:rPr>
                <w:sz w:val="18"/>
                <w:szCs w:val="18"/>
                <w:lang w:val="fr-FR" w:eastAsia="zh-CN"/>
              </w:rPr>
              <w:t>,</w:t>
            </w:r>
            <w:r w:rsidRPr="008C52E5">
              <w:rPr>
                <w:sz w:val="18"/>
                <w:szCs w:val="18"/>
                <w:lang w:val="fr-FR" w:eastAsia="zh-CN"/>
              </w:rPr>
              <w:t xml:space="preserve"> notamment</w:t>
            </w:r>
            <w:r w:rsidR="00392FDB" w:rsidRPr="008C52E5">
              <w:rPr>
                <w:sz w:val="18"/>
                <w:szCs w:val="18"/>
                <w:lang w:val="fr-FR" w:eastAsia="zh-CN"/>
              </w:rPr>
              <w:t xml:space="preserve"> l’utilisation de produits achevés de </w:t>
            </w:r>
            <w:r w:rsidR="00944F83" w:rsidRPr="008C52E5">
              <w:rPr>
                <w:sz w:val="18"/>
                <w:szCs w:val="18"/>
                <w:lang w:val="fr-FR" w:eastAsia="zh-CN"/>
              </w:rPr>
              <w:t>la Plateforme</w:t>
            </w:r>
          </w:p>
        </w:tc>
      </w:tr>
      <w:tr w:rsidR="00FC0BC6" w:rsidRPr="0082513F" w14:paraId="64B91D32" w14:textId="77777777" w:rsidTr="005C34BE">
        <w:tblPrEx>
          <w:tblCellMar>
            <w:left w:w="0" w:type="dxa"/>
            <w:right w:w="0" w:type="dxa"/>
          </w:tblCellMar>
        </w:tblPrEx>
        <w:trPr>
          <w:trHeight w:val="233"/>
        </w:trPr>
        <w:tc>
          <w:tcPr>
            <w:tcW w:w="0" w:type="auto"/>
            <w:vMerge/>
            <w:tcBorders>
              <w:bottom w:val="single" w:sz="12" w:space="0" w:color="auto"/>
            </w:tcBorders>
            <w:vAlign w:val="center"/>
            <w:hideMark/>
          </w:tcPr>
          <w:p w14:paraId="3C5A3F00" w14:textId="77777777" w:rsidR="00FC0BC6" w:rsidRPr="008C52E5" w:rsidRDefault="00FC0BC6" w:rsidP="005C34BE">
            <w:pPr>
              <w:spacing w:before="40" w:after="40"/>
              <w:rPr>
                <w:rFonts w:ascii="Times New Roman" w:eastAsia="Times New Roman" w:hAnsi="Times New Roman"/>
                <w:sz w:val="18"/>
                <w:szCs w:val="18"/>
                <w:lang w:val="fr-FR" w:eastAsia="zh-CN"/>
              </w:rPr>
            </w:pPr>
          </w:p>
        </w:tc>
        <w:tc>
          <w:tcPr>
            <w:tcW w:w="7204" w:type="dxa"/>
            <w:tcBorders>
              <w:bottom w:val="single" w:sz="12" w:space="0" w:color="auto"/>
            </w:tcBorders>
            <w:tcMar>
              <w:top w:w="0" w:type="dxa"/>
              <w:left w:w="108" w:type="dxa"/>
              <w:bottom w:w="0" w:type="dxa"/>
              <w:right w:w="108" w:type="dxa"/>
            </w:tcMar>
            <w:hideMark/>
          </w:tcPr>
          <w:p w14:paraId="6D2FA6A8" w14:textId="6BCC0CCF" w:rsidR="00FC0BC6" w:rsidRPr="008C52E5" w:rsidRDefault="007D0C09" w:rsidP="005C34BE">
            <w:pPr>
              <w:pStyle w:val="Normal-pool"/>
              <w:keepNext/>
              <w:spacing w:before="40" w:after="40"/>
              <w:rPr>
                <w:sz w:val="18"/>
                <w:szCs w:val="18"/>
                <w:lang w:val="fr-FR" w:eastAsia="zh-CN"/>
              </w:rPr>
            </w:pPr>
            <w:r w:rsidRPr="008C52E5">
              <w:rPr>
                <w:sz w:val="18"/>
                <w:szCs w:val="18"/>
                <w:lang w:val="fr-FR" w:eastAsia="zh-CN"/>
              </w:rPr>
              <w:t xml:space="preserve">Activités </w:t>
            </w:r>
            <w:r w:rsidR="00DB2129" w:rsidRPr="008C52E5">
              <w:rPr>
                <w:sz w:val="18"/>
                <w:szCs w:val="18"/>
                <w:lang w:val="fr-FR" w:eastAsia="zh-CN"/>
              </w:rPr>
              <w:t xml:space="preserve">propres </w:t>
            </w:r>
            <w:r w:rsidRPr="008C52E5">
              <w:rPr>
                <w:sz w:val="18"/>
                <w:szCs w:val="18"/>
                <w:lang w:val="fr-FR" w:eastAsia="zh-CN"/>
              </w:rPr>
              <w:t>au produit </w:t>
            </w:r>
            <w:r w:rsidR="00FC0BC6" w:rsidRPr="008C52E5">
              <w:rPr>
                <w:sz w:val="18"/>
                <w:szCs w:val="18"/>
                <w:lang w:val="fr-FR" w:eastAsia="zh-CN"/>
              </w:rPr>
              <w:t>2</w:t>
            </w:r>
            <w:r w:rsidRPr="008C52E5">
              <w:rPr>
                <w:sz w:val="18"/>
                <w:szCs w:val="18"/>
                <w:lang w:val="fr-FR" w:eastAsia="zh-CN"/>
              </w:rPr>
              <w:t> </w:t>
            </w:r>
            <w:r w:rsidR="00FC0BC6" w:rsidRPr="008C52E5">
              <w:rPr>
                <w:sz w:val="18"/>
                <w:szCs w:val="18"/>
                <w:lang w:val="fr-FR" w:eastAsia="zh-CN"/>
              </w:rPr>
              <w:t>c</w:t>
            </w:r>
            <w:r w:rsidR="00F121C3" w:rsidRPr="008C52E5">
              <w:rPr>
                <w:sz w:val="18"/>
                <w:szCs w:val="18"/>
                <w:lang w:val="fr-FR" w:eastAsia="zh-CN"/>
              </w:rPr>
              <w:t>)</w:t>
            </w:r>
            <w:r w:rsidRPr="008C52E5">
              <w:rPr>
                <w:sz w:val="18"/>
                <w:szCs w:val="18"/>
                <w:lang w:val="fr-FR" w:eastAsia="zh-CN"/>
              </w:rPr>
              <w:t> </w:t>
            </w:r>
            <w:r w:rsidR="00FC0BC6" w:rsidRPr="008C52E5">
              <w:rPr>
                <w:sz w:val="18"/>
                <w:szCs w:val="18"/>
                <w:lang w:val="fr-FR" w:eastAsia="zh-CN"/>
              </w:rPr>
              <w:t>:</w:t>
            </w:r>
          </w:p>
          <w:p w14:paraId="58197C0E" w14:textId="2D498A9C" w:rsidR="00EB236B" w:rsidRPr="008C52E5" w:rsidRDefault="00FC0BC6" w:rsidP="005C34BE">
            <w:pPr>
              <w:pStyle w:val="Normal-pool"/>
              <w:keepNext/>
              <w:tabs>
                <w:tab w:val="left" w:pos="4779"/>
              </w:tabs>
              <w:spacing w:before="40" w:after="40"/>
              <w:ind w:left="288"/>
              <w:rPr>
                <w:sz w:val="18"/>
                <w:szCs w:val="18"/>
                <w:lang w:val="fr-FR" w:eastAsia="zh-CN"/>
              </w:rPr>
            </w:pPr>
            <w:r w:rsidRPr="008C52E5">
              <w:rPr>
                <w:sz w:val="18"/>
                <w:szCs w:val="18"/>
                <w:lang w:val="fr-FR" w:eastAsia="zh-CN"/>
              </w:rPr>
              <w:t>Activit</w:t>
            </w:r>
            <w:r w:rsidR="00392FDB" w:rsidRPr="008C52E5">
              <w:rPr>
                <w:sz w:val="18"/>
                <w:szCs w:val="18"/>
                <w:lang w:val="fr-FR" w:eastAsia="zh-CN"/>
              </w:rPr>
              <w:t>és liées au renforcement des capacités national</w:t>
            </w:r>
            <w:r w:rsidR="00715BC5">
              <w:rPr>
                <w:sz w:val="18"/>
                <w:szCs w:val="18"/>
                <w:lang w:val="fr-FR" w:eastAsia="zh-CN"/>
              </w:rPr>
              <w:t>es et régionales, notamment les </w:t>
            </w:r>
            <w:r w:rsidR="00392FDB" w:rsidRPr="008C52E5">
              <w:rPr>
                <w:sz w:val="18"/>
                <w:szCs w:val="18"/>
                <w:lang w:val="fr-FR" w:eastAsia="zh-CN"/>
              </w:rPr>
              <w:t xml:space="preserve">efforts visant à encourager la mise en place de plateformes nationales ainsi que l’utilisation de méthodologies et du cadre conceptuel de </w:t>
            </w:r>
            <w:r w:rsidR="00944F83" w:rsidRPr="008C52E5">
              <w:rPr>
                <w:sz w:val="18"/>
                <w:szCs w:val="18"/>
                <w:lang w:val="fr-FR" w:eastAsia="zh-CN"/>
              </w:rPr>
              <w:t>la Plateforme</w:t>
            </w:r>
            <w:r w:rsidR="00715BC5">
              <w:rPr>
                <w:sz w:val="18"/>
                <w:szCs w:val="18"/>
                <w:lang w:val="fr-FR" w:eastAsia="zh-CN"/>
              </w:rPr>
              <w:t xml:space="preserve"> dans les politiques, les </w:t>
            </w:r>
            <w:r w:rsidR="00392FDB" w:rsidRPr="008C52E5">
              <w:rPr>
                <w:sz w:val="18"/>
                <w:szCs w:val="18"/>
                <w:lang w:val="fr-FR" w:eastAsia="zh-CN"/>
              </w:rPr>
              <w:t>programmes et les évaluations nationaux ou sous-régionaux</w:t>
            </w:r>
          </w:p>
        </w:tc>
      </w:tr>
    </w:tbl>
    <w:p w14:paraId="2CA1E786" w14:textId="75DACAAC" w:rsidR="00697A66" w:rsidRPr="008C52E5" w:rsidRDefault="00771BDE" w:rsidP="0044443E">
      <w:pPr>
        <w:pStyle w:val="CH1"/>
        <w:tabs>
          <w:tab w:val="clear" w:pos="851"/>
        </w:tabs>
        <w:ind w:hanging="680"/>
        <w:rPr>
          <w:lang w:val="fr-FR"/>
        </w:rPr>
      </w:pPr>
      <w:r w:rsidRPr="008C52E5">
        <w:rPr>
          <w:lang w:val="fr-FR"/>
        </w:rPr>
        <w:t>I</w:t>
      </w:r>
      <w:r w:rsidR="00390AA2" w:rsidRPr="008C52E5">
        <w:rPr>
          <w:lang w:val="fr-FR"/>
        </w:rPr>
        <w:t>II</w:t>
      </w:r>
      <w:r w:rsidRPr="008C52E5">
        <w:rPr>
          <w:lang w:val="fr-FR"/>
        </w:rPr>
        <w:t>.</w:t>
      </w:r>
      <w:r w:rsidRPr="008C52E5">
        <w:rPr>
          <w:lang w:val="fr-FR"/>
        </w:rPr>
        <w:tab/>
      </w:r>
      <w:r w:rsidR="003B57A4" w:rsidRPr="008C52E5">
        <w:rPr>
          <w:lang w:val="fr-FR"/>
        </w:rPr>
        <w:t>Objecti</w:t>
      </w:r>
      <w:r w:rsidR="00392FDB" w:rsidRPr="008C52E5">
        <w:rPr>
          <w:lang w:val="fr-FR"/>
        </w:rPr>
        <w:t>f </w:t>
      </w:r>
      <w:r w:rsidR="003B57A4" w:rsidRPr="008C52E5">
        <w:rPr>
          <w:lang w:val="fr-FR"/>
        </w:rPr>
        <w:t>3</w:t>
      </w:r>
      <w:r w:rsidR="00392FDB" w:rsidRPr="008C52E5">
        <w:rPr>
          <w:lang w:val="fr-FR"/>
        </w:rPr>
        <w:t> </w:t>
      </w:r>
      <w:r w:rsidR="003B57A4" w:rsidRPr="008C52E5">
        <w:rPr>
          <w:lang w:val="fr-FR"/>
        </w:rPr>
        <w:t xml:space="preserve">: </w:t>
      </w:r>
      <w:r w:rsidR="00392FDB" w:rsidRPr="008C52E5">
        <w:rPr>
          <w:lang w:val="fr-FR"/>
        </w:rPr>
        <w:t>Renforcer les connaissances</w:t>
      </w:r>
    </w:p>
    <w:p w14:paraId="5A3BC9C8" w14:textId="3B08D56A" w:rsidR="003B57A4" w:rsidRPr="008C52E5" w:rsidRDefault="00CB3B9B" w:rsidP="0044443E">
      <w:pPr>
        <w:pStyle w:val="CH2"/>
        <w:tabs>
          <w:tab w:val="clear" w:pos="851"/>
        </w:tabs>
        <w:ind w:hanging="680"/>
        <w:rPr>
          <w:lang w:val="fr-FR"/>
        </w:rPr>
      </w:pPr>
      <w:r w:rsidRPr="008C52E5">
        <w:rPr>
          <w:lang w:val="fr-FR"/>
        </w:rPr>
        <w:t>A.</w:t>
      </w:r>
      <w:r w:rsidRPr="008C52E5">
        <w:rPr>
          <w:lang w:val="fr-FR"/>
        </w:rPr>
        <w:tab/>
      </w:r>
      <w:r w:rsidR="00392FDB" w:rsidRPr="008C52E5">
        <w:rPr>
          <w:lang w:val="fr-FR"/>
        </w:rPr>
        <w:t>Produit </w:t>
      </w:r>
      <w:r w:rsidR="003B57A4" w:rsidRPr="008C52E5">
        <w:rPr>
          <w:lang w:val="fr-FR"/>
        </w:rPr>
        <w:t>3</w:t>
      </w:r>
      <w:r w:rsidR="00392FDB" w:rsidRPr="008C52E5">
        <w:rPr>
          <w:lang w:val="fr-FR"/>
        </w:rPr>
        <w:t> </w:t>
      </w:r>
      <w:r w:rsidR="003B57A4" w:rsidRPr="008C52E5">
        <w:rPr>
          <w:lang w:val="fr-FR"/>
        </w:rPr>
        <w:t>a</w:t>
      </w:r>
      <w:r w:rsidR="00052EA6" w:rsidRPr="008C52E5">
        <w:rPr>
          <w:lang w:val="fr-FR"/>
        </w:rPr>
        <w:t>)</w:t>
      </w:r>
      <w:r w:rsidR="00392FDB" w:rsidRPr="008C52E5">
        <w:rPr>
          <w:lang w:val="fr-FR"/>
        </w:rPr>
        <w:t> </w:t>
      </w:r>
      <w:r w:rsidR="003B57A4" w:rsidRPr="008C52E5">
        <w:rPr>
          <w:lang w:val="fr-FR"/>
        </w:rPr>
        <w:t xml:space="preserve">: </w:t>
      </w:r>
      <w:r w:rsidR="00392FDB" w:rsidRPr="008C52E5">
        <w:rPr>
          <w:lang w:val="fr-FR"/>
        </w:rPr>
        <w:t>travaux avancés sur les connaissances et les données</w:t>
      </w:r>
    </w:p>
    <w:p w14:paraId="42B8F026" w14:textId="11D684D2" w:rsidR="0043299F" w:rsidRPr="008C52E5" w:rsidRDefault="00E63AFB" w:rsidP="0044443E">
      <w:pPr>
        <w:pStyle w:val="CH3"/>
        <w:tabs>
          <w:tab w:val="clear" w:pos="851"/>
        </w:tabs>
        <w:ind w:hanging="680"/>
        <w:rPr>
          <w:rFonts w:eastAsia="SimSun"/>
          <w:lang w:val="fr-FR" w:eastAsia="zh-CN"/>
        </w:rPr>
      </w:pPr>
      <w:bookmarkStart w:id="5" w:name="_Hlk523988766"/>
      <w:r w:rsidRPr="008C52E5">
        <w:rPr>
          <w:rFonts w:eastAsia="SimSun"/>
          <w:lang w:val="fr-FR" w:eastAsia="zh-CN"/>
        </w:rPr>
        <w:t>1.</w:t>
      </w:r>
      <w:r w:rsidRPr="008C52E5">
        <w:rPr>
          <w:rFonts w:eastAsia="SimSun"/>
          <w:lang w:val="fr-FR" w:eastAsia="zh-CN"/>
        </w:rPr>
        <w:tab/>
      </w:r>
      <w:r w:rsidR="00392FDB" w:rsidRPr="008C52E5">
        <w:rPr>
          <w:rFonts w:eastAsia="SimSun"/>
          <w:lang w:val="fr-FR" w:eastAsia="zh-CN"/>
        </w:rPr>
        <w:t>Contexte</w:t>
      </w:r>
    </w:p>
    <w:p w14:paraId="4BE1AA43" w14:textId="5DEB5007" w:rsidR="0043299F" w:rsidRPr="008C52E5" w:rsidRDefault="00392FDB" w:rsidP="0043299F">
      <w:pPr>
        <w:pStyle w:val="Normalnumber"/>
        <w:numPr>
          <w:ilvl w:val="0"/>
          <w:numId w:val="5"/>
        </w:numPr>
        <w:tabs>
          <w:tab w:val="left" w:pos="1871"/>
          <w:tab w:val="left" w:pos="2495"/>
        </w:tabs>
        <w:ind w:left="1247" w:firstLine="0"/>
        <w:rPr>
          <w:lang w:val="fr-FR" w:eastAsia="nb-NO"/>
        </w:rPr>
      </w:pPr>
      <w:r w:rsidRPr="008C52E5">
        <w:rPr>
          <w:lang w:val="fr-FR" w:eastAsia="en-GB"/>
        </w:rPr>
        <w:t>Le premier programme de travail comprenait le produit </w:t>
      </w:r>
      <w:r w:rsidR="0043299F" w:rsidRPr="008C52E5">
        <w:rPr>
          <w:lang w:val="fr-FR"/>
        </w:rPr>
        <w:t>1</w:t>
      </w:r>
      <w:r w:rsidRPr="008C52E5">
        <w:rPr>
          <w:lang w:val="fr-FR"/>
        </w:rPr>
        <w:t> </w:t>
      </w:r>
      <w:r w:rsidR="0043299F" w:rsidRPr="008C52E5">
        <w:rPr>
          <w:lang w:val="fr-FR"/>
        </w:rPr>
        <w:t>d)</w:t>
      </w:r>
      <w:r w:rsidRPr="008C52E5">
        <w:rPr>
          <w:lang w:val="fr-FR"/>
        </w:rPr>
        <w:t> </w:t>
      </w:r>
      <w:r w:rsidR="0043299F" w:rsidRPr="008C52E5">
        <w:rPr>
          <w:lang w:val="fr-FR"/>
        </w:rPr>
        <w:t xml:space="preserve">: </w:t>
      </w:r>
      <w:r w:rsidR="0031432A" w:rsidRPr="008C52E5">
        <w:rPr>
          <w:lang w:val="fr-FR"/>
        </w:rPr>
        <w:t xml:space="preserve">« Répondre aux besoins prioritaires en matière de connaissances et de données aux fins de </w:t>
      </w:r>
      <w:r w:rsidR="00E9140B">
        <w:rPr>
          <w:lang w:val="fr-FR"/>
        </w:rPr>
        <w:t>l’élaboration des politiques en </w:t>
      </w:r>
      <w:r w:rsidR="0031432A" w:rsidRPr="008C52E5">
        <w:rPr>
          <w:lang w:val="fr-FR"/>
        </w:rPr>
        <w:t>catalysant les efforts visant à engendrer de nouvelles connaissances e</w:t>
      </w:r>
      <w:r w:rsidR="00E9140B">
        <w:rPr>
          <w:lang w:val="fr-FR"/>
        </w:rPr>
        <w:t>t exploiter les réseaux » et le </w:t>
      </w:r>
      <w:r w:rsidR="0031432A" w:rsidRPr="008C52E5">
        <w:rPr>
          <w:lang w:val="fr-FR"/>
        </w:rPr>
        <w:t>produit </w:t>
      </w:r>
      <w:r w:rsidR="0043299F" w:rsidRPr="008C52E5">
        <w:rPr>
          <w:lang w:val="fr-FR"/>
        </w:rPr>
        <w:t>4</w:t>
      </w:r>
      <w:r w:rsidR="0031432A" w:rsidRPr="008C52E5">
        <w:rPr>
          <w:lang w:val="fr-FR"/>
        </w:rPr>
        <w:t> </w:t>
      </w:r>
      <w:r w:rsidR="0043299F" w:rsidRPr="008C52E5">
        <w:rPr>
          <w:lang w:val="fr-FR"/>
        </w:rPr>
        <w:t>b)</w:t>
      </w:r>
      <w:r w:rsidR="0031432A" w:rsidRPr="008C52E5">
        <w:rPr>
          <w:lang w:val="fr-FR"/>
        </w:rPr>
        <w:t> </w:t>
      </w:r>
      <w:r w:rsidR="0043299F" w:rsidRPr="008C52E5">
        <w:rPr>
          <w:lang w:val="fr-FR"/>
        </w:rPr>
        <w:t xml:space="preserve">: </w:t>
      </w:r>
      <w:r w:rsidR="0031432A" w:rsidRPr="008C52E5">
        <w:rPr>
          <w:lang w:val="fr-FR"/>
        </w:rPr>
        <w:t>« Élaborer un plan de gestion de l’information et des données »</w:t>
      </w:r>
      <w:r w:rsidR="0043299F" w:rsidRPr="008C52E5">
        <w:rPr>
          <w:lang w:val="fr-FR"/>
        </w:rPr>
        <w:t xml:space="preserve">. </w:t>
      </w:r>
      <w:r w:rsidR="0031432A" w:rsidRPr="008C52E5">
        <w:rPr>
          <w:lang w:val="fr-FR"/>
        </w:rPr>
        <w:t xml:space="preserve">La Plénière a ensuite </w:t>
      </w:r>
      <w:r w:rsidR="00D17CA1" w:rsidRPr="008C52E5">
        <w:rPr>
          <w:lang w:val="fr-FR"/>
        </w:rPr>
        <w:t>créé</w:t>
      </w:r>
      <w:r w:rsidR="0031432A" w:rsidRPr="008C52E5">
        <w:rPr>
          <w:lang w:val="fr-FR"/>
        </w:rPr>
        <w:t xml:space="preserve"> une équipe spéciale </w:t>
      </w:r>
      <w:r w:rsidR="00D17CA1" w:rsidRPr="008C52E5">
        <w:rPr>
          <w:lang w:val="fr-FR"/>
        </w:rPr>
        <w:t xml:space="preserve">chargée de l’exécution </w:t>
      </w:r>
      <w:r w:rsidR="0031432A" w:rsidRPr="008C52E5">
        <w:rPr>
          <w:lang w:val="fr-FR"/>
        </w:rPr>
        <w:t>de ces produits, dont le mandat figure dans l’annexe III de la décision IPBES-2/5</w:t>
      </w:r>
      <w:r w:rsidR="0043299F" w:rsidRPr="008C52E5">
        <w:rPr>
          <w:lang w:val="fr-FR"/>
        </w:rPr>
        <w:t>. Dur</w:t>
      </w:r>
      <w:r w:rsidR="0031432A" w:rsidRPr="008C52E5">
        <w:rPr>
          <w:lang w:val="fr-FR"/>
        </w:rPr>
        <w:t>ant le premier programme de travail, l’équipe spéciale sur les données et les connaissances a mené ses travaux dans le cadre de trois groupes de travail afin d’appuyer la production d’évaluations </w:t>
      </w:r>
      <w:r w:rsidR="0043299F" w:rsidRPr="008C52E5">
        <w:rPr>
          <w:lang w:val="fr-FR"/>
        </w:rPr>
        <w:t>:</w:t>
      </w:r>
      <w:r w:rsidR="0031432A" w:rsidRPr="008C52E5">
        <w:rPr>
          <w:lang w:val="fr-FR"/>
        </w:rPr>
        <w:t xml:space="preserve"> un groupe a travaillé sur les indicateurs et les données aux fins des évaluations de </w:t>
      </w:r>
      <w:r w:rsidR="00944F83" w:rsidRPr="008C52E5">
        <w:rPr>
          <w:lang w:val="fr-FR"/>
        </w:rPr>
        <w:t>la Plateforme</w:t>
      </w:r>
      <w:r w:rsidR="0028658A" w:rsidRPr="008C52E5">
        <w:rPr>
          <w:lang w:val="fr-FR"/>
        </w:rPr>
        <w:t>,</w:t>
      </w:r>
      <w:r w:rsidR="0031432A" w:rsidRPr="008C52E5">
        <w:rPr>
          <w:lang w:val="fr-FR"/>
        </w:rPr>
        <w:t xml:space="preserve"> un autre a travaillé sur l’infrastructure en ligne à l’appui des besoins</w:t>
      </w:r>
      <w:r w:rsidR="0028658A" w:rsidRPr="008C52E5">
        <w:rPr>
          <w:lang w:val="fr-FR"/>
        </w:rPr>
        <w:t xml:space="preserve"> en matière</w:t>
      </w:r>
      <w:r w:rsidR="0031432A" w:rsidRPr="008C52E5">
        <w:rPr>
          <w:lang w:val="fr-FR"/>
        </w:rPr>
        <w:t xml:space="preserve"> de gestion des données et de </w:t>
      </w:r>
      <w:r w:rsidR="002D471D" w:rsidRPr="008C52E5">
        <w:rPr>
          <w:lang w:val="fr-FR"/>
        </w:rPr>
        <w:t>l’i</w:t>
      </w:r>
      <w:r w:rsidR="0031432A" w:rsidRPr="008C52E5">
        <w:rPr>
          <w:lang w:val="fr-FR"/>
        </w:rPr>
        <w:t>nformation</w:t>
      </w:r>
      <w:r w:rsidR="0043299F" w:rsidRPr="008C52E5">
        <w:rPr>
          <w:lang w:val="fr-FR"/>
        </w:rPr>
        <w:t xml:space="preserve"> </w:t>
      </w:r>
      <w:r w:rsidR="0028658A" w:rsidRPr="008C52E5">
        <w:rPr>
          <w:lang w:val="fr-FR"/>
        </w:rPr>
        <w:t xml:space="preserve">et un troisième a </w:t>
      </w:r>
      <w:r w:rsidR="00D17CA1" w:rsidRPr="008C52E5">
        <w:rPr>
          <w:lang w:val="fr-FR"/>
        </w:rPr>
        <w:t xml:space="preserve">œuvré à </w:t>
      </w:r>
      <w:r w:rsidR="0028658A" w:rsidRPr="008C52E5">
        <w:rPr>
          <w:lang w:val="fr-FR"/>
        </w:rPr>
        <w:t>la production de connaissances</w:t>
      </w:r>
      <w:r w:rsidR="0043299F" w:rsidRPr="008C52E5">
        <w:rPr>
          <w:lang w:val="fr-FR"/>
        </w:rPr>
        <w:t xml:space="preserve">. </w:t>
      </w:r>
    </w:p>
    <w:p w14:paraId="2B4D989E" w14:textId="7662033D" w:rsidR="0043299F" w:rsidRPr="008C52E5" w:rsidRDefault="002D471D" w:rsidP="0043299F">
      <w:pPr>
        <w:pStyle w:val="Normalnumber"/>
        <w:numPr>
          <w:ilvl w:val="0"/>
          <w:numId w:val="5"/>
        </w:numPr>
        <w:tabs>
          <w:tab w:val="left" w:pos="1871"/>
          <w:tab w:val="left" w:pos="2495"/>
        </w:tabs>
        <w:ind w:left="1247" w:firstLine="0"/>
        <w:rPr>
          <w:lang w:val="fr-FR" w:eastAsia="nb-NO"/>
        </w:rPr>
      </w:pPr>
      <w:r w:rsidRPr="008C52E5">
        <w:rPr>
          <w:lang w:val="fr-FR" w:eastAsia="nb-NO"/>
        </w:rPr>
        <w:t>Le groupe de travail sur les indicateurs s’est chargé du mandat de l’équipe spéciale consistant à</w:t>
      </w:r>
      <w:r w:rsidR="0043299F" w:rsidRPr="008C52E5">
        <w:rPr>
          <w:lang w:val="fr-FR" w:eastAsia="nb-NO"/>
        </w:rPr>
        <w:t xml:space="preserve"> </w:t>
      </w:r>
      <w:r w:rsidRPr="008C52E5">
        <w:rPr>
          <w:lang w:val="fr-FR" w:eastAsia="nb-NO"/>
        </w:rPr>
        <w:t>formuler des avis sur les indicateurs et les mesures à utiliser pour les produits de la Plateforme ainsi que sur les normes à appliquer pour recueillir et gérer les données qui leur sont associées</w:t>
      </w:r>
      <w:r w:rsidR="0043299F" w:rsidRPr="008C52E5">
        <w:rPr>
          <w:lang w:val="fr-FR" w:eastAsia="nb-NO"/>
        </w:rPr>
        <w:t xml:space="preserve">. </w:t>
      </w:r>
      <w:r w:rsidR="00715BC5">
        <w:rPr>
          <w:lang w:val="fr-FR" w:eastAsia="nb-NO"/>
        </w:rPr>
        <w:t>Il a </w:t>
      </w:r>
      <w:r w:rsidRPr="008C52E5">
        <w:rPr>
          <w:lang w:val="fr-FR" w:eastAsia="nb-NO"/>
        </w:rPr>
        <w:t>également répondu aux demandes contenues dans les documents de cadrage pour les évaluations régionales et l’évaluation mondiale</w:t>
      </w:r>
      <w:r w:rsidR="0043299F" w:rsidRPr="008C52E5">
        <w:rPr>
          <w:lang w:val="fr-FR" w:eastAsia="nb-NO"/>
        </w:rPr>
        <w:t xml:space="preserve"> </w:t>
      </w:r>
      <w:r w:rsidRPr="008C52E5">
        <w:rPr>
          <w:lang w:val="fr-FR" w:eastAsia="nb-NO"/>
        </w:rPr>
        <w:t>de la biodiversité et des services écosystémiques</w:t>
      </w:r>
      <w:r w:rsidR="00F80BD1" w:rsidRPr="008C52E5">
        <w:rPr>
          <w:lang w:val="fr-FR" w:eastAsia="nb-NO"/>
        </w:rPr>
        <w:t xml:space="preserve"> en vue d’un cadre commun sur les normes en matière de données</w:t>
      </w:r>
      <w:r w:rsidR="0043299F" w:rsidRPr="008C52E5">
        <w:rPr>
          <w:lang w:val="fr-FR" w:eastAsia="nb-NO"/>
        </w:rPr>
        <w:t xml:space="preserve">, </w:t>
      </w:r>
      <w:r w:rsidR="003E69CE" w:rsidRPr="008C52E5">
        <w:rPr>
          <w:lang w:val="fr-FR" w:eastAsia="nb-NO"/>
        </w:rPr>
        <w:t>d’orientations sur le contrôle de</w:t>
      </w:r>
      <w:r w:rsidR="0043299F" w:rsidRPr="008C52E5">
        <w:rPr>
          <w:lang w:val="fr-FR" w:eastAsia="nb-NO"/>
        </w:rPr>
        <w:t xml:space="preserve"> </w:t>
      </w:r>
      <w:r w:rsidR="00F80BD1" w:rsidRPr="008C52E5">
        <w:rPr>
          <w:lang w:val="fr-FR" w:eastAsia="nb-NO"/>
        </w:rPr>
        <w:t>la qualité,</w:t>
      </w:r>
      <w:r w:rsidR="003E69CE" w:rsidRPr="008C52E5">
        <w:rPr>
          <w:lang w:val="fr-FR" w:eastAsia="nb-NO"/>
        </w:rPr>
        <w:t xml:space="preserve"> de</w:t>
      </w:r>
      <w:r w:rsidR="00F80BD1" w:rsidRPr="008C52E5">
        <w:rPr>
          <w:lang w:val="fr-FR" w:eastAsia="nb-NO"/>
        </w:rPr>
        <w:t xml:space="preserve"> la fiabilité,</w:t>
      </w:r>
      <w:r w:rsidR="003E69CE" w:rsidRPr="008C52E5">
        <w:rPr>
          <w:lang w:val="fr-FR" w:eastAsia="nb-NO"/>
        </w:rPr>
        <w:t xml:space="preserve"> de</w:t>
      </w:r>
      <w:r w:rsidR="00F80BD1" w:rsidRPr="008C52E5">
        <w:rPr>
          <w:lang w:val="fr-FR" w:eastAsia="nb-NO"/>
        </w:rPr>
        <w:t xml:space="preserve"> la valeur indicative</w:t>
      </w:r>
      <w:r w:rsidR="00A61131" w:rsidRPr="008C52E5">
        <w:rPr>
          <w:lang w:val="fr-FR" w:eastAsia="nb-NO"/>
        </w:rPr>
        <w:t>, des niveaux de référence</w:t>
      </w:r>
      <w:r w:rsidR="00F80BD1" w:rsidRPr="008C52E5">
        <w:rPr>
          <w:lang w:val="fr-FR" w:eastAsia="nb-NO"/>
        </w:rPr>
        <w:t xml:space="preserve"> et </w:t>
      </w:r>
      <w:r w:rsidR="003E69CE" w:rsidRPr="008C52E5">
        <w:rPr>
          <w:lang w:val="fr-FR" w:eastAsia="nb-NO"/>
        </w:rPr>
        <w:t xml:space="preserve">de </w:t>
      </w:r>
      <w:r w:rsidR="00F80BD1" w:rsidRPr="008C52E5">
        <w:rPr>
          <w:lang w:val="fr-FR" w:eastAsia="nb-NO"/>
        </w:rPr>
        <w:t>la représentativité des données et des informations</w:t>
      </w:r>
      <w:r w:rsidR="003E69CE" w:rsidRPr="008C52E5">
        <w:rPr>
          <w:lang w:val="fr-FR" w:eastAsia="nb-NO"/>
        </w:rPr>
        <w:t xml:space="preserve"> ainsi que de l’utilisation d’une série d’indicateurs de base </w:t>
      </w:r>
      <w:r w:rsidR="003C4F99" w:rsidRPr="008C52E5">
        <w:rPr>
          <w:lang w:val="fr-FR" w:eastAsia="nb-NO"/>
        </w:rPr>
        <w:t>assorties de</w:t>
      </w:r>
      <w:r w:rsidR="003E69CE" w:rsidRPr="008C52E5">
        <w:rPr>
          <w:lang w:val="fr-FR" w:eastAsia="nb-NO"/>
        </w:rPr>
        <w:t xml:space="preserve"> niveaux de référence appropriés dans l’ensemble des évaluations mondiales et régionales</w:t>
      </w:r>
      <w:r w:rsidR="0043299F" w:rsidRPr="008C52E5">
        <w:rPr>
          <w:lang w:val="fr-FR" w:eastAsia="nb-NO"/>
        </w:rPr>
        <w:t>.</w:t>
      </w:r>
      <w:r w:rsidR="003E69CE" w:rsidRPr="008C52E5">
        <w:rPr>
          <w:lang w:val="fr-FR" w:eastAsia="nb-NO"/>
        </w:rPr>
        <w:t xml:space="preserve"> Le groupe de travail </w:t>
      </w:r>
      <w:r w:rsidR="00AF2294" w:rsidRPr="008C52E5">
        <w:rPr>
          <w:lang w:val="fr-FR" w:eastAsia="nb-NO"/>
        </w:rPr>
        <w:t xml:space="preserve">a </w:t>
      </w:r>
      <w:r w:rsidR="003E69CE" w:rsidRPr="008C52E5">
        <w:rPr>
          <w:lang w:val="fr-FR" w:eastAsia="nb-NO"/>
        </w:rPr>
        <w:t>établi une liste de 30 « indicateurs de base »</w:t>
      </w:r>
      <w:r w:rsidR="0043299F" w:rsidRPr="008C52E5">
        <w:rPr>
          <w:lang w:val="fr-FR" w:eastAsia="nb-NO"/>
        </w:rPr>
        <w:t>,</w:t>
      </w:r>
      <w:r w:rsidR="003E69CE" w:rsidRPr="008C52E5">
        <w:rPr>
          <w:lang w:val="fr-FR" w:eastAsia="nb-NO"/>
        </w:rPr>
        <w:t xml:space="preserve"> que les auteurs des évaluations ont été </w:t>
      </w:r>
      <w:r w:rsidR="003C4F99" w:rsidRPr="008C52E5">
        <w:rPr>
          <w:lang w:val="fr-FR" w:eastAsia="nb-NO"/>
        </w:rPr>
        <w:t>priés d’</w:t>
      </w:r>
      <w:r w:rsidR="00E9140B">
        <w:rPr>
          <w:lang w:val="fr-FR" w:eastAsia="nb-NO"/>
        </w:rPr>
        <w:t>utiliser en </w:t>
      </w:r>
      <w:r w:rsidR="003E69CE" w:rsidRPr="008C52E5">
        <w:rPr>
          <w:lang w:val="fr-FR" w:eastAsia="nb-NO"/>
        </w:rPr>
        <w:t>plus d’autres indicateurs ou sources de données de leur propre choix, et de</w:t>
      </w:r>
      <w:r w:rsidR="0043299F" w:rsidRPr="008C52E5">
        <w:rPr>
          <w:lang w:val="fr-FR" w:eastAsia="nb-NO"/>
        </w:rPr>
        <w:t xml:space="preserve"> 42</w:t>
      </w:r>
      <w:r w:rsidR="003E69CE" w:rsidRPr="008C52E5">
        <w:rPr>
          <w:lang w:val="fr-FR" w:eastAsia="nb-NO"/>
        </w:rPr>
        <w:t> « indicateurs majeurs », que les au</w:t>
      </w:r>
      <w:r w:rsidR="001E34CB" w:rsidRPr="008C52E5">
        <w:rPr>
          <w:lang w:val="fr-FR" w:eastAsia="nb-NO"/>
        </w:rPr>
        <w:t>teurs des évaluations ont été invités à utiliser</w:t>
      </w:r>
      <w:r w:rsidR="0043299F" w:rsidRPr="008C52E5">
        <w:rPr>
          <w:lang w:val="fr-FR" w:eastAsia="nb-NO"/>
        </w:rPr>
        <w:t xml:space="preserve">, </w:t>
      </w:r>
      <w:r w:rsidR="001E34CB" w:rsidRPr="008C52E5">
        <w:rPr>
          <w:lang w:val="fr-FR" w:eastAsia="nb-NO"/>
        </w:rPr>
        <w:t>sans qu’</w:t>
      </w:r>
      <w:r w:rsidR="00E9140B">
        <w:rPr>
          <w:lang w:val="fr-FR" w:eastAsia="nb-NO"/>
        </w:rPr>
        <w:t>il n’ait été exigé qu’ils </w:t>
      </w:r>
      <w:r w:rsidR="003C4F99" w:rsidRPr="008C52E5">
        <w:rPr>
          <w:lang w:val="fr-FR" w:eastAsia="nb-NO"/>
        </w:rPr>
        <w:t xml:space="preserve">soient utilisés </w:t>
      </w:r>
      <w:r w:rsidR="001E34CB" w:rsidRPr="008C52E5">
        <w:rPr>
          <w:lang w:val="fr-FR" w:eastAsia="nb-NO"/>
        </w:rPr>
        <w:t>systématique</w:t>
      </w:r>
      <w:r w:rsidR="003C4F99" w:rsidRPr="008C52E5">
        <w:rPr>
          <w:lang w:val="fr-FR" w:eastAsia="nb-NO"/>
        </w:rPr>
        <w:t>ment</w:t>
      </w:r>
      <w:r w:rsidR="001E34CB" w:rsidRPr="008C52E5">
        <w:rPr>
          <w:lang w:val="fr-FR" w:eastAsia="nb-NO"/>
        </w:rPr>
        <w:t xml:space="preserve"> dans les évaluations</w:t>
      </w:r>
      <w:r w:rsidR="0043299F" w:rsidRPr="008C52E5">
        <w:rPr>
          <w:rStyle w:val="FootnoteReference"/>
          <w:lang w:val="fr-FR" w:eastAsia="nb-NO"/>
        </w:rPr>
        <w:footnoteReference w:id="8"/>
      </w:r>
      <w:r w:rsidR="001E34CB" w:rsidRPr="008C52E5">
        <w:rPr>
          <w:lang w:val="fr-FR" w:eastAsia="nb-NO"/>
        </w:rPr>
        <w:t>.</w:t>
      </w:r>
      <w:r w:rsidR="003C4F99" w:rsidRPr="008C52E5">
        <w:rPr>
          <w:lang w:val="fr-FR" w:eastAsia="nb-NO"/>
        </w:rPr>
        <w:t xml:space="preserve"> S</w:t>
      </w:r>
      <w:r w:rsidR="001E34CB" w:rsidRPr="008C52E5">
        <w:rPr>
          <w:lang w:val="fr-FR" w:eastAsia="nb-NO"/>
        </w:rPr>
        <w:t xml:space="preserve">ous la direction du groupe de travail, </w:t>
      </w:r>
      <w:r w:rsidR="00E9140B">
        <w:rPr>
          <w:lang w:val="fr-FR" w:eastAsia="nb-NO"/>
        </w:rPr>
        <w:t>le </w:t>
      </w:r>
      <w:r w:rsidR="003C4F99" w:rsidRPr="008C52E5">
        <w:rPr>
          <w:lang w:val="fr-FR" w:eastAsia="nb-NO"/>
        </w:rPr>
        <w:t xml:space="preserve">groupe d’appui technique pour le produit </w:t>
      </w:r>
      <w:r w:rsidR="001E34CB" w:rsidRPr="008C52E5">
        <w:rPr>
          <w:lang w:val="fr-FR" w:eastAsia="nb-NO"/>
        </w:rPr>
        <w:t xml:space="preserve">a </w:t>
      </w:r>
      <w:r w:rsidR="003C4F99" w:rsidRPr="008C52E5">
        <w:rPr>
          <w:lang w:val="fr-FR" w:eastAsia="nb-NO"/>
        </w:rPr>
        <w:t xml:space="preserve">facilité </w:t>
      </w:r>
      <w:r w:rsidR="001E34CB" w:rsidRPr="008C52E5">
        <w:rPr>
          <w:lang w:val="fr-FR" w:eastAsia="nb-NO"/>
        </w:rPr>
        <w:t>la fourniture d’informations et de données liées à ces indicateurs et</w:t>
      </w:r>
      <w:r w:rsidR="0043299F" w:rsidRPr="008C52E5">
        <w:rPr>
          <w:lang w:val="fr-FR" w:eastAsia="nb-NO"/>
        </w:rPr>
        <w:t xml:space="preserve"> </w:t>
      </w:r>
      <w:r w:rsidR="001E34CB" w:rsidRPr="008C52E5">
        <w:rPr>
          <w:lang w:val="fr-FR" w:eastAsia="nb-NO"/>
        </w:rPr>
        <w:t xml:space="preserve">élaboré des illustrations visuelles </w:t>
      </w:r>
      <w:r w:rsidR="003C4F99" w:rsidRPr="008C52E5">
        <w:rPr>
          <w:lang w:val="fr-FR" w:eastAsia="nb-NO"/>
        </w:rPr>
        <w:t xml:space="preserve">normalisées </w:t>
      </w:r>
      <w:r w:rsidR="00E46603" w:rsidRPr="008C52E5">
        <w:rPr>
          <w:lang w:val="fr-FR" w:eastAsia="nb-NO"/>
        </w:rPr>
        <w:t>pour les</w:t>
      </w:r>
      <w:r w:rsidR="001E34CB" w:rsidRPr="008C52E5">
        <w:rPr>
          <w:lang w:val="fr-FR" w:eastAsia="nb-NO"/>
        </w:rPr>
        <w:t xml:space="preserve"> indicateurs</w:t>
      </w:r>
      <w:r w:rsidR="0043299F" w:rsidRPr="008C52E5">
        <w:rPr>
          <w:lang w:val="fr-FR" w:eastAsia="nb-NO"/>
        </w:rPr>
        <w:t xml:space="preserve">. </w:t>
      </w:r>
      <w:r w:rsidR="00F66C5A" w:rsidRPr="008C52E5">
        <w:rPr>
          <w:lang w:val="fr-FR" w:eastAsia="nb-NO"/>
        </w:rPr>
        <w:t xml:space="preserve">À </w:t>
      </w:r>
      <w:r w:rsidR="00E46603" w:rsidRPr="008C52E5">
        <w:rPr>
          <w:lang w:val="fr-FR" w:eastAsia="nb-NO"/>
        </w:rPr>
        <w:t>l’avenir</w:t>
      </w:r>
      <w:r w:rsidR="0043299F" w:rsidRPr="008C52E5">
        <w:rPr>
          <w:lang w:val="fr-FR" w:eastAsia="nb-NO"/>
        </w:rPr>
        <w:t xml:space="preserve">, </w:t>
      </w:r>
      <w:r w:rsidR="00E46603" w:rsidRPr="008C52E5">
        <w:rPr>
          <w:lang w:val="fr-FR" w:eastAsia="nb-NO"/>
        </w:rPr>
        <w:t>il est recommandé que les auteurs des évaluations participent aux travaux sur les indicateurs afin d’assurer la cohérence entre les produits connexes du programme de travail</w:t>
      </w:r>
      <w:r w:rsidR="0043299F" w:rsidRPr="008C52E5">
        <w:rPr>
          <w:lang w:val="fr-FR" w:eastAsia="nb-NO"/>
        </w:rPr>
        <w:t xml:space="preserve">. </w:t>
      </w:r>
    </w:p>
    <w:p w14:paraId="5AE4BBCA" w14:textId="7D3BB451" w:rsidR="0043299F" w:rsidRPr="008C52E5" w:rsidRDefault="00B10FE9" w:rsidP="0043299F">
      <w:pPr>
        <w:pStyle w:val="Normalnumber"/>
        <w:numPr>
          <w:ilvl w:val="0"/>
          <w:numId w:val="5"/>
        </w:numPr>
        <w:tabs>
          <w:tab w:val="left" w:pos="1871"/>
          <w:tab w:val="left" w:pos="2495"/>
        </w:tabs>
        <w:ind w:left="1247" w:firstLine="0"/>
        <w:rPr>
          <w:lang w:val="fr-FR"/>
        </w:rPr>
      </w:pPr>
      <w:r w:rsidRPr="008C52E5">
        <w:rPr>
          <w:lang w:val="fr-FR"/>
        </w:rPr>
        <w:t>Le groupe de travail</w:t>
      </w:r>
      <w:r w:rsidR="0043299F" w:rsidRPr="008C52E5">
        <w:rPr>
          <w:lang w:val="fr-FR"/>
        </w:rPr>
        <w:t xml:space="preserve"> </w:t>
      </w:r>
      <w:r w:rsidR="00D54820" w:rsidRPr="008C52E5">
        <w:rPr>
          <w:lang w:val="fr-FR"/>
        </w:rPr>
        <w:t>sur la mise en place d’une</w:t>
      </w:r>
      <w:r w:rsidR="0043299F" w:rsidRPr="008C52E5">
        <w:rPr>
          <w:lang w:val="fr-FR"/>
        </w:rPr>
        <w:t xml:space="preserve"> </w:t>
      </w:r>
      <w:r w:rsidR="00D54820" w:rsidRPr="008C52E5">
        <w:rPr>
          <w:lang w:val="fr-FR"/>
        </w:rPr>
        <w:t xml:space="preserve">infrastructure en ligne à l’appui des besoins en matière de gestion des données et de l’information s’est chargé du mandat de l’équipe spéciale visant, d’une part, à aider le secrétariat à superviser la gestion des données, </w:t>
      </w:r>
      <w:r w:rsidR="00B94F15" w:rsidRPr="008C52E5">
        <w:rPr>
          <w:lang w:val="fr-FR"/>
        </w:rPr>
        <w:t xml:space="preserve">des </w:t>
      </w:r>
      <w:r w:rsidR="00D54820" w:rsidRPr="008C52E5">
        <w:rPr>
          <w:lang w:val="fr-FR"/>
        </w:rPr>
        <w:t xml:space="preserve">informations et </w:t>
      </w:r>
      <w:r w:rsidR="00B94F15" w:rsidRPr="008C52E5">
        <w:rPr>
          <w:lang w:val="fr-FR"/>
        </w:rPr>
        <w:t xml:space="preserve">des </w:t>
      </w:r>
      <w:r w:rsidR="00D54820" w:rsidRPr="008C52E5">
        <w:rPr>
          <w:lang w:val="fr-FR"/>
        </w:rPr>
        <w:t xml:space="preserve">connaissances utilisées pour réaliser les produits de la Plateforme, de façon à garantir leur disponibilité à long terme et, d’autre part, à déterminer comment l’accès aux données, </w:t>
      </w:r>
      <w:r w:rsidR="00B94F15" w:rsidRPr="008C52E5">
        <w:rPr>
          <w:lang w:val="fr-FR"/>
        </w:rPr>
        <w:t xml:space="preserve">aux </w:t>
      </w:r>
      <w:r w:rsidR="00D54820" w:rsidRPr="008C52E5">
        <w:rPr>
          <w:lang w:val="fr-FR"/>
        </w:rPr>
        <w:t xml:space="preserve">informations et </w:t>
      </w:r>
      <w:r w:rsidR="00B94F15" w:rsidRPr="008C52E5">
        <w:rPr>
          <w:lang w:val="fr-FR"/>
        </w:rPr>
        <w:t xml:space="preserve">aux </w:t>
      </w:r>
      <w:r w:rsidR="00D54820" w:rsidRPr="008C52E5">
        <w:rPr>
          <w:lang w:val="fr-FR"/>
        </w:rPr>
        <w:t>connaissances existantes peut être amélioré</w:t>
      </w:r>
      <w:r w:rsidR="0043299F" w:rsidRPr="008C52E5">
        <w:rPr>
          <w:lang w:val="fr-FR"/>
        </w:rPr>
        <w:t>.</w:t>
      </w:r>
      <w:r w:rsidR="00D54820" w:rsidRPr="008C52E5">
        <w:rPr>
          <w:lang w:val="fr-FR"/>
        </w:rPr>
        <w:t xml:space="preserve"> Le groupe de travail a</w:t>
      </w:r>
      <w:r w:rsidR="0043299F" w:rsidRPr="008C52E5">
        <w:rPr>
          <w:lang w:val="fr-FR"/>
        </w:rPr>
        <w:t xml:space="preserve"> </w:t>
      </w:r>
      <w:r w:rsidR="00D54820" w:rsidRPr="008C52E5">
        <w:rPr>
          <w:lang w:val="fr-FR"/>
        </w:rPr>
        <w:t>conceptualisé et supervisé le développement d’une infrastructure en ligne sur le site Web de la Plateforme</w:t>
      </w:r>
      <w:r w:rsidR="0043299F" w:rsidRPr="008C52E5">
        <w:rPr>
          <w:lang w:val="fr-FR"/>
        </w:rPr>
        <w:t xml:space="preserve">. </w:t>
      </w:r>
      <w:r w:rsidR="00B06AC9" w:rsidRPr="008C52E5">
        <w:rPr>
          <w:lang w:val="fr-FR"/>
        </w:rPr>
        <w:t>L’infrastructure permet aux membres de la Plateform</w:t>
      </w:r>
      <w:r w:rsidR="00B94F15" w:rsidRPr="008C52E5">
        <w:rPr>
          <w:lang w:val="fr-FR"/>
        </w:rPr>
        <w:t>e d’obtenir des informations clef</w:t>
      </w:r>
      <w:r w:rsidR="00B06AC9" w:rsidRPr="008C52E5">
        <w:rPr>
          <w:lang w:val="fr-FR"/>
        </w:rPr>
        <w:t>s, y compr</w:t>
      </w:r>
      <w:r w:rsidR="00E9140B">
        <w:rPr>
          <w:lang w:val="fr-FR"/>
        </w:rPr>
        <w:t>is des documents officiels, des </w:t>
      </w:r>
      <w:r w:rsidR="00B06AC9" w:rsidRPr="008C52E5">
        <w:rPr>
          <w:lang w:val="fr-FR"/>
        </w:rPr>
        <w:t xml:space="preserve">catalogues, des produits </w:t>
      </w:r>
      <w:r w:rsidR="00B94F15" w:rsidRPr="008C52E5">
        <w:rPr>
          <w:lang w:val="fr-FR"/>
        </w:rPr>
        <w:t xml:space="preserve">exécutés </w:t>
      </w:r>
      <w:r w:rsidR="00B06AC9" w:rsidRPr="008C52E5">
        <w:rPr>
          <w:lang w:val="fr-FR"/>
        </w:rPr>
        <w:t>et d’autres produits, et fournit aux experts de la Plateforme des informations concernant leurs travaux ainsi que la possibilité de prendre contact avec les experts et parties prenantes concernés</w:t>
      </w:r>
      <w:r w:rsidR="0043299F" w:rsidRPr="008C52E5">
        <w:rPr>
          <w:lang w:val="fr-FR"/>
        </w:rPr>
        <w:t>.</w:t>
      </w:r>
      <w:r w:rsidR="00B06AC9" w:rsidRPr="008C52E5">
        <w:rPr>
          <w:lang w:val="fr-FR"/>
        </w:rPr>
        <w:t xml:space="preserve"> Le groupe de travail a recommandé que le secrétariat </w:t>
      </w:r>
      <w:r w:rsidR="00B94F15" w:rsidRPr="008C52E5">
        <w:rPr>
          <w:lang w:val="fr-FR"/>
        </w:rPr>
        <w:t xml:space="preserve">continue de mettre au point le </w:t>
      </w:r>
      <w:r w:rsidR="00B06AC9" w:rsidRPr="008C52E5">
        <w:rPr>
          <w:lang w:val="fr-FR"/>
        </w:rPr>
        <w:t>site Web de la Plateforme et ajoute différentes fonctionnalités à l’appui des produits du prochain programme de travail de la Plateforme</w:t>
      </w:r>
      <w:r w:rsidR="0043299F" w:rsidRPr="008C52E5">
        <w:rPr>
          <w:lang w:val="fr-FR"/>
        </w:rPr>
        <w:t xml:space="preserve">. </w:t>
      </w:r>
    </w:p>
    <w:p w14:paraId="14051EC9" w14:textId="4E160C59" w:rsidR="0043299F" w:rsidRPr="008C52E5" w:rsidRDefault="00B06AC9" w:rsidP="0043299F">
      <w:pPr>
        <w:pStyle w:val="Normalnumber"/>
        <w:numPr>
          <w:ilvl w:val="0"/>
          <w:numId w:val="5"/>
        </w:numPr>
        <w:tabs>
          <w:tab w:val="left" w:pos="1871"/>
          <w:tab w:val="left" w:pos="2495"/>
        </w:tabs>
        <w:ind w:left="1247" w:firstLine="0"/>
        <w:rPr>
          <w:lang w:val="fr-FR"/>
        </w:rPr>
      </w:pPr>
      <w:r w:rsidRPr="008C52E5">
        <w:rPr>
          <w:lang w:val="fr-FR"/>
        </w:rPr>
        <w:t xml:space="preserve">Le groupe de travail sur la production de connaissances s’est chargé du mandat de l’équipe spéciale consistant à </w:t>
      </w:r>
      <w:r w:rsidR="002211DE" w:rsidRPr="008C52E5">
        <w:rPr>
          <w:lang w:val="fr-FR"/>
        </w:rPr>
        <w:t>aider le Groupe et le</w:t>
      </w:r>
      <w:r w:rsidR="0043299F" w:rsidRPr="008C52E5">
        <w:rPr>
          <w:lang w:val="fr-FR"/>
        </w:rPr>
        <w:t xml:space="preserve"> </w:t>
      </w:r>
      <w:r w:rsidR="00F76650" w:rsidRPr="008C52E5">
        <w:rPr>
          <w:lang w:val="fr-FR"/>
        </w:rPr>
        <w:t xml:space="preserve">Bureau </w:t>
      </w:r>
      <w:r w:rsidR="002211DE" w:rsidRPr="008C52E5">
        <w:rPr>
          <w:lang w:val="fr-FR"/>
        </w:rPr>
        <w:t xml:space="preserve">à examiner les besoins et les lacunes en matière de connaissances, déterminés grâce aux </w:t>
      </w:r>
      <w:r w:rsidR="00221096" w:rsidRPr="008C52E5">
        <w:rPr>
          <w:lang w:val="fr-FR"/>
        </w:rPr>
        <w:t>processus</w:t>
      </w:r>
      <w:r w:rsidR="002211DE" w:rsidRPr="008C52E5">
        <w:rPr>
          <w:lang w:val="fr-FR"/>
        </w:rPr>
        <w:t xml:space="preserve"> de cadrage et aux éva</w:t>
      </w:r>
      <w:r w:rsidR="009C6E6E">
        <w:rPr>
          <w:lang w:val="fr-FR"/>
        </w:rPr>
        <w:t>luations de la Plateforme, et à </w:t>
      </w:r>
      <w:r w:rsidR="002211DE" w:rsidRPr="008C52E5">
        <w:rPr>
          <w:lang w:val="fr-FR"/>
        </w:rPr>
        <w:t xml:space="preserve">favoriser la production de nouvelles connaissances et données en organisant des dialogues avec des organisations scientifiques, </w:t>
      </w:r>
      <w:r w:rsidR="00F66C5A" w:rsidRPr="008C52E5">
        <w:rPr>
          <w:lang w:val="fr-FR"/>
        </w:rPr>
        <w:t>d</w:t>
      </w:r>
      <w:r w:rsidR="002211DE" w:rsidRPr="008C52E5">
        <w:rPr>
          <w:lang w:val="fr-FR"/>
        </w:rPr>
        <w:t xml:space="preserve">es décideurs et </w:t>
      </w:r>
      <w:r w:rsidR="00F66C5A" w:rsidRPr="008C52E5">
        <w:rPr>
          <w:lang w:val="fr-FR"/>
        </w:rPr>
        <w:t>d</w:t>
      </w:r>
      <w:r w:rsidR="002211DE" w:rsidRPr="008C52E5">
        <w:rPr>
          <w:lang w:val="fr-FR"/>
        </w:rPr>
        <w:t>es organismes de financement et</w:t>
      </w:r>
      <w:r w:rsidR="00221096" w:rsidRPr="008C52E5">
        <w:rPr>
          <w:lang w:val="fr-FR"/>
        </w:rPr>
        <w:t xml:space="preserve"> en</w:t>
      </w:r>
      <w:r w:rsidR="009C6E6E">
        <w:rPr>
          <w:lang w:val="fr-FR"/>
        </w:rPr>
        <w:t xml:space="preserve"> entreprenant d’autres </w:t>
      </w:r>
      <w:r w:rsidR="002211DE" w:rsidRPr="008C52E5">
        <w:rPr>
          <w:lang w:val="fr-FR"/>
        </w:rPr>
        <w:t>activités pour répondre aux besoins recensés dans le programme de travail</w:t>
      </w:r>
      <w:r w:rsidR="0043299F" w:rsidRPr="008C52E5">
        <w:rPr>
          <w:lang w:val="fr-FR"/>
        </w:rPr>
        <w:t>.</w:t>
      </w:r>
      <w:r w:rsidR="002211DE" w:rsidRPr="008C52E5">
        <w:rPr>
          <w:lang w:val="fr-FR"/>
        </w:rPr>
        <w:t xml:space="preserve"> Le groupe de travail</w:t>
      </w:r>
      <w:r w:rsidR="0043299F" w:rsidRPr="008C52E5">
        <w:rPr>
          <w:lang w:val="fr-FR"/>
        </w:rPr>
        <w:t xml:space="preserve"> </w:t>
      </w:r>
      <w:r w:rsidR="00E9140B">
        <w:rPr>
          <w:lang w:val="fr-FR"/>
        </w:rPr>
        <w:t>s’est </w:t>
      </w:r>
      <w:r w:rsidR="00627C8E" w:rsidRPr="008C52E5">
        <w:rPr>
          <w:lang w:val="fr-FR"/>
        </w:rPr>
        <w:t>employé à élaborer un processus de recen</w:t>
      </w:r>
      <w:r w:rsidR="009A7803" w:rsidRPr="008C52E5">
        <w:rPr>
          <w:lang w:val="fr-FR"/>
        </w:rPr>
        <w:t>s</w:t>
      </w:r>
      <w:r w:rsidR="00627C8E" w:rsidRPr="008C52E5">
        <w:rPr>
          <w:lang w:val="fr-FR"/>
        </w:rPr>
        <w:t>ement des lacunes en matière de connaissances</w:t>
      </w:r>
      <w:r w:rsidR="0043299F" w:rsidRPr="008C52E5">
        <w:rPr>
          <w:lang w:val="fr-FR"/>
        </w:rPr>
        <w:t xml:space="preserve"> </w:t>
      </w:r>
      <w:r w:rsidR="00E9140B">
        <w:rPr>
          <w:lang w:val="fr-FR"/>
        </w:rPr>
        <w:t>et a </w:t>
      </w:r>
      <w:r w:rsidR="009A7803" w:rsidRPr="008C52E5">
        <w:rPr>
          <w:lang w:val="fr-FR"/>
        </w:rPr>
        <w:t>mené un processus pilote pour l’évaluation de la dégradation et de la restauration des terres</w:t>
      </w:r>
      <w:r w:rsidR="0043299F" w:rsidRPr="008C52E5">
        <w:rPr>
          <w:lang w:val="fr-FR"/>
        </w:rPr>
        <w:t>.</w:t>
      </w:r>
      <w:r w:rsidR="00E9140B">
        <w:rPr>
          <w:lang w:val="fr-FR"/>
        </w:rPr>
        <w:t xml:space="preserve"> Tant </w:t>
      </w:r>
      <w:r w:rsidR="009A7803" w:rsidRPr="008C52E5">
        <w:rPr>
          <w:lang w:val="fr-FR"/>
        </w:rPr>
        <w:t>pour les évaluations en cours que</w:t>
      </w:r>
      <w:r w:rsidR="00DA2AEB" w:rsidRPr="008C52E5">
        <w:rPr>
          <w:lang w:val="fr-FR"/>
        </w:rPr>
        <w:t xml:space="preserve"> pour</w:t>
      </w:r>
      <w:r w:rsidR="009A7803" w:rsidRPr="008C52E5">
        <w:rPr>
          <w:lang w:val="fr-FR"/>
        </w:rPr>
        <w:t xml:space="preserve"> les évaluations futures, il est recommandé que les lacunes en matière de connaissances soient recensées de manière explicite dans le cadre du processus d’évaluation et que l’équipe spéciale axe ses travaux sur l’appui </w:t>
      </w:r>
      <w:r w:rsidR="000937AD" w:rsidRPr="008C52E5">
        <w:rPr>
          <w:lang w:val="fr-FR"/>
        </w:rPr>
        <w:t xml:space="preserve">aux </w:t>
      </w:r>
      <w:r w:rsidR="009A7803" w:rsidRPr="008C52E5">
        <w:rPr>
          <w:lang w:val="fr-FR"/>
        </w:rPr>
        <w:t>consultation</w:t>
      </w:r>
      <w:r w:rsidR="000937AD" w:rsidRPr="008C52E5">
        <w:rPr>
          <w:lang w:val="fr-FR"/>
        </w:rPr>
        <w:t>s</w:t>
      </w:r>
      <w:r w:rsidR="00E9140B">
        <w:rPr>
          <w:lang w:val="fr-FR"/>
        </w:rPr>
        <w:t xml:space="preserve"> concernant les </w:t>
      </w:r>
      <w:r w:rsidR="00DA2AEB" w:rsidRPr="008C52E5">
        <w:rPr>
          <w:lang w:val="fr-FR"/>
        </w:rPr>
        <w:t>lacunes recensées</w:t>
      </w:r>
      <w:r w:rsidR="009A7803" w:rsidRPr="008C52E5">
        <w:rPr>
          <w:lang w:val="fr-FR"/>
        </w:rPr>
        <w:t xml:space="preserve"> </w:t>
      </w:r>
      <w:r w:rsidR="00DA2AEB" w:rsidRPr="008C52E5">
        <w:rPr>
          <w:lang w:val="fr-FR"/>
        </w:rPr>
        <w:t>et à</w:t>
      </w:r>
      <w:r w:rsidR="009A7803" w:rsidRPr="008C52E5">
        <w:rPr>
          <w:lang w:val="fr-FR"/>
        </w:rPr>
        <w:t xml:space="preserve"> la communication </w:t>
      </w:r>
      <w:r w:rsidR="00DA2AEB" w:rsidRPr="008C52E5">
        <w:rPr>
          <w:lang w:val="fr-FR"/>
        </w:rPr>
        <w:t xml:space="preserve">de ces dernières aux organisations scientifiques, </w:t>
      </w:r>
      <w:r w:rsidR="00E9140B">
        <w:rPr>
          <w:lang w:val="fr-FR"/>
        </w:rPr>
        <w:t>aux </w:t>
      </w:r>
      <w:r w:rsidR="00DA2AEB" w:rsidRPr="008C52E5">
        <w:rPr>
          <w:lang w:val="fr-FR"/>
        </w:rPr>
        <w:t xml:space="preserve">décideurs et </w:t>
      </w:r>
      <w:r w:rsidR="000937AD" w:rsidRPr="008C52E5">
        <w:rPr>
          <w:lang w:val="fr-FR"/>
        </w:rPr>
        <w:t xml:space="preserve">aux </w:t>
      </w:r>
      <w:r w:rsidR="00DA2AEB" w:rsidRPr="008C52E5">
        <w:rPr>
          <w:lang w:val="fr-FR"/>
        </w:rPr>
        <w:t>organismes de financement</w:t>
      </w:r>
      <w:r w:rsidR="0043299F" w:rsidRPr="008C52E5">
        <w:rPr>
          <w:lang w:val="fr-FR"/>
        </w:rPr>
        <w:t xml:space="preserve">. </w:t>
      </w:r>
    </w:p>
    <w:p w14:paraId="237AB5CD" w14:textId="3D1291FA" w:rsidR="0043299F" w:rsidRPr="008C52E5" w:rsidRDefault="00F10186" w:rsidP="0043299F">
      <w:pPr>
        <w:pStyle w:val="Normalnumber"/>
        <w:numPr>
          <w:ilvl w:val="0"/>
          <w:numId w:val="5"/>
        </w:numPr>
        <w:tabs>
          <w:tab w:val="left" w:pos="1871"/>
          <w:tab w:val="left" w:pos="2495"/>
        </w:tabs>
        <w:ind w:left="1247" w:firstLine="0"/>
        <w:rPr>
          <w:lang w:val="fr-FR" w:eastAsia="nb-NO"/>
        </w:rPr>
      </w:pPr>
      <w:r w:rsidRPr="008C52E5">
        <w:rPr>
          <w:lang w:val="fr-FR" w:eastAsia="nb-NO"/>
        </w:rPr>
        <w:t xml:space="preserve">Pour le prochain programme de travail de </w:t>
      </w:r>
      <w:r w:rsidR="00944F83" w:rsidRPr="008C52E5">
        <w:rPr>
          <w:lang w:val="fr-FR" w:eastAsia="nb-NO"/>
        </w:rPr>
        <w:t>la Plateforme</w:t>
      </w:r>
      <w:r w:rsidR="0043299F" w:rsidRPr="008C52E5">
        <w:rPr>
          <w:lang w:val="fr-FR" w:eastAsia="nb-NO"/>
        </w:rPr>
        <w:t xml:space="preserve">, </w:t>
      </w:r>
      <w:r w:rsidRPr="008C52E5">
        <w:rPr>
          <w:lang w:val="fr-FR" w:eastAsia="nb-NO"/>
        </w:rPr>
        <w:t xml:space="preserve">il est recommandé que la composition de l’équipe spéciale soit révisée </w:t>
      </w:r>
      <w:r w:rsidR="00B020DD" w:rsidRPr="008C52E5">
        <w:rPr>
          <w:lang w:val="fr-FR" w:eastAsia="nb-NO"/>
        </w:rPr>
        <w:t xml:space="preserve">de façon à </w:t>
      </w:r>
      <w:r w:rsidRPr="008C52E5">
        <w:rPr>
          <w:lang w:val="fr-FR" w:eastAsia="nb-NO"/>
        </w:rPr>
        <w:t xml:space="preserve">inclure des membres des groupes d’experts </w:t>
      </w:r>
      <w:r w:rsidR="00A61131" w:rsidRPr="008C52E5">
        <w:rPr>
          <w:lang w:val="fr-FR" w:eastAsia="nb-NO"/>
        </w:rPr>
        <w:t xml:space="preserve">chargés </w:t>
      </w:r>
      <w:r w:rsidRPr="008C52E5">
        <w:rPr>
          <w:lang w:val="fr-FR" w:eastAsia="nb-NO"/>
        </w:rPr>
        <w:t>d</w:t>
      </w:r>
      <w:r w:rsidR="00A61131" w:rsidRPr="008C52E5">
        <w:rPr>
          <w:lang w:val="fr-FR" w:eastAsia="nb-NO"/>
        </w:rPr>
        <w:t>’</w:t>
      </w:r>
      <w:r w:rsidRPr="008C52E5">
        <w:rPr>
          <w:lang w:val="fr-FR" w:eastAsia="nb-NO"/>
        </w:rPr>
        <w:t>évaluations en cours afin d’assurer la cohérence entre les produits</w:t>
      </w:r>
      <w:r w:rsidR="0043299F" w:rsidRPr="008C52E5">
        <w:rPr>
          <w:lang w:val="fr-FR" w:eastAsia="nb-NO"/>
        </w:rPr>
        <w:t>.</w:t>
      </w:r>
      <w:r w:rsidRPr="008C52E5">
        <w:rPr>
          <w:lang w:val="fr-FR" w:eastAsia="nb-NO"/>
        </w:rPr>
        <w:t xml:space="preserve"> Il est également recommandé que l’équipe spéciale </w:t>
      </w:r>
      <w:r w:rsidR="00B020DD" w:rsidRPr="008C52E5">
        <w:rPr>
          <w:lang w:val="fr-FR" w:eastAsia="nb-NO"/>
        </w:rPr>
        <w:t xml:space="preserve">compte </w:t>
      </w:r>
      <w:r w:rsidR="009563FB" w:rsidRPr="008C52E5">
        <w:rPr>
          <w:lang w:val="fr-FR" w:eastAsia="nb-NO"/>
        </w:rPr>
        <w:t>des représentants d’organisations compétentes dans le domaine</w:t>
      </w:r>
      <w:r w:rsidR="0043299F" w:rsidRPr="008C52E5">
        <w:rPr>
          <w:lang w:val="fr-FR" w:eastAsia="nb-NO"/>
        </w:rPr>
        <w:t xml:space="preserve"> </w:t>
      </w:r>
      <w:r w:rsidR="009563FB" w:rsidRPr="008C52E5">
        <w:rPr>
          <w:lang w:val="fr-FR" w:eastAsia="nb-NO"/>
        </w:rPr>
        <w:t>intéressant l’équipe spéciale, en particulier d’organisations</w:t>
      </w:r>
      <w:r w:rsidR="0043299F" w:rsidRPr="008C52E5">
        <w:rPr>
          <w:lang w:val="fr-FR" w:eastAsia="nb-NO"/>
        </w:rPr>
        <w:t xml:space="preserve"> </w:t>
      </w:r>
      <w:r w:rsidR="009563FB" w:rsidRPr="008C52E5">
        <w:rPr>
          <w:lang w:val="fr-FR" w:eastAsia="nb-NO"/>
        </w:rPr>
        <w:t>fournissant des indicateurs et des données</w:t>
      </w:r>
      <w:r w:rsidR="0043299F" w:rsidRPr="008C52E5">
        <w:rPr>
          <w:lang w:val="fr-FR" w:eastAsia="nb-NO"/>
        </w:rPr>
        <w:t>.</w:t>
      </w:r>
    </w:p>
    <w:p w14:paraId="359D3677" w14:textId="3EF6D426" w:rsidR="0043299F" w:rsidRPr="008C52E5" w:rsidRDefault="00BB6A34" w:rsidP="0043299F">
      <w:pPr>
        <w:pStyle w:val="Normalnumber"/>
        <w:numPr>
          <w:ilvl w:val="0"/>
          <w:numId w:val="5"/>
        </w:numPr>
        <w:tabs>
          <w:tab w:val="left" w:pos="1871"/>
          <w:tab w:val="left" w:pos="2495"/>
        </w:tabs>
        <w:ind w:left="1247" w:firstLine="0"/>
        <w:rPr>
          <w:lang w:val="fr-FR" w:eastAsia="en-GB"/>
        </w:rPr>
      </w:pPr>
      <w:r w:rsidRPr="008C52E5">
        <w:rPr>
          <w:lang w:val="fr-FR" w:eastAsia="en-GB"/>
        </w:rPr>
        <w:t xml:space="preserve">Un aperçu des travaux entrepris depuis la sixième session de la Plénière ainsi que les mesures proposées pour 2019 et 2020 sont présentés dans le document </w:t>
      </w:r>
      <w:r w:rsidR="0043299F" w:rsidRPr="008C52E5">
        <w:rPr>
          <w:lang w:val="fr-FR" w:eastAsia="en-GB"/>
        </w:rPr>
        <w:t>IPBES/7/INF/9.</w:t>
      </w:r>
      <w:r w:rsidR="00D726B1" w:rsidRPr="008C52E5">
        <w:rPr>
          <w:lang w:val="fr-FR" w:eastAsia="en-GB"/>
        </w:rPr>
        <w:t xml:space="preserve"> </w:t>
      </w:r>
    </w:p>
    <w:p w14:paraId="6B3F4786" w14:textId="32D4633D" w:rsidR="00E62C59" w:rsidRPr="008C52E5" w:rsidRDefault="00E63AFB" w:rsidP="0044443E">
      <w:pPr>
        <w:pStyle w:val="CH3"/>
        <w:tabs>
          <w:tab w:val="clear" w:pos="851"/>
        </w:tabs>
        <w:ind w:hanging="680"/>
        <w:rPr>
          <w:lang w:val="fr-FR"/>
        </w:rPr>
      </w:pPr>
      <w:r w:rsidRPr="008C52E5">
        <w:rPr>
          <w:rFonts w:eastAsia="SimSun"/>
          <w:lang w:val="fr-FR" w:eastAsia="zh-CN"/>
        </w:rPr>
        <w:t>2.</w:t>
      </w:r>
      <w:r w:rsidRPr="008C52E5">
        <w:rPr>
          <w:rFonts w:eastAsia="SimSun"/>
          <w:lang w:val="fr-FR" w:eastAsia="zh-CN"/>
        </w:rPr>
        <w:tab/>
      </w:r>
      <w:r w:rsidR="00BB6A34" w:rsidRPr="008C52E5">
        <w:rPr>
          <w:rFonts w:eastAsia="SimSun"/>
          <w:lang w:val="fr-FR" w:eastAsia="zh-CN"/>
        </w:rPr>
        <w:t>Hypothèses et dispositions institutionnelles</w:t>
      </w:r>
    </w:p>
    <w:p w14:paraId="75A7C6C7" w14:textId="7439EAED" w:rsidR="00E62C59" w:rsidRPr="008C52E5" w:rsidRDefault="00BB6A34" w:rsidP="00BB6A34">
      <w:pPr>
        <w:pStyle w:val="Normalnumber"/>
        <w:numPr>
          <w:ilvl w:val="0"/>
          <w:numId w:val="5"/>
        </w:numPr>
        <w:tabs>
          <w:tab w:val="clear" w:pos="624"/>
          <w:tab w:val="left" w:pos="1276"/>
          <w:tab w:val="left" w:pos="1871"/>
          <w:tab w:val="left" w:pos="2495"/>
        </w:tabs>
        <w:ind w:left="1247" w:firstLine="0"/>
        <w:rPr>
          <w:lang w:val="fr-FR"/>
        </w:rPr>
      </w:pPr>
      <w:bookmarkStart w:id="6" w:name="_Hlk536792529"/>
      <w:r w:rsidRPr="008C52E5">
        <w:rPr>
          <w:rFonts w:eastAsia="Calibri"/>
          <w:lang w:val="fr-FR"/>
        </w:rPr>
        <w:t xml:space="preserve">La Plénière </w:t>
      </w:r>
      <w:r w:rsidR="00B020DD" w:rsidRPr="008C52E5">
        <w:rPr>
          <w:rFonts w:eastAsia="Calibri"/>
          <w:lang w:val="fr-FR"/>
        </w:rPr>
        <w:t>relancera</w:t>
      </w:r>
      <w:r w:rsidRPr="008C52E5">
        <w:rPr>
          <w:rFonts w:eastAsia="Calibri"/>
          <w:lang w:val="fr-FR"/>
        </w:rPr>
        <w:t xml:space="preserve"> l’équipe spéciale sur les connaissances et les données, qui appuiera </w:t>
      </w:r>
      <w:r w:rsidR="00E9140B">
        <w:rPr>
          <w:rFonts w:eastAsia="Calibri"/>
          <w:lang w:val="fr-FR"/>
        </w:rPr>
        <w:t>la </w:t>
      </w:r>
      <w:r w:rsidR="00B020DD" w:rsidRPr="008C52E5">
        <w:rPr>
          <w:rFonts w:eastAsia="Calibri"/>
          <w:lang w:val="fr-FR"/>
        </w:rPr>
        <w:t xml:space="preserve">réalisation du </w:t>
      </w:r>
      <w:r w:rsidRPr="008C52E5">
        <w:rPr>
          <w:rFonts w:eastAsia="Calibri"/>
          <w:lang w:val="fr-FR"/>
        </w:rPr>
        <w:t>produit </w:t>
      </w:r>
      <w:r w:rsidR="001977B4" w:rsidRPr="008C52E5">
        <w:rPr>
          <w:rFonts w:eastAsia="Calibri"/>
          <w:lang w:val="fr-FR"/>
        </w:rPr>
        <w:t>3</w:t>
      </w:r>
      <w:r w:rsidRPr="008C52E5">
        <w:rPr>
          <w:rFonts w:eastAsia="Calibri"/>
          <w:lang w:val="fr-FR"/>
        </w:rPr>
        <w:t> </w:t>
      </w:r>
      <w:r w:rsidR="001977B4" w:rsidRPr="008C52E5">
        <w:rPr>
          <w:rFonts w:eastAsia="Calibri"/>
          <w:lang w:val="fr-FR"/>
        </w:rPr>
        <w:t>a</w:t>
      </w:r>
      <w:r w:rsidR="005B72D7" w:rsidRPr="008C52E5">
        <w:rPr>
          <w:rFonts w:eastAsia="Calibri"/>
          <w:lang w:val="fr-FR"/>
        </w:rPr>
        <w:t>)</w:t>
      </w:r>
      <w:r w:rsidR="00E73FD3" w:rsidRPr="008C52E5">
        <w:rPr>
          <w:rFonts w:eastAsia="Calibri"/>
          <w:lang w:val="fr-FR"/>
        </w:rPr>
        <w:t>.</w:t>
      </w:r>
      <w:r w:rsidR="00E62C59" w:rsidRPr="008C52E5">
        <w:rPr>
          <w:rFonts w:eastAsia="Calibri"/>
          <w:lang w:val="fr-FR"/>
        </w:rPr>
        <w:t xml:space="preserve"> </w:t>
      </w:r>
      <w:r w:rsidRPr="008C52E5">
        <w:rPr>
          <w:rFonts w:eastAsia="Calibri"/>
          <w:lang w:val="fr-FR"/>
        </w:rPr>
        <w:t>Le mandat de l’équipe spéciale</w:t>
      </w:r>
      <w:r w:rsidR="00A53AFC" w:rsidRPr="008C52E5">
        <w:rPr>
          <w:rFonts w:ascii="Calibri" w:eastAsia="Calibri" w:hAnsi="Calibri"/>
          <w:sz w:val="22"/>
          <w:szCs w:val="22"/>
          <w:lang w:val="fr-FR"/>
        </w:rPr>
        <w:t xml:space="preserve"> </w:t>
      </w:r>
      <w:r w:rsidR="00A53AFC" w:rsidRPr="008C52E5">
        <w:rPr>
          <w:rFonts w:eastAsia="Calibri"/>
          <w:lang w:val="fr-FR"/>
        </w:rPr>
        <w:t xml:space="preserve">établi pour le premier programme de travail de </w:t>
      </w:r>
      <w:r w:rsidR="00944F83" w:rsidRPr="008C52E5">
        <w:rPr>
          <w:rFonts w:eastAsia="Calibri"/>
          <w:lang w:val="fr-FR"/>
        </w:rPr>
        <w:t>la Plateforme</w:t>
      </w:r>
      <w:r w:rsidR="00E62C59" w:rsidRPr="008C52E5">
        <w:rPr>
          <w:rFonts w:eastAsia="Calibri"/>
          <w:lang w:val="fr-FR"/>
        </w:rPr>
        <w:t xml:space="preserve"> </w:t>
      </w:r>
      <w:r w:rsidRPr="008C52E5">
        <w:rPr>
          <w:rFonts w:eastAsia="Calibri"/>
          <w:lang w:val="fr-FR"/>
        </w:rPr>
        <w:t xml:space="preserve">a été révisé à la lumière de l’expérience et des enseignements </w:t>
      </w:r>
      <w:r w:rsidR="00B020DD" w:rsidRPr="008C52E5">
        <w:rPr>
          <w:rFonts w:eastAsia="Calibri"/>
          <w:lang w:val="fr-FR"/>
        </w:rPr>
        <w:t>tirés</w:t>
      </w:r>
      <w:r w:rsidRPr="008C52E5">
        <w:rPr>
          <w:rFonts w:eastAsia="Calibri"/>
          <w:lang w:val="fr-FR"/>
        </w:rPr>
        <w:t xml:space="preserve"> et figure dans le document </w:t>
      </w:r>
      <w:r w:rsidR="00043D72" w:rsidRPr="008C52E5">
        <w:rPr>
          <w:rFonts w:eastAsia="Calibri"/>
          <w:lang w:val="fr-FR"/>
        </w:rPr>
        <w:t>IPBES/7/6</w:t>
      </w:r>
      <w:r w:rsidR="0067659A" w:rsidRPr="008C52E5">
        <w:rPr>
          <w:rFonts w:eastAsia="Calibri"/>
          <w:lang w:val="fr-FR"/>
        </w:rPr>
        <w:t xml:space="preserve">. </w:t>
      </w:r>
      <w:r w:rsidR="005933D0" w:rsidRPr="008C52E5">
        <w:rPr>
          <w:lang w:val="fr-FR" w:eastAsia="nb-NO"/>
        </w:rPr>
        <w:t>Une réunion de l’équipe spéciale sera tenue durant chaque période intersessions</w:t>
      </w:r>
      <w:r w:rsidR="00043D72" w:rsidRPr="008C52E5">
        <w:rPr>
          <w:lang w:val="fr-FR" w:eastAsia="nb-NO"/>
        </w:rPr>
        <w:t>.</w:t>
      </w:r>
      <w:r w:rsidR="005933D0" w:rsidRPr="008C52E5">
        <w:rPr>
          <w:lang w:val="fr-FR" w:eastAsia="nb-NO"/>
        </w:rPr>
        <w:t xml:space="preserve"> Des conférences en ligne</w:t>
      </w:r>
      <w:r w:rsidR="00043D72" w:rsidRPr="008C52E5">
        <w:rPr>
          <w:lang w:val="fr-FR" w:eastAsia="nb-NO"/>
        </w:rPr>
        <w:t xml:space="preserve"> </w:t>
      </w:r>
      <w:r w:rsidR="005933D0" w:rsidRPr="008C52E5">
        <w:rPr>
          <w:lang w:val="fr-FR" w:eastAsia="nb-NO"/>
        </w:rPr>
        <w:t>peuvent être organisées afin d’examiner les besoins en matière de connaissances</w:t>
      </w:r>
      <w:r w:rsidR="00D67486" w:rsidRPr="008C52E5">
        <w:rPr>
          <w:lang w:val="fr-FR" w:eastAsia="nb-NO"/>
        </w:rPr>
        <w:t xml:space="preserve"> </w:t>
      </w:r>
      <w:r w:rsidR="005933D0" w:rsidRPr="008C52E5">
        <w:rPr>
          <w:lang w:val="fr-FR" w:eastAsia="nb-NO"/>
        </w:rPr>
        <w:t xml:space="preserve">ressortant des évaluations de </w:t>
      </w:r>
      <w:r w:rsidR="00944F83" w:rsidRPr="008C52E5">
        <w:rPr>
          <w:lang w:val="fr-FR" w:eastAsia="nb-NO"/>
        </w:rPr>
        <w:t>la Plateforme</w:t>
      </w:r>
      <w:r w:rsidR="00B020DD" w:rsidRPr="008C52E5">
        <w:rPr>
          <w:lang w:val="fr-FR" w:eastAsia="nb-NO"/>
        </w:rPr>
        <w:t>.</w:t>
      </w:r>
    </w:p>
    <w:bookmarkEnd w:id="6"/>
    <w:p w14:paraId="4081BE19" w14:textId="13BF5477" w:rsidR="00E62C59" w:rsidRPr="008C52E5" w:rsidRDefault="00544403" w:rsidP="0043299F">
      <w:pPr>
        <w:pStyle w:val="Normalnumber"/>
        <w:numPr>
          <w:ilvl w:val="0"/>
          <w:numId w:val="5"/>
        </w:numPr>
        <w:tabs>
          <w:tab w:val="left" w:pos="1871"/>
          <w:tab w:val="left" w:pos="2495"/>
        </w:tabs>
        <w:ind w:left="1247" w:firstLine="0"/>
        <w:rPr>
          <w:lang w:val="fr-FR"/>
        </w:rPr>
      </w:pPr>
      <w:r w:rsidRPr="008C52E5">
        <w:rPr>
          <w:lang w:val="fr-FR"/>
        </w:rPr>
        <w:t xml:space="preserve">Le secrétariat conclura des accords avec des institutions partenaires pour la </w:t>
      </w:r>
      <w:r w:rsidR="00B83E2A" w:rsidRPr="008C52E5">
        <w:rPr>
          <w:lang w:val="fr-FR"/>
        </w:rPr>
        <w:t>prestation</w:t>
      </w:r>
      <w:r w:rsidR="005C67A1">
        <w:rPr>
          <w:lang w:val="fr-FR"/>
        </w:rPr>
        <w:t xml:space="preserve"> d’un </w:t>
      </w:r>
      <w:r w:rsidRPr="008C52E5">
        <w:rPr>
          <w:lang w:val="fr-FR"/>
        </w:rPr>
        <w:t xml:space="preserve">appui technique </w:t>
      </w:r>
      <w:r w:rsidR="00B83E2A" w:rsidRPr="008C52E5">
        <w:rPr>
          <w:lang w:val="fr-FR"/>
        </w:rPr>
        <w:t xml:space="preserve">sur approbation du </w:t>
      </w:r>
      <w:r w:rsidRPr="008C52E5">
        <w:rPr>
          <w:lang w:val="fr-FR"/>
        </w:rPr>
        <w:t>Bureau. Cet appui technique sera financé en partie par la Plateforme et en partie par les contributions en nature approuvées par la Plénière</w:t>
      </w:r>
      <w:r w:rsidR="00E62C59" w:rsidRPr="008C52E5">
        <w:rPr>
          <w:lang w:val="fr-FR"/>
        </w:rPr>
        <w:t>.</w:t>
      </w:r>
    </w:p>
    <w:bookmarkEnd w:id="5"/>
    <w:p w14:paraId="4C669E05" w14:textId="31E6D905" w:rsidR="003D6E88" w:rsidRPr="008C52E5" w:rsidRDefault="00E63AFB" w:rsidP="0044443E">
      <w:pPr>
        <w:pStyle w:val="CH3"/>
        <w:tabs>
          <w:tab w:val="clear" w:pos="851"/>
        </w:tabs>
        <w:ind w:hanging="680"/>
        <w:rPr>
          <w:rFonts w:eastAsia="SimSun"/>
          <w:lang w:val="fr-FR" w:eastAsia="zh-CN"/>
        </w:rPr>
      </w:pPr>
      <w:r w:rsidRPr="008C52E5">
        <w:rPr>
          <w:rFonts w:eastAsia="SimSun"/>
          <w:lang w:val="fr-FR" w:eastAsia="zh-CN"/>
        </w:rPr>
        <w:t>3.</w:t>
      </w:r>
      <w:r w:rsidRPr="008C52E5">
        <w:rPr>
          <w:rFonts w:eastAsia="SimSun"/>
          <w:lang w:val="fr-FR" w:eastAsia="zh-CN"/>
        </w:rPr>
        <w:tab/>
      </w:r>
      <w:r w:rsidR="009569D6" w:rsidRPr="008C52E5">
        <w:rPr>
          <w:rFonts w:eastAsia="SimSun"/>
          <w:lang w:val="fr-FR" w:eastAsia="zh-CN"/>
        </w:rPr>
        <w:t>Réunions et étapes intermédiaires</w:t>
      </w:r>
      <w:r w:rsidR="003D6E88" w:rsidRPr="008C52E5">
        <w:rPr>
          <w:rFonts w:eastAsia="SimSun"/>
          <w:lang w:val="fr-FR" w:eastAsia="zh-CN"/>
        </w:rPr>
        <w:t xml:space="preserve"> </w:t>
      </w:r>
    </w:p>
    <w:p w14:paraId="17C916F6" w14:textId="4FDB6A8C" w:rsidR="003D6E88" w:rsidRPr="008C52E5" w:rsidRDefault="009569D6" w:rsidP="0043299F">
      <w:pPr>
        <w:pStyle w:val="Normalnumber"/>
        <w:numPr>
          <w:ilvl w:val="0"/>
          <w:numId w:val="5"/>
        </w:numPr>
        <w:tabs>
          <w:tab w:val="left" w:pos="1871"/>
          <w:tab w:val="left" w:pos="2495"/>
        </w:tabs>
        <w:ind w:left="1247" w:firstLine="0"/>
        <w:rPr>
          <w:lang w:val="fr-FR"/>
        </w:rPr>
      </w:pPr>
      <w:r w:rsidRPr="008C52E5">
        <w:rPr>
          <w:lang w:val="fr-FR"/>
        </w:rPr>
        <w:t xml:space="preserve">Un aperçu des </w:t>
      </w:r>
      <w:r w:rsidR="00B83E2A" w:rsidRPr="008C52E5">
        <w:rPr>
          <w:lang w:val="fr-FR"/>
        </w:rPr>
        <w:t xml:space="preserve">activités </w:t>
      </w:r>
      <w:r w:rsidRPr="008C52E5">
        <w:rPr>
          <w:lang w:val="fr-FR"/>
        </w:rPr>
        <w:t xml:space="preserve">à mener dans le cadre de ce produit est présenté ci-après. Un projet de budget </w:t>
      </w:r>
      <w:r w:rsidR="00B83E2A" w:rsidRPr="008C52E5">
        <w:rPr>
          <w:lang w:val="fr-FR"/>
        </w:rPr>
        <w:t xml:space="preserve">correspondant </w:t>
      </w:r>
      <w:r w:rsidRPr="008C52E5">
        <w:rPr>
          <w:lang w:val="fr-FR"/>
        </w:rPr>
        <w:t xml:space="preserve">figure dans le tableau A-8 dans l’annexe </w:t>
      </w:r>
      <w:r w:rsidR="00B83E2A" w:rsidRPr="008C52E5">
        <w:rPr>
          <w:lang w:val="fr-FR"/>
        </w:rPr>
        <w:t>d</w:t>
      </w:r>
      <w:r w:rsidRPr="008C52E5">
        <w:rPr>
          <w:lang w:val="fr-FR"/>
        </w:rPr>
        <w:t xml:space="preserve">u document </w:t>
      </w:r>
      <w:r w:rsidR="003D6E88" w:rsidRPr="008C52E5">
        <w:rPr>
          <w:lang w:val="fr-FR"/>
        </w:rPr>
        <w:t>IPBES/7/4.</w:t>
      </w:r>
    </w:p>
    <w:tbl>
      <w:tblPr>
        <w:tblW w:w="8352" w:type="dxa"/>
        <w:tblInd w:w="1248" w:type="dxa"/>
        <w:tblLook w:val="04A0" w:firstRow="1" w:lastRow="0" w:firstColumn="1" w:lastColumn="0" w:noHBand="0" w:noVBand="1"/>
      </w:tblPr>
      <w:tblGrid>
        <w:gridCol w:w="1236"/>
        <w:gridCol w:w="7116"/>
      </w:tblGrid>
      <w:tr w:rsidR="003D6E88" w:rsidRPr="008C52E5" w14:paraId="6E02E8F0" w14:textId="77777777" w:rsidTr="005C34BE">
        <w:trPr>
          <w:trHeight w:val="233"/>
          <w:tblHeader/>
        </w:trPr>
        <w:tc>
          <w:tcPr>
            <w:tcW w:w="1152" w:type="dxa"/>
            <w:tcBorders>
              <w:top w:val="single" w:sz="4" w:space="0" w:color="auto"/>
              <w:bottom w:val="single" w:sz="12" w:space="0" w:color="auto"/>
            </w:tcBorders>
            <w:shd w:val="clear" w:color="auto" w:fill="auto"/>
            <w:vAlign w:val="center"/>
          </w:tcPr>
          <w:p w14:paraId="1882997C" w14:textId="3F9E79BF" w:rsidR="003D6E88" w:rsidRPr="008C52E5" w:rsidDel="003F5A7B" w:rsidRDefault="009569D6" w:rsidP="00FC5E47">
            <w:pPr>
              <w:pStyle w:val="Normal-pool"/>
              <w:spacing w:before="40" w:after="40"/>
              <w:rPr>
                <w:rFonts w:eastAsia="SimSun"/>
                <w:sz w:val="18"/>
                <w:szCs w:val="18"/>
                <w:lang w:val="fr-FR" w:eastAsia="zh-CN"/>
              </w:rPr>
            </w:pPr>
            <w:r w:rsidRPr="008C52E5">
              <w:rPr>
                <w:rFonts w:eastAsia="SimSun"/>
                <w:i/>
                <w:sz w:val="18"/>
                <w:szCs w:val="18"/>
                <w:lang w:val="fr-FR" w:eastAsia="zh-CN"/>
              </w:rPr>
              <w:t>Calendrier</w:t>
            </w:r>
          </w:p>
        </w:tc>
        <w:tc>
          <w:tcPr>
            <w:tcW w:w="7200" w:type="dxa"/>
            <w:tcBorders>
              <w:top w:val="single" w:sz="4" w:space="0" w:color="auto"/>
              <w:bottom w:val="single" w:sz="12" w:space="0" w:color="auto"/>
            </w:tcBorders>
            <w:shd w:val="clear" w:color="auto" w:fill="auto"/>
          </w:tcPr>
          <w:p w14:paraId="6546F3C6" w14:textId="421F113E" w:rsidR="003D6E88" w:rsidRPr="008C52E5" w:rsidDel="000C28ED" w:rsidRDefault="009569D6" w:rsidP="00FC5E47">
            <w:pPr>
              <w:pStyle w:val="Normal-pool"/>
              <w:spacing w:before="40" w:after="40"/>
              <w:rPr>
                <w:rFonts w:eastAsia="SimSun"/>
                <w:sz w:val="18"/>
                <w:szCs w:val="18"/>
                <w:lang w:val="fr-FR" w:eastAsia="zh-CN"/>
              </w:rPr>
            </w:pPr>
            <w:r w:rsidRPr="008C52E5">
              <w:rPr>
                <w:rFonts w:eastAsia="SimSun"/>
                <w:i/>
                <w:sz w:val="18"/>
                <w:szCs w:val="18"/>
                <w:lang w:val="fr-FR" w:eastAsia="zh-CN"/>
              </w:rPr>
              <w:t>Réunions et étapes intermédiaires</w:t>
            </w:r>
          </w:p>
        </w:tc>
      </w:tr>
      <w:tr w:rsidR="003D6E88" w:rsidRPr="0082513F" w14:paraId="06AFAF6F" w14:textId="77777777" w:rsidTr="00ED76A4">
        <w:trPr>
          <w:trHeight w:val="233"/>
        </w:trPr>
        <w:tc>
          <w:tcPr>
            <w:tcW w:w="1152" w:type="dxa"/>
            <w:vMerge w:val="restart"/>
            <w:tcBorders>
              <w:top w:val="single" w:sz="12" w:space="0" w:color="auto"/>
              <w:bottom w:val="single" w:sz="12" w:space="0" w:color="auto"/>
            </w:tcBorders>
            <w:shd w:val="clear" w:color="auto" w:fill="auto"/>
            <w:vAlign w:val="center"/>
          </w:tcPr>
          <w:p w14:paraId="00AF429E" w14:textId="041EFD77" w:rsidR="003D6E88" w:rsidRPr="008C52E5" w:rsidRDefault="00B90361" w:rsidP="00FC5E47">
            <w:pPr>
              <w:pStyle w:val="Normal-pool"/>
              <w:spacing w:before="40" w:after="40"/>
              <w:rPr>
                <w:rFonts w:eastAsia="SimSun"/>
                <w:sz w:val="18"/>
                <w:szCs w:val="18"/>
                <w:lang w:val="fr-FR" w:eastAsia="zh-CN"/>
              </w:rPr>
            </w:pPr>
            <w:r w:rsidRPr="008C52E5">
              <w:rPr>
                <w:rFonts w:eastAsia="SimSun"/>
                <w:sz w:val="18"/>
                <w:szCs w:val="18"/>
                <w:lang w:val="fr-FR" w:eastAsia="zh-CN"/>
              </w:rPr>
              <w:t>Annu</w:t>
            </w:r>
            <w:r w:rsidR="009569D6" w:rsidRPr="008C52E5">
              <w:rPr>
                <w:rFonts w:eastAsia="SimSun"/>
                <w:sz w:val="18"/>
                <w:szCs w:val="18"/>
                <w:lang w:val="fr-FR" w:eastAsia="zh-CN"/>
              </w:rPr>
              <w:t>e</w:t>
            </w:r>
            <w:r w:rsidRPr="008C52E5">
              <w:rPr>
                <w:rFonts w:eastAsia="SimSun"/>
                <w:sz w:val="18"/>
                <w:szCs w:val="18"/>
                <w:lang w:val="fr-FR" w:eastAsia="zh-CN"/>
              </w:rPr>
              <w:t>ll</w:t>
            </w:r>
            <w:r w:rsidR="009569D6" w:rsidRPr="008C52E5">
              <w:rPr>
                <w:rFonts w:eastAsia="SimSun"/>
                <w:sz w:val="18"/>
                <w:szCs w:val="18"/>
                <w:lang w:val="fr-FR" w:eastAsia="zh-CN"/>
              </w:rPr>
              <w:t>ement</w:t>
            </w:r>
          </w:p>
        </w:tc>
        <w:tc>
          <w:tcPr>
            <w:tcW w:w="7200" w:type="dxa"/>
            <w:tcBorders>
              <w:top w:val="single" w:sz="12" w:space="0" w:color="auto"/>
            </w:tcBorders>
            <w:shd w:val="clear" w:color="auto" w:fill="auto"/>
          </w:tcPr>
          <w:p w14:paraId="5E9B4B96" w14:textId="3AAF63C8" w:rsidR="003D6E88" w:rsidRPr="008C52E5" w:rsidRDefault="009569D6" w:rsidP="00FC5E47">
            <w:pPr>
              <w:pStyle w:val="Normal-pool"/>
              <w:spacing w:before="40" w:after="40"/>
              <w:rPr>
                <w:rFonts w:eastAsia="SimSun"/>
                <w:sz w:val="18"/>
                <w:szCs w:val="18"/>
                <w:lang w:val="fr-FR" w:eastAsia="zh-CN"/>
              </w:rPr>
            </w:pPr>
            <w:r w:rsidRPr="008C52E5">
              <w:rPr>
                <w:rFonts w:eastAsia="SimSun"/>
                <w:sz w:val="18"/>
                <w:szCs w:val="18"/>
                <w:lang w:val="fr-FR" w:eastAsia="zh-CN"/>
              </w:rPr>
              <w:t>Une réunion de l’équipe spéciale</w:t>
            </w:r>
          </w:p>
        </w:tc>
      </w:tr>
      <w:tr w:rsidR="003D6E88" w:rsidRPr="0082513F" w14:paraId="4AA34992" w14:textId="77777777" w:rsidTr="005C34BE">
        <w:trPr>
          <w:trHeight w:val="233"/>
        </w:trPr>
        <w:tc>
          <w:tcPr>
            <w:tcW w:w="1152" w:type="dxa"/>
            <w:vMerge/>
            <w:tcBorders>
              <w:top w:val="single" w:sz="4" w:space="0" w:color="auto"/>
              <w:bottom w:val="single" w:sz="12" w:space="0" w:color="auto"/>
            </w:tcBorders>
            <w:shd w:val="clear" w:color="auto" w:fill="auto"/>
          </w:tcPr>
          <w:p w14:paraId="1CE9F085" w14:textId="77777777" w:rsidR="003D6E88" w:rsidRPr="008C52E5" w:rsidRDefault="003D6E88" w:rsidP="00FC5E47">
            <w:pPr>
              <w:pStyle w:val="Normal-pool"/>
              <w:spacing w:before="40" w:after="40"/>
              <w:rPr>
                <w:rFonts w:eastAsia="SimSun"/>
                <w:sz w:val="18"/>
                <w:szCs w:val="18"/>
                <w:lang w:val="fr-FR" w:eastAsia="zh-CN"/>
              </w:rPr>
            </w:pPr>
          </w:p>
        </w:tc>
        <w:tc>
          <w:tcPr>
            <w:tcW w:w="7200" w:type="dxa"/>
            <w:shd w:val="clear" w:color="auto" w:fill="auto"/>
          </w:tcPr>
          <w:p w14:paraId="55BCE4D3" w14:textId="3B63DA23" w:rsidR="003D6E88" w:rsidRPr="008C52E5" w:rsidRDefault="003D6E88" w:rsidP="00FC5E47">
            <w:pPr>
              <w:pStyle w:val="Normal-pool"/>
              <w:spacing w:before="40" w:after="40"/>
              <w:rPr>
                <w:rFonts w:eastAsia="SimSun"/>
                <w:sz w:val="18"/>
                <w:szCs w:val="18"/>
                <w:lang w:val="fr-FR" w:eastAsia="zh-CN"/>
              </w:rPr>
            </w:pPr>
            <w:r w:rsidRPr="008C52E5">
              <w:rPr>
                <w:rFonts w:eastAsia="SimSun"/>
                <w:sz w:val="18"/>
                <w:szCs w:val="18"/>
                <w:lang w:val="fr-FR" w:eastAsia="zh-CN"/>
              </w:rPr>
              <w:t>Activit</w:t>
            </w:r>
            <w:r w:rsidR="009569D6" w:rsidRPr="008C52E5">
              <w:rPr>
                <w:rFonts w:eastAsia="SimSun"/>
                <w:sz w:val="18"/>
                <w:szCs w:val="18"/>
                <w:lang w:val="fr-FR" w:eastAsia="zh-CN"/>
              </w:rPr>
              <w:t xml:space="preserve">és liées au recensement, à la hiérarchisation et à la mobilisation des connaissances et des données existantes nécessaires aux évaluations de </w:t>
            </w:r>
            <w:r w:rsidR="00944F83" w:rsidRPr="008C52E5">
              <w:rPr>
                <w:rFonts w:eastAsia="SimSun"/>
                <w:sz w:val="18"/>
                <w:szCs w:val="18"/>
                <w:lang w:val="fr-FR" w:eastAsia="zh-CN"/>
              </w:rPr>
              <w:t>la Plateforme</w:t>
            </w:r>
            <w:r w:rsidR="009569D6" w:rsidRPr="008C52E5">
              <w:rPr>
                <w:rFonts w:eastAsia="SimSun"/>
                <w:sz w:val="18"/>
                <w:szCs w:val="18"/>
                <w:lang w:val="fr-FR" w:eastAsia="zh-CN"/>
              </w:rPr>
              <w:t xml:space="preserve"> </w:t>
            </w:r>
          </w:p>
        </w:tc>
      </w:tr>
      <w:tr w:rsidR="003D6E88" w:rsidRPr="0082513F" w14:paraId="5259F24D" w14:textId="77777777" w:rsidTr="005C34BE">
        <w:trPr>
          <w:trHeight w:val="233"/>
        </w:trPr>
        <w:tc>
          <w:tcPr>
            <w:tcW w:w="1152" w:type="dxa"/>
            <w:vMerge/>
            <w:tcBorders>
              <w:top w:val="single" w:sz="4" w:space="0" w:color="auto"/>
              <w:bottom w:val="single" w:sz="12" w:space="0" w:color="auto"/>
            </w:tcBorders>
            <w:shd w:val="clear" w:color="auto" w:fill="auto"/>
          </w:tcPr>
          <w:p w14:paraId="754A347C" w14:textId="77777777" w:rsidR="003D6E88" w:rsidRPr="008C52E5" w:rsidRDefault="003D6E88" w:rsidP="00FC5E47">
            <w:pPr>
              <w:pStyle w:val="Normal-pool"/>
              <w:spacing w:before="40" w:after="40"/>
              <w:rPr>
                <w:rFonts w:eastAsia="SimSun"/>
                <w:sz w:val="18"/>
                <w:szCs w:val="18"/>
                <w:lang w:val="fr-FR" w:eastAsia="zh-CN"/>
              </w:rPr>
            </w:pPr>
          </w:p>
        </w:tc>
        <w:tc>
          <w:tcPr>
            <w:tcW w:w="7200" w:type="dxa"/>
            <w:shd w:val="clear" w:color="auto" w:fill="auto"/>
          </w:tcPr>
          <w:p w14:paraId="3ACC8011" w14:textId="3EE833F0" w:rsidR="003D6E88" w:rsidRPr="008C52E5" w:rsidRDefault="00E73FD3" w:rsidP="00FC5E47">
            <w:pPr>
              <w:pStyle w:val="Normal-pool"/>
              <w:spacing w:before="40" w:after="40"/>
              <w:rPr>
                <w:rFonts w:eastAsia="SimSun"/>
                <w:sz w:val="18"/>
                <w:szCs w:val="18"/>
                <w:lang w:val="fr-FR" w:eastAsia="zh-CN"/>
              </w:rPr>
            </w:pPr>
            <w:r w:rsidRPr="008C52E5">
              <w:rPr>
                <w:rFonts w:eastAsia="SimSun"/>
                <w:sz w:val="18"/>
                <w:szCs w:val="18"/>
                <w:lang w:val="fr-FR" w:eastAsia="zh-CN"/>
              </w:rPr>
              <w:t>Activit</w:t>
            </w:r>
            <w:r w:rsidR="009569D6" w:rsidRPr="008C52E5">
              <w:rPr>
                <w:rFonts w:eastAsia="SimSun"/>
                <w:sz w:val="18"/>
                <w:szCs w:val="18"/>
                <w:lang w:val="fr-FR" w:eastAsia="zh-CN"/>
              </w:rPr>
              <w:t>és liées à la mise en place d’une infrastructure en ligne à l’appui de la gestion des données et des informations</w:t>
            </w:r>
          </w:p>
        </w:tc>
      </w:tr>
      <w:tr w:rsidR="003D6E88" w:rsidRPr="0082513F" w14:paraId="0FD13AEF" w14:textId="77777777" w:rsidTr="005C34BE">
        <w:trPr>
          <w:trHeight w:val="343"/>
        </w:trPr>
        <w:tc>
          <w:tcPr>
            <w:tcW w:w="1152" w:type="dxa"/>
            <w:vMerge/>
            <w:tcBorders>
              <w:top w:val="single" w:sz="4" w:space="0" w:color="auto"/>
              <w:bottom w:val="single" w:sz="12" w:space="0" w:color="auto"/>
            </w:tcBorders>
            <w:shd w:val="clear" w:color="auto" w:fill="auto"/>
          </w:tcPr>
          <w:p w14:paraId="5FB163EA" w14:textId="77777777" w:rsidR="003D6E88" w:rsidRPr="008C52E5" w:rsidRDefault="003D6E88" w:rsidP="00FC5E47">
            <w:pPr>
              <w:pStyle w:val="Normal-pool"/>
              <w:spacing w:before="40" w:after="40"/>
              <w:rPr>
                <w:rFonts w:eastAsia="SimSun"/>
                <w:sz w:val="18"/>
                <w:szCs w:val="18"/>
                <w:lang w:val="fr-FR" w:eastAsia="zh-CN"/>
              </w:rPr>
            </w:pPr>
          </w:p>
        </w:tc>
        <w:tc>
          <w:tcPr>
            <w:tcW w:w="7200" w:type="dxa"/>
            <w:tcBorders>
              <w:bottom w:val="single" w:sz="12" w:space="0" w:color="auto"/>
            </w:tcBorders>
            <w:shd w:val="clear" w:color="auto" w:fill="auto"/>
          </w:tcPr>
          <w:p w14:paraId="3352F016" w14:textId="0A848831" w:rsidR="003D6E88" w:rsidRPr="008C52E5" w:rsidRDefault="00E73FD3" w:rsidP="00FC5E47">
            <w:pPr>
              <w:pStyle w:val="Normal-pool"/>
              <w:spacing w:before="40" w:after="40"/>
              <w:rPr>
                <w:rFonts w:eastAsia="SimSun"/>
                <w:sz w:val="18"/>
                <w:szCs w:val="18"/>
                <w:lang w:val="fr-FR" w:eastAsia="zh-CN"/>
              </w:rPr>
            </w:pPr>
            <w:bookmarkStart w:id="7" w:name="_Hlk536031660"/>
            <w:r w:rsidRPr="008C52E5">
              <w:rPr>
                <w:rFonts w:eastAsia="SimSun"/>
                <w:sz w:val="18"/>
                <w:szCs w:val="18"/>
                <w:lang w:val="fr-FR" w:eastAsia="zh-CN"/>
              </w:rPr>
              <w:t>Activit</w:t>
            </w:r>
            <w:r w:rsidR="009569D6" w:rsidRPr="008C52E5">
              <w:rPr>
                <w:rFonts w:eastAsia="SimSun"/>
                <w:sz w:val="18"/>
                <w:szCs w:val="18"/>
                <w:lang w:val="fr-FR" w:eastAsia="zh-CN"/>
              </w:rPr>
              <w:t xml:space="preserve">és liées à la production de nouvelles connaissances, notamment des conférences en ligne pour examiner les besoins en matière de connaissances ressortant des évaluations de </w:t>
            </w:r>
            <w:r w:rsidR="00944F83" w:rsidRPr="008C52E5">
              <w:rPr>
                <w:rFonts w:eastAsia="SimSun"/>
                <w:sz w:val="18"/>
                <w:szCs w:val="18"/>
                <w:lang w:val="fr-FR" w:eastAsia="zh-CN"/>
              </w:rPr>
              <w:t>la Plateforme</w:t>
            </w:r>
            <w:r w:rsidR="009569D6" w:rsidRPr="008C52E5">
              <w:rPr>
                <w:rFonts w:eastAsia="SimSun"/>
                <w:sz w:val="18"/>
                <w:szCs w:val="18"/>
                <w:lang w:val="fr-FR" w:eastAsia="zh-CN"/>
              </w:rPr>
              <w:t xml:space="preserve"> </w:t>
            </w:r>
            <w:bookmarkEnd w:id="7"/>
          </w:p>
        </w:tc>
      </w:tr>
    </w:tbl>
    <w:p w14:paraId="68CEAC7A" w14:textId="30F7D706" w:rsidR="008045CB" w:rsidRPr="008C52E5" w:rsidRDefault="00CB3B9B" w:rsidP="0044443E">
      <w:pPr>
        <w:pStyle w:val="CH2"/>
        <w:tabs>
          <w:tab w:val="clear" w:pos="851"/>
        </w:tabs>
        <w:ind w:hanging="680"/>
        <w:rPr>
          <w:lang w:val="fr-FR"/>
        </w:rPr>
      </w:pPr>
      <w:r w:rsidRPr="008C52E5">
        <w:rPr>
          <w:lang w:val="fr-FR"/>
        </w:rPr>
        <w:t>B.</w:t>
      </w:r>
      <w:r w:rsidRPr="008C52E5">
        <w:rPr>
          <w:lang w:val="fr-FR"/>
        </w:rPr>
        <w:tab/>
      </w:r>
      <w:r w:rsidR="009569D6" w:rsidRPr="008C52E5">
        <w:rPr>
          <w:lang w:val="fr-FR"/>
        </w:rPr>
        <w:t>Produit </w:t>
      </w:r>
      <w:r w:rsidR="008045CB" w:rsidRPr="008C52E5">
        <w:rPr>
          <w:lang w:val="fr-FR"/>
        </w:rPr>
        <w:t>3</w:t>
      </w:r>
      <w:r w:rsidR="009569D6" w:rsidRPr="008C52E5">
        <w:rPr>
          <w:lang w:val="fr-FR"/>
        </w:rPr>
        <w:t> </w:t>
      </w:r>
      <w:r w:rsidR="008045CB" w:rsidRPr="008C52E5">
        <w:rPr>
          <w:lang w:val="fr-FR"/>
        </w:rPr>
        <w:t>b</w:t>
      </w:r>
      <w:r w:rsidR="00052EA6" w:rsidRPr="008C52E5">
        <w:rPr>
          <w:lang w:val="fr-FR"/>
        </w:rPr>
        <w:t>)</w:t>
      </w:r>
      <w:r w:rsidR="009569D6" w:rsidRPr="008C52E5">
        <w:rPr>
          <w:lang w:val="fr-FR"/>
        </w:rPr>
        <w:t> </w:t>
      </w:r>
      <w:r w:rsidR="008045CB" w:rsidRPr="008C52E5">
        <w:rPr>
          <w:lang w:val="fr-FR"/>
        </w:rPr>
        <w:t xml:space="preserve">: </w:t>
      </w:r>
      <w:r w:rsidR="00287020" w:rsidRPr="008C52E5">
        <w:rPr>
          <w:lang w:val="fr-FR"/>
        </w:rPr>
        <w:t xml:space="preserve">renforcement de la </w:t>
      </w:r>
      <w:r w:rsidR="003D63EE" w:rsidRPr="008C52E5">
        <w:rPr>
          <w:lang w:val="fr-FR"/>
        </w:rPr>
        <w:t xml:space="preserve">reconnaissance et </w:t>
      </w:r>
      <w:r w:rsidR="00287020" w:rsidRPr="008C52E5">
        <w:rPr>
          <w:lang w:val="fr-FR"/>
        </w:rPr>
        <w:t>de l’</w:t>
      </w:r>
      <w:r w:rsidR="000A13F8" w:rsidRPr="008C52E5">
        <w:rPr>
          <w:lang w:val="fr-FR"/>
        </w:rPr>
        <w:t>exploitation</w:t>
      </w:r>
      <w:r w:rsidR="003D63EE" w:rsidRPr="008C52E5">
        <w:rPr>
          <w:lang w:val="fr-FR"/>
        </w:rPr>
        <w:t xml:space="preserve"> des</w:t>
      </w:r>
      <w:r w:rsidR="00913913" w:rsidRPr="008C52E5">
        <w:rPr>
          <w:lang w:val="fr-FR"/>
        </w:rPr>
        <w:t> </w:t>
      </w:r>
      <w:r w:rsidR="003D63EE" w:rsidRPr="008C52E5">
        <w:rPr>
          <w:lang w:val="fr-FR"/>
        </w:rPr>
        <w:t>systèmes de savoirs autochtones et locaux</w:t>
      </w:r>
    </w:p>
    <w:p w14:paraId="5BBBB35D" w14:textId="2FEBA27D" w:rsidR="0043299F" w:rsidRPr="008C52E5" w:rsidRDefault="00691435" w:rsidP="0044443E">
      <w:pPr>
        <w:pStyle w:val="CH3"/>
        <w:tabs>
          <w:tab w:val="clear" w:pos="851"/>
        </w:tabs>
        <w:ind w:hanging="680"/>
        <w:rPr>
          <w:rFonts w:eastAsia="SimSun"/>
          <w:lang w:val="fr-FR" w:eastAsia="zh-CN"/>
        </w:rPr>
      </w:pPr>
      <w:r w:rsidRPr="008C52E5">
        <w:rPr>
          <w:rFonts w:eastAsia="SimSun"/>
          <w:lang w:val="fr-FR" w:eastAsia="zh-CN"/>
        </w:rPr>
        <w:t>1.</w:t>
      </w:r>
      <w:r w:rsidRPr="008C52E5">
        <w:rPr>
          <w:rFonts w:eastAsia="SimSun"/>
          <w:lang w:val="fr-FR" w:eastAsia="zh-CN"/>
        </w:rPr>
        <w:tab/>
      </w:r>
      <w:r w:rsidR="003D63EE" w:rsidRPr="008C52E5">
        <w:rPr>
          <w:rFonts w:eastAsia="SimSun"/>
          <w:lang w:val="fr-FR" w:eastAsia="zh-CN"/>
        </w:rPr>
        <w:t>Contexte</w:t>
      </w:r>
    </w:p>
    <w:p w14:paraId="4ADCD7F8" w14:textId="4FD2F484" w:rsidR="0043299F" w:rsidRPr="008C52E5" w:rsidRDefault="003D63EE" w:rsidP="0043299F">
      <w:pPr>
        <w:pStyle w:val="Normalnumber"/>
        <w:numPr>
          <w:ilvl w:val="0"/>
          <w:numId w:val="5"/>
        </w:numPr>
        <w:tabs>
          <w:tab w:val="left" w:pos="1871"/>
          <w:tab w:val="left" w:pos="2495"/>
        </w:tabs>
        <w:ind w:left="1247" w:firstLine="0"/>
        <w:rPr>
          <w:lang w:val="fr-FR"/>
        </w:rPr>
      </w:pPr>
      <w:r w:rsidRPr="008C52E5">
        <w:rPr>
          <w:lang w:val="fr-FR" w:eastAsia="nb-NO"/>
        </w:rPr>
        <w:t>Le premi</w:t>
      </w:r>
      <w:r w:rsidR="00715BC5">
        <w:rPr>
          <w:lang w:val="fr-FR" w:eastAsia="nb-NO"/>
        </w:rPr>
        <w:t>er </w:t>
      </w:r>
      <w:r w:rsidRPr="008C52E5">
        <w:rPr>
          <w:lang w:val="fr-FR" w:eastAsia="nb-NO"/>
        </w:rPr>
        <w:t>programme de travail comprenait le produit </w:t>
      </w:r>
      <w:r w:rsidR="0043299F" w:rsidRPr="008C52E5">
        <w:rPr>
          <w:lang w:val="fr-FR"/>
        </w:rPr>
        <w:t>1</w:t>
      </w:r>
      <w:r w:rsidRPr="008C52E5">
        <w:rPr>
          <w:lang w:val="fr-FR"/>
        </w:rPr>
        <w:t> </w:t>
      </w:r>
      <w:r w:rsidR="0043299F" w:rsidRPr="008C52E5">
        <w:rPr>
          <w:lang w:val="fr-FR"/>
        </w:rPr>
        <w:t>c)</w:t>
      </w:r>
      <w:r w:rsidRPr="008C52E5">
        <w:rPr>
          <w:lang w:val="fr-FR"/>
        </w:rPr>
        <w:t> </w:t>
      </w:r>
      <w:r w:rsidR="0043299F" w:rsidRPr="008C52E5">
        <w:rPr>
          <w:lang w:val="fr-FR"/>
        </w:rPr>
        <w:t xml:space="preserve">: </w:t>
      </w:r>
      <w:r w:rsidRPr="008C52E5">
        <w:rPr>
          <w:lang w:val="fr-FR"/>
        </w:rPr>
        <w:t>«</w:t>
      </w:r>
      <w:r w:rsidR="005C67A1">
        <w:rPr>
          <w:lang w:val="fr-FR"/>
        </w:rPr>
        <w:t> Élaborer des procédures et des </w:t>
      </w:r>
      <w:r w:rsidRPr="008C52E5">
        <w:rPr>
          <w:lang w:val="fr-FR"/>
        </w:rPr>
        <w:t>approches pour travailler avec les systèmes de connaissances locaux et autochtones »</w:t>
      </w:r>
      <w:r w:rsidR="0043299F" w:rsidRPr="008C52E5">
        <w:rPr>
          <w:lang w:val="fr-FR"/>
        </w:rPr>
        <w:t xml:space="preserve">. </w:t>
      </w:r>
      <w:r w:rsidRPr="008C52E5">
        <w:rPr>
          <w:lang w:val="fr-FR"/>
        </w:rPr>
        <w:t xml:space="preserve">La Plénière a ensuite </w:t>
      </w:r>
      <w:r w:rsidR="00B83E2A" w:rsidRPr="008C52E5">
        <w:rPr>
          <w:lang w:val="fr-FR"/>
        </w:rPr>
        <w:t xml:space="preserve">créé </w:t>
      </w:r>
      <w:r w:rsidRPr="008C52E5">
        <w:rPr>
          <w:lang w:val="fr-FR"/>
        </w:rPr>
        <w:t xml:space="preserve">une équipe spéciale </w:t>
      </w:r>
      <w:r w:rsidR="00B83E2A" w:rsidRPr="008C52E5">
        <w:rPr>
          <w:lang w:val="fr-FR"/>
        </w:rPr>
        <w:t xml:space="preserve">chargée de l’exécution </w:t>
      </w:r>
      <w:r w:rsidRPr="008C52E5">
        <w:rPr>
          <w:lang w:val="fr-FR"/>
        </w:rPr>
        <w:t>de ce produit, dont le mandat figure dans l’annexe IV de la décision IPBES-2/5</w:t>
      </w:r>
      <w:r w:rsidR="0043299F" w:rsidRPr="008C52E5">
        <w:rPr>
          <w:lang w:val="fr-FR"/>
        </w:rPr>
        <w:t xml:space="preserve">. </w:t>
      </w:r>
    </w:p>
    <w:p w14:paraId="15560F20" w14:textId="1BB639BA" w:rsidR="0043299F" w:rsidRPr="008C52E5" w:rsidRDefault="0043299F" w:rsidP="0043299F">
      <w:pPr>
        <w:pStyle w:val="Normalnumber"/>
        <w:numPr>
          <w:ilvl w:val="0"/>
          <w:numId w:val="5"/>
        </w:numPr>
        <w:tabs>
          <w:tab w:val="left" w:pos="1871"/>
          <w:tab w:val="left" w:pos="2495"/>
        </w:tabs>
        <w:ind w:left="1247" w:firstLine="0"/>
        <w:rPr>
          <w:lang w:val="fr-FR"/>
        </w:rPr>
      </w:pPr>
      <w:r w:rsidRPr="008C52E5">
        <w:rPr>
          <w:lang w:val="fr-FR" w:eastAsia="nb-NO"/>
        </w:rPr>
        <w:t>Dur</w:t>
      </w:r>
      <w:r w:rsidR="000A13F8" w:rsidRPr="008C52E5">
        <w:rPr>
          <w:lang w:val="fr-FR" w:eastAsia="nb-NO"/>
        </w:rPr>
        <w:t>ant le premier programme de travail, l’équipe spéciale sur les systèmes de savoirs autochtones et locaux a élaboré l’approche appliquée par la Plateforme en vue de reconnaître et d’exploiter les savoirs autochtones et locaux</w:t>
      </w:r>
      <w:r w:rsidRPr="008C52E5">
        <w:rPr>
          <w:rStyle w:val="FootnoteReference"/>
          <w:lang w:val="fr-FR"/>
        </w:rPr>
        <w:footnoteReference w:id="9"/>
      </w:r>
      <w:r w:rsidR="000A13F8" w:rsidRPr="008C52E5">
        <w:rPr>
          <w:lang w:val="fr-FR" w:eastAsia="nb-NO"/>
        </w:rPr>
        <w:t>.</w:t>
      </w:r>
      <w:r w:rsidRPr="008C52E5">
        <w:rPr>
          <w:lang w:val="fr-FR"/>
        </w:rPr>
        <w:t xml:space="preserve"> </w:t>
      </w:r>
      <w:r w:rsidR="00A90C4B" w:rsidRPr="008C52E5">
        <w:rPr>
          <w:lang w:val="fr-FR"/>
        </w:rPr>
        <w:t>L’approche</w:t>
      </w:r>
      <w:r w:rsidR="00B90B53" w:rsidRPr="008C52E5">
        <w:rPr>
          <w:lang w:val="fr-FR"/>
        </w:rPr>
        <w:t xml:space="preserve"> énonce des activités pour chacune des quatre fonctions de </w:t>
      </w:r>
      <w:r w:rsidR="00944F83" w:rsidRPr="008C52E5">
        <w:rPr>
          <w:lang w:val="fr-FR"/>
        </w:rPr>
        <w:t>la Plateforme</w:t>
      </w:r>
      <w:r w:rsidRPr="008C52E5">
        <w:rPr>
          <w:lang w:val="fr-FR"/>
        </w:rPr>
        <w:t>.</w:t>
      </w:r>
      <w:r w:rsidR="00B90B53" w:rsidRPr="008C52E5">
        <w:rPr>
          <w:lang w:val="fr-FR"/>
        </w:rPr>
        <w:t xml:space="preserve"> Elle comprend également un mé</w:t>
      </w:r>
      <w:r w:rsidR="005C67A1">
        <w:rPr>
          <w:lang w:val="fr-FR"/>
        </w:rPr>
        <w:t>canisme participatif qui vise à </w:t>
      </w:r>
      <w:r w:rsidR="00B90B53" w:rsidRPr="008C52E5">
        <w:rPr>
          <w:lang w:val="fr-FR"/>
        </w:rPr>
        <w:t xml:space="preserve">faciliter la participation véritable et effective des détenteurs de savoirs autochtones et locaux, d’experts </w:t>
      </w:r>
      <w:r w:rsidR="00C50B6D" w:rsidRPr="008C52E5">
        <w:rPr>
          <w:lang w:val="fr-FR"/>
        </w:rPr>
        <w:t>en</w:t>
      </w:r>
      <w:r w:rsidR="00B90B53" w:rsidRPr="008C52E5">
        <w:rPr>
          <w:lang w:val="fr-FR"/>
        </w:rPr>
        <w:t xml:space="preserve"> </w:t>
      </w:r>
      <w:r w:rsidR="00A61131" w:rsidRPr="008C52E5">
        <w:rPr>
          <w:lang w:val="fr-FR"/>
        </w:rPr>
        <w:t xml:space="preserve">matière de </w:t>
      </w:r>
      <w:r w:rsidR="00B90B53" w:rsidRPr="008C52E5">
        <w:rPr>
          <w:lang w:val="fr-FR"/>
        </w:rPr>
        <w:t>savoirs autochtones et locaux et de</w:t>
      </w:r>
      <w:r w:rsidR="0005417F" w:rsidRPr="008C52E5">
        <w:rPr>
          <w:lang w:val="fr-FR"/>
        </w:rPr>
        <w:t>s</w:t>
      </w:r>
      <w:r w:rsidR="00B90B53" w:rsidRPr="008C52E5">
        <w:rPr>
          <w:lang w:val="fr-FR"/>
        </w:rPr>
        <w:t xml:space="preserve"> organisations ou réseaux </w:t>
      </w:r>
      <w:r w:rsidR="005C67A1">
        <w:rPr>
          <w:lang w:val="fr-FR"/>
        </w:rPr>
        <w:t>auxquels ils </w:t>
      </w:r>
      <w:r w:rsidR="0005417F" w:rsidRPr="008C52E5">
        <w:rPr>
          <w:lang w:val="fr-FR"/>
        </w:rPr>
        <w:t xml:space="preserve">appartiennent </w:t>
      </w:r>
      <w:r w:rsidR="00B90B53" w:rsidRPr="008C52E5">
        <w:rPr>
          <w:lang w:val="fr-FR"/>
        </w:rPr>
        <w:t>afin de renforcer leur capacité de contribuer aux trav</w:t>
      </w:r>
      <w:r w:rsidR="005C67A1">
        <w:rPr>
          <w:lang w:val="fr-FR"/>
        </w:rPr>
        <w:t>aux de la Plateforme à tous les </w:t>
      </w:r>
      <w:r w:rsidR="00B90B53" w:rsidRPr="008C52E5">
        <w:rPr>
          <w:lang w:val="fr-FR"/>
        </w:rPr>
        <w:t>niveaux et d’en tirer parti</w:t>
      </w:r>
      <w:r w:rsidRPr="008C52E5">
        <w:rPr>
          <w:lang w:val="fr-FR"/>
        </w:rPr>
        <w:t>.</w:t>
      </w:r>
      <w:r w:rsidR="00B90B53" w:rsidRPr="008C52E5">
        <w:rPr>
          <w:lang w:val="fr-FR"/>
        </w:rPr>
        <w:t xml:space="preserve"> Le mécanisme participatif énonce des activités de mise en œuvre</w:t>
      </w:r>
      <w:r w:rsidR="00337310" w:rsidRPr="008C52E5">
        <w:rPr>
          <w:lang w:val="fr-FR"/>
        </w:rPr>
        <w:t> :</w:t>
      </w:r>
      <w:r w:rsidR="00B90B53" w:rsidRPr="008C52E5">
        <w:rPr>
          <w:lang w:val="fr-FR"/>
        </w:rPr>
        <w:t xml:space="preserve"> fourniture d’une plateforme </w:t>
      </w:r>
      <w:r w:rsidR="00C50B6D" w:rsidRPr="008C52E5">
        <w:rPr>
          <w:lang w:val="fr-FR"/>
        </w:rPr>
        <w:t>en ligne</w:t>
      </w:r>
      <w:r w:rsidR="00B90B53" w:rsidRPr="008C52E5">
        <w:rPr>
          <w:lang w:val="fr-FR"/>
        </w:rPr>
        <w:t xml:space="preserve"> pour faciliter la participation des réseaux existants de peuples autochtones, de populations locales et d</w:t>
      </w:r>
      <w:r w:rsidR="00C50B6D" w:rsidRPr="008C52E5">
        <w:rPr>
          <w:lang w:val="fr-FR"/>
        </w:rPr>
        <w:t>’</w:t>
      </w:r>
      <w:r w:rsidR="00B90B53" w:rsidRPr="008C52E5">
        <w:rPr>
          <w:lang w:val="fr-FR"/>
        </w:rPr>
        <w:t xml:space="preserve">experts </w:t>
      </w:r>
      <w:r w:rsidR="00C50B6D" w:rsidRPr="008C52E5">
        <w:rPr>
          <w:lang w:val="fr-FR"/>
        </w:rPr>
        <w:t>compétents</w:t>
      </w:r>
      <w:r w:rsidR="00B90B53" w:rsidRPr="008C52E5">
        <w:rPr>
          <w:lang w:val="fr-FR"/>
        </w:rPr>
        <w:t xml:space="preserve"> et faire en sorte que de nouveaux réseaux se développent</w:t>
      </w:r>
      <w:r w:rsidR="00337310" w:rsidRPr="008C52E5">
        <w:rPr>
          <w:lang w:val="fr-FR"/>
        </w:rPr>
        <w:t> ;</w:t>
      </w:r>
      <w:r w:rsidRPr="008C52E5">
        <w:rPr>
          <w:lang w:val="fr-FR"/>
        </w:rPr>
        <w:t xml:space="preserve"> </w:t>
      </w:r>
      <w:r w:rsidR="00B90B53" w:rsidRPr="008C52E5">
        <w:rPr>
          <w:lang w:val="fr-FR"/>
        </w:rPr>
        <w:t xml:space="preserve">promotion, par voie de consultations, </w:t>
      </w:r>
      <w:r w:rsidR="00C941CE" w:rsidRPr="008C52E5">
        <w:rPr>
          <w:lang w:val="fr-FR"/>
        </w:rPr>
        <w:t>d’</w:t>
      </w:r>
      <w:r w:rsidR="00B90B53" w:rsidRPr="008C52E5">
        <w:rPr>
          <w:lang w:val="fr-FR"/>
        </w:rPr>
        <w:t xml:space="preserve">un dialogue avec divers réseaux, experts </w:t>
      </w:r>
      <w:r w:rsidR="00C50B6D" w:rsidRPr="008C52E5">
        <w:rPr>
          <w:lang w:val="fr-FR"/>
        </w:rPr>
        <w:t>compétents</w:t>
      </w:r>
      <w:r w:rsidR="00B90B53" w:rsidRPr="008C52E5">
        <w:rPr>
          <w:lang w:val="fr-FR"/>
        </w:rPr>
        <w:t xml:space="preserve"> et décideurs en vue de mobiliser des contributions et de diffuser les résultats au cours de chacune des quatre phases du processus d’évaluation</w:t>
      </w:r>
      <w:r w:rsidR="00337310" w:rsidRPr="008C52E5">
        <w:rPr>
          <w:lang w:val="fr-FR"/>
        </w:rPr>
        <w:t> ;</w:t>
      </w:r>
      <w:r w:rsidR="00C941CE" w:rsidRPr="008C52E5">
        <w:rPr>
          <w:lang w:val="fr-FR"/>
        </w:rPr>
        <w:t xml:space="preserve"> création de possibilités de partage et d’échange de connaissances au moyen de forums de discussion spécifiques</w:t>
      </w:r>
      <w:r w:rsidR="00337310" w:rsidRPr="008C52E5">
        <w:rPr>
          <w:lang w:val="fr-FR"/>
        </w:rPr>
        <w:t> ;</w:t>
      </w:r>
      <w:r w:rsidR="00C941CE" w:rsidRPr="008C52E5">
        <w:rPr>
          <w:lang w:val="fr-FR"/>
        </w:rPr>
        <w:t xml:space="preserve"> participation à des partenariats afin de promouvoir et </w:t>
      </w:r>
      <w:r w:rsidR="00337310" w:rsidRPr="008C52E5">
        <w:rPr>
          <w:lang w:val="fr-FR"/>
        </w:rPr>
        <w:t xml:space="preserve">de </w:t>
      </w:r>
      <w:r w:rsidR="00C941CE" w:rsidRPr="008C52E5">
        <w:rPr>
          <w:lang w:val="fr-FR"/>
        </w:rPr>
        <w:t>mettre en œuvre l’approche</w:t>
      </w:r>
      <w:r w:rsidR="00337310" w:rsidRPr="008C52E5">
        <w:rPr>
          <w:lang w:val="fr-FR"/>
        </w:rPr>
        <w:t>.</w:t>
      </w:r>
    </w:p>
    <w:p w14:paraId="218F03C9" w14:textId="19EBA597" w:rsidR="0043299F" w:rsidRPr="008C52E5" w:rsidRDefault="0043299F" w:rsidP="0043299F">
      <w:pPr>
        <w:pStyle w:val="Normalnumber"/>
        <w:numPr>
          <w:ilvl w:val="0"/>
          <w:numId w:val="5"/>
        </w:numPr>
        <w:tabs>
          <w:tab w:val="left" w:pos="1871"/>
          <w:tab w:val="left" w:pos="2495"/>
        </w:tabs>
        <w:ind w:left="1247" w:firstLine="0"/>
        <w:rPr>
          <w:lang w:val="fr-FR"/>
        </w:rPr>
      </w:pPr>
      <w:r w:rsidRPr="008C52E5">
        <w:rPr>
          <w:lang w:val="fr-FR"/>
        </w:rPr>
        <w:t>Dur</w:t>
      </w:r>
      <w:r w:rsidR="00F37BD2" w:rsidRPr="008C52E5">
        <w:rPr>
          <w:lang w:val="fr-FR"/>
        </w:rPr>
        <w:t xml:space="preserve">ant le premier programme de travail, l’évaluation mondiale de la biodiversité et des services écosystémiques a </w:t>
      </w:r>
      <w:r w:rsidR="00DC606A" w:rsidRPr="008C52E5">
        <w:rPr>
          <w:lang w:val="fr-FR"/>
        </w:rPr>
        <w:t>guidé</w:t>
      </w:r>
      <w:r w:rsidR="00F37BD2" w:rsidRPr="008C52E5">
        <w:rPr>
          <w:lang w:val="fr-FR"/>
        </w:rPr>
        <w:t xml:space="preserve"> la mise en œuvre de l’approche</w:t>
      </w:r>
      <w:r w:rsidR="00AA4B21" w:rsidRPr="008C52E5">
        <w:rPr>
          <w:lang w:val="fr-FR"/>
        </w:rPr>
        <w:t xml:space="preserve"> en quat</w:t>
      </w:r>
      <w:r w:rsidR="005C67A1">
        <w:rPr>
          <w:lang w:val="fr-FR"/>
        </w:rPr>
        <w:t>re étapes et des activités dans </w:t>
      </w:r>
      <w:r w:rsidR="00AA4B21" w:rsidRPr="008C52E5">
        <w:rPr>
          <w:lang w:val="fr-FR"/>
        </w:rPr>
        <w:t>le cadre du mécanisme participatif</w:t>
      </w:r>
      <w:r w:rsidRPr="008C52E5">
        <w:rPr>
          <w:lang w:val="fr-FR"/>
        </w:rPr>
        <w:t xml:space="preserve">. </w:t>
      </w:r>
      <w:r w:rsidR="00AA4B21" w:rsidRPr="008C52E5">
        <w:rPr>
          <w:lang w:val="fr-FR"/>
        </w:rPr>
        <w:t>En s’appuyant sur ces travaux</w:t>
      </w:r>
      <w:r w:rsidRPr="008C52E5">
        <w:rPr>
          <w:lang w:val="fr-FR"/>
        </w:rPr>
        <w:t>,</w:t>
      </w:r>
      <w:r w:rsidR="00AA4B21" w:rsidRPr="008C52E5">
        <w:rPr>
          <w:lang w:val="fr-FR"/>
        </w:rPr>
        <w:t xml:space="preserve"> </w:t>
      </w:r>
      <w:r w:rsidR="005C67A1">
        <w:rPr>
          <w:lang w:val="fr-FR"/>
        </w:rPr>
        <w:t>l’équipe spéciale a élaboré des </w:t>
      </w:r>
      <w:r w:rsidR="00AA4B21" w:rsidRPr="008C52E5">
        <w:rPr>
          <w:lang w:val="fr-FR"/>
        </w:rPr>
        <w:t>orientations méthodologiques</w:t>
      </w:r>
      <w:r w:rsidRPr="008C52E5">
        <w:rPr>
          <w:lang w:val="fr-FR"/>
        </w:rPr>
        <w:t>,</w:t>
      </w:r>
      <w:r w:rsidR="00AA4B21" w:rsidRPr="008C52E5">
        <w:rPr>
          <w:lang w:val="fr-FR"/>
        </w:rPr>
        <w:t xml:space="preserve"> comprenant des activités spécifiques dans le cadre du mécanisme participatif, afin de faciliter la mise en œuvre de l’approche dans les évaluations en cour</w:t>
      </w:r>
      <w:r w:rsidR="00451871" w:rsidRPr="008C52E5">
        <w:rPr>
          <w:lang w:val="fr-FR"/>
        </w:rPr>
        <w:t>s</w:t>
      </w:r>
      <w:r w:rsidR="00AA4B21" w:rsidRPr="008C52E5">
        <w:rPr>
          <w:lang w:val="fr-FR"/>
        </w:rPr>
        <w:t xml:space="preserve"> et futures</w:t>
      </w:r>
      <w:r w:rsidRPr="008C52E5">
        <w:rPr>
          <w:rStyle w:val="FootnoteReference"/>
          <w:lang w:val="fr-FR"/>
        </w:rPr>
        <w:footnoteReference w:id="10"/>
      </w:r>
      <w:r w:rsidR="00AA4B21" w:rsidRPr="008C52E5">
        <w:rPr>
          <w:lang w:val="fr-FR"/>
        </w:rPr>
        <w:t xml:space="preserve">. Pour le prochain programme de travail de </w:t>
      </w:r>
      <w:r w:rsidR="00944F83" w:rsidRPr="008C52E5">
        <w:rPr>
          <w:lang w:val="fr-FR"/>
        </w:rPr>
        <w:t>la Plateforme</w:t>
      </w:r>
      <w:r w:rsidR="00454958" w:rsidRPr="008C52E5">
        <w:rPr>
          <w:lang w:val="fr-FR"/>
        </w:rPr>
        <w:t>,</w:t>
      </w:r>
      <w:r w:rsidRPr="008C52E5">
        <w:rPr>
          <w:lang w:val="fr-FR"/>
        </w:rPr>
        <w:t xml:space="preserve"> </w:t>
      </w:r>
      <w:r w:rsidR="00AA4B21" w:rsidRPr="008C52E5">
        <w:rPr>
          <w:lang w:val="fr-FR"/>
        </w:rPr>
        <w:t xml:space="preserve">il est proposé que les </w:t>
      </w:r>
      <w:r w:rsidR="00451871" w:rsidRPr="008C52E5">
        <w:rPr>
          <w:lang w:val="fr-FR"/>
        </w:rPr>
        <w:t>activités</w:t>
      </w:r>
      <w:r w:rsidR="00AA4B21" w:rsidRPr="008C52E5">
        <w:rPr>
          <w:lang w:val="fr-FR"/>
        </w:rPr>
        <w:t xml:space="preserve"> </w:t>
      </w:r>
      <w:r w:rsidR="00451871" w:rsidRPr="008C52E5">
        <w:rPr>
          <w:lang w:val="fr-FR"/>
        </w:rPr>
        <w:t>s’inspirent de</w:t>
      </w:r>
      <w:r w:rsidR="00AA4B21" w:rsidRPr="008C52E5">
        <w:rPr>
          <w:lang w:val="fr-FR"/>
        </w:rPr>
        <w:t xml:space="preserve"> </w:t>
      </w:r>
      <w:r w:rsidR="00451871" w:rsidRPr="008C52E5">
        <w:rPr>
          <w:lang w:val="fr-FR"/>
        </w:rPr>
        <w:t xml:space="preserve">celles </w:t>
      </w:r>
      <w:r w:rsidR="00AA4B21" w:rsidRPr="008C52E5">
        <w:rPr>
          <w:lang w:val="fr-FR"/>
        </w:rPr>
        <w:t>entrepris</w:t>
      </w:r>
      <w:r w:rsidR="00451871" w:rsidRPr="008C52E5">
        <w:rPr>
          <w:lang w:val="fr-FR"/>
        </w:rPr>
        <w:t>es</w:t>
      </w:r>
      <w:r w:rsidR="00AA4B21" w:rsidRPr="008C52E5">
        <w:rPr>
          <w:lang w:val="fr-FR"/>
        </w:rPr>
        <w:t xml:space="preserve"> durant le premier programme de travail et qu</w:t>
      </w:r>
      <w:r w:rsidR="00451871" w:rsidRPr="008C52E5">
        <w:rPr>
          <w:lang w:val="fr-FR"/>
        </w:rPr>
        <w:t xml:space="preserve">e </w:t>
      </w:r>
      <w:r w:rsidR="00AA4B21" w:rsidRPr="008C52E5">
        <w:rPr>
          <w:lang w:val="fr-FR"/>
        </w:rPr>
        <w:t>l’approche</w:t>
      </w:r>
      <w:r w:rsidRPr="008C52E5">
        <w:rPr>
          <w:lang w:val="fr-FR"/>
        </w:rPr>
        <w:t xml:space="preserve"> </w:t>
      </w:r>
      <w:r w:rsidR="00AA4B21" w:rsidRPr="008C52E5">
        <w:rPr>
          <w:lang w:val="fr-FR"/>
        </w:rPr>
        <w:t xml:space="preserve">appliquée par la Plateforme </w:t>
      </w:r>
      <w:r w:rsidR="00451871" w:rsidRPr="008C52E5">
        <w:rPr>
          <w:lang w:val="fr-FR"/>
        </w:rPr>
        <w:t xml:space="preserve">pour </w:t>
      </w:r>
      <w:r w:rsidR="00AA4B21" w:rsidRPr="008C52E5">
        <w:rPr>
          <w:lang w:val="fr-FR"/>
        </w:rPr>
        <w:t>reconnaître et exploiter les savoirs autochtones et locaux</w:t>
      </w:r>
      <w:r w:rsidR="005C67A1">
        <w:rPr>
          <w:lang w:val="fr-FR"/>
        </w:rPr>
        <w:t xml:space="preserve"> continue d’être mise en </w:t>
      </w:r>
      <w:r w:rsidR="00451871" w:rsidRPr="008C52E5">
        <w:rPr>
          <w:lang w:val="fr-FR"/>
        </w:rPr>
        <w:t>œuvre</w:t>
      </w:r>
      <w:r w:rsidRPr="008C52E5">
        <w:rPr>
          <w:lang w:val="fr-FR"/>
        </w:rPr>
        <w:t xml:space="preserve">. </w:t>
      </w:r>
    </w:p>
    <w:p w14:paraId="0691029A" w14:textId="139FA40E" w:rsidR="0043299F" w:rsidRPr="008C52E5" w:rsidRDefault="00AA4B21" w:rsidP="0043299F">
      <w:pPr>
        <w:pStyle w:val="Normalnumber"/>
        <w:numPr>
          <w:ilvl w:val="0"/>
          <w:numId w:val="5"/>
        </w:numPr>
        <w:tabs>
          <w:tab w:val="left" w:pos="1871"/>
          <w:tab w:val="left" w:pos="2495"/>
        </w:tabs>
        <w:ind w:left="1247" w:firstLine="0"/>
        <w:rPr>
          <w:lang w:val="fr-FR" w:eastAsia="nb-NO"/>
        </w:rPr>
      </w:pPr>
      <w:r w:rsidRPr="008C52E5">
        <w:rPr>
          <w:lang w:val="fr-FR" w:eastAsia="nb-NO"/>
        </w:rPr>
        <w:t xml:space="preserve">Il est recommandé que la composition de l’équipe spéciale soit révisée </w:t>
      </w:r>
      <w:r w:rsidR="004E2379" w:rsidRPr="008C52E5">
        <w:rPr>
          <w:lang w:val="fr-FR" w:eastAsia="nb-NO"/>
        </w:rPr>
        <w:t>de façon à y</w:t>
      </w:r>
      <w:r w:rsidR="005C67A1">
        <w:rPr>
          <w:lang w:val="fr-FR" w:eastAsia="nb-NO"/>
        </w:rPr>
        <w:t xml:space="preserve"> inclure des </w:t>
      </w:r>
      <w:r w:rsidRPr="008C52E5">
        <w:rPr>
          <w:lang w:val="fr-FR" w:eastAsia="nb-NO"/>
        </w:rPr>
        <w:t>membres d’autres équipes spéciales et, en particulier, de groupes d’experts</w:t>
      </w:r>
      <w:r w:rsidR="00A61131" w:rsidRPr="008C52E5">
        <w:rPr>
          <w:lang w:val="fr-FR" w:eastAsia="nb-NO"/>
        </w:rPr>
        <w:t xml:space="preserve"> chargés</w:t>
      </w:r>
      <w:r w:rsidRPr="008C52E5">
        <w:rPr>
          <w:lang w:val="fr-FR" w:eastAsia="nb-NO"/>
        </w:rPr>
        <w:t xml:space="preserve"> d’évaluations en cours, afin d’assurer la cohérence entre les produits. Il est également recommandé que l’équipe spéciale </w:t>
      </w:r>
      <w:r w:rsidR="00913913" w:rsidRPr="008C52E5">
        <w:rPr>
          <w:lang w:val="fr-FR" w:eastAsia="nb-NO"/>
        </w:rPr>
        <w:t>comp</w:t>
      </w:r>
      <w:r w:rsidR="004E2379" w:rsidRPr="008C52E5">
        <w:rPr>
          <w:lang w:val="fr-FR" w:eastAsia="nb-NO"/>
        </w:rPr>
        <w:t>te</w:t>
      </w:r>
      <w:r w:rsidR="00913913" w:rsidRPr="008C52E5">
        <w:rPr>
          <w:lang w:val="fr-FR" w:eastAsia="nb-NO"/>
        </w:rPr>
        <w:t xml:space="preserve"> des représentants d’org</w:t>
      </w:r>
      <w:r w:rsidRPr="008C52E5">
        <w:rPr>
          <w:lang w:val="fr-FR" w:eastAsia="nb-NO"/>
        </w:rPr>
        <w:t xml:space="preserve">anisations compétentes dans le domaine intéressant l’équipe spéciale ainsi que des représentants </w:t>
      </w:r>
      <w:r w:rsidR="006E422E" w:rsidRPr="008C52E5">
        <w:rPr>
          <w:lang w:val="fr-FR" w:eastAsia="nb-NO"/>
        </w:rPr>
        <w:t>de peuples autochtones et de populations locales en vue de renforcer la mise en œuvre du mécanisme participatif</w:t>
      </w:r>
      <w:r w:rsidR="00753705" w:rsidRPr="008C52E5">
        <w:rPr>
          <w:lang w:val="fr-FR"/>
        </w:rPr>
        <w:t>.</w:t>
      </w:r>
    </w:p>
    <w:p w14:paraId="041D737D" w14:textId="69F33645" w:rsidR="0043299F" w:rsidRPr="008C52E5" w:rsidRDefault="006E422E" w:rsidP="0043299F">
      <w:pPr>
        <w:pStyle w:val="Normalnumber"/>
        <w:numPr>
          <w:ilvl w:val="0"/>
          <w:numId w:val="5"/>
        </w:numPr>
        <w:tabs>
          <w:tab w:val="left" w:pos="1871"/>
          <w:tab w:val="left" w:pos="2495"/>
        </w:tabs>
        <w:ind w:left="1247" w:firstLine="0"/>
        <w:rPr>
          <w:lang w:val="fr-FR" w:eastAsia="en-GB"/>
        </w:rPr>
      </w:pPr>
      <w:r w:rsidRPr="008C52E5">
        <w:rPr>
          <w:lang w:val="fr-FR" w:eastAsia="en-GB"/>
        </w:rPr>
        <w:t>Le produit </w:t>
      </w:r>
      <w:r w:rsidR="0043299F" w:rsidRPr="008C52E5">
        <w:rPr>
          <w:lang w:val="fr-FR" w:eastAsia="en-GB"/>
        </w:rPr>
        <w:t>3</w:t>
      </w:r>
      <w:r w:rsidRPr="008C52E5">
        <w:rPr>
          <w:lang w:val="fr-FR" w:eastAsia="en-GB"/>
        </w:rPr>
        <w:t xml:space="preserve"> comprendra la poursuite de la mise en œuvre de l’approche</w:t>
      </w:r>
      <w:r w:rsidR="00E05772" w:rsidRPr="008C52E5">
        <w:rPr>
          <w:lang w:val="fr-FR" w:eastAsia="en-GB"/>
        </w:rPr>
        <w:t xml:space="preserve"> </w:t>
      </w:r>
      <w:r w:rsidRPr="008C52E5">
        <w:rPr>
          <w:lang w:val="fr-FR" w:eastAsia="en-GB"/>
        </w:rPr>
        <w:t>appliquée par la Plateforme en vue de reconnaître et d’exploiter les savoirs autochtones et locaux dans le cadre de chacune de ses quatre fonctions par l’intermédiaire des activités ci-après </w:t>
      </w:r>
      <w:r w:rsidR="0043299F" w:rsidRPr="008C52E5">
        <w:rPr>
          <w:lang w:val="fr-FR"/>
        </w:rPr>
        <w:t xml:space="preserve">: </w:t>
      </w:r>
    </w:p>
    <w:p w14:paraId="78E435F5" w14:textId="095FA40B" w:rsidR="0043299F" w:rsidRPr="008C52E5" w:rsidRDefault="00E42244" w:rsidP="0043299F">
      <w:pPr>
        <w:pStyle w:val="Normalnumber"/>
        <w:numPr>
          <w:ilvl w:val="1"/>
          <w:numId w:val="71"/>
        </w:numPr>
        <w:rPr>
          <w:lang w:val="fr-FR" w:eastAsia="en-GB"/>
        </w:rPr>
      </w:pPr>
      <w:r w:rsidRPr="008C52E5">
        <w:rPr>
          <w:lang w:val="fr-FR" w:eastAsia="en-GB"/>
        </w:rPr>
        <w:t>Pour les évaluations</w:t>
      </w:r>
      <w:r w:rsidR="0043299F" w:rsidRPr="008C52E5">
        <w:rPr>
          <w:lang w:val="fr-FR" w:eastAsia="en-GB"/>
        </w:rPr>
        <w:t xml:space="preserve"> (</w:t>
      </w:r>
      <w:r w:rsidRPr="008C52E5">
        <w:rPr>
          <w:lang w:val="fr-FR" w:eastAsia="en-GB"/>
        </w:rPr>
        <w:t xml:space="preserve">produits </w:t>
      </w:r>
      <w:r w:rsidR="005A5D2D" w:rsidRPr="008C52E5">
        <w:rPr>
          <w:lang w:val="fr-FR" w:eastAsia="en-GB"/>
        </w:rPr>
        <w:t>relevant</w:t>
      </w:r>
      <w:r w:rsidRPr="008C52E5">
        <w:rPr>
          <w:lang w:val="fr-FR" w:eastAsia="en-GB"/>
        </w:rPr>
        <w:t xml:space="preserve"> de l’objectif </w:t>
      </w:r>
      <w:r w:rsidR="0043299F" w:rsidRPr="008C52E5">
        <w:rPr>
          <w:lang w:val="fr-FR" w:eastAsia="en-GB"/>
        </w:rPr>
        <w:t>1)</w:t>
      </w:r>
      <w:r w:rsidRPr="008C52E5">
        <w:rPr>
          <w:lang w:val="fr-FR" w:eastAsia="en-GB"/>
        </w:rPr>
        <w:t> </w:t>
      </w:r>
      <w:r w:rsidR="0043299F" w:rsidRPr="008C52E5">
        <w:rPr>
          <w:lang w:val="fr-FR" w:eastAsia="en-GB"/>
        </w:rPr>
        <w:t xml:space="preserve">: </w:t>
      </w:r>
      <w:r w:rsidR="005C67A1">
        <w:rPr>
          <w:lang w:val="fr-FR" w:eastAsia="en-GB"/>
        </w:rPr>
        <w:t xml:space="preserve">i) </w:t>
      </w:r>
      <w:r w:rsidRPr="008C52E5">
        <w:rPr>
          <w:lang w:val="fr-FR" w:eastAsia="en-GB"/>
        </w:rPr>
        <w:t>définir de manière concertée les problèmes et les objectifs durant le cadrage d’une évaluation </w:t>
      </w:r>
      <w:r w:rsidR="0043299F" w:rsidRPr="008C52E5">
        <w:rPr>
          <w:lang w:val="fr-FR" w:eastAsia="en-GB"/>
        </w:rPr>
        <w:t xml:space="preserve">; </w:t>
      </w:r>
      <w:r w:rsidR="005C67A1">
        <w:rPr>
          <w:lang w:val="fr-FR" w:eastAsia="en-GB"/>
        </w:rPr>
        <w:t xml:space="preserve">ii) </w:t>
      </w:r>
      <w:r w:rsidRPr="008C52E5">
        <w:rPr>
          <w:lang w:val="fr-FR" w:eastAsia="en-GB"/>
        </w:rPr>
        <w:t>synthétiser et inclure dans l’évaluation un large éventail d’éléments et de données provenant de multiples sources de savoirs autochtones et locaux liés à l’évaluation </w:t>
      </w:r>
      <w:r w:rsidR="0043299F" w:rsidRPr="008C52E5">
        <w:rPr>
          <w:lang w:val="fr-FR" w:eastAsia="en-GB"/>
        </w:rPr>
        <w:t xml:space="preserve">; </w:t>
      </w:r>
      <w:r w:rsidR="005C67A1">
        <w:rPr>
          <w:lang w:val="fr-FR" w:eastAsia="en-GB"/>
        </w:rPr>
        <w:t xml:space="preserve">iii) </w:t>
      </w:r>
      <w:r w:rsidRPr="008C52E5">
        <w:rPr>
          <w:lang w:val="fr-FR" w:eastAsia="en-GB"/>
        </w:rPr>
        <w:t>faire participer utilement et effectivement les peuples autochtones et les populations locales à l’examen des différentes versions d’une évaluation </w:t>
      </w:r>
      <w:r w:rsidR="0043299F" w:rsidRPr="008C52E5">
        <w:rPr>
          <w:lang w:val="fr-FR" w:eastAsia="en-GB"/>
        </w:rPr>
        <w:t>;</w:t>
      </w:r>
      <w:r w:rsidR="005C67A1">
        <w:rPr>
          <w:lang w:val="fr-FR" w:eastAsia="en-GB"/>
        </w:rPr>
        <w:t xml:space="preserve"> iv) </w:t>
      </w:r>
      <w:r w:rsidRPr="008C52E5">
        <w:rPr>
          <w:lang w:val="fr-FR" w:eastAsia="en-GB"/>
        </w:rPr>
        <w:t>partager avec les peuples autochtones et les populations locales les savoirs et ce qu’a révélé l’évaluation après son achèvement </w:t>
      </w:r>
      <w:r w:rsidR="0043299F" w:rsidRPr="008C52E5">
        <w:rPr>
          <w:lang w:val="fr-FR" w:eastAsia="en-GB"/>
        </w:rPr>
        <w:t>;</w:t>
      </w:r>
    </w:p>
    <w:p w14:paraId="65F6F701" w14:textId="791A6B2C" w:rsidR="0043299F" w:rsidRPr="008C52E5" w:rsidRDefault="00E42244" w:rsidP="0043299F">
      <w:pPr>
        <w:pStyle w:val="Normalnumber"/>
        <w:numPr>
          <w:ilvl w:val="1"/>
          <w:numId w:val="71"/>
        </w:numPr>
        <w:rPr>
          <w:lang w:val="fr-FR" w:eastAsia="en-GB"/>
        </w:rPr>
      </w:pPr>
      <w:r w:rsidRPr="008C52E5">
        <w:rPr>
          <w:lang w:val="fr-FR" w:eastAsia="en-GB"/>
        </w:rPr>
        <w:t>Pour les connaissances et les données</w:t>
      </w:r>
      <w:r w:rsidR="0043299F" w:rsidRPr="008C52E5">
        <w:rPr>
          <w:lang w:val="fr-FR" w:eastAsia="en-GB"/>
        </w:rPr>
        <w:t xml:space="preserve"> (</w:t>
      </w:r>
      <w:r w:rsidRPr="008C52E5">
        <w:rPr>
          <w:lang w:val="fr-FR" w:eastAsia="en-GB"/>
        </w:rPr>
        <w:t>produit </w:t>
      </w:r>
      <w:r w:rsidR="0043299F" w:rsidRPr="008C52E5">
        <w:rPr>
          <w:lang w:val="fr-FR" w:eastAsia="en-GB"/>
        </w:rPr>
        <w:t>3</w:t>
      </w:r>
      <w:r w:rsidRPr="008C52E5">
        <w:rPr>
          <w:lang w:val="fr-FR" w:eastAsia="en-GB"/>
        </w:rPr>
        <w:t> </w:t>
      </w:r>
      <w:r w:rsidR="0043299F" w:rsidRPr="008C52E5">
        <w:rPr>
          <w:lang w:val="fr-FR" w:eastAsia="en-GB"/>
        </w:rPr>
        <w:t>a</w:t>
      </w:r>
      <w:r w:rsidR="00F6378A" w:rsidRPr="008C52E5">
        <w:rPr>
          <w:lang w:val="fr-FR" w:eastAsia="en-GB"/>
        </w:rPr>
        <w:t>)</w:t>
      </w:r>
      <w:r w:rsidR="0043299F" w:rsidRPr="008C52E5">
        <w:rPr>
          <w:lang w:val="fr-FR" w:eastAsia="en-GB"/>
        </w:rPr>
        <w:t>)</w:t>
      </w:r>
      <w:r w:rsidRPr="008C52E5">
        <w:rPr>
          <w:lang w:val="fr-FR" w:eastAsia="en-GB"/>
        </w:rPr>
        <w:t> </w:t>
      </w:r>
      <w:r w:rsidR="0043299F" w:rsidRPr="008C52E5">
        <w:rPr>
          <w:lang w:val="fr-FR" w:eastAsia="en-GB"/>
        </w:rPr>
        <w:t xml:space="preserve">: </w:t>
      </w:r>
      <w:r w:rsidR="00CB3007" w:rsidRPr="008C52E5">
        <w:rPr>
          <w:lang w:val="fr-FR" w:eastAsia="en-GB"/>
        </w:rPr>
        <w:t>identifier</w:t>
      </w:r>
      <w:r w:rsidRPr="008C52E5">
        <w:rPr>
          <w:lang w:val="fr-FR" w:eastAsia="en-GB"/>
        </w:rPr>
        <w:t xml:space="preserve"> les experts compétents </w:t>
      </w:r>
      <w:r w:rsidR="0043299F" w:rsidRPr="008C52E5">
        <w:rPr>
          <w:lang w:val="fr-FR" w:eastAsia="en-GB"/>
        </w:rPr>
        <w:t xml:space="preserve">; </w:t>
      </w:r>
      <w:r w:rsidR="007C5991" w:rsidRPr="008C52E5">
        <w:rPr>
          <w:lang w:val="fr-FR" w:eastAsia="en-GB"/>
        </w:rPr>
        <w:t>faciliter, par l’intermédiaire de l’infrastructure en ligne de la Plateforme, l’accès aux sources de savoirs autochtones et locaux disponibles et leur gestion </w:t>
      </w:r>
      <w:r w:rsidR="0043299F" w:rsidRPr="008C52E5">
        <w:rPr>
          <w:lang w:val="fr-FR" w:eastAsia="en-GB"/>
        </w:rPr>
        <w:t xml:space="preserve">; </w:t>
      </w:r>
      <w:r w:rsidR="007C5991" w:rsidRPr="008C52E5">
        <w:rPr>
          <w:lang w:val="fr-FR" w:eastAsia="en-GB"/>
        </w:rPr>
        <w:t>promouvoir et faciliter la mobilisation des savoirs autochtones et locaux </w:t>
      </w:r>
      <w:r w:rsidR="0043299F" w:rsidRPr="008C52E5">
        <w:rPr>
          <w:lang w:val="fr-FR" w:eastAsia="en-GB"/>
        </w:rPr>
        <w:t xml:space="preserve">; </w:t>
      </w:r>
      <w:r w:rsidR="007C5991" w:rsidRPr="008C52E5">
        <w:rPr>
          <w:lang w:val="fr-FR" w:eastAsia="en-GB"/>
        </w:rPr>
        <w:t>tenir compte dans les travaux sur les connaissances et les données des aspects intéressant les savoirs autochtones et locaux et les peuples autochtones et populations locales </w:t>
      </w:r>
      <w:r w:rsidR="0043299F" w:rsidRPr="008C52E5">
        <w:rPr>
          <w:lang w:val="fr-FR" w:eastAsia="en-GB"/>
        </w:rPr>
        <w:t>;</w:t>
      </w:r>
    </w:p>
    <w:p w14:paraId="4E6EDD12" w14:textId="7ADADB73" w:rsidR="0043299F" w:rsidRPr="008C52E5" w:rsidRDefault="002C1403" w:rsidP="0043299F">
      <w:pPr>
        <w:pStyle w:val="Normalnumber"/>
        <w:numPr>
          <w:ilvl w:val="1"/>
          <w:numId w:val="71"/>
        </w:numPr>
        <w:rPr>
          <w:lang w:val="fr-FR" w:eastAsia="en-GB"/>
        </w:rPr>
      </w:pPr>
      <w:r w:rsidRPr="008C52E5">
        <w:rPr>
          <w:lang w:val="fr-FR" w:eastAsia="en-GB"/>
        </w:rPr>
        <w:t xml:space="preserve">Pour l’appui </w:t>
      </w:r>
      <w:r w:rsidR="00AC1E98" w:rsidRPr="008C52E5">
        <w:rPr>
          <w:lang w:val="fr-FR" w:eastAsia="en-GB"/>
        </w:rPr>
        <w:t xml:space="preserve">à l’élaboration </w:t>
      </w:r>
      <w:r w:rsidR="00C16D54" w:rsidRPr="008C52E5">
        <w:rPr>
          <w:lang w:val="fr-FR" w:eastAsia="en-GB"/>
        </w:rPr>
        <w:t>des politiques</w:t>
      </w:r>
      <w:r w:rsidR="0043299F" w:rsidRPr="008C52E5">
        <w:rPr>
          <w:lang w:val="fr-FR" w:eastAsia="en-GB"/>
        </w:rPr>
        <w:t xml:space="preserve"> (</w:t>
      </w:r>
      <w:r w:rsidR="00C279BB" w:rsidRPr="008C52E5">
        <w:rPr>
          <w:lang w:val="fr-FR" w:eastAsia="en-GB"/>
        </w:rPr>
        <w:t xml:space="preserve">produits </w:t>
      </w:r>
      <w:r w:rsidR="004E1D69" w:rsidRPr="008C52E5">
        <w:rPr>
          <w:lang w:val="fr-FR" w:eastAsia="en-GB"/>
        </w:rPr>
        <w:t>relevant</w:t>
      </w:r>
      <w:r w:rsidR="00C279BB" w:rsidRPr="008C52E5">
        <w:rPr>
          <w:lang w:val="fr-FR" w:eastAsia="en-GB"/>
        </w:rPr>
        <w:t xml:space="preserve"> de l’objectif </w:t>
      </w:r>
      <w:r w:rsidR="0043299F" w:rsidRPr="008C52E5">
        <w:rPr>
          <w:lang w:val="fr-FR" w:eastAsia="en-GB"/>
        </w:rPr>
        <w:t>4)</w:t>
      </w:r>
      <w:r w:rsidR="00C279BB" w:rsidRPr="008C52E5">
        <w:rPr>
          <w:lang w:val="fr-FR" w:eastAsia="en-GB"/>
        </w:rPr>
        <w:t> </w:t>
      </w:r>
      <w:r w:rsidR="0043299F" w:rsidRPr="008C52E5">
        <w:rPr>
          <w:lang w:val="fr-FR" w:eastAsia="en-GB"/>
        </w:rPr>
        <w:t xml:space="preserve">: </w:t>
      </w:r>
      <w:r w:rsidR="00C279BB" w:rsidRPr="008C52E5">
        <w:rPr>
          <w:lang w:val="fr-FR" w:eastAsia="en-GB"/>
        </w:rPr>
        <w:t>définir</w:t>
      </w:r>
      <w:r w:rsidR="0043299F" w:rsidRPr="008C52E5">
        <w:rPr>
          <w:lang w:val="fr-FR" w:eastAsia="en-GB"/>
        </w:rPr>
        <w:t xml:space="preserve">, </w:t>
      </w:r>
      <w:r w:rsidR="00C279BB" w:rsidRPr="008C52E5">
        <w:rPr>
          <w:lang w:val="fr-FR" w:eastAsia="en-GB"/>
        </w:rPr>
        <w:t xml:space="preserve">décrire et faciliter l’utilisation d’outils, de méthodes et de directives </w:t>
      </w:r>
      <w:r w:rsidR="004E1D69" w:rsidRPr="008C52E5">
        <w:rPr>
          <w:lang w:val="fr-FR" w:eastAsia="en-GB"/>
        </w:rPr>
        <w:t>utiles à la mise</w:t>
      </w:r>
      <w:r w:rsidR="00C279BB" w:rsidRPr="008C52E5">
        <w:rPr>
          <w:lang w:val="fr-FR" w:eastAsia="en-GB"/>
        </w:rPr>
        <w:t xml:space="preserve"> en œuvre </w:t>
      </w:r>
      <w:r w:rsidR="004E1D69" w:rsidRPr="008C52E5">
        <w:rPr>
          <w:lang w:val="fr-FR" w:eastAsia="en-GB"/>
        </w:rPr>
        <w:t>d</w:t>
      </w:r>
      <w:r w:rsidR="00C279BB" w:rsidRPr="008C52E5">
        <w:rPr>
          <w:lang w:val="fr-FR" w:eastAsia="en-GB"/>
        </w:rPr>
        <w:t xml:space="preserve">es quatre phases </w:t>
      </w:r>
      <w:r w:rsidR="003D1E38" w:rsidRPr="008C52E5">
        <w:rPr>
          <w:lang w:val="fr-FR" w:eastAsia="en-GB"/>
        </w:rPr>
        <w:t>de l’approche pour les évaluations</w:t>
      </w:r>
      <w:r w:rsidR="00C279BB" w:rsidRPr="008C52E5">
        <w:rPr>
          <w:lang w:val="fr-FR" w:eastAsia="en-GB"/>
        </w:rPr>
        <w:t xml:space="preserve"> résumé</w:t>
      </w:r>
      <w:r w:rsidR="003D1E38" w:rsidRPr="008C52E5">
        <w:rPr>
          <w:lang w:val="fr-FR" w:eastAsia="en-GB"/>
        </w:rPr>
        <w:t>e</w:t>
      </w:r>
      <w:r w:rsidR="00715BC5">
        <w:rPr>
          <w:lang w:val="fr-FR" w:eastAsia="en-GB"/>
        </w:rPr>
        <w:t xml:space="preserve"> à l’alinéa </w:t>
      </w:r>
      <w:r w:rsidR="00C279BB" w:rsidRPr="008C52E5">
        <w:rPr>
          <w:lang w:val="fr-FR" w:eastAsia="en-GB"/>
        </w:rPr>
        <w:t>a) ci-dessus</w:t>
      </w:r>
      <w:r w:rsidR="0043299F" w:rsidRPr="008C52E5">
        <w:rPr>
          <w:lang w:val="fr-FR" w:eastAsia="en-GB"/>
        </w:rPr>
        <w:t xml:space="preserve">, </w:t>
      </w:r>
      <w:r w:rsidR="00227FFD" w:rsidRPr="008C52E5">
        <w:rPr>
          <w:lang w:val="fr-FR" w:eastAsia="en-GB"/>
        </w:rPr>
        <w:t>et promouvoir et favoriser</w:t>
      </w:r>
      <w:r w:rsidR="00C16D54" w:rsidRPr="008C52E5">
        <w:rPr>
          <w:lang w:val="fr-FR" w:eastAsia="en-GB"/>
        </w:rPr>
        <w:t xml:space="preserve"> leur développement </w:t>
      </w:r>
      <w:r w:rsidR="0043299F" w:rsidRPr="008C52E5">
        <w:rPr>
          <w:lang w:val="fr-FR" w:eastAsia="en-GB"/>
        </w:rPr>
        <w:t xml:space="preserve">; </w:t>
      </w:r>
      <w:r w:rsidR="00C16D54" w:rsidRPr="008C52E5">
        <w:rPr>
          <w:lang w:val="fr-FR" w:eastAsia="en-GB"/>
        </w:rPr>
        <w:t>incorporer</w:t>
      </w:r>
      <w:r w:rsidR="0043299F" w:rsidRPr="008C52E5">
        <w:rPr>
          <w:lang w:val="fr-FR" w:eastAsia="en-GB"/>
        </w:rPr>
        <w:t xml:space="preserve"> </w:t>
      </w:r>
      <w:r w:rsidR="00C16D54" w:rsidRPr="008C52E5">
        <w:rPr>
          <w:lang w:val="fr-FR" w:eastAsia="en-GB"/>
        </w:rPr>
        <w:t>des outils et des méthodes relatifs aux</w:t>
      </w:r>
      <w:r w:rsidR="0043299F" w:rsidRPr="008C52E5">
        <w:rPr>
          <w:lang w:val="fr-FR" w:eastAsia="en-GB"/>
        </w:rPr>
        <w:t xml:space="preserve"> </w:t>
      </w:r>
      <w:r w:rsidR="00C16D54" w:rsidRPr="008C52E5">
        <w:rPr>
          <w:lang w:val="fr-FR" w:eastAsia="en-GB"/>
        </w:rPr>
        <w:t>savoirs autochtones e</w:t>
      </w:r>
      <w:r w:rsidR="005C67A1">
        <w:rPr>
          <w:lang w:val="fr-FR" w:eastAsia="en-GB"/>
        </w:rPr>
        <w:t>t </w:t>
      </w:r>
      <w:r w:rsidR="00C16D54" w:rsidRPr="008C52E5">
        <w:rPr>
          <w:lang w:val="fr-FR" w:eastAsia="en-GB"/>
        </w:rPr>
        <w:t>locaux ainsi qu’aux peuples autochtones et aux populations loc</w:t>
      </w:r>
      <w:r w:rsidR="005C67A1">
        <w:rPr>
          <w:lang w:val="fr-FR" w:eastAsia="en-GB"/>
        </w:rPr>
        <w:t>ales dans les évaluations de la </w:t>
      </w:r>
      <w:r w:rsidR="00C16D54" w:rsidRPr="008C52E5">
        <w:rPr>
          <w:lang w:val="fr-FR" w:eastAsia="en-GB"/>
        </w:rPr>
        <w:t>Plateforme </w:t>
      </w:r>
      <w:r w:rsidR="0043299F" w:rsidRPr="008C52E5">
        <w:rPr>
          <w:lang w:val="fr-FR" w:eastAsia="en-GB"/>
        </w:rPr>
        <w:t>;</w:t>
      </w:r>
    </w:p>
    <w:p w14:paraId="0E23D11C" w14:textId="2B484053" w:rsidR="0043299F" w:rsidRPr="008C52E5" w:rsidRDefault="00C16D54" w:rsidP="0043299F">
      <w:pPr>
        <w:pStyle w:val="Normalnumber"/>
        <w:numPr>
          <w:ilvl w:val="1"/>
          <w:numId w:val="71"/>
        </w:numPr>
        <w:rPr>
          <w:lang w:val="fr-FR" w:eastAsia="en-GB"/>
        </w:rPr>
      </w:pPr>
      <w:r w:rsidRPr="008C52E5">
        <w:rPr>
          <w:lang w:val="fr-FR" w:eastAsia="en-GB"/>
        </w:rPr>
        <w:t>Pour le renforcement des capacités</w:t>
      </w:r>
      <w:r w:rsidR="0043299F" w:rsidRPr="008C52E5">
        <w:rPr>
          <w:lang w:val="fr-FR" w:eastAsia="en-GB"/>
        </w:rPr>
        <w:t xml:space="preserve"> (</w:t>
      </w:r>
      <w:r w:rsidR="009F7128" w:rsidRPr="008C52E5">
        <w:rPr>
          <w:lang w:val="fr-FR" w:eastAsia="en-GB"/>
        </w:rPr>
        <w:t xml:space="preserve">produits </w:t>
      </w:r>
      <w:r w:rsidR="004E1D69" w:rsidRPr="008C52E5">
        <w:rPr>
          <w:lang w:val="fr-FR" w:eastAsia="en-GB"/>
        </w:rPr>
        <w:t xml:space="preserve">relevant </w:t>
      </w:r>
      <w:r w:rsidR="009F7128" w:rsidRPr="008C52E5">
        <w:rPr>
          <w:lang w:val="fr-FR" w:eastAsia="en-GB"/>
        </w:rPr>
        <w:t>de l’objectif </w:t>
      </w:r>
      <w:r w:rsidR="0043299F" w:rsidRPr="008C52E5">
        <w:rPr>
          <w:lang w:val="fr-FR" w:eastAsia="en-GB"/>
        </w:rPr>
        <w:t>2)</w:t>
      </w:r>
      <w:r w:rsidR="009F7128" w:rsidRPr="008C52E5">
        <w:rPr>
          <w:lang w:val="fr-FR" w:eastAsia="en-GB"/>
        </w:rPr>
        <w:t> </w:t>
      </w:r>
      <w:r w:rsidR="0043439B" w:rsidRPr="008C52E5">
        <w:rPr>
          <w:lang w:val="fr-FR" w:eastAsia="en-GB"/>
        </w:rPr>
        <w:t>:</w:t>
      </w:r>
      <w:r w:rsidR="0043299F" w:rsidRPr="008C52E5">
        <w:rPr>
          <w:lang w:val="fr-FR" w:eastAsia="en-GB"/>
        </w:rPr>
        <w:t xml:space="preserve"> </w:t>
      </w:r>
      <w:r w:rsidR="009F7128" w:rsidRPr="008C52E5">
        <w:rPr>
          <w:lang w:val="fr-FR" w:eastAsia="en-GB"/>
        </w:rPr>
        <w:t>rechercher, hiérarchiser et renforcer les capacités essentielles à la mise en œuvre de l’approche </w:t>
      </w:r>
      <w:r w:rsidR="0043299F" w:rsidRPr="008C52E5">
        <w:rPr>
          <w:lang w:val="fr-FR" w:eastAsia="en-GB"/>
        </w:rPr>
        <w:t xml:space="preserve">; </w:t>
      </w:r>
      <w:r w:rsidR="005C67A1">
        <w:rPr>
          <w:lang w:val="fr-FR" w:eastAsia="en-GB"/>
        </w:rPr>
        <w:t>promouvoir la </w:t>
      </w:r>
      <w:r w:rsidR="009F7128" w:rsidRPr="008C52E5">
        <w:rPr>
          <w:lang w:val="fr-FR" w:eastAsia="en-GB"/>
        </w:rPr>
        <w:t xml:space="preserve">collaboration ainsi que des partenariats avec des organisations </w:t>
      </w:r>
      <w:r w:rsidR="000118DB" w:rsidRPr="008C52E5">
        <w:rPr>
          <w:lang w:val="fr-FR" w:eastAsia="en-GB"/>
        </w:rPr>
        <w:t>compétentes</w:t>
      </w:r>
      <w:r w:rsidR="0043299F" w:rsidRPr="008C52E5">
        <w:rPr>
          <w:lang w:val="fr-FR" w:eastAsia="en-GB"/>
        </w:rPr>
        <w:t>.</w:t>
      </w:r>
    </w:p>
    <w:p w14:paraId="0F19E349" w14:textId="078EE471" w:rsidR="0043299F" w:rsidRPr="008C52E5" w:rsidRDefault="009F7128" w:rsidP="0043299F">
      <w:pPr>
        <w:pStyle w:val="Normalnumber"/>
        <w:numPr>
          <w:ilvl w:val="0"/>
          <w:numId w:val="5"/>
        </w:numPr>
        <w:tabs>
          <w:tab w:val="left" w:pos="1871"/>
          <w:tab w:val="left" w:pos="2495"/>
        </w:tabs>
        <w:ind w:left="1247" w:firstLine="0"/>
        <w:rPr>
          <w:lang w:val="fr-FR" w:eastAsia="en-GB"/>
        </w:rPr>
      </w:pPr>
      <w:r w:rsidRPr="008C52E5">
        <w:rPr>
          <w:lang w:val="fr-FR" w:eastAsia="en-GB"/>
        </w:rPr>
        <w:t>Un aperçu des travaux entrepris depuis la sixième session de la Plénière ainsi que les mesures proposées pour 2019 et 2020 sont présentés dans le</w:t>
      </w:r>
      <w:r w:rsidR="00715BC5">
        <w:rPr>
          <w:lang w:val="fr-FR" w:eastAsia="en-GB"/>
        </w:rPr>
        <w:t xml:space="preserve"> document </w:t>
      </w:r>
      <w:r w:rsidR="0043299F" w:rsidRPr="008C52E5">
        <w:rPr>
          <w:lang w:val="fr-FR" w:eastAsia="en-GB"/>
        </w:rPr>
        <w:t>IPBES/7/INF/8.</w:t>
      </w:r>
      <w:r w:rsidR="00D726B1" w:rsidRPr="008C52E5">
        <w:rPr>
          <w:lang w:val="fr-FR" w:eastAsia="en-GB"/>
        </w:rPr>
        <w:t xml:space="preserve"> </w:t>
      </w:r>
    </w:p>
    <w:p w14:paraId="6F311F43" w14:textId="67EA8F2C" w:rsidR="008045CB" w:rsidRPr="008C52E5" w:rsidRDefault="00691435" w:rsidP="0044443E">
      <w:pPr>
        <w:pStyle w:val="CH3"/>
        <w:tabs>
          <w:tab w:val="clear" w:pos="851"/>
        </w:tabs>
        <w:ind w:hanging="680"/>
        <w:rPr>
          <w:lang w:val="fr-FR"/>
        </w:rPr>
      </w:pPr>
      <w:r w:rsidRPr="008C52E5">
        <w:rPr>
          <w:rFonts w:eastAsia="SimSun"/>
          <w:lang w:val="fr-FR" w:eastAsia="zh-CN"/>
        </w:rPr>
        <w:t>2.</w:t>
      </w:r>
      <w:r w:rsidRPr="008C52E5">
        <w:rPr>
          <w:rFonts w:eastAsia="SimSun"/>
          <w:lang w:val="fr-FR" w:eastAsia="zh-CN"/>
        </w:rPr>
        <w:tab/>
      </w:r>
      <w:r w:rsidR="009F7128" w:rsidRPr="008C52E5">
        <w:rPr>
          <w:rFonts w:eastAsia="SimSun"/>
          <w:lang w:val="fr-FR" w:eastAsia="zh-CN"/>
        </w:rPr>
        <w:t>Hypothèses et dispositions institutionnelles</w:t>
      </w:r>
    </w:p>
    <w:p w14:paraId="4A8952F0" w14:textId="34710BF6" w:rsidR="00274AE1" w:rsidRPr="008C52E5" w:rsidRDefault="009F7128" w:rsidP="00274AE1">
      <w:pPr>
        <w:pStyle w:val="Normalnumber"/>
        <w:numPr>
          <w:ilvl w:val="0"/>
          <w:numId w:val="5"/>
        </w:numPr>
        <w:tabs>
          <w:tab w:val="left" w:pos="1871"/>
          <w:tab w:val="left" w:pos="2495"/>
        </w:tabs>
        <w:ind w:left="1247" w:firstLine="0"/>
        <w:rPr>
          <w:lang w:val="fr-FR"/>
        </w:rPr>
      </w:pPr>
      <w:r w:rsidRPr="008C52E5">
        <w:rPr>
          <w:rFonts w:eastAsia="Calibri"/>
          <w:lang w:val="fr-FR"/>
        </w:rPr>
        <w:t>La Plénière prorogera le mandat de l’équipe spéciale sur les sav</w:t>
      </w:r>
      <w:r w:rsidR="005C67A1">
        <w:rPr>
          <w:rFonts w:eastAsia="Calibri"/>
          <w:lang w:val="fr-FR"/>
        </w:rPr>
        <w:t>oirs autochtones et locaux, qui </w:t>
      </w:r>
      <w:r w:rsidR="00935E40" w:rsidRPr="008C52E5">
        <w:rPr>
          <w:rFonts w:eastAsia="Calibri"/>
          <w:lang w:val="fr-FR"/>
        </w:rPr>
        <w:t>facilitera l’exécution du</w:t>
      </w:r>
      <w:r w:rsidRPr="008C52E5">
        <w:rPr>
          <w:rFonts w:eastAsia="Calibri"/>
          <w:lang w:val="fr-FR"/>
        </w:rPr>
        <w:t xml:space="preserve"> produit 3 b). Le mandat de l’équipe spéciale établi pour le premier programme de travail de la Plateforme a été révisé à la lumière de l’expérience et des enseignements </w:t>
      </w:r>
      <w:r w:rsidR="00935E40" w:rsidRPr="008C52E5">
        <w:rPr>
          <w:rFonts w:eastAsia="Calibri"/>
          <w:lang w:val="fr-FR"/>
        </w:rPr>
        <w:t>tirés</w:t>
      </w:r>
      <w:r w:rsidR="00715BC5">
        <w:rPr>
          <w:rFonts w:eastAsia="Calibri"/>
          <w:lang w:val="fr-FR"/>
        </w:rPr>
        <w:t xml:space="preserve"> et figure dans le document </w:t>
      </w:r>
      <w:r w:rsidRPr="008C52E5">
        <w:rPr>
          <w:rFonts w:eastAsia="Calibri"/>
          <w:lang w:val="fr-FR"/>
        </w:rPr>
        <w:t>IPBES/7/6</w:t>
      </w:r>
      <w:r w:rsidR="00AF0597" w:rsidRPr="008C52E5">
        <w:rPr>
          <w:lang w:val="fr-FR" w:eastAsia="nb-NO"/>
        </w:rPr>
        <w:t>.</w:t>
      </w:r>
      <w:r w:rsidR="00274AE1" w:rsidRPr="008C52E5">
        <w:rPr>
          <w:lang w:val="fr-FR" w:eastAsia="nb-NO"/>
        </w:rPr>
        <w:t xml:space="preserve"> </w:t>
      </w:r>
      <w:r w:rsidRPr="008C52E5">
        <w:rPr>
          <w:lang w:val="fr-FR" w:eastAsia="nb-NO"/>
        </w:rPr>
        <w:t>Une réunion de l’équipe spéciale sera tenue durant chaque période intersessions</w:t>
      </w:r>
      <w:r w:rsidR="00274AE1" w:rsidRPr="008C52E5">
        <w:rPr>
          <w:lang w:val="fr-FR" w:eastAsia="nb-NO"/>
        </w:rPr>
        <w:t xml:space="preserve">. </w:t>
      </w:r>
      <w:r w:rsidRPr="008C52E5">
        <w:rPr>
          <w:lang w:val="fr-FR" w:eastAsia="nb-NO"/>
        </w:rPr>
        <w:t xml:space="preserve">Conformément à la procédure standard d’évaluation, </w:t>
      </w:r>
      <w:r w:rsidR="00494E26" w:rsidRPr="008C52E5">
        <w:rPr>
          <w:lang w:val="fr-FR" w:eastAsia="nb-NO"/>
        </w:rPr>
        <w:t>il est proposé que trois réunions de dialogue soient tenues pour chaque évaluation</w:t>
      </w:r>
      <w:r w:rsidR="003C4DF3" w:rsidRPr="008C52E5">
        <w:rPr>
          <w:lang w:val="fr-FR" w:eastAsia="nb-NO"/>
        </w:rPr>
        <w:t xml:space="preserve"> </w:t>
      </w:r>
      <w:r w:rsidR="00494E26" w:rsidRPr="008C52E5">
        <w:rPr>
          <w:lang w:val="fr-FR" w:eastAsia="nb-NO"/>
        </w:rPr>
        <w:t>entreprise afin de mettre en œuvre l’approche</w:t>
      </w:r>
      <w:r w:rsidR="003C4DF3" w:rsidRPr="008C52E5">
        <w:rPr>
          <w:lang w:val="fr-FR" w:eastAsia="nb-NO"/>
        </w:rPr>
        <w:t xml:space="preserve"> </w:t>
      </w:r>
      <w:r w:rsidR="00494E26" w:rsidRPr="008C52E5">
        <w:rPr>
          <w:lang w:val="fr-FR" w:eastAsia="nb-NO"/>
        </w:rPr>
        <w:t>appliquée par la Plateforme en vue de reconnaître et d’explo</w:t>
      </w:r>
      <w:r w:rsidR="005C67A1">
        <w:rPr>
          <w:lang w:val="fr-FR" w:eastAsia="nb-NO"/>
        </w:rPr>
        <w:t>iter les savoirs autochtones et </w:t>
      </w:r>
      <w:r w:rsidR="00494E26" w:rsidRPr="008C52E5">
        <w:rPr>
          <w:lang w:val="fr-FR" w:eastAsia="nb-NO"/>
        </w:rPr>
        <w:t>locaux.</w:t>
      </w:r>
    </w:p>
    <w:p w14:paraId="113F95EF" w14:textId="0F0B2E2C" w:rsidR="008045CB" w:rsidRPr="008C52E5" w:rsidRDefault="00494E26" w:rsidP="0043299F">
      <w:pPr>
        <w:pStyle w:val="Normalnumber"/>
        <w:numPr>
          <w:ilvl w:val="0"/>
          <w:numId w:val="5"/>
        </w:numPr>
        <w:tabs>
          <w:tab w:val="left" w:pos="1871"/>
          <w:tab w:val="left" w:pos="2495"/>
        </w:tabs>
        <w:ind w:left="1247" w:firstLine="0"/>
        <w:rPr>
          <w:lang w:val="fr-FR"/>
        </w:rPr>
      </w:pPr>
      <w:r w:rsidRPr="008C52E5">
        <w:rPr>
          <w:lang w:val="fr-FR"/>
        </w:rPr>
        <w:t xml:space="preserve">Le secrétariat conclura des accords avec des institutions partenaires pour la </w:t>
      </w:r>
      <w:r w:rsidR="00935E40" w:rsidRPr="008C52E5">
        <w:rPr>
          <w:lang w:val="fr-FR"/>
        </w:rPr>
        <w:t>prestation</w:t>
      </w:r>
      <w:r w:rsidR="00715BC5">
        <w:rPr>
          <w:lang w:val="fr-FR"/>
        </w:rPr>
        <w:t xml:space="preserve"> d’un </w:t>
      </w:r>
      <w:r w:rsidRPr="008C52E5">
        <w:rPr>
          <w:lang w:val="fr-FR"/>
        </w:rPr>
        <w:t xml:space="preserve">appui technique </w:t>
      </w:r>
      <w:r w:rsidR="00935E40" w:rsidRPr="008C52E5">
        <w:rPr>
          <w:lang w:val="fr-FR"/>
        </w:rPr>
        <w:t xml:space="preserve">sur approbation du </w:t>
      </w:r>
      <w:r w:rsidRPr="008C52E5">
        <w:rPr>
          <w:lang w:val="fr-FR"/>
        </w:rPr>
        <w:t>Bureau. Cet appui techniqu</w:t>
      </w:r>
      <w:r w:rsidR="00715BC5">
        <w:rPr>
          <w:lang w:val="fr-FR"/>
        </w:rPr>
        <w:t>e sera financé en partie par la </w:t>
      </w:r>
      <w:r w:rsidRPr="008C52E5">
        <w:rPr>
          <w:lang w:val="fr-FR"/>
        </w:rPr>
        <w:t>Plateforme et en partie par les contributions en nature approuvées par la Plénière</w:t>
      </w:r>
      <w:r w:rsidR="008045CB" w:rsidRPr="008C52E5">
        <w:rPr>
          <w:lang w:val="fr-FR"/>
        </w:rPr>
        <w:t>.</w:t>
      </w:r>
    </w:p>
    <w:p w14:paraId="4F67B602" w14:textId="774C58CC" w:rsidR="00196D35" w:rsidRPr="008C52E5" w:rsidRDefault="00691435" w:rsidP="0044443E">
      <w:pPr>
        <w:pStyle w:val="CH3"/>
        <w:tabs>
          <w:tab w:val="clear" w:pos="851"/>
        </w:tabs>
        <w:ind w:hanging="673"/>
        <w:rPr>
          <w:rFonts w:eastAsia="SimSun"/>
          <w:lang w:val="fr-FR" w:eastAsia="zh-CN"/>
        </w:rPr>
      </w:pPr>
      <w:r w:rsidRPr="008C52E5">
        <w:rPr>
          <w:rFonts w:eastAsia="SimSun"/>
          <w:lang w:val="fr-FR" w:eastAsia="zh-CN"/>
        </w:rPr>
        <w:t>3.</w:t>
      </w:r>
      <w:r w:rsidRPr="008C52E5">
        <w:rPr>
          <w:rFonts w:eastAsia="SimSun"/>
          <w:lang w:val="fr-FR" w:eastAsia="zh-CN"/>
        </w:rPr>
        <w:tab/>
      </w:r>
      <w:r w:rsidR="00494E26" w:rsidRPr="008C52E5">
        <w:rPr>
          <w:rFonts w:eastAsia="SimSun"/>
          <w:lang w:val="fr-FR" w:eastAsia="zh-CN"/>
        </w:rPr>
        <w:t>Réunions et étapes intermédiaires</w:t>
      </w:r>
      <w:r w:rsidR="00196D35" w:rsidRPr="008C52E5">
        <w:rPr>
          <w:rFonts w:eastAsia="SimSun"/>
          <w:lang w:val="fr-FR" w:eastAsia="zh-CN"/>
        </w:rPr>
        <w:t xml:space="preserve"> </w:t>
      </w:r>
    </w:p>
    <w:p w14:paraId="58BE4FCE" w14:textId="6C77FD93" w:rsidR="00196D35" w:rsidRPr="008C52E5" w:rsidRDefault="00494E26" w:rsidP="0043299F">
      <w:pPr>
        <w:pStyle w:val="Normalnumber"/>
        <w:numPr>
          <w:ilvl w:val="0"/>
          <w:numId w:val="5"/>
        </w:numPr>
        <w:tabs>
          <w:tab w:val="left" w:pos="1871"/>
          <w:tab w:val="left" w:pos="2495"/>
        </w:tabs>
        <w:ind w:left="1247" w:firstLine="0"/>
        <w:rPr>
          <w:lang w:val="fr-FR"/>
        </w:rPr>
      </w:pPr>
      <w:r w:rsidRPr="008C52E5">
        <w:rPr>
          <w:lang w:val="fr-FR"/>
        </w:rPr>
        <w:t xml:space="preserve">Un aperçu des </w:t>
      </w:r>
      <w:r w:rsidR="00935E40" w:rsidRPr="008C52E5">
        <w:rPr>
          <w:lang w:val="fr-FR"/>
        </w:rPr>
        <w:t xml:space="preserve">activités </w:t>
      </w:r>
      <w:r w:rsidRPr="008C52E5">
        <w:rPr>
          <w:lang w:val="fr-FR"/>
        </w:rPr>
        <w:t xml:space="preserve">à mener </w:t>
      </w:r>
      <w:r w:rsidR="00935E40" w:rsidRPr="008C52E5">
        <w:rPr>
          <w:lang w:val="fr-FR"/>
        </w:rPr>
        <w:t>au titre</w:t>
      </w:r>
      <w:r w:rsidRPr="008C52E5">
        <w:rPr>
          <w:lang w:val="fr-FR"/>
        </w:rPr>
        <w:t xml:space="preserve"> de ce produit est présenté ci-après. Un projet de budget </w:t>
      </w:r>
      <w:r w:rsidR="00935E40" w:rsidRPr="008C52E5">
        <w:rPr>
          <w:lang w:val="fr-FR"/>
        </w:rPr>
        <w:t xml:space="preserve">correspondant </w:t>
      </w:r>
      <w:r w:rsidRPr="008C52E5">
        <w:rPr>
          <w:lang w:val="fr-FR"/>
        </w:rPr>
        <w:t xml:space="preserve">figure dans le tableau A-9 dans l’annexe </w:t>
      </w:r>
      <w:r w:rsidR="00935E40" w:rsidRPr="008C52E5">
        <w:rPr>
          <w:lang w:val="fr-FR"/>
        </w:rPr>
        <w:t>d</w:t>
      </w:r>
      <w:r w:rsidR="00715BC5">
        <w:rPr>
          <w:lang w:val="fr-FR"/>
        </w:rPr>
        <w:t>u document </w:t>
      </w:r>
      <w:r w:rsidR="00196D35" w:rsidRPr="008C52E5">
        <w:rPr>
          <w:lang w:val="fr-FR"/>
        </w:rPr>
        <w:t>IPBES/7/4.</w:t>
      </w:r>
      <w:r w:rsidR="00734B17" w:rsidRPr="008C52E5">
        <w:rPr>
          <w:lang w:val="fr-FR"/>
        </w:rPr>
        <w:t xml:space="preserve"> </w:t>
      </w:r>
    </w:p>
    <w:tbl>
      <w:tblPr>
        <w:tblW w:w="8352" w:type="dxa"/>
        <w:tblInd w:w="1248" w:type="dxa"/>
        <w:tblLook w:val="04A0" w:firstRow="1" w:lastRow="0" w:firstColumn="1" w:lastColumn="0" w:noHBand="0" w:noVBand="1"/>
      </w:tblPr>
      <w:tblGrid>
        <w:gridCol w:w="1236"/>
        <w:gridCol w:w="7116"/>
      </w:tblGrid>
      <w:tr w:rsidR="00196D35" w:rsidRPr="008C52E5" w14:paraId="75AFD8D8" w14:textId="77777777" w:rsidTr="005C34BE">
        <w:trPr>
          <w:trHeight w:val="233"/>
          <w:tblHeader/>
        </w:trPr>
        <w:tc>
          <w:tcPr>
            <w:tcW w:w="1152" w:type="dxa"/>
            <w:tcBorders>
              <w:top w:val="single" w:sz="4" w:space="0" w:color="auto"/>
              <w:bottom w:val="single" w:sz="12" w:space="0" w:color="auto"/>
            </w:tcBorders>
            <w:shd w:val="clear" w:color="auto" w:fill="auto"/>
            <w:vAlign w:val="center"/>
          </w:tcPr>
          <w:p w14:paraId="18086CF4" w14:textId="5F483DC1" w:rsidR="00196D35" w:rsidRPr="008C52E5" w:rsidDel="003F5A7B" w:rsidRDefault="00494E26" w:rsidP="00FC5E47">
            <w:pPr>
              <w:pStyle w:val="Normal-pool"/>
              <w:spacing w:before="40" w:after="40"/>
              <w:rPr>
                <w:rFonts w:eastAsia="SimSun"/>
                <w:sz w:val="18"/>
                <w:szCs w:val="18"/>
                <w:lang w:val="fr-FR" w:eastAsia="zh-CN"/>
              </w:rPr>
            </w:pPr>
            <w:r w:rsidRPr="008C52E5">
              <w:rPr>
                <w:rFonts w:eastAsia="SimSun"/>
                <w:i/>
                <w:sz w:val="18"/>
                <w:szCs w:val="18"/>
                <w:lang w:val="fr-FR" w:eastAsia="zh-CN"/>
              </w:rPr>
              <w:t>Calendrier</w:t>
            </w:r>
          </w:p>
        </w:tc>
        <w:tc>
          <w:tcPr>
            <w:tcW w:w="7200" w:type="dxa"/>
            <w:tcBorders>
              <w:top w:val="single" w:sz="4" w:space="0" w:color="auto"/>
              <w:bottom w:val="single" w:sz="12" w:space="0" w:color="auto"/>
            </w:tcBorders>
            <w:shd w:val="clear" w:color="auto" w:fill="auto"/>
            <w:vAlign w:val="center"/>
          </w:tcPr>
          <w:p w14:paraId="16487B53" w14:textId="09A3D795" w:rsidR="00196D35" w:rsidRPr="008C52E5" w:rsidDel="000C28ED" w:rsidRDefault="00494E26" w:rsidP="00FC5E47">
            <w:pPr>
              <w:pStyle w:val="Normal-pool"/>
              <w:spacing w:before="40" w:after="40"/>
              <w:rPr>
                <w:rFonts w:eastAsia="SimSun"/>
                <w:sz w:val="18"/>
                <w:szCs w:val="18"/>
                <w:lang w:val="fr-FR" w:eastAsia="zh-CN"/>
              </w:rPr>
            </w:pPr>
            <w:r w:rsidRPr="008C52E5">
              <w:rPr>
                <w:rFonts w:eastAsia="SimSun"/>
                <w:i/>
                <w:sz w:val="18"/>
                <w:szCs w:val="18"/>
                <w:lang w:val="fr-FR" w:eastAsia="zh-CN"/>
              </w:rPr>
              <w:t>Réunions et étapes intermédiaires</w:t>
            </w:r>
          </w:p>
        </w:tc>
      </w:tr>
      <w:tr w:rsidR="00196D35" w:rsidRPr="0082513F" w14:paraId="379E0185" w14:textId="77777777" w:rsidTr="00ED76A4">
        <w:trPr>
          <w:trHeight w:val="233"/>
        </w:trPr>
        <w:tc>
          <w:tcPr>
            <w:tcW w:w="1152" w:type="dxa"/>
            <w:vMerge w:val="restart"/>
            <w:tcBorders>
              <w:top w:val="single" w:sz="12" w:space="0" w:color="auto"/>
              <w:bottom w:val="single" w:sz="12" w:space="0" w:color="auto"/>
            </w:tcBorders>
            <w:shd w:val="clear" w:color="auto" w:fill="auto"/>
            <w:vAlign w:val="center"/>
          </w:tcPr>
          <w:p w14:paraId="761ED16C" w14:textId="50C9D3BB" w:rsidR="00196D35" w:rsidRPr="008C52E5" w:rsidRDefault="00B90361" w:rsidP="00FC5E47">
            <w:pPr>
              <w:pStyle w:val="Normal-pool"/>
              <w:spacing w:before="40" w:after="40"/>
              <w:rPr>
                <w:rFonts w:eastAsia="SimSun"/>
                <w:sz w:val="18"/>
                <w:szCs w:val="18"/>
                <w:lang w:val="fr-FR" w:eastAsia="zh-CN"/>
              </w:rPr>
            </w:pPr>
            <w:r w:rsidRPr="008C52E5">
              <w:rPr>
                <w:rFonts w:eastAsia="SimSun"/>
                <w:sz w:val="18"/>
                <w:szCs w:val="18"/>
                <w:lang w:val="fr-FR" w:eastAsia="zh-CN"/>
              </w:rPr>
              <w:t>Annu</w:t>
            </w:r>
            <w:r w:rsidR="00494E26" w:rsidRPr="008C52E5">
              <w:rPr>
                <w:rFonts w:eastAsia="SimSun"/>
                <w:sz w:val="18"/>
                <w:szCs w:val="18"/>
                <w:lang w:val="fr-FR" w:eastAsia="zh-CN"/>
              </w:rPr>
              <w:t>e</w:t>
            </w:r>
            <w:r w:rsidRPr="008C52E5">
              <w:rPr>
                <w:rFonts w:eastAsia="SimSun"/>
                <w:sz w:val="18"/>
                <w:szCs w:val="18"/>
                <w:lang w:val="fr-FR" w:eastAsia="zh-CN"/>
              </w:rPr>
              <w:t>ll</w:t>
            </w:r>
            <w:r w:rsidR="00494E26" w:rsidRPr="008C52E5">
              <w:rPr>
                <w:rFonts w:eastAsia="SimSun"/>
                <w:sz w:val="18"/>
                <w:szCs w:val="18"/>
                <w:lang w:val="fr-FR" w:eastAsia="zh-CN"/>
              </w:rPr>
              <w:t>ement</w:t>
            </w:r>
          </w:p>
        </w:tc>
        <w:tc>
          <w:tcPr>
            <w:tcW w:w="7200" w:type="dxa"/>
            <w:tcBorders>
              <w:top w:val="single" w:sz="12" w:space="0" w:color="auto"/>
            </w:tcBorders>
            <w:shd w:val="clear" w:color="auto" w:fill="auto"/>
          </w:tcPr>
          <w:p w14:paraId="17551F49" w14:textId="33EC3C18" w:rsidR="00196D35" w:rsidRPr="008C52E5" w:rsidRDefault="00494E26" w:rsidP="00FC5E47">
            <w:pPr>
              <w:pStyle w:val="Normal-pool"/>
              <w:spacing w:before="40" w:after="40"/>
              <w:rPr>
                <w:rFonts w:eastAsia="SimSun"/>
                <w:sz w:val="18"/>
                <w:szCs w:val="18"/>
                <w:lang w:val="fr-FR" w:eastAsia="zh-CN"/>
              </w:rPr>
            </w:pPr>
            <w:r w:rsidRPr="008C52E5">
              <w:rPr>
                <w:rFonts w:eastAsia="SimSun"/>
                <w:sz w:val="18"/>
                <w:szCs w:val="18"/>
                <w:lang w:val="fr-FR" w:eastAsia="zh-CN"/>
              </w:rPr>
              <w:t>Une réunion de l’équipe spéciale</w:t>
            </w:r>
          </w:p>
        </w:tc>
      </w:tr>
      <w:tr w:rsidR="00196D35" w:rsidRPr="0082513F" w14:paraId="306DDE5C" w14:textId="77777777" w:rsidTr="005C34BE">
        <w:trPr>
          <w:trHeight w:val="233"/>
        </w:trPr>
        <w:tc>
          <w:tcPr>
            <w:tcW w:w="1152" w:type="dxa"/>
            <w:vMerge/>
            <w:tcBorders>
              <w:bottom w:val="single" w:sz="12" w:space="0" w:color="auto"/>
            </w:tcBorders>
            <w:shd w:val="clear" w:color="auto" w:fill="auto"/>
            <w:vAlign w:val="center"/>
          </w:tcPr>
          <w:p w14:paraId="43AD2887" w14:textId="77777777" w:rsidR="00196D35" w:rsidRPr="008C52E5" w:rsidRDefault="00196D35" w:rsidP="00FC5E47">
            <w:pPr>
              <w:pStyle w:val="Normal-pool"/>
              <w:spacing w:before="40" w:after="40"/>
              <w:rPr>
                <w:rFonts w:eastAsia="SimSun"/>
                <w:sz w:val="18"/>
                <w:szCs w:val="18"/>
                <w:lang w:val="fr-FR" w:eastAsia="zh-CN"/>
              </w:rPr>
            </w:pPr>
          </w:p>
        </w:tc>
        <w:tc>
          <w:tcPr>
            <w:tcW w:w="7200" w:type="dxa"/>
            <w:shd w:val="clear" w:color="auto" w:fill="auto"/>
          </w:tcPr>
          <w:p w14:paraId="64F89B62" w14:textId="6B2BBD19" w:rsidR="00196D35" w:rsidRPr="008C52E5" w:rsidRDefault="00494E26" w:rsidP="00FC5E47">
            <w:pPr>
              <w:pStyle w:val="Normal-pool"/>
              <w:spacing w:before="40" w:after="40"/>
              <w:rPr>
                <w:rFonts w:eastAsia="SimSun"/>
                <w:sz w:val="18"/>
                <w:szCs w:val="18"/>
                <w:lang w:val="fr-FR" w:eastAsia="zh-CN"/>
              </w:rPr>
            </w:pPr>
            <w:r w:rsidRPr="008C52E5">
              <w:rPr>
                <w:rFonts w:eastAsia="SimSun"/>
                <w:sz w:val="18"/>
                <w:szCs w:val="18"/>
                <w:lang w:val="fr-FR" w:eastAsia="zh-CN"/>
              </w:rPr>
              <w:t>Des réunions de dialogue</w:t>
            </w:r>
            <w:r w:rsidR="00196D35" w:rsidRPr="008C52E5">
              <w:rPr>
                <w:rFonts w:eastAsia="SimSun"/>
                <w:sz w:val="18"/>
                <w:szCs w:val="18"/>
                <w:lang w:val="fr-FR" w:eastAsia="zh-CN"/>
              </w:rPr>
              <w:t xml:space="preserve"> </w:t>
            </w:r>
            <w:r w:rsidRPr="008C52E5">
              <w:rPr>
                <w:rFonts w:eastAsia="SimSun"/>
                <w:sz w:val="18"/>
                <w:szCs w:val="18"/>
                <w:lang w:val="fr-FR" w:eastAsia="zh-CN"/>
              </w:rPr>
              <w:t>afin de mettre en œuvre l’approche en vue de reconnaître et d’exploiter les savoirs autochtones et locaux dans les différentes phases des évaluations en cours de la Plateforme</w:t>
            </w:r>
          </w:p>
        </w:tc>
      </w:tr>
      <w:tr w:rsidR="00196D35" w:rsidRPr="0082513F" w14:paraId="4F1A7DD4" w14:textId="77777777" w:rsidTr="005C34BE">
        <w:trPr>
          <w:trHeight w:val="613"/>
        </w:trPr>
        <w:tc>
          <w:tcPr>
            <w:tcW w:w="1152" w:type="dxa"/>
            <w:vMerge/>
            <w:tcBorders>
              <w:bottom w:val="single" w:sz="12" w:space="0" w:color="auto"/>
            </w:tcBorders>
            <w:shd w:val="clear" w:color="auto" w:fill="auto"/>
            <w:vAlign w:val="center"/>
          </w:tcPr>
          <w:p w14:paraId="01F84E83" w14:textId="77777777" w:rsidR="00196D35" w:rsidRPr="008C52E5" w:rsidRDefault="00196D35" w:rsidP="00FC5E47">
            <w:pPr>
              <w:pStyle w:val="Normal-pool"/>
              <w:spacing w:before="40" w:after="40"/>
              <w:rPr>
                <w:rFonts w:eastAsia="SimSun"/>
                <w:sz w:val="18"/>
                <w:szCs w:val="18"/>
                <w:lang w:val="fr-FR" w:eastAsia="zh-CN"/>
              </w:rPr>
            </w:pPr>
          </w:p>
        </w:tc>
        <w:tc>
          <w:tcPr>
            <w:tcW w:w="7200" w:type="dxa"/>
            <w:shd w:val="clear" w:color="auto" w:fill="auto"/>
          </w:tcPr>
          <w:p w14:paraId="2DE897F6" w14:textId="6E6EEF4A" w:rsidR="00196D35" w:rsidRPr="008C52E5" w:rsidRDefault="00B05800" w:rsidP="00FC5E47">
            <w:pPr>
              <w:pStyle w:val="Normal-pool"/>
              <w:spacing w:before="40" w:after="40"/>
              <w:rPr>
                <w:rFonts w:eastAsia="SimSun"/>
                <w:sz w:val="18"/>
                <w:szCs w:val="18"/>
                <w:lang w:val="fr-FR" w:eastAsia="zh-CN"/>
              </w:rPr>
            </w:pPr>
            <w:r w:rsidRPr="008C52E5">
              <w:rPr>
                <w:rFonts w:eastAsia="SimSun"/>
                <w:sz w:val="18"/>
                <w:szCs w:val="18"/>
                <w:lang w:val="fr-FR" w:eastAsia="zh-CN"/>
              </w:rPr>
              <w:t>Activit</w:t>
            </w:r>
            <w:r w:rsidR="00494E26" w:rsidRPr="008C52E5">
              <w:rPr>
                <w:rFonts w:eastAsia="SimSun"/>
                <w:sz w:val="18"/>
                <w:szCs w:val="18"/>
                <w:lang w:val="fr-FR" w:eastAsia="zh-CN"/>
              </w:rPr>
              <w:t>és à l’appui des produits </w:t>
            </w:r>
            <w:r w:rsidRPr="008C52E5">
              <w:rPr>
                <w:rFonts w:eastAsia="SimSun"/>
                <w:sz w:val="18"/>
                <w:szCs w:val="18"/>
                <w:lang w:val="fr-FR" w:eastAsia="zh-CN"/>
              </w:rPr>
              <w:t xml:space="preserve">2 </w:t>
            </w:r>
            <w:r w:rsidR="00494E26" w:rsidRPr="008C52E5">
              <w:rPr>
                <w:rFonts w:eastAsia="SimSun"/>
                <w:sz w:val="18"/>
                <w:szCs w:val="18"/>
                <w:lang w:val="fr-FR" w:eastAsia="zh-CN"/>
              </w:rPr>
              <w:t>et</w:t>
            </w:r>
            <w:r w:rsidRPr="008C52E5">
              <w:rPr>
                <w:rFonts w:eastAsia="SimSun"/>
                <w:sz w:val="18"/>
                <w:szCs w:val="18"/>
                <w:lang w:val="fr-FR" w:eastAsia="zh-CN"/>
              </w:rPr>
              <w:t xml:space="preserve"> 4</w:t>
            </w:r>
            <w:r w:rsidR="00494E26" w:rsidRPr="008C52E5">
              <w:rPr>
                <w:rFonts w:eastAsia="SimSun"/>
                <w:sz w:val="18"/>
                <w:szCs w:val="18"/>
                <w:lang w:val="fr-FR" w:eastAsia="zh-CN"/>
              </w:rPr>
              <w:t> </w:t>
            </w:r>
            <w:r w:rsidRPr="008C52E5">
              <w:rPr>
                <w:rFonts w:eastAsia="SimSun"/>
                <w:sz w:val="18"/>
                <w:szCs w:val="18"/>
                <w:lang w:val="fr-FR" w:eastAsia="zh-CN"/>
              </w:rPr>
              <w:t>a</w:t>
            </w:r>
            <w:r w:rsidR="00324323" w:rsidRPr="008C52E5">
              <w:rPr>
                <w:rFonts w:eastAsia="SimSun"/>
                <w:sz w:val="18"/>
                <w:szCs w:val="18"/>
                <w:lang w:val="fr-FR" w:eastAsia="zh-CN"/>
              </w:rPr>
              <w:t>)</w:t>
            </w:r>
            <w:r w:rsidRPr="008C52E5">
              <w:rPr>
                <w:rFonts w:eastAsia="SimSun"/>
                <w:sz w:val="18"/>
                <w:szCs w:val="18"/>
                <w:lang w:val="fr-FR" w:eastAsia="zh-CN"/>
              </w:rPr>
              <w:t xml:space="preserve">, </w:t>
            </w:r>
            <w:r w:rsidR="00494E26" w:rsidRPr="008C52E5">
              <w:rPr>
                <w:rFonts w:eastAsia="SimSun"/>
                <w:sz w:val="18"/>
                <w:szCs w:val="18"/>
                <w:lang w:val="fr-FR" w:eastAsia="zh-CN"/>
              </w:rPr>
              <w:t xml:space="preserve">notamment </w:t>
            </w:r>
            <w:r w:rsidR="00D57A89" w:rsidRPr="008C52E5">
              <w:rPr>
                <w:rFonts w:eastAsia="SimSun"/>
                <w:sz w:val="18"/>
                <w:szCs w:val="18"/>
                <w:lang w:val="fr-FR" w:eastAsia="zh-CN"/>
              </w:rPr>
              <w:t>le recensement</w:t>
            </w:r>
            <w:r w:rsidR="005C67A1">
              <w:rPr>
                <w:rFonts w:eastAsia="SimSun"/>
                <w:sz w:val="18"/>
                <w:szCs w:val="18"/>
                <w:lang w:val="fr-FR" w:eastAsia="zh-CN"/>
              </w:rPr>
              <w:t>, la hiérarchisation et le </w:t>
            </w:r>
            <w:r w:rsidR="00494E26" w:rsidRPr="008C52E5">
              <w:rPr>
                <w:rFonts w:eastAsia="SimSun"/>
                <w:sz w:val="18"/>
                <w:szCs w:val="18"/>
                <w:lang w:val="fr-FR" w:eastAsia="zh-CN"/>
              </w:rPr>
              <w:t>renforcement des capacités essentielles à la mise en œuvre de l’approche</w:t>
            </w:r>
            <w:r w:rsidRPr="008C52E5">
              <w:rPr>
                <w:rFonts w:eastAsia="SimSun"/>
                <w:sz w:val="18"/>
                <w:szCs w:val="18"/>
                <w:lang w:val="fr-FR" w:eastAsia="zh-CN"/>
              </w:rPr>
              <w:t xml:space="preserve"> </w:t>
            </w:r>
            <w:r w:rsidR="00494E26" w:rsidRPr="008C52E5">
              <w:rPr>
                <w:rFonts w:eastAsia="SimSun"/>
                <w:sz w:val="18"/>
                <w:szCs w:val="18"/>
                <w:lang w:val="fr-FR" w:eastAsia="zh-CN"/>
              </w:rPr>
              <w:t>et la</w:t>
            </w:r>
            <w:r w:rsidRPr="008C52E5">
              <w:rPr>
                <w:rFonts w:eastAsia="SimSun"/>
                <w:sz w:val="18"/>
                <w:szCs w:val="18"/>
                <w:lang w:val="fr-FR" w:eastAsia="zh-CN"/>
              </w:rPr>
              <w:t xml:space="preserve"> promotion </w:t>
            </w:r>
            <w:r w:rsidR="00494E26" w:rsidRPr="008C52E5">
              <w:rPr>
                <w:rFonts w:eastAsia="SimSun"/>
                <w:sz w:val="18"/>
                <w:szCs w:val="18"/>
                <w:lang w:val="fr-FR" w:eastAsia="zh-CN"/>
              </w:rPr>
              <w:t>de la</w:t>
            </w:r>
            <w:r w:rsidRPr="008C52E5">
              <w:rPr>
                <w:rFonts w:eastAsia="SimSun"/>
                <w:sz w:val="18"/>
                <w:szCs w:val="18"/>
                <w:lang w:val="fr-FR" w:eastAsia="zh-CN"/>
              </w:rPr>
              <w:t xml:space="preserve"> collaboration </w:t>
            </w:r>
            <w:r w:rsidR="00494E26" w:rsidRPr="008C52E5">
              <w:rPr>
                <w:rFonts w:eastAsia="SimSun"/>
                <w:sz w:val="18"/>
                <w:szCs w:val="18"/>
                <w:lang w:val="fr-FR" w:eastAsia="zh-CN"/>
              </w:rPr>
              <w:t xml:space="preserve">et de partenariats avec des organisations </w:t>
            </w:r>
            <w:r w:rsidR="00935E40" w:rsidRPr="008C52E5">
              <w:rPr>
                <w:rFonts w:eastAsia="SimSun"/>
                <w:sz w:val="18"/>
                <w:szCs w:val="18"/>
                <w:lang w:val="fr-FR" w:eastAsia="zh-CN"/>
              </w:rPr>
              <w:t>compétentes</w:t>
            </w:r>
          </w:p>
        </w:tc>
      </w:tr>
      <w:tr w:rsidR="00196D35" w:rsidRPr="0082513F" w14:paraId="5EF643EA" w14:textId="77777777" w:rsidTr="005C34BE">
        <w:trPr>
          <w:trHeight w:val="233"/>
        </w:trPr>
        <w:tc>
          <w:tcPr>
            <w:tcW w:w="1152" w:type="dxa"/>
            <w:vMerge/>
            <w:tcBorders>
              <w:bottom w:val="single" w:sz="12" w:space="0" w:color="auto"/>
            </w:tcBorders>
            <w:shd w:val="clear" w:color="auto" w:fill="auto"/>
            <w:vAlign w:val="center"/>
          </w:tcPr>
          <w:p w14:paraId="465A071B" w14:textId="77777777" w:rsidR="00196D35" w:rsidRPr="008C52E5" w:rsidRDefault="00196D35" w:rsidP="00FC5E47">
            <w:pPr>
              <w:pStyle w:val="Normal-pool"/>
              <w:spacing w:before="40" w:after="40"/>
              <w:rPr>
                <w:rFonts w:eastAsia="SimSun"/>
                <w:sz w:val="18"/>
                <w:szCs w:val="18"/>
                <w:lang w:val="fr-FR" w:eastAsia="zh-CN"/>
              </w:rPr>
            </w:pPr>
          </w:p>
        </w:tc>
        <w:tc>
          <w:tcPr>
            <w:tcW w:w="7200" w:type="dxa"/>
            <w:tcBorders>
              <w:bottom w:val="single" w:sz="12" w:space="0" w:color="auto"/>
            </w:tcBorders>
            <w:shd w:val="clear" w:color="auto" w:fill="auto"/>
          </w:tcPr>
          <w:p w14:paraId="06CF6F87" w14:textId="3470E2BC" w:rsidR="00196D35" w:rsidRPr="008C52E5" w:rsidRDefault="00494E26" w:rsidP="00FC5E47">
            <w:pPr>
              <w:pStyle w:val="Normal-pool"/>
              <w:spacing w:before="40" w:after="40"/>
              <w:rPr>
                <w:rFonts w:eastAsia="SimSun"/>
                <w:sz w:val="18"/>
                <w:szCs w:val="18"/>
                <w:lang w:val="fr-FR" w:eastAsia="zh-CN"/>
              </w:rPr>
            </w:pPr>
            <w:r w:rsidRPr="008C52E5">
              <w:rPr>
                <w:rFonts w:eastAsia="SimSun"/>
                <w:sz w:val="18"/>
                <w:szCs w:val="18"/>
                <w:lang w:val="fr-FR" w:eastAsia="zh-CN"/>
              </w:rPr>
              <w:t>Activités à l’appui des produits </w:t>
            </w:r>
            <w:r w:rsidR="00B05800" w:rsidRPr="008C52E5">
              <w:rPr>
                <w:rFonts w:eastAsia="SimSun"/>
                <w:sz w:val="18"/>
                <w:szCs w:val="18"/>
                <w:lang w:val="fr-FR" w:eastAsia="zh-CN"/>
              </w:rPr>
              <w:t>3</w:t>
            </w:r>
            <w:r w:rsidRPr="008C52E5">
              <w:rPr>
                <w:rFonts w:eastAsia="SimSun"/>
                <w:sz w:val="18"/>
                <w:szCs w:val="18"/>
                <w:lang w:val="fr-FR" w:eastAsia="zh-CN"/>
              </w:rPr>
              <w:t> </w:t>
            </w:r>
            <w:r w:rsidR="00B05800" w:rsidRPr="008C52E5">
              <w:rPr>
                <w:rFonts w:eastAsia="SimSun"/>
                <w:sz w:val="18"/>
                <w:szCs w:val="18"/>
                <w:lang w:val="fr-FR" w:eastAsia="zh-CN"/>
              </w:rPr>
              <w:t>a</w:t>
            </w:r>
            <w:r w:rsidR="00324323" w:rsidRPr="008C52E5">
              <w:rPr>
                <w:rFonts w:eastAsia="SimSun"/>
                <w:sz w:val="18"/>
                <w:szCs w:val="18"/>
                <w:lang w:val="fr-FR" w:eastAsia="zh-CN"/>
              </w:rPr>
              <w:t>)</w:t>
            </w:r>
            <w:r w:rsidR="0020513C" w:rsidRPr="008C52E5">
              <w:rPr>
                <w:rFonts w:eastAsia="SimSun"/>
                <w:sz w:val="18"/>
                <w:szCs w:val="18"/>
                <w:lang w:val="fr-FR" w:eastAsia="zh-CN"/>
              </w:rPr>
              <w:t xml:space="preserve">, </w:t>
            </w:r>
            <w:r w:rsidR="00B05800" w:rsidRPr="008C52E5">
              <w:rPr>
                <w:rFonts w:eastAsia="SimSun"/>
                <w:sz w:val="18"/>
                <w:szCs w:val="18"/>
                <w:lang w:val="fr-FR" w:eastAsia="zh-CN"/>
              </w:rPr>
              <w:t>4</w:t>
            </w:r>
            <w:r w:rsidRPr="008C52E5">
              <w:rPr>
                <w:rFonts w:eastAsia="SimSun"/>
                <w:sz w:val="18"/>
                <w:szCs w:val="18"/>
                <w:lang w:val="fr-FR" w:eastAsia="zh-CN"/>
              </w:rPr>
              <w:t> </w:t>
            </w:r>
            <w:r w:rsidR="00B05800" w:rsidRPr="008C52E5">
              <w:rPr>
                <w:rFonts w:eastAsia="SimSun"/>
                <w:sz w:val="18"/>
                <w:szCs w:val="18"/>
                <w:lang w:val="fr-FR" w:eastAsia="zh-CN"/>
              </w:rPr>
              <w:t>b</w:t>
            </w:r>
            <w:r w:rsidR="00324323" w:rsidRPr="008C52E5">
              <w:rPr>
                <w:rFonts w:eastAsia="SimSun"/>
                <w:sz w:val="18"/>
                <w:szCs w:val="18"/>
                <w:lang w:val="fr-FR" w:eastAsia="zh-CN"/>
              </w:rPr>
              <w:t>)</w:t>
            </w:r>
            <w:r w:rsidR="0020513C" w:rsidRPr="008C52E5">
              <w:rPr>
                <w:rFonts w:eastAsia="SimSun"/>
                <w:sz w:val="18"/>
                <w:szCs w:val="18"/>
                <w:lang w:val="fr-FR" w:eastAsia="zh-CN"/>
              </w:rPr>
              <w:t xml:space="preserve"> </w:t>
            </w:r>
            <w:r w:rsidRPr="008C52E5">
              <w:rPr>
                <w:rFonts w:eastAsia="SimSun"/>
                <w:sz w:val="18"/>
                <w:szCs w:val="18"/>
                <w:lang w:val="fr-FR" w:eastAsia="zh-CN"/>
              </w:rPr>
              <w:t>et</w:t>
            </w:r>
            <w:r w:rsidR="0020513C" w:rsidRPr="008C52E5">
              <w:rPr>
                <w:rFonts w:eastAsia="SimSun"/>
                <w:sz w:val="18"/>
                <w:szCs w:val="18"/>
                <w:lang w:val="fr-FR" w:eastAsia="zh-CN"/>
              </w:rPr>
              <w:t xml:space="preserve"> 4</w:t>
            </w:r>
            <w:r w:rsidRPr="008C52E5">
              <w:rPr>
                <w:rFonts w:eastAsia="SimSun"/>
                <w:sz w:val="18"/>
                <w:szCs w:val="18"/>
                <w:lang w:val="fr-FR" w:eastAsia="zh-CN"/>
              </w:rPr>
              <w:t> </w:t>
            </w:r>
            <w:r w:rsidR="0020513C" w:rsidRPr="008C52E5">
              <w:rPr>
                <w:rFonts w:eastAsia="SimSun"/>
                <w:sz w:val="18"/>
                <w:szCs w:val="18"/>
                <w:lang w:val="fr-FR" w:eastAsia="zh-CN"/>
              </w:rPr>
              <w:t>c)</w:t>
            </w:r>
            <w:r w:rsidR="00B05800" w:rsidRPr="008C52E5">
              <w:rPr>
                <w:rFonts w:eastAsia="SimSun"/>
                <w:sz w:val="18"/>
                <w:szCs w:val="18"/>
                <w:lang w:val="fr-FR" w:eastAsia="zh-CN"/>
              </w:rPr>
              <w:t xml:space="preserve">, </w:t>
            </w:r>
            <w:r w:rsidRPr="008C52E5">
              <w:rPr>
                <w:rFonts w:eastAsia="SimSun"/>
                <w:sz w:val="18"/>
                <w:szCs w:val="18"/>
                <w:lang w:val="fr-FR" w:eastAsia="zh-CN"/>
              </w:rPr>
              <w:t>notamment la prise en compte d</w:t>
            </w:r>
            <w:r w:rsidR="00A1753D" w:rsidRPr="008C52E5">
              <w:rPr>
                <w:rFonts w:eastAsia="SimSun"/>
                <w:sz w:val="18"/>
                <w:szCs w:val="18"/>
                <w:lang w:val="fr-FR" w:eastAsia="zh-CN"/>
              </w:rPr>
              <w:t>’</w:t>
            </w:r>
            <w:r w:rsidRPr="008C52E5">
              <w:rPr>
                <w:rFonts w:eastAsia="SimSun"/>
                <w:sz w:val="18"/>
                <w:szCs w:val="18"/>
                <w:lang w:val="fr-FR" w:eastAsia="zh-CN"/>
              </w:rPr>
              <w:t xml:space="preserve">aspects </w:t>
            </w:r>
            <w:r w:rsidR="00D57A89" w:rsidRPr="008C52E5">
              <w:rPr>
                <w:rFonts w:eastAsia="SimSun"/>
                <w:sz w:val="18"/>
                <w:szCs w:val="18"/>
                <w:lang w:val="fr-FR" w:eastAsia="zh-CN"/>
              </w:rPr>
              <w:t>concernant</w:t>
            </w:r>
            <w:r w:rsidRPr="008C52E5">
              <w:rPr>
                <w:rFonts w:eastAsia="SimSun"/>
                <w:sz w:val="18"/>
                <w:szCs w:val="18"/>
                <w:lang w:val="fr-FR" w:eastAsia="zh-CN"/>
              </w:rPr>
              <w:t xml:space="preserve"> les savoirs autochtones et locaux et les peuples autochtones et populations locales </w:t>
            </w:r>
            <w:r w:rsidR="00A1753D" w:rsidRPr="008C52E5">
              <w:rPr>
                <w:rFonts w:eastAsia="SimSun"/>
                <w:sz w:val="18"/>
                <w:szCs w:val="18"/>
                <w:lang w:val="fr-FR" w:eastAsia="zh-CN"/>
              </w:rPr>
              <w:t>dans les travaux sur les connaissances et les données</w:t>
            </w:r>
            <w:r w:rsidR="00B05800" w:rsidRPr="008C52E5">
              <w:rPr>
                <w:rFonts w:eastAsia="SimSun"/>
                <w:sz w:val="18"/>
                <w:szCs w:val="18"/>
                <w:lang w:val="fr-FR" w:eastAsia="zh-CN"/>
              </w:rPr>
              <w:t xml:space="preserve">, </w:t>
            </w:r>
            <w:r w:rsidR="00A1753D" w:rsidRPr="008C52E5">
              <w:rPr>
                <w:rFonts w:eastAsia="SimSun"/>
                <w:sz w:val="18"/>
                <w:szCs w:val="18"/>
                <w:lang w:val="fr-FR" w:eastAsia="zh-CN"/>
              </w:rPr>
              <w:t xml:space="preserve">les </w:t>
            </w:r>
            <w:r w:rsidR="00B05800" w:rsidRPr="008C52E5">
              <w:rPr>
                <w:rFonts w:eastAsia="SimSun"/>
                <w:sz w:val="18"/>
                <w:szCs w:val="18"/>
                <w:lang w:val="fr-FR" w:eastAsia="zh-CN"/>
              </w:rPr>
              <w:t>sc</w:t>
            </w:r>
            <w:r w:rsidR="00A1753D" w:rsidRPr="008C52E5">
              <w:rPr>
                <w:rFonts w:eastAsia="SimSun"/>
                <w:sz w:val="18"/>
                <w:szCs w:val="18"/>
                <w:lang w:val="fr-FR" w:eastAsia="zh-CN"/>
              </w:rPr>
              <w:t>é</w:t>
            </w:r>
            <w:r w:rsidR="00B05800" w:rsidRPr="008C52E5">
              <w:rPr>
                <w:rFonts w:eastAsia="SimSun"/>
                <w:sz w:val="18"/>
                <w:szCs w:val="18"/>
                <w:lang w:val="fr-FR" w:eastAsia="zh-CN"/>
              </w:rPr>
              <w:t xml:space="preserve">narios </w:t>
            </w:r>
            <w:r w:rsidR="00A1753D" w:rsidRPr="008C52E5">
              <w:rPr>
                <w:rFonts w:eastAsia="SimSun"/>
                <w:sz w:val="18"/>
                <w:szCs w:val="18"/>
                <w:lang w:val="fr-FR" w:eastAsia="zh-CN"/>
              </w:rPr>
              <w:t>et les modèles</w:t>
            </w:r>
            <w:r w:rsidR="008F6C0F" w:rsidRPr="008C52E5">
              <w:rPr>
                <w:rFonts w:eastAsia="SimSun"/>
                <w:sz w:val="18"/>
                <w:szCs w:val="18"/>
                <w:lang w:val="fr-FR" w:eastAsia="zh-CN"/>
              </w:rPr>
              <w:t>,</w:t>
            </w:r>
            <w:r w:rsidR="00B05800" w:rsidRPr="008C52E5">
              <w:rPr>
                <w:rFonts w:eastAsia="SimSun"/>
                <w:sz w:val="18"/>
                <w:szCs w:val="18"/>
                <w:lang w:val="fr-FR" w:eastAsia="zh-CN"/>
              </w:rPr>
              <w:t xml:space="preserve"> </w:t>
            </w:r>
            <w:r w:rsidR="005C67A1">
              <w:rPr>
                <w:rFonts w:eastAsia="SimSun"/>
                <w:sz w:val="18"/>
                <w:szCs w:val="18"/>
                <w:lang w:val="fr-FR" w:eastAsia="zh-CN"/>
              </w:rPr>
              <w:t>et les </w:t>
            </w:r>
            <w:r w:rsidR="00A1753D" w:rsidRPr="008C52E5">
              <w:rPr>
                <w:rFonts w:eastAsia="SimSun"/>
                <w:sz w:val="18"/>
                <w:szCs w:val="18"/>
                <w:lang w:val="fr-FR" w:eastAsia="zh-CN"/>
              </w:rPr>
              <w:t>valeurs</w:t>
            </w:r>
          </w:p>
        </w:tc>
      </w:tr>
    </w:tbl>
    <w:p w14:paraId="289858DA" w14:textId="36ED57DE" w:rsidR="00697A66" w:rsidRPr="008C52E5" w:rsidRDefault="00390AA2" w:rsidP="0044443E">
      <w:pPr>
        <w:pStyle w:val="CH1"/>
        <w:ind w:hanging="680"/>
        <w:rPr>
          <w:lang w:val="fr-FR"/>
        </w:rPr>
      </w:pPr>
      <w:r w:rsidRPr="008C52E5">
        <w:rPr>
          <w:lang w:val="fr-FR"/>
        </w:rPr>
        <w:t>I</w:t>
      </w:r>
      <w:r w:rsidR="00CB3B9B" w:rsidRPr="008C52E5">
        <w:rPr>
          <w:lang w:val="fr-FR"/>
        </w:rPr>
        <w:t>V.</w:t>
      </w:r>
      <w:r w:rsidR="00CB3B9B" w:rsidRPr="008C52E5">
        <w:rPr>
          <w:lang w:val="fr-FR"/>
        </w:rPr>
        <w:tab/>
      </w:r>
      <w:r w:rsidR="006F1654" w:rsidRPr="008C52E5">
        <w:rPr>
          <w:lang w:val="fr-FR"/>
        </w:rPr>
        <w:t>Objecti</w:t>
      </w:r>
      <w:r w:rsidR="00AB2C7A" w:rsidRPr="008C52E5">
        <w:rPr>
          <w:lang w:val="fr-FR"/>
        </w:rPr>
        <w:t>f </w:t>
      </w:r>
      <w:r w:rsidR="006F1654" w:rsidRPr="008C52E5">
        <w:rPr>
          <w:lang w:val="fr-FR"/>
        </w:rPr>
        <w:t>4</w:t>
      </w:r>
      <w:r w:rsidR="00AB2C7A" w:rsidRPr="008C52E5">
        <w:rPr>
          <w:lang w:val="fr-FR"/>
        </w:rPr>
        <w:t> </w:t>
      </w:r>
      <w:r w:rsidR="006F1654" w:rsidRPr="008C52E5">
        <w:rPr>
          <w:lang w:val="fr-FR"/>
        </w:rPr>
        <w:t xml:space="preserve">: </w:t>
      </w:r>
      <w:r w:rsidR="00AB2C7A" w:rsidRPr="008C52E5">
        <w:rPr>
          <w:lang w:val="fr-FR"/>
        </w:rPr>
        <w:t>appui</w:t>
      </w:r>
      <w:r w:rsidR="00935E40" w:rsidRPr="008C52E5">
        <w:rPr>
          <w:lang w:val="fr-FR"/>
        </w:rPr>
        <w:t xml:space="preserve"> à l’élaboration</w:t>
      </w:r>
      <w:r w:rsidR="00AB2C7A" w:rsidRPr="008C52E5">
        <w:rPr>
          <w:lang w:val="fr-FR"/>
        </w:rPr>
        <w:t xml:space="preserve"> des politiques</w:t>
      </w:r>
    </w:p>
    <w:p w14:paraId="77956BCC" w14:textId="7ECD4E15" w:rsidR="00AA1FD9" w:rsidRPr="008C52E5" w:rsidRDefault="00CB3B9B" w:rsidP="0044443E">
      <w:pPr>
        <w:pStyle w:val="CH2"/>
        <w:tabs>
          <w:tab w:val="clear" w:pos="851"/>
        </w:tabs>
        <w:ind w:hanging="680"/>
        <w:rPr>
          <w:lang w:val="fr-FR"/>
        </w:rPr>
      </w:pPr>
      <w:r w:rsidRPr="008C52E5">
        <w:rPr>
          <w:lang w:val="fr-FR"/>
        </w:rPr>
        <w:t>A.</w:t>
      </w:r>
      <w:r w:rsidRPr="008C52E5">
        <w:rPr>
          <w:lang w:val="fr-FR"/>
        </w:rPr>
        <w:tab/>
      </w:r>
      <w:r w:rsidR="00AB2C7A" w:rsidRPr="008C52E5">
        <w:rPr>
          <w:lang w:val="fr-FR"/>
        </w:rPr>
        <w:t>Produit </w:t>
      </w:r>
      <w:r w:rsidR="00AA1FD9" w:rsidRPr="008C52E5">
        <w:rPr>
          <w:lang w:val="fr-FR"/>
        </w:rPr>
        <w:t>4</w:t>
      </w:r>
      <w:r w:rsidR="00AB2C7A" w:rsidRPr="008C52E5">
        <w:rPr>
          <w:lang w:val="fr-FR"/>
        </w:rPr>
        <w:t> </w:t>
      </w:r>
      <w:r w:rsidR="00AA1FD9" w:rsidRPr="008C52E5">
        <w:rPr>
          <w:lang w:val="fr-FR"/>
        </w:rPr>
        <w:t>a</w:t>
      </w:r>
      <w:r w:rsidR="00052EA6" w:rsidRPr="008C52E5">
        <w:rPr>
          <w:lang w:val="fr-FR"/>
        </w:rPr>
        <w:t>)</w:t>
      </w:r>
      <w:r w:rsidR="00AB2C7A" w:rsidRPr="008C52E5">
        <w:rPr>
          <w:lang w:val="fr-FR"/>
        </w:rPr>
        <w:t> </w:t>
      </w:r>
      <w:r w:rsidR="00AA1FD9" w:rsidRPr="008C52E5">
        <w:rPr>
          <w:lang w:val="fr-FR"/>
        </w:rPr>
        <w:t xml:space="preserve">: </w:t>
      </w:r>
      <w:r w:rsidR="00AB2C7A" w:rsidRPr="008C52E5">
        <w:rPr>
          <w:lang w:val="fr-FR"/>
        </w:rPr>
        <w:t xml:space="preserve">travaux avancés sur les outils et les méthodes </w:t>
      </w:r>
      <w:r w:rsidR="00F8032A" w:rsidRPr="008C52E5">
        <w:rPr>
          <w:lang w:val="fr-FR"/>
        </w:rPr>
        <w:t xml:space="preserve">à l’appui </w:t>
      </w:r>
      <w:r w:rsidR="00935E40" w:rsidRPr="008C52E5">
        <w:rPr>
          <w:lang w:val="fr-FR"/>
        </w:rPr>
        <w:t xml:space="preserve">de l’élaboration </w:t>
      </w:r>
      <w:r w:rsidR="00AB2C7A" w:rsidRPr="008C52E5">
        <w:rPr>
          <w:lang w:val="fr-FR"/>
        </w:rPr>
        <w:t>des politiques</w:t>
      </w:r>
    </w:p>
    <w:p w14:paraId="3A5571B0" w14:textId="604FA6B0" w:rsidR="0043299F" w:rsidRPr="008C52E5" w:rsidRDefault="00691435" w:rsidP="0044443E">
      <w:pPr>
        <w:pStyle w:val="CH3"/>
        <w:tabs>
          <w:tab w:val="clear" w:pos="851"/>
        </w:tabs>
        <w:ind w:hanging="680"/>
        <w:rPr>
          <w:rFonts w:eastAsia="SimSun"/>
          <w:lang w:val="fr-FR" w:eastAsia="zh-CN"/>
        </w:rPr>
      </w:pPr>
      <w:r w:rsidRPr="008C52E5">
        <w:rPr>
          <w:rFonts w:eastAsia="SimSun"/>
          <w:lang w:val="fr-FR" w:eastAsia="zh-CN"/>
        </w:rPr>
        <w:t>1.</w:t>
      </w:r>
      <w:r w:rsidRPr="008C52E5">
        <w:rPr>
          <w:rFonts w:eastAsia="SimSun"/>
          <w:lang w:val="fr-FR" w:eastAsia="zh-CN"/>
        </w:rPr>
        <w:tab/>
      </w:r>
      <w:r w:rsidR="00F8032A" w:rsidRPr="008C52E5">
        <w:rPr>
          <w:rFonts w:eastAsia="SimSun"/>
          <w:lang w:val="fr-FR" w:eastAsia="zh-CN"/>
        </w:rPr>
        <w:t>Contexte</w:t>
      </w:r>
    </w:p>
    <w:p w14:paraId="7AF73B16" w14:textId="6F240ABD" w:rsidR="0043299F" w:rsidRPr="008C52E5" w:rsidRDefault="00F8032A" w:rsidP="0043299F">
      <w:pPr>
        <w:pStyle w:val="Normalnumber"/>
        <w:numPr>
          <w:ilvl w:val="0"/>
          <w:numId w:val="5"/>
        </w:numPr>
        <w:tabs>
          <w:tab w:val="left" w:pos="1871"/>
          <w:tab w:val="left" w:pos="2495"/>
        </w:tabs>
        <w:ind w:left="1247" w:firstLine="0"/>
        <w:rPr>
          <w:lang w:val="fr-FR"/>
        </w:rPr>
      </w:pPr>
      <w:r w:rsidRPr="008C52E5">
        <w:rPr>
          <w:lang w:val="fr-FR" w:eastAsia="nb-NO"/>
        </w:rPr>
        <w:t>Le premier</w:t>
      </w:r>
      <w:r w:rsidR="00913913" w:rsidRPr="008C52E5">
        <w:rPr>
          <w:lang w:val="fr-FR" w:eastAsia="nb-NO"/>
        </w:rPr>
        <w:t> </w:t>
      </w:r>
      <w:r w:rsidRPr="008C52E5">
        <w:rPr>
          <w:lang w:val="fr-FR" w:eastAsia="nb-NO"/>
        </w:rPr>
        <w:t>programme de travail comprenait le produit </w:t>
      </w:r>
      <w:r w:rsidR="0043299F" w:rsidRPr="008C52E5">
        <w:rPr>
          <w:lang w:val="fr-FR"/>
        </w:rPr>
        <w:t>4</w:t>
      </w:r>
      <w:r w:rsidRPr="008C52E5">
        <w:rPr>
          <w:lang w:val="fr-FR"/>
        </w:rPr>
        <w:t> </w:t>
      </w:r>
      <w:r w:rsidR="0043299F" w:rsidRPr="008C52E5">
        <w:rPr>
          <w:lang w:val="fr-FR"/>
        </w:rPr>
        <w:t>a)</w:t>
      </w:r>
      <w:r w:rsidRPr="008C52E5">
        <w:rPr>
          <w:lang w:val="fr-FR"/>
        </w:rPr>
        <w:t> </w:t>
      </w:r>
      <w:r w:rsidR="0043299F" w:rsidRPr="008C52E5">
        <w:rPr>
          <w:lang w:val="fr-FR"/>
        </w:rPr>
        <w:t xml:space="preserve">: </w:t>
      </w:r>
      <w:r w:rsidRPr="008C52E5">
        <w:rPr>
          <w:lang w:val="fr-FR"/>
        </w:rPr>
        <w:t>« Dresser un catalogue des évaluations pertinentes »</w:t>
      </w:r>
      <w:r w:rsidR="0043299F" w:rsidRPr="008C52E5">
        <w:rPr>
          <w:lang w:val="fr-FR"/>
        </w:rPr>
        <w:t xml:space="preserve"> </w:t>
      </w:r>
      <w:r w:rsidRPr="008C52E5">
        <w:rPr>
          <w:lang w:val="fr-FR"/>
        </w:rPr>
        <w:t>et le produit </w:t>
      </w:r>
      <w:r w:rsidR="0043299F" w:rsidRPr="008C52E5">
        <w:rPr>
          <w:lang w:val="fr-FR"/>
        </w:rPr>
        <w:t>4</w:t>
      </w:r>
      <w:r w:rsidRPr="008C52E5">
        <w:rPr>
          <w:lang w:val="fr-FR"/>
        </w:rPr>
        <w:t> </w:t>
      </w:r>
      <w:r w:rsidR="0043299F" w:rsidRPr="008C52E5">
        <w:rPr>
          <w:lang w:val="fr-FR"/>
        </w:rPr>
        <w:t>c)</w:t>
      </w:r>
      <w:r w:rsidRPr="008C52E5">
        <w:rPr>
          <w:lang w:val="fr-FR"/>
        </w:rPr>
        <w:t> </w:t>
      </w:r>
      <w:r w:rsidR="0043299F" w:rsidRPr="008C52E5">
        <w:rPr>
          <w:lang w:val="fr-FR"/>
        </w:rPr>
        <w:t xml:space="preserve">: </w:t>
      </w:r>
      <w:r w:rsidRPr="008C52E5">
        <w:rPr>
          <w:lang w:val="fr-FR"/>
        </w:rPr>
        <w:t>« Dresser un catalogue d’outils et de méthodes à l’appui des politiques »</w:t>
      </w:r>
      <w:r w:rsidR="0043299F" w:rsidRPr="008C52E5">
        <w:rPr>
          <w:lang w:val="fr-FR"/>
        </w:rPr>
        <w:t xml:space="preserve">. </w:t>
      </w:r>
      <w:r w:rsidRPr="008C52E5">
        <w:rPr>
          <w:lang w:val="fr-FR"/>
        </w:rPr>
        <w:t>La Plénière a mis en place un</w:t>
      </w:r>
      <w:r w:rsidR="0043299F" w:rsidRPr="008C52E5">
        <w:rPr>
          <w:lang w:val="fr-FR"/>
        </w:rPr>
        <w:t xml:space="preserve"> </w:t>
      </w:r>
      <w:r w:rsidRPr="008C52E5">
        <w:rPr>
          <w:lang w:val="fr-FR"/>
        </w:rPr>
        <w:t xml:space="preserve">groupe d’experts doté d’un mandat précis pour aider le Groupe et le Bureau, selon que de besoin, à dresser un catalogue d’outils et de méthodes à l’appui </w:t>
      </w:r>
      <w:r w:rsidR="00D11568" w:rsidRPr="008C52E5">
        <w:rPr>
          <w:lang w:val="fr-FR"/>
        </w:rPr>
        <w:t xml:space="preserve">de l’élaboration </w:t>
      </w:r>
      <w:r w:rsidRPr="008C52E5">
        <w:rPr>
          <w:lang w:val="fr-FR"/>
        </w:rPr>
        <w:t>des politiques</w:t>
      </w:r>
      <w:r w:rsidR="007228CF" w:rsidRPr="008C52E5">
        <w:rPr>
          <w:lang w:val="fr-FR"/>
        </w:rPr>
        <w:t xml:space="preserve"> et fournir des orientations sur la manière dont le développement de ces outils et méthodes</w:t>
      </w:r>
      <w:r w:rsidR="006D2066" w:rsidRPr="008C52E5">
        <w:rPr>
          <w:lang w:val="fr-FR"/>
        </w:rPr>
        <w:t xml:space="preserve"> </w:t>
      </w:r>
      <w:r w:rsidR="007228CF" w:rsidRPr="008C52E5">
        <w:rPr>
          <w:lang w:val="fr-FR"/>
        </w:rPr>
        <w:t>pourrait être promu et</w:t>
      </w:r>
      <w:r w:rsidR="0043299F" w:rsidRPr="008C52E5">
        <w:rPr>
          <w:lang w:val="fr-FR"/>
        </w:rPr>
        <w:t xml:space="preserve"> </w:t>
      </w:r>
      <w:r w:rsidR="007228CF" w:rsidRPr="008C52E5">
        <w:rPr>
          <w:lang w:val="fr-FR"/>
        </w:rPr>
        <w:t>favorisé dans le contexte de la Plateforme</w:t>
      </w:r>
      <w:r w:rsidR="0043299F" w:rsidRPr="008C52E5">
        <w:rPr>
          <w:rStyle w:val="FootnoteReference"/>
          <w:lang w:val="fr-FR"/>
        </w:rPr>
        <w:footnoteReference w:id="11"/>
      </w:r>
      <w:r w:rsidR="007228CF" w:rsidRPr="008C52E5">
        <w:rPr>
          <w:lang w:val="fr-FR"/>
        </w:rPr>
        <w:t>.</w:t>
      </w:r>
      <w:r w:rsidR="0043299F" w:rsidRPr="008C52E5">
        <w:rPr>
          <w:lang w:val="fr-FR"/>
        </w:rPr>
        <w:t xml:space="preserve"> </w:t>
      </w:r>
      <w:r w:rsidR="007228CF" w:rsidRPr="008C52E5">
        <w:rPr>
          <w:lang w:val="fr-FR"/>
        </w:rPr>
        <w:t>Dans la</w:t>
      </w:r>
      <w:r w:rsidR="0043299F" w:rsidRPr="008C52E5">
        <w:rPr>
          <w:lang w:val="fr-FR"/>
        </w:rPr>
        <w:t xml:space="preserve"> section</w:t>
      </w:r>
      <w:r w:rsidR="007228CF" w:rsidRPr="008C52E5">
        <w:rPr>
          <w:lang w:val="fr-FR"/>
        </w:rPr>
        <w:t> </w:t>
      </w:r>
      <w:r w:rsidR="0043299F" w:rsidRPr="008C52E5">
        <w:rPr>
          <w:lang w:val="fr-FR"/>
        </w:rPr>
        <w:t xml:space="preserve">VII </w:t>
      </w:r>
      <w:r w:rsidR="007228CF" w:rsidRPr="008C52E5">
        <w:rPr>
          <w:lang w:val="fr-FR"/>
        </w:rPr>
        <w:t xml:space="preserve">de </w:t>
      </w:r>
      <w:r w:rsidR="00D11568" w:rsidRPr="008C52E5">
        <w:rPr>
          <w:lang w:val="fr-FR"/>
        </w:rPr>
        <w:t>s</w:t>
      </w:r>
      <w:r w:rsidR="007228CF" w:rsidRPr="008C52E5">
        <w:rPr>
          <w:lang w:val="fr-FR"/>
        </w:rPr>
        <w:t>a décision </w:t>
      </w:r>
      <w:r w:rsidR="0043299F" w:rsidRPr="008C52E5">
        <w:rPr>
          <w:lang w:val="fr-FR"/>
        </w:rPr>
        <w:t xml:space="preserve">IPBES-5/1, </w:t>
      </w:r>
      <w:r w:rsidR="007228CF" w:rsidRPr="008C52E5">
        <w:rPr>
          <w:lang w:val="fr-FR"/>
        </w:rPr>
        <w:t>la Plénière a demandé la reconstitution du groupe d’experts</w:t>
      </w:r>
      <w:r w:rsidR="0043299F" w:rsidRPr="008C52E5">
        <w:rPr>
          <w:lang w:val="fr-FR"/>
        </w:rPr>
        <w:t xml:space="preserve">. </w:t>
      </w:r>
    </w:p>
    <w:p w14:paraId="79A2A623" w14:textId="5CCA369D" w:rsidR="0043299F" w:rsidRPr="008C52E5" w:rsidRDefault="0043299F" w:rsidP="0043299F">
      <w:pPr>
        <w:pStyle w:val="Normalnumber"/>
        <w:numPr>
          <w:ilvl w:val="0"/>
          <w:numId w:val="5"/>
        </w:numPr>
        <w:tabs>
          <w:tab w:val="left" w:pos="1871"/>
          <w:tab w:val="left" w:pos="2495"/>
        </w:tabs>
        <w:ind w:left="1247" w:firstLine="0"/>
        <w:rPr>
          <w:lang w:val="fr-FR" w:eastAsia="nb-NO"/>
        </w:rPr>
      </w:pPr>
      <w:bookmarkStart w:id="8" w:name="_Hlk536175949"/>
      <w:r w:rsidRPr="008C52E5">
        <w:rPr>
          <w:lang w:val="fr-FR"/>
        </w:rPr>
        <w:t>Dur</w:t>
      </w:r>
      <w:r w:rsidR="007228CF" w:rsidRPr="008C52E5">
        <w:rPr>
          <w:lang w:val="fr-FR"/>
        </w:rPr>
        <w:t>ant le premier programme de travail, le groupe d’experts sur</w:t>
      </w:r>
      <w:r w:rsidRPr="008C52E5">
        <w:rPr>
          <w:lang w:val="fr-FR"/>
        </w:rPr>
        <w:t xml:space="preserve"> </w:t>
      </w:r>
      <w:r w:rsidR="00070791">
        <w:rPr>
          <w:lang w:val="fr-FR"/>
        </w:rPr>
        <w:t>les outils et les méthodes à </w:t>
      </w:r>
      <w:r w:rsidR="007228CF" w:rsidRPr="008C52E5">
        <w:rPr>
          <w:lang w:val="fr-FR"/>
        </w:rPr>
        <w:t>l’appui</w:t>
      </w:r>
      <w:r w:rsidR="004D21F0" w:rsidRPr="008C52E5">
        <w:rPr>
          <w:lang w:val="fr-FR"/>
        </w:rPr>
        <w:t xml:space="preserve"> de l’élaboration</w:t>
      </w:r>
      <w:r w:rsidR="007228CF" w:rsidRPr="008C52E5">
        <w:rPr>
          <w:lang w:val="fr-FR"/>
        </w:rPr>
        <w:t xml:space="preserve"> des politiques a </w:t>
      </w:r>
      <w:r w:rsidR="004D21F0" w:rsidRPr="008C52E5">
        <w:rPr>
          <w:lang w:val="fr-FR"/>
        </w:rPr>
        <w:t xml:space="preserve">préparé </w:t>
      </w:r>
      <w:r w:rsidR="007228CF" w:rsidRPr="008C52E5">
        <w:rPr>
          <w:lang w:val="fr-FR"/>
        </w:rPr>
        <w:t>des orientations mé</w:t>
      </w:r>
      <w:r w:rsidR="00070791">
        <w:rPr>
          <w:lang w:val="fr-FR"/>
        </w:rPr>
        <w:t>thodologiques à l’intention des </w:t>
      </w:r>
      <w:r w:rsidR="007228CF" w:rsidRPr="008C52E5">
        <w:rPr>
          <w:lang w:val="fr-FR"/>
        </w:rPr>
        <w:t>experts</w:t>
      </w:r>
      <w:r w:rsidR="005A6509" w:rsidRPr="008C52E5">
        <w:rPr>
          <w:lang w:val="fr-FR"/>
        </w:rPr>
        <w:t xml:space="preserve"> chargé</w:t>
      </w:r>
      <w:r w:rsidR="005C1734" w:rsidRPr="008C52E5">
        <w:rPr>
          <w:lang w:val="fr-FR"/>
        </w:rPr>
        <w:t>s</w:t>
      </w:r>
      <w:r w:rsidR="005A6509" w:rsidRPr="008C52E5">
        <w:rPr>
          <w:lang w:val="fr-FR"/>
        </w:rPr>
        <w:t xml:space="preserve"> de l’évaluation</w:t>
      </w:r>
      <w:r w:rsidR="00082CE0" w:rsidRPr="008C52E5">
        <w:rPr>
          <w:lang w:val="fr-FR"/>
        </w:rPr>
        <w:t xml:space="preserve"> sur la manière d’évaluer les instruments politiques et de faciliter l’utilisation d’outils et de méthodes à l’appui </w:t>
      </w:r>
      <w:r w:rsidR="004D21F0" w:rsidRPr="008C52E5">
        <w:rPr>
          <w:lang w:val="fr-FR"/>
        </w:rPr>
        <w:t xml:space="preserve">de l’élaboration </w:t>
      </w:r>
      <w:r w:rsidR="00082CE0" w:rsidRPr="008C52E5">
        <w:rPr>
          <w:lang w:val="fr-FR"/>
        </w:rPr>
        <w:t>des politiques dans les évaluations de la Plateforme</w:t>
      </w:r>
      <w:r w:rsidRPr="008C52E5">
        <w:rPr>
          <w:rStyle w:val="FootnoteReference"/>
          <w:lang w:val="fr-FR"/>
        </w:rPr>
        <w:footnoteReference w:id="12"/>
      </w:r>
      <w:r w:rsidR="00082CE0" w:rsidRPr="008C52E5">
        <w:rPr>
          <w:lang w:val="fr-FR"/>
        </w:rPr>
        <w:t>,</w:t>
      </w:r>
      <w:r w:rsidR="005734B3" w:rsidRPr="008C52E5">
        <w:rPr>
          <w:lang w:val="fr-FR"/>
        </w:rPr>
        <w:t xml:space="preserve"> </w:t>
      </w:r>
      <w:r w:rsidR="00082CE0" w:rsidRPr="008C52E5">
        <w:rPr>
          <w:lang w:val="fr-FR"/>
        </w:rPr>
        <w:t>et a mis en place un</w:t>
      </w:r>
      <w:r w:rsidRPr="008C52E5">
        <w:rPr>
          <w:lang w:val="fr-FR"/>
        </w:rPr>
        <w:t xml:space="preserve"> </w:t>
      </w:r>
      <w:r w:rsidR="00082CE0" w:rsidRPr="008C52E5">
        <w:rPr>
          <w:lang w:val="fr-FR"/>
        </w:rPr>
        <w:t xml:space="preserve">portail d’appui </w:t>
      </w:r>
      <w:r w:rsidR="00365899" w:rsidRPr="008C52E5">
        <w:rPr>
          <w:lang w:val="fr-FR"/>
        </w:rPr>
        <w:t xml:space="preserve">à l’élaboration </w:t>
      </w:r>
      <w:r w:rsidR="00082CE0" w:rsidRPr="008C52E5">
        <w:rPr>
          <w:lang w:val="fr-FR"/>
        </w:rPr>
        <w:t xml:space="preserve">des politiques </w:t>
      </w:r>
      <w:r w:rsidRPr="008C52E5">
        <w:rPr>
          <w:lang w:val="fr-FR"/>
        </w:rPr>
        <w:t>(</w:t>
      </w:r>
      <w:r w:rsidR="00082CE0" w:rsidRPr="008C52E5">
        <w:rPr>
          <w:lang w:val="fr-FR"/>
        </w:rPr>
        <w:t>auparavant nommé le</w:t>
      </w:r>
      <w:r w:rsidRPr="008C52E5">
        <w:rPr>
          <w:lang w:val="fr-FR"/>
        </w:rPr>
        <w:t xml:space="preserve"> </w:t>
      </w:r>
      <w:r w:rsidR="00082CE0" w:rsidRPr="008C52E5">
        <w:rPr>
          <w:lang w:val="fr-FR"/>
        </w:rPr>
        <w:t>catalogue d’outils et de méthodes d’appui à l’élaboration des politiques</w:t>
      </w:r>
      <w:r w:rsidRPr="008C52E5">
        <w:rPr>
          <w:lang w:val="fr-FR"/>
        </w:rPr>
        <w:t>)</w:t>
      </w:r>
      <w:r w:rsidRPr="008C52E5">
        <w:rPr>
          <w:rStyle w:val="FootnoteReference"/>
          <w:lang w:val="fr-FR"/>
        </w:rPr>
        <w:footnoteReference w:id="13"/>
      </w:r>
      <w:r w:rsidR="00082CE0" w:rsidRPr="008C52E5">
        <w:rPr>
          <w:lang w:val="fr-FR"/>
        </w:rPr>
        <w:t>.</w:t>
      </w:r>
      <w:r w:rsidRPr="008C52E5">
        <w:rPr>
          <w:lang w:val="fr-FR"/>
        </w:rPr>
        <w:t xml:space="preserve"> </w:t>
      </w:r>
      <w:r w:rsidR="00365899" w:rsidRPr="008C52E5">
        <w:rPr>
          <w:lang w:val="fr-FR"/>
        </w:rPr>
        <w:t xml:space="preserve">Le portail </w:t>
      </w:r>
      <w:r w:rsidR="004D21F0" w:rsidRPr="008C52E5">
        <w:rPr>
          <w:lang w:val="fr-FR"/>
        </w:rPr>
        <w:t xml:space="preserve">permet d’accéder </w:t>
      </w:r>
      <w:r w:rsidR="00365899" w:rsidRPr="008C52E5">
        <w:rPr>
          <w:lang w:val="fr-FR"/>
        </w:rPr>
        <w:t>aux ressources nécessaires à la Plateforme pour s’acquitter de son mandat consistant à appuyer l’élaboration et la mise en œuvre de politiques aux fins de la conservation et de l’utilisation durable de la biodiversité et des écosystèmes</w:t>
      </w:r>
      <w:r w:rsidRPr="008C52E5">
        <w:rPr>
          <w:lang w:val="fr-FR"/>
        </w:rPr>
        <w:t>.</w:t>
      </w:r>
      <w:r w:rsidR="00365899" w:rsidRPr="008C52E5">
        <w:rPr>
          <w:lang w:val="fr-FR"/>
        </w:rPr>
        <w:t xml:space="preserve"> Le</w:t>
      </w:r>
      <w:r w:rsidR="001679C7" w:rsidRPr="008C52E5">
        <w:rPr>
          <w:lang w:val="fr-FR"/>
        </w:rPr>
        <w:t xml:space="preserve"> catalogue </w:t>
      </w:r>
      <w:r w:rsidR="00365899" w:rsidRPr="008C52E5">
        <w:rPr>
          <w:lang w:val="fr-FR"/>
        </w:rPr>
        <w:t>d’évaluations a également été intégré dans le portail d’appui à l’élaboration des politiques</w:t>
      </w:r>
      <w:r w:rsidR="001679C7" w:rsidRPr="008C52E5">
        <w:rPr>
          <w:lang w:val="fr-FR"/>
        </w:rPr>
        <w:t>.</w:t>
      </w:r>
      <w:r w:rsidR="00365899" w:rsidRPr="008C52E5">
        <w:rPr>
          <w:lang w:val="fr-FR"/>
        </w:rPr>
        <w:t xml:space="preserve"> En outre, le groupe d’experts a établi des procédures </w:t>
      </w:r>
      <w:r w:rsidR="004D21F0" w:rsidRPr="008C52E5">
        <w:rPr>
          <w:lang w:val="fr-FR"/>
        </w:rPr>
        <w:t>d</w:t>
      </w:r>
      <w:r w:rsidR="00365899" w:rsidRPr="008C52E5">
        <w:rPr>
          <w:lang w:val="fr-FR"/>
        </w:rPr>
        <w:t xml:space="preserve">e téléchargement de contenus dans le catalogue et </w:t>
      </w:r>
      <w:r w:rsidR="004D21F0" w:rsidRPr="008C52E5">
        <w:rPr>
          <w:lang w:val="fr-FR"/>
        </w:rPr>
        <w:t xml:space="preserve">de </w:t>
      </w:r>
      <w:r w:rsidR="00365899" w:rsidRPr="008C52E5">
        <w:rPr>
          <w:lang w:val="fr-FR"/>
        </w:rPr>
        <w:t>validation des contenus téléchargés</w:t>
      </w:r>
      <w:r w:rsidR="009C2644" w:rsidRPr="008C52E5">
        <w:rPr>
          <w:rStyle w:val="FootnoteReference"/>
          <w:lang w:val="fr-FR"/>
        </w:rPr>
        <w:footnoteReference w:id="14"/>
      </w:r>
      <w:r w:rsidR="005C1734" w:rsidRPr="008C52E5">
        <w:rPr>
          <w:lang w:val="fr-FR"/>
        </w:rPr>
        <w:t>.</w:t>
      </w:r>
      <w:r w:rsidRPr="008C52E5">
        <w:rPr>
          <w:lang w:val="fr-FR"/>
        </w:rPr>
        <w:t xml:space="preserve"> </w:t>
      </w:r>
    </w:p>
    <w:bookmarkEnd w:id="8"/>
    <w:p w14:paraId="6FCC8353" w14:textId="591A2064" w:rsidR="0043299F" w:rsidRPr="008C52E5" w:rsidRDefault="00365899" w:rsidP="0043299F">
      <w:pPr>
        <w:pStyle w:val="Normalnumber"/>
        <w:numPr>
          <w:ilvl w:val="0"/>
          <w:numId w:val="5"/>
        </w:numPr>
        <w:tabs>
          <w:tab w:val="left" w:pos="1871"/>
          <w:tab w:val="left" w:pos="2495"/>
        </w:tabs>
        <w:ind w:left="1247" w:firstLine="0"/>
        <w:rPr>
          <w:lang w:val="fr-FR" w:eastAsia="nb-NO"/>
        </w:rPr>
      </w:pPr>
      <w:r w:rsidRPr="008C52E5">
        <w:rPr>
          <w:lang w:val="fr-FR"/>
        </w:rPr>
        <w:t xml:space="preserve">Il est proposé qu’une équipe spéciale soit </w:t>
      </w:r>
      <w:r w:rsidR="004D21F0" w:rsidRPr="008C52E5">
        <w:rPr>
          <w:lang w:val="fr-FR"/>
        </w:rPr>
        <w:t xml:space="preserve">créée </w:t>
      </w:r>
      <w:r w:rsidRPr="008C52E5">
        <w:rPr>
          <w:lang w:val="fr-FR"/>
        </w:rPr>
        <w:t xml:space="preserve">pour </w:t>
      </w:r>
      <w:r w:rsidR="004D21F0" w:rsidRPr="008C52E5">
        <w:rPr>
          <w:lang w:val="fr-FR"/>
        </w:rPr>
        <w:t xml:space="preserve">faciliter l’exécution du </w:t>
      </w:r>
      <w:r w:rsidRPr="008C52E5">
        <w:rPr>
          <w:lang w:val="fr-FR"/>
        </w:rPr>
        <w:t>produit </w:t>
      </w:r>
      <w:r w:rsidR="00AF6A1E" w:rsidRPr="008C52E5">
        <w:rPr>
          <w:lang w:val="fr-FR"/>
        </w:rPr>
        <w:t>4</w:t>
      </w:r>
      <w:r w:rsidRPr="008C52E5">
        <w:rPr>
          <w:lang w:val="fr-FR"/>
        </w:rPr>
        <w:t> </w:t>
      </w:r>
      <w:r w:rsidR="00AF6A1E" w:rsidRPr="008C52E5">
        <w:rPr>
          <w:lang w:val="fr-FR"/>
        </w:rPr>
        <w:t>a)</w:t>
      </w:r>
      <w:r w:rsidR="0043299F" w:rsidRPr="008C52E5">
        <w:rPr>
          <w:lang w:val="fr-FR"/>
        </w:rPr>
        <w:t>.</w:t>
      </w:r>
      <w:r w:rsidR="009C2644" w:rsidRPr="008C52E5">
        <w:rPr>
          <w:lang w:val="fr-FR" w:eastAsia="nb-NO"/>
        </w:rPr>
        <w:t xml:space="preserve"> </w:t>
      </w:r>
    </w:p>
    <w:p w14:paraId="13D6F5AD" w14:textId="3369C0F8" w:rsidR="0043299F" w:rsidRPr="008C52E5" w:rsidRDefault="00365899" w:rsidP="0043299F">
      <w:pPr>
        <w:pStyle w:val="Normalnumber"/>
        <w:numPr>
          <w:ilvl w:val="0"/>
          <w:numId w:val="5"/>
        </w:numPr>
        <w:tabs>
          <w:tab w:val="left" w:pos="1871"/>
          <w:tab w:val="left" w:pos="2495"/>
        </w:tabs>
        <w:ind w:left="1247" w:firstLine="0"/>
        <w:rPr>
          <w:lang w:val="fr-FR" w:eastAsia="en-GB"/>
        </w:rPr>
      </w:pPr>
      <w:r w:rsidRPr="008C52E5">
        <w:rPr>
          <w:lang w:val="fr-FR" w:eastAsia="en-GB"/>
        </w:rPr>
        <w:t>Un aperçu des travaux entrepris da</w:t>
      </w:r>
      <w:r w:rsidR="00715BC5">
        <w:rPr>
          <w:lang w:val="fr-FR" w:eastAsia="en-GB"/>
        </w:rPr>
        <w:t>ns ce domaine depuis la sixième </w:t>
      </w:r>
      <w:r w:rsidR="00070791">
        <w:rPr>
          <w:lang w:val="fr-FR" w:eastAsia="en-GB"/>
        </w:rPr>
        <w:t>session de la Plénière ainsi </w:t>
      </w:r>
      <w:r w:rsidRPr="008C52E5">
        <w:rPr>
          <w:lang w:val="fr-FR" w:eastAsia="en-GB"/>
        </w:rPr>
        <w:t>que les mesures proposées pour 2019 et 2020 sont présentés dans le document</w:t>
      </w:r>
      <w:r w:rsidR="00715BC5">
        <w:rPr>
          <w:lang w:val="fr-FR" w:eastAsia="en-GB"/>
        </w:rPr>
        <w:t> </w:t>
      </w:r>
      <w:r w:rsidR="0043299F" w:rsidRPr="008C52E5">
        <w:rPr>
          <w:lang w:val="fr-FR" w:eastAsia="en-GB"/>
        </w:rPr>
        <w:t>IPBES/7/INF/13.</w:t>
      </w:r>
      <w:r w:rsidR="00D726B1" w:rsidRPr="008C52E5">
        <w:rPr>
          <w:lang w:val="fr-FR" w:eastAsia="en-GB"/>
        </w:rPr>
        <w:t xml:space="preserve"> </w:t>
      </w:r>
    </w:p>
    <w:p w14:paraId="389B9E54" w14:textId="152C4001" w:rsidR="00F93252" w:rsidRPr="008C52E5" w:rsidRDefault="00691435" w:rsidP="0044443E">
      <w:pPr>
        <w:pStyle w:val="CH3"/>
        <w:tabs>
          <w:tab w:val="clear" w:pos="851"/>
        </w:tabs>
        <w:ind w:hanging="680"/>
        <w:rPr>
          <w:lang w:val="fr-FR"/>
        </w:rPr>
      </w:pPr>
      <w:r w:rsidRPr="008C52E5">
        <w:rPr>
          <w:rFonts w:eastAsia="SimSun"/>
          <w:lang w:val="fr-FR" w:eastAsia="zh-CN"/>
        </w:rPr>
        <w:t>2.</w:t>
      </w:r>
      <w:r w:rsidRPr="008C52E5">
        <w:rPr>
          <w:rFonts w:eastAsia="SimSun"/>
          <w:lang w:val="fr-FR" w:eastAsia="zh-CN"/>
        </w:rPr>
        <w:tab/>
      </w:r>
      <w:r w:rsidR="00365899" w:rsidRPr="008C52E5">
        <w:rPr>
          <w:rFonts w:eastAsia="SimSun"/>
          <w:lang w:val="fr-FR" w:eastAsia="zh-CN"/>
        </w:rPr>
        <w:t>Hypothèses et dispositions institutionnelles</w:t>
      </w:r>
    </w:p>
    <w:p w14:paraId="4515C3FF" w14:textId="07B8ECB9" w:rsidR="00F93252" w:rsidRPr="008C52E5" w:rsidRDefault="00365899" w:rsidP="0043299F">
      <w:pPr>
        <w:pStyle w:val="Normalnumber"/>
        <w:numPr>
          <w:ilvl w:val="0"/>
          <w:numId w:val="5"/>
        </w:numPr>
        <w:tabs>
          <w:tab w:val="left" w:pos="1871"/>
          <w:tab w:val="left" w:pos="2495"/>
        </w:tabs>
        <w:ind w:left="1247" w:firstLine="0"/>
        <w:rPr>
          <w:lang w:val="fr-FR"/>
        </w:rPr>
      </w:pPr>
      <w:r w:rsidRPr="008C52E5">
        <w:rPr>
          <w:rFonts w:eastAsia="Calibri"/>
          <w:lang w:val="fr-FR"/>
        </w:rPr>
        <w:t xml:space="preserve">La Plénière </w:t>
      </w:r>
      <w:r w:rsidR="00C96C5A" w:rsidRPr="008C52E5">
        <w:rPr>
          <w:rFonts w:eastAsia="Calibri"/>
          <w:lang w:val="fr-FR"/>
        </w:rPr>
        <w:t>créera</w:t>
      </w:r>
      <w:r w:rsidRPr="008C52E5">
        <w:rPr>
          <w:rFonts w:eastAsia="Calibri"/>
          <w:lang w:val="fr-FR"/>
        </w:rPr>
        <w:t xml:space="preserve"> une équipe spéciale </w:t>
      </w:r>
      <w:r w:rsidR="00C96C5A" w:rsidRPr="008C52E5">
        <w:rPr>
          <w:rFonts w:eastAsia="Calibri"/>
          <w:lang w:val="fr-FR"/>
        </w:rPr>
        <w:t xml:space="preserve">sur les outils et les méthodes à l’appui </w:t>
      </w:r>
      <w:r w:rsidR="004D21F0" w:rsidRPr="008C52E5">
        <w:rPr>
          <w:rFonts w:eastAsia="Calibri"/>
          <w:lang w:val="fr-FR"/>
        </w:rPr>
        <w:t xml:space="preserve">de l’élaboration </w:t>
      </w:r>
      <w:r w:rsidR="00C96C5A" w:rsidRPr="008C52E5">
        <w:rPr>
          <w:rFonts w:eastAsia="Calibri"/>
          <w:lang w:val="fr-FR"/>
        </w:rPr>
        <w:t>des politiques</w:t>
      </w:r>
      <w:r w:rsidRPr="008C52E5">
        <w:rPr>
          <w:rFonts w:eastAsia="Calibri"/>
          <w:lang w:val="fr-FR"/>
        </w:rPr>
        <w:t xml:space="preserve">, qui </w:t>
      </w:r>
      <w:r w:rsidR="004D21F0" w:rsidRPr="008C52E5">
        <w:rPr>
          <w:rFonts w:eastAsia="Calibri"/>
          <w:lang w:val="fr-FR"/>
        </w:rPr>
        <w:t xml:space="preserve">facilitera l’exécution du </w:t>
      </w:r>
      <w:r w:rsidRPr="008C52E5">
        <w:rPr>
          <w:rFonts w:eastAsia="Calibri"/>
          <w:lang w:val="fr-FR"/>
        </w:rPr>
        <w:t>produit </w:t>
      </w:r>
      <w:r w:rsidR="00C96C5A" w:rsidRPr="008C52E5">
        <w:rPr>
          <w:rFonts w:eastAsia="Calibri"/>
          <w:lang w:val="fr-FR"/>
        </w:rPr>
        <w:t>4 </w:t>
      </w:r>
      <w:r w:rsidRPr="008C52E5">
        <w:rPr>
          <w:rFonts w:eastAsia="Calibri"/>
          <w:lang w:val="fr-FR"/>
        </w:rPr>
        <w:t xml:space="preserve">a). Le </w:t>
      </w:r>
      <w:r w:rsidR="00C96C5A" w:rsidRPr="008C52E5">
        <w:rPr>
          <w:rFonts w:eastAsia="Calibri"/>
          <w:lang w:val="fr-FR"/>
        </w:rPr>
        <w:t xml:space="preserve">projet de </w:t>
      </w:r>
      <w:r w:rsidRPr="008C52E5">
        <w:rPr>
          <w:rFonts w:eastAsia="Calibri"/>
          <w:lang w:val="fr-FR"/>
        </w:rPr>
        <w:t xml:space="preserve">mandat de l’équipe spéciale </w:t>
      </w:r>
      <w:r w:rsidR="00C96C5A" w:rsidRPr="008C52E5">
        <w:rPr>
          <w:rFonts w:eastAsia="Calibri"/>
          <w:lang w:val="fr-FR"/>
        </w:rPr>
        <w:t>tient compte</w:t>
      </w:r>
      <w:r w:rsidRPr="008C52E5">
        <w:rPr>
          <w:rFonts w:eastAsia="Calibri"/>
          <w:lang w:val="fr-FR"/>
        </w:rPr>
        <w:t xml:space="preserve"> de l’expérience et des enseignements </w:t>
      </w:r>
      <w:r w:rsidR="004D21F0" w:rsidRPr="008C52E5">
        <w:rPr>
          <w:rFonts w:eastAsia="Calibri"/>
          <w:lang w:val="fr-FR"/>
        </w:rPr>
        <w:t xml:space="preserve">tirés </w:t>
      </w:r>
      <w:r w:rsidR="00C96C5A" w:rsidRPr="008C52E5">
        <w:rPr>
          <w:rFonts w:eastAsia="Calibri"/>
          <w:lang w:val="fr-FR"/>
        </w:rPr>
        <w:t xml:space="preserve">par le groupe d’experts mis en place durant le premier programme de travail de la Plateforme </w:t>
      </w:r>
      <w:r w:rsidR="00715BC5">
        <w:rPr>
          <w:rFonts w:eastAsia="Calibri"/>
          <w:lang w:val="fr-FR"/>
        </w:rPr>
        <w:t>et figure dans le document </w:t>
      </w:r>
      <w:r w:rsidRPr="008C52E5">
        <w:rPr>
          <w:rFonts w:eastAsia="Calibri"/>
          <w:lang w:val="fr-FR"/>
        </w:rPr>
        <w:t>IPBES/7/6. Une réunion de l’équipe spéciale ser</w:t>
      </w:r>
      <w:r w:rsidR="00C96C5A" w:rsidRPr="008C52E5">
        <w:rPr>
          <w:rFonts w:eastAsia="Calibri"/>
          <w:lang w:val="fr-FR"/>
        </w:rPr>
        <w:t>a</w:t>
      </w:r>
      <w:r w:rsidRPr="008C52E5">
        <w:rPr>
          <w:rFonts w:eastAsia="Calibri"/>
          <w:lang w:val="fr-FR"/>
        </w:rPr>
        <w:t xml:space="preserve"> organisée durant chaque période intersessions</w:t>
      </w:r>
      <w:r w:rsidR="0019590E" w:rsidRPr="008C52E5">
        <w:rPr>
          <w:lang w:val="fr-FR" w:eastAsia="nb-NO"/>
        </w:rPr>
        <w:t xml:space="preserve">. </w:t>
      </w:r>
    </w:p>
    <w:p w14:paraId="6F0CF26A" w14:textId="16495F2A" w:rsidR="00F93252" w:rsidRPr="008C52E5" w:rsidRDefault="00324E0F" w:rsidP="0043299F">
      <w:pPr>
        <w:pStyle w:val="Normalnumber"/>
        <w:numPr>
          <w:ilvl w:val="0"/>
          <w:numId w:val="5"/>
        </w:numPr>
        <w:tabs>
          <w:tab w:val="left" w:pos="1871"/>
          <w:tab w:val="left" w:pos="2495"/>
        </w:tabs>
        <w:ind w:left="1247" w:firstLine="0"/>
        <w:rPr>
          <w:lang w:val="fr-FR"/>
        </w:rPr>
      </w:pPr>
      <w:r w:rsidRPr="008C52E5">
        <w:rPr>
          <w:lang w:val="fr-FR"/>
        </w:rPr>
        <w:t xml:space="preserve">Le secrétariat conclura des accords avec des institutions partenaires pour la </w:t>
      </w:r>
      <w:r w:rsidR="004D21F0" w:rsidRPr="008C52E5">
        <w:rPr>
          <w:lang w:val="fr-FR"/>
        </w:rPr>
        <w:t xml:space="preserve">prestation </w:t>
      </w:r>
      <w:r w:rsidR="00070791">
        <w:rPr>
          <w:lang w:val="fr-FR"/>
        </w:rPr>
        <w:t>d’un </w:t>
      </w:r>
      <w:r w:rsidRPr="008C52E5">
        <w:rPr>
          <w:lang w:val="fr-FR"/>
        </w:rPr>
        <w:t xml:space="preserve">appui technique </w:t>
      </w:r>
      <w:r w:rsidR="004D21F0" w:rsidRPr="008C52E5">
        <w:rPr>
          <w:lang w:val="fr-FR"/>
        </w:rPr>
        <w:t xml:space="preserve">sur approbation du </w:t>
      </w:r>
      <w:r w:rsidRPr="008C52E5">
        <w:rPr>
          <w:lang w:val="fr-FR"/>
        </w:rPr>
        <w:t>Bureau. Cet appui technique sera financé en partie par la Plateforme et en partie par les contributions en nature approuvées par la Plénière</w:t>
      </w:r>
      <w:r w:rsidR="00F93252" w:rsidRPr="008C52E5">
        <w:rPr>
          <w:lang w:val="fr-FR"/>
        </w:rPr>
        <w:t>.</w:t>
      </w:r>
    </w:p>
    <w:p w14:paraId="5EBCB21C" w14:textId="0757A92D" w:rsidR="00104CEC" w:rsidRPr="008C52E5" w:rsidRDefault="00691435" w:rsidP="0044443E">
      <w:pPr>
        <w:pStyle w:val="CH3"/>
        <w:tabs>
          <w:tab w:val="clear" w:pos="851"/>
        </w:tabs>
        <w:ind w:hanging="680"/>
        <w:rPr>
          <w:rFonts w:eastAsia="SimSun"/>
          <w:lang w:val="fr-FR" w:eastAsia="zh-CN"/>
        </w:rPr>
      </w:pPr>
      <w:r w:rsidRPr="008C52E5">
        <w:rPr>
          <w:rFonts w:eastAsia="SimSun"/>
          <w:lang w:val="fr-FR" w:eastAsia="zh-CN"/>
        </w:rPr>
        <w:t>3.</w:t>
      </w:r>
      <w:r w:rsidRPr="008C52E5">
        <w:rPr>
          <w:rFonts w:eastAsia="SimSun"/>
          <w:lang w:val="fr-FR" w:eastAsia="zh-CN"/>
        </w:rPr>
        <w:tab/>
      </w:r>
      <w:r w:rsidR="00324E0F" w:rsidRPr="008C52E5">
        <w:rPr>
          <w:rFonts w:eastAsia="SimSun"/>
          <w:lang w:val="fr-FR" w:eastAsia="zh-CN"/>
        </w:rPr>
        <w:t>Réunions et étapes intermédiaires</w:t>
      </w:r>
      <w:r w:rsidR="00104CEC" w:rsidRPr="008C52E5">
        <w:rPr>
          <w:rFonts w:eastAsia="SimSun"/>
          <w:lang w:val="fr-FR" w:eastAsia="zh-CN"/>
        </w:rPr>
        <w:t xml:space="preserve"> </w:t>
      </w:r>
    </w:p>
    <w:p w14:paraId="0809C1B4" w14:textId="6F5F724A" w:rsidR="00104CEC" w:rsidRPr="008C52E5" w:rsidRDefault="00324E0F" w:rsidP="0043299F">
      <w:pPr>
        <w:pStyle w:val="Normalnumber"/>
        <w:numPr>
          <w:ilvl w:val="0"/>
          <w:numId w:val="5"/>
        </w:numPr>
        <w:tabs>
          <w:tab w:val="left" w:pos="1871"/>
          <w:tab w:val="left" w:pos="2495"/>
        </w:tabs>
        <w:ind w:left="1247" w:firstLine="0"/>
        <w:rPr>
          <w:lang w:val="fr-FR"/>
        </w:rPr>
      </w:pPr>
      <w:r w:rsidRPr="008C52E5">
        <w:rPr>
          <w:lang w:val="fr-FR"/>
        </w:rPr>
        <w:t xml:space="preserve">Un aperçu des </w:t>
      </w:r>
      <w:r w:rsidR="004D21F0" w:rsidRPr="008C52E5">
        <w:rPr>
          <w:lang w:val="fr-FR"/>
        </w:rPr>
        <w:t>activités</w:t>
      </w:r>
      <w:r w:rsidRPr="008C52E5">
        <w:rPr>
          <w:lang w:val="fr-FR"/>
        </w:rPr>
        <w:t xml:space="preserve"> à mener </w:t>
      </w:r>
      <w:r w:rsidR="004D21F0" w:rsidRPr="008C52E5">
        <w:rPr>
          <w:lang w:val="fr-FR"/>
        </w:rPr>
        <w:t xml:space="preserve">au titre </w:t>
      </w:r>
      <w:r w:rsidRPr="008C52E5">
        <w:rPr>
          <w:lang w:val="fr-FR"/>
        </w:rPr>
        <w:t xml:space="preserve">de ce produit est présenté ci-après. Un projet de budget </w:t>
      </w:r>
      <w:r w:rsidR="004D21F0" w:rsidRPr="008C52E5">
        <w:rPr>
          <w:lang w:val="fr-FR"/>
        </w:rPr>
        <w:t xml:space="preserve">correspondant </w:t>
      </w:r>
      <w:r w:rsidRPr="008C52E5">
        <w:rPr>
          <w:lang w:val="fr-FR"/>
        </w:rPr>
        <w:t xml:space="preserve">figure dans le tableau A-10 dans l’annexe </w:t>
      </w:r>
      <w:r w:rsidR="004D21F0" w:rsidRPr="008C52E5">
        <w:rPr>
          <w:lang w:val="fr-FR"/>
        </w:rPr>
        <w:t>d</w:t>
      </w:r>
      <w:r w:rsidR="00715BC5">
        <w:rPr>
          <w:lang w:val="fr-FR"/>
        </w:rPr>
        <w:t>u document </w:t>
      </w:r>
      <w:r w:rsidR="00104CEC" w:rsidRPr="008C52E5">
        <w:rPr>
          <w:lang w:val="fr-FR"/>
        </w:rPr>
        <w:t>IPBES/7/4.</w:t>
      </w:r>
      <w:r w:rsidR="00734B17" w:rsidRPr="008C52E5">
        <w:rPr>
          <w:lang w:val="fr-FR"/>
        </w:rPr>
        <w:t xml:space="preserve"> </w:t>
      </w:r>
    </w:p>
    <w:tbl>
      <w:tblPr>
        <w:tblW w:w="8352" w:type="dxa"/>
        <w:tblInd w:w="1248" w:type="dxa"/>
        <w:tblLook w:val="04A0" w:firstRow="1" w:lastRow="0" w:firstColumn="1" w:lastColumn="0" w:noHBand="0" w:noVBand="1"/>
      </w:tblPr>
      <w:tblGrid>
        <w:gridCol w:w="1236"/>
        <w:gridCol w:w="7116"/>
      </w:tblGrid>
      <w:tr w:rsidR="00104CEC" w:rsidRPr="008C52E5" w14:paraId="3F8A015E" w14:textId="77777777" w:rsidTr="00E9285A">
        <w:trPr>
          <w:trHeight w:val="233"/>
          <w:tblHeader/>
        </w:trPr>
        <w:tc>
          <w:tcPr>
            <w:tcW w:w="1152" w:type="dxa"/>
            <w:tcBorders>
              <w:top w:val="single" w:sz="4" w:space="0" w:color="auto"/>
              <w:bottom w:val="single" w:sz="12" w:space="0" w:color="auto"/>
            </w:tcBorders>
            <w:shd w:val="clear" w:color="auto" w:fill="auto"/>
            <w:vAlign w:val="center"/>
          </w:tcPr>
          <w:p w14:paraId="7958CE95" w14:textId="52B1A0E1" w:rsidR="00104CEC" w:rsidRPr="008C52E5" w:rsidDel="003F5A7B" w:rsidRDefault="00324E0F" w:rsidP="00FC5E47">
            <w:pPr>
              <w:pStyle w:val="Normal-pool"/>
              <w:spacing w:before="20" w:after="20"/>
              <w:jc w:val="both"/>
              <w:rPr>
                <w:rFonts w:eastAsia="SimSun"/>
                <w:sz w:val="18"/>
                <w:szCs w:val="18"/>
                <w:lang w:val="fr-FR" w:eastAsia="zh-CN"/>
              </w:rPr>
            </w:pPr>
            <w:r w:rsidRPr="008C52E5">
              <w:rPr>
                <w:rFonts w:eastAsia="SimSun"/>
                <w:i/>
                <w:sz w:val="18"/>
                <w:szCs w:val="18"/>
                <w:lang w:val="fr-FR" w:eastAsia="zh-CN"/>
              </w:rPr>
              <w:t>Calendrier</w:t>
            </w:r>
          </w:p>
        </w:tc>
        <w:tc>
          <w:tcPr>
            <w:tcW w:w="7200" w:type="dxa"/>
            <w:tcBorders>
              <w:top w:val="single" w:sz="4" w:space="0" w:color="auto"/>
              <w:bottom w:val="single" w:sz="12" w:space="0" w:color="auto"/>
            </w:tcBorders>
            <w:shd w:val="clear" w:color="auto" w:fill="auto"/>
            <w:vAlign w:val="center"/>
          </w:tcPr>
          <w:p w14:paraId="5EFA332C" w14:textId="5AC158A0" w:rsidR="00104CEC" w:rsidRPr="008C52E5" w:rsidDel="000C28ED" w:rsidRDefault="00324E0F" w:rsidP="00FC5E47">
            <w:pPr>
              <w:pStyle w:val="Normal-pool"/>
              <w:spacing w:before="20" w:after="20"/>
              <w:jc w:val="both"/>
              <w:rPr>
                <w:rFonts w:eastAsia="SimSun"/>
                <w:sz w:val="18"/>
                <w:szCs w:val="18"/>
                <w:lang w:val="fr-FR" w:eastAsia="zh-CN"/>
              </w:rPr>
            </w:pPr>
            <w:r w:rsidRPr="008C52E5">
              <w:rPr>
                <w:rFonts w:eastAsia="SimSun"/>
                <w:i/>
                <w:sz w:val="18"/>
                <w:szCs w:val="18"/>
                <w:lang w:val="fr-FR" w:eastAsia="zh-CN"/>
              </w:rPr>
              <w:t>Réunions et étapes intermédiaires</w:t>
            </w:r>
          </w:p>
        </w:tc>
      </w:tr>
      <w:tr w:rsidR="00E7329C" w:rsidRPr="0082513F" w14:paraId="5028A6D6" w14:textId="77777777" w:rsidTr="00ED76A4">
        <w:trPr>
          <w:trHeight w:val="181"/>
        </w:trPr>
        <w:tc>
          <w:tcPr>
            <w:tcW w:w="1152" w:type="dxa"/>
            <w:vMerge w:val="restart"/>
            <w:tcBorders>
              <w:top w:val="single" w:sz="12" w:space="0" w:color="auto"/>
              <w:bottom w:val="single" w:sz="12" w:space="0" w:color="auto"/>
            </w:tcBorders>
            <w:shd w:val="clear" w:color="auto" w:fill="auto"/>
            <w:vAlign w:val="center"/>
          </w:tcPr>
          <w:p w14:paraId="2C633995" w14:textId="448515F6" w:rsidR="00E7329C" w:rsidRPr="008C52E5" w:rsidRDefault="00B90361" w:rsidP="00FC5E47">
            <w:pPr>
              <w:pStyle w:val="Normal-pool"/>
              <w:spacing w:before="20" w:after="20"/>
              <w:jc w:val="both"/>
              <w:rPr>
                <w:rFonts w:eastAsia="SimSun"/>
                <w:sz w:val="18"/>
                <w:szCs w:val="18"/>
                <w:lang w:val="fr-FR" w:eastAsia="zh-CN"/>
              </w:rPr>
            </w:pPr>
            <w:r w:rsidRPr="008C52E5">
              <w:rPr>
                <w:rFonts w:eastAsia="SimSun"/>
                <w:sz w:val="18"/>
                <w:szCs w:val="18"/>
                <w:lang w:val="fr-FR" w:eastAsia="zh-CN"/>
              </w:rPr>
              <w:t>Annu</w:t>
            </w:r>
            <w:r w:rsidR="00324E0F" w:rsidRPr="008C52E5">
              <w:rPr>
                <w:rFonts w:eastAsia="SimSun"/>
                <w:sz w:val="18"/>
                <w:szCs w:val="18"/>
                <w:lang w:val="fr-FR" w:eastAsia="zh-CN"/>
              </w:rPr>
              <w:t>ellement</w:t>
            </w:r>
          </w:p>
        </w:tc>
        <w:tc>
          <w:tcPr>
            <w:tcW w:w="7200" w:type="dxa"/>
            <w:tcBorders>
              <w:top w:val="single" w:sz="12" w:space="0" w:color="auto"/>
            </w:tcBorders>
            <w:shd w:val="clear" w:color="auto" w:fill="auto"/>
          </w:tcPr>
          <w:p w14:paraId="75A4D913" w14:textId="40646679" w:rsidR="00E7329C" w:rsidRPr="008C52E5" w:rsidRDefault="00324E0F" w:rsidP="006E1973">
            <w:pPr>
              <w:pStyle w:val="Normal-pool"/>
              <w:spacing w:before="20" w:after="20"/>
              <w:rPr>
                <w:rFonts w:eastAsia="SimSun"/>
                <w:sz w:val="18"/>
                <w:szCs w:val="18"/>
                <w:lang w:val="fr-FR" w:eastAsia="zh-CN"/>
              </w:rPr>
            </w:pPr>
            <w:r w:rsidRPr="008C52E5">
              <w:rPr>
                <w:rFonts w:eastAsia="SimSun"/>
                <w:sz w:val="18"/>
                <w:szCs w:val="18"/>
                <w:lang w:val="fr-FR" w:eastAsia="zh-CN"/>
              </w:rPr>
              <w:t>Une réunion de l’équipe spéciale</w:t>
            </w:r>
          </w:p>
        </w:tc>
      </w:tr>
      <w:tr w:rsidR="00E7329C" w:rsidRPr="0082513F" w14:paraId="0FE12A3E" w14:textId="77777777" w:rsidTr="00E9285A">
        <w:trPr>
          <w:trHeight w:val="235"/>
        </w:trPr>
        <w:tc>
          <w:tcPr>
            <w:tcW w:w="1152" w:type="dxa"/>
            <w:vMerge/>
            <w:tcBorders>
              <w:top w:val="single" w:sz="4" w:space="0" w:color="auto"/>
              <w:bottom w:val="single" w:sz="12" w:space="0" w:color="auto"/>
            </w:tcBorders>
            <w:shd w:val="clear" w:color="auto" w:fill="auto"/>
            <w:vAlign w:val="center"/>
          </w:tcPr>
          <w:p w14:paraId="4295402D" w14:textId="77777777" w:rsidR="00E7329C" w:rsidRPr="008C52E5" w:rsidRDefault="00E7329C" w:rsidP="00FC5E47">
            <w:pPr>
              <w:pStyle w:val="Normal-pool"/>
              <w:spacing w:before="20" w:after="20"/>
              <w:jc w:val="both"/>
              <w:rPr>
                <w:rFonts w:eastAsia="SimSun"/>
                <w:sz w:val="18"/>
                <w:szCs w:val="18"/>
                <w:lang w:val="fr-FR" w:eastAsia="zh-CN"/>
              </w:rPr>
            </w:pPr>
          </w:p>
        </w:tc>
        <w:tc>
          <w:tcPr>
            <w:tcW w:w="7200" w:type="dxa"/>
            <w:shd w:val="clear" w:color="auto" w:fill="auto"/>
          </w:tcPr>
          <w:p w14:paraId="72CBCF6B" w14:textId="2771AD74" w:rsidR="00E7329C" w:rsidRPr="008C52E5" w:rsidRDefault="00E7329C" w:rsidP="006E1973">
            <w:pPr>
              <w:pStyle w:val="Normal-pool"/>
              <w:spacing w:before="20" w:after="20"/>
              <w:rPr>
                <w:rFonts w:eastAsia="SimSun"/>
                <w:sz w:val="18"/>
                <w:szCs w:val="18"/>
                <w:lang w:val="fr-FR" w:eastAsia="zh-CN"/>
              </w:rPr>
            </w:pPr>
            <w:r w:rsidRPr="008C52E5">
              <w:rPr>
                <w:rFonts w:eastAsia="SimSun"/>
                <w:sz w:val="18"/>
                <w:szCs w:val="18"/>
                <w:lang w:val="fr-FR" w:eastAsia="zh-CN"/>
              </w:rPr>
              <w:t>Activit</w:t>
            </w:r>
            <w:r w:rsidR="00324E0F" w:rsidRPr="008C52E5">
              <w:rPr>
                <w:rFonts w:eastAsia="SimSun"/>
                <w:sz w:val="18"/>
                <w:szCs w:val="18"/>
                <w:lang w:val="fr-FR" w:eastAsia="zh-CN"/>
              </w:rPr>
              <w:t xml:space="preserve">és </w:t>
            </w:r>
            <w:r w:rsidR="004D21F0" w:rsidRPr="008C52E5">
              <w:rPr>
                <w:rFonts w:eastAsia="SimSun"/>
                <w:sz w:val="18"/>
                <w:szCs w:val="18"/>
                <w:lang w:val="fr-FR" w:eastAsia="zh-CN"/>
              </w:rPr>
              <w:t xml:space="preserve">destinées à faciliter </w:t>
            </w:r>
            <w:r w:rsidR="00324E0F" w:rsidRPr="008C52E5">
              <w:rPr>
                <w:rFonts w:eastAsia="SimSun"/>
                <w:sz w:val="18"/>
                <w:szCs w:val="18"/>
                <w:lang w:val="fr-FR" w:eastAsia="zh-CN"/>
              </w:rPr>
              <w:t>la mise en place du portail Web d’appui à l’élaboration des politiques</w:t>
            </w:r>
          </w:p>
        </w:tc>
      </w:tr>
      <w:tr w:rsidR="00E7329C" w:rsidRPr="0082513F" w14:paraId="617F199A" w14:textId="77777777" w:rsidTr="00E9285A">
        <w:trPr>
          <w:trHeight w:val="233"/>
        </w:trPr>
        <w:tc>
          <w:tcPr>
            <w:tcW w:w="1152" w:type="dxa"/>
            <w:vMerge/>
            <w:tcBorders>
              <w:top w:val="single" w:sz="4" w:space="0" w:color="auto"/>
              <w:bottom w:val="single" w:sz="12" w:space="0" w:color="auto"/>
            </w:tcBorders>
            <w:shd w:val="clear" w:color="auto" w:fill="auto"/>
            <w:vAlign w:val="center"/>
          </w:tcPr>
          <w:p w14:paraId="4C1E556E" w14:textId="77777777" w:rsidR="00E7329C" w:rsidRPr="008C52E5" w:rsidRDefault="00E7329C" w:rsidP="00FC5E47">
            <w:pPr>
              <w:pStyle w:val="Normal-pool"/>
              <w:spacing w:before="20" w:after="20"/>
              <w:jc w:val="both"/>
              <w:rPr>
                <w:rFonts w:eastAsia="SimSun"/>
                <w:sz w:val="18"/>
                <w:szCs w:val="18"/>
                <w:lang w:val="fr-FR" w:eastAsia="zh-CN"/>
              </w:rPr>
            </w:pPr>
          </w:p>
        </w:tc>
        <w:tc>
          <w:tcPr>
            <w:tcW w:w="7200" w:type="dxa"/>
            <w:shd w:val="clear" w:color="auto" w:fill="auto"/>
          </w:tcPr>
          <w:p w14:paraId="42C02CAF" w14:textId="4C054B62" w:rsidR="00E7329C" w:rsidRPr="008C52E5" w:rsidRDefault="00E7329C" w:rsidP="00FC5E47">
            <w:pPr>
              <w:pStyle w:val="Normal-pool"/>
              <w:spacing w:before="20" w:after="20"/>
              <w:jc w:val="both"/>
              <w:rPr>
                <w:rFonts w:eastAsia="SimSun"/>
                <w:sz w:val="18"/>
                <w:szCs w:val="18"/>
                <w:lang w:val="fr-FR" w:eastAsia="zh-CN"/>
              </w:rPr>
            </w:pPr>
            <w:r w:rsidRPr="008C52E5">
              <w:rPr>
                <w:rFonts w:eastAsia="SimSun"/>
                <w:sz w:val="18"/>
                <w:szCs w:val="18"/>
                <w:lang w:val="fr-FR" w:eastAsia="zh-CN"/>
              </w:rPr>
              <w:t>Activit</w:t>
            </w:r>
            <w:r w:rsidR="00324E0F" w:rsidRPr="008C52E5">
              <w:rPr>
                <w:rFonts w:eastAsia="SimSun"/>
                <w:sz w:val="18"/>
                <w:szCs w:val="18"/>
                <w:lang w:val="fr-FR" w:eastAsia="zh-CN"/>
              </w:rPr>
              <w:t xml:space="preserve">és </w:t>
            </w:r>
            <w:r w:rsidR="004D21F0" w:rsidRPr="008C52E5">
              <w:rPr>
                <w:rFonts w:eastAsia="SimSun"/>
                <w:sz w:val="18"/>
                <w:szCs w:val="18"/>
                <w:lang w:val="fr-FR" w:eastAsia="zh-CN"/>
              </w:rPr>
              <w:t xml:space="preserve">destinées à faciliter l’exécution </w:t>
            </w:r>
            <w:r w:rsidR="00324E0F" w:rsidRPr="008C52E5">
              <w:rPr>
                <w:rFonts w:eastAsia="SimSun"/>
                <w:sz w:val="18"/>
                <w:szCs w:val="18"/>
                <w:lang w:val="fr-FR" w:eastAsia="zh-CN"/>
              </w:rPr>
              <w:t>d’autres produits</w:t>
            </w:r>
          </w:p>
        </w:tc>
      </w:tr>
      <w:tr w:rsidR="00E7329C" w:rsidRPr="0082513F" w14:paraId="6E9BF43F" w14:textId="77777777" w:rsidTr="00E9285A">
        <w:trPr>
          <w:trHeight w:val="233"/>
        </w:trPr>
        <w:tc>
          <w:tcPr>
            <w:tcW w:w="1152" w:type="dxa"/>
            <w:vMerge/>
            <w:tcBorders>
              <w:top w:val="single" w:sz="4" w:space="0" w:color="auto"/>
              <w:bottom w:val="single" w:sz="12" w:space="0" w:color="auto"/>
            </w:tcBorders>
            <w:shd w:val="clear" w:color="auto" w:fill="auto"/>
            <w:vAlign w:val="center"/>
          </w:tcPr>
          <w:p w14:paraId="64061597" w14:textId="77777777" w:rsidR="00E7329C" w:rsidRPr="008C52E5" w:rsidRDefault="00E7329C" w:rsidP="00FC5E47">
            <w:pPr>
              <w:pStyle w:val="Normal-pool"/>
              <w:spacing w:before="20" w:after="20"/>
              <w:jc w:val="both"/>
              <w:rPr>
                <w:rFonts w:eastAsia="SimSun"/>
                <w:sz w:val="18"/>
                <w:szCs w:val="18"/>
                <w:lang w:val="fr-FR" w:eastAsia="zh-CN"/>
              </w:rPr>
            </w:pPr>
          </w:p>
        </w:tc>
        <w:tc>
          <w:tcPr>
            <w:tcW w:w="7200" w:type="dxa"/>
            <w:tcBorders>
              <w:bottom w:val="single" w:sz="12" w:space="0" w:color="auto"/>
            </w:tcBorders>
            <w:shd w:val="clear" w:color="auto" w:fill="auto"/>
          </w:tcPr>
          <w:p w14:paraId="58772A3B" w14:textId="0C8CBD91" w:rsidR="00E7329C" w:rsidRPr="008C52E5" w:rsidRDefault="00E7329C" w:rsidP="006E1973">
            <w:pPr>
              <w:pStyle w:val="Normal-pool"/>
              <w:spacing w:before="20" w:after="20"/>
              <w:rPr>
                <w:rFonts w:eastAsia="SimSun"/>
                <w:sz w:val="18"/>
                <w:szCs w:val="18"/>
                <w:lang w:val="fr-FR" w:eastAsia="zh-CN"/>
              </w:rPr>
            </w:pPr>
            <w:r w:rsidRPr="008C52E5">
              <w:rPr>
                <w:rFonts w:eastAsia="SimSun"/>
                <w:sz w:val="18"/>
                <w:szCs w:val="18"/>
                <w:lang w:val="fr-FR" w:eastAsia="zh-CN"/>
              </w:rPr>
              <w:t>Activit</w:t>
            </w:r>
            <w:r w:rsidR="00324E0F" w:rsidRPr="008C52E5">
              <w:rPr>
                <w:rFonts w:eastAsia="SimSun"/>
                <w:sz w:val="18"/>
                <w:szCs w:val="18"/>
                <w:lang w:val="fr-FR" w:eastAsia="zh-CN"/>
              </w:rPr>
              <w:t xml:space="preserve">és </w:t>
            </w:r>
            <w:r w:rsidR="004D21F0" w:rsidRPr="008C52E5">
              <w:rPr>
                <w:rFonts w:eastAsia="SimSun"/>
                <w:sz w:val="18"/>
                <w:szCs w:val="18"/>
                <w:lang w:val="fr-FR" w:eastAsia="zh-CN"/>
              </w:rPr>
              <w:t>destinées à faciliter</w:t>
            </w:r>
            <w:r w:rsidR="00324E0F" w:rsidRPr="008C52E5">
              <w:rPr>
                <w:rFonts w:eastAsia="SimSun"/>
                <w:sz w:val="18"/>
                <w:szCs w:val="18"/>
                <w:lang w:val="fr-FR" w:eastAsia="zh-CN"/>
              </w:rPr>
              <w:t xml:space="preserve"> l’utilisation des outils et des méthodes à l’appui </w:t>
            </w:r>
            <w:r w:rsidR="004D21F0" w:rsidRPr="008C52E5">
              <w:rPr>
                <w:rFonts w:eastAsia="SimSun"/>
                <w:sz w:val="18"/>
                <w:szCs w:val="18"/>
                <w:lang w:val="fr-FR" w:eastAsia="zh-CN"/>
              </w:rPr>
              <w:t xml:space="preserve">de l’élaboration </w:t>
            </w:r>
            <w:r w:rsidR="00324E0F" w:rsidRPr="008C52E5">
              <w:rPr>
                <w:rFonts w:eastAsia="SimSun"/>
                <w:sz w:val="18"/>
                <w:szCs w:val="18"/>
                <w:lang w:val="fr-FR" w:eastAsia="zh-CN"/>
              </w:rPr>
              <w:t>des politiques</w:t>
            </w:r>
          </w:p>
        </w:tc>
      </w:tr>
    </w:tbl>
    <w:p w14:paraId="6FF5F46B" w14:textId="3B1F9F0E" w:rsidR="00AA1FD9" w:rsidRPr="008C52E5" w:rsidRDefault="00CB3B9B" w:rsidP="0044443E">
      <w:pPr>
        <w:pStyle w:val="CH2"/>
        <w:tabs>
          <w:tab w:val="clear" w:pos="851"/>
        </w:tabs>
        <w:ind w:hanging="680"/>
        <w:rPr>
          <w:lang w:val="fr-FR"/>
        </w:rPr>
      </w:pPr>
      <w:r w:rsidRPr="008C52E5">
        <w:rPr>
          <w:lang w:val="fr-FR"/>
        </w:rPr>
        <w:t>B.</w:t>
      </w:r>
      <w:r w:rsidRPr="008C52E5">
        <w:rPr>
          <w:lang w:val="fr-FR"/>
        </w:rPr>
        <w:tab/>
      </w:r>
      <w:r w:rsidR="00770526" w:rsidRPr="008C52E5">
        <w:rPr>
          <w:lang w:val="fr-FR"/>
        </w:rPr>
        <w:t>Produit </w:t>
      </w:r>
      <w:r w:rsidR="00AA1FD9" w:rsidRPr="008C52E5">
        <w:rPr>
          <w:lang w:val="fr-FR"/>
        </w:rPr>
        <w:t>4</w:t>
      </w:r>
      <w:r w:rsidR="00770526" w:rsidRPr="008C52E5">
        <w:rPr>
          <w:lang w:val="fr-FR"/>
        </w:rPr>
        <w:t> </w:t>
      </w:r>
      <w:r w:rsidR="00AA1FD9" w:rsidRPr="008C52E5">
        <w:rPr>
          <w:lang w:val="fr-FR"/>
        </w:rPr>
        <w:t>b</w:t>
      </w:r>
      <w:r w:rsidR="00052EA6" w:rsidRPr="008C52E5">
        <w:rPr>
          <w:lang w:val="fr-FR"/>
        </w:rPr>
        <w:t>)</w:t>
      </w:r>
      <w:r w:rsidR="00770526" w:rsidRPr="008C52E5">
        <w:rPr>
          <w:lang w:val="fr-FR"/>
        </w:rPr>
        <w:t> </w:t>
      </w:r>
      <w:r w:rsidR="00AA1FD9" w:rsidRPr="008C52E5">
        <w:rPr>
          <w:lang w:val="fr-FR"/>
        </w:rPr>
        <w:t xml:space="preserve">: </w:t>
      </w:r>
      <w:r w:rsidR="00770526" w:rsidRPr="008C52E5">
        <w:rPr>
          <w:lang w:val="fr-FR"/>
        </w:rPr>
        <w:t>travaux avancés sur les scénarios et les modèles</w:t>
      </w:r>
    </w:p>
    <w:p w14:paraId="49AE9D7D" w14:textId="6BA3D09E" w:rsidR="009E6502" w:rsidRPr="008C52E5" w:rsidRDefault="00691435" w:rsidP="0044443E">
      <w:pPr>
        <w:pStyle w:val="CH3"/>
        <w:tabs>
          <w:tab w:val="clear" w:pos="851"/>
        </w:tabs>
        <w:ind w:hanging="680"/>
        <w:rPr>
          <w:rFonts w:eastAsia="SimSun"/>
          <w:lang w:val="fr-FR" w:eastAsia="zh-CN"/>
        </w:rPr>
      </w:pPr>
      <w:r w:rsidRPr="008C52E5">
        <w:rPr>
          <w:rFonts w:eastAsia="SimSun"/>
          <w:lang w:val="fr-FR" w:eastAsia="zh-CN"/>
        </w:rPr>
        <w:t>1.</w:t>
      </w:r>
      <w:r w:rsidRPr="008C52E5">
        <w:rPr>
          <w:rFonts w:eastAsia="SimSun"/>
          <w:lang w:val="fr-FR" w:eastAsia="zh-CN"/>
        </w:rPr>
        <w:tab/>
      </w:r>
      <w:r w:rsidR="00770526" w:rsidRPr="008C52E5">
        <w:rPr>
          <w:rFonts w:eastAsia="SimSun"/>
          <w:lang w:val="fr-FR" w:eastAsia="zh-CN"/>
        </w:rPr>
        <w:t>Contexte</w:t>
      </w:r>
    </w:p>
    <w:p w14:paraId="4ADC9E8C" w14:textId="6EEA130D" w:rsidR="009E6502" w:rsidRPr="008C52E5" w:rsidRDefault="00770526" w:rsidP="009E6502">
      <w:pPr>
        <w:pStyle w:val="Normalnumber"/>
        <w:numPr>
          <w:ilvl w:val="0"/>
          <w:numId w:val="5"/>
        </w:numPr>
        <w:tabs>
          <w:tab w:val="left" w:pos="1871"/>
          <w:tab w:val="left" w:pos="2495"/>
        </w:tabs>
        <w:ind w:left="1247" w:firstLine="0"/>
        <w:rPr>
          <w:lang w:val="fr-FR"/>
        </w:rPr>
      </w:pPr>
      <w:r w:rsidRPr="008C52E5">
        <w:rPr>
          <w:lang w:val="fr-FR" w:eastAsia="nb-NO"/>
        </w:rPr>
        <w:t>Le premier programme de travail comprenait le produit </w:t>
      </w:r>
      <w:r w:rsidR="009E6502" w:rsidRPr="008C52E5">
        <w:rPr>
          <w:lang w:val="fr-FR"/>
        </w:rPr>
        <w:t>3</w:t>
      </w:r>
      <w:r w:rsidRPr="008C52E5">
        <w:rPr>
          <w:lang w:val="fr-FR"/>
        </w:rPr>
        <w:t> </w:t>
      </w:r>
      <w:r w:rsidR="009E6502" w:rsidRPr="008C52E5">
        <w:rPr>
          <w:lang w:val="fr-FR"/>
        </w:rPr>
        <w:t>c)</w:t>
      </w:r>
      <w:r w:rsidRPr="008C52E5">
        <w:rPr>
          <w:lang w:val="fr-FR"/>
        </w:rPr>
        <w:t> </w:t>
      </w:r>
      <w:r w:rsidR="009E6502" w:rsidRPr="008C52E5">
        <w:rPr>
          <w:lang w:val="fr-FR"/>
        </w:rPr>
        <w:t xml:space="preserve">: </w:t>
      </w:r>
      <w:r w:rsidRPr="008C52E5">
        <w:rPr>
          <w:lang w:val="fr-FR"/>
        </w:rPr>
        <w:t xml:space="preserve">« Mettre </w:t>
      </w:r>
      <w:r w:rsidR="000A08D0">
        <w:rPr>
          <w:lang w:val="fr-FR"/>
        </w:rPr>
        <w:t>au point des outils et </w:t>
      </w:r>
      <w:r w:rsidRPr="008C52E5">
        <w:rPr>
          <w:lang w:val="fr-FR"/>
        </w:rPr>
        <w:t>des méthodes d’aide à la décision pour l’analyse des scénarios et la modélisation de la biodiversité et des services écosystémiques sur base d’une évaluation accélérée et d’un guide »</w:t>
      </w:r>
      <w:r w:rsidR="009E6502" w:rsidRPr="008C52E5">
        <w:rPr>
          <w:lang w:val="fr-FR"/>
        </w:rPr>
        <w:t xml:space="preserve">. </w:t>
      </w:r>
    </w:p>
    <w:p w14:paraId="0CBB4E68" w14:textId="10B8EBBD" w:rsidR="009E6502" w:rsidRPr="008C52E5" w:rsidRDefault="00FD2596" w:rsidP="009E6502">
      <w:pPr>
        <w:pStyle w:val="Normalnumber"/>
        <w:numPr>
          <w:ilvl w:val="0"/>
          <w:numId w:val="5"/>
        </w:numPr>
        <w:tabs>
          <w:tab w:val="left" w:pos="1871"/>
          <w:tab w:val="left" w:pos="2495"/>
        </w:tabs>
        <w:ind w:left="1247" w:firstLine="0"/>
        <w:rPr>
          <w:lang w:val="fr-FR"/>
        </w:rPr>
      </w:pPr>
      <w:r w:rsidRPr="008C52E5">
        <w:rPr>
          <w:lang w:val="fr-FR"/>
        </w:rPr>
        <w:t>La Plénière a,</w:t>
      </w:r>
      <w:r w:rsidRPr="008C52E5">
        <w:rPr>
          <w:rFonts w:ascii="Calibri" w:eastAsia="MS Mincho" w:hAnsi="Calibri"/>
          <w:sz w:val="22"/>
          <w:szCs w:val="22"/>
          <w:lang w:val="fr-FR"/>
        </w:rPr>
        <w:t xml:space="preserve"> </w:t>
      </w:r>
      <w:r w:rsidRPr="008C52E5">
        <w:rPr>
          <w:lang w:val="fr-FR"/>
        </w:rPr>
        <w:t>dans la décision IPBES-2/5, approuvé la réalisation de cette évaluation et</w:t>
      </w:r>
      <w:r w:rsidR="00593DDA" w:rsidRPr="008C52E5">
        <w:rPr>
          <w:lang w:val="fr-FR"/>
        </w:rPr>
        <w:t xml:space="preserve">, </w:t>
      </w:r>
      <w:r w:rsidRPr="008C52E5">
        <w:rPr>
          <w:lang w:val="fr-FR"/>
        </w:rPr>
        <w:t xml:space="preserve">dans la </w:t>
      </w:r>
      <w:r w:rsidR="00593DDA" w:rsidRPr="008C52E5">
        <w:rPr>
          <w:lang w:val="fr-FR"/>
        </w:rPr>
        <w:t>section</w:t>
      </w:r>
      <w:r w:rsidRPr="008C52E5">
        <w:rPr>
          <w:lang w:val="fr-FR"/>
        </w:rPr>
        <w:t> </w:t>
      </w:r>
      <w:r w:rsidR="00593DDA" w:rsidRPr="008C52E5">
        <w:rPr>
          <w:lang w:val="fr-FR"/>
        </w:rPr>
        <w:t xml:space="preserve">V </w:t>
      </w:r>
      <w:r w:rsidRPr="008C52E5">
        <w:rPr>
          <w:lang w:val="fr-FR"/>
        </w:rPr>
        <w:t>de la décision </w:t>
      </w:r>
      <w:r w:rsidR="00593DDA" w:rsidRPr="008C52E5">
        <w:rPr>
          <w:lang w:val="fr-FR"/>
        </w:rPr>
        <w:t>IPBES-4/1</w:t>
      </w:r>
      <w:r w:rsidRPr="008C52E5">
        <w:rPr>
          <w:lang w:val="fr-FR"/>
        </w:rPr>
        <w:t>, approuvé</w:t>
      </w:r>
      <w:r w:rsidR="00593DDA" w:rsidRPr="008C52E5">
        <w:rPr>
          <w:lang w:val="fr-FR"/>
        </w:rPr>
        <w:t xml:space="preserve"> </w:t>
      </w:r>
      <w:r w:rsidRPr="008C52E5">
        <w:rPr>
          <w:lang w:val="fr-FR"/>
        </w:rPr>
        <w:t>le résumé à l’intention des décideurs et</w:t>
      </w:r>
      <w:r w:rsidR="007A44EC" w:rsidRPr="008C52E5">
        <w:rPr>
          <w:lang w:val="fr-FR"/>
        </w:rPr>
        <w:t xml:space="preserve"> accepté les chapitres de l’évaluation</w:t>
      </w:r>
      <w:r w:rsidR="004C00CA" w:rsidRPr="008C52E5">
        <w:rPr>
          <w:lang w:val="fr-FR"/>
        </w:rPr>
        <w:t>.</w:t>
      </w:r>
      <w:r w:rsidR="007A44EC" w:rsidRPr="008C52E5">
        <w:rPr>
          <w:lang w:val="fr-FR"/>
        </w:rPr>
        <w:t xml:space="preserve"> Dans la décision </w:t>
      </w:r>
      <w:r w:rsidR="00593DDA" w:rsidRPr="008C52E5">
        <w:rPr>
          <w:lang w:val="fr-FR"/>
        </w:rPr>
        <w:t>IPBES-4/1</w:t>
      </w:r>
      <w:r w:rsidR="009E6502" w:rsidRPr="008C52E5">
        <w:rPr>
          <w:lang w:val="fr-FR"/>
        </w:rPr>
        <w:t xml:space="preserve">, </w:t>
      </w:r>
      <w:r w:rsidR="007A44EC" w:rsidRPr="008C52E5">
        <w:rPr>
          <w:lang w:val="fr-FR"/>
        </w:rPr>
        <w:t>la Plénière a également constitué un groupe d’experts pour poursuivre les travaux dans ce domaine</w:t>
      </w:r>
      <w:r w:rsidR="009E6502" w:rsidRPr="008C52E5">
        <w:rPr>
          <w:lang w:val="fr-FR"/>
        </w:rPr>
        <w:t>.</w:t>
      </w:r>
      <w:r w:rsidR="007A44EC" w:rsidRPr="008C52E5">
        <w:rPr>
          <w:lang w:val="fr-FR"/>
        </w:rPr>
        <w:t xml:space="preserve"> Le mandat du groupe figure dans l’annexe </w:t>
      </w:r>
      <w:r w:rsidR="009E6502" w:rsidRPr="008C52E5">
        <w:rPr>
          <w:lang w:val="fr-FR"/>
        </w:rPr>
        <w:t xml:space="preserve">V </w:t>
      </w:r>
      <w:r w:rsidR="000A08D0">
        <w:rPr>
          <w:lang w:val="fr-FR"/>
        </w:rPr>
        <w:t>à </w:t>
      </w:r>
      <w:r w:rsidR="007A44EC" w:rsidRPr="008C52E5">
        <w:rPr>
          <w:lang w:val="fr-FR"/>
        </w:rPr>
        <w:t>la décision et comprend deux activités principales</w:t>
      </w:r>
      <w:r w:rsidR="009E6502" w:rsidRPr="008C52E5">
        <w:rPr>
          <w:lang w:val="fr-FR"/>
        </w:rPr>
        <w:t>,</w:t>
      </w:r>
      <w:r w:rsidR="007A44EC" w:rsidRPr="008C52E5">
        <w:rPr>
          <w:lang w:val="fr-FR"/>
        </w:rPr>
        <w:t xml:space="preserve"> à savoir</w:t>
      </w:r>
      <w:r w:rsidR="009E6502" w:rsidRPr="008C52E5">
        <w:rPr>
          <w:lang w:val="fr-FR"/>
        </w:rPr>
        <w:t xml:space="preserve"> </w:t>
      </w:r>
      <w:r w:rsidR="007A44EC" w:rsidRPr="008C52E5">
        <w:rPr>
          <w:lang w:val="fr-FR"/>
        </w:rPr>
        <w:t>la fourniture de conseils spécialisés au sujet de l’utilisation des modèles et scénarios existants pour répondre aux besoins actuels de la Plateforme et</w:t>
      </w:r>
      <w:r w:rsidR="009E6502" w:rsidRPr="008C52E5">
        <w:rPr>
          <w:lang w:val="fr-FR"/>
        </w:rPr>
        <w:t xml:space="preserve"> </w:t>
      </w:r>
      <w:r w:rsidR="007A44EC" w:rsidRPr="008C52E5">
        <w:rPr>
          <w:lang w:val="fr-FR"/>
        </w:rPr>
        <w:t>la facilitation de l’élaboration par la communauté scientifique au sens large de scénarios et de modèles connexes</w:t>
      </w:r>
      <w:r w:rsidR="009E6502" w:rsidRPr="008C52E5">
        <w:rPr>
          <w:lang w:val="fr-FR"/>
        </w:rPr>
        <w:t>.</w:t>
      </w:r>
    </w:p>
    <w:p w14:paraId="08BBB4B1" w14:textId="625CC3EB" w:rsidR="009E6502" w:rsidRPr="008C52E5" w:rsidRDefault="003534E9" w:rsidP="009E6502">
      <w:pPr>
        <w:pStyle w:val="Normalnumber"/>
        <w:numPr>
          <w:ilvl w:val="0"/>
          <w:numId w:val="5"/>
        </w:numPr>
        <w:tabs>
          <w:tab w:val="left" w:pos="1871"/>
          <w:tab w:val="left" w:pos="2495"/>
        </w:tabs>
        <w:ind w:left="1247" w:firstLine="0"/>
        <w:rPr>
          <w:lang w:val="fr-FR"/>
        </w:rPr>
      </w:pPr>
      <w:r>
        <w:rPr>
          <w:lang w:val="fr-FR"/>
        </w:rPr>
        <w:t>Entre les quatrième et septième </w:t>
      </w:r>
      <w:r w:rsidR="00CC060D" w:rsidRPr="008C52E5">
        <w:rPr>
          <w:lang w:val="fr-FR"/>
        </w:rPr>
        <w:t>sessions de la Plénière, le groupe d’experts a appuyé les chapitres sur les scénarios et les modèles des évaluations régionales et</w:t>
      </w:r>
      <w:r w:rsidR="000A08D0">
        <w:rPr>
          <w:lang w:val="fr-FR"/>
        </w:rPr>
        <w:t xml:space="preserve"> de l’évaluation mondiale de la </w:t>
      </w:r>
      <w:r w:rsidR="00CC060D" w:rsidRPr="008C52E5">
        <w:rPr>
          <w:lang w:val="fr-FR"/>
        </w:rPr>
        <w:t>biodiversité et des services écosystémiques, l’évaluation de la dégradation et de la restauration des terres</w:t>
      </w:r>
      <w:r w:rsidR="009E6502" w:rsidRPr="008C52E5">
        <w:rPr>
          <w:lang w:val="fr-FR"/>
        </w:rPr>
        <w:t xml:space="preserve">, </w:t>
      </w:r>
      <w:r w:rsidR="001E1B99" w:rsidRPr="008C52E5">
        <w:rPr>
          <w:lang w:val="fr-FR"/>
        </w:rPr>
        <w:t>l’évaluation sur les valeurs et l’évaluation</w:t>
      </w:r>
      <w:r w:rsidR="009E6502" w:rsidRPr="008C52E5">
        <w:rPr>
          <w:lang w:val="fr-FR"/>
        </w:rPr>
        <w:t xml:space="preserve"> </w:t>
      </w:r>
      <w:r w:rsidR="001E1B99" w:rsidRPr="008C52E5">
        <w:rPr>
          <w:lang w:val="fr-FR"/>
        </w:rPr>
        <w:t>de l’utilisation durable des espèces sauvages en facilitant l’accès à la littérature pertinente concernant les scénarios et les modèles ainsi qu’aux</w:t>
      </w:r>
      <w:r w:rsidR="009E6502" w:rsidRPr="008C52E5">
        <w:rPr>
          <w:lang w:val="fr-FR"/>
        </w:rPr>
        <w:t xml:space="preserve"> </w:t>
      </w:r>
      <w:r w:rsidR="001E1B99" w:rsidRPr="008C52E5">
        <w:rPr>
          <w:lang w:val="fr-FR"/>
        </w:rPr>
        <w:t>résultats des scénarios</w:t>
      </w:r>
      <w:r w:rsidR="009E6502" w:rsidRPr="008C52E5">
        <w:rPr>
          <w:lang w:val="fr-FR"/>
        </w:rPr>
        <w:t>.</w:t>
      </w:r>
      <w:r w:rsidR="00DF7F8C" w:rsidRPr="008C52E5">
        <w:rPr>
          <w:lang w:val="fr-FR"/>
        </w:rPr>
        <w:t xml:space="preserve"> Le groupe d’experts a </w:t>
      </w:r>
      <w:r w:rsidR="00D35ADE" w:rsidRPr="008C52E5">
        <w:rPr>
          <w:lang w:val="fr-FR"/>
        </w:rPr>
        <w:t>travaillé avec le groupe d’experts sur</w:t>
      </w:r>
      <w:r w:rsidR="009E6502" w:rsidRPr="008C52E5">
        <w:rPr>
          <w:lang w:val="fr-FR"/>
        </w:rPr>
        <w:t xml:space="preserve"> </w:t>
      </w:r>
      <w:bookmarkStart w:id="9" w:name="_Hlk346018"/>
      <w:r w:rsidR="00D35ADE" w:rsidRPr="008C52E5">
        <w:rPr>
          <w:lang w:val="fr-FR"/>
        </w:rPr>
        <w:t>les outils et les méthodes à l’appui des politiques sur un guide relatif à l’utilisation de scénarios et de modèles sur la base de l’évaluation, qui figure dans le portail Web</w:t>
      </w:r>
      <w:r w:rsidR="009E6502" w:rsidRPr="008C52E5">
        <w:rPr>
          <w:lang w:val="fr-FR"/>
        </w:rPr>
        <w:t xml:space="preserve"> </w:t>
      </w:r>
      <w:r w:rsidR="00D35ADE" w:rsidRPr="008C52E5">
        <w:rPr>
          <w:lang w:val="fr-FR"/>
        </w:rPr>
        <w:t>d’appui à l’élaboration des politiques</w:t>
      </w:r>
      <w:bookmarkEnd w:id="9"/>
      <w:r w:rsidR="009E6502" w:rsidRPr="008C52E5">
        <w:rPr>
          <w:rStyle w:val="FootnoteReference"/>
          <w:lang w:val="fr-FR"/>
        </w:rPr>
        <w:footnoteReference w:id="15"/>
      </w:r>
      <w:r w:rsidR="00D35ADE" w:rsidRPr="008C52E5">
        <w:rPr>
          <w:lang w:val="fr-FR"/>
        </w:rPr>
        <w:t>. Compte tenu des avantages procurés aux évaluations par cet appui</w:t>
      </w:r>
      <w:r w:rsidR="0036428E" w:rsidRPr="008C52E5">
        <w:rPr>
          <w:lang w:val="fr-FR"/>
        </w:rPr>
        <w:t>, il est proposé que les travaux soient poursuivis dans le prochain programme de travail</w:t>
      </w:r>
      <w:r w:rsidR="009E6502" w:rsidRPr="008C52E5">
        <w:rPr>
          <w:lang w:val="fr-FR"/>
        </w:rPr>
        <w:t xml:space="preserve">. </w:t>
      </w:r>
    </w:p>
    <w:p w14:paraId="240F93AA" w14:textId="504F385B" w:rsidR="009E6502" w:rsidRPr="008C52E5" w:rsidRDefault="0036428E" w:rsidP="009E6502">
      <w:pPr>
        <w:pStyle w:val="Normalnumber"/>
        <w:numPr>
          <w:ilvl w:val="0"/>
          <w:numId w:val="5"/>
        </w:numPr>
        <w:tabs>
          <w:tab w:val="left" w:pos="1871"/>
          <w:tab w:val="left" w:pos="2495"/>
        </w:tabs>
        <w:ind w:left="1247" w:firstLine="0"/>
        <w:rPr>
          <w:lang w:val="fr-FR"/>
        </w:rPr>
      </w:pPr>
      <w:r w:rsidRPr="008C52E5">
        <w:rPr>
          <w:lang w:val="fr-FR"/>
        </w:rPr>
        <w:t xml:space="preserve">Le groupe d’experts a également favorisé l’élaboration, en collaboration avec des centres de recherche travaillant sur des scénarios pertinents, y compris </w:t>
      </w:r>
      <w:r w:rsidR="00790D44" w:rsidRPr="008C52E5">
        <w:rPr>
          <w:lang w:val="fr-FR"/>
        </w:rPr>
        <w:t>l</w:t>
      </w:r>
      <w:r w:rsidRPr="008C52E5">
        <w:rPr>
          <w:lang w:val="fr-FR"/>
        </w:rPr>
        <w:t xml:space="preserve">es chercheurs élaborant </w:t>
      </w:r>
      <w:r w:rsidR="00790D44" w:rsidRPr="008C52E5">
        <w:rPr>
          <w:lang w:val="fr-FR"/>
        </w:rPr>
        <w:t>l</w:t>
      </w:r>
      <w:r w:rsidRPr="008C52E5">
        <w:rPr>
          <w:lang w:val="fr-FR"/>
        </w:rPr>
        <w:t>es</w:t>
      </w:r>
      <w:r w:rsidR="009E6502" w:rsidRPr="008C52E5">
        <w:rPr>
          <w:lang w:val="fr-FR"/>
        </w:rPr>
        <w:t xml:space="preserve"> </w:t>
      </w:r>
      <w:r w:rsidRPr="008C52E5">
        <w:rPr>
          <w:lang w:val="fr-FR"/>
        </w:rPr>
        <w:t>trajectoires socioéconomiques partagées</w:t>
      </w:r>
      <w:r w:rsidR="00790D44" w:rsidRPr="008C52E5">
        <w:rPr>
          <w:lang w:val="fr-FR"/>
        </w:rPr>
        <w:t xml:space="preserve"> promues par le GIEC, de nouveau scénarios concernant des facteurs directs et indirects</w:t>
      </w:r>
      <w:r w:rsidR="00860D83" w:rsidRPr="008C52E5">
        <w:rPr>
          <w:lang w:val="fr-FR"/>
        </w:rPr>
        <w:t xml:space="preserve"> aux fins d’une utilisation future par la Plateforme</w:t>
      </w:r>
      <w:r w:rsidR="009E6502" w:rsidRPr="008C52E5">
        <w:rPr>
          <w:lang w:val="fr-FR"/>
        </w:rPr>
        <w:t>.</w:t>
      </w:r>
      <w:r w:rsidR="000A08D0">
        <w:rPr>
          <w:lang w:val="fr-FR"/>
        </w:rPr>
        <w:t xml:space="preserve"> Étant donné qu’il s’agit d’un </w:t>
      </w:r>
      <w:r w:rsidR="00860D83" w:rsidRPr="008C52E5">
        <w:rPr>
          <w:lang w:val="fr-FR"/>
        </w:rPr>
        <w:t xml:space="preserve">effort pluriannuel, il est proposé que ces travaux soient poursuivis dans le prochain programme de travail afin que les futures évaluations de la Plateforme </w:t>
      </w:r>
      <w:r w:rsidR="009E6502" w:rsidRPr="008C52E5">
        <w:rPr>
          <w:lang w:val="fr-FR"/>
        </w:rPr>
        <w:t>(</w:t>
      </w:r>
      <w:r w:rsidR="00860D83" w:rsidRPr="008C52E5">
        <w:rPr>
          <w:lang w:val="fr-FR"/>
        </w:rPr>
        <w:t>en particu</w:t>
      </w:r>
      <w:r w:rsidR="000A08D0">
        <w:rPr>
          <w:lang w:val="fr-FR"/>
        </w:rPr>
        <w:t>lier le projet d’évaluation des </w:t>
      </w:r>
      <w:r w:rsidR="00860D83" w:rsidRPr="008C52E5">
        <w:rPr>
          <w:lang w:val="fr-FR"/>
        </w:rPr>
        <w:t>questions interdépendantes et une évaluation mondiale/régionale future</w:t>
      </w:r>
      <w:r w:rsidR="009E6502" w:rsidRPr="008C52E5">
        <w:rPr>
          <w:lang w:val="fr-FR"/>
        </w:rPr>
        <w:t xml:space="preserve">) </w:t>
      </w:r>
      <w:r w:rsidR="00860D83" w:rsidRPr="008C52E5">
        <w:rPr>
          <w:lang w:val="fr-FR"/>
        </w:rPr>
        <w:t>puissent en bénéficier</w:t>
      </w:r>
      <w:r w:rsidR="009E6502" w:rsidRPr="008C52E5">
        <w:rPr>
          <w:lang w:val="fr-FR"/>
        </w:rPr>
        <w:t xml:space="preserve">. </w:t>
      </w:r>
    </w:p>
    <w:p w14:paraId="04A09E6E" w14:textId="4CF44A4E" w:rsidR="009E6502" w:rsidRPr="008C52E5" w:rsidRDefault="00860D83" w:rsidP="0019590E">
      <w:pPr>
        <w:pStyle w:val="Normalnumber"/>
        <w:numPr>
          <w:ilvl w:val="0"/>
          <w:numId w:val="5"/>
        </w:numPr>
        <w:tabs>
          <w:tab w:val="left" w:pos="1871"/>
          <w:tab w:val="left" w:pos="2495"/>
        </w:tabs>
        <w:ind w:left="1247" w:firstLine="0"/>
        <w:rPr>
          <w:lang w:val="fr-FR" w:eastAsia="en-GB"/>
        </w:rPr>
      </w:pPr>
      <w:r w:rsidRPr="008C52E5">
        <w:rPr>
          <w:lang w:val="fr-FR" w:eastAsia="nb-NO"/>
        </w:rPr>
        <w:t>Il est proposé qu’une équipe spéciale soit créée pour appuyer le produit </w:t>
      </w:r>
      <w:r w:rsidR="00AF6A1E" w:rsidRPr="008C52E5">
        <w:rPr>
          <w:lang w:val="fr-FR"/>
        </w:rPr>
        <w:t>4</w:t>
      </w:r>
      <w:r w:rsidRPr="008C52E5">
        <w:rPr>
          <w:lang w:val="fr-FR"/>
        </w:rPr>
        <w:t> </w:t>
      </w:r>
      <w:r w:rsidR="00AF6A1E" w:rsidRPr="008C52E5">
        <w:rPr>
          <w:lang w:val="fr-FR"/>
        </w:rPr>
        <w:t>b)</w:t>
      </w:r>
      <w:r w:rsidR="009E6502" w:rsidRPr="008C52E5">
        <w:rPr>
          <w:lang w:val="fr-FR"/>
        </w:rPr>
        <w:t xml:space="preserve">. </w:t>
      </w:r>
    </w:p>
    <w:p w14:paraId="20EA81E2" w14:textId="5249C225" w:rsidR="009E6502" w:rsidRPr="008C52E5" w:rsidRDefault="006139A3" w:rsidP="009E6502">
      <w:pPr>
        <w:pStyle w:val="Normalnumber"/>
        <w:numPr>
          <w:ilvl w:val="0"/>
          <w:numId w:val="5"/>
        </w:numPr>
        <w:tabs>
          <w:tab w:val="left" w:pos="1871"/>
          <w:tab w:val="left" w:pos="2495"/>
        </w:tabs>
        <w:ind w:left="1247" w:firstLine="0"/>
        <w:rPr>
          <w:lang w:val="fr-FR" w:eastAsia="en-GB"/>
        </w:rPr>
      </w:pPr>
      <w:r w:rsidRPr="008C52E5">
        <w:rPr>
          <w:lang w:val="fr-FR" w:eastAsia="en-GB"/>
        </w:rPr>
        <w:t xml:space="preserve">Un aperçu des travaux entrepris depuis la sixième session de la Plénière ainsi que les mesures proposées pour 2019 et 2020 </w:t>
      </w:r>
      <w:r w:rsidR="003534E9">
        <w:rPr>
          <w:lang w:val="fr-FR" w:eastAsia="en-GB"/>
        </w:rPr>
        <w:t>sont présentés dans le document </w:t>
      </w:r>
      <w:r w:rsidR="009E6502" w:rsidRPr="008C52E5">
        <w:rPr>
          <w:lang w:val="fr-FR" w:eastAsia="en-GB"/>
        </w:rPr>
        <w:t>IPBES/7/INF/11.</w:t>
      </w:r>
    </w:p>
    <w:p w14:paraId="5F857D1D" w14:textId="2ACC4845" w:rsidR="00AA7975" w:rsidRPr="008C52E5" w:rsidRDefault="00691435" w:rsidP="0044443E">
      <w:pPr>
        <w:pStyle w:val="CH3"/>
        <w:tabs>
          <w:tab w:val="clear" w:pos="851"/>
        </w:tabs>
        <w:ind w:hanging="680"/>
        <w:rPr>
          <w:lang w:val="fr-FR"/>
        </w:rPr>
      </w:pPr>
      <w:r w:rsidRPr="008C52E5">
        <w:rPr>
          <w:rFonts w:eastAsia="SimSun"/>
          <w:lang w:val="fr-FR" w:eastAsia="zh-CN"/>
        </w:rPr>
        <w:t>2.</w:t>
      </w:r>
      <w:r w:rsidRPr="008C52E5">
        <w:rPr>
          <w:rFonts w:eastAsia="SimSun"/>
          <w:lang w:val="fr-FR" w:eastAsia="zh-CN"/>
        </w:rPr>
        <w:tab/>
      </w:r>
      <w:r w:rsidR="007B0542" w:rsidRPr="008C52E5">
        <w:rPr>
          <w:rFonts w:eastAsia="SimSun"/>
          <w:lang w:val="fr-FR" w:eastAsia="zh-CN"/>
        </w:rPr>
        <w:t>Hypothèses et dispositions institutionnelles</w:t>
      </w:r>
    </w:p>
    <w:p w14:paraId="1F1D9C5A" w14:textId="3581D616" w:rsidR="00AA7975" w:rsidRPr="008C52E5" w:rsidRDefault="007B0542" w:rsidP="009E6502">
      <w:pPr>
        <w:pStyle w:val="Normalnumber"/>
        <w:numPr>
          <w:ilvl w:val="0"/>
          <w:numId w:val="5"/>
        </w:numPr>
        <w:tabs>
          <w:tab w:val="left" w:pos="1871"/>
          <w:tab w:val="left" w:pos="2495"/>
        </w:tabs>
        <w:ind w:left="1247" w:firstLine="0"/>
        <w:rPr>
          <w:lang w:val="fr-FR"/>
        </w:rPr>
      </w:pPr>
      <w:r w:rsidRPr="008C52E5">
        <w:rPr>
          <w:rFonts w:eastAsia="Calibri"/>
          <w:lang w:val="fr-FR"/>
        </w:rPr>
        <w:t>La Plénière créera une équipe spéciale sur les scénarios et les modèles. Le projet de mandat de l’équipe spécia</w:t>
      </w:r>
      <w:r w:rsidR="003534E9">
        <w:rPr>
          <w:rFonts w:eastAsia="Calibri"/>
          <w:lang w:val="fr-FR"/>
        </w:rPr>
        <w:t>le, qui figure dans le document </w:t>
      </w:r>
      <w:r w:rsidRPr="008C52E5">
        <w:rPr>
          <w:rFonts w:eastAsia="Calibri"/>
          <w:lang w:val="fr-FR"/>
        </w:rPr>
        <w:t xml:space="preserve">IPBES/7/6, tient compte de l’expérience </w:t>
      </w:r>
      <w:r w:rsidR="007640A1" w:rsidRPr="008C52E5">
        <w:rPr>
          <w:rFonts w:eastAsia="Calibri"/>
          <w:lang w:val="fr-FR"/>
        </w:rPr>
        <w:t>du</w:t>
      </w:r>
      <w:r w:rsidRPr="008C52E5">
        <w:rPr>
          <w:rFonts w:eastAsia="Calibri"/>
          <w:lang w:val="fr-FR"/>
        </w:rPr>
        <w:t xml:space="preserve"> premier programme de travail de la Plateforme et</w:t>
      </w:r>
      <w:r w:rsidR="007640A1" w:rsidRPr="008C52E5">
        <w:rPr>
          <w:rFonts w:eastAsia="Calibri"/>
          <w:lang w:val="fr-FR"/>
        </w:rPr>
        <w:t xml:space="preserve"> se fonde sur le mandat du groupe d’experts sur les scénarios et les modèles mis en place par la Plénière à sa quatrième session</w:t>
      </w:r>
      <w:r w:rsidR="00586FAA" w:rsidRPr="008C52E5">
        <w:rPr>
          <w:rStyle w:val="FootnoteReference"/>
          <w:lang w:val="fr-FR" w:eastAsia="nb-NO"/>
        </w:rPr>
        <w:footnoteReference w:id="16"/>
      </w:r>
      <w:r w:rsidR="007640A1" w:rsidRPr="008C52E5">
        <w:rPr>
          <w:rFonts w:eastAsia="Calibri"/>
          <w:lang w:val="fr-FR"/>
        </w:rPr>
        <w:t>.</w:t>
      </w:r>
      <w:r w:rsidR="009940FB" w:rsidRPr="008C52E5">
        <w:rPr>
          <w:lang w:val="fr-FR" w:eastAsia="nb-NO"/>
        </w:rPr>
        <w:t xml:space="preserve"> </w:t>
      </w:r>
    </w:p>
    <w:p w14:paraId="4E03E1DD" w14:textId="36DBA0C4" w:rsidR="00AA7975" w:rsidRPr="008C52E5" w:rsidRDefault="007640A1" w:rsidP="009E6502">
      <w:pPr>
        <w:pStyle w:val="Normalnumber"/>
        <w:numPr>
          <w:ilvl w:val="0"/>
          <w:numId w:val="5"/>
        </w:numPr>
        <w:tabs>
          <w:tab w:val="left" w:pos="1871"/>
          <w:tab w:val="left" w:pos="2495"/>
        </w:tabs>
        <w:ind w:left="1247" w:firstLine="0"/>
        <w:rPr>
          <w:lang w:val="fr-FR"/>
        </w:rPr>
      </w:pPr>
      <w:bookmarkStart w:id="10" w:name="_Hlk2680856"/>
      <w:r w:rsidRPr="008C52E5">
        <w:rPr>
          <w:lang w:val="fr-FR"/>
        </w:rPr>
        <w:t>Le secrétariat conclura des accords avec des institutions partenaires pour la four</w:t>
      </w:r>
      <w:r w:rsidR="000A08D0">
        <w:rPr>
          <w:lang w:val="fr-FR"/>
        </w:rPr>
        <w:t>niture d’un </w:t>
      </w:r>
      <w:r w:rsidRPr="008C52E5">
        <w:rPr>
          <w:lang w:val="fr-FR"/>
        </w:rPr>
        <w:t>appui technique approuvé par le Bureau. Cet appui techniqu</w:t>
      </w:r>
      <w:r w:rsidR="000A08D0">
        <w:rPr>
          <w:lang w:val="fr-FR"/>
        </w:rPr>
        <w:t>e sera financé en partie par la </w:t>
      </w:r>
      <w:r w:rsidRPr="008C52E5">
        <w:rPr>
          <w:lang w:val="fr-FR"/>
        </w:rPr>
        <w:t>Plateforme et en partie par les contributions en nature approuvées par la Plénière</w:t>
      </w:r>
      <w:bookmarkEnd w:id="10"/>
      <w:r w:rsidR="00AA7975" w:rsidRPr="008C52E5">
        <w:rPr>
          <w:lang w:val="fr-FR"/>
        </w:rPr>
        <w:t>.</w:t>
      </w:r>
    </w:p>
    <w:p w14:paraId="05FCCBD5" w14:textId="0DBA4DBA" w:rsidR="000B3182" w:rsidRPr="008C52E5" w:rsidRDefault="00691435" w:rsidP="0044443E">
      <w:pPr>
        <w:pStyle w:val="CH3"/>
        <w:tabs>
          <w:tab w:val="clear" w:pos="851"/>
        </w:tabs>
        <w:ind w:hanging="680"/>
        <w:rPr>
          <w:rFonts w:eastAsia="SimSun"/>
          <w:lang w:val="fr-FR" w:eastAsia="zh-CN"/>
        </w:rPr>
      </w:pPr>
      <w:r w:rsidRPr="008C52E5">
        <w:rPr>
          <w:rFonts w:eastAsia="SimSun"/>
          <w:lang w:val="fr-FR" w:eastAsia="zh-CN"/>
        </w:rPr>
        <w:t>3.</w:t>
      </w:r>
      <w:r w:rsidRPr="008C52E5">
        <w:rPr>
          <w:rFonts w:eastAsia="SimSun"/>
          <w:lang w:val="fr-FR" w:eastAsia="zh-CN"/>
        </w:rPr>
        <w:tab/>
      </w:r>
      <w:r w:rsidR="007640A1" w:rsidRPr="008C52E5">
        <w:rPr>
          <w:rFonts w:eastAsia="SimSun"/>
          <w:lang w:val="fr-FR" w:eastAsia="zh-CN"/>
        </w:rPr>
        <w:t>Réunions et étapes intermédiaires</w:t>
      </w:r>
      <w:r w:rsidR="000B3182" w:rsidRPr="008C52E5">
        <w:rPr>
          <w:rFonts w:eastAsia="SimSun"/>
          <w:lang w:val="fr-FR" w:eastAsia="zh-CN"/>
        </w:rPr>
        <w:t xml:space="preserve"> </w:t>
      </w:r>
    </w:p>
    <w:p w14:paraId="4E24571C" w14:textId="30660BC8" w:rsidR="000B3182" w:rsidRPr="008C52E5" w:rsidRDefault="007640A1" w:rsidP="009E6502">
      <w:pPr>
        <w:pStyle w:val="Normalnumber"/>
        <w:numPr>
          <w:ilvl w:val="0"/>
          <w:numId w:val="5"/>
        </w:numPr>
        <w:tabs>
          <w:tab w:val="left" w:pos="1871"/>
          <w:tab w:val="left" w:pos="2495"/>
        </w:tabs>
        <w:ind w:left="1247" w:firstLine="0"/>
        <w:rPr>
          <w:lang w:val="fr-FR"/>
        </w:rPr>
      </w:pPr>
      <w:r w:rsidRPr="008C52E5">
        <w:rPr>
          <w:lang w:val="fr-FR"/>
        </w:rPr>
        <w:t>Un aperçu des actions à mener dans le cadre de ce produit est présenté ci-après. Un projet de budget pour les activités à mener dans le cadre du produit figure dans le tableau</w:t>
      </w:r>
      <w:r w:rsidR="003534E9">
        <w:rPr>
          <w:lang w:val="fr-FR"/>
        </w:rPr>
        <w:t> A-11 dans l’annexe au document </w:t>
      </w:r>
      <w:r w:rsidR="000B3182" w:rsidRPr="008C52E5">
        <w:rPr>
          <w:lang w:val="fr-FR"/>
        </w:rPr>
        <w:t>IPBES/7/4.</w:t>
      </w:r>
      <w:r w:rsidR="00734B17" w:rsidRPr="008C52E5">
        <w:rPr>
          <w:lang w:val="fr-FR"/>
        </w:rPr>
        <w:t xml:space="preserve"> </w:t>
      </w:r>
    </w:p>
    <w:tbl>
      <w:tblPr>
        <w:tblW w:w="8352" w:type="dxa"/>
        <w:tblInd w:w="1248" w:type="dxa"/>
        <w:tblLook w:val="04A0" w:firstRow="1" w:lastRow="0" w:firstColumn="1" w:lastColumn="0" w:noHBand="0" w:noVBand="1"/>
      </w:tblPr>
      <w:tblGrid>
        <w:gridCol w:w="1236"/>
        <w:gridCol w:w="7116"/>
      </w:tblGrid>
      <w:tr w:rsidR="000B3182" w:rsidRPr="008C52E5" w14:paraId="3CE2F6A1" w14:textId="77777777" w:rsidTr="00ED76A4">
        <w:trPr>
          <w:trHeight w:val="233"/>
          <w:tblHeader/>
        </w:trPr>
        <w:tc>
          <w:tcPr>
            <w:tcW w:w="1152" w:type="dxa"/>
            <w:tcBorders>
              <w:top w:val="single" w:sz="4" w:space="0" w:color="auto"/>
              <w:bottom w:val="single" w:sz="12" w:space="0" w:color="auto"/>
            </w:tcBorders>
            <w:shd w:val="clear" w:color="auto" w:fill="auto"/>
            <w:vAlign w:val="center"/>
          </w:tcPr>
          <w:p w14:paraId="632EB7DE" w14:textId="0E2C7BB3" w:rsidR="000B3182" w:rsidRPr="008C52E5" w:rsidDel="003F5A7B" w:rsidRDefault="00BC6A1A" w:rsidP="00FC5E47">
            <w:pPr>
              <w:pStyle w:val="Normal-pool"/>
              <w:spacing w:before="20" w:after="20"/>
              <w:rPr>
                <w:rFonts w:eastAsia="SimSun"/>
                <w:sz w:val="18"/>
                <w:szCs w:val="18"/>
                <w:lang w:val="fr-FR" w:eastAsia="zh-CN"/>
              </w:rPr>
            </w:pPr>
            <w:r w:rsidRPr="008C52E5">
              <w:rPr>
                <w:rFonts w:eastAsia="SimSun"/>
                <w:i/>
                <w:sz w:val="18"/>
                <w:szCs w:val="18"/>
                <w:lang w:val="fr-FR" w:eastAsia="zh-CN"/>
              </w:rPr>
              <w:t>Calendrier</w:t>
            </w:r>
          </w:p>
        </w:tc>
        <w:tc>
          <w:tcPr>
            <w:tcW w:w="7200" w:type="dxa"/>
            <w:tcBorders>
              <w:top w:val="single" w:sz="4" w:space="0" w:color="auto"/>
              <w:bottom w:val="single" w:sz="12" w:space="0" w:color="auto"/>
            </w:tcBorders>
            <w:shd w:val="clear" w:color="auto" w:fill="auto"/>
            <w:vAlign w:val="center"/>
          </w:tcPr>
          <w:p w14:paraId="1250B2AB" w14:textId="00B3BDDA" w:rsidR="000B3182" w:rsidRPr="008C52E5" w:rsidDel="000C28ED" w:rsidRDefault="00BC6A1A" w:rsidP="00FC5E47">
            <w:pPr>
              <w:pStyle w:val="Normal-pool"/>
              <w:spacing w:before="20" w:after="20"/>
              <w:rPr>
                <w:rFonts w:eastAsia="SimSun"/>
                <w:sz w:val="18"/>
                <w:szCs w:val="18"/>
                <w:lang w:val="fr-FR" w:eastAsia="zh-CN"/>
              </w:rPr>
            </w:pPr>
            <w:r w:rsidRPr="008C52E5">
              <w:rPr>
                <w:rFonts w:eastAsia="SimSun"/>
                <w:i/>
                <w:sz w:val="18"/>
                <w:szCs w:val="18"/>
                <w:lang w:val="fr-FR" w:eastAsia="zh-CN"/>
              </w:rPr>
              <w:t>Réunions et étapes intermédiaires</w:t>
            </w:r>
          </w:p>
        </w:tc>
      </w:tr>
      <w:tr w:rsidR="000B3182" w:rsidRPr="0082513F" w14:paraId="5B1D94BB" w14:textId="77777777" w:rsidTr="00ED76A4">
        <w:trPr>
          <w:trHeight w:val="181"/>
        </w:trPr>
        <w:tc>
          <w:tcPr>
            <w:tcW w:w="1152" w:type="dxa"/>
            <w:vMerge w:val="restart"/>
            <w:tcBorders>
              <w:top w:val="single" w:sz="12" w:space="0" w:color="auto"/>
              <w:bottom w:val="single" w:sz="12" w:space="0" w:color="auto"/>
            </w:tcBorders>
            <w:shd w:val="clear" w:color="auto" w:fill="auto"/>
            <w:vAlign w:val="center"/>
          </w:tcPr>
          <w:p w14:paraId="6A1C5447" w14:textId="1C220CF5" w:rsidR="000B3182" w:rsidRPr="008C52E5" w:rsidRDefault="00B90361" w:rsidP="00FC5E47">
            <w:pPr>
              <w:pStyle w:val="Normal-pool"/>
              <w:spacing w:before="20" w:after="20"/>
              <w:rPr>
                <w:rFonts w:eastAsia="SimSun"/>
                <w:sz w:val="18"/>
                <w:szCs w:val="18"/>
                <w:lang w:val="fr-FR" w:eastAsia="zh-CN"/>
              </w:rPr>
            </w:pPr>
            <w:r w:rsidRPr="008C52E5">
              <w:rPr>
                <w:rFonts w:eastAsia="SimSun"/>
                <w:sz w:val="18"/>
                <w:szCs w:val="18"/>
                <w:lang w:val="fr-FR" w:eastAsia="zh-CN"/>
              </w:rPr>
              <w:t>Annu</w:t>
            </w:r>
            <w:r w:rsidR="00BC6A1A" w:rsidRPr="008C52E5">
              <w:rPr>
                <w:rFonts w:eastAsia="SimSun"/>
                <w:sz w:val="18"/>
                <w:szCs w:val="18"/>
                <w:lang w:val="fr-FR" w:eastAsia="zh-CN"/>
              </w:rPr>
              <w:t>ellement</w:t>
            </w:r>
          </w:p>
        </w:tc>
        <w:tc>
          <w:tcPr>
            <w:tcW w:w="7200" w:type="dxa"/>
            <w:tcBorders>
              <w:top w:val="single" w:sz="12" w:space="0" w:color="auto"/>
            </w:tcBorders>
            <w:shd w:val="clear" w:color="auto" w:fill="auto"/>
          </w:tcPr>
          <w:p w14:paraId="5BDA272B" w14:textId="07C0C700" w:rsidR="000B3182" w:rsidRPr="008C52E5" w:rsidRDefault="00BC6A1A" w:rsidP="00FC5E47">
            <w:pPr>
              <w:pStyle w:val="Normal-pool"/>
              <w:spacing w:before="20" w:after="20"/>
              <w:rPr>
                <w:rFonts w:eastAsia="SimSun"/>
                <w:sz w:val="18"/>
                <w:szCs w:val="18"/>
                <w:lang w:val="fr-FR" w:eastAsia="zh-CN"/>
              </w:rPr>
            </w:pPr>
            <w:r w:rsidRPr="008C52E5">
              <w:rPr>
                <w:rFonts w:eastAsia="SimSun"/>
                <w:sz w:val="18"/>
                <w:szCs w:val="18"/>
                <w:lang w:val="fr-FR" w:eastAsia="zh-CN"/>
              </w:rPr>
              <w:t>Une réunion de l’équipe spéciale</w:t>
            </w:r>
          </w:p>
        </w:tc>
      </w:tr>
      <w:tr w:rsidR="000B3182" w:rsidRPr="0082513F" w14:paraId="01FD4DD4" w14:textId="77777777" w:rsidTr="00E9285A">
        <w:trPr>
          <w:trHeight w:val="235"/>
        </w:trPr>
        <w:tc>
          <w:tcPr>
            <w:tcW w:w="1152" w:type="dxa"/>
            <w:vMerge/>
            <w:tcBorders>
              <w:bottom w:val="single" w:sz="12" w:space="0" w:color="auto"/>
            </w:tcBorders>
            <w:shd w:val="clear" w:color="auto" w:fill="auto"/>
            <w:vAlign w:val="center"/>
          </w:tcPr>
          <w:p w14:paraId="18DFAA4B" w14:textId="77777777" w:rsidR="000B3182" w:rsidRPr="008C52E5" w:rsidRDefault="000B3182" w:rsidP="00FC5E47">
            <w:pPr>
              <w:pStyle w:val="Normal-pool"/>
              <w:spacing w:before="20" w:after="20"/>
              <w:rPr>
                <w:rFonts w:eastAsia="SimSun"/>
                <w:sz w:val="18"/>
                <w:szCs w:val="18"/>
                <w:lang w:val="fr-FR" w:eastAsia="zh-CN"/>
              </w:rPr>
            </w:pPr>
          </w:p>
        </w:tc>
        <w:tc>
          <w:tcPr>
            <w:tcW w:w="7200" w:type="dxa"/>
            <w:shd w:val="clear" w:color="auto" w:fill="auto"/>
          </w:tcPr>
          <w:p w14:paraId="5794C959" w14:textId="08C54FC9" w:rsidR="000B3182" w:rsidRPr="008C52E5" w:rsidRDefault="0066196B" w:rsidP="00FC5E47">
            <w:pPr>
              <w:pStyle w:val="Normal-pool"/>
              <w:spacing w:before="20" w:after="20"/>
              <w:rPr>
                <w:rFonts w:eastAsia="SimSun"/>
                <w:sz w:val="18"/>
                <w:szCs w:val="18"/>
                <w:lang w:val="fr-FR" w:eastAsia="zh-CN"/>
              </w:rPr>
            </w:pPr>
            <w:r w:rsidRPr="008C52E5">
              <w:rPr>
                <w:rFonts w:eastAsia="SimSun"/>
                <w:sz w:val="18"/>
                <w:szCs w:val="18"/>
                <w:lang w:val="fr-FR" w:eastAsia="zh-CN"/>
              </w:rPr>
              <w:t>Activit</w:t>
            </w:r>
            <w:r w:rsidR="00BC6A1A" w:rsidRPr="008C52E5">
              <w:rPr>
                <w:rFonts w:eastAsia="SimSun"/>
                <w:sz w:val="18"/>
                <w:szCs w:val="18"/>
                <w:lang w:val="fr-FR" w:eastAsia="zh-CN"/>
              </w:rPr>
              <w:t>és à l’appui de l’utilisation de scénarios et de modèles dans les évaluations en cours de la Plateforme et d’autres produits de la Plateforme</w:t>
            </w:r>
            <w:r w:rsidRPr="008C52E5">
              <w:rPr>
                <w:rFonts w:eastAsia="SimSun"/>
                <w:sz w:val="18"/>
                <w:szCs w:val="18"/>
                <w:lang w:val="fr-FR" w:eastAsia="zh-CN"/>
              </w:rPr>
              <w:t xml:space="preserve"> </w:t>
            </w:r>
          </w:p>
        </w:tc>
      </w:tr>
      <w:tr w:rsidR="0066196B" w:rsidRPr="0082513F" w14:paraId="5200CF3F" w14:textId="77777777" w:rsidTr="00E9285A">
        <w:trPr>
          <w:trHeight w:val="523"/>
        </w:trPr>
        <w:tc>
          <w:tcPr>
            <w:tcW w:w="1152" w:type="dxa"/>
            <w:vMerge/>
            <w:tcBorders>
              <w:bottom w:val="single" w:sz="12" w:space="0" w:color="auto"/>
            </w:tcBorders>
            <w:shd w:val="clear" w:color="auto" w:fill="auto"/>
            <w:vAlign w:val="center"/>
          </w:tcPr>
          <w:p w14:paraId="6D9F601B" w14:textId="77777777" w:rsidR="0066196B" w:rsidRPr="008C52E5" w:rsidRDefault="0066196B" w:rsidP="00FC5E47">
            <w:pPr>
              <w:pStyle w:val="Normal-pool"/>
              <w:spacing w:before="20" w:after="20"/>
              <w:rPr>
                <w:rFonts w:eastAsia="SimSun"/>
                <w:sz w:val="18"/>
                <w:szCs w:val="18"/>
                <w:lang w:val="fr-FR" w:eastAsia="zh-CN"/>
              </w:rPr>
            </w:pPr>
          </w:p>
        </w:tc>
        <w:tc>
          <w:tcPr>
            <w:tcW w:w="7200" w:type="dxa"/>
            <w:tcBorders>
              <w:bottom w:val="single" w:sz="12" w:space="0" w:color="auto"/>
            </w:tcBorders>
            <w:shd w:val="clear" w:color="auto" w:fill="auto"/>
          </w:tcPr>
          <w:p w14:paraId="1636DE74" w14:textId="14D26477" w:rsidR="0066196B" w:rsidRPr="008C52E5" w:rsidRDefault="0066196B" w:rsidP="00FC5E47">
            <w:pPr>
              <w:pStyle w:val="Normal-pool"/>
              <w:spacing w:before="20" w:after="20"/>
              <w:rPr>
                <w:rFonts w:eastAsia="SimSun"/>
                <w:sz w:val="18"/>
                <w:szCs w:val="18"/>
                <w:lang w:val="fr-FR" w:eastAsia="zh-CN"/>
              </w:rPr>
            </w:pPr>
            <w:r w:rsidRPr="008C52E5">
              <w:rPr>
                <w:rFonts w:eastAsia="SimSun"/>
                <w:sz w:val="18"/>
                <w:szCs w:val="18"/>
                <w:lang w:val="fr-FR" w:eastAsia="zh-CN"/>
              </w:rPr>
              <w:t>Activit</w:t>
            </w:r>
            <w:r w:rsidR="00BC6A1A" w:rsidRPr="008C52E5">
              <w:rPr>
                <w:rFonts w:eastAsia="SimSun"/>
                <w:sz w:val="18"/>
                <w:szCs w:val="18"/>
                <w:lang w:val="fr-FR" w:eastAsia="zh-CN"/>
              </w:rPr>
              <w:t>és visant à favoriser l’élaboration par la communauté scientifique au sens large de scénarios et de modèles pour la Plateforme</w:t>
            </w:r>
          </w:p>
        </w:tc>
      </w:tr>
    </w:tbl>
    <w:p w14:paraId="041B8C31" w14:textId="02BB05CE" w:rsidR="00AA1FD9" w:rsidRPr="008C52E5" w:rsidRDefault="00CB3B9B" w:rsidP="00956108">
      <w:pPr>
        <w:pStyle w:val="CH2"/>
        <w:tabs>
          <w:tab w:val="clear" w:pos="851"/>
        </w:tabs>
        <w:ind w:hanging="680"/>
        <w:rPr>
          <w:lang w:val="fr-FR"/>
        </w:rPr>
      </w:pPr>
      <w:r w:rsidRPr="008C52E5">
        <w:rPr>
          <w:lang w:val="fr-FR"/>
        </w:rPr>
        <w:t>C.</w:t>
      </w:r>
      <w:r w:rsidRPr="008C52E5">
        <w:rPr>
          <w:lang w:val="fr-FR"/>
        </w:rPr>
        <w:tab/>
      </w:r>
      <w:r w:rsidR="00153E66" w:rsidRPr="008C52E5">
        <w:rPr>
          <w:lang w:val="fr-FR"/>
        </w:rPr>
        <w:t>Produit </w:t>
      </w:r>
      <w:r w:rsidR="00AA1FD9" w:rsidRPr="008C52E5">
        <w:rPr>
          <w:lang w:val="fr-FR"/>
        </w:rPr>
        <w:t>4</w:t>
      </w:r>
      <w:r w:rsidR="00153E66" w:rsidRPr="008C52E5">
        <w:rPr>
          <w:lang w:val="fr-FR"/>
        </w:rPr>
        <w:t> </w:t>
      </w:r>
      <w:r w:rsidR="00AA1FD9" w:rsidRPr="008C52E5">
        <w:rPr>
          <w:lang w:val="fr-FR"/>
        </w:rPr>
        <w:t>c</w:t>
      </w:r>
      <w:r w:rsidR="00891C9F" w:rsidRPr="008C52E5">
        <w:rPr>
          <w:lang w:val="fr-FR"/>
        </w:rPr>
        <w:t>)</w:t>
      </w:r>
      <w:r w:rsidR="00153E66" w:rsidRPr="008C52E5">
        <w:rPr>
          <w:lang w:val="fr-FR"/>
        </w:rPr>
        <w:t> </w:t>
      </w:r>
      <w:r w:rsidR="00AA1FD9" w:rsidRPr="008C52E5">
        <w:rPr>
          <w:lang w:val="fr-FR"/>
        </w:rPr>
        <w:t xml:space="preserve">: </w:t>
      </w:r>
      <w:r w:rsidR="00153E66" w:rsidRPr="008C52E5">
        <w:rPr>
          <w:lang w:val="fr-FR"/>
        </w:rPr>
        <w:t>travaux avancés sur les multiples</w:t>
      </w:r>
      <w:r w:rsidR="00153E66" w:rsidRPr="008C52E5">
        <w:rPr>
          <w:rFonts w:ascii="Calibri" w:eastAsia="MS Mincho" w:hAnsi="Calibri"/>
          <w:b w:val="0"/>
          <w:sz w:val="22"/>
          <w:szCs w:val="22"/>
          <w:lang w:val="fr-FR"/>
        </w:rPr>
        <w:t xml:space="preserve"> </w:t>
      </w:r>
      <w:r w:rsidR="00153E66" w:rsidRPr="008C52E5">
        <w:rPr>
          <w:lang w:val="fr-FR"/>
        </w:rPr>
        <w:t>valeurs</w:t>
      </w:r>
    </w:p>
    <w:p w14:paraId="2FDDE149" w14:textId="18BABC8E" w:rsidR="009E6502" w:rsidRPr="008C52E5" w:rsidRDefault="00CB3B9B" w:rsidP="00956108">
      <w:pPr>
        <w:pStyle w:val="CH3"/>
        <w:tabs>
          <w:tab w:val="clear" w:pos="851"/>
        </w:tabs>
        <w:ind w:hanging="680"/>
        <w:rPr>
          <w:rFonts w:eastAsia="SimSun"/>
          <w:lang w:val="fr-FR" w:eastAsia="zh-CN"/>
        </w:rPr>
      </w:pPr>
      <w:r w:rsidRPr="008C52E5">
        <w:rPr>
          <w:rFonts w:eastAsia="SimSun"/>
          <w:lang w:val="fr-FR" w:eastAsia="zh-CN"/>
        </w:rPr>
        <w:t>1.</w:t>
      </w:r>
      <w:r w:rsidRPr="008C52E5">
        <w:rPr>
          <w:rFonts w:eastAsia="SimSun"/>
          <w:lang w:val="fr-FR" w:eastAsia="zh-CN"/>
        </w:rPr>
        <w:tab/>
      </w:r>
      <w:r w:rsidR="00153E66" w:rsidRPr="008C52E5">
        <w:rPr>
          <w:rFonts w:eastAsia="SimSun"/>
          <w:lang w:val="fr-FR" w:eastAsia="zh-CN"/>
        </w:rPr>
        <w:t>Contexte</w:t>
      </w:r>
    </w:p>
    <w:p w14:paraId="6E186ACF" w14:textId="2878A68A" w:rsidR="009E6502" w:rsidRPr="008C52E5" w:rsidRDefault="0023640C" w:rsidP="009E6502">
      <w:pPr>
        <w:pStyle w:val="Normalnumber"/>
        <w:numPr>
          <w:ilvl w:val="0"/>
          <w:numId w:val="5"/>
        </w:numPr>
        <w:tabs>
          <w:tab w:val="left" w:pos="1871"/>
          <w:tab w:val="left" w:pos="2495"/>
        </w:tabs>
        <w:ind w:left="1247" w:firstLine="0"/>
        <w:rPr>
          <w:lang w:val="fr-FR"/>
        </w:rPr>
      </w:pPr>
      <w:r w:rsidRPr="008C52E5">
        <w:rPr>
          <w:lang w:val="fr-FR" w:eastAsia="nb-NO"/>
        </w:rPr>
        <w:t>Le premier programme de travail comprenait le produit </w:t>
      </w:r>
      <w:r w:rsidR="009E6502" w:rsidRPr="008C52E5">
        <w:rPr>
          <w:lang w:val="fr-FR"/>
        </w:rPr>
        <w:t>3</w:t>
      </w:r>
      <w:r w:rsidRPr="008C52E5">
        <w:rPr>
          <w:lang w:val="fr-FR"/>
        </w:rPr>
        <w:t> </w:t>
      </w:r>
      <w:r w:rsidR="009E6502" w:rsidRPr="008C52E5">
        <w:rPr>
          <w:lang w:val="fr-FR"/>
        </w:rPr>
        <w:t>d)</w:t>
      </w:r>
      <w:r w:rsidRPr="008C52E5">
        <w:rPr>
          <w:lang w:val="fr-FR"/>
        </w:rPr>
        <w:t> </w:t>
      </w:r>
      <w:r w:rsidR="009E6502" w:rsidRPr="008C52E5">
        <w:rPr>
          <w:lang w:val="fr-FR"/>
        </w:rPr>
        <w:t xml:space="preserve">: </w:t>
      </w:r>
      <w:r w:rsidRPr="008C52E5">
        <w:rPr>
          <w:lang w:val="fr-FR"/>
        </w:rPr>
        <w:t>« Mettre au point des outils et des méthodes à l’appui des politiques concernant les diverses conceptualisations de la valeur de la biodiversité et des bienfaits procurés par la nature à l’homme, y compris les services écosystémiques, sur base d’une évaluation et d’un guide »</w:t>
      </w:r>
      <w:r w:rsidR="009E6502" w:rsidRPr="008C52E5">
        <w:rPr>
          <w:lang w:val="fr-FR"/>
        </w:rPr>
        <w:t xml:space="preserve">. </w:t>
      </w:r>
    </w:p>
    <w:p w14:paraId="39C6775E" w14:textId="3B64AFA3" w:rsidR="009E6502" w:rsidRPr="008C52E5" w:rsidRDefault="008D0A75" w:rsidP="009E6502">
      <w:pPr>
        <w:pStyle w:val="Normalnumber"/>
        <w:numPr>
          <w:ilvl w:val="0"/>
          <w:numId w:val="5"/>
        </w:numPr>
        <w:tabs>
          <w:tab w:val="left" w:pos="1871"/>
          <w:tab w:val="left" w:pos="2495"/>
        </w:tabs>
        <w:ind w:left="1247" w:firstLine="0"/>
        <w:rPr>
          <w:lang w:val="fr-FR"/>
        </w:rPr>
      </w:pPr>
      <w:r w:rsidRPr="008C52E5">
        <w:rPr>
          <w:lang w:val="fr-FR"/>
        </w:rPr>
        <w:t xml:space="preserve">La Plénière a </w:t>
      </w:r>
      <w:r w:rsidR="006238B8" w:rsidRPr="008C52E5">
        <w:rPr>
          <w:lang w:val="fr-FR"/>
        </w:rPr>
        <w:t xml:space="preserve">créé </w:t>
      </w:r>
      <w:r w:rsidRPr="008C52E5">
        <w:rPr>
          <w:lang w:val="fr-FR"/>
        </w:rPr>
        <w:t xml:space="preserve">un groupe d’experts </w:t>
      </w:r>
      <w:r w:rsidR="006238B8" w:rsidRPr="008C52E5">
        <w:rPr>
          <w:lang w:val="fr-FR"/>
        </w:rPr>
        <w:t>chargé d</w:t>
      </w:r>
      <w:r w:rsidRPr="008C52E5">
        <w:rPr>
          <w:lang w:val="fr-FR"/>
        </w:rPr>
        <w:t>’élabor</w:t>
      </w:r>
      <w:r w:rsidR="006238B8" w:rsidRPr="008C52E5">
        <w:rPr>
          <w:lang w:val="fr-FR"/>
        </w:rPr>
        <w:t xml:space="preserve">er le </w:t>
      </w:r>
      <w:r w:rsidRPr="008C52E5">
        <w:rPr>
          <w:lang w:val="fr-FR"/>
        </w:rPr>
        <w:t>guide</w:t>
      </w:r>
      <w:r w:rsidR="009E6502" w:rsidRPr="008C52E5">
        <w:rPr>
          <w:lang w:val="fr-FR"/>
        </w:rPr>
        <w:t xml:space="preserve">. </w:t>
      </w:r>
      <w:r w:rsidR="00546D9A" w:rsidRPr="008C52E5">
        <w:rPr>
          <w:lang w:val="fr-FR"/>
        </w:rPr>
        <w:t xml:space="preserve">Dans la section V de </w:t>
      </w:r>
      <w:r w:rsidR="006238B8" w:rsidRPr="008C52E5">
        <w:rPr>
          <w:lang w:val="fr-FR"/>
        </w:rPr>
        <w:t>s</w:t>
      </w:r>
      <w:r w:rsidR="00546D9A" w:rsidRPr="008C52E5">
        <w:rPr>
          <w:lang w:val="fr-FR"/>
        </w:rPr>
        <w:t>a décision IPBES-4/, la Plénière s’est félicitée de1</w:t>
      </w:r>
      <w:r w:rsidR="00E643C5" w:rsidRPr="008C52E5">
        <w:rPr>
          <w:lang w:val="fr-FR"/>
        </w:rPr>
        <w:t>’établissement de ce guide préliminaire sur la conceptualisation des valeurs de la biodiversité et des bienfaits de la nature pour les êtres humains</w:t>
      </w:r>
      <w:r w:rsidR="009E6502" w:rsidRPr="008C52E5">
        <w:rPr>
          <w:rStyle w:val="FootnoteReference"/>
          <w:lang w:val="fr-FR"/>
        </w:rPr>
        <w:footnoteReference w:id="17"/>
      </w:r>
      <w:r w:rsidR="009E6502" w:rsidRPr="008C52E5">
        <w:rPr>
          <w:lang w:val="fr-FR"/>
        </w:rPr>
        <w:t xml:space="preserve">. </w:t>
      </w:r>
      <w:r w:rsidR="00E643C5" w:rsidRPr="008C52E5">
        <w:rPr>
          <w:lang w:val="fr-FR"/>
        </w:rPr>
        <w:t>Dans la même décision</w:t>
      </w:r>
      <w:r w:rsidR="009E6502" w:rsidRPr="008C52E5">
        <w:rPr>
          <w:lang w:val="fr-FR"/>
        </w:rPr>
        <w:t xml:space="preserve">, </w:t>
      </w:r>
      <w:r w:rsidR="00E643C5" w:rsidRPr="008C52E5">
        <w:rPr>
          <w:lang w:val="fr-FR"/>
        </w:rPr>
        <w:t>la Plénière a demandé la création d’un groupe d’experts plus restreint chargé</w:t>
      </w:r>
      <w:r w:rsidR="009E6502" w:rsidRPr="008C52E5">
        <w:rPr>
          <w:lang w:val="fr-FR"/>
        </w:rPr>
        <w:t xml:space="preserve"> </w:t>
      </w:r>
      <w:r w:rsidR="00E643C5" w:rsidRPr="008C52E5">
        <w:rPr>
          <w:lang w:val="fr-FR"/>
        </w:rPr>
        <w:t>de veiller à ce que les valeurs et la détermination de la valeur soient, en collaboration avec le Groupe d’experts multidisciplinaire, intégrées de manière appropriée dans toutes les évaluations de la Plateforme</w:t>
      </w:r>
      <w:r w:rsidR="009E6502" w:rsidRPr="008C52E5">
        <w:rPr>
          <w:lang w:val="fr-FR"/>
        </w:rPr>
        <w:t>.</w:t>
      </w:r>
      <w:r w:rsidR="003534E9">
        <w:rPr>
          <w:lang w:val="fr-FR"/>
        </w:rPr>
        <w:t xml:space="preserve"> Entre les quatrième et sixième </w:t>
      </w:r>
      <w:r w:rsidR="00E643C5" w:rsidRPr="008C52E5">
        <w:rPr>
          <w:lang w:val="fr-FR"/>
        </w:rPr>
        <w:t xml:space="preserve">sessions de la Plénière, ce groupe </w:t>
      </w:r>
      <w:r w:rsidR="006238B8" w:rsidRPr="008C52E5">
        <w:rPr>
          <w:lang w:val="fr-FR"/>
        </w:rPr>
        <w:t xml:space="preserve">s’est efforcé de faciliter </w:t>
      </w:r>
      <w:r w:rsidR="00E643C5" w:rsidRPr="008C52E5">
        <w:rPr>
          <w:lang w:val="fr-FR"/>
        </w:rPr>
        <w:t xml:space="preserve">les évaluations régionales et l’évaluation mondiale de la biodiversité et des services écosystémiques ainsi que l’évaluation de la dégradation et de la restauration des terres </w:t>
      </w:r>
      <w:r w:rsidR="001C0C36" w:rsidRPr="008C52E5">
        <w:rPr>
          <w:lang w:val="fr-FR"/>
        </w:rPr>
        <w:t>en intégrant de manière appropriée de multiples conceptualisations des valeurs dans ces évaluations</w:t>
      </w:r>
      <w:r w:rsidR="009E6502" w:rsidRPr="008C52E5">
        <w:rPr>
          <w:lang w:val="fr-FR"/>
        </w:rPr>
        <w:t xml:space="preserve">. </w:t>
      </w:r>
    </w:p>
    <w:p w14:paraId="0DDE27D8" w14:textId="60F7E8B3" w:rsidR="009E6502" w:rsidRPr="008C52E5" w:rsidRDefault="001C0C36" w:rsidP="009E6502">
      <w:pPr>
        <w:pStyle w:val="Normalnumber"/>
        <w:numPr>
          <w:ilvl w:val="0"/>
          <w:numId w:val="5"/>
        </w:numPr>
        <w:tabs>
          <w:tab w:val="left" w:pos="1871"/>
          <w:tab w:val="left" w:pos="2495"/>
        </w:tabs>
        <w:ind w:left="1247" w:firstLine="0"/>
        <w:rPr>
          <w:lang w:val="fr-FR"/>
        </w:rPr>
      </w:pPr>
      <w:r w:rsidRPr="008C52E5">
        <w:rPr>
          <w:lang w:val="fr-FR" w:eastAsia="nb-NO"/>
        </w:rPr>
        <w:t>Dans la</w:t>
      </w:r>
      <w:r w:rsidR="009E6502" w:rsidRPr="008C52E5">
        <w:rPr>
          <w:lang w:val="fr-FR"/>
        </w:rPr>
        <w:t xml:space="preserve"> section</w:t>
      </w:r>
      <w:r w:rsidRPr="008C52E5">
        <w:rPr>
          <w:lang w:val="fr-FR"/>
        </w:rPr>
        <w:t> </w:t>
      </w:r>
      <w:r w:rsidR="009E6502" w:rsidRPr="008C52E5">
        <w:rPr>
          <w:lang w:val="fr-FR"/>
        </w:rPr>
        <w:t xml:space="preserve">VI </w:t>
      </w:r>
      <w:r w:rsidRPr="008C52E5">
        <w:rPr>
          <w:lang w:val="fr-FR"/>
        </w:rPr>
        <w:t xml:space="preserve">de </w:t>
      </w:r>
      <w:r w:rsidR="006238B8" w:rsidRPr="008C52E5">
        <w:rPr>
          <w:lang w:val="fr-FR"/>
        </w:rPr>
        <w:t>s</w:t>
      </w:r>
      <w:r w:rsidRPr="008C52E5">
        <w:rPr>
          <w:lang w:val="fr-FR"/>
        </w:rPr>
        <w:t>a décision </w:t>
      </w:r>
      <w:r w:rsidR="009E6502" w:rsidRPr="008C52E5">
        <w:rPr>
          <w:lang w:val="fr-FR"/>
        </w:rPr>
        <w:t>IPBES-6/1</w:t>
      </w:r>
      <w:r w:rsidR="0080623B" w:rsidRPr="008C52E5">
        <w:rPr>
          <w:lang w:val="fr-FR"/>
        </w:rPr>
        <w:t>,</w:t>
      </w:r>
      <w:r w:rsidR="009E6502" w:rsidRPr="008C52E5">
        <w:rPr>
          <w:lang w:val="fr-FR"/>
        </w:rPr>
        <w:t xml:space="preserve"> </w:t>
      </w:r>
      <w:r w:rsidRPr="008C52E5">
        <w:rPr>
          <w:lang w:val="fr-FR"/>
        </w:rPr>
        <w:t>la Plénière a approuvé</w:t>
      </w:r>
      <w:r w:rsidR="009E6502" w:rsidRPr="008C52E5">
        <w:rPr>
          <w:lang w:val="fr-FR"/>
        </w:rPr>
        <w:t xml:space="preserve"> </w:t>
      </w:r>
      <w:r w:rsidRPr="008C52E5">
        <w:rPr>
          <w:lang w:val="fr-FR"/>
        </w:rPr>
        <w:t>la réalisation d’une évaluation méthodologique des diverses conceptualisations des multiples</w:t>
      </w:r>
      <w:r w:rsidR="000A08D0">
        <w:rPr>
          <w:lang w:val="fr-FR"/>
        </w:rPr>
        <w:t xml:space="preserve"> valeurs de la nature et de ses </w:t>
      </w:r>
      <w:r w:rsidRPr="008C52E5">
        <w:rPr>
          <w:lang w:val="fr-FR"/>
        </w:rPr>
        <w:t>bienfaits, y compris la biodiversité et les fonctions et services écosystémiques</w:t>
      </w:r>
      <w:r w:rsidR="009E6502" w:rsidRPr="008C52E5">
        <w:rPr>
          <w:lang w:val="fr-FR"/>
        </w:rPr>
        <w:t>.</w:t>
      </w:r>
      <w:r w:rsidRPr="008C52E5">
        <w:rPr>
          <w:lang w:val="fr-FR"/>
        </w:rPr>
        <w:t xml:space="preserve"> Le groupe d’experts choisi pour réaliser l’évaluation s’est également chargé d’appuyer d</w:t>
      </w:r>
      <w:r w:rsidR="000A08D0">
        <w:rPr>
          <w:lang w:val="fr-FR"/>
        </w:rPr>
        <w:t>’autres évaluations en cours en </w:t>
      </w:r>
      <w:r w:rsidRPr="008C52E5">
        <w:rPr>
          <w:lang w:val="fr-FR"/>
        </w:rPr>
        <w:t>intégrant de manière appropriée les multiples conceptualisations des valeurs dans ces évaluations</w:t>
      </w:r>
      <w:r w:rsidR="009E6502" w:rsidRPr="008C52E5">
        <w:rPr>
          <w:lang w:val="fr-FR"/>
        </w:rPr>
        <w:t xml:space="preserve">. </w:t>
      </w:r>
    </w:p>
    <w:p w14:paraId="1EAB4304" w14:textId="26033C44" w:rsidR="009E6502" w:rsidRPr="008C52E5" w:rsidRDefault="00DB471F" w:rsidP="009E6502">
      <w:pPr>
        <w:pStyle w:val="Normalnumber"/>
        <w:numPr>
          <w:ilvl w:val="0"/>
          <w:numId w:val="5"/>
        </w:numPr>
        <w:tabs>
          <w:tab w:val="left" w:pos="1871"/>
          <w:tab w:val="left" w:pos="2495"/>
        </w:tabs>
        <w:ind w:left="1247" w:firstLine="0"/>
        <w:rPr>
          <w:lang w:val="fr-FR" w:eastAsia="en-GB"/>
        </w:rPr>
      </w:pPr>
      <w:r w:rsidRPr="008C52E5">
        <w:rPr>
          <w:lang w:val="fr-FR" w:eastAsia="en-GB"/>
        </w:rPr>
        <w:t>Un aperçu des travaux entrepris depuis la sixième session de la Plénièr</w:t>
      </w:r>
      <w:r w:rsidR="003534E9">
        <w:rPr>
          <w:lang w:val="fr-FR" w:eastAsia="en-GB"/>
        </w:rPr>
        <w:t>e est présenté dans le document </w:t>
      </w:r>
      <w:r w:rsidR="009E6502" w:rsidRPr="008C52E5">
        <w:rPr>
          <w:lang w:val="fr-FR" w:eastAsia="en-GB"/>
        </w:rPr>
        <w:t>IPBES/7/INF/</w:t>
      </w:r>
      <w:r w:rsidR="00AF6A1E" w:rsidRPr="008C52E5">
        <w:rPr>
          <w:lang w:val="fr-FR" w:eastAsia="en-GB"/>
        </w:rPr>
        <w:t>6</w:t>
      </w:r>
      <w:r w:rsidR="009E6502" w:rsidRPr="008C52E5">
        <w:rPr>
          <w:lang w:val="fr-FR" w:eastAsia="en-GB"/>
        </w:rPr>
        <w:t>.</w:t>
      </w:r>
      <w:r w:rsidR="00D726B1" w:rsidRPr="008C52E5">
        <w:rPr>
          <w:lang w:val="fr-FR" w:eastAsia="en-GB"/>
        </w:rPr>
        <w:t xml:space="preserve"> </w:t>
      </w:r>
    </w:p>
    <w:p w14:paraId="2B36B71D" w14:textId="5AC2020E" w:rsidR="009E6502" w:rsidRPr="008C52E5" w:rsidRDefault="00CB3B9B" w:rsidP="00956108">
      <w:pPr>
        <w:pStyle w:val="CH3"/>
        <w:tabs>
          <w:tab w:val="clear" w:pos="851"/>
        </w:tabs>
        <w:ind w:hanging="680"/>
        <w:rPr>
          <w:lang w:val="fr-FR"/>
        </w:rPr>
      </w:pPr>
      <w:r w:rsidRPr="008C52E5">
        <w:rPr>
          <w:rFonts w:eastAsia="SimSun"/>
          <w:lang w:val="fr-FR" w:eastAsia="zh-CN"/>
        </w:rPr>
        <w:t>2.</w:t>
      </w:r>
      <w:r w:rsidRPr="008C52E5">
        <w:rPr>
          <w:rFonts w:eastAsia="SimSun"/>
          <w:lang w:val="fr-FR" w:eastAsia="zh-CN"/>
        </w:rPr>
        <w:tab/>
      </w:r>
      <w:r w:rsidR="00CA504F" w:rsidRPr="008C52E5">
        <w:rPr>
          <w:rFonts w:eastAsia="SimSun"/>
          <w:lang w:val="fr-FR" w:eastAsia="zh-CN"/>
        </w:rPr>
        <w:t>Hypothèses et dispositions institutionnelles</w:t>
      </w:r>
    </w:p>
    <w:p w14:paraId="6D1B9206" w14:textId="36CEAC5F" w:rsidR="00AA7975" w:rsidRPr="008C52E5" w:rsidRDefault="00A61131" w:rsidP="009E6502">
      <w:pPr>
        <w:pStyle w:val="Normalnumber"/>
        <w:numPr>
          <w:ilvl w:val="0"/>
          <w:numId w:val="5"/>
        </w:numPr>
        <w:tabs>
          <w:tab w:val="left" w:pos="1871"/>
          <w:tab w:val="left" w:pos="2495"/>
        </w:tabs>
        <w:ind w:left="1247" w:firstLine="0"/>
        <w:rPr>
          <w:lang w:val="fr-FR" w:eastAsia="nb-NO"/>
        </w:rPr>
      </w:pPr>
      <w:r w:rsidRPr="008C52E5">
        <w:rPr>
          <w:lang w:val="fr-FR" w:eastAsia="nb-NO"/>
        </w:rPr>
        <w:t>Au cours de</w:t>
      </w:r>
      <w:r w:rsidR="00CA504F" w:rsidRPr="008C52E5">
        <w:rPr>
          <w:lang w:val="fr-FR" w:eastAsia="nb-NO"/>
        </w:rPr>
        <w:t xml:space="preserve"> l’élaboration de l’évaluation sur les valeurs, le groupe d’experts sur l’évaluation </w:t>
      </w:r>
      <w:r w:rsidR="006238B8" w:rsidRPr="008C52E5">
        <w:rPr>
          <w:lang w:val="fr-FR" w:eastAsia="nb-NO"/>
        </w:rPr>
        <w:t xml:space="preserve">facilitera </w:t>
      </w:r>
      <w:r w:rsidR="00CA504F" w:rsidRPr="008C52E5">
        <w:rPr>
          <w:lang w:val="fr-FR" w:eastAsia="nb-NO"/>
        </w:rPr>
        <w:t xml:space="preserve">également </w:t>
      </w:r>
      <w:r w:rsidR="006238B8" w:rsidRPr="008C52E5">
        <w:rPr>
          <w:lang w:val="fr-FR" w:eastAsia="nb-NO"/>
        </w:rPr>
        <w:t xml:space="preserve">l’exécution du </w:t>
      </w:r>
      <w:r w:rsidR="00CA504F" w:rsidRPr="008C52E5">
        <w:rPr>
          <w:lang w:val="fr-FR" w:eastAsia="nb-NO"/>
        </w:rPr>
        <w:t>produit </w:t>
      </w:r>
      <w:r w:rsidR="00A61354" w:rsidRPr="008C52E5">
        <w:rPr>
          <w:lang w:val="fr-FR" w:eastAsia="nb-NO"/>
        </w:rPr>
        <w:t>4</w:t>
      </w:r>
      <w:r w:rsidR="00CA504F" w:rsidRPr="008C52E5">
        <w:rPr>
          <w:lang w:val="fr-FR" w:eastAsia="nb-NO"/>
        </w:rPr>
        <w:t> </w:t>
      </w:r>
      <w:r w:rsidR="00A61354" w:rsidRPr="008C52E5">
        <w:rPr>
          <w:lang w:val="fr-FR" w:eastAsia="nb-NO"/>
        </w:rPr>
        <w:t>c</w:t>
      </w:r>
      <w:r w:rsidR="0080623B" w:rsidRPr="008C52E5">
        <w:rPr>
          <w:lang w:val="fr-FR" w:eastAsia="nb-NO"/>
        </w:rPr>
        <w:t>)</w:t>
      </w:r>
      <w:r w:rsidR="0086024D" w:rsidRPr="008C52E5">
        <w:rPr>
          <w:lang w:val="fr-FR" w:eastAsia="nb-NO"/>
        </w:rPr>
        <w:t xml:space="preserve"> en faisant avancer les travaux sur les multiples conceptualisations des valeurs</w:t>
      </w:r>
      <w:r w:rsidR="00A61354" w:rsidRPr="008C52E5">
        <w:rPr>
          <w:lang w:val="fr-FR" w:eastAsia="nb-NO"/>
        </w:rPr>
        <w:t>.</w:t>
      </w:r>
      <w:r w:rsidR="0086024D" w:rsidRPr="008C52E5">
        <w:rPr>
          <w:lang w:val="fr-FR" w:eastAsia="nb-NO"/>
        </w:rPr>
        <w:t xml:space="preserve"> Une fois l’évaluation sur les valeurs finalisée, la Plénière souhaitera peut-être créer une équipe spéciale pour </w:t>
      </w:r>
      <w:r w:rsidR="006238B8" w:rsidRPr="008C52E5">
        <w:rPr>
          <w:lang w:val="fr-FR" w:eastAsia="nb-NO"/>
        </w:rPr>
        <w:t xml:space="preserve">faciliter la réalisation de </w:t>
      </w:r>
      <w:r w:rsidR="0086024D" w:rsidRPr="008C52E5">
        <w:rPr>
          <w:lang w:val="fr-FR" w:eastAsia="nb-NO"/>
        </w:rPr>
        <w:t xml:space="preserve">ce produit, compte </w:t>
      </w:r>
      <w:r w:rsidR="006238B8" w:rsidRPr="008C52E5">
        <w:rPr>
          <w:lang w:val="fr-FR" w:eastAsia="nb-NO"/>
        </w:rPr>
        <w:t xml:space="preserve">tenu </w:t>
      </w:r>
      <w:r w:rsidR="0086024D" w:rsidRPr="008C52E5">
        <w:rPr>
          <w:lang w:val="fr-FR" w:eastAsia="nb-NO"/>
        </w:rPr>
        <w:t xml:space="preserve">de l’expérience </w:t>
      </w:r>
      <w:r w:rsidR="006238B8" w:rsidRPr="008C52E5">
        <w:rPr>
          <w:lang w:val="fr-FR" w:eastAsia="nb-NO"/>
        </w:rPr>
        <w:t xml:space="preserve">que le </w:t>
      </w:r>
      <w:r w:rsidR="0086024D" w:rsidRPr="008C52E5">
        <w:rPr>
          <w:lang w:val="fr-FR" w:eastAsia="nb-NO"/>
        </w:rPr>
        <w:t>groupe d’expert</w:t>
      </w:r>
      <w:r w:rsidR="00E800D9" w:rsidRPr="008C52E5">
        <w:rPr>
          <w:lang w:val="fr-FR" w:eastAsia="nb-NO"/>
        </w:rPr>
        <w:t>s</w:t>
      </w:r>
      <w:r w:rsidR="0086024D" w:rsidRPr="008C52E5">
        <w:rPr>
          <w:lang w:val="fr-FR" w:eastAsia="nb-NO"/>
        </w:rPr>
        <w:t xml:space="preserve"> </w:t>
      </w:r>
      <w:r w:rsidR="006238B8" w:rsidRPr="008C52E5">
        <w:rPr>
          <w:lang w:val="fr-FR" w:eastAsia="nb-NO"/>
        </w:rPr>
        <w:t xml:space="preserve">créé comme suite </w:t>
      </w:r>
      <w:r w:rsidR="0086024D" w:rsidRPr="008C52E5">
        <w:rPr>
          <w:lang w:val="fr-FR" w:eastAsia="nb-NO"/>
        </w:rPr>
        <w:t>au paragraphe </w:t>
      </w:r>
      <w:r w:rsidR="008A60EC" w:rsidRPr="008C52E5">
        <w:rPr>
          <w:lang w:val="fr-FR" w:eastAsia="nb-NO"/>
        </w:rPr>
        <w:t xml:space="preserve">5 </w:t>
      </w:r>
      <w:r w:rsidR="0086024D" w:rsidRPr="008C52E5">
        <w:rPr>
          <w:lang w:val="fr-FR" w:eastAsia="nb-NO"/>
        </w:rPr>
        <w:t>de la</w:t>
      </w:r>
      <w:r w:rsidR="008A60EC" w:rsidRPr="008C52E5">
        <w:rPr>
          <w:lang w:val="fr-FR" w:eastAsia="nb-NO"/>
        </w:rPr>
        <w:t xml:space="preserve"> section</w:t>
      </w:r>
      <w:r w:rsidR="0086024D" w:rsidRPr="008C52E5">
        <w:rPr>
          <w:lang w:val="fr-FR" w:eastAsia="nb-NO"/>
        </w:rPr>
        <w:t> </w:t>
      </w:r>
      <w:r w:rsidR="008A60EC" w:rsidRPr="008C52E5">
        <w:rPr>
          <w:lang w:val="fr-FR" w:eastAsia="nb-NO"/>
        </w:rPr>
        <w:t xml:space="preserve">V </w:t>
      </w:r>
      <w:r w:rsidR="0086024D" w:rsidRPr="008C52E5">
        <w:rPr>
          <w:lang w:val="fr-FR" w:eastAsia="nb-NO"/>
        </w:rPr>
        <w:t xml:space="preserve">de </w:t>
      </w:r>
      <w:r w:rsidR="006238B8" w:rsidRPr="008C52E5">
        <w:rPr>
          <w:lang w:val="fr-FR" w:eastAsia="nb-NO"/>
        </w:rPr>
        <w:t>s</w:t>
      </w:r>
      <w:r w:rsidR="000A08D0">
        <w:rPr>
          <w:lang w:val="fr-FR" w:eastAsia="nb-NO"/>
        </w:rPr>
        <w:t>a </w:t>
      </w:r>
      <w:r w:rsidR="0086024D" w:rsidRPr="008C52E5">
        <w:rPr>
          <w:lang w:val="fr-FR" w:eastAsia="nb-NO"/>
        </w:rPr>
        <w:t>décision </w:t>
      </w:r>
      <w:r w:rsidR="008A60EC" w:rsidRPr="008C52E5">
        <w:rPr>
          <w:lang w:val="fr-FR" w:eastAsia="nb-NO"/>
        </w:rPr>
        <w:t>IPBES-4/1</w:t>
      </w:r>
      <w:r w:rsidR="000604DF" w:rsidRPr="008C52E5">
        <w:rPr>
          <w:lang w:val="fr-FR" w:eastAsia="nb-NO"/>
        </w:rPr>
        <w:t xml:space="preserve"> </w:t>
      </w:r>
      <w:r w:rsidR="006238B8" w:rsidRPr="008C52E5">
        <w:rPr>
          <w:lang w:val="fr-FR" w:eastAsia="nb-NO"/>
        </w:rPr>
        <w:t xml:space="preserve">a acquise </w:t>
      </w:r>
      <w:r w:rsidR="0086024D" w:rsidRPr="008C52E5">
        <w:rPr>
          <w:lang w:val="fr-FR" w:eastAsia="nb-NO"/>
        </w:rPr>
        <w:t>dans l’établissement du mandat de l’équipe spéciale</w:t>
      </w:r>
      <w:r w:rsidR="000604DF" w:rsidRPr="008C52E5">
        <w:rPr>
          <w:lang w:val="fr-FR" w:eastAsia="nb-NO"/>
        </w:rPr>
        <w:t>.</w:t>
      </w:r>
    </w:p>
    <w:p w14:paraId="55BDDCC0" w14:textId="1E3E1DF6" w:rsidR="00842024" w:rsidRPr="008C52E5" w:rsidRDefault="00CB3B9B" w:rsidP="00956108">
      <w:pPr>
        <w:pStyle w:val="CH3"/>
        <w:tabs>
          <w:tab w:val="clear" w:pos="851"/>
        </w:tabs>
        <w:ind w:hanging="680"/>
        <w:rPr>
          <w:rFonts w:eastAsia="SimSun"/>
          <w:lang w:val="fr-FR" w:eastAsia="zh-CN"/>
        </w:rPr>
      </w:pPr>
      <w:r w:rsidRPr="008C52E5">
        <w:rPr>
          <w:rFonts w:eastAsia="SimSun"/>
          <w:lang w:val="fr-FR" w:eastAsia="zh-CN"/>
        </w:rPr>
        <w:t>3.</w:t>
      </w:r>
      <w:r w:rsidRPr="008C52E5">
        <w:rPr>
          <w:rFonts w:eastAsia="SimSun"/>
          <w:lang w:val="fr-FR" w:eastAsia="zh-CN"/>
        </w:rPr>
        <w:tab/>
      </w:r>
      <w:r w:rsidR="003808B0" w:rsidRPr="008C52E5">
        <w:rPr>
          <w:rFonts w:eastAsia="SimSun"/>
          <w:lang w:val="fr-FR" w:eastAsia="zh-CN"/>
        </w:rPr>
        <w:t>Réunions et étapes intermédiaires</w:t>
      </w:r>
      <w:r w:rsidR="00842024" w:rsidRPr="008C52E5">
        <w:rPr>
          <w:rFonts w:eastAsia="SimSun"/>
          <w:lang w:val="fr-FR" w:eastAsia="zh-CN"/>
        </w:rPr>
        <w:t xml:space="preserve"> </w:t>
      </w:r>
    </w:p>
    <w:p w14:paraId="6FCA933B" w14:textId="4F9ED962" w:rsidR="00842024" w:rsidRPr="008C52E5" w:rsidRDefault="003808B0" w:rsidP="009E6502">
      <w:pPr>
        <w:pStyle w:val="Normalnumber"/>
        <w:numPr>
          <w:ilvl w:val="0"/>
          <w:numId w:val="5"/>
        </w:numPr>
        <w:tabs>
          <w:tab w:val="left" w:pos="1871"/>
          <w:tab w:val="left" w:pos="2495"/>
        </w:tabs>
        <w:ind w:left="1247" w:firstLine="0"/>
        <w:rPr>
          <w:lang w:val="fr-FR"/>
        </w:rPr>
      </w:pPr>
      <w:r w:rsidRPr="008C52E5">
        <w:rPr>
          <w:lang w:val="fr-FR"/>
        </w:rPr>
        <w:t xml:space="preserve">Un aperçu des </w:t>
      </w:r>
      <w:r w:rsidR="006238B8" w:rsidRPr="008C52E5">
        <w:rPr>
          <w:lang w:val="fr-FR"/>
        </w:rPr>
        <w:t>activités</w:t>
      </w:r>
      <w:r w:rsidRPr="008C52E5">
        <w:rPr>
          <w:lang w:val="fr-FR"/>
        </w:rPr>
        <w:t xml:space="preserve"> à mener </w:t>
      </w:r>
      <w:r w:rsidR="006238B8" w:rsidRPr="008C52E5">
        <w:rPr>
          <w:lang w:val="fr-FR"/>
        </w:rPr>
        <w:t xml:space="preserve">au titre </w:t>
      </w:r>
      <w:r w:rsidRPr="008C52E5">
        <w:rPr>
          <w:lang w:val="fr-FR"/>
        </w:rPr>
        <w:t xml:space="preserve">de ce produit est présenté ci-après. Un projet de budget </w:t>
      </w:r>
      <w:r w:rsidR="006238B8" w:rsidRPr="008C52E5">
        <w:rPr>
          <w:lang w:val="fr-FR"/>
        </w:rPr>
        <w:t xml:space="preserve">correspondant </w:t>
      </w:r>
      <w:r w:rsidRPr="008C52E5">
        <w:rPr>
          <w:lang w:val="fr-FR"/>
        </w:rPr>
        <w:t xml:space="preserve">figure dans le tableau 1 dans l’annexe </w:t>
      </w:r>
      <w:r w:rsidR="006238B8" w:rsidRPr="008C52E5">
        <w:rPr>
          <w:lang w:val="fr-FR"/>
        </w:rPr>
        <w:t>d</w:t>
      </w:r>
      <w:r w:rsidRPr="008C52E5">
        <w:rPr>
          <w:lang w:val="fr-FR"/>
        </w:rPr>
        <w:t>u document</w:t>
      </w:r>
      <w:r w:rsidR="00E66591" w:rsidRPr="008C52E5">
        <w:rPr>
          <w:lang w:val="fr-FR"/>
        </w:rPr>
        <w:t xml:space="preserve"> </w:t>
      </w:r>
      <w:r w:rsidR="00842024" w:rsidRPr="008C52E5">
        <w:rPr>
          <w:lang w:val="fr-FR"/>
        </w:rPr>
        <w:t>IPBES/7/4.</w:t>
      </w:r>
      <w:r w:rsidR="00734B17" w:rsidRPr="008C52E5">
        <w:rPr>
          <w:lang w:val="fr-FR"/>
        </w:rPr>
        <w:t xml:space="preserve"> </w:t>
      </w:r>
    </w:p>
    <w:tbl>
      <w:tblPr>
        <w:tblW w:w="8352" w:type="dxa"/>
        <w:tblInd w:w="1248" w:type="dxa"/>
        <w:tblLook w:val="04A0" w:firstRow="1" w:lastRow="0" w:firstColumn="1" w:lastColumn="0" w:noHBand="0" w:noVBand="1"/>
      </w:tblPr>
      <w:tblGrid>
        <w:gridCol w:w="2296"/>
        <w:gridCol w:w="6056"/>
      </w:tblGrid>
      <w:tr w:rsidR="00FA542E" w:rsidRPr="008C52E5" w14:paraId="33AD66D4" w14:textId="77777777" w:rsidTr="004E2A49">
        <w:trPr>
          <w:trHeight w:val="233"/>
          <w:tblHeader/>
        </w:trPr>
        <w:tc>
          <w:tcPr>
            <w:tcW w:w="2296" w:type="dxa"/>
            <w:tcBorders>
              <w:top w:val="single" w:sz="4" w:space="0" w:color="auto"/>
              <w:bottom w:val="single" w:sz="12" w:space="0" w:color="auto"/>
            </w:tcBorders>
            <w:shd w:val="clear" w:color="auto" w:fill="auto"/>
            <w:vAlign w:val="center"/>
          </w:tcPr>
          <w:p w14:paraId="54FB8A6E" w14:textId="00B7F02D" w:rsidR="00FA542E" w:rsidRPr="008C52E5" w:rsidDel="003F5A7B" w:rsidRDefault="00E66591" w:rsidP="004E2A49">
            <w:pPr>
              <w:pStyle w:val="Normal-pool"/>
              <w:spacing w:before="20" w:after="20"/>
              <w:rPr>
                <w:rFonts w:eastAsia="SimSun"/>
                <w:sz w:val="18"/>
                <w:szCs w:val="18"/>
                <w:lang w:val="fr-FR" w:eastAsia="zh-CN"/>
              </w:rPr>
            </w:pPr>
            <w:r w:rsidRPr="008C52E5">
              <w:rPr>
                <w:rFonts w:eastAsia="SimSun"/>
                <w:i/>
                <w:sz w:val="18"/>
                <w:szCs w:val="18"/>
                <w:lang w:val="fr-FR" w:eastAsia="zh-CN"/>
              </w:rPr>
              <w:t>Calendrier</w:t>
            </w:r>
          </w:p>
        </w:tc>
        <w:tc>
          <w:tcPr>
            <w:tcW w:w="6056" w:type="dxa"/>
            <w:tcBorders>
              <w:top w:val="single" w:sz="4" w:space="0" w:color="auto"/>
              <w:bottom w:val="single" w:sz="12" w:space="0" w:color="auto"/>
            </w:tcBorders>
            <w:shd w:val="clear" w:color="auto" w:fill="auto"/>
            <w:vAlign w:val="center"/>
          </w:tcPr>
          <w:p w14:paraId="50FA76D3" w14:textId="666F6F15" w:rsidR="00FA542E" w:rsidRPr="008C52E5" w:rsidDel="000C28ED" w:rsidRDefault="00E66591" w:rsidP="004E2A49">
            <w:pPr>
              <w:pStyle w:val="Normal-pool"/>
              <w:spacing w:before="20" w:after="20"/>
              <w:rPr>
                <w:rFonts w:eastAsia="SimSun"/>
                <w:sz w:val="18"/>
                <w:szCs w:val="18"/>
                <w:lang w:val="fr-FR" w:eastAsia="zh-CN"/>
              </w:rPr>
            </w:pPr>
            <w:r w:rsidRPr="008C52E5">
              <w:rPr>
                <w:rFonts w:eastAsia="SimSun"/>
                <w:i/>
                <w:sz w:val="18"/>
                <w:szCs w:val="18"/>
                <w:lang w:val="fr-FR" w:eastAsia="zh-CN"/>
              </w:rPr>
              <w:t>Réunions et étapes intermédiaires</w:t>
            </w:r>
          </w:p>
        </w:tc>
      </w:tr>
      <w:tr w:rsidR="00FA542E" w:rsidRPr="0082513F" w14:paraId="44F8A844" w14:textId="77777777" w:rsidTr="004E2A49">
        <w:trPr>
          <w:trHeight w:val="181"/>
        </w:trPr>
        <w:tc>
          <w:tcPr>
            <w:tcW w:w="2296" w:type="dxa"/>
            <w:vMerge w:val="restart"/>
            <w:tcBorders>
              <w:top w:val="single" w:sz="12" w:space="0" w:color="auto"/>
              <w:bottom w:val="single" w:sz="12" w:space="0" w:color="auto"/>
            </w:tcBorders>
            <w:shd w:val="clear" w:color="auto" w:fill="auto"/>
            <w:vAlign w:val="center"/>
          </w:tcPr>
          <w:p w14:paraId="1E4E9541" w14:textId="112A0125" w:rsidR="00FA542E" w:rsidRPr="008C52E5" w:rsidRDefault="00FA542E" w:rsidP="004E2A49">
            <w:pPr>
              <w:pStyle w:val="Normal-pool"/>
              <w:spacing w:before="20" w:after="20"/>
              <w:rPr>
                <w:rFonts w:eastAsia="SimSun"/>
                <w:sz w:val="18"/>
                <w:szCs w:val="18"/>
                <w:lang w:val="fr-FR" w:eastAsia="zh-CN"/>
              </w:rPr>
            </w:pPr>
            <w:r w:rsidRPr="008C52E5">
              <w:rPr>
                <w:rFonts w:eastAsia="SimSun"/>
                <w:sz w:val="18"/>
                <w:szCs w:val="18"/>
                <w:lang w:val="fr-FR" w:eastAsia="zh-CN"/>
              </w:rPr>
              <w:t>Annu</w:t>
            </w:r>
            <w:r w:rsidR="00E66591" w:rsidRPr="008C52E5">
              <w:rPr>
                <w:rFonts w:eastAsia="SimSun"/>
                <w:sz w:val="18"/>
                <w:szCs w:val="18"/>
                <w:lang w:val="fr-FR" w:eastAsia="zh-CN"/>
              </w:rPr>
              <w:t>ellement après l’achèvement de l’évaluation sur les valeurs</w:t>
            </w:r>
          </w:p>
        </w:tc>
        <w:tc>
          <w:tcPr>
            <w:tcW w:w="6056" w:type="dxa"/>
            <w:tcBorders>
              <w:top w:val="single" w:sz="12" w:space="0" w:color="auto"/>
            </w:tcBorders>
            <w:shd w:val="clear" w:color="auto" w:fill="auto"/>
          </w:tcPr>
          <w:p w14:paraId="47C0A7F8" w14:textId="4ED55D53" w:rsidR="00FA542E" w:rsidRPr="008C52E5" w:rsidRDefault="00674E05" w:rsidP="004E2A49">
            <w:pPr>
              <w:pStyle w:val="Normal-pool"/>
              <w:spacing w:before="20" w:after="20"/>
              <w:rPr>
                <w:rFonts w:eastAsia="SimSun"/>
                <w:sz w:val="18"/>
                <w:szCs w:val="18"/>
                <w:lang w:val="fr-FR" w:eastAsia="zh-CN"/>
              </w:rPr>
            </w:pPr>
            <w:r w:rsidRPr="008C52E5">
              <w:rPr>
                <w:rFonts w:eastAsia="SimSun"/>
                <w:sz w:val="18"/>
                <w:szCs w:val="18"/>
                <w:lang w:val="fr-FR" w:eastAsia="zh-CN"/>
              </w:rPr>
              <w:t>Une réunion de l’équipe spéciale</w:t>
            </w:r>
          </w:p>
        </w:tc>
      </w:tr>
      <w:tr w:rsidR="00FA542E" w:rsidRPr="0082513F" w14:paraId="35287C39" w14:textId="77777777" w:rsidTr="004E2A49">
        <w:trPr>
          <w:trHeight w:val="235"/>
        </w:trPr>
        <w:tc>
          <w:tcPr>
            <w:tcW w:w="2296" w:type="dxa"/>
            <w:vMerge/>
            <w:tcBorders>
              <w:bottom w:val="single" w:sz="12" w:space="0" w:color="auto"/>
            </w:tcBorders>
            <w:shd w:val="clear" w:color="auto" w:fill="auto"/>
            <w:vAlign w:val="center"/>
          </w:tcPr>
          <w:p w14:paraId="125C0402" w14:textId="77777777" w:rsidR="00FA542E" w:rsidRPr="008C52E5" w:rsidRDefault="00FA542E" w:rsidP="004E2A49">
            <w:pPr>
              <w:pStyle w:val="Normal-pool"/>
              <w:spacing w:before="20" w:after="20"/>
              <w:rPr>
                <w:rFonts w:eastAsia="SimSun"/>
                <w:sz w:val="18"/>
                <w:szCs w:val="18"/>
                <w:lang w:val="fr-FR" w:eastAsia="zh-CN"/>
              </w:rPr>
            </w:pPr>
          </w:p>
        </w:tc>
        <w:tc>
          <w:tcPr>
            <w:tcW w:w="6056" w:type="dxa"/>
            <w:shd w:val="clear" w:color="auto" w:fill="auto"/>
          </w:tcPr>
          <w:p w14:paraId="6F128941" w14:textId="4DC1263A" w:rsidR="00FA542E" w:rsidRPr="008C52E5" w:rsidRDefault="00FA542E" w:rsidP="004E2A49">
            <w:pPr>
              <w:pStyle w:val="Normal-pool"/>
              <w:spacing w:before="20" w:after="20"/>
              <w:rPr>
                <w:rFonts w:eastAsia="SimSun"/>
                <w:sz w:val="18"/>
                <w:szCs w:val="18"/>
                <w:lang w:val="fr-FR" w:eastAsia="zh-CN"/>
              </w:rPr>
            </w:pPr>
            <w:r w:rsidRPr="008C52E5">
              <w:rPr>
                <w:rFonts w:eastAsia="SimSun"/>
                <w:sz w:val="18"/>
                <w:szCs w:val="18"/>
                <w:lang w:val="fr-FR" w:eastAsia="zh-CN"/>
              </w:rPr>
              <w:t>Activit</w:t>
            </w:r>
            <w:r w:rsidR="00674E05" w:rsidRPr="008C52E5">
              <w:rPr>
                <w:rFonts w:eastAsia="SimSun"/>
                <w:sz w:val="18"/>
                <w:szCs w:val="18"/>
                <w:lang w:val="fr-FR" w:eastAsia="zh-CN"/>
              </w:rPr>
              <w:t xml:space="preserve">és visant à favoriser l’élaboration de méthodes concernant les multiples valeurs </w:t>
            </w:r>
          </w:p>
        </w:tc>
      </w:tr>
      <w:tr w:rsidR="00FA542E" w:rsidRPr="0082513F" w14:paraId="7078E9E0" w14:textId="77777777" w:rsidTr="004E2A49">
        <w:trPr>
          <w:trHeight w:val="233"/>
        </w:trPr>
        <w:tc>
          <w:tcPr>
            <w:tcW w:w="2296" w:type="dxa"/>
            <w:vMerge/>
            <w:tcBorders>
              <w:bottom w:val="single" w:sz="12" w:space="0" w:color="auto"/>
            </w:tcBorders>
            <w:shd w:val="clear" w:color="auto" w:fill="auto"/>
            <w:vAlign w:val="center"/>
          </w:tcPr>
          <w:p w14:paraId="6D32690D" w14:textId="77777777" w:rsidR="00FA542E" w:rsidRPr="008C52E5" w:rsidRDefault="00FA542E" w:rsidP="004E2A49">
            <w:pPr>
              <w:pStyle w:val="Normal-pool"/>
              <w:spacing w:before="20" w:after="20"/>
              <w:rPr>
                <w:rFonts w:eastAsia="SimSun"/>
                <w:sz w:val="18"/>
                <w:szCs w:val="18"/>
                <w:lang w:val="fr-FR" w:eastAsia="zh-CN"/>
              </w:rPr>
            </w:pPr>
          </w:p>
        </w:tc>
        <w:tc>
          <w:tcPr>
            <w:tcW w:w="6056" w:type="dxa"/>
            <w:shd w:val="clear" w:color="auto" w:fill="auto"/>
          </w:tcPr>
          <w:p w14:paraId="41F50977" w14:textId="009A6300" w:rsidR="00FA542E" w:rsidRPr="008C52E5" w:rsidRDefault="00FA542E" w:rsidP="004E2A49">
            <w:pPr>
              <w:pStyle w:val="Normal-pool"/>
              <w:spacing w:before="20" w:after="20"/>
              <w:rPr>
                <w:rFonts w:eastAsia="SimSun"/>
                <w:sz w:val="18"/>
                <w:szCs w:val="18"/>
                <w:lang w:val="fr-FR" w:eastAsia="zh-CN"/>
              </w:rPr>
            </w:pPr>
            <w:r w:rsidRPr="008C52E5">
              <w:rPr>
                <w:rFonts w:eastAsia="SimSun"/>
                <w:sz w:val="18"/>
                <w:szCs w:val="18"/>
                <w:lang w:val="fr-FR" w:eastAsia="zh-CN"/>
              </w:rPr>
              <w:t>Activit</w:t>
            </w:r>
            <w:r w:rsidR="00674E05" w:rsidRPr="008C52E5">
              <w:rPr>
                <w:rFonts w:eastAsia="SimSun"/>
                <w:sz w:val="18"/>
                <w:szCs w:val="18"/>
                <w:lang w:val="fr-FR" w:eastAsia="zh-CN"/>
              </w:rPr>
              <w:t xml:space="preserve">és à l’appui </w:t>
            </w:r>
            <w:r w:rsidR="006238B8" w:rsidRPr="008C52E5">
              <w:rPr>
                <w:rFonts w:eastAsia="SimSun"/>
                <w:sz w:val="18"/>
                <w:szCs w:val="18"/>
                <w:lang w:val="fr-FR" w:eastAsia="zh-CN"/>
              </w:rPr>
              <w:t xml:space="preserve">de l’exécution </w:t>
            </w:r>
            <w:r w:rsidR="00674E05" w:rsidRPr="008C52E5">
              <w:rPr>
                <w:rFonts w:eastAsia="SimSun"/>
                <w:sz w:val="18"/>
                <w:szCs w:val="18"/>
                <w:lang w:val="fr-FR" w:eastAsia="zh-CN"/>
              </w:rPr>
              <w:t>d’autres produits, en particulier des évaluations</w:t>
            </w:r>
          </w:p>
        </w:tc>
      </w:tr>
      <w:tr w:rsidR="00FA542E" w:rsidRPr="0082513F" w14:paraId="4989341E" w14:textId="77777777" w:rsidTr="004E2A49">
        <w:trPr>
          <w:trHeight w:val="233"/>
        </w:trPr>
        <w:tc>
          <w:tcPr>
            <w:tcW w:w="2296" w:type="dxa"/>
            <w:vMerge/>
            <w:tcBorders>
              <w:bottom w:val="single" w:sz="12" w:space="0" w:color="auto"/>
            </w:tcBorders>
            <w:shd w:val="clear" w:color="auto" w:fill="auto"/>
            <w:vAlign w:val="center"/>
          </w:tcPr>
          <w:p w14:paraId="69B139CC" w14:textId="77777777" w:rsidR="00FA542E" w:rsidRPr="008C52E5" w:rsidRDefault="00FA542E" w:rsidP="004E2A49">
            <w:pPr>
              <w:pStyle w:val="Normal-pool"/>
              <w:spacing w:before="20" w:after="20"/>
              <w:rPr>
                <w:rFonts w:eastAsia="SimSun"/>
                <w:sz w:val="18"/>
                <w:szCs w:val="18"/>
                <w:lang w:val="fr-FR" w:eastAsia="zh-CN"/>
              </w:rPr>
            </w:pPr>
          </w:p>
        </w:tc>
        <w:tc>
          <w:tcPr>
            <w:tcW w:w="6056" w:type="dxa"/>
            <w:tcBorders>
              <w:bottom w:val="single" w:sz="12" w:space="0" w:color="auto"/>
            </w:tcBorders>
            <w:shd w:val="clear" w:color="auto" w:fill="auto"/>
          </w:tcPr>
          <w:p w14:paraId="4F033807" w14:textId="05B1F887" w:rsidR="00FA542E" w:rsidRPr="008C52E5" w:rsidRDefault="00FA542E" w:rsidP="004E2A49">
            <w:pPr>
              <w:pStyle w:val="Normal-pool"/>
              <w:spacing w:before="20" w:after="20"/>
              <w:rPr>
                <w:rFonts w:eastAsia="SimSun"/>
                <w:sz w:val="18"/>
                <w:szCs w:val="18"/>
                <w:lang w:val="fr-FR" w:eastAsia="zh-CN"/>
              </w:rPr>
            </w:pPr>
            <w:r w:rsidRPr="008C52E5">
              <w:rPr>
                <w:rFonts w:eastAsia="SimSun"/>
                <w:sz w:val="18"/>
                <w:szCs w:val="18"/>
                <w:lang w:val="fr-FR" w:eastAsia="zh-CN"/>
              </w:rPr>
              <w:t>Activit</w:t>
            </w:r>
            <w:r w:rsidR="00674E05" w:rsidRPr="008C52E5">
              <w:rPr>
                <w:rFonts w:eastAsia="SimSun"/>
                <w:sz w:val="18"/>
                <w:szCs w:val="18"/>
                <w:lang w:val="fr-FR" w:eastAsia="zh-CN"/>
              </w:rPr>
              <w:t>és liées à l’utilisation des travaux sur les valeurs achevés</w:t>
            </w:r>
          </w:p>
        </w:tc>
      </w:tr>
    </w:tbl>
    <w:p w14:paraId="3FCDBDC4" w14:textId="6FB2945C" w:rsidR="0019590E" w:rsidRPr="008C52E5" w:rsidRDefault="00CB3B9B" w:rsidP="00956108">
      <w:pPr>
        <w:pStyle w:val="CH1"/>
        <w:tabs>
          <w:tab w:val="clear" w:pos="851"/>
        </w:tabs>
        <w:ind w:hanging="680"/>
        <w:rPr>
          <w:lang w:val="fr-FR"/>
        </w:rPr>
      </w:pPr>
      <w:r w:rsidRPr="008C52E5">
        <w:rPr>
          <w:lang w:val="fr-FR"/>
        </w:rPr>
        <w:t>V.</w:t>
      </w:r>
      <w:r w:rsidRPr="008C52E5">
        <w:rPr>
          <w:lang w:val="fr-FR"/>
        </w:rPr>
        <w:tab/>
      </w:r>
      <w:r w:rsidR="00AA1FD9" w:rsidRPr="008C52E5">
        <w:rPr>
          <w:lang w:val="fr-FR"/>
        </w:rPr>
        <w:t>Objecti</w:t>
      </w:r>
      <w:r w:rsidR="001D7C30" w:rsidRPr="008C52E5">
        <w:rPr>
          <w:lang w:val="fr-FR"/>
        </w:rPr>
        <w:t>f </w:t>
      </w:r>
      <w:r w:rsidR="00AA1FD9" w:rsidRPr="008C52E5">
        <w:rPr>
          <w:lang w:val="fr-FR"/>
        </w:rPr>
        <w:t>5</w:t>
      </w:r>
      <w:r w:rsidR="001D7C30" w:rsidRPr="008C52E5">
        <w:rPr>
          <w:lang w:val="fr-FR"/>
        </w:rPr>
        <w:t> </w:t>
      </w:r>
      <w:r w:rsidR="00AA1FD9" w:rsidRPr="008C52E5">
        <w:rPr>
          <w:lang w:val="fr-FR"/>
        </w:rPr>
        <w:t>: Communicati</w:t>
      </w:r>
      <w:r w:rsidR="001D7C30" w:rsidRPr="008C52E5">
        <w:rPr>
          <w:lang w:val="fr-FR"/>
        </w:rPr>
        <w:t>on et participation</w:t>
      </w:r>
      <w:r w:rsidR="00AA1FD9" w:rsidRPr="008C52E5">
        <w:rPr>
          <w:lang w:val="fr-FR"/>
        </w:rPr>
        <w:t xml:space="preserve"> </w:t>
      </w:r>
    </w:p>
    <w:p w14:paraId="52F5EE08" w14:textId="0C1440F2" w:rsidR="00AA1FD9" w:rsidRPr="008C52E5" w:rsidRDefault="00CB3B9B" w:rsidP="00956108">
      <w:pPr>
        <w:pStyle w:val="CH2"/>
        <w:tabs>
          <w:tab w:val="clear" w:pos="851"/>
        </w:tabs>
        <w:ind w:hanging="680"/>
        <w:rPr>
          <w:lang w:val="fr-FR"/>
        </w:rPr>
      </w:pPr>
      <w:r w:rsidRPr="008C52E5">
        <w:rPr>
          <w:lang w:val="fr-FR"/>
        </w:rPr>
        <w:t>A.</w:t>
      </w:r>
      <w:r w:rsidRPr="008C52E5">
        <w:rPr>
          <w:lang w:val="fr-FR"/>
        </w:rPr>
        <w:tab/>
      </w:r>
      <w:r w:rsidR="001D7C30" w:rsidRPr="008C52E5">
        <w:rPr>
          <w:lang w:val="fr-FR"/>
        </w:rPr>
        <w:t>Produit </w:t>
      </w:r>
      <w:r w:rsidR="00AA1FD9" w:rsidRPr="008C52E5">
        <w:rPr>
          <w:lang w:val="fr-FR"/>
        </w:rPr>
        <w:t>5</w:t>
      </w:r>
      <w:r w:rsidR="001D7C30" w:rsidRPr="008C52E5">
        <w:rPr>
          <w:lang w:val="fr-FR"/>
        </w:rPr>
        <w:t> </w:t>
      </w:r>
      <w:r w:rsidR="00AA1FD9" w:rsidRPr="008C52E5">
        <w:rPr>
          <w:lang w:val="fr-FR"/>
        </w:rPr>
        <w:t>a</w:t>
      </w:r>
      <w:r w:rsidR="00891C9F" w:rsidRPr="008C52E5">
        <w:rPr>
          <w:lang w:val="fr-FR"/>
        </w:rPr>
        <w:t>)</w:t>
      </w:r>
      <w:r w:rsidR="001D7C30" w:rsidRPr="008C52E5">
        <w:rPr>
          <w:lang w:val="fr-FR"/>
        </w:rPr>
        <w:t> </w:t>
      </w:r>
      <w:r w:rsidR="00AA1FD9" w:rsidRPr="008C52E5">
        <w:rPr>
          <w:lang w:val="fr-FR"/>
        </w:rPr>
        <w:t xml:space="preserve">: </w:t>
      </w:r>
      <w:r w:rsidR="002D5D42" w:rsidRPr="008C52E5">
        <w:rPr>
          <w:lang w:val="fr-FR"/>
        </w:rPr>
        <w:t>c</w:t>
      </w:r>
      <w:r w:rsidR="00AA1FD9" w:rsidRPr="008C52E5">
        <w:rPr>
          <w:lang w:val="fr-FR"/>
        </w:rPr>
        <w:t>ommunicati</w:t>
      </w:r>
      <w:r w:rsidR="002D5D42" w:rsidRPr="008C52E5">
        <w:rPr>
          <w:lang w:val="fr-FR"/>
        </w:rPr>
        <w:t>on</w:t>
      </w:r>
      <w:r w:rsidR="001D7C30" w:rsidRPr="008C52E5">
        <w:rPr>
          <w:lang w:val="fr-FR"/>
        </w:rPr>
        <w:t xml:space="preserve"> renforcée</w:t>
      </w:r>
    </w:p>
    <w:p w14:paraId="3FB97CFA" w14:textId="5E734017" w:rsidR="009E6502" w:rsidRPr="008C52E5" w:rsidRDefault="00CB3B9B" w:rsidP="00956108">
      <w:pPr>
        <w:pStyle w:val="CH3"/>
        <w:tabs>
          <w:tab w:val="clear" w:pos="851"/>
        </w:tabs>
        <w:ind w:hanging="680"/>
        <w:rPr>
          <w:rFonts w:eastAsia="SimSun"/>
          <w:lang w:val="fr-FR" w:eastAsia="zh-CN"/>
        </w:rPr>
      </w:pPr>
      <w:r w:rsidRPr="008C52E5">
        <w:rPr>
          <w:rFonts w:eastAsia="SimSun"/>
          <w:lang w:val="fr-FR" w:eastAsia="zh-CN"/>
        </w:rPr>
        <w:t>1.</w:t>
      </w:r>
      <w:r w:rsidRPr="008C52E5">
        <w:rPr>
          <w:rFonts w:eastAsia="SimSun"/>
          <w:lang w:val="fr-FR" w:eastAsia="zh-CN"/>
        </w:rPr>
        <w:tab/>
      </w:r>
      <w:r w:rsidR="00F364A2" w:rsidRPr="008C52E5">
        <w:rPr>
          <w:rFonts w:eastAsia="SimSun"/>
          <w:lang w:val="fr-FR" w:eastAsia="zh-CN"/>
        </w:rPr>
        <w:t>Contexte</w:t>
      </w:r>
    </w:p>
    <w:p w14:paraId="49FC5504" w14:textId="71397893" w:rsidR="009E6502" w:rsidRPr="008C52E5" w:rsidRDefault="00F364A2" w:rsidP="009E6502">
      <w:pPr>
        <w:pStyle w:val="Normalnumber"/>
        <w:numPr>
          <w:ilvl w:val="0"/>
          <w:numId w:val="5"/>
        </w:numPr>
        <w:tabs>
          <w:tab w:val="left" w:pos="1871"/>
          <w:tab w:val="left" w:pos="2495"/>
        </w:tabs>
        <w:ind w:left="1247" w:firstLine="0"/>
        <w:rPr>
          <w:lang w:val="fr-FR"/>
        </w:rPr>
      </w:pPr>
      <w:r w:rsidRPr="008C52E5">
        <w:rPr>
          <w:lang w:val="fr-FR" w:eastAsia="nb-NO"/>
        </w:rPr>
        <w:t>Le premier programme de travail comprenait le produit </w:t>
      </w:r>
      <w:r w:rsidR="009E6502" w:rsidRPr="008C52E5">
        <w:rPr>
          <w:lang w:val="fr-FR"/>
        </w:rPr>
        <w:t>4</w:t>
      </w:r>
      <w:r w:rsidRPr="008C52E5">
        <w:rPr>
          <w:lang w:val="fr-FR"/>
        </w:rPr>
        <w:t> </w:t>
      </w:r>
      <w:r w:rsidR="009E6502" w:rsidRPr="008C52E5">
        <w:rPr>
          <w:lang w:val="fr-FR"/>
        </w:rPr>
        <w:t>d)</w:t>
      </w:r>
      <w:r w:rsidRPr="008C52E5">
        <w:rPr>
          <w:lang w:val="fr-FR"/>
        </w:rPr>
        <w:t> </w:t>
      </w:r>
      <w:r w:rsidR="009E6502" w:rsidRPr="008C52E5">
        <w:rPr>
          <w:lang w:val="fr-FR"/>
        </w:rPr>
        <w:t xml:space="preserve">: </w:t>
      </w:r>
      <w:r w:rsidRPr="008C52E5">
        <w:rPr>
          <w:lang w:val="fr-FR"/>
        </w:rPr>
        <w:t>« Élaborer un ensemble de stratégies, produits et processus de communication, d’information et de participation »</w:t>
      </w:r>
      <w:r w:rsidR="009E6502" w:rsidRPr="008C52E5">
        <w:rPr>
          <w:lang w:val="fr-FR"/>
        </w:rPr>
        <w:t xml:space="preserve">. </w:t>
      </w:r>
    </w:p>
    <w:p w14:paraId="70565E41" w14:textId="1F565943" w:rsidR="009E6502" w:rsidRPr="008C52E5" w:rsidRDefault="00F364A2" w:rsidP="005C1C71">
      <w:pPr>
        <w:pStyle w:val="Normalnumber"/>
        <w:keepNext/>
        <w:keepLines/>
        <w:numPr>
          <w:ilvl w:val="0"/>
          <w:numId w:val="5"/>
        </w:numPr>
        <w:tabs>
          <w:tab w:val="left" w:pos="1871"/>
          <w:tab w:val="left" w:pos="2495"/>
        </w:tabs>
        <w:ind w:left="1247" w:firstLine="0"/>
        <w:rPr>
          <w:lang w:val="fr-FR" w:eastAsia="nb-NO"/>
        </w:rPr>
      </w:pPr>
      <w:r w:rsidRPr="008C52E5">
        <w:rPr>
          <w:lang w:val="fr-FR"/>
        </w:rPr>
        <w:t>Durant le premier programme de travail,</w:t>
      </w:r>
      <w:r w:rsidR="00142E20" w:rsidRPr="008C52E5">
        <w:rPr>
          <w:lang w:val="fr-FR"/>
        </w:rPr>
        <w:t xml:space="preserve"> </w:t>
      </w:r>
      <w:r w:rsidRPr="008C52E5">
        <w:rPr>
          <w:lang w:val="fr-FR"/>
        </w:rPr>
        <w:t>la Plénière</w:t>
      </w:r>
      <w:r w:rsidR="006238B8" w:rsidRPr="008C52E5">
        <w:rPr>
          <w:lang w:val="fr-FR"/>
        </w:rPr>
        <w:t xml:space="preserve"> a</w:t>
      </w:r>
      <w:r w:rsidR="009E6502" w:rsidRPr="008C52E5">
        <w:rPr>
          <w:lang w:val="fr-FR"/>
        </w:rPr>
        <w:t xml:space="preserve">, </w:t>
      </w:r>
      <w:r w:rsidR="00142E20" w:rsidRPr="008C52E5">
        <w:rPr>
          <w:lang w:val="fr-FR"/>
        </w:rPr>
        <w:t xml:space="preserve">dans </w:t>
      </w:r>
      <w:r w:rsidR="006238B8" w:rsidRPr="008C52E5">
        <w:rPr>
          <w:lang w:val="fr-FR"/>
        </w:rPr>
        <w:t>s</w:t>
      </w:r>
      <w:r w:rsidR="00142E20" w:rsidRPr="008C52E5">
        <w:rPr>
          <w:lang w:val="fr-FR"/>
        </w:rPr>
        <w:t>a décision </w:t>
      </w:r>
      <w:r w:rsidR="009E6502" w:rsidRPr="008C52E5">
        <w:rPr>
          <w:lang w:val="fr-FR"/>
        </w:rPr>
        <w:t xml:space="preserve">IPBES-3/4, </w:t>
      </w:r>
      <w:r w:rsidR="000A08D0">
        <w:rPr>
          <w:lang w:val="fr-FR"/>
        </w:rPr>
        <w:t>adopté une </w:t>
      </w:r>
      <w:r w:rsidR="00142E20" w:rsidRPr="008C52E5">
        <w:rPr>
          <w:lang w:val="fr-FR"/>
        </w:rPr>
        <w:t>stratégie de</w:t>
      </w:r>
      <w:r w:rsidR="009E6502" w:rsidRPr="008C52E5">
        <w:rPr>
          <w:kern w:val="14"/>
          <w:lang w:val="fr-FR" w:eastAsia="ja-JP"/>
        </w:rPr>
        <w:t xml:space="preserve"> communication</w:t>
      </w:r>
      <w:r w:rsidR="00142E20" w:rsidRPr="008C52E5">
        <w:rPr>
          <w:kern w:val="14"/>
          <w:lang w:val="fr-FR" w:eastAsia="ja-JP"/>
        </w:rPr>
        <w:t xml:space="preserve"> et de sensibilisation</w:t>
      </w:r>
      <w:r w:rsidR="009E6502" w:rsidRPr="008C52E5">
        <w:rPr>
          <w:rStyle w:val="FootnoteReference"/>
          <w:kern w:val="14"/>
          <w:lang w:val="fr-FR" w:eastAsia="ja-JP"/>
        </w:rPr>
        <w:footnoteReference w:id="18"/>
      </w:r>
      <w:r w:rsidR="00142E20" w:rsidRPr="008C52E5">
        <w:rPr>
          <w:kern w:val="14"/>
          <w:lang w:val="fr-FR" w:eastAsia="ja-JP"/>
        </w:rPr>
        <w:t>.</w:t>
      </w:r>
      <w:r w:rsidR="009E6502" w:rsidRPr="008C52E5">
        <w:rPr>
          <w:kern w:val="14"/>
          <w:lang w:val="fr-FR" w:eastAsia="ja-JP"/>
        </w:rPr>
        <w:t xml:space="preserve"> </w:t>
      </w:r>
      <w:r w:rsidR="00142E20" w:rsidRPr="008C52E5">
        <w:rPr>
          <w:kern w:val="14"/>
          <w:lang w:val="fr-FR" w:eastAsia="ja-JP"/>
        </w:rPr>
        <w:t>Cette stratégie a été mise en œuvre par le secrétariat, sous la direction du Groupe et du Bureau dans le cadre de leurs mandats respectifs</w:t>
      </w:r>
      <w:r w:rsidR="009E6502" w:rsidRPr="008C52E5">
        <w:rPr>
          <w:kern w:val="14"/>
          <w:lang w:val="fr-FR" w:eastAsia="ja-JP"/>
        </w:rPr>
        <w:t xml:space="preserve">. </w:t>
      </w:r>
      <w:r w:rsidR="00F74E19" w:rsidRPr="008C52E5">
        <w:rPr>
          <w:kern w:val="14"/>
          <w:lang w:val="fr-FR" w:eastAsia="ja-JP"/>
        </w:rPr>
        <w:t xml:space="preserve">La mise en œuvre a été axée sur deux domaines d’activité </w:t>
      </w:r>
      <w:r w:rsidR="00E800D9" w:rsidRPr="008C52E5">
        <w:rPr>
          <w:kern w:val="14"/>
          <w:lang w:val="fr-FR" w:eastAsia="ja-JP"/>
        </w:rPr>
        <w:t>fondamentaux</w:t>
      </w:r>
      <w:r w:rsidR="00F74E19" w:rsidRPr="008C52E5">
        <w:rPr>
          <w:kern w:val="14"/>
          <w:lang w:val="fr-FR" w:eastAsia="ja-JP"/>
        </w:rPr>
        <w:t> </w:t>
      </w:r>
      <w:r w:rsidR="009E6502" w:rsidRPr="008C52E5">
        <w:rPr>
          <w:kern w:val="14"/>
          <w:lang w:val="fr-FR" w:eastAsia="ja-JP"/>
        </w:rPr>
        <w:t>:</w:t>
      </w:r>
      <w:r w:rsidR="00F74E19" w:rsidRPr="008C52E5">
        <w:rPr>
          <w:kern w:val="14"/>
          <w:lang w:val="fr-FR" w:eastAsia="ja-JP"/>
        </w:rPr>
        <w:t xml:space="preserve"> la communication </w:t>
      </w:r>
      <w:r w:rsidR="00E800D9" w:rsidRPr="008C52E5">
        <w:rPr>
          <w:kern w:val="14"/>
          <w:lang w:val="fr-FR" w:eastAsia="ja-JP"/>
        </w:rPr>
        <w:t>quotidienne</w:t>
      </w:r>
      <w:r w:rsidR="000A08D0">
        <w:rPr>
          <w:kern w:val="14"/>
          <w:lang w:val="fr-FR" w:eastAsia="ja-JP"/>
        </w:rPr>
        <w:t xml:space="preserve"> et le </w:t>
      </w:r>
      <w:r w:rsidR="00F74E19" w:rsidRPr="008C52E5">
        <w:rPr>
          <w:kern w:val="14"/>
          <w:lang w:val="fr-FR" w:eastAsia="ja-JP"/>
        </w:rPr>
        <w:t>lancement de rapports d’évaluation</w:t>
      </w:r>
      <w:r w:rsidR="009E6502" w:rsidRPr="008C52E5">
        <w:rPr>
          <w:kern w:val="14"/>
          <w:lang w:val="fr-FR" w:eastAsia="ja-JP"/>
        </w:rPr>
        <w:t>.</w:t>
      </w:r>
    </w:p>
    <w:p w14:paraId="3C6AE1B8" w14:textId="1C3CE615" w:rsidR="009E6502" w:rsidRPr="008C52E5" w:rsidRDefault="00A700F2" w:rsidP="009E6502">
      <w:pPr>
        <w:pStyle w:val="Normalnumber"/>
        <w:numPr>
          <w:ilvl w:val="0"/>
          <w:numId w:val="5"/>
        </w:numPr>
        <w:tabs>
          <w:tab w:val="left" w:pos="1871"/>
          <w:tab w:val="left" w:pos="2495"/>
        </w:tabs>
        <w:ind w:left="1247" w:firstLine="0"/>
        <w:rPr>
          <w:lang w:val="fr-FR" w:eastAsia="nb-NO"/>
        </w:rPr>
      </w:pPr>
      <w:r w:rsidRPr="008C52E5">
        <w:rPr>
          <w:kern w:val="14"/>
          <w:lang w:val="fr-FR" w:eastAsia="ja-JP"/>
        </w:rPr>
        <w:t xml:space="preserve">S’agissant de la communication </w:t>
      </w:r>
      <w:r w:rsidR="00D60BCC" w:rsidRPr="008C52E5">
        <w:rPr>
          <w:kern w:val="14"/>
          <w:lang w:val="fr-FR" w:eastAsia="ja-JP"/>
        </w:rPr>
        <w:t>quotidienne</w:t>
      </w:r>
      <w:r w:rsidRPr="008C52E5">
        <w:rPr>
          <w:kern w:val="14"/>
          <w:lang w:val="fr-FR" w:eastAsia="ja-JP"/>
        </w:rPr>
        <w:t>, l’élaboration et l’actualisation de l’identité visuelle</w:t>
      </w:r>
      <w:r w:rsidR="001924C6" w:rsidRPr="008C52E5">
        <w:rPr>
          <w:kern w:val="14"/>
          <w:lang w:val="fr-FR" w:eastAsia="ja-JP"/>
        </w:rPr>
        <w:t>, de l</w:t>
      </w:r>
      <w:r w:rsidR="00F8463B" w:rsidRPr="008C52E5">
        <w:rPr>
          <w:kern w:val="14"/>
          <w:lang w:val="fr-FR" w:eastAsia="ja-JP"/>
        </w:rPr>
        <w:t>a politique d</w:t>
      </w:r>
      <w:r w:rsidR="001924C6" w:rsidRPr="008C52E5">
        <w:rPr>
          <w:kern w:val="14"/>
          <w:lang w:val="fr-FR" w:eastAsia="ja-JP"/>
        </w:rPr>
        <w:t xml:space="preserve">’utilisation </w:t>
      </w:r>
      <w:r w:rsidR="00F8463B" w:rsidRPr="008C52E5">
        <w:rPr>
          <w:kern w:val="14"/>
          <w:lang w:val="fr-FR" w:eastAsia="ja-JP"/>
        </w:rPr>
        <w:t>des</w:t>
      </w:r>
      <w:r w:rsidR="001924C6" w:rsidRPr="008C52E5">
        <w:rPr>
          <w:kern w:val="14"/>
          <w:lang w:val="fr-FR" w:eastAsia="ja-JP"/>
        </w:rPr>
        <w:t xml:space="preserve"> logo</w:t>
      </w:r>
      <w:r w:rsidR="00F8463B" w:rsidRPr="008C52E5">
        <w:rPr>
          <w:kern w:val="14"/>
          <w:lang w:val="fr-FR" w:eastAsia="ja-JP"/>
        </w:rPr>
        <w:t>s</w:t>
      </w:r>
      <w:r w:rsidR="001924C6" w:rsidRPr="008C52E5">
        <w:rPr>
          <w:kern w:val="14"/>
          <w:lang w:val="fr-FR" w:eastAsia="ja-JP"/>
        </w:rPr>
        <w:t xml:space="preserve"> et de la charte graphique</w:t>
      </w:r>
      <w:r w:rsidR="000A08D0">
        <w:rPr>
          <w:kern w:val="14"/>
          <w:lang w:val="fr-FR" w:eastAsia="ja-JP"/>
        </w:rPr>
        <w:t xml:space="preserve"> de la Plateforme a facilité la </w:t>
      </w:r>
      <w:r w:rsidR="001924C6" w:rsidRPr="008C52E5">
        <w:rPr>
          <w:kern w:val="14"/>
          <w:lang w:val="fr-FR" w:eastAsia="ja-JP"/>
        </w:rPr>
        <w:t>production d’un large éventail de</w:t>
      </w:r>
      <w:r w:rsidR="009E6502" w:rsidRPr="008C52E5">
        <w:rPr>
          <w:kern w:val="14"/>
          <w:lang w:val="fr-FR" w:eastAsia="ja-JP"/>
        </w:rPr>
        <w:t xml:space="preserve"> </w:t>
      </w:r>
      <w:r w:rsidR="001924C6" w:rsidRPr="008C52E5">
        <w:rPr>
          <w:kern w:val="14"/>
          <w:lang w:val="fr-FR" w:eastAsia="ja-JP"/>
        </w:rPr>
        <w:t>matériels d’information affichant la marque IPBES ainsi que d’autres matériels électroniques et audiovisuels</w:t>
      </w:r>
      <w:r w:rsidR="009E6502" w:rsidRPr="008C52E5">
        <w:rPr>
          <w:kern w:val="14"/>
          <w:lang w:val="fr-FR" w:eastAsia="ja-JP"/>
        </w:rPr>
        <w:t>.</w:t>
      </w:r>
      <w:r w:rsidR="003622D2" w:rsidRPr="008C52E5">
        <w:rPr>
          <w:kern w:val="14"/>
          <w:lang w:val="fr-FR" w:eastAsia="ja-JP"/>
        </w:rPr>
        <w:t xml:space="preserve"> Renforcés par un nombre accru de produits de communication mis à disposition dans les six langues officielles de l’ONU, les matériels ont été envoyés par le secrétariat pour </w:t>
      </w:r>
      <w:r w:rsidR="00721CDD" w:rsidRPr="008C52E5">
        <w:rPr>
          <w:kern w:val="14"/>
          <w:lang w:val="fr-FR" w:eastAsia="ja-JP"/>
        </w:rPr>
        <w:t>promouvoir</w:t>
      </w:r>
      <w:r w:rsidR="003622D2" w:rsidRPr="008C52E5">
        <w:rPr>
          <w:kern w:val="14"/>
          <w:lang w:val="fr-FR" w:eastAsia="ja-JP"/>
        </w:rPr>
        <w:t xml:space="preserve"> les manifestations et la communication de la Plateforme dans l’ensemble des régions</w:t>
      </w:r>
      <w:r w:rsidR="00BE075A" w:rsidRPr="008C52E5">
        <w:rPr>
          <w:kern w:val="14"/>
          <w:lang w:val="fr-FR" w:eastAsia="ja-JP"/>
        </w:rPr>
        <w:t>, en particulier les manifestations de promotion</w:t>
      </w:r>
      <w:r w:rsidR="00534EF6" w:rsidRPr="008C52E5">
        <w:rPr>
          <w:kern w:val="14"/>
          <w:lang w:val="fr-FR" w:eastAsia="ja-JP"/>
        </w:rPr>
        <w:t xml:space="preserve"> </w:t>
      </w:r>
      <w:r w:rsidR="009E76DD" w:rsidRPr="008C52E5">
        <w:rPr>
          <w:kern w:val="14"/>
          <w:lang w:val="fr-FR" w:eastAsia="ja-JP"/>
        </w:rPr>
        <w:t>et les activités d’association des parties prenantes</w:t>
      </w:r>
      <w:r w:rsidR="009E6502" w:rsidRPr="008C52E5">
        <w:rPr>
          <w:kern w:val="14"/>
          <w:lang w:val="fr-FR" w:eastAsia="ja-JP"/>
        </w:rPr>
        <w:t xml:space="preserve">. </w:t>
      </w:r>
      <w:r w:rsidR="009E76DD" w:rsidRPr="008C52E5">
        <w:rPr>
          <w:kern w:val="14"/>
          <w:lang w:val="fr-FR" w:eastAsia="ja-JP"/>
        </w:rPr>
        <w:t>Une stratégie</w:t>
      </w:r>
      <w:r w:rsidR="00FC62FD" w:rsidRPr="008C52E5">
        <w:rPr>
          <w:kern w:val="14"/>
          <w:lang w:val="fr-FR" w:eastAsia="ja-JP"/>
        </w:rPr>
        <w:t xml:space="preserve"> globale et intégrée en matière de médias sociaux axée sur les audiences prioritaires définies par la Plénière a été élaborée et mise en œuvre avec succès sur cinq des plateformes de réseaux sociaux les plus importantes</w:t>
      </w:r>
      <w:r w:rsidR="009E6502" w:rsidRPr="008C52E5">
        <w:rPr>
          <w:kern w:val="14"/>
          <w:lang w:val="fr-FR" w:eastAsia="ja-JP"/>
        </w:rPr>
        <w:t>.</w:t>
      </w:r>
      <w:r w:rsidR="00D94C0A" w:rsidRPr="008C52E5">
        <w:rPr>
          <w:kern w:val="14"/>
          <w:lang w:val="fr-FR" w:eastAsia="ja-JP"/>
        </w:rPr>
        <w:t xml:space="preserve"> </w:t>
      </w:r>
      <w:r w:rsidR="00721CDD" w:rsidRPr="008C52E5">
        <w:rPr>
          <w:kern w:val="14"/>
          <w:lang w:val="fr-FR" w:eastAsia="ja-JP"/>
        </w:rPr>
        <w:t xml:space="preserve">En plus d’avoir procédé à la refonte du </w:t>
      </w:r>
      <w:r w:rsidR="00CD6670" w:rsidRPr="008C52E5">
        <w:rPr>
          <w:kern w:val="14"/>
          <w:lang w:val="fr-FR" w:eastAsia="ja-JP"/>
        </w:rPr>
        <w:t>site Web de la Plateforme</w:t>
      </w:r>
      <w:r w:rsidR="00054BB3" w:rsidRPr="008C52E5">
        <w:rPr>
          <w:kern w:val="14"/>
          <w:lang w:val="fr-FR" w:eastAsia="ja-JP"/>
        </w:rPr>
        <w:t xml:space="preserve"> </w:t>
      </w:r>
      <w:r w:rsidR="00721CDD" w:rsidRPr="008C52E5">
        <w:rPr>
          <w:kern w:val="14"/>
          <w:lang w:val="fr-FR" w:eastAsia="ja-JP"/>
        </w:rPr>
        <w:t xml:space="preserve">pour </w:t>
      </w:r>
      <w:r w:rsidR="00054BB3" w:rsidRPr="008C52E5">
        <w:rPr>
          <w:kern w:val="14"/>
          <w:lang w:val="fr-FR" w:eastAsia="ja-JP"/>
        </w:rPr>
        <w:t>rendre ce dernier plus moderne et convi</w:t>
      </w:r>
      <w:r w:rsidR="000A08D0">
        <w:rPr>
          <w:kern w:val="14"/>
          <w:lang w:val="fr-FR" w:eastAsia="ja-JP"/>
        </w:rPr>
        <w:t>vial, le secrétariat a conçu et </w:t>
      </w:r>
      <w:r w:rsidR="00054BB3" w:rsidRPr="008C52E5">
        <w:rPr>
          <w:kern w:val="14"/>
          <w:lang w:val="fr-FR" w:eastAsia="ja-JP"/>
        </w:rPr>
        <w:t xml:space="preserve">mis en </w:t>
      </w:r>
      <w:r w:rsidR="007E299A" w:rsidRPr="008C52E5">
        <w:rPr>
          <w:kern w:val="14"/>
          <w:lang w:val="fr-FR" w:eastAsia="ja-JP"/>
        </w:rPr>
        <w:t>place</w:t>
      </w:r>
      <w:r w:rsidR="00054BB3" w:rsidRPr="008C52E5">
        <w:rPr>
          <w:kern w:val="14"/>
          <w:lang w:val="fr-FR" w:eastAsia="ja-JP"/>
        </w:rPr>
        <w:t xml:space="preserve"> une base de données interrogeable par le public </w:t>
      </w:r>
      <w:r w:rsidR="00877B73" w:rsidRPr="008C52E5">
        <w:rPr>
          <w:kern w:val="14"/>
          <w:lang w:val="fr-FR" w:eastAsia="ja-JP"/>
        </w:rPr>
        <w:t xml:space="preserve">sur le suivi des incidences </w:t>
      </w:r>
      <w:r w:rsidR="00054BB3" w:rsidRPr="008C52E5">
        <w:rPr>
          <w:kern w:val="14"/>
          <w:lang w:val="fr-FR" w:eastAsia="ja-JP"/>
        </w:rPr>
        <w:t>afin de collecter des exemples d’incidences de la promotion de la Plateforme à toutes les échelles, dans l’ensemble des régions et pour tous les produits des programmes de travail</w:t>
      </w:r>
      <w:r w:rsidR="009E6502" w:rsidRPr="008C52E5">
        <w:rPr>
          <w:kern w:val="14"/>
          <w:lang w:val="fr-FR" w:eastAsia="ja-JP"/>
        </w:rPr>
        <w:t>.</w:t>
      </w:r>
      <w:r w:rsidR="00054BB3" w:rsidRPr="008C52E5">
        <w:rPr>
          <w:kern w:val="14"/>
          <w:lang w:val="fr-FR" w:eastAsia="ja-JP"/>
        </w:rPr>
        <w:t xml:space="preserve"> Les relations avec les médias font également partie des priorités</w:t>
      </w:r>
      <w:r w:rsidR="009E6502" w:rsidRPr="008C52E5">
        <w:rPr>
          <w:kern w:val="14"/>
          <w:lang w:val="fr-FR" w:eastAsia="ja-JP"/>
        </w:rPr>
        <w:t>,</w:t>
      </w:r>
      <w:r w:rsidR="00054BB3" w:rsidRPr="008C52E5">
        <w:rPr>
          <w:kern w:val="14"/>
          <w:lang w:val="fr-FR" w:eastAsia="ja-JP"/>
        </w:rPr>
        <w:t xml:space="preserve"> une </w:t>
      </w:r>
      <w:r w:rsidR="0034045B" w:rsidRPr="008C52E5">
        <w:rPr>
          <w:kern w:val="14"/>
          <w:lang w:val="fr-FR" w:eastAsia="ja-JP"/>
        </w:rPr>
        <w:t xml:space="preserve">vaste </w:t>
      </w:r>
      <w:r w:rsidR="00054BB3" w:rsidRPr="008C52E5">
        <w:rPr>
          <w:kern w:val="14"/>
          <w:lang w:val="fr-FR" w:eastAsia="ja-JP"/>
        </w:rPr>
        <w:t>base de données</w:t>
      </w:r>
      <w:r w:rsidR="0034045B" w:rsidRPr="008C52E5">
        <w:rPr>
          <w:kern w:val="14"/>
          <w:lang w:val="fr-FR" w:eastAsia="ja-JP"/>
        </w:rPr>
        <w:t xml:space="preserve"> des correspondants médiatiques de la Plateforme ayant été mise en place et tenue à jour</w:t>
      </w:r>
      <w:r w:rsidR="009E6502" w:rsidRPr="008C52E5">
        <w:rPr>
          <w:kern w:val="14"/>
          <w:lang w:val="fr-FR" w:eastAsia="ja-JP"/>
        </w:rPr>
        <w:t xml:space="preserve">. </w:t>
      </w:r>
      <w:r w:rsidR="0034045B" w:rsidRPr="008C52E5">
        <w:rPr>
          <w:kern w:val="14"/>
          <w:lang w:val="fr-FR" w:eastAsia="ja-JP"/>
        </w:rPr>
        <w:t xml:space="preserve">Des outils </w:t>
      </w:r>
      <w:r w:rsidR="00721CDD" w:rsidRPr="008C52E5">
        <w:rPr>
          <w:kern w:val="14"/>
          <w:lang w:val="fr-FR" w:eastAsia="ja-JP"/>
        </w:rPr>
        <w:t>informatiques</w:t>
      </w:r>
      <w:r w:rsidR="001A5B93" w:rsidRPr="008C52E5">
        <w:rPr>
          <w:kern w:val="14"/>
          <w:lang w:val="fr-FR" w:eastAsia="ja-JP"/>
        </w:rPr>
        <w:t>,</w:t>
      </w:r>
      <w:r w:rsidR="009E6502" w:rsidRPr="008C52E5">
        <w:rPr>
          <w:kern w:val="14"/>
          <w:lang w:val="fr-FR" w:eastAsia="ja-JP"/>
        </w:rPr>
        <w:t xml:space="preserve"> </w:t>
      </w:r>
      <w:r w:rsidR="0034045B" w:rsidRPr="008C52E5">
        <w:rPr>
          <w:kern w:val="14"/>
          <w:lang w:val="fr-FR" w:eastAsia="ja-JP"/>
        </w:rPr>
        <w:t>notamment des plateformes de collaboration électronique</w:t>
      </w:r>
      <w:r w:rsidR="00877B73" w:rsidRPr="008C52E5">
        <w:rPr>
          <w:kern w:val="14"/>
          <w:lang w:val="fr-FR" w:eastAsia="ja-JP"/>
        </w:rPr>
        <w:t>s</w:t>
      </w:r>
      <w:r w:rsidR="0034045B" w:rsidRPr="008C52E5">
        <w:rPr>
          <w:kern w:val="14"/>
          <w:lang w:val="fr-FR" w:eastAsia="ja-JP"/>
        </w:rPr>
        <w:t xml:space="preserve">, des conférences en ligne, des services de vidéoconférence, des </w:t>
      </w:r>
      <w:r w:rsidR="009E6502" w:rsidRPr="008C52E5">
        <w:rPr>
          <w:kern w:val="14"/>
          <w:lang w:val="fr-FR" w:eastAsia="ja-JP"/>
        </w:rPr>
        <w:t>applications</w:t>
      </w:r>
      <w:r w:rsidR="0034045B" w:rsidRPr="008C52E5">
        <w:rPr>
          <w:kern w:val="14"/>
          <w:lang w:val="fr-FR" w:eastAsia="ja-JP"/>
        </w:rPr>
        <w:t xml:space="preserve"> pour les manifestations et des services de partage de fic</w:t>
      </w:r>
      <w:r w:rsidR="000A08D0">
        <w:rPr>
          <w:kern w:val="14"/>
          <w:lang w:val="fr-FR" w:eastAsia="ja-JP"/>
        </w:rPr>
        <w:t>hiers, ont également été mis en </w:t>
      </w:r>
      <w:r w:rsidR="0034045B" w:rsidRPr="008C52E5">
        <w:rPr>
          <w:kern w:val="14"/>
          <w:lang w:val="fr-FR" w:eastAsia="ja-JP"/>
        </w:rPr>
        <w:t>place et appuyés afin d’améliorer l’efficacité des travaux du secrétaria</w:t>
      </w:r>
      <w:r w:rsidR="000A08D0">
        <w:rPr>
          <w:kern w:val="14"/>
          <w:lang w:val="fr-FR" w:eastAsia="ja-JP"/>
        </w:rPr>
        <w:t>t, des équipes spéciales et des </w:t>
      </w:r>
      <w:r w:rsidR="0034045B" w:rsidRPr="008C52E5">
        <w:rPr>
          <w:kern w:val="14"/>
          <w:lang w:val="fr-FR" w:eastAsia="ja-JP"/>
        </w:rPr>
        <w:t>groupes d’experts</w:t>
      </w:r>
      <w:r w:rsidR="009E6502" w:rsidRPr="008C52E5">
        <w:rPr>
          <w:kern w:val="14"/>
          <w:lang w:val="fr-FR" w:eastAsia="ja-JP"/>
        </w:rPr>
        <w:t>.</w:t>
      </w:r>
    </w:p>
    <w:p w14:paraId="6B621E4B" w14:textId="2B1D7C2C" w:rsidR="009E6502" w:rsidRPr="008C52E5" w:rsidRDefault="00B40B6C" w:rsidP="009E6502">
      <w:pPr>
        <w:pStyle w:val="Normalnumber"/>
        <w:numPr>
          <w:ilvl w:val="0"/>
          <w:numId w:val="5"/>
        </w:numPr>
        <w:tabs>
          <w:tab w:val="left" w:pos="1871"/>
          <w:tab w:val="left" w:pos="2495"/>
        </w:tabs>
        <w:ind w:left="1247" w:firstLine="0"/>
        <w:rPr>
          <w:lang w:val="fr-FR" w:eastAsia="nb-NO"/>
        </w:rPr>
      </w:pPr>
      <w:r w:rsidRPr="008C52E5">
        <w:rPr>
          <w:kern w:val="14"/>
          <w:lang w:val="fr-FR" w:eastAsia="ja-JP"/>
        </w:rPr>
        <w:t>Sur la base des enseignements tirés des lancements réussis des r</w:t>
      </w:r>
      <w:r w:rsidR="000A08D0">
        <w:rPr>
          <w:kern w:val="14"/>
          <w:lang w:val="fr-FR" w:eastAsia="ja-JP"/>
        </w:rPr>
        <w:t>apports sur la pollinisation et </w:t>
      </w:r>
      <w:r w:rsidRPr="008C52E5">
        <w:rPr>
          <w:kern w:val="14"/>
          <w:lang w:val="fr-FR" w:eastAsia="ja-JP"/>
        </w:rPr>
        <w:t>les scénarios, le secrétariat a élaboré une stratégie détaillée de communication et d’information en trois phases pour chacun de ces rapports, incluant des activités et des ressources pour chaque phase, a</w:t>
      </w:r>
      <w:r w:rsidR="00AE6AD4" w:rsidRPr="008C52E5">
        <w:rPr>
          <w:kern w:val="14"/>
          <w:lang w:val="fr-FR" w:eastAsia="ja-JP"/>
        </w:rPr>
        <w:t>fin de renforcer la portée et la promotion des lancements des rapports d’évaluation</w:t>
      </w:r>
      <w:r w:rsidR="009E6502" w:rsidRPr="008C52E5">
        <w:rPr>
          <w:kern w:val="14"/>
          <w:lang w:val="fr-FR" w:eastAsia="ja-JP"/>
        </w:rPr>
        <w:t xml:space="preserve">. </w:t>
      </w:r>
      <w:r w:rsidRPr="008C52E5">
        <w:rPr>
          <w:kern w:val="14"/>
          <w:lang w:val="fr-FR" w:eastAsia="ja-JP"/>
        </w:rPr>
        <w:t>Les lancements ultérieurs des quatre rapports d’évaluation régionale et du rapport</w:t>
      </w:r>
      <w:r w:rsidR="009E6502" w:rsidRPr="008C52E5">
        <w:rPr>
          <w:kern w:val="14"/>
          <w:lang w:val="fr-FR" w:eastAsia="ja-JP"/>
        </w:rPr>
        <w:t xml:space="preserve"> </w:t>
      </w:r>
      <w:r w:rsidRPr="008C52E5">
        <w:rPr>
          <w:kern w:val="14"/>
          <w:lang w:val="fr-FR" w:eastAsia="ja-JP"/>
        </w:rPr>
        <w:t xml:space="preserve">sur la dégradation et la restauration des terres en 2018 </w:t>
      </w:r>
      <w:r w:rsidR="0032113F" w:rsidRPr="008C52E5">
        <w:rPr>
          <w:kern w:val="14"/>
          <w:lang w:val="fr-FR" w:eastAsia="ja-JP"/>
        </w:rPr>
        <w:t xml:space="preserve">ont vu leur portée dans les médias traditionnels et sociaux augmenter de manière exponentielle, l’intérêt porté à ces rapports ainsi que leur </w:t>
      </w:r>
      <w:r w:rsidR="00877B73" w:rsidRPr="008C52E5">
        <w:rPr>
          <w:kern w:val="14"/>
          <w:lang w:val="fr-FR" w:eastAsia="ja-JP"/>
        </w:rPr>
        <w:t>adoption</w:t>
      </w:r>
      <w:r w:rsidR="0032113F" w:rsidRPr="008C52E5">
        <w:rPr>
          <w:kern w:val="14"/>
          <w:lang w:val="fr-FR" w:eastAsia="ja-JP"/>
        </w:rPr>
        <w:t xml:space="preserve"> ayant été stimulés par plus de 100 manifestations de promotion </w:t>
      </w:r>
      <w:r w:rsidR="00721CDD" w:rsidRPr="008C52E5">
        <w:rPr>
          <w:kern w:val="14"/>
          <w:lang w:val="fr-FR" w:eastAsia="ja-JP"/>
        </w:rPr>
        <w:t xml:space="preserve">menées </w:t>
      </w:r>
      <w:r w:rsidR="008272DD" w:rsidRPr="008C52E5">
        <w:rPr>
          <w:kern w:val="14"/>
          <w:lang w:val="fr-FR" w:eastAsia="ja-JP"/>
        </w:rPr>
        <w:t>en Afrique, dans les Amériques, en Asie et dans le Pacifique, en Europe et en Asie centrale</w:t>
      </w:r>
      <w:r w:rsidR="009E6502" w:rsidRPr="008C52E5">
        <w:rPr>
          <w:kern w:val="14"/>
          <w:lang w:val="fr-FR" w:eastAsia="ja-JP"/>
        </w:rPr>
        <w:t>.</w:t>
      </w:r>
      <w:r w:rsidR="008272DD" w:rsidRPr="008C52E5">
        <w:rPr>
          <w:kern w:val="14"/>
          <w:lang w:val="fr-FR" w:eastAsia="ja-JP"/>
        </w:rPr>
        <w:t xml:space="preserve"> L’établissement de relations </w:t>
      </w:r>
      <w:r w:rsidR="00721CDD" w:rsidRPr="008C52E5">
        <w:rPr>
          <w:kern w:val="14"/>
          <w:lang w:val="fr-FR" w:eastAsia="ja-JP"/>
        </w:rPr>
        <w:t xml:space="preserve">de collaboration </w:t>
      </w:r>
      <w:r w:rsidR="008272DD" w:rsidRPr="008C52E5">
        <w:rPr>
          <w:kern w:val="14"/>
          <w:lang w:val="fr-FR" w:eastAsia="ja-JP"/>
        </w:rPr>
        <w:t>étroites avec les services de communication des partenaires de la Plateforme et des organisations intére</w:t>
      </w:r>
      <w:r w:rsidR="000A08D0">
        <w:rPr>
          <w:kern w:val="14"/>
          <w:lang w:val="fr-FR" w:eastAsia="ja-JP"/>
        </w:rPr>
        <w:t>ssées s’est avéré un </w:t>
      </w:r>
      <w:r w:rsidR="00721CDD" w:rsidRPr="008C52E5">
        <w:rPr>
          <w:kern w:val="14"/>
          <w:lang w:val="fr-FR" w:eastAsia="ja-JP"/>
        </w:rPr>
        <w:t>élément clef</w:t>
      </w:r>
      <w:r w:rsidR="008272DD" w:rsidRPr="008C52E5">
        <w:rPr>
          <w:kern w:val="14"/>
          <w:lang w:val="fr-FR" w:eastAsia="ja-JP"/>
        </w:rPr>
        <w:t xml:space="preserve"> de la réussite de la stratégie, ayant</w:t>
      </w:r>
      <w:r w:rsidR="002B3428" w:rsidRPr="008C52E5">
        <w:rPr>
          <w:kern w:val="14"/>
          <w:lang w:val="fr-FR" w:eastAsia="ja-JP"/>
        </w:rPr>
        <w:t xml:space="preserve"> ensuite</w:t>
      </w:r>
      <w:r w:rsidR="008272DD" w:rsidRPr="008C52E5">
        <w:rPr>
          <w:kern w:val="14"/>
          <w:lang w:val="fr-FR" w:eastAsia="ja-JP"/>
        </w:rPr>
        <w:t xml:space="preserve"> facilité la </w:t>
      </w:r>
      <w:r w:rsidR="000D1058" w:rsidRPr="008C52E5">
        <w:rPr>
          <w:kern w:val="14"/>
          <w:lang w:val="fr-FR" w:eastAsia="ja-JP"/>
        </w:rPr>
        <w:t>diffusion</w:t>
      </w:r>
      <w:r w:rsidR="000A08D0">
        <w:rPr>
          <w:kern w:val="14"/>
          <w:lang w:val="fr-FR" w:eastAsia="ja-JP"/>
        </w:rPr>
        <w:t xml:space="preserve"> des messages de la </w:t>
      </w:r>
      <w:r w:rsidR="008272DD" w:rsidRPr="008C52E5">
        <w:rPr>
          <w:kern w:val="14"/>
          <w:lang w:val="fr-FR" w:eastAsia="ja-JP"/>
        </w:rPr>
        <w:t>Plateforme</w:t>
      </w:r>
      <w:r w:rsidR="009E6502" w:rsidRPr="008C52E5">
        <w:rPr>
          <w:kern w:val="14"/>
          <w:lang w:val="fr-FR" w:eastAsia="ja-JP"/>
        </w:rPr>
        <w:t>.</w:t>
      </w:r>
    </w:p>
    <w:p w14:paraId="2E3103E8" w14:textId="32AB84AB" w:rsidR="009E6502" w:rsidRPr="008C52E5" w:rsidRDefault="002D7DF3" w:rsidP="009E6502">
      <w:pPr>
        <w:pStyle w:val="Normalnumber"/>
        <w:numPr>
          <w:ilvl w:val="0"/>
          <w:numId w:val="5"/>
        </w:numPr>
        <w:tabs>
          <w:tab w:val="left" w:pos="1871"/>
          <w:tab w:val="left" w:pos="2495"/>
        </w:tabs>
        <w:ind w:left="1247" w:firstLine="0"/>
        <w:rPr>
          <w:lang w:val="fr-FR"/>
        </w:rPr>
      </w:pPr>
      <w:r w:rsidRPr="008C52E5">
        <w:rPr>
          <w:lang w:val="fr-FR"/>
        </w:rPr>
        <w:t>Le produit </w:t>
      </w:r>
      <w:r w:rsidR="009E6502" w:rsidRPr="008C52E5">
        <w:rPr>
          <w:lang w:val="fr-FR"/>
        </w:rPr>
        <w:t>5</w:t>
      </w:r>
      <w:r w:rsidRPr="008C52E5">
        <w:rPr>
          <w:lang w:val="fr-FR"/>
        </w:rPr>
        <w:t> </w:t>
      </w:r>
      <w:r w:rsidR="009E6502" w:rsidRPr="008C52E5">
        <w:rPr>
          <w:lang w:val="fr-FR"/>
        </w:rPr>
        <w:t>a</w:t>
      </w:r>
      <w:r w:rsidR="00324323" w:rsidRPr="008C52E5">
        <w:rPr>
          <w:lang w:val="fr-FR"/>
        </w:rPr>
        <w:t>)</w:t>
      </w:r>
      <w:r w:rsidR="00E05772" w:rsidRPr="008C52E5">
        <w:rPr>
          <w:lang w:val="fr-FR"/>
        </w:rPr>
        <w:t xml:space="preserve"> </w:t>
      </w:r>
      <w:r w:rsidRPr="008C52E5">
        <w:rPr>
          <w:lang w:val="fr-FR"/>
        </w:rPr>
        <w:t xml:space="preserve">comprendra des activités visant à </w:t>
      </w:r>
      <w:r w:rsidR="00721CDD" w:rsidRPr="008C52E5">
        <w:rPr>
          <w:lang w:val="fr-FR"/>
        </w:rPr>
        <w:t xml:space="preserve">continuer de mettre </w:t>
      </w:r>
      <w:r w:rsidR="000A08D0">
        <w:rPr>
          <w:lang w:val="fr-FR"/>
        </w:rPr>
        <w:t>en œuvre la stratégie de </w:t>
      </w:r>
      <w:r w:rsidRPr="008C52E5">
        <w:rPr>
          <w:lang w:val="fr-FR"/>
        </w:rPr>
        <w:t>communication et d’information de la Plateforme</w:t>
      </w:r>
      <w:r w:rsidR="009E6502" w:rsidRPr="008C52E5">
        <w:rPr>
          <w:lang w:val="fr-FR"/>
        </w:rPr>
        <w:t>.</w:t>
      </w:r>
      <w:r w:rsidRPr="008C52E5">
        <w:rPr>
          <w:lang w:val="fr-FR"/>
        </w:rPr>
        <w:t xml:space="preserve"> </w:t>
      </w:r>
      <w:bookmarkStart w:id="11" w:name="_Hlk2679130"/>
      <w:r w:rsidRPr="008C52E5">
        <w:rPr>
          <w:lang w:val="fr-FR"/>
        </w:rPr>
        <w:t>Parmi les domaines d’intervention spécifiques</w:t>
      </w:r>
      <w:r w:rsidR="000D44D9" w:rsidRPr="008C52E5">
        <w:rPr>
          <w:lang w:val="fr-FR"/>
        </w:rPr>
        <w:t xml:space="preserve"> appelant des améliorations</w:t>
      </w:r>
      <w:r w:rsidRPr="008C52E5">
        <w:rPr>
          <w:lang w:val="fr-FR"/>
        </w:rPr>
        <w:t xml:space="preserve"> figureront </w:t>
      </w:r>
      <w:bookmarkEnd w:id="11"/>
      <w:r w:rsidRPr="008C52E5">
        <w:rPr>
          <w:lang w:val="fr-FR"/>
        </w:rPr>
        <w:t xml:space="preserve">la sensibilisation concernant toutes les fonctions de la Plateforme, une utilisation élargie, dans la mesure du </w:t>
      </w:r>
      <w:r w:rsidR="003534E9">
        <w:rPr>
          <w:lang w:val="fr-FR"/>
        </w:rPr>
        <w:t>possible, de l’ensemble des six </w:t>
      </w:r>
      <w:r w:rsidRPr="008C52E5">
        <w:rPr>
          <w:lang w:val="fr-FR"/>
        </w:rPr>
        <w:t xml:space="preserve">langues officielles de l’ONU et une collaboration plus étroite avec les partenaires et les organisations intéressées afin de communiquer </w:t>
      </w:r>
      <w:r w:rsidR="006D6658" w:rsidRPr="008C52E5">
        <w:rPr>
          <w:lang w:val="fr-FR"/>
        </w:rPr>
        <w:t>certains</w:t>
      </w:r>
      <w:r w:rsidRPr="008C52E5">
        <w:rPr>
          <w:lang w:val="fr-FR"/>
        </w:rPr>
        <w:t xml:space="preserve"> éléments des résultats de la Plateforme dans des formats mieux adaptés à chaque audience</w:t>
      </w:r>
      <w:r w:rsidR="00721CDD" w:rsidRPr="008C52E5">
        <w:rPr>
          <w:lang w:val="fr-FR"/>
        </w:rPr>
        <w:t>.</w:t>
      </w:r>
    </w:p>
    <w:p w14:paraId="296F9B0C" w14:textId="5FB038DD" w:rsidR="009E6502" w:rsidRPr="008C52E5" w:rsidRDefault="006D6658" w:rsidP="009E6502">
      <w:pPr>
        <w:pStyle w:val="Normalnumber"/>
        <w:numPr>
          <w:ilvl w:val="0"/>
          <w:numId w:val="5"/>
        </w:numPr>
        <w:tabs>
          <w:tab w:val="left" w:pos="1871"/>
          <w:tab w:val="left" w:pos="2495"/>
        </w:tabs>
        <w:ind w:left="1247" w:firstLine="0"/>
        <w:rPr>
          <w:lang w:val="fr-FR" w:eastAsia="en-GB"/>
        </w:rPr>
      </w:pPr>
      <w:r w:rsidRPr="008C52E5">
        <w:rPr>
          <w:lang w:val="fr-FR" w:eastAsia="en-GB"/>
        </w:rPr>
        <w:t xml:space="preserve">Un aperçu des travaux entrepris depuis la sixième session de la Plénière ainsi que les mesures proposées pour 2019 et 2020 </w:t>
      </w:r>
      <w:r w:rsidR="003534E9">
        <w:rPr>
          <w:lang w:val="fr-FR" w:eastAsia="en-GB"/>
        </w:rPr>
        <w:t>sont présentés dans le document </w:t>
      </w:r>
      <w:r w:rsidR="009E6502" w:rsidRPr="008C52E5">
        <w:rPr>
          <w:lang w:val="fr-FR" w:eastAsia="en-GB"/>
        </w:rPr>
        <w:t>IPBES/7/INF/14.</w:t>
      </w:r>
      <w:r w:rsidR="00D726B1" w:rsidRPr="008C52E5">
        <w:rPr>
          <w:lang w:val="fr-FR" w:eastAsia="en-GB"/>
        </w:rPr>
        <w:t xml:space="preserve"> </w:t>
      </w:r>
    </w:p>
    <w:p w14:paraId="399BE4F1" w14:textId="56A6D37B" w:rsidR="00632BED" w:rsidRPr="008C52E5" w:rsidRDefault="00CB3B9B" w:rsidP="00956108">
      <w:pPr>
        <w:pStyle w:val="CH3"/>
        <w:tabs>
          <w:tab w:val="clear" w:pos="851"/>
        </w:tabs>
        <w:ind w:hanging="680"/>
        <w:rPr>
          <w:lang w:val="fr-FR"/>
        </w:rPr>
      </w:pPr>
      <w:r w:rsidRPr="008C52E5">
        <w:rPr>
          <w:rFonts w:eastAsia="SimSun"/>
          <w:lang w:val="fr-FR" w:eastAsia="zh-CN"/>
        </w:rPr>
        <w:t>2.</w:t>
      </w:r>
      <w:r w:rsidRPr="008C52E5">
        <w:rPr>
          <w:rFonts w:eastAsia="SimSun"/>
          <w:lang w:val="fr-FR" w:eastAsia="zh-CN"/>
        </w:rPr>
        <w:tab/>
      </w:r>
      <w:r w:rsidR="006D6658" w:rsidRPr="008C52E5">
        <w:rPr>
          <w:rFonts w:eastAsia="SimSun"/>
          <w:lang w:val="fr-FR" w:eastAsia="zh-CN"/>
        </w:rPr>
        <w:t>Hypothèses et dispositions institutionnelles</w:t>
      </w:r>
    </w:p>
    <w:p w14:paraId="2CAAB344" w14:textId="207134B0" w:rsidR="0072452F" w:rsidRPr="008C52E5" w:rsidRDefault="006D6658" w:rsidP="009E6502">
      <w:pPr>
        <w:pStyle w:val="Normalnumber"/>
        <w:numPr>
          <w:ilvl w:val="0"/>
          <w:numId w:val="5"/>
        </w:numPr>
        <w:tabs>
          <w:tab w:val="left" w:pos="1871"/>
          <w:tab w:val="left" w:pos="2495"/>
        </w:tabs>
        <w:ind w:left="1247" w:firstLine="0"/>
        <w:rPr>
          <w:lang w:val="fr-FR"/>
        </w:rPr>
      </w:pPr>
      <w:r w:rsidRPr="008C52E5">
        <w:rPr>
          <w:lang w:val="fr-FR"/>
        </w:rPr>
        <w:t xml:space="preserve">On suppose que le secrétariat coordonnera </w:t>
      </w:r>
      <w:r w:rsidR="00721CDD" w:rsidRPr="008C52E5">
        <w:rPr>
          <w:lang w:val="fr-FR"/>
        </w:rPr>
        <w:t xml:space="preserve">l’exécution </w:t>
      </w:r>
      <w:r w:rsidRPr="008C52E5">
        <w:rPr>
          <w:lang w:val="fr-FR"/>
        </w:rPr>
        <w:t>du produit </w:t>
      </w:r>
      <w:r w:rsidR="00E654B0" w:rsidRPr="008C52E5">
        <w:rPr>
          <w:lang w:val="fr-FR"/>
        </w:rPr>
        <w:t>5</w:t>
      </w:r>
      <w:r w:rsidRPr="008C52E5">
        <w:rPr>
          <w:lang w:val="fr-FR"/>
        </w:rPr>
        <w:t> </w:t>
      </w:r>
      <w:r w:rsidR="00E654B0" w:rsidRPr="008C52E5">
        <w:rPr>
          <w:lang w:val="fr-FR"/>
        </w:rPr>
        <w:t>a</w:t>
      </w:r>
      <w:r w:rsidR="00324323" w:rsidRPr="008C52E5">
        <w:rPr>
          <w:lang w:val="fr-FR"/>
        </w:rPr>
        <w:t>)</w:t>
      </w:r>
      <w:r w:rsidR="00721CDD" w:rsidRPr="008C52E5">
        <w:rPr>
          <w:lang w:val="fr-FR"/>
        </w:rPr>
        <w:t xml:space="preserve"> en</w:t>
      </w:r>
      <w:r w:rsidR="00E654B0" w:rsidRPr="008C52E5">
        <w:rPr>
          <w:lang w:val="fr-FR"/>
        </w:rPr>
        <w:t xml:space="preserve"> </w:t>
      </w:r>
      <w:r w:rsidRPr="008C52E5">
        <w:rPr>
          <w:lang w:val="fr-FR"/>
        </w:rPr>
        <w:t>se chargeant</w:t>
      </w:r>
      <w:r w:rsidR="00E654B0" w:rsidRPr="008C52E5">
        <w:rPr>
          <w:lang w:val="fr-FR"/>
        </w:rPr>
        <w:t xml:space="preserve">, </w:t>
      </w:r>
      <w:r w:rsidRPr="008C52E5">
        <w:rPr>
          <w:lang w:val="fr-FR"/>
        </w:rPr>
        <w:t xml:space="preserve">sous la supervision du Bureau </w:t>
      </w:r>
      <w:r w:rsidR="00721CDD" w:rsidRPr="008C52E5">
        <w:rPr>
          <w:lang w:val="fr-FR"/>
        </w:rPr>
        <w:t xml:space="preserve">et grâce aux contributions actives de ce dernier </w:t>
      </w:r>
      <w:r w:rsidRPr="008C52E5">
        <w:rPr>
          <w:lang w:val="fr-FR"/>
        </w:rPr>
        <w:t xml:space="preserve">ainsi qu’avec la participation active du Groupe, de la communication, en particulier </w:t>
      </w:r>
      <w:r w:rsidR="00721CDD" w:rsidRPr="008C52E5">
        <w:rPr>
          <w:lang w:val="fr-FR"/>
        </w:rPr>
        <w:t xml:space="preserve">en ce qui concerne </w:t>
      </w:r>
      <w:r w:rsidR="000A08D0">
        <w:rPr>
          <w:lang w:val="fr-FR"/>
        </w:rPr>
        <w:t>les questions scientifiques et </w:t>
      </w:r>
      <w:r w:rsidRPr="008C52E5">
        <w:rPr>
          <w:lang w:val="fr-FR"/>
        </w:rPr>
        <w:t xml:space="preserve">la participation des communautés d’experts, </w:t>
      </w:r>
      <w:r w:rsidR="00B101AE" w:rsidRPr="008C52E5">
        <w:rPr>
          <w:lang w:val="fr-FR"/>
        </w:rPr>
        <w:t xml:space="preserve">compte </w:t>
      </w:r>
      <w:r w:rsidR="00721CDD" w:rsidRPr="008C52E5">
        <w:rPr>
          <w:lang w:val="fr-FR"/>
        </w:rPr>
        <w:t xml:space="preserve">tenu </w:t>
      </w:r>
      <w:r w:rsidR="00B101AE" w:rsidRPr="008C52E5">
        <w:rPr>
          <w:lang w:val="fr-FR"/>
        </w:rPr>
        <w:t>de la démarche multidisciplinaire de la Plateforme</w:t>
      </w:r>
      <w:r w:rsidR="0072452F" w:rsidRPr="008C52E5">
        <w:rPr>
          <w:lang w:val="fr-FR"/>
        </w:rPr>
        <w:t>.</w:t>
      </w:r>
      <w:r w:rsidR="00B101AE" w:rsidRPr="008C52E5">
        <w:rPr>
          <w:lang w:val="fr-FR"/>
        </w:rPr>
        <w:t xml:space="preserve"> Le produit nécessitera une coopération avec des partenair</w:t>
      </w:r>
      <w:r w:rsidR="000A08D0">
        <w:rPr>
          <w:lang w:val="fr-FR"/>
        </w:rPr>
        <w:t>es, notamment des médias et des </w:t>
      </w:r>
      <w:r w:rsidR="00B101AE" w:rsidRPr="008C52E5">
        <w:rPr>
          <w:lang w:val="fr-FR"/>
        </w:rPr>
        <w:t>agences de communication externes</w:t>
      </w:r>
      <w:r w:rsidR="0072452F" w:rsidRPr="008C52E5">
        <w:rPr>
          <w:lang w:val="fr-FR"/>
        </w:rPr>
        <w:t>.</w:t>
      </w:r>
    </w:p>
    <w:p w14:paraId="2BABF6A5" w14:textId="56255C63" w:rsidR="003C0477" w:rsidRPr="008C52E5" w:rsidRDefault="00CB3B9B" w:rsidP="005C1C71">
      <w:pPr>
        <w:pStyle w:val="CH3"/>
        <w:tabs>
          <w:tab w:val="clear" w:pos="851"/>
        </w:tabs>
        <w:ind w:hanging="680"/>
        <w:rPr>
          <w:rFonts w:eastAsia="SimSun"/>
          <w:lang w:val="fr-FR" w:eastAsia="zh-CN"/>
        </w:rPr>
      </w:pPr>
      <w:r w:rsidRPr="008C52E5">
        <w:rPr>
          <w:rFonts w:eastAsia="SimSun"/>
          <w:lang w:val="fr-FR" w:eastAsia="zh-CN"/>
        </w:rPr>
        <w:t>3.</w:t>
      </w:r>
      <w:r w:rsidRPr="008C52E5">
        <w:rPr>
          <w:rFonts w:eastAsia="SimSun"/>
          <w:lang w:val="fr-FR" w:eastAsia="zh-CN"/>
        </w:rPr>
        <w:tab/>
      </w:r>
      <w:r w:rsidR="00B101AE" w:rsidRPr="008C52E5">
        <w:rPr>
          <w:rFonts w:eastAsia="SimSun"/>
          <w:lang w:val="fr-FR" w:eastAsia="zh-CN"/>
        </w:rPr>
        <w:t>Réunions et étapes intermédiaires</w:t>
      </w:r>
      <w:r w:rsidR="003C0477" w:rsidRPr="008C52E5">
        <w:rPr>
          <w:rFonts w:eastAsia="SimSun"/>
          <w:lang w:val="fr-FR" w:eastAsia="zh-CN"/>
        </w:rPr>
        <w:t xml:space="preserve"> </w:t>
      </w:r>
    </w:p>
    <w:p w14:paraId="7F21E198" w14:textId="0CB297C4" w:rsidR="00913913" w:rsidRPr="008C52E5" w:rsidRDefault="00B101AE" w:rsidP="005C1C71">
      <w:pPr>
        <w:pStyle w:val="Normalnumber"/>
        <w:keepNext/>
        <w:keepLines/>
        <w:numPr>
          <w:ilvl w:val="0"/>
          <w:numId w:val="5"/>
        </w:numPr>
        <w:tabs>
          <w:tab w:val="left" w:pos="1871"/>
          <w:tab w:val="left" w:pos="2495"/>
        </w:tabs>
        <w:ind w:left="1247" w:firstLine="0"/>
        <w:rPr>
          <w:lang w:val="fr-FR"/>
        </w:rPr>
      </w:pPr>
      <w:r w:rsidRPr="008C52E5">
        <w:rPr>
          <w:lang w:val="fr-FR"/>
        </w:rPr>
        <w:t xml:space="preserve">Un aperçu des </w:t>
      </w:r>
      <w:r w:rsidR="00721CDD" w:rsidRPr="008C52E5">
        <w:rPr>
          <w:lang w:val="fr-FR"/>
        </w:rPr>
        <w:t>activités</w:t>
      </w:r>
      <w:r w:rsidRPr="008C52E5">
        <w:rPr>
          <w:lang w:val="fr-FR"/>
        </w:rPr>
        <w:t xml:space="preserve"> à mener </w:t>
      </w:r>
      <w:r w:rsidR="00721CDD" w:rsidRPr="008C52E5">
        <w:rPr>
          <w:lang w:val="fr-FR"/>
        </w:rPr>
        <w:t xml:space="preserve">au titre </w:t>
      </w:r>
      <w:r w:rsidRPr="008C52E5">
        <w:rPr>
          <w:lang w:val="fr-FR"/>
        </w:rPr>
        <w:t xml:space="preserve">de ce produit est présenté ci-après. Un projet de budget </w:t>
      </w:r>
      <w:r w:rsidR="00721CDD" w:rsidRPr="008C52E5">
        <w:rPr>
          <w:lang w:val="fr-FR"/>
        </w:rPr>
        <w:t xml:space="preserve">correspondant </w:t>
      </w:r>
      <w:r w:rsidRPr="008C52E5">
        <w:rPr>
          <w:lang w:val="fr-FR"/>
        </w:rPr>
        <w:t>figure dans le tableau</w:t>
      </w:r>
      <w:r w:rsidR="0070164D" w:rsidRPr="008C52E5">
        <w:rPr>
          <w:lang w:val="fr-FR"/>
        </w:rPr>
        <w:t> A-13</w:t>
      </w:r>
      <w:r w:rsidRPr="008C52E5">
        <w:rPr>
          <w:lang w:val="fr-FR"/>
        </w:rPr>
        <w:t xml:space="preserve"> dans l’annexe </w:t>
      </w:r>
      <w:r w:rsidR="00721CDD" w:rsidRPr="008C52E5">
        <w:rPr>
          <w:lang w:val="fr-FR"/>
        </w:rPr>
        <w:t>d</w:t>
      </w:r>
      <w:r w:rsidR="003534E9">
        <w:rPr>
          <w:lang w:val="fr-FR"/>
        </w:rPr>
        <w:t>u document </w:t>
      </w:r>
      <w:r w:rsidR="003C0477" w:rsidRPr="008C52E5">
        <w:rPr>
          <w:lang w:val="fr-FR"/>
        </w:rPr>
        <w:t>IPBES/7/4.</w:t>
      </w:r>
      <w:r w:rsidR="00964E9B" w:rsidRPr="008C52E5">
        <w:rPr>
          <w:lang w:val="fr-FR"/>
        </w:rPr>
        <w:t xml:space="preserve"> </w:t>
      </w:r>
    </w:p>
    <w:p w14:paraId="103D79F7" w14:textId="234F230D" w:rsidR="00913913" w:rsidRPr="008C52E5" w:rsidRDefault="00913913" w:rsidP="005C1C71">
      <w:pPr>
        <w:keepNext/>
        <w:keepLines/>
        <w:spacing w:after="0" w:line="240" w:lineRule="auto"/>
        <w:rPr>
          <w:rFonts w:ascii="Times New Roman" w:eastAsia="Times New Roman" w:hAnsi="Times New Roman"/>
          <w:sz w:val="20"/>
          <w:szCs w:val="20"/>
          <w:lang w:val="fr-FR"/>
        </w:rPr>
      </w:pPr>
    </w:p>
    <w:tbl>
      <w:tblPr>
        <w:tblW w:w="8352" w:type="dxa"/>
        <w:tblInd w:w="1248" w:type="dxa"/>
        <w:tblLook w:val="04A0" w:firstRow="1" w:lastRow="0" w:firstColumn="1" w:lastColumn="0" w:noHBand="0" w:noVBand="1"/>
      </w:tblPr>
      <w:tblGrid>
        <w:gridCol w:w="1236"/>
        <w:gridCol w:w="7116"/>
      </w:tblGrid>
      <w:tr w:rsidR="003C0477" w:rsidRPr="008C52E5" w14:paraId="36354873" w14:textId="77777777" w:rsidTr="00913913">
        <w:trPr>
          <w:trHeight w:val="233"/>
          <w:tblHeader/>
        </w:trPr>
        <w:tc>
          <w:tcPr>
            <w:tcW w:w="1236" w:type="dxa"/>
            <w:tcBorders>
              <w:top w:val="single" w:sz="4" w:space="0" w:color="auto"/>
              <w:bottom w:val="single" w:sz="12" w:space="0" w:color="auto"/>
            </w:tcBorders>
            <w:shd w:val="clear" w:color="auto" w:fill="auto"/>
            <w:vAlign w:val="center"/>
          </w:tcPr>
          <w:p w14:paraId="51D87343" w14:textId="0C7F18A1" w:rsidR="003C0477" w:rsidRPr="008C52E5" w:rsidDel="003F5A7B" w:rsidRDefault="005749B6" w:rsidP="005C1C71">
            <w:pPr>
              <w:pStyle w:val="Normal-pool"/>
              <w:keepNext/>
              <w:keepLines/>
              <w:spacing w:before="40" w:after="40"/>
              <w:jc w:val="center"/>
              <w:rPr>
                <w:rFonts w:eastAsia="SimSun"/>
                <w:sz w:val="18"/>
                <w:szCs w:val="18"/>
                <w:lang w:val="fr-FR" w:eastAsia="zh-CN"/>
              </w:rPr>
            </w:pPr>
            <w:r w:rsidRPr="008C52E5">
              <w:rPr>
                <w:rFonts w:eastAsia="SimSun"/>
                <w:i/>
                <w:sz w:val="18"/>
                <w:szCs w:val="18"/>
                <w:lang w:val="fr-FR" w:eastAsia="zh-CN"/>
              </w:rPr>
              <w:t>Calendrier</w:t>
            </w:r>
          </w:p>
        </w:tc>
        <w:tc>
          <w:tcPr>
            <w:tcW w:w="7116" w:type="dxa"/>
            <w:tcBorders>
              <w:top w:val="single" w:sz="4" w:space="0" w:color="auto"/>
              <w:bottom w:val="single" w:sz="12" w:space="0" w:color="auto"/>
            </w:tcBorders>
            <w:shd w:val="clear" w:color="auto" w:fill="auto"/>
            <w:vAlign w:val="center"/>
          </w:tcPr>
          <w:p w14:paraId="77CAB2AB" w14:textId="69DA94B0" w:rsidR="003C0477" w:rsidRPr="008C52E5" w:rsidDel="000C28ED" w:rsidRDefault="005749B6" w:rsidP="005C1C71">
            <w:pPr>
              <w:pStyle w:val="Normal-pool"/>
              <w:keepNext/>
              <w:keepLines/>
              <w:spacing w:before="40" w:after="40"/>
              <w:rPr>
                <w:rFonts w:eastAsia="SimSun"/>
                <w:sz w:val="18"/>
                <w:szCs w:val="18"/>
                <w:lang w:val="fr-FR" w:eastAsia="zh-CN"/>
              </w:rPr>
            </w:pPr>
            <w:r w:rsidRPr="008C52E5">
              <w:rPr>
                <w:rFonts w:eastAsia="SimSun"/>
                <w:i/>
                <w:sz w:val="18"/>
                <w:szCs w:val="18"/>
                <w:lang w:val="fr-FR" w:eastAsia="zh-CN"/>
              </w:rPr>
              <w:t>Réunions et étapes intermédiaires</w:t>
            </w:r>
          </w:p>
        </w:tc>
      </w:tr>
      <w:tr w:rsidR="00353392" w:rsidRPr="0082513F" w14:paraId="37CA85EF" w14:textId="77777777" w:rsidTr="00913913">
        <w:trPr>
          <w:trHeight w:val="181"/>
        </w:trPr>
        <w:tc>
          <w:tcPr>
            <w:tcW w:w="1236" w:type="dxa"/>
            <w:vMerge w:val="restart"/>
            <w:tcBorders>
              <w:top w:val="single" w:sz="12" w:space="0" w:color="auto"/>
              <w:bottom w:val="single" w:sz="12" w:space="0" w:color="auto"/>
            </w:tcBorders>
            <w:shd w:val="clear" w:color="auto" w:fill="auto"/>
            <w:vAlign w:val="center"/>
          </w:tcPr>
          <w:p w14:paraId="35294735" w14:textId="7E1BC705" w:rsidR="00353392" w:rsidRPr="008C52E5" w:rsidRDefault="00B90361" w:rsidP="00E9285A">
            <w:pPr>
              <w:pStyle w:val="Normal-pool"/>
              <w:spacing w:before="40" w:after="40"/>
              <w:jc w:val="center"/>
              <w:rPr>
                <w:rFonts w:eastAsia="SimSun"/>
                <w:sz w:val="18"/>
                <w:szCs w:val="18"/>
                <w:lang w:val="fr-FR" w:eastAsia="zh-CN"/>
              </w:rPr>
            </w:pPr>
            <w:r w:rsidRPr="008C52E5">
              <w:rPr>
                <w:rFonts w:eastAsia="SimSun"/>
                <w:sz w:val="18"/>
                <w:szCs w:val="18"/>
                <w:lang w:val="fr-FR" w:eastAsia="zh-CN"/>
              </w:rPr>
              <w:t>Annu</w:t>
            </w:r>
            <w:r w:rsidR="005749B6" w:rsidRPr="008C52E5">
              <w:rPr>
                <w:rFonts w:eastAsia="SimSun"/>
                <w:sz w:val="18"/>
                <w:szCs w:val="18"/>
                <w:lang w:val="fr-FR" w:eastAsia="zh-CN"/>
              </w:rPr>
              <w:t>ellement</w:t>
            </w:r>
          </w:p>
        </w:tc>
        <w:tc>
          <w:tcPr>
            <w:tcW w:w="7116" w:type="dxa"/>
            <w:tcBorders>
              <w:top w:val="single" w:sz="12" w:space="0" w:color="auto"/>
            </w:tcBorders>
            <w:shd w:val="clear" w:color="auto" w:fill="auto"/>
          </w:tcPr>
          <w:p w14:paraId="0B9D9785" w14:textId="0B1AC37D" w:rsidR="00353392" w:rsidRPr="008C52E5" w:rsidRDefault="00B0724A" w:rsidP="00E9285A">
            <w:pPr>
              <w:pStyle w:val="Normal-pool"/>
              <w:spacing w:before="40" w:after="40"/>
              <w:rPr>
                <w:rFonts w:eastAsia="SimSun"/>
                <w:sz w:val="18"/>
                <w:szCs w:val="18"/>
                <w:lang w:val="fr-FR" w:eastAsia="zh-CN"/>
              </w:rPr>
            </w:pPr>
            <w:r w:rsidRPr="008C52E5">
              <w:rPr>
                <w:sz w:val="18"/>
                <w:szCs w:val="18"/>
                <w:lang w:val="fr-FR"/>
              </w:rPr>
              <w:t xml:space="preserve">Appui </w:t>
            </w:r>
            <w:r w:rsidR="00721CDD" w:rsidRPr="008C52E5">
              <w:rPr>
                <w:sz w:val="18"/>
                <w:szCs w:val="18"/>
                <w:lang w:val="fr-FR"/>
              </w:rPr>
              <w:t>dans le domaine</w:t>
            </w:r>
            <w:r w:rsidRPr="008C52E5">
              <w:rPr>
                <w:sz w:val="18"/>
                <w:szCs w:val="18"/>
                <w:lang w:val="fr-FR"/>
              </w:rPr>
              <w:t xml:space="preserve"> </w:t>
            </w:r>
            <w:r w:rsidR="00721CDD" w:rsidRPr="008C52E5">
              <w:rPr>
                <w:sz w:val="18"/>
                <w:szCs w:val="18"/>
                <w:lang w:val="fr-FR"/>
              </w:rPr>
              <w:t>de l’utilisation d’</w:t>
            </w:r>
            <w:r w:rsidRPr="008C52E5">
              <w:rPr>
                <w:sz w:val="18"/>
                <w:szCs w:val="18"/>
                <w:lang w:val="fr-FR"/>
              </w:rPr>
              <w:t xml:space="preserve">Internet et </w:t>
            </w:r>
            <w:r w:rsidR="00721CDD" w:rsidRPr="008C52E5">
              <w:rPr>
                <w:sz w:val="18"/>
                <w:szCs w:val="18"/>
                <w:lang w:val="fr-FR"/>
              </w:rPr>
              <w:t xml:space="preserve">des </w:t>
            </w:r>
            <w:r w:rsidRPr="008C52E5">
              <w:rPr>
                <w:sz w:val="18"/>
                <w:szCs w:val="18"/>
                <w:lang w:val="fr-FR"/>
              </w:rPr>
              <w:t>médias sociaux, notamment hébergement, maintenance et développement de site</w:t>
            </w:r>
            <w:r w:rsidR="00A61131" w:rsidRPr="008C52E5">
              <w:rPr>
                <w:sz w:val="18"/>
                <w:szCs w:val="18"/>
                <w:lang w:val="fr-FR"/>
              </w:rPr>
              <w:t>s</w:t>
            </w:r>
            <w:r w:rsidR="001A1546" w:rsidRPr="008C52E5">
              <w:rPr>
                <w:sz w:val="18"/>
                <w:szCs w:val="18"/>
                <w:lang w:val="fr-FR"/>
              </w:rPr>
              <w:t> </w:t>
            </w:r>
            <w:r w:rsidR="00353392" w:rsidRPr="008C52E5">
              <w:rPr>
                <w:color w:val="000000"/>
                <w:sz w:val="18"/>
                <w:szCs w:val="18"/>
                <w:lang w:val="fr-FR" w:eastAsia="en-GB"/>
              </w:rPr>
              <w:t>;</w:t>
            </w:r>
            <w:r w:rsidRPr="008C52E5">
              <w:rPr>
                <w:color w:val="000000"/>
                <w:sz w:val="18"/>
                <w:szCs w:val="18"/>
                <w:lang w:val="fr-FR" w:eastAsia="en-GB"/>
              </w:rPr>
              <w:t xml:space="preserve"> appui</w:t>
            </w:r>
            <w:r w:rsidR="00C16A89">
              <w:rPr>
                <w:color w:val="000000"/>
                <w:sz w:val="18"/>
                <w:szCs w:val="18"/>
                <w:lang w:val="fr-FR" w:eastAsia="en-GB"/>
              </w:rPr>
              <w:t xml:space="preserve"> stratégique et opérationnel en </w:t>
            </w:r>
            <w:r w:rsidRPr="008C52E5">
              <w:rPr>
                <w:color w:val="000000"/>
                <w:sz w:val="18"/>
                <w:szCs w:val="18"/>
                <w:lang w:val="fr-FR" w:eastAsia="en-GB"/>
              </w:rPr>
              <w:t>matière de médias sociaux</w:t>
            </w:r>
            <w:r w:rsidR="001A1546" w:rsidRPr="008C52E5">
              <w:rPr>
                <w:color w:val="000000"/>
                <w:sz w:val="18"/>
                <w:szCs w:val="18"/>
                <w:lang w:val="fr-FR" w:eastAsia="en-GB"/>
              </w:rPr>
              <w:t> </w:t>
            </w:r>
            <w:r w:rsidR="00353392" w:rsidRPr="008C52E5">
              <w:rPr>
                <w:color w:val="000000"/>
                <w:sz w:val="18"/>
                <w:szCs w:val="18"/>
                <w:lang w:val="fr-FR" w:eastAsia="en-GB"/>
              </w:rPr>
              <w:t>;</w:t>
            </w:r>
            <w:r w:rsidR="001A1546" w:rsidRPr="008C52E5">
              <w:rPr>
                <w:color w:val="000000"/>
                <w:sz w:val="18"/>
                <w:szCs w:val="18"/>
                <w:lang w:val="fr-FR" w:eastAsia="en-GB"/>
              </w:rPr>
              <w:t xml:space="preserve"> planification, surveillance et outils et services analytiques</w:t>
            </w:r>
            <w:r w:rsidR="00C329C2" w:rsidRPr="008C52E5">
              <w:rPr>
                <w:rFonts w:ascii="Calibri" w:eastAsia="MS Mincho" w:hAnsi="Calibri"/>
                <w:color w:val="000000"/>
                <w:sz w:val="18"/>
                <w:szCs w:val="18"/>
                <w:lang w:val="fr-FR" w:eastAsia="en-GB"/>
              </w:rPr>
              <w:t xml:space="preserve"> </w:t>
            </w:r>
            <w:r w:rsidR="00C329C2" w:rsidRPr="008C52E5">
              <w:rPr>
                <w:color w:val="000000"/>
                <w:sz w:val="18"/>
                <w:szCs w:val="18"/>
                <w:lang w:val="fr-FR" w:eastAsia="en-GB"/>
              </w:rPr>
              <w:t>de médias sociaux</w:t>
            </w:r>
            <w:r w:rsidR="001A1546" w:rsidRPr="008C52E5">
              <w:rPr>
                <w:color w:val="000000"/>
                <w:sz w:val="18"/>
                <w:szCs w:val="18"/>
                <w:lang w:val="fr-FR" w:eastAsia="en-GB"/>
              </w:rPr>
              <w:t> </w:t>
            </w:r>
            <w:r w:rsidR="00353392" w:rsidRPr="008C52E5">
              <w:rPr>
                <w:color w:val="000000"/>
                <w:sz w:val="18"/>
                <w:szCs w:val="18"/>
                <w:lang w:val="fr-FR" w:eastAsia="en-GB"/>
              </w:rPr>
              <w:t>; s</w:t>
            </w:r>
            <w:r w:rsidR="001A1546" w:rsidRPr="008C52E5">
              <w:rPr>
                <w:color w:val="000000"/>
                <w:sz w:val="18"/>
                <w:szCs w:val="18"/>
                <w:lang w:val="fr-FR" w:eastAsia="en-GB"/>
              </w:rPr>
              <w:t>ou</w:t>
            </w:r>
            <w:r w:rsidR="00353392" w:rsidRPr="008C52E5">
              <w:rPr>
                <w:color w:val="000000"/>
                <w:sz w:val="18"/>
                <w:szCs w:val="18"/>
                <w:lang w:val="fr-FR" w:eastAsia="en-GB"/>
              </w:rPr>
              <w:t xml:space="preserve">scriptions </w:t>
            </w:r>
            <w:r w:rsidR="001A1546" w:rsidRPr="008C52E5">
              <w:rPr>
                <w:color w:val="000000"/>
                <w:sz w:val="18"/>
                <w:szCs w:val="18"/>
                <w:lang w:val="fr-FR" w:eastAsia="en-GB"/>
              </w:rPr>
              <w:t>et accès à des articles payants</w:t>
            </w:r>
            <w:r w:rsidR="005734B3" w:rsidRPr="008C52E5">
              <w:rPr>
                <w:color w:val="000000"/>
                <w:sz w:val="18"/>
                <w:szCs w:val="18"/>
                <w:lang w:val="fr-FR" w:eastAsia="en-GB"/>
              </w:rPr>
              <w:t xml:space="preserve"> </w:t>
            </w:r>
          </w:p>
        </w:tc>
      </w:tr>
      <w:tr w:rsidR="00353392" w:rsidRPr="0082513F" w14:paraId="104F7C61" w14:textId="77777777" w:rsidTr="00913913">
        <w:trPr>
          <w:trHeight w:val="235"/>
        </w:trPr>
        <w:tc>
          <w:tcPr>
            <w:tcW w:w="1236" w:type="dxa"/>
            <w:vMerge/>
            <w:tcBorders>
              <w:top w:val="single" w:sz="12" w:space="0" w:color="auto"/>
              <w:bottom w:val="single" w:sz="12" w:space="0" w:color="auto"/>
            </w:tcBorders>
            <w:shd w:val="clear" w:color="auto" w:fill="auto"/>
            <w:vAlign w:val="center"/>
          </w:tcPr>
          <w:p w14:paraId="6F80F9A3" w14:textId="77777777" w:rsidR="00353392" w:rsidRPr="008C52E5" w:rsidRDefault="00353392" w:rsidP="00E9285A">
            <w:pPr>
              <w:pStyle w:val="Normal-pool"/>
              <w:spacing w:before="40" w:after="40"/>
              <w:jc w:val="center"/>
              <w:rPr>
                <w:rFonts w:eastAsia="SimSun"/>
                <w:sz w:val="18"/>
                <w:szCs w:val="18"/>
                <w:lang w:val="fr-FR" w:eastAsia="zh-CN"/>
              </w:rPr>
            </w:pPr>
          </w:p>
        </w:tc>
        <w:tc>
          <w:tcPr>
            <w:tcW w:w="7116" w:type="dxa"/>
            <w:shd w:val="clear" w:color="auto" w:fill="auto"/>
          </w:tcPr>
          <w:p w14:paraId="41F5DDEC" w14:textId="1375DB6C" w:rsidR="00353392" w:rsidRPr="008C52E5" w:rsidRDefault="001A1546" w:rsidP="00E9285A">
            <w:pPr>
              <w:pStyle w:val="Normal-pool"/>
              <w:spacing w:before="40" w:after="40"/>
              <w:rPr>
                <w:rFonts w:eastAsia="SimSun"/>
                <w:sz w:val="18"/>
                <w:szCs w:val="18"/>
                <w:lang w:val="fr-FR" w:eastAsia="zh-CN"/>
              </w:rPr>
            </w:pPr>
            <w:r w:rsidRPr="008C52E5">
              <w:rPr>
                <w:rFonts w:eastAsia="SimSun"/>
                <w:sz w:val="18"/>
                <w:szCs w:val="18"/>
                <w:lang w:val="fr-FR" w:eastAsia="zh-CN"/>
              </w:rPr>
              <w:t>S</w:t>
            </w:r>
            <w:r w:rsidR="00353392" w:rsidRPr="008C52E5">
              <w:rPr>
                <w:rFonts w:eastAsia="SimSun"/>
                <w:sz w:val="18"/>
                <w:szCs w:val="18"/>
                <w:lang w:val="fr-FR" w:eastAsia="zh-CN"/>
              </w:rPr>
              <w:t>upport</w:t>
            </w:r>
            <w:r w:rsidRPr="008C52E5">
              <w:rPr>
                <w:rFonts w:eastAsia="SimSun"/>
                <w:sz w:val="18"/>
                <w:szCs w:val="18"/>
                <w:lang w:val="fr-FR" w:eastAsia="zh-CN"/>
              </w:rPr>
              <w:t xml:space="preserve"> audiovisuel</w:t>
            </w:r>
            <w:r w:rsidR="00353392" w:rsidRPr="008C52E5">
              <w:rPr>
                <w:rFonts w:eastAsia="SimSun"/>
                <w:sz w:val="18"/>
                <w:szCs w:val="18"/>
                <w:lang w:val="fr-FR" w:eastAsia="zh-CN"/>
              </w:rPr>
              <w:t xml:space="preserve">, </w:t>
            </w:r>
            <w:r w:rsidRPr="008C52E5">
              <w:rPr>
                <w:rFonts w:eastAsia="SimSun"/>
                <w:sz w:val="18"/>
                <w:szCs w:val="18"/>
                <w:lang w:val="fr-FR" w:eastAsia="zh-CN"/>
              </w:rPr>
              <w:t>notamment</w:t>
            </w:r>
            <w:r w:rsidR="00353392" w:rsidRPr="008C52E5">
              <w:rPr>
                <w:rFonts w:eastAsia="SimSun"/>
                <w:sz w:val="18"/>
                <w:szCs w:val="18"/>
                <w:lang w:val="fr-FR" w:eastAsia="zh-CN"/>
              </w:rPr>
              <w:t xml:space="preserve"> production </w:t>
            </w:r>
            <w:r w:rsidRPr="008C52E5">
              <w:rPr>
                <w:rFonts w:eastAsia="SimSun"/>
                <w:sz w:val="18"/>
                <w:szCs w:val="18"/>
                <w:lang w:val="fr-FR" w:eastAsia="zh-CN"/>
              </w:rPr>
              <w:t>et traduction des sous-titres de vidéos d’information </w:t>
            </w:r>
            <w:r w:rsidR="00353392" w:rsidRPr="008C52E5">
              <w:rPr>
                <w:rFonts w:eastAsia="SimSun"/>
                <w:sz w:val="18"/>
                <w:szCs w:val="18"/>
                <w:lang w:val="fr-FR" w:eastAsia="zh-CN"/>
              </w:rPr>
              <w:t xml:space="preserve">; </w:t>
            </w:r>
            <w:r w:rsidRPr="008C52E5">
              <w:rPr>
                <w:rFonts w:eastAsia="SimSun"/>
                <w:sz w:val="18"/>
                <w:szCs w:val="18"/>
                <w:lang w:val="fr-FR" w:eastAsia="zh-CN"/>
              </w:rPr>
              <w:t>matériels « </w:t>
            </w:r>
            <w:r w:rsidR="00721CDD" w:rsidRPr="008C52E5">
              <w:rPr>
                <w:rFonts w:eastAsia="SimSun"/>
                <w:sz w:val="18"/>
                <w:szCs w:val="18"/>
                <w:lang w:val="fr-FR" w:eastAsia="zh-CN"/>
              </w:rPr>
              <w:t>bobine</w:t>
            </w:r>
            <w:r w:rsidRPr="008C52E5">
              <w:rPr>
                <w:rFonts w:eastAsia="SimSun"/>
                <w:sz w:val="18"/>
                <w:szCs w:val="18"/>
                <w:lang w:val="fr-FR" w:eastAsia="zh-CN"/>
              </w:rPr>
              <w:t> B » </w:t>
            </w:r>
            <w:r w:rsidR="00353392" w:rsidRPr="008C52E5">
              <w:rPr>
                <w:rFonts w:eastAsia="SimSun"/>
                <w:sz w:val="18"/>
                <w:szCs w:val="18"/>
                <w:lang w:val="fr-FR" w:eastAsia="zh-CN"/>
              </w:rPr>
              <w:t xml:space="preserve">; animations </w:t>
            </w:r>
            <w:r w:rsidR="009432CA" w:rsidRPr="008C52E5">
              <w:rPr>
                <w:rFonts w:eastAsia="SimSun"/>
                <w:sz w:val="18"/>
                <w:szCs w:val="18"/>
                <w:lang w:val="fr-FR" w:eastAsia="zh-CN"/>
              </w:rPr>
              <w:t>et</w:t>
            </w:r>
            <w:r w:rsidR="00353392" w:rsidRPr="008C52E5">
              <w:rPr>
                <w:rFonts w:eastAsia="SimSun"/>
                <w:sz w:val="18"/>
                <w:szCs w:val="18"/>
                <w:lang w:val="fr-FR" w:eastAsia="zh-CN"/>
              </w:rPr>
              <w:t xml:space="preserve"> infographi</w:t>
            </w:r>
            <w:r w:rsidR="009432CA" w:rsidRPr="008C52E5">
              <w:rPr>
                <w:rFonts w:eastAsia="SimSun"/>
                <w:sz w:val="18"/>
                <w:szCs w:val="18"/>
                <w:lang w:val="fr-FR" w:eastAsia="zh-CN"/>
              </w:rPr>
              <w:t>e </w:t>
            </w:r>
            <w:r w:rsidR="00353392" w:rsidRPr="008C52E5">
              <w:rPr>
                <w:rFonts w:eastAsia="SimSun"/>
                <w:sz w:val="18"/>
                <w:szCs w:val="18"/>
                <w:lang w:val="fr-FR" w:eastAsia="zh-CN"/>
              </w:rPr>
              <w:t xml:space="preserve">; </w:t>
            </w:r>
            <w:r w:rsidR="009432CA" w:rsidRPr="008C52E5">
              <w:rPr>
                <w:rFonts w:eastAsia="SimSun"/>
                <w:sz w:val="18"/>
                <w:szCs w:val="18"/>
                <w:lang w:val="fr-FR" w:eastAsia="zh-CN"/>
              </w:rPr>
              <w:t>équipements et logiciels d’enregistrement</w:t>
            </w:r>
            <w:r w:rsidR="00353392" w:rsidRPr="008C52E5">
              <w:rPr>
                <w:rFonts w:eastAsia="SimSun"/>
                <w:sz w:val="18"/>
                <w:szCs w:val="18"/>
                <w:lang w:val="fr-FR" w:eastAsia="zh-CN"/>
              </w:rPr>
              <w:t xml:space="preserve">, </w:t>
            </w:r>
            <w:r w:rsidR="009432CA" w:rsidRPr="008C52E5">
              <w:rPr>
                <w:rFonts w:eastAsia="SimSun"/>
                <w:sz w:val="18"/>
                <w:szCs w:val="18"/>
                <w:lang w:val="fr-FR" w:eastAsia="zh-CN"/>
              </w:rPr>
              <w:t>d’édition et de conception</w:t>
            </w:r>
          </w:p>
        </w:tc>
      </w:tr>
      <w:tr w:rsidR="00353392" w:rsidRPr="0082513F" w14:paraId="68A50B1D" w14:textId="77777777" w:rsidTr="00913913">
        <w:trPr>
          <w:trHeight w:val="233"/>
        </w:trPr>
        <w:tc>
          <w:tcPr>
            <w:tcW w:w="1236" w:type="dxa"/>
            <w:vMerge/>
            <w:tcBorders>
              <w:top w:val="single" w:sz="12" w:space="0" w:color="auto"/>
              <w:bottom w:val="single" w:sz="12" w:space="0" w:color="auto"/>
            </w:tcBorders>
            <w:shd w:val="clear" w:color="auto" w:fill="auto"/>
            <w:vAlign w:val="center"/>
          </w:tcPr>
          <w:p w14:paraId="54636051" w14:textId="77777777" w:rsidR="00353392" w:rsidRPr="008C52E5" w:rsidRDefault="00353392" w:rsidP="00E9285A">
            <w:pPr>
              <w:pStyle w:val="Normal-pool"/>
              <w:spacing w:before="40" w:after="40"/>
              <w:jc w:val="center"/>
              <w:rPr>
                <w:rFonts w:eastAsia="SimSun"/>
                <w:sz w:val="18"/>
                <w:szCs w:val="18"/>
                <w:lang w:val="fr-FR" w:eastAsia="zh-CN"/>
              </w:rPr>
            </w:pPr>
          </w:p>
        </w:tc>
        <w:tc>
          <w:tcPr>
            <w:tcW w:w="7116" w:type="dxa"/>
            <w:shd w:val="clear" w:color="auto" w:fill="auto"/>
          </w:tcPr>
          <w:p w14:paraId="0372DD6B" w14:textId="56E00C21" w:rsidR="00353392" w:rsidRPr="008C52E5" w:rsidRDefault="00394777" w:rsidP="00E9285A">
            <w:pPr>
              <w:pStyle w:val="Normal-pool"/>
              <w:spacing w:before="40" w:after="40"/>
              <w:rPr>
                <w:rFonts w:eastAsia="SimSun"/>
                <w:sz w:val="18"/>
                <w:szCs w:val="18"/>
                <w:lang w:val="fr-FR" w:eastAsia="zh-CN"/>
              </w:rPr>
            </w:pPr>
            <w:r w:rsidRPr="008C52E5">
              <w:rPr>
                <w:sz w:val="18"/>
                <w:szCs w:val="18"/>
                <w:lang w:val="fr-FR"/>
              </w:rPr>
              <w:t xml:space="preserve">Appui </w:t>
            </w:r>
            <w:r w:rsidR="00721CDD" w:rsidRPr="008C52E5">
              <w:rPr>
                <w:sz w:val="18"/>
                <w:szCs w:val="18"/>
                <w:lang w:val="fr-FR"/>
              </w:rPr>
              <w:t xml:space="preserve">dans le domaine des </w:t>
            </w:r>
            <w:r w:rsidRPr="008C52E5">
              <w:rPr>
                <w:sz w:val="18"/>
                <w:szCs w:val="18"/>
                <w:lang w:val="fr-FR"/>
              </w:rPr>
              <w:t>médias</w:t>
            </w:r>
            <w:r w:rsidR="00353392" w:rsidRPr="008C52E5">
              <w:rPr>
                <w:sz w:val="18"/>
                <w:szCs w:val="18"/>
                <w:lang w:val="fr-FR"/>
              </w:rPr>
              <w:t xml:space="preserve">, </w:t>
            </w:r>
            <w:r w:rsidRPr="008C52E5">
              <w:rPr>
                <w:sz w:val="18"/>
                <w:szCs w:val="18"/>
                <w:lang w:val="fr-FR"/>
              </w:rPr>
              <w:t xml:space="preserve">notamment </w:t>
            </w:r>
            <w:r w:rsidR="001C099E" w:rsidRPr="008C52E5">
              <w:rPr>
                <w:sz w:val="18"/>
                <w:szCs w:val="18"/>
                <w:lang w:val="fr-FR"/>
              </w:rPr>
              <w:t xml:space="preserve">appui à la </w:t>
            </w:r>
            <w:r w:rsidRPr="008C52E5">
              <w:rPr>
                <w:sz w:val="18"/>
                <w:szCs w:val="18"/>
                <w:lang w:val="fr-FR"/>
              </w:rPr>
              <w:t xml:space="preserve">stratégie médiatique, </w:t>
            </w:r>
            <w:r w:rsidR="003534E9">
              <w:rPr>
                <w:sz w:val="18"/>
                <w:szCs w:val="18"/>
                <w:lang w:val="fr-FR"/>
              </w:rPr>
              <w:t>à la </w:t>
            </w:r>
            <w:r w:rsidRPr="008C52E5">
              <w:rPr>
                <w:sz w:val="18"/>
                <w:szCs w:val="18"/>
                <w:lang w:val="fr-FR"/>
              </w:rPr>
              <w:t xml:space="preserve">communication et </w:t>
            </w:r>
            <w:r w:rsidR="00C329C2" w:rsidRPr="008C52E5">
              <w:rPr>
                <w:sz w:val="18"/>
                <w:szCs w:val="18"/>
                <w:lang w:val="fr-FR"/>
              </w:rPr>
              <w:t>à la promotion</w:t>
            </w:r>
            <w:r w:rsidR="001C099E" w:rsidRPr="008C52E5">
              <w:rPr>
                <w:sz w:val="18"/>
                <w:szCs w:val="18"/>
                <w:lang w:val="fr-FR"/>
              </w:rPr>
              <w:t> </w:t>
            </w:r>
            <w:r w:rsidR="00353392" w:rsidRPr="008C52E5">
              <w:rPr>
                <w:sz w:val="18"/>
                <w:szCs w:val="18"/>
                <w:lang w:val="fr-FR"/>
              </w:rPr>
              <w:t xml:space="preserve">; </w:t>
            </w:r>
            <w:r w:rsidR="001C099E" w:rsidRPr="008C52E5">
              <w:rPr>
                <w:sz w:val="18"/>
                <w:szCs w:val="18"/>
                <w:lang w:val="fr-FR"/>
              </w:rPr>
              <w:t xml:space="preserve">appui </w:t>
            </w:r>
            <w:r w:rsidR="00721CDD" w:rsidRPr="008C52E5">
              <w:rPr>
                <w:sz w:val="18"/>
                <w:szCs w:val="18"/>
                <w:lang w:val="fr-FR"/>
              </w:rPr>
              <w:t>dans le domaine des</w:t>
            </w:r>
            <w:r w:rsidR="001C099E" w:rsidRPr="008C52E5">
              <w:rPr>
                <w:sz w:val="18"/>
                <w:szCs w:val="18"/>
                <w:lang w:val="fr-FR"/>
              </w:rPr>
              <w:t xml:space="preserve"> médias </w:t>
            </w:r>
            <w:r w:rsidR="00721CDD" w:rsidRPr="008C52E5">
              <w:rPr>
                <w:sz w:val="18"/>
                <w:szCs w:val="18"/>
                <w:lang w:val="fr-FR"/>
              </w:rPr>
              <w:t xml:space="preserve">pour </w:t>
            </w:r>
            <w:r w:rsidR="001C099E" w:rsidRPr="008C52E5">
              <w:rPr>
                <w:sz w:val="18"/>
                <w:szCs w:val="18"/>
                <w:lang w:val="fr-FR"/>
              </w:rPr>
              <w:t>un certain nombre de manifestations de promotion </w:t>
            </w:r>
            <w:r w:rsidR="00353392" w:rsidRPr="008C52E5">
              <w:rPr>
                <w:sz w:val="18"/>
                <w:szCs w:val="18"/>
                <w:lang w:val="fr-FR"/>
              </w:rPr>
              <w:t>;</w:t>
            </w:r>
            <w:r w:rsidR="001C099E" w:rsidRPr="008C52E5">
              <w:rPr>
                <w:sz w:val="18"/>
                <w:szCs w:val="18"/>
                <w:lang w:val="fr-FR"/>
              </w:rPr>
              <w:t xml:space="preserve"> traduction d’un certain nombre de matériels </w:t>
            </w:r>
            <w:r w:rsidR="00353392" w:rsidRPr="008C52E5">
              <w:rPr>
                <w:sz w:val="18"/>
                <w:szCs w:val="18"/>
                <w:lang w:val="fr-FR"/>
              </w:rPr>
              <w:t>;</w:t>
            </w:r>
            <w:r w:rsidR="001C099E" w:rsidRPr="008C52E5">
              <w:rPr>
                <w:sz w:val="18"/>
                <w:szCs w:val="18"/>
                <w:lang w:val="fr-FR"/>
              </w:rPr>
              <w:t xml:space="preserve"> matériels de promotion de manifestations majeures et participation à ces dernières </w:t>
            </w:r>
            <w:r w:rsidR="00353392" w:rsidRPr="008C52E5">
              <w:rPr>
                <w:sz w:val="18"/>
                <w:szCs w:val="18"/>
                <w:lang w:val="fr-FR"/>
              </w:rPr>
              <w:t xml:space="preserve">; </w:t>
            </w:r>
            <w:r w:rsidR="001C099E" w:rsidRPr="008C52E5">
              <w:rPr>
                <w:sz w:val="18"/>
                <w:szCs w:val="18"/>
                <w:lang w:val="fr-FR"/>
              </w:rPr>
              <w:t>surveillance et analyse des médias </w:t>
            </w:r>
            <w:r w:rsidR="00353392" w:rsidRPr="008C52E5">
              <w:rPr>
                <w:sz w:val="18"/>
                <w:szCs w:val="18"/>
                <w:lang w:val="fr-FR"/>
              </w:rPr>
              <w:t xml:space="preserve">; </w:t>
            </w:r>
            <w:r w:rsidR="00F736D5" w:rsidRPr="008C52E5">
              <w:rPr>
                <w:sz w:val="18"/>
                <w:szCs w:val="18"/>
                <w:lang w:val="fr-FR"/>
              </w:rPr>
              <w:t>promotion dans des médias payants</w:t>
            </w:r>
          </w:p>
        </w:tc>
      </w:tr>
      <w:tr w:rsidR="00353392" w:rsidRPr="0082513F" w14:paraId="5FE2FDF3" w14:textId="77777777" w:rsidTr="00913913">
        <w:trPr>
          <w:trHeight w:val="233"/>
        </w:trPr>
        <w:tc>
          <w:tcPr>
            <w:tcW w:w="1236" w:type="dxa"/>
            <w:vMerge/>
            <w:tcBorders>
              <w:top w:val="single" w:sz="12" w:space="0" w:color="auto"/>
              <w:bottom w:val="single" w:sz="12" w:space="0" w:color="auto"/>
            </w:tcBorders>
            <w:shd w:val="clear" w:color="auto" w:fill="auto"/>
            <w:vAlign w:val="center"/>
          </w:tcPr>
          <w:p w14:paraId="1EA84F0C" w14:textId="77777777" w:rsidR="00353392" w:rsidRPr="008C52E5" w:rsidRDefault="00353392" w:rsidP="00E9285A">
            <w:pPr>
              <w:pStyle w:val="Normal-pool"/>
              <w:spacing w:before="40" w:after="40"/>
              <w:jc w:val="center"/>
              <w:rPr>
                <w:rFonts w:eastAsia="SimSun"/>
                <w:sz w:val="18"/>
                <w:szCs w:val="18"/>
                <w:lang w:val="fr-FR" w:eastAsia="zh-CN"/>
              </w:rPr>
            </w:pPr>
          </w:p>
        </w:tc>
        <w:tc>
          <w:tcPr>
            <w:tcW w:w="7116" w:type="dxa"/>
            <w:tcBorders>
              <w:bottom w:val="single" w:sz="12" w:space="0" w:color="auto"/>
            </w:tcBorders>
            <w:shd w:val="clear" w:color="auto" w:fill="auto"/>
          </w:tcPr>
          <w:p w14:paraId="39ED4E56" w14:textId="2CF1EF9C" w:rsidR="00353392" w:rsidRPr="008C52E5" w:rsidRDefault="00F736D5" w:rsidP="00E9285A">
            <w:pPr>
              <w:pStyle w:val="Normal-pool"/>
              <w:spacing w:before="40" w:after="40"/>
              <w:rPr>
                <w:rFonts w:eastAsia="SimSun"/>
                <w:sz w:val="18"/>
                <w:szCs w:val="18"/>
                <w:lang w:val="fr-FR" w:eastAsia="zh-CN"/>
              </w:rPr>
            </w:pPr>
            <w:r w:rsidRPr="008C52E5">
              <w:rPr>
                <w:color w:val="000000"/>
                <w:sz w:val="18"/>
                <w:szCs w:val="18"/>
                <w:lang w:val="fr-FR" w:eastAsia="en-GB"/>
              </w:rPr>
              <w:t xml:space="preserve">Matériels de </w:t>
            </w:r>
            <w:r w:rsidR="00353392" w:rsidRPr="008C52E5">
              <w:rPr>
                <w:color w:val="000000"/>
                <w:sz w:val="18"/>
                <w:szCs w:val="18"/>
                <w:lang w:val="fr-FR" w:eastAsia="en-GB"/>
              </w:rPr>
              <w:t xml:space="preserve">communication </w:t>
            </w:r>
            <w:r w:rsidRPr="008C52E5">
              <w:rPr>
                <w:color w:val="000000"/>
                <w:sz w:val="18"/>
                <w:szCs w:val="18"/>
                <w:lang w:val="fr-FR" w:eastAsia="en-GB"/>
              </w:rPr>
              <w:t>et d’information imprimés</w:t>
            </w:r>
            <w:r w:rsidR="00353392" w:rsidRPr="008C52E5">
              <w:rPr>
                <w:color w:val="000000"/>
                <w:sz w:val="18"/>
                <w:szCs w:val="18"/>
                <w:lang w:val="fr-FR" w:eastAsia="en-GB"/>
              </w:rPr>
              <w:t>,</w:t>
            </w:r>
            <w:r w:rsidRPr="008C52E5">
              <w:rPr>
                <w:color w:val="000000"/>
                <w:sz w:val="18"/>
                <w:szCs w:val="18"/>
                <w:lang w:val="fr-FR" w:eastAsia="en-GB"/>
              </w:rPr>
              <w:t xml:space="preserve"> notamment appui en matière d’image de marque et d’identité visuelle </w:t>
            </w:r>
            <w:r w:rsidR="00353392" w:rsidRPr="008C52E5">
              <w:rPr>
                <w:color w:val="000000"/>
                <w:sz w:val="18"/>
                <w:szCs w:val="18"/>
                <w:lang w:val="fr-FR" w:eastAsia="en-GB"/>
              </w:rPr>
              <w:t xml:space="preserve">; </w:t>
            </w:r>
            <w:r w:rsidRPr="008C52E5">
              <w:rPr>
                <w:color w:val="000000"/>
                <w:sz w:val="18"/>
                <w:szCs w:val="18"/>
                <w:lang w:val="fr-FR" w:eastAsia="en-GB"/>
              </w:rPr>
              <w:t>conception et</w:t>
            </w:r>
            <w:r w:rsidR="00353392" w:rsidRPr="008C52E5">
              <w:rPr>
                <w:color w:val="000000"/>
                <w:sz w:val="18"/>
                <w:szCs w:val="18"/>
                <w:lang w:val="fr-FR" w:eastAsia="en-GB"/>
              </w:rPr>
              <w:t xml:space="preserve"> production </w:t>
            </w:r>
            <w:r w:rsidRPr="008C52E5">
              <w:rPr>
                <w:color w:val="000000"/>
                <w:sz w:val="18"/>
                <w:szCs w:val="18"/>
                <w:lang w:val="fr-FR" w:eastAsia="en-GB"/>
              </w:rPr>
              <w:t>de supports marketing d’information </w:t>
            </w:r>
            <w:r w:rsidR="00353392" w:rsidRPr="008C52E5">
              <w:rPr>
                <w:color w:val="000000"/>
                <w:sz w:val="18"/>
                <w:szCs w:val="18"/>
                <w:lang w:val="fr-FR" w:eastAsia="en-GB"/>
              </w:rPr>
              <w:t xml:space="preserve">; </w:t>
            </w:r>
            <w:r w:rsidRPr="008C52E5">
              <w:rPr>
                <w:color w:val="000000"/>
                <w:sz w:val="18"/>
                <w:szCs w:val="18"/>
                <w:lang w:val="fr-FR" w:eastAsia="en-GB"/>
              </w:rPr>
              <w:t>impression et diffusion de matériels</w:t>
            </w:r>
            <w:r w:rsidR="00353392" w:rsidRPr="008C52E5">
              <w:rPr>
                <w:color w:val="000000"/>
                <w:sz w:val="18"/>
                <w:szCs w:val="18"/>
                <w:lang w:val="fr-FR" w:eastAsia="en-GB"/>
              </w:rPr>
              <w:t xml:space="preserve"> (</w:t>
            </w:r>
            <w:r w:rsidRPr="008C52E5">
              <w:rPr>
                <w:color w:val="000000"/>
                <w:sz w:val="18"/>
                <w:szCs w:val="18"/>
                <w:lang w:val="fr-FR" w:eastAsia="en-GB"/>
              </w:rPr>
              <w:t>y co</w:t>
            </w:r>
            <w:r w:rsidR="00C16A89">
              <w:rPr>
                <w:color w:val="000000"/>
                <w:sz w:val="18"/>
                <w:szCs w:val="18"/>
                <w:lang w:val="fr-FR" w:eastAsia="en-GB"/>
              </w:rPr>
              <w:t>mpris réimpression de résumés à </w:t>
            </w:r>
            <w:r w:rsidRPr="008C52E5">
              <w:rPr>
                <w:color w:val="000000"/>
                <w:sz w:val="18"/>
                <w:szCs w:val="18"/>
                <w:lang w:val="fr-FR" w:eastAsia="en-GB"/>
              </w:rPr>
              <w:t>l’intention des décideurs et de rapports</w:t>
            </w:r>
            <w:r w:rsidR="00353392" w:rsidRPr="008C52E5">
              <w:rPr>
                <w:color w:val="000000"/>
                <w:sz w:val="18"/>
                <w:szCs w:val="18"/>
                <w:lang w:val="fr-FR" w:eastAsia="en-GB"/>
              </w:rPr>
              <w:t>)</w:t>
            </w:r>
            <w:r w:rsidRPr="008C52E5">
              <w:rPr>
                <w:color w:val="000000"/>
                <w:sz w:val="18"/>
                <w:szCs w:val="18"/>
                <w:lang w:val="fr-FR" w:eastAsia="en-GB"/>
              </w:rPr>
              <w:t> </w:t>
            </w:r>
            <w:r w:rsidR="00353392" w:rsidRPr="008C52E5">
              <w:rPr>
                <w:color w:val="000000"/>
                <w:sz w:val="18"/>
                <w:szCs w:val="18"/>
                <w:lang w:val="fr-FR" w:eastAsia="en-GB"/>
              </w:rPr>
              <w:t>;</w:t>
            </w:r>
            <w:r w:rsidRPr="008C52E5">
              <w:rPr>
                <w:color w:val="000000"/>
                <w:sz w:val="18"/>
                <w:szCs w:val="18"/>
                <w:lang w:val="fr-FR" w:eastAsia="en-GB"/>
              </w:rPr>
              <w:t xml:space="preserve"> tradu</w:t>
            </w:r>
            <w:r w:rsidR="00BB66B3" w:rsidRPr="008C52E5">
              <w:rPr>
                <w:color w:val="000000"/>
                <w:sz w:val="18"/>
                <w:szCs w:val="18"/>
                <w:lang w:val="fr-FR" w:eastAsia="en-GB"/>
              </w:rPr>
              <w:t>c</w:t>
            </w:r>
            <w:r w:rsidRPr="008C52E5">
              <w:rPr>
                <w:color w:val="000000"/>
                <w:sz w:val="18"/>
                <w:szCs w:val="18"/>
                <w:lang w:val="fr-FR" w:eastAsia="en-GB"/>
              </w:rPr>
              <w:t>tion d’un certain nombre de matériels </w:t>
            </w:r>
            <w:r w:rsidR="00353392" w:rsidRPr="008C52E5">
              <w:rPr>
                <w:color w:val="000000"/>
                <w:sz w:val="18"/>
                <w:szCs w:val="18"/>
                <w:lang w:val="fr-FR" w:eastAsia="en-GB"/>
              </w:rPr>
              <w:t xml:space="preserve">; </w:t>
            </w:r>
            <w:r w:rsidRPr="008C52E5">
              <w:rPr>
                <w:color w:val="000000"/>
                <w:sz w:val="18"/>
                <w:szCs w:val="18"/>
                <w:lang w:val="fr-FR" w:eastAsia="en-GB"/>
              </w:rPr>
              <w:t>appui à la communication concernant les sessions de la Plénière</w:t>
            </w:r>
          </w:p>
        </w:tc>
      </w:tr>
    </w:tbl>
    <w:p w14:paraId="223542C6" w14:textId="7A807559" w:rsidR="00873A23" w:rsidRPr="008C52E5" w:rsidRDefault="00390AA2" w:rsidP="00956108">
      <w:pPr>
        <w:pStyle w:val="CH2"/>
        <w:tabs>
          <w:tab w:val="clear" w:pos="851"/>
        </w:tabs>
        <w:ind w:hanging="680"/>
        <w:rPr>
          <w:lang w:val="fr-FR"/>
        </w:rPr>
      </w:pPr>
      <w:r w:rsidRPr="008C52E5">
        <w:rPr>
          <w:lang w:val="fr-FR"/>
        </w:rPr>
        <w:t>B</w:t>
      </w:r>
      <w:r w:rsidR="00CB3B9B" w:rsidRPr="008C52E5">
        <w:rPr>
          <w:lang w:val="fr-FR"/>
        </w:rPr>
        <w:t>.</w:t>
      </w:r>
      <w:r w:rsidR="00CB3B9B" w:rsidRPr="008C52E5">
        <w:rPr>
          <w:lang w:val="fr-FR"/>
        </w:rPr>
        <w:tab/>
      </w:r>
      <w:r w:rsidR="00E46A84" w:rsidRPr="008C52E5">
        <w:rPr>
          <w:lang w:val="fr-FR"/>
        </w:rPr>
        <w:t>Produit </w:t>
      </w:r>
      <w:r w:rsidR="00873A23" w:rsidRPr="008C52E5">
        <w:rPr>
          <w:lang w:val="fr-FR"/>
        </w:rPr>
        <w:t>5</w:t>
      </w:r>
      <w:r w:rsidR="00E46A84" w:rsidRPr="008C52E5">
        <w:rPr>
          <w:lang w:val="fr-FR"/>
        </w:rPr>
        <w:t> </w:t>
      </w:r>
      <w:r w:rsidR="00873A23" w:rsidRPr="008C52E5">
        <w:rPr>
          <w:lang w:val="fr-FR"/>
        </w:rPr>
        <w:t>b</w:t>
      </w:r>
      <w:r w:rsidR="00891C9F" w:rsidRPr="008C52E5">
        <w:rPr>
          <w:lang w:val="fr-FR"/>
        </w:rPr>
        <w:t>)</w:t>
      </w:r>
      <w:r w:rsidR="00E46A84" w:rsidRPr="008C52E5">
        <w:rPr>
          <w:lang w:val="fr-FR"/>
        </w:rPr>
        <w:t> </w:t>
      </w:r>
      <w:r w:rsidR="00873A23" w:rsidRPr="008C52E5">
        <w:rPr>
          <w:lang w:val="fr-FR"/>
        </w:rPr>
        <w:t xml:space="preserve">: </w:t>
      </w:r>
      <w:r w:rsidR="001F3FA8" w:rsidRPr="008C52E5">
        <w:rPr>
          <w:lang w:val="fr-FR"/>
        </w:rPr>
        <w:t>participation renforcée des gouvernements et des parties prenantes</w:t>
      </w:r>
    </w:p>
    <w:p w14:paraId="704F6431" w14:textId="7E9C7F02" w:rsidR="009E6502" w:rsidRPr="008C52E5" w:rsidRDefault="00CB3B9B" w:rsidP="00956108">
      <w:pPr>
        <w:pStyle w:val="CH3"/>
        <w:tabs>
          <w:tab w:val="clear" w:pos="851"/>
        </w:tabs>
        <w:ind w:hanging="680"/>
        <w:rPr>
          <w:rFonts w:eastAsia="SimSun"/>
          <w:lang w:val="fr-FR" w:eastAsia="zh-CN"/>
        </w:rPr>
      </w:pPr>
      <w:r w:rsidRPr="008C52E5">
        <w:rPr>
          <w:rFonts w:eastAsia="SimSun"/>
          <w:lang w:val="fr-FR" w:eastAsia="zh-CN"/>
        </w:rPr>
        <w:t>1.</w:t>
      </w:r>
      <w:r w:rsidRPr="008C52E5">
        <w:rPr>
          <w:rFonts w:eastAsia="SimSun"/>
          <w:lang w:val="fr-FR" w:eastAsia="zh-CN"/>
        </w:rPr>
        <w:tab/>
      </w:r>
      <w:r w:rsidR="001F3FA8" w:rsidRPr="008C52E5">
        <w:rPr>
          <w:rFonts w:eastAsia="SimSun"/>
          <w:lang w:val="fr-FR" w:eastAsia="zh-CN"/>
        </w:rPr>
        <w:t>Contexte</w:t>
      </w:r>
    </w:p>
    <w:p w14:paraId="30C3A9D5" w14:textId="169098D5" w:rsidR="009E6502" w:rsidRPr="008C52E5" w:rsidRDefault="001F3FA8" w:rsidP="009E6502">
      <w:pPr>
        <w:pStyle w:val="Normalnumber"/>
        <w:numPr>
          <w:ilvl w:val="0"/>
          <w:numId w:val="5"/>
        </w:numPr>
        <w:tabs>
          <w:tab w:val="left" w:pos="1871"/>
          <w:tab w:val="left" w:pos="2495"/>
        </w:tabs>
        <w:ind w:left="1247" w:firstLine="0"/>
        <w:rPr>
          <w:lang w:val="fr-FR"/>
        </w:rPr>
      </w:pPr>
      <w:r w:rsidRPr="008C52E5">
        <w:rPr>
          <w:lang w:val="fr-FR" w:eastAsia="nb-NO"/>
        </w:rPr>
        <w:t>Le premier programme de travail comprenait le produit </w:t>
      </w:r>
      <w:r w:rsidR="009E6502" w:rsidRPr="008C52E5">
        <w:rPr>
          <w:lang w:val="fr-FR"/>
        </w:rPr>
        <w:t>4</w:t>
      </w:r>
      <w:r w:rsidRPr="008C52E5">
        <w:rPr>
          <w:lang w:val="fr-FR"/>
        </w:rPr>
        <w:t> </w:t>
      </w:r>
      <w:r w:rsidR="009E6502" w:rsidRPr="008C52E5">
        <w:rPr>
          <w:lang w:val="fr-FR"/>
        </w:rPr>
        <w:t>d)</w:t>
      </w:r>
      <w:r w:rsidRPr="008C52E5">
        <w:rPr>
          <w:lang w:val="fr-FR"/>
        </w:rPr>
        <w:t> </w:t>
      </w:r>
      <w:r w:rsidR="009E6502" w:rsidRPr="008C52E5">
        <w:rPr>
          <w:lang w:val="fr-FR"/>
        </w:rPr>
        <w:t xml:space="preserve">: </w:t>
      </w:r>
      <w:r w:rsidRPr="008C52E5">
        <w:rPr>
          <w:lang w:val="fr-FR"/>
        </w:rPr>
        <w:t>« Élaborer un ensemble de stratégies, produits et processus de communication, d’information et de participation »</w:t>
      </w:r>
      <w:r w:rsidR="009E6502" w:rsidRPr="008C52E5">
        <w:rPr>
          <w:lang w:val="fr-FR"/>
        </w:rPr>
        <w:t xml:space="preserve">. </w:t>
      </w:r>
    </w:p>
    <w:p w14:paraId="5D5717EF" w14:textId="29E1EBF0" w:rsidR="009E6502" w:rsidRPr="008C52E5" w:rsidRDefault="00C0388E" w:rsidP="009E6502">
      <w:pPr>
        <w:pStyle w:val="Normalnumber"/>
        <w:numPr>
          <w:ilvl w:val="0"/>
          <w:numId w:val="5"/>
        </w:numPr>
        <w:tabs>
          <w:tab w:val="left" w:pos="1871"/>
          <w:tab w:val="left" w:pos="2495"/>
        </w:tabs>
        <w:ind w:left="1247" w:firstLine="0"/>
        <w:rPr>
          <w:lang w:val="fr-FR"/>
        </w:rPr>
      </w:pPr>
      <w:r w:rsidRPr="008C52E5">
        <w:rPr>
          <w:lang w:val="fr-FR"/>
        </w:rPr>
        <w:t>Durant le premier programme de travail, la Plénière</w:t>
      </w:r>
      <w:r w:rsidR="001A527A" w:rsidRPr="008C52E5">
        <w:rPr>
          <w:lang w:val="fr-FR"/>
        </w:rPr>
        <w:t xml:space="preserve"> a</w:t>
      </w:r>
      <w:r w:rsidRPr="008C52E5">
        <w:rPr>
          <w:lang w:val="fr-FR"/>
        </w:rPr>
        <w:t xml:space="preserve">, dans </w:t>
      </w:r>
      <w:r w:rsidR="001A527A" w:rsidRPr="008C52E5">
        <w:rPr>
          <w:lang w:val="fr-FR"/>
        </w:rPr>
        <w:t>s</w:t>
      </w:r>
      <w:r w:rsidRPr="008C52E5">
        <w:rPr>
          <w:lang w:val="fr-FR"/>
        </w:rPr>
        <w:t>a</w:t>
      </w:r>
      <w:r w:rsidR="009E6502" w:rsidRPr="008C52E5">
        <w:rPr>
          <w:lang w:val="fr-FR"/>
        </w:rPr>
        <w:t xml:space="preserve"> </w:t>
      </w:r>
      <w:r w:rsidRPr="008C52E5">
        <w:rPr>
          <w:lang w:val="fr-FR"/>
        </w:rPr>
        <w:t>décision </w:t>
      </w:r>
      <w:r w:rsidR="009E6502" w:rsidRPr="008C52E5">
        <w:rPr>
          <w:lang w:val="fr-FR"/>
        </w:rPr>
        <w:t xml:space="preserve">IPBES-3/4, </w:t>
      </w:r>
      <w:r w:rsidRPr="008C52E5">
        <w:rPr>
          <w:lang w:val="fr-FR"/>
        </w:rPr>
        <w:t>adopté une</w:t>
      </w:r>
      <w:r w:rsidR="009E6502" w:rsidRPr="008C52E5">
        <w:rPr>
          <w:kern w:val="14"/>
          <w:lang w:val="fr-FR" w:eastAsia="ja-JP"/>
        </w:rPr>
        <w:t xml:space="preserve"> </w:t>
      </w:r>
      <w:r w:rsidRPr="008C52E5">
        <w:rPr>
          <w:kern w:val="14"/>
          <w:lang w:val="fr-FR" w:eastAsia="ja-JP"/>
        </w:rPr>
        <w:t>stratégie d’association des parties prenantes pour la Plateforme</w:t>
      </w:r>
      <w:r w:rsidR="009E6502" w:rsidRPr="008C52E5">
        <w:rPr>
          <w:rStyle w:val="FootnoteReference"/>
          <w:kern w:val="14"/>
          <w:lang w:val="fr-FR" w:eastAsia="ja-JP"/>
        </w:rPr>
        <w:footnoteReference w:id="19"/>
      </w:r>
      <w:r w:rsidR="001A527A" w:rsidRPr="008C52E5">
        <w:rPr>
          <w:kern w:val="14"/>
          <w:lang w:val="fr-FR" w:eastAsia="ja-JP"/>
        </w:rPr>
        <w:t>, laquelle</w:t>
      </w:r>
      <w:r w:rsidR="002C203D" w:rsidRPr="008C52E5">
        <w:rPr>
          <w:kern w:val="14"/>
          <w:lang w:val="fr-FR" w:eastAsia="ja-JP"/>
        </w:rPr>
        <w:t xml:space="preserve"> a été mise en œuvre par le secrétariat, sous la direction du Groupe et du Bureau</w:t>
      </w:r>
      <w:r w:rsidR="009E6502" w:rsidRPr="008C52E5">
        <w:rPr>
          <w:kern w:val="14"/>
          <w:lang w:val="fr-FR" w:eastAsia="ja-JP"/>
        </w:rPr>
        <w:t xml:space="preserve"> </w:t>
      </w:r>
      <w:r w:rsidR="002C203D" w:rsidRPr="008C52E5">
        <w:rPr>
          <w:kern w:val="14"/>
          <w:lang w:val="fr-FR" w:eastAsia="ja-JP"/>
        </w:rPr>
        <w:t>dans le cadre de leurs mandats respectifs</w:t>
      </w:r>
      <w:r w:rsidR="009E6502" w:rsidRPr="008C52E5">
        <w:rPr>
          <w:kern w:val="14"/>
          <w:lang w:val="fr-FR" w:eastAsia="ja-JP"/>
        </w:rPr>
        <w:t>.</w:t>
      </w:r>
      <w:r w:rsidR="003534E9">
        <w:rPr>
          <w:kern w:val="14"/>
          <w:lang w:val="fr-FR" w:eastAsia="ja-JP"/>
        </w:rPr>
        <w:t xml:space="preserve"> La mise </w:t>
      </w:r>
      <w:r w:rsidR="002C203D" w:rsidRPr="008C52E5">
        <w:rPr>
          <w:kern w:val="14"/>
          <w:lang w:val="fr-FR" w:eastAsia="ja-JP"/>
        </w:rPr>
        <w:t>en œuvre a été axée sur le recensement, l’inventaire et la mobilisation de parties prenantes</w:t>
      </w:r>
      <w:r w:rsidR="00ED60CC" w:rsidRPr="008C52E5">
        <w:rPr>
          <w:kern w:val="14"/>
          <w:lang w:val="fr-FR" w:eastAsia="ja-JP"/>
        </w:rPr>
        <w:t>,</w:t>
      </w:r>
      <w:r w:rsidR="002C203D" w:rsidRPr="008C52E5">
        <w:rPr>
          <w:kern w:val="14"/>
          <w:lang w:val="fr-FR" w:eastAsia="ja-JP"/>
        </w:rPr>
        <w:t xml:space="preserve"> la</w:t>
      </w:r>
      <w:r w:rsidR="003534E9">
        <w:rPr>
          <w:kern w:val="14"/>
          <w:lang w:val="fr-FR" w:eastAsia="ja-JP"/>
        </w:rPr>
        <w:t> </w:t>
      </w:r>
      <w:r w:rsidR="009E6502" w:rsidRPr="008C52E5">
        <w:rPr>
          <w:kern w:val="14"/>
          <w:lang w:val="fr-FR" w:eastAsia="ja-JP"/>
        </w:rPr>
        <w:t>facilitation</w:t>
      </w:r>
      <w:r w:rsidR="002C203D" w:rsidRPr="008C52E5">
        <w:rPr>
          <w:kern w:val="14"/>
          <w:lang w:val="fr-FR" w:eastAsia="ja-JP"/>
        </w:rPr>
        <w:t xml:space="preserve"> des réseaux de parties prenantes et la collaboration avec ces derniers</w:t>
      </w:r>
      <w:r w:rsidR="00ED60CC" w:rsidRPr="008C52E5">
        <w:rPr>
          <w:kern w:val="14"/>
          <w:lang w:val="fr-FR" w:eastAsia="ja-JP"/>
        </w:rPr>
        <w:t>,</w:t>
      </w:r>
      <w:r w:rsidR="009E6502" w:rsidRPr="008C52E5">
        <w:rPr>
          <w:kern w:val="14"/>
          <w:lang w:val="fr-FR" w:eastAsia="ja-JP"/>
        </w:rPr>
        <w:t xml:space="preserve"> </w:t>
      </w:r>
      <w:r w:rsidR="002C203D" w:rsidRPr="008C52E5">
        <w:rPr>
          <w:kern w:val="14"/>
          <w:lang w:val="fr-FR" w:eastAsia="ja-JP"/>
        </w:rPr>
        <w:t>l’organisation de manifestations à l’intention des parties prenantes et</w:t>
      </w:r>
      <w:r w:rsidR="00ED60CC" w:rsidRPr="008C52E5">
        <w:rPr>
          <w:kern w:val="14"/>
          <w:lang w:val="fr-FR" w:eastAsia="ja-JP"/>
        </w:rPr>
        <w:t xml:space="preserve"> le</w:t>
      </w:r>
      <w:r w:rsidR="002C203D" w:rsidRPr="008C52E5">
        <w:rPr>
          <w:kern w:val="14"/>
          <w:lang w:val="fr-FR" w:eastAsia="ja-JP"/>
        </w:rPr>
        <w:t xml:space="preserve"> renforcement de la communication bidirectionnelle entre la Plateforme et ses parties prenantes afi</w:t>
      </w:r>
      <w:r w:rsidR="00C16A89">
        <w:rPr>
          <w:kern w:val="14"/>
          <w:lang w:val="fr-FR" w:eastAsia="ja-JP"/>
        </w:rPr>
        <w:t>n d’appuyer la mise en œuvre du </w:t>
      </w:r>
      <w:r w:rsidR="002C203D" w:rsidRPr="008C52E5">
        <w:rPr>
          <w:kern w:val="14"/>
          <w:lang w:val="fr-FR" w:eastAsia="ja-JP"/>
        </w:rPr>
        <w:t xml:space="preserve">programme de travail </w:t>
      </w:r>
      <w:r w:rsidR="00ED60CC" w:rsidRPr="008C52E5">
        <w:rPr>
          <w:kern w:val="14"/>
          <w:lang w:val="fr-FR" w:eastAsia="ja-JP"/>
        </w:rPr>
        <w:t>ainsi que la réalisation</w:t>
      </w:r>
      <w:r w:rsidR="002C203D" w:rsidRPr="008C52E5">
        <w:rPr>
          <w:kern w:val="14"/>
          <w:lang w:val="fr-FR" w:eastAsia="ja-JP"/>
        </w:rPr>
        <w:t xml:space="preserve"> des produits connexes</w:t>
      </w:r>
      <w:r w:rsidR="009E6502" w:rsidRPr="008C52E5">
        <w:rPr>
          <w:kern w:val="14"/>
          <w:lang w:val="fr-FR" w:eastAsia="ja-JP"/>
        </w:rPr>
        <w:t xml:space="preserve">. </w:t>
      </w:r>
    </w:p>
    <w:p w14:paraId="713E1792" w14:textId="548AF1B8" w:rsidR="009E6502" w:rsidRPr="008C52E5" w:rsidRDefault="00ED441B" w:rsidP="009E6502">
      <w:pPr>
        <w:pStyle w:val="Normalnumber"/>
        <w:numPr>
          <w:ilvl w:val="0"/>
          <w:numId w:val="5"/>
        </w:numPr>
        <w:tabs>
          <w:tab w:val="left" w:pos="1871"/>
          <w:tab w:val="left" w:pos="2495"/>
        </w:tabs>
        <w:ind w:left="1247" w:firstLine="0"/>
        <w:rPr>
          <w:lang w:val="fr-FR"/>
        </w:rPr>
      </w:pPr>
      <w:r w:rsidRPr="008C52E5">
        <w:rPr>
          <w:kern w:val="14"/>
          <w:lang w:val="fr-FR" w:eastAsia="ja-JP"/>
        </w:rPr>
        <w:t>Les ré</w:t>
      </w:r>
      <w:r w:rsidR="005A7501" w:rsidRPr="008C52E5">
        <w:rPr>
          <w:kern w:val="14"/>
          <w:lang w:val="fr-FR" w:eastAsia="ja-JP"/>
        </w:rPr>
        <w:t>s</w:t>
      </w:r>
      <w:r w:rsidRPr="008C52E5">
        <w:rPr>
          <w:kern w:val="14"/>
          <w:lang w:val="fr-FR" w:eastAsia="ja-JP"/>
        </w:rPr>
        <w:t>ultats</w:t>
      </w:r>
      <w:r w:rsidR="005A7501" w:rsidRPr="008C52E5">
        <w:rPr>
          <w:kern w:val="14"/>
          <w:lang w:val="fr-FR" w:eastAsia="ja-JP"/>
        </w:rPr>
        <w:t xml:space="preserve"> d’un processus de recensement et d’analyse des besoin</w:t>
      </w:r>
      <w:r w:rsidR="0029063F" w:rsidRPr="008C52E5">
        <w:rPr>
          <w:kern w:val="14"/>
          <w:lang w:val="fr-FR" w:eastAsia="ja-JP"/>
        </w:rPr>
        <w:t>s</w:t>
      </w:r>
      <w:r w:rsidR="00C16A89">
        <w:rPr>
          <w:kern w:val="14"/>
          <w:lang w:val="fr-FR" w:eastAsia="ja-JP"/>
        </w:rPr>
        <w:t xml:space="preserve"> ont non seulement mis en </w:t>
      </w:r>
      <w:r w:rsidR="005A7501" w:rsidRPr="008C52E5">
        <w:rPr>
          <w:kern w:val="14"/>
          <w:lang w:val="fr-FR" w:eastAsia="ja-JP"/>
        </w:rPr>
        <w:t>évidence la diversité des parties prenantes de la Plateforme</w:t>
      </w:r>
      <w:r w:rsidR="001A527A" w:rsidRPr="008C52E5">
        <w:rPr>
          <w:kern w:val="14"/>
          <w:lang w:val="fr-FR" w:eastAsia="ja-JP"/>
        </w:rPr>
        <w:t>,</w:t>
      </w:r>
      <w:r w:rsidR="005A7501" w:rsidRPr="008C52E5">
        <w:rPr>
          <w:kern w:val="14"/>
          <w:lang w:val="fr-FR" w:eastAsia="ja-JP"/>
        </w:rPr>
        <w:t xml:space="preserve"> </w:t>
      </w:r>
      <w:r w:rsidR="001A527A" w:rsidRPr="008C52E5">
        <w:rPr>
          <w:kern w:val="14"/>
          <w:lang w:val="fr-FR" w:eastAsia="ja-JP"/>
        </w:rPr>
        <w:t>mais également souligné la sous</w:t>
      </w:r>
      <w:r w:rsidR="001A527A" w:rsidRPr="008C52E5">
        <w:rPr>
          <w:kern w:val="14"/>
          <w:lang w:val="fr-FR" w:eastAsia="ja-JP"/>
        </w:rPr>
        <w:noBreakHyphen/>
        <w:t>représentation de groupes clef</w:t>
      </w:r>
      <w:r w:rsidR="005A7501" w:rsidRPr="008C52E5">
        <w:rPr>
          <w:kern w:val="14"/>
          <w:lang w:val="fr-FR" w:eastAsia="ja-JP"/>
        </w:rPr>
        <w:t xml:space="preserve">s, notamment </w:t>
      </w:r>
      <w:r w:rsidR="00A61131" w:rsidRPr="008C52E5">
        <w:rPr>
          <w:kern w:val="14"/>
          <w:lang w:val="fr-FR" w:eastAsia="ja-JP"/>
        </w:rPr>
        <w:t>du</w:t>
      </w:r>
      <w:r w:rsidR="0029063F" w:rsidRPr="008C52E5">
        <w:rPr>
          <w:kern w:val="14"/>
          <w:lang w:val="fr-FR" w:eastAsia="ja-JP"/>
        </w:rPr>
        <w:t xml:space="preserve"> secteur privé, </w:t>
      </w:r>
      <w:r w:rsidR="00A61131" w:rsidRPr="008C52E5">
        <w:rPr>
          <w:kern w:val="14"/>
          <w:lang w:val="fr-FR" w:eastAsia="ja-JP"/>
        </w:rPr>
        <w:t>d</w:t>
      </w:r>
      <w:r w:rsidR="0029063F" w:rsidRPr="008C52E5">
        <w:rPr>
          <w:kern w:val="14"/>
          <w:lang w:val="fr-FR" w:eastAsia="ja-JP"/>
        </w:rPr>
        <w:t xml:space="preserve">es peuples autochtones et </w:t>
      </w:r>
      <w:r w:rsidR="00A61131" w:rsidRPr="008C52E5">
        <w:rPr>
          <w:kern w:val="14"/>
          <w:lang w:val="fr-FR" w:eastAsia="ja-JP"/>
        </w:rPr>
        <w:t>d</w:t>
      </w:r>
      <w:r w:rsidR="00C16A89">
        <w:rPr>
          <w:kern w:val="14"/>
          <w:lang w:val="fr-FR" w:eastAsia="ja-JP"/>
        </w:rPr>
        <w:t>es </w:t>
      </w:r>
      <w:r w:rsidR="0029063F" w:rsidRPr="008C52E5">
        <w:rPr>
          <w:kern w:val="14"/>
          <w:lang w:val="fr-FR" w:eastAsia="ja-JP"/>
        </w:rPr>
        <w:t>populations locales, en particulier dans certaines régions</w:t>
      </w:r>
      <w:r w:rsidR="009E6502" w:rsidRPr="008C52E5">
        <w:rPr>
          <w:kern w:val="14"/>
          <w:lang w:val="fr-FR" w:eastAsia="ja-JP"/>
        </w:rPr>
        <w:t>.</w:t>
      </w:r>
      <w:r w:rsidR="0029063F" w:rsidRPr="008C52E5">
        <w:rPr>
          <w:kern w:val="14"/>
          <w:lang w:val="fr-FR" w:eastAsia="ja-JP"/>
        </w:rPr>
        <w:t xml:space="preserve"> L’enquête a également mis en évidence des incitations et des barrières majeures à une </w:t>
      </w:r>
      <w:r w:rsidR="001A527A" w:rsidRPr="008C52E5">
        <w:rPr>
          <w:kern w:val="14"/>
          <w:lang w:val="fr-FR" w:eastAsia="ja-JP"/>
        </w:rPr>
        <w:t xml:space="preserve">plus grande </w:t>
      </w:r>
      <w:r w:rsidR="0029063F" w:rsidRPr="008C52E5">
        <w:rPr>
          <w:kern w:val="14"/>
          <w:lang w:val="fr-FR" w:eastAsia="ja-JP"/>
        </w:rPr>
        <w:t>participati</w:t>
      </w:r>
      <w:r w:rsidR="00C16A89">
        <w:rPr>
          <w:kern w:val="14"/>
          <w:lang w:val="fr-FR" w:eastAsia="ja-JP"/>
        </w:rPr>
        <w:t>on des parties prenantes aux </w:t>
      </w:r>
      <w:r w:rsidR="0029063F" w:rsidRPr="008C52E5">
        <w:rPr>
          <w:kern w:val="14"/>
          <w:lang w:val="fr-FR" w:eastAsia="ja-JP"/>
        </w:rPr>
        <w:t>travaux de la Plateforme</w:t>
      </w:r>
      <w:r w:rsidR="009E6502" w:rsidRPr="008C52E5">
        <w:rPr>
          <w:kern w:val="14"/>
          <w:lang w:val="fr-FR" w:eastAsia="ja-JP"/>
        </w:rPr>
        <w:t>.</w:t>
      </w:r>
      <w:r w:rsidR="0029063F" w:rsidRPr="008C52E5">
        <w:rPr>
          <w:kern w:val="14"/>
          <w:lang w:val="fr-FR" w:eastAsia="ja-JP"/>
        </w:rPr>
        <w:t xml:space="preserve"> Le secrétariat a collaboré avec les équipes spéciales</w:t>
      </w:r>
      <w:r w:rsidR="00E07DE5" w:rsidRPr="008C52E5">
        <w:rPr>
          <w:kern w:val="14"/>
          <w:lang w:val="fr-FR" w:eastAsia="ja-JP"/>
        </w:rPr>
        <w:t xml:space="preserve">, les plateformes nationales </w:t>
      </w:r>
      <w:r w:rsidR="00ED60CC" w:rsidRPr="008C52E5">
        <w:rPr>
          <w:kern w:val="14"/>
          <w:lang w:val="fr-FR" w:eastAsia="ja-JP"/>
        </w:rPr>
        <w:t xml:space="preserve">existantes et nouvelles </w:t>
      </w:r>
      <w:r w:rsidR="00E07DE5" w:rsidRPr="008C52E5">
        <w:rPr>
          <w:kern w:val="14"/>
          <w:lang w:val="fr-FR" w:eastAsia="ja-JP"/>
        </w:rPr>
        <w:t>de la Plateforme ainsi que les réseaux de parties prenantes de la Plateforme auto-organisés en vue de commencer à relever ces défis</w:t>
      </w:r>
      <w:r w:rsidR="009E6502" w:rsidRPr="008C52E5">
        <w:rPr>
          <w:kern w:val="14"/>
          <w:lang w:val="fr-FR" w:eastAsia="ja-JP"/>
        </w:rPr>
        <w:t xml:space="preserve">. </w:t>
      </w:r>
      <w:r w:rsidR="00E07DE5" w:rsidRPr="008C52E5">
        <w:rPr>
          <w:kern w:val="14"/>
          <w:lang w:val="fr-FR" w:eastAsia="ja-JP"/>
        </w:rPr>
        <w:t>Au cours du p</w:t>
      </w:r>
      <w:r w:rsidR="003534E9">
        <w:rPr>
          <w:kern w:val="14"/>
          <w:lang w:val="fr-FR" w:eastAsia="ja-JP"/>
        </w:rPr>
        <w:t>remier programme de travail, il </w:t>
      </w:r>
      <w:r w:rsidR="00E07DE5" w:rsidRPr="008C52E5">
        <w:rPr>
          <w:kern w:val="14"/>
          <w:lang w:val="fr-FR" w:eastAsia="ja-JP"/>
        </w:rPr>
        <w:t xml:space="preserve">est apparu que la mise en œuvre des deux mandats distincts </w:t>
      </w:r>
      <w:r w:rsidR="001A527A" w:rsidRPr="008C52E5">
        <w:rPr>
          <w:kern w:val="14"/>
          <w:lang w:val="fr-FR" w:eastAsia="ja-JP"/>
        </w:rPr>
        <w:t xml:space="preserve">concernant </w:t>
      </w:r>
      <w:r w:rsidR="003534E9">
        <w:rPr>
          <w:kern w:val="14"/>
          <w:lang w:val="fr-FR" w:eastAsia="ja-JP"/>
        </w:rPr>
        <w:t>la communication et la </w:t>
      </w:r>
      <w:r w:rsidR="00E07DE5" w:rsidRPr="008C52E5">
        <w:rPr>
          <w:kern w:val="14"/>
          <w:lang w:val="fr-FR" w:eastAsia="ja-JP"/>
        </w:rPr>
        <w:t xml:space="preserve">participation des parties prenantes </w:t>
      </w:r>
      <w:r w:rsidR="0061290E" w:rsidRPr="008C52E5">
        <w:rPr>
          <w:kern w:val="14"/>
          <w:lang w:val="fr-FR" w:eastAsia="ja-JP"/>
        </w:rPr>
        <w:t xml:space="preserve">convergeait de plus en plus. Cette constatation était particulièrement évidente dans le cadre de l’utilisation élargie des médias sociaux, des matériels audiovisuels, du site Web de la Plateforme et des technologies </w:t>
      </w:r>
      <w:r w:rsidR="001A527A" w:rsidRPr="008C52E5">
        <w:rPr>
          <w:kern w:val="14"/>
          <w:lang w:val="fr-FR" w:eastAsia="ja-JP"/>
        </w:rPr>
        <w:t xml:space="preserve">informatiques </w:t>
      </w:r>
      <w:r w:rsidR="0061290E" w:rsidRPr="008C52E5">
        <w:rPr>
          <w:kern w:val="14"/>
          <w:lang w:val="fr-FR" w:eastAsia="ja-JP"/>
        </w:rPr>
        <w:t xml:space="preserve">visant à </w:t>
      </w:r>
      <w:r w:rsidR="00506DFC" w:rsidRPr="008C52E5">
        <w:rPr>
          <w:kern w:val="14"/>
          <w:lang w:val="fr-FR" w:eastAsia="ja-JP"/>
        </w:rPr>
        <w:t>intensifier</w:t>
      </w:r>
      <w:r w:rsidR="003534E9">
        <w:rPr>
          <w:kern w:val="14"/>
          <w:lang w:val="fr-FR" w:eastAsia="ja-JP"/>
        </w:rPr>
        <w:t xml:space="preserve"> et à </w:t>
      </w:r>
      <w:r w:rsidR="0061290E" w:rsidRPr="008C52E5">
        <w:rPr>
          <w:kern w:val="14"/>
          <w:lang w:val="fr-FR" w:eastAsia="ja-JP"/>
        </w:rPr>
        <w:t>améliorer la participation des parties prenantes aux travaux de la Plateforme</w:t>
      </w:r>
      <w:r w:rsidR="009E6502" w:rsidRPr="008C52E5">
        <w:rPr>
          <w:kern w:val="14"/>
          <w:lang w:val="fr-FR" w:eastAsia="ja-JP"/>
        </w:rPr>
        <w:t xml:space="preserve">. </w:t>
      </w:r>
    </w:p>
    <w:p w14:paraId="790C4DE5" w14:textId="1360BB21" w:rsidR="005C1C71" w:rsidRDefault="002504F5" w:rsidP="009E6502">
      <w:pPr>
        <w:pStyle w:val="Normalnumber"/>
        <w:numPr>
          <w:ilvl w:val="0"/>
          <w:numId w:val="5"/>
        </w:numPr>
        <w:tabs>
          <w:tab w:val="left" w:pos="1871"/>
          <w:tab w:val="left" w:pos="2495"/>
        </w:tabs>
        <w:ind w:left="1247" w:firstLine="0"/>
        <w:rPr>
          <w:lang w:val="fr-FR"/>
        </w:rPr>
      </w:pPr>
      <w:r w:rsidRPr="008C52E5">
        <w:rPr>
          <w:lang w:val="fr-FR"/>
        </w:rPr>
        <w:t>Le produit </w:t>
      </w:r>
      <w:r w:rsidR="009E6502" w:rsidRPr="008C52E5">
        <w:rPr>
          <w:lang w:val="fr-FR"/>
        </w:rPr>
        <w:t>5</w:t>
      </w:r>
      <w:r w:rsidRPr="008C52E5">
        <w:rPr>
          <w:lang w:val="fr-FR"/>
        </w:rPr>
        <w:t> </w:t>
      </w:r>
      <w:r w:rsidR="00324323" w:rsidRPr="008C52E5">
        <w:rPr>
          <w:lang w:val="fr-FR"/>
        </w:rPr>
        <w:t>b)</w:t>
      </w:r>
      <w:r w:rsidR="00E05772" w:rsidRPr="008C52E5">
        <w:rPr>
          <w:lang w:val="fr-FR"/>
        </w:rPr>
        <w:t xml:space="preserve"> </w:t>
      </w:r>
      <w:r w:rsidRPr="008C52E5">
        <w:rPr>
          <w:lang w:val="fr-FR"/>
        </w:rPr>
        <w:t xml:space="preserve">comprendra des activités visant à </w:t>
      </w:r>
      <w:r w:rsidR="00506DFC" w:rsidRPr="008C52E5">
        <w:rPr>
          <w:lang w:val="fr-FR"/>
        </w:rPr>
        <w:t xml:space="preserve">continuer de mettre </w:t>
      </w:r>
      <w:r w:rsidRPr="008C52E5">
        <w:rPr>
          <w:lang w:val="fr-FR"/>
        </w:rPr>
        <w:t>en œuvre la stratégie d’association des parties prenantes pour la Plateforme</w:t>
      </w:r>
      <w:r w:rsidR="009E6502" w:rsidRPr="008C52E5">
        <w:rPr>
          <w:lang w:val="fr-FR"/>
        </w:rPr>
        <w:t xml:space="preserve">. </w:t>
      </w:r>
      <w:r w:rsidRPr="008C52E5">
        <w:rPr>
          <w:lang w:val="fr-FR"/>
        </w:rPr>
        <w:t>Parmi les domai</w:t>
      </w:r>
      <w:r w:rsidR="00C16A89">
        <w:rPr>
          <w:lang w:val="fr-FR"/>
        </w:rPr>
        <w:t>nes d’intervention appelant des </w:t>
      </w:r>
      <w:r w:rsidRPr="008C52E5">
        <w:rPr>
          <w:lang w:val="fr-FR"/>
        </w:rPr>
        <w:t>améliorations</w:t>
      </w:r>
      <w:r w:rsidR="00FC6A7B" w:rsidRPr="008C52E5">
        <w:rPr>
          <w:lang w:val="fr-FR"/>
        </w:rPr>
        <w:t xml:space="preserve"> au niveau de la mise en œuvre de la stratégie d’association des parties prenantes</w:t>
      </w:r>
      <w:r w:rsidRPr="008C52E5">
        <w:rPr>
          <w:lang w:val="fr-FR"/>
        </w:rPr>
        <w:t xml:space="preserve"> figureront </w:t>
      </w:r>
      <w:r w:rsidR="00FC6A7B" w:rsidRPr="008C52E5">
        <w:rPr>
          <w:lang w:val="fr-FR"/>
        </w:rPr>
        <w:t>le renforcement des réseaux de parties prenantes et des plate</w:t>
      </w:r>
      <w:r w:rsidR="003534E9">
        <w:rPr>
          <w:lang w:val="fr-FR"/>
        </w:rPr>
        <w:t>formes nationales existants, la </w:t>
      </w:r>
      <w:r w:rsidR="00FC6A7B" w:rsidRPr="008C52E5">
        <w:rPr>
          <w:lang w:val="fr-FR"/>
        </w:rPr>
        <w:t>facilitation de la mise en place de nouvelles plateformes nationales</w:t>
      </w:r>
      <w:r w:rsidR="004A38A0" w:rsidRPr="008C52E5">
        <w:rPr>
          <w:lang w:val="fr-FR"/>
        </w:rPr>
        <w:t xml:space="preserve">, une meilleure utilisation des </w:t>
      </w:r>
    </w:p>
    <w:p w14:paraId="11B48EF5" w14:textId="77777777" w:rsidR="005C1C71" w:rsidRDefault="005C1C71">
      <w:pPr>
        <w:spacing w:after="0" w:line="240" w:lineRule="auto"/>
        <w:rPr>
          <w:rFonts w:ascii="Times New Roman" w:eastAsia="Times New Roman" w:hAnsi="Times New Roman"/>
          <w:sz w:val="20"/>
          <w:szCs w:val="20"/>
          <w:lang w:val="fr-FR"/>
        </w:rPr>
      </w:pPr>
      <w:r>
        <w:rPr>
          <w:lang w:val="fr-FR"/>
        </w:rPr>
        <w:br w:type="page"/>
      </w:r>
    </w:p>
    <w:p w14:paraId="761B1D85" w14:textId="68153C3B" w:rsidR="009E6502" w:rsidRPr="008C52E5" w:rsidRDefault="004A38A0" w:rsidP="005C1C71">
      <w:pPr>
        <w:pStyle w:val="Normalnumber"/>
        <w:numPr>
          <w:ilvl w:val="0"/>
          <w:numId w:val="0"/>
        </w:numPr>
        <w:tabs>
          <w:tab w:val="left" w:pos="1871"/>
          <w:tab w:val="left" w:pos="2495"/>
        </w:tabs>
        <w:ind w:left="1247"/>
        <w:rPr>
          <w:lang w:val="fr-FR" w:eastAsia="en-GB"/>
        </w:rPr>
      </w:pPr>
      <w:proofErr w:type="gramStart"/>
      <w:r w:rsidRPr="008C52E5">
        <w:rPr>
          <w:lang w:val="fr-FR"/>
        </w:rPr>
        <w:t>manifestations</w:t>
      </w:r>
      <w:proofErr w:type="gramEnd"/>
      <w:r w:rsidRPr="008C52E5">
        <w:rPr>
          <w:lang w:val="fr-FR"/>
        </w:rPr>
        <w:t xml:space="preserve"> de promotion de la Plateforme visant à associer les </w:t>
      </w:r>
      <w:r w:rsidR="003534E9">
        <w:rPr>
          <w:lang w:val="fr-FR"/>
        </w:rPr>
        <w:t>correspondants nationaux et les </w:t>
      </w:r>
      <w:r w:rsidRPr="008C52E5">
        <w:rPr>
          <w:lang w:val="fr-FR"/>
        </w:rPr>
        <w:t>décideurs, notamment les group</w:t>
      </w:r>
      <w:r w:rsidR="00506DFC" w:rsidRPr="008C52E5">
        <w:rPr>
          <w:lang w:val="fr-FR"/>
        </w:rPr>
        <w:t>e</w:t>
      </w:r>
      <w:r w:rsidRPr="008C52E5">
        <w:rPr>
          <w:lang w:val="fr-FR"/>
        </w:rPr>
        <w:t>s de parties prenantes difficiles à att</w:t>
      </w:r>
      <w:r w:rsidR="003534E9">
        <w:rPr>
          <w:lang w:val="fr-FR"/>
        </w:rPr>
        <w:t>eindre, et la production par le </w:t>
      </w:r>
      <w:r w:rsidRPr="008C52E5">
        <w:rPr>
          <w:lang w:val="fr-FR"/>
        </w:rPr>
        <w:t xml:space="preserve">secrétariat de matériels et ressources d’information </w:t>
      </w:r>
      <w:r w:rsidR="00ED60CC" w:rsidRPr="008C52E5">
        <w:rPr>
          <w:lang w:val="fr-FR"/>
        </w:rPr>
        <w:t>à l’intention des</w:t>
      </w:r>
      <w:r w:rsidR="003534E9">
        <w:rPr>
          <w:lang w:val="fr-FR"/>
        </w:rPr>
        <w:t xml:space="preserve"> parties prenantes dans les six </w:t>
      </w:r>
      <w:r w:rsidRPr="008C52E5">
        <w:rPr>
          <w:lang w:val="fr-FR"/>
        </w:rPr>
        <w:t>lang</w:t>
      </w:r>
      <w:r w:rsidR="00527B20" w:rsidRPr="008C52E5">
        <w:rPr>
          <w:lang w:val="fr-FR"/>
        </w:rPr>
        <w:t>u</w:t>
      </w:r>
      <w:r w:rsidRPr="008C52E5">
        <w:rPr>
          <w:lang w:val="fr-FR"/>
        </w:rPr>
        <w:t>es officielles de l’ONU</w:t>
      </w:r>
      <w:r w:rsidR="009E6502" w:rsidRPr="008C52E5">
        <w:rPr>
          <w:lang w:val="fr-FR"/>
        </w:rPr>
        <w:t>.</w:t>
      </w:r>
    </w:p>
    <w:p w14:paraId="09485D4C" w14:textId="4050919A" w:rsidR="009E6502" w:rsidRPr="008C52E5" w:rsidRDefault="00527B20" w:rsidP="005C1C71">
      <w:pPr>
        <w:pStyle w:val="Normalnumber"/>
        <w:keepNext/>
        <w:keepLines/>
        <w:numPr>
          <w:ilvl w:val="0"/>
          <w:numId w:val="5"/>
        </w:numPr>
        <w:tabs>
          <w:tab w:val="left" w:pos="1871"/>
          <w:tab w:val="left" w:pos="2495"/>
        </w:tabs>
        <w:ind w:left="1247" w:firstLine="0"/>
        <w:rPr>
          <w:lang w:val="fr-FR" w:eastAsia="en-GB"/>
        </w:rPr>
      </w:pPr>
      <w:r w:rsidRPr="008C52E5">
        <w:rPr>
          <w:lang w:val="fr-FR" w:eastAsia="en-GB"/>
        </w:rPr>
        <w:t xml:space="preserve">Un aperçu des travaux entrepris depuis la sixième session de la Plénière ainsi que les mesures proposées concernant la participation des parties prenantes sont </w:t>
      </w:r>
      <w:proofErr w:type="gramStart"/>
      <w:r w:rsidRPr="008C52E5">
        <w:rPr>
          <w:lang w:val="fr-FR" w:eastAsia="en-GB"/>
        </w:rPr>
        <w:t>présentés</w:t>
      </w:r>
      <w:proofErr w:type="gramEnd"/>
      <w:r w:rsidRPr="008C52E5">
        <w:rPr>
          <w:lang w:val="fr-FR" w:eastAsia="en-GB"/>
        </w:rPr>
        <w:t xml:space="preserve"> dans le document</w:t>
      </w:r>
      <w:r w:rsidR="003534E9">
        <w:rPr>
          <w:lang w:val="fr-FR" w:eastAsia="en-GB"/>
        </w:rPr>
        <w:t> </w:t>
      </w:r>
      <w:r w:rsidR="009E6502" w:rsidRPr="008C52E5">
        <w:rPr>
          <w:lang w:val="fr-FR" w:eastAsia="en-GB"/>
        </w:rPr>
        <w:t>IPBES/7/INF/14</w:t>
      </w:r>
      <w:r w:rsidR="00F15856" w:rsidRPr="008C52E5">
        <w:rPr>
          <w:lang w:val="fr-FR" w:eastAsia="en-GB"/>
        </w:rPr>
        <w:t xml:space="preserve">. </w:t>
      </w:r>
      <w:r w:rsidRPr="008C52E5">
        <w:rPr>
          <w:lang w:val="fr-FR" w:eastAsia="en-GB"/>
        </w:rPr>
        <w:t xml:space="preserve">De plus amples informations sur la collaboration et les partenariats figurent dans le </w:t>
      </w:r>
      <w:r w:rsidR="003534E9">
        <w:rPr>
          <w:lang w:val="fr-FR" w:eastAsia="en-GB"/>
        </w:rPr>
        <w:t>document </w:t>
      </w:r>
      <w:r w:rsidR="009E6502" w:rsidRPr="008C52E5">
        <w:rPr>
          <w:lang w:val="fr-FR" w:eastAsia="en-GB"/>
        </w:rPr>
        <w:t>IPBES/7/INF/15.</w:t>
      </w:r>
    </w:p>
    <w:p w14:paraId="382FE854" w14:textId="6AFB5D0E" w:rsidR="003C0477" w:rsidRPr="008C52E5" w:rsidRDefault="00CB3B9B" w:rsidP="00956108">
      <w:pPr>
        <w:pStyle w:val="CH3"/>
        <w:tabs>
          <w:tab w:val="clear" w:pos="851"/>
        </w:tabs>
        <w:ind w:hanging="680"/>
        <w:rPr>
          <w:lang w:val="fr-FR"/>
        </w:rPr>
      </w:pPr>
      <w:r w:rsidRPr="008C52E5">
        <w:rPr>
          <w:rFonts w:eastAsia="SimSun"/>
          <w:lang w:val="fr-FR" w:eastAsia="zh-CN"/>
        </w:rPr>
        <w:t>2.</w:t>
      </w:r>
      <w:r w:rsidRPr="008C52E5">
        <w:rPr>
          <w:rFonts w:eastAsia="SimSun"/>
          <w:lang w:val="fr-FR" w:eastAsia="zh-CN"/>
        </w:rPr>
        <w:tab/>
      </w:r>
      <w:r w:rsidR="007332E2" w:rsidRPr="008C52E5">
        <w:rPr>
          <w:rFonts w:eastAsia="SimSun"/>
          <w:lang w:val="fr-FR" w:eastAsia="zh-CN"/>
        </w:rPr>
        <w:t>Hypothèses et dispositions institutionnelles</w:t>
      </w:r>
    </w:p>
    <w:p w14:paraId="20F0AF71" w14:textId="6AD37F3E" w:rsidR="00AD58C0" w:rsidRPr="008C52E5" w:rsidRDefault="00B709DC" w:rsidP="009E6502">
      <w:pPr>
        <w:pStyle w:val="Normalnumber"/>
        <w:numPr>
          <w:ilvl w:val="0"/>
          <w:numId w:val="5"/>
        </w:numPr>
        <w:tabs>
          <w:tab w:val="left" w:pos="1871"/>
          <w:tab w:val="left" w:pos="2495"/>
        </w:tabs>
        <w:ind w:left="1247" w:firstLine="0"/>
        <w:rPr>
          <w:lang w:val="fr-FR"/>
        </w:rPr>
      </w:pPr>
      <w:r w:rsidRPr="008C52E5">
        <w:rPr>
          <w:lang w:val="fr-FR"/>
        </w:rPr>
        <w:t xml:space="preserve">On suppose que </w:t>
      </w:r>
      <w:r w:rsidR="00D57833" w:rsidRPr="008C52E5">
        <w:rPr>
          <w:lang w:val="fr-FR"/>
        </w:rPr>
        <w:t>le secrétariat coordonnera l</w:t>
      </w:r>
      <w:r w:rsidRPr="008C52E5">
        <w:rPr>
          <w:lang w:val="fr-FR"/>
        </w:rPr>
        <w:t>a réalisation du</w:t>
      </w:r>
      <w:r w:rsidR="00D57833" w:rsidRPr="008C52E5">
        <w:rPr>
          <w:lang w:val="fr-FR"/>
        </w:rPr>
        <w:t xml:space="preserve"> produit </w:t>
      </w:r>
      <w:r w:rsidR="008567A6" w:rsidRPr="008C52E5">
        <w:rPr>
          <w:lang w:val="fr-FR"/>
        </w:rPr>
        <w:t>5</w:t>
      </w:r>
      <w:r w:rsidR="00D57833" w:rsidRPr="008C52E5">
        <w:rPr>
          <w:lang w:val="fr-FR"/>
        </w:rPr>
        <w:t> </w:t>
      </w:r>
      <w:r w:rsidR="008567A6" w:rsidRPr="008C52E5">
        <w:rPr>
          <w:lang w:val="fr-FR"/>
        </w:rPr>
        <w:t>b</w:t>
      </w:r>
      <w:r w:rsidR="00B90361" w:rsidRPr="008C52E5">
        <w:rPr>
          <w:lang w:val="fr-FR"/>
        </w:rPr>
        <w:t>)</w:t>
      </w:r>
      <w:r w:rsidR="008567A6" w:rsidRPr="008C52E5">
        <w:rPr>
          <w:lang w:val="fr-FR"/>
        </w:rPr>
        <w:t xml:space="preserve">, </w:t>
      </w:r>
      <w:r w:rsidR="00C16A89">
        <w:rPr>
          <w:lang w:val="fr-FR"/>
        </w:rPr>
        <w:t>renforçant la </w:t>
      </w:r>
      <w:r w:rsidR="00D57833" w:rsidRPr="008C52E5">
        <w:rPr>
          <w:lang w:val="fr-FR"/>
        </w:rPr>
        <w:t>participation des gouvernements et d’autres parties prenantes</w:t>
      </w:r>
      <w:r w:rsidR="008567A6" w:rsidRPr="008C52E5">
        <w:rPr>
          <w:lang w:val="fr-FR"/>
        </w:rPr>
        <w:t>,</w:t>
      </w:r>
      <w:r w:rsidR="00D57833" w:rsidRPr="008C52E5">
        <w:rPr>
          <w:lang w:val="fr-FR"/>
        </w:rPr>
        <w:t xml:space="preserve"> y</w:t>
      </w:r>
      <w:r w:rsidR="00C16A89">
        <w:rPr>
          <w:lang w:val="fr-FR"/>
        </w:rPr>
        <w:t xml:space="preserve"> compris la mise en œuvre de la </w:t>
      </w:r>
      <w:r w:rsidR="00D57833" w:rsidRPr="008C52E5">
        <w:rPr>
          <w:lang w:val="fr-FR"/>
        </w:rPr>
        <w:t>stratégie d’association des parties prenantes et la collaboration avec les secrétariats d’accords multilatéraux sur l’environnement</w:t>
      </w:r>
      <w:r w:rsidR="00B86A7C" w:rsidRPr="008C52E5">
        <w:rPr>
          <w:lang w:val="fr-FR"/>
        </w:rPr>
        <w:t>,</w:t>
      </w:r>
      <w:r w:rsidR="00D57833" w:rsidRPr="008C52E5">
        <w:rPr>
          <w:lang w:val="fr-FR"/>
        </w:rPr>
        <w:t xml:space="preserve"> des organismes des Nations Unies et </w:t>
      </w:r>
      <w:r w:rsidR="003534E9">
        <w:rPr>
          <w:lang w:val="fr-FR"/>
        </w:rPr>
        <w:t>d’autres organisations, sous la </w:t>
      </w:r>
      <w:r w:rsidR="00D57833" w:rsidRPr="008C52E5">
        <w:rPr>
          <w:lang w:val="fr-FR"/>
        </w:rPr>
        <w:t>supervision du Bureau et avec la participation active du Groupe</w:t>
      </w:r>
      <w:r w:rsidR="008567A6" w:rsidRPr="008C52E5">
        <w:rPr>
          <w:lang w:val="fr-FR"/>
        </w:rPr>
        <w:t>.</w:t>
      </w:r>
    </w:p>
    <w:p w14:paraId="4C873C1F" w14:textId="332F8431" w:rsidR="00AD58C0" w:rsidRPr="008C52E5" w:rsidRDefault="00D57833" w:rsidP="009E6502">
      <w:pPr>
        <w:pStyle w:val="Normalnumber"/>
        <w:numPr>
          <w:ilvl w:val="0"/>
          <w:numId w:val="5"/>
        </w:numPr>
        <w:tabs>
          <w:tab w:val="left" w:pos="1871"/>
          <w:tab w:val="left" w:pos="2495"/>
        </w:tabs>
        <w:ind w:left="1247" w:firstLine="0"/>
        <w:rPr>
          <w:lang w:val="fr-FR"/>
        </w:rPr>
      </w:pPr>
      <w:r w:rsidRPr="008C52E5">
        <w:rPr>
          <w:lang w:val="fr-FR"/>
        </w:rPr>
        <w:t xml:space="preserve">Le secrétariat peut conclure des accords avec des institutions partenaires pour la </w:t>
      </w:r>
      <w:r w:rsidR="00B709DC" w:rsidRPr="008C52E5">
        <w:rPr>
          <w:lang w:val="fr-FR"/>
        </w:rPr>
        <w:t xml:space="preserve">prestation </w:t>
      </w:r>
      <w:r w:rsidRPr="008C52E5">
        <w:rPr>
          <w:lang w:val="fr-FR"/>
        </w:rPr>
        <w:t xml:space="preserve">d’un appui technique </w:t>
      </w:r>
      <w:r w:rsidR="00B709DC" w:rsidRPr="008C52E5">
        <w:rPr>
          <w:lang w:val="fr-FR"/>
        </w:rPr>
        <w:t xml:space="preserve">sur approbation du </w:t>
      </w:r>
      <w:r w:rsidRPr="008C52E5">
        <w:rPr>
          <w:lang w:val="fr-FR"/>
        </w:rPr>
        <w:t>Bureau. Cet appui techniqu</w:t>
      </w:r>
      <w:r w:rsidR="00C16A89">
        <w:rPr>
          <w:lang w:val="fr-FR"/>
        </w:rPr>
        <w:t>e sera financé en partie par la </w:t>
      </w:r>
      <w:r w:rsidRPr="008C52E5">
        <w:rPr>
          <w:lang w:val="fr-FR"/>
        </w:rPr>
        <w:t>Plateforme et en partie par les contributions en nature approuvées par la Plénière</w:t>
      </w:r>
      <w:r w:rsidR="00AD58C0" w:rsidRPr="008C52E5">
        <w:rPr>
          <w:lang w:val="fr-FR"/>
        </w:rPr>
        <w:t>.</w:t>
      </w:r>
    </w:p>
    <w:p w14:paraId="7B1A4255" w14:textId="312D8580" w:rsidR="003C0477" w:rsidRPr="008C52E5" w:rsidRDefault="00CB3B9B" w:rsidP="00956108">
      <w:pPr>
        <w:pStyle w:val="CH3"/>
        <w:tabs>
          <w:tab w:val="clear" w:pos="851"/>
        </w:tabs>
        <w:ind w:hanging="680"/>
        <w:rPr>
          <w:rFonts w:eastAsia="SimSun"/>
          <w:lang w:val="fr-FR" w:eastAsia="zh-CN"/>
        </w:rPr>
      </w:pPr>
      <w:r w:rsidRPr="008C52E5">
        <w:rPr>
          <w:rFonts w:eastAsia="SimSun"/>
          <w:lang w:val="fr-FR" w:eastAsia="zh-CN"/>
        </w:rPr>
        <w:t>3.</w:t>
      </w:r>
      <w:r w:rsidRPr="008C52E5">
        <w:rPr>
          <w:rFonts w:eastAsia="SimSun"/>
          <w:lang w:val="fr-FR" w:eastAsia="zh-CN"/>
        </w:rPr>
        <w:tab/>
      </w:r>
      <w:r w:rsidR="00D57833" w:rsidRPr="008C52E5">
        <w:rPr>
          <w:rFonts w:eastAsia="SimSun"/>
          <w:lang w:val="fr-FR" w:eastAsia="zh-CN"/>
        </w:rPr>
        <w:t>Réunions et étapes intermédiaires</w:t>
      </w:r>
    </w:p>
    <w:p w14:paraId="396FA540" w14:textId="3EC28A3E" w:rsidR="003C0477" w:rsidRPr="008C52E5" w:rsidRDefault="00D57833" w:rsidP="009E6502">
      <w:pPr>
        <w:pStyle w:val="Normalnumber"/>
        <w:numPr>
          <w:ilvl w:val="0"/>
          <w:numId w:val="5"/>
        </w:numPr>
        <w:tabs>
          <w:tab w:val="left" w:pos="1871"/>
          <w:tab w:val="left" w:pos="2495"/>
        </w:tabs>
        <w:ind w:left="1247" w:firstLine="0"/>
        <w:rPr>
          <w:lang w:val="fr-FR"/>
        </w:rPr>
      </w:pPr>
      <w:r w:rsidRPr="008C52E5">
        <w:rPr>
          <w:lang w:val="fr-FR"/>
        </w:rPr>
        <w:t xml:space="preserve">Un aperçu des </w:t>
      </w:r>
      <w:r w:rsidR="00B709DC" w:rsidRPr="008C52E5">
        <w:rPr>
          <w:lang w:val="fr-FR"/>
        </w:rPr>
        <w:t>activités</w:t>
      </w:r>
      <w:r w:rsidRPr="008C52E5">
        <w:rPr>
          <w:lang w:val="fr-FR"/>
        </w:rPr>
        <w:t xml:space="preserve"> à mener </w:t>
      </w:r>
      <w:r w:rsidR="00B709DC" w:rsidRPr="008C52E5">
        <w:rPr>
          <w:lang w:val="fr-FR"/>
        </w:rPr>
        <w:t xml:space="preserve">au titre </w:t>
      </w:r>
      <w:r w:rsidRPr="008C52E5">
        <w:rPr>
          <w:lang w:val="fr-FR"/>
        </w:rPr>
        <w:t xml:space="preserve">de ce produit est présenté ci-après. Un projet de budget </w:t>
      </w:r>
      <w:r w:rsidR="00B709DC" w:rsidRPr="008C52E5">
        <w:rPr>
          <w:lang w:val="fr-FR"/>
        </w:rPr>
        <w:t xml:space="preserve">correspondant </w:t>
      </w:r>
      <w:r w:rsidRPr="008C52E5">
        <w:rPr>
          <w:lang w:val="fr-FR"/>
        </w:rPr>
        <w:t xml:space="preserve">figure dans le tableau A-14 dans l’annexe </w:t>
      </w:r>
      <w:r w:rsidR="00B709DC" w:rsidRPr="008C52E5">
        <w:rPr>
          <w:lang w:val="fr-FR"/>
        </w:rPr>
        <w:t>d</w:t>
      </w:r>
      <w:r w:rsidR="003534E9">
        <w:rPr>
          <w:lang w:val="fr-FR"/>
        </w:rPr>
        <w:t>u document </w:t>
      </w:r>
      <w:r w:rsidR="003C0477" w:rsidRPr="008C52E5">
        <w:rPr>
          <w:lang w:val="fr-FR"/>
        </w:rPr>
        <w:t>IPBES/7/4.</w:t>
      </w:r>
      <w:r w:rsidR="00964E9B" w:rsidRPr="008C52E5">
        <w:rPr>
          <w:lang w:val="fr-FR"/>
        </w:rPr>
        <w:t xml:space="preserve"> </w:t>
      </w:r>
    </w:p>
    <w:tbl>
      <w:tblPr>
        <w:tblW w:w="8352" w:type="dxa"/>
        <w:tblInd w:w="1248" w:type="dxa"/>
        <w:tblLook w:val="04A0" w:firstRow="1" w:lastRow="0" w:firstColumn="1" w:lastColumn="0" w:noHBand="0" w:noVBand="1"/>
      </w:tblPr>
      <w:tblGrid>
        <w:gridCol w:w="1236"/>
        <w:gridCol w:w="7116"/>
      </w:tblGrid>
      <w:tr w:rsidR="003C0477" w:rsidRPr="008C52E5" w14:paraId="7C0710A4" w14:textId="77777777" w:rsidTr="005C34BE">
        <w:trPr>
          <w:trHeight w:val="233"/>
          <w:tblHeader/>
        </w:trPr>
        <w:tc>
          <w:tcPr>
            <w:tcW w:w="1152" w:type="dxa"/>
            <w:tcBorders>
              <w:top w:val="single" w:sz="4" w:space="0" w:color="auto"/>
              <w:bottom w:val="single" w:sz="12" w:space="0" w:color="auto"/>
            </w:tcBorders>
            <w:shd w:val="clear" w:color="auto" w:fill="auto"/>
            <w:vAlign w:val="center"/>
          </w:tcPr>
          <w:p w14:paraId="0B235129" w14:textId="6896C3DA" w:rsidR="003C0477" w:rsidRPr="008C52E5" w:rsidDel="003F5A7B" w:rsidRDefault="00D57833" w:rsidP="00ED76A4">
            <w:pPr>
              <w:pStyle w:val="Normal-pool"/>
              <w:spacing w:before="40" w:after="40"/>
              <w:rPr>
                <w:rFonts w:eastAsia="SimSun"/>
                <w:sz w:val="18"/>
                <w:szCs w:val="18"/>
                <w:lang w:val="fr-FR" w:eastAsia="zh-CN"/>
              </w:rPr>
            </w:pPr>
            <w:r w:rsidRPr="008C52E5">
              <w:rPr>
                <w:rFonts w:eastAsia="SimSun"/>
                <w:i/>
                <w:sz w:val="18"/>
                <w:szCs w:val="18"/>
                <w:lang w:val="fr-FR" w:eastAsia="zh-CN"/>
              </w:rPr>
              <w:t>Calendrier</w:t>
            </w:r>
          </w:p>
        </w:tc>
        <w:tc>
          <w:tcPr>
            <w:tcW w:w="7200" w:type="dxa"/>
            <w:tcBorders>
              <w:top w:val="single" w:sz="4" w:space="0" w:color="auto"/>
              <w:bottom w:val="single" w:sz="12" w:space="0" w:color="auto"/>
            </w:tcBorders>
            <w:shd w:val="clear" w:color="auto" w:fill="auto"/>
            <w:vAlign w:val="center"/>
          </w:tcPr>
          <w:p w14:paraId="64ED3B41" w14:textId="3EC7D1FE" w:rsidR="003C0477" w:rsidRPr="008C52E5" w:rsidDel="000C28ED" w:rsidRDefault="00D57833" w:rsidP="00FC5E47">
            <w:pPr>
              <w:pStyle w:val="Normal-pool"/>
              <w:spacing w:before="40" w:after="40"/>
              <w:rPr>
                <w:rFonts w:eastAsia="SimSun"/>
                <w:sz w:val="18"/>
                <w:szCs w:val="18"/>
                <w:lang w:val="fr-FR" w:eastAsia="zh-CN"/>
              </w:rPr>
            </w:pPr>
            <w:r w:rsidRPr="008C52E5">
              <w:rPr>
                <w:rFonts w:eastAsia="SimSun"/>
                <w:i/>
                <w:sz w:val="18"/>
                <w:szCs w:val="18"/>
                <w:lang w:val="fr-FR" w:eastAsia="zh-CN"/>
              </w:rPr>
              <w:t>Réunions et étapes intermédiaires</w:t>
            </w:r>
          </w:p>
        </w:tc>
      </w:tr>
      <w:tr w:rsidR="003C0477" w:rsidRPr="0082513F" w14:paraId="4187572F" w14:textId="77777777" w:rsidTr="00ED76A4">
        <w:trPr>
          <w:trHeight w:val="181"/>
        </w:trPr>
        <w:tc>
          <w:tcPr>
            <w:tcW w:w="1152" w:type="dxa"/>
            <w:vMerge w:val="restart"/>
            <w:tcBorders>
              <w:top w:val="single" w:sz="12" w:space="0" w:color="auto"/>
              <w:bottom w:val="single" w:sz="12" w:space="0" w:color="auto"/>
            </w:tcBorders>
            <w:shd w:val="clear" w:color="auto" w:fill="auto"/>
            <w:vAlign w:val="center"/>
          </w:tcPr>
          <w:p w14:paraId="3616503A" w14:textId="36328A1F" w:rsidR="003C0477" w:rsidRPr="008C52E5" w:rsidRDefault="00B90361" w:rsidP="00ED76A4">
            <w:pPr>
              <w:pStyle w:val="Normal-pool"/>
              <w:spacing w:before="40" w:after="40"/>
              <w:rPr>
                <w:rFonts w:eastAsia="SimSun"/>
                <w:sz w:val="18"/>
                <w:szCs w:val="18"/>
                <w:lang w:val="fr-FR" w:eastAsia="zh-CN"/>
              </w:rPr>
            </w:pPr>
            <w:r w:rsidRPr="008C52E5">
              <w:rPr>
                <w:rFonts w:eastAsia="SimSun"/>
                <w:sz w:val="18"/>
                <w:szCs w:val="18"/>
                <w:lang w:val="fr-FR" w:eastAsia="zh-CN"/>
              </w:rPr>
              <w:t>Annu</w:t>
            </w:r>
            <w:r w:rsidR="00D57833" w:rsidRPr="008C52E5">
              <w:rPr>
                <w:rFonts w:eastAsia="SimSun"/>
                <w:sz w:val="18"/>
                <w:szCs w:val="18"/>
                <w:lang w:val="fr-FR" w:eastAsia="zh-CN"/>
              </w:rPr>
              <w:t>ellement</w:t>
            </w:r>
          </w:p>
        </w:tc>
        <w:tc>
          <w:tcPr>
            <w:tcW w:w="7200" w:type="dxa"/>
            <w:tcBorders>
              <w:top w:val="single" w:sz="12" w:space="0" w:color="auto"/>
            </w:tcBorders>
            <w:shd w:val="clear" w:color="auto" w:fill="auto"/>
          </w:tcPr>
          <w:p w14:paraId="1110833C" w14:textId="2DEFD353" w:rsidR="003C0477" w:rsidRPr="008C52E5" w:rsidRDefault="00D57833" w:rsidP="00FC5E47">
            <w:pPr>
              <w:pStyle w:val="Normal-pool"/>
              <w:spacing w:before="40"/>
              <w:rPr>
                <w:rFonts w:eastAsia="SimSun"/>
                <w:sz w:val="18"/>
                <w:szCs w:val="18"/>
                <w:lang w:val="fr-FR" w:eastAsia="zh-CN"/>
              </w:rPr>
            </w:pPr>
            <w:r w:rsidRPr="008C52E5">
              <w:rPr>
                <w:rFonts w:eastAsia="SimSun"/>
                <w:sz w:val="18"/>
                <w:szCs w:val="18"/>
                <w:lang w:val="fr-FR" w:eastAsia="zh-CN"/>
              </w:rPr>
              <w:t>Atelier de c</w:t>
            </w:r>
            <w:r w:rsidR="00AD58C0" w:rsidRPr="008C52E5">
              <w:rPr>
                <w:rFonts w:eastAsia="SimSun"/>
                <w:sz w:val="18"/>
                <w:szCs w:val="18"/>
                <w:lang w:val="fr-FR" w:eastAsia="zh-CN"/>
              </w:rPr>
              <w:t xml:space="preserve">onsultation </w:t>
            </w:r>
            <w:r w:rsidRPr="008C52E5">
              <w:rPr>
                <w:rFonts w:eastAsia="SimSun"/>
                <w:sz w:val="18"/>
                <w:szCs w:val="18"/>
                <w:lang w:val="fr-FR" w:eastAsia="zh-CN"/>
              </w:rPr>
              <w:t>pour les correspondants nationaux de la Plateforme</w:t>
            </w:r>
          </w:p>
        </w:tc>
      </w:tr>
      <w:tr w:rsidR="003C0477" w:rsidRPr="0082513F" w14:paraId="384CAD52" w14:textId="77777777" w:rsidTr="005C34BE">
        <w:trPr>
          <w:trHeight w:val="235"/>
        </w:trPr>
        <w:tc>
          <w:tcPr>
            <w:tcW w:w="1152" w:type="dxa"/>
            <w:vMerge/>
            <w:tcBorders>
              <w:bottom w:val="single" w:sz="12" w:space="0" w:color="auto"/>
            </w:tcBorders>
            <w:shd w:val="clear" w:color="auto" w:fill="auto"/>
            <w:vAlign w:val="center"/>
          </w:tcPr>
          <w:p w14:paraId="00287D5F" w14:textId="77777777" w:rsidR="003C0477" w:rsidRPr="008C52E5" w:rsidRDefault="003C0477" w:rsidP="00FC5E47">
            <w:pPr>
              <w:pStyle w:val="Normal-pool"/>
              <w:spacing w:before="40" w:after="40"/>
              <w:jc w:val="center"/>
              <w:rPr>
                <w:rFonts w:eastAsia="SimSun"/>
                <w:sz w:val="18"/>
                <w:szCs w:val="18"/>
                <w:lang w:val="fr-FR" w:eastAsia="zh-CN"/>
              </w:rPr>
            </w:pPr>
          </w:p>
        </w:tc>
        <w:tc>
          <w:tcPr>
            <w:tcW w:w="7200" w:type="dxa"/>
            <w:tcBorders>
              <w:bottom w:val="single" w:sz="12" w:space="0" w:color="auto"/>
            </w:tcBorders>
            <w:shd w:val="clear" w:color="auto" w:fill="auto"/>
          </w:tcPr>
          <w:p w14:paraId="2C5E4A14" w14:textId="560149A3" w:rsidR="003C0477" w:rsidRPr="008C52E5" w:rsidRDefault="008E5A79" w:rsidP="00FC5E47">
            <w:pPr>
              <w:pStyle w:val="Normal-pool"/>
              <w:spacing w:before="40" w:after="40"/>
              <w:rPr>
                <w:rFonts w:eastAsia="SimSun"/>
                <w:sz w:val="18"/>
                <w:szCs w:val="18"/>
                <w:lang w:val="fr-FR" w:eastAsia="zh-CN"/>
              </w:rPr>
            </w:pPr>
            <w:r w:rsidRPr="008C52E5">
              <w:rPr>
                <w:rFonts w:eastAsia="SimSun"/>
                <w:sz w:val="18"/>
                <w:szCs w:val="18"/>
                <w:lang w:val="fr-FR" w:eastAsia="zh-CN"/>
              </w:rPr>
              <w:t>Participation des parties prenantes, notamment organisation d’une « journée des parties prenantes » et appui aux manifestations sous-régionales et régional</w:t>
            </w:r>
            <w:r w:rsidR="00C16A89">
              <w:rPr>
                <w:rFonts w:eastAsia="SimSun"/>
                <w:sz w:val="18"/>
                <w:szCs w:val="18"/>
                <w:lang w:val="fr-FR" w:eastAsia="zh-CN"/>
              </w:rPr>
              <w:t>es liées à la participation des </w:t>
            </w:r>
            <w:r w:rsidRPr="008C52E5">
              <w:rPr>
                <w:rFonts w:eastAsia="SimSun"/>
                <w:sz w:val="18"/>
                <w:szCs w:val="18"/>
                <w:lang w:val="fr-FR" w:eastAsia="zh-CN"/>
              </w:rPr>
              <w:t xml:space="preserve">parties prenantes </w:t>
            </w:r>
          </w:p>
        </w:tc>
      </w:tr>
    </w:tbl>
    <w:p w14:paraId="70A1F2A9" w14:textId="5F1F9B71" w:rsidR="001B7C62" w:rsidRPr="008C52E5" w:rsidRDefault="00AB0885" w:rsidP="00956108">
      <w:pPr>
        <w:pStyle w:val="CH1"/>
        <w:tabs>
          <w:tab w:val="clear" w:pos="851"/>
        </w:tabs>
        <w:ind w:hanging="680"/>
        <w:rPr>
          <w:sz w:val="24"/>
          <w:szCs w:val="24"/>
          <w:lang w:val="fr-FR"/>
        </w:rPr>
      </w:pPr>
      <w:r w:rsidRPr="008C52E5">
        <w:rPr>
          <w:lang w:val="fr-FR"/>
        </w:rPr>
        <w:t>V</w:t>
      </w:r>
      <w:r w:rsidR="00390AA2" w:rsidRPr="008C52E5">
        <w:rPr>
          <w:lang w:val="fr-FR"/>
        </w:rPr>
        <w:t>I.</w:t>
      </w:r>
      <w:r w:rsidR="00390AA2" w:rsidRPr="008C52E5">
        <w:rPr>
          <w:lang w:val="fr-FR"/>
        </w:rPr>
        <w:tab/>
      </w:r>
      <w:r w:rsidR="001B7C62" w:rsidRPr="008C52E5">
        <w:rPr>
          <w:lang w:val="fr-FR"/>
        </w:rPr>
        <w:t>Objecti</w:t>
      </w:r>
      <w:r w:rsidR="008E5A79" w:rsidRPr="008C52E5">
        <w:rPr>
          <w:lang w:val="fr-FR"/>
        </w:rPr>
        <w:t>f </w:t>
      </w:r>
      <w:r w:rsidR="001B7C62" w:rsidRPr="008C52E5">
        <w:rPr>
          <w:lang w:val="fr-FR"/>
        </w:rPr>
        <w:t>6</w:t>
      </w:r>
      <w:r w:rsidR="008E5A79" w:rsidRPr="008C52E5">
        <w:rPr>
          <w:lang w:val="fr-FR"/>
        </w:rPr>
        <w:t> </w:t>
      </w:r>
      <w:r w:rsidR="001B7C62" w:rsidRPr="008C52E5">
        <w:rPr>
          <w:lang w:val="fr-FR"/>
        </w:rPr>
        <w:t xml:space="preserve">: </w:t>
      </w:r>
      <w:r w:rsidR="008E5A79" w:rsidRPr="008C52E5">
        <w:rPr>
          <w:lang w:val="fr-FR"/>
        </w:rPr>
        <w:t>examen de l’efficacité</w:t>
      </w:r>
    </w:p>
    <w:p w14:paraId="0FE72F5D" w14:textId="5F560B90" w:rsidR="00873A23" w:rsidRPr="008C52E5" w:rsidRDefault="00CB3B9B" w:rsidP="00956108">
      <w:pPr>
        <w:pStyle w:val="CH2"/>
        <w:tabs>
          <w:tab w:val="clear" w:pos="851"/>
        </w:tabs>
        <w:ind w:hanging="680"/>
        <w:rPr>
          <w:lang w:val="fr-FR"/>
        </w:rPr>
      </w:pPr>
      <w:r w:rsidRPr="008C52E5">
        <w:rPr>
          <w:lang w:val="fr-FR"/>
        </w:rPr>
        <w:t>A.</w:t>
      </w:r>
      <w:r w:rsidRPr="008C52E5">
        <w:rPr>
          <w:lang w:val="fr-FR"/>
        </w:rPr>
        <w:tab/>
      </w:r>
      <w:r w:rsidR="008E5A79" w:rsidRPr="008C52E5">
        <w:rPr>
          <w:lang w:val="fr-FR"/>
        </w:rPr>
        <w:t>Produit </w:t>
      </w:r>
      <w:r w:rsidR="0019590E" w:rsidRPr="008C52E5">
        <w:rPr>
          <w:lang w:val="fr-FR"/>
        </w:rPr>
        <w:t>6</w:t>
      </w:r>
      <w:r w:rsidR="008E5A79" w:rsidRPr="008C52E5">
        <w:rPr>
          <w:lang w:val="fr-FR"/>
        </w:rPr>
        <w:t> </w:t>
      </w:r>
      <w:r w:rsidR="0019590E" w:rsidRPr="008C52E5">
        <w:rPr>
          <w:lang w:val="fr-FR"/>
        </w:rPr>
        <w:t xml:space="preserve">: </w:t>
      </w:r>
      <w:r w:rsidR="008E5A79" w:rsidRPr="008C52E5">
        <w:rPr>
          <w:lang w:val="fr-FR"/>
        </w:rPr>
        <w:t>examen de l’efficacité</w:t>
      </w:r>
    </w:p>
    <w:p w14:paraId="3310C0E7" w14:textId="274C062F" w:rsidR="00BA4C86" w:rsidRPr="008C52E5" w:rsidRDefault="00CB3B9B" w:rsidP="00956108">
      <w:pPr>
        <w:pStyle w:val="CH3"/>
        <w:tabs>
          <w:tab w:val="clear" w:pos="851"/>
        </w:tabs>
        <w:ind w:hanging="680"/>
        <w:rPr>
          <w:rFonts w:eastAsia="SimSun"/>
          <w:lang w:val="fr-FR" w:eastAsia="zh-CN"/>
        </w:rPr>
      </w:pPr>
      <w:r w:rsidRPr="008C52E5">
        <w:rPr>
          <w:rFonts w:eastAsia="SimSun"/>
          <w:lang w:val="fr-FR" w:eastAsia="zh-CN"/>
        </w:rPr>
        <w:t>1.</w:t>
      </w:r>
      <w:r w:rsidRPr="008C52E5">
        <w:rPr>
          <w:rFonts w:eastAsia="SimSun"/>
          <w:lang w:val="fr-FR" w:eastAsia="zh-CN"/>
        </w:rPr>
        <w:tab/>
      </w:r>
      <w:r w:rsidR="008E5A79" w:rsidRPr="008C52E5">
        <w:rPr>
          <w:rFonts w:eastAsia="SimSun"/>
          <w:lang w:val="fr-FR" w:eastAsia="zh-CN"/>
        </w:rPr>
        <w:t>Contexte</w:t>
      </w:r>
    </w:p>
    <w:p w14:paraId="24C527A6" w14:textId="4B86B5F4" w:rsidR="00BA4C86" w:rsidRPr="008C52E5" w:rsidRDefault="008E5A79" w:rsidP="0019590E">
      <w:pPr>
        <w:pStyle w:val="Normalnumber"/>
        <w:numPr>
          <w:ilvl w:val="0"/>
          <w:numId w:val="5"/>
        </w:numPr>
        <w:tabs>
          <w:tab w:val="left" w:pos="1871"/>
          <w:tab w:val="left" w:pos="2495"/>
        </w:tabs>
        <w:ind w:left="1247" w:firstLine="0"/>
        <w:rPr>
          <w:lang w:val="fr-FR"/>
        </w:rPr>
      </w:pPr>
      <w:r w:rsidRPr="008C52E5">
        <w:rPr>
          <w:lang w:val="fr-FR" w:eastAsia="nb-NO"/>
        </w:rPr>
        <w:t>Le premier programme de travail comprenait le produit</w:t>
      </w:r>
      <w:r w:rsidR="00BB66B3" w:rsidRPr="008C52E5">
        <w:rPr>
          <w:lang w:val="fr-FR" w:eastAsia="nb-NO"/>
        </w:rPr>
        <w:t> </w:t>
      </w:r>
      <w:r w:rsidR="00BA4C86" w:rsidRPr="008C52E5">
        <w:rPr>
          <w:lang w:val="fr-FR"/>
        </w:rPr>
        <w:t>4</w:t>
      </w:r>
      <w:r w:rsidRPr="008C52E5">
        <w:rPr>
          <w:lang w:val="fr-FR"/>
        </w:rPr>
        <w:t> </w:t>
      </w:r>
      <w:r w:rsidR="00BA4C86" w:rsidRPr="008C52E5">
        <w:rPr>
          <w:lang w:val="fr-FR"/>
        </w:rPr>
        <w:t>e)</w:t>
      </w:r>
      <w:r w:rsidR="00A32C93" w:rsidRPr="008C52E5">
        <w:rPr>
          <w:lang w:val="fr-FR"/>
        </w:rPr>
        <w:t> </w:t>
      </w:r>
      <w:r w:rsidR="00BA4C86" w:rsidRPr="008C52E5">
        <w:rPr>
          <w:lang w:val="fr-FR"/>
        </w:rPr>
        <w:t xml:space="preserve">: </w:t>
      </w:r>
      <w:r w:rsidRPr="008C52E5">
        <w:rPr>
          <w:lang w:val="fr-FR"/>
        </w:rPr>
        <w:t>« Effectuer une étude de l’efficacité des orientations, procédures, méthodes et approches visant à guider le développement futur de la Plateforme »</w:t>
      </w:r>
      <w:r w:rsidR="00165F91" w:rsidRPr="008C52E5">
        <w:rPr>
          <w:lang w:val="fr-FR"/>
        </w:rPr>
        <w:t>.</w:t>
      </w:r>
    </w:p>
    <w:p w14:paraId="3A8EDAF4" w14:textId="4A978F07" w:rsidR="00BA4C86" w:rsidRPr="008C52E5" w:rsidRDefault="00767D1D" w:rsidP="0019590E">
      <w:pPr>
        <w:pStyle w:val="Normalnumber"/>
        <w:numPr>
          <w:ilvl w:val="0"/>
          <w:numId w:val="5"/>
        </w:numPr>
        <w:tabs>
          <w:tab w:val="left" w:pos="1871"/>
          <w:tab w:val="left" w:pos="2495"/>
        </w:tabs>
        <w:ind w:left="1247" w:firstLine="0"/>
        <w:rPr>
          <w:lang w:val="fr-FR"/>
        </w:rPr>
      </w:pPr>
      <w:r w:rsidRPr="008C52E5">
        <w:rPr>
          <w:lang w:val="fr-FR"/>
        </w:rPr>
        <w:t xml:space="preserve">Un examen de la Plateforme à la fin de son premier programme de travail, comportant un volet interne et un volet externe, a été </w:t>
      </w:r>
      <w:r w:rsidR="00165F91" w:rsidRPr="008C52E5">
        <w:rPr>
          <w:lang w:val="fr-FR"/>
        </w:rPr>
        <w:t>entamé</w:t>
      </w:r>
      <w:r w:rsidRPr="008C52E5">
        <w:rPr>
          <w:lang w:val="fr-FR"/>
        </w:rPr>
        <w:t xml:space="preserve"> par la Plénière</w:t>
      </w:r>
      <w:r w:rsidR="005D2094" w:rsidRPr="008C52E5">
        <w:rPr>
          <w:lang w:val="fr-FR"/>
        </w:rPr>
        <w:t xml:space="preserve"> dans </w:t>
      </w:r>
      <w:r w:rsidR="00165F91" w:rsidRPr="008C52E5">
        <w:rPr>
          <w:lang w:val="fr-FR"/>
        </w:rPr>
        <w:t>s</w:t>
      </w:r>
      <w:r w:rsidR="005D2094" w:rsidRPr="008C52E5">
        <w:rPr>
          <w:lang w:val="fr-FR"/>
        </w:rPr>
        <w:t>a décision </w:t>
      </w:r>
      <w:r w:rsidR="00BA4C86" w:rsidRPr="008C52E5">
        <w:rPr>
          <w:lang w:val="fr-FR"/>
        </w:rPr>
        <w:t xml:space="preserve">IPBES-5/2. </w:t>
      </w:r>
      <w:r w:rsidR="005D2094" w:rsidRPr="008C52E5">
        <w:rPr>
          <w:lang w:val="fr-FR"/>
        </w:rPr>
        <w:t>Les résultats du volet interne</w:t>
      </w:r>
      <w:r w:rsidR="00BA4C86" w:rsidRPr="008C52E5">
        <w:rPr>
          <w:lang w:val="fr-FR"/>
        </w:rPr>
        <w:t xml:space="preserve"> </w:t>
      </w:r>
      <w:r w:rsidR="005D2094" w:rsidRPr="008C52E5">
        <w:rPr>
          <w:lang w:val="fr-FR"/>
        </w:rPr>
        <w:t xml:space="preserve">ont été pris en compte par la Plénière dans </w:t>
      </w:r>
      <w:r w:rsidR="00165F91" w:rsidRPr="008C52E5">
        <w:rPr>
          <w:lang w:val="fr-FR"/>
        </w:rPr>
        <w:t>s</w:t>
      </w:r>
      <w:r w:rsidR="005D2094" w:rsidRPr="008C52E5">
        <w:rPr>
          <w:lang w:val="fr-FR"/>
        </w:rPr>
        <w:t>a décision </w:t>
      </w:r>
      <w:r w:rsidR="00BA4C86" w:rsidRPr="008C52E5">
        <w:rPr>
          <w:lang w:val="fr-FR"/>
        </w:rPr>
        <w:t>IPBES-6/1</w:t>
      </w:r>
      <w:r w:rsidR="00D9490A" w:rsidRPr="008C52E5">
        <w:rPr>
          <w:lang w:val="fr-FR"/>
        </w:rPr>
        <w:t>,</w:t>
      </w:r>
      <w:r w:rsidR="00BA4C86" w:rsidRPr="008C52E5">
        <w:rPr>
          <w:lang w:val="fr-FR"/>
        </w:rPr>
        <w:t xml:space="preserve"> </w:t>
      </w:r>
      <w:r w:rsidR="005D2094" w:rsidRPr="008C52E5">
        <w:rPr>
          <w:lang w:val="fr-FR"/>
        </w:rPr>
        <w:t xml:space="preserve">utilisés par le Groupe et le Bureau pour orienter </w:t>
      </w:r>
      <w:r w:rsidR="00165F91" w:rsidRPr="008C52E5">
        <w:rPr>
          <w:lang w:val="fr-FR"/>
        </w:rPr>
        <w:t xml:space="preserve">l’exécution </w:t>
      </w:r>
      <w:r w:rsidR="00D9490A" w:rsidRPr="008C52E5">
        <w:rPr>
          <w:lang w:val="fr-FR"/>
        </w:rPr>
        <w:t>des produits restants du premi</w:t>
      </w:r>
      <w:r w:rsidR="00C16A89">
        <w:rPr>
          <w:lang w:val="fr-FR"/>
        </w:rPr>
        <w:t>er programme de travail et pour </w:t>
      </w:r>
      <w:r w:rsidR="00D9490A" w:rsidRPr="008C52E5">
        <w:rPr>
          <w:lang w:val="fr-FR"/>
        </w:rPr>
        <w:t>guider la conception du programme de travail</w:t>
      </w:r>
      <w:r w:rsidR="00DF7EE9" w:rsidRPr="008C52E5">
        <w:rPr>
          <w:lang w:val="fr-FR"/>
        </w:rPr>
        <w:t xml:space="preserve"> allant</w:t>
      </w:r>
      <w:r w:rsidR="00D9490A" w:rsidRPr="008C52E5">
        <w:rPr>
          <w:lang w:val="fr-FR"/>
        </w:rPr>
        <w:t xml:space="preserve"> jusqu’en </w:t>
      </w:r>
      <w:r w:rsidR="00BA4C86" w:rsidRPr="008C52E5">
        <w:rPr>
          <w:lang w:val="fr-FR"/>
        </w:rPr>
        <w:t>2030</w:t>
      </w:r>
      <w:r w:rsidR="00D9490A" w:rsidRPr="008C52E5">
        <w:rPr>
          <w:lang w:val="fr-FR"/>
        </w:rPr>
        <w:t>, et communiqués à l’équipe</w:t>
      </w:r>
      <w:r w:rsidR="00BA4C86" w:rsidRPr="008C52E5">
        <w:rPr>
          <w:lang w:val="fr-FR"/>
        </w:rPr>
        <w:t xml:space="preserve"> </w:t>
      </w:r>
      <w:r w:rsidR="00D9490A" w:rsidRPr="008C52E5">
        <w:rPr>
          <w:lang w:val="fr-FR"/>
        </w:rPr>
        <w:t>d’examen externe</w:t>
      </w:r>
      <w:r w:rsidR="00BA4C86" w:rsidRPr="008C52E5">
        <w:rPr>
          <w:lang w:val="fr-FR"/>
        </w:rPr>
        <w:t>.</w:t>
      </w:r>
      <w:r w:rsidR="00D9490A" w:rsidRPr="008C52E5">
        <w:rPr>
          <w:lang w:val="fr-FR"/>
        </w:rPr>
        <w:t xml:space="preserve"> L’examen externe sera transmis à la Plénière à sa septième session</w:t>
      </w:r>
      <w:r w:rsidR="00BA4C86" w:rsidRPr="008C52E5">
        <w:rPr>
          <w:rStyle w:val="FootnoteReference"/>
          <w:szCs w:val="20"/>
          <w:lang w:val="fr-FR"/>
        </w:rPr>
        <w:footnoteReference w:id="20"/>
      </w:r>
      <w:r w:rsidR="00D9490A" w:rsidRPr="008C52E5">
        <w:rPr>
          <w:lang w:val="fr-FR"/>
        </w:rPr>
        <w:t>.</w:t>
      </w:r>
      <w:r w:rsidR="00BA4C86" w:rsidRPr="008C52E5">
        <w:rPr>
          <w:lang w:val="fr-FR"/>
        </w:rPr>
        <w:t xml:space="preserve"> </w:t>
      </w:r>
    </w:p>
    <w:p w14:paraId="15729FB4" w14:textId="0267B3EE" w:rsidR="00BA4C86" w:rsidRPr="008C52E5" w:rsidRDefault="00D9490A" w:rsidP="0019590E">
      <w:pPr>
        <w:pStyle w:val="Normalnumber"/>
        <w:numPr>
          <w:ilvl w:val="0"/>
          <w:numId w:val="5"/>
        </w:numPr>
        <w:tabs>
          <w:tab w:val="left" w:pos="1871"/>
          <w:tab w:val="left" w:pos="2495"/>
        </w:tabs>
        <w:ind w:left="1247" w:firstLine="0"/>
        <w:rPr>
          <w:lang w:val="fr-FR"/>
        </w:rPr>
      </w:pPr>
      <w:r w:rsidRPr="008C52E5">
        <w:rPr>
          <w:lang w:val="fr-FR"/>
        </w:rPr>
        <w:t xml:space="preserve">Les principes de fonctionnement de la Plateforme, tels qu’ils sont définis dans </w:t>
      </w:r>
      <w:r w:rsidR="00165F91" w:rsidRPr="008C52E5">
        <w:rPr>
          <w:lang w:val="fr-FR"/>
        </w:rPr>
        <w:t>l</w:t>
      </w:r>
      <w:r w:rsidR="00302CEE" w:rsidRPr="008C52E5">
        <w:rPr>
          <w:lang w:val="fr-FR"/>
        </w:rPr>
        <w:t xml:space="preserve">a résolution </w:t>
      </w:r>
      <w:r w:rsidR="00C16A89">
        <w:rPr>
          <w:lang w:val="fr-FR"/>
        </w:rPr>
        <w:t>en </w:t>
      </w:r>
      <w:r w:rsidR="00302CEE" w:rsidRPr="008C52E5">
        <w:rPr>
          <w:lang w:val="fr-FR"/>
        </w:rPr>
        <w:t>portant création</w:t>
      </w:r>
      <w:r w:rsidR="00BA4C86" w:rsidRPr="008C52E5">
        <w:rPr>
          <w:rStyle w:val="FootnoteReference"/>
          <w:szCs w:val="20"/>
          <w:lang w:val="fr-FR"/>
        </w:rPr>
        <w:footnoteReference w:id="21"/>
      </w:r>
      <w:r w:rsidR="00302CEE" w:rsidRPr="008C52E5">
        <w:rPr>
          <w:lang w:val="fr-FR"/>
        </w:rPr>
        <w:t>,</w:t>
      </w:r>
      <w:r w:rsidR="00BA4C86" w:rsidRPr="008C52E5">
        <w:rPr>
          <w:lang w:val="fr-FR"/>
        </w:rPr>
        <w:t xml:space="preserve"> </w:t>
      </w:r>
      <w:r w:rsidR="00302CEE" w:rsidRPr="008C52E5">
        <w:rPr>
          <w:lang w:val="fr-FR"/>
        </w:rPr>
        <w:t>disposent que l’efficience et l’efficacité de la Plateforme seront évalué</w:t>
      </w:r>
      <w:r w:rsidR="00C16A89">
        <w:rPr>
          <w:lang w:val="fr-FR"/>
        </w:rPr>
        <w:t>es dans le </w:t>
      </w:r>
      <w:r w:rsidR="00302CEE" w:rsidRPr="008C52E5">
        <w:rPr>
          <w:lang w:val="fr-FR"/>
        </w:rPr>
        <w:t>cadre d’un processus d’examen indépendant</w:t>
      </w:r>
      <w:r w:rsidR="00BA4C86" w:rsidRPr="008C52E5">
        <w:rPr>
          <w:lang w:val="fr-FR"/>
        </w:rPr>
        <w:t xml:space="preserve"> </w:t>
      </w:r>
      <w:r w:rsidR="00302CEE" w:rsidRPr="008C52E5">
        <w:rPr>
          <w:lang w:val="fr-FR"/>
        </w:rPr>
        <w:t>selon la périodici</w:t>
      </w:r>
      <w:r w:rsidR="00C16A89">
        <w:rPr>
          <w:lang w:val="fr-FR"/>
        </w:rPr>
        <w:t>té décidée par la Plénière, des </w:t>
      </w:r>
      <w:r w:rsidR="00302CEE" w:rsidRPr="008C52E5">
        <w:rPr>
          <w:lang w:val="fr-FR"/>
        </w:rPr>
        <w:t>ajustements pouvant être apportés s’il y a lieu</w:t>
      </w:r>
      <w:r w:rsidR="00BA4C86" w:rsidRPr="008C52E5">
        <w:rPr>
          <w:lang w:val="fr-FR"/>
        </w:rPr>
        <w:t xml:space="preserve">. </w:t>
      </w:r>
      <w:r w:rsidR="00EA15F0" w:rsidRPr="008C52E5">
        <w:rPr>
          <w:lang w:val="fr-FR"/>
        </w:rPr>
        <w:t xml:space="preserve">Il est donc recommandé que la Plénière, </w:t>
      </w:r>
      <w:r w:rsidR="00165F91" w:rsidRPr="008C52E5">
        <w:rPr>
          <w:lang w:val="fr-FR"/>
        </w:rPr>
        <w:t xml:space="preserve">au cours du </w:t>
      </w:r>
      <w:r w:rsidR="00EA15F0" w:rsidRPr="008C52E5">
        <w:rPr>
          <w:lang w:val="fr-FR"/>
        </w:rPr>
        <w:t xml:space="preserve">programme de travail de la Plateforme </w:t>
      </w:r>
      <w:r w:rsidR="00DF7EE9" w:rsidRPr="008C52E5">
        <w:rPr>
          <w:lang w:val="fr-FR"/>
        </w:rPr>
        <w:t xml:space="preserve">allant </w:t>
      </w:r>
      <w:r w:rsidR="00EA15F0" w:rsidRPr="008C52E5">
        <w:rPr>
          <w:lang w:val="fr-FR"/>
        </w:rPr>
        <w:t>jusqu’en 2030, décide d’un examen supplémentaire de l’efficience et de l’efficacité de la Plateforme</w:t>
      </w:r>
      <w:r w:rsidR="00BA4C86" w:rsidRPr="008C52E5">
        <w:rPr>
          <w:lang w:val="fr-FR"/>
        </w:rPr>
        <w:t xml:space="preserve">. </w:t>
      </w:r>
    </w:p>
    <w:p w14:paraId="696586CB" w14:textId="07900FA1" w:rsidR="00BA4C86" w:rsidRPr="008C52E5" w:rsidRDefault="00EA15F0" w:rsidP="00D161EA">
      <w:pPr>
        <w:pStyle w:val="Normalnumber"/>
        <w:numPr>
          <w:ilvl w:val="0"/>
          <w:numId w:val="5"/>
        </w:numPr>
        <w:tabs>
          <w:tab w:val="left" w:pos="1871"/>
          <w:tab w:val="left" w:pos="2495"/>
        </w:tabs>
        <w:ind w:left="1247" w:firstLine="0"/>
        <w:rPr>
          <w:lang w:val="fr-FR" w:eastAsia="en-GB"/>
        </w:rPr>
      </w:pPr>
      <w:r w:rsidRPr="008C52E5">
        <w:rPr>
          <w:lang w:val="fr-FR"/>
        </w:rPr>
        <w:t>Le produit </w:t>
      </w:r>
      <w:r w:rsidR="00BA4C86" w:rsidRPr="008C52E5">
        <w:rPr>
          <w:lang w:val="fr-FR" w:eastAsia="en-GB"/>
        </w:rPr>
        <w:t>6</w:t>
      </w:r>
      <w:r w:rsidRPr="008C52E5">
        <w:rPr>
          <w:lang w:val="fr-FR" w:eastAsia="en-GB"/>
        </w:rPr>
        <w:t xml:space="preserve"> comprendra un suivi de l’examen de la Plateforme à la fin de son </w:t>
      </w:r>
      <w:r w:rsidR="00DF7EE9" w:rsidRPr="008C52E5">
        <w:rPr>
          <w:lang w:val="fr-FR" w:eastAsia="en-GB"/>
        </w:rPr>
        <w:t xml:space="preserve">premier </w:t>
      </w:r>
      <w:r w:rsidRPr="008C52E5">
        <w:rPr>
          <w:lang w:val="fr-FR" w:eastAsia="en-GB"/>
        </w:rPr>
        <w:t xml:space="preserve">programme de travail </w:t>
      </w:r>
      <w:r w:rsidR="00C772FA" w:rsidRPr="008C52E5">
        <w:rPr>
          <w:lang w:val="fr-FR" w:eastAsia="en-GB"/>
        </w:rPr>
        <w:t xml:space="preserve">ainsi que des examens à mi-parcours et à la fin du programme </w:t>
      </w:r>
      <w:r w:rsidR="00EF6495">
        <w:rPr>
          <w:lang w:val="fr-FR" w:eastAsia="en-GB"/>
        </w:rPr>
        <w:t>de travail pour la </w:t>
      </w:r>
      <w:r w:rsidR="00C772FA" w:rsidRPr="008C52E5">
        <w:rPr>
          <w:lang w:val="fr-FR" w:eastAsia="en-GB"/>
        </w:rPr>
        <w:t>période allant jusqu’en 2030</w:t>
      </w:r>
      <w:r w:rsidR="00191670" w:rsidRPr="008C52E5">
        <w:rPr>
          <w:lang w:val="fr-FR" w:eastAsia="en-GB"/>
        </w:rPr>
        <w:t>.</w:t>
      </w:r>
    </w:p>
    <w:p w14:paraId="76F101BE" w14:textId="69AB30DF" w:rsidR="003C0477" w:rsidRPr="008C52E5" w:rsidRDefault="00CB3B9B" w:rsidP="00DD5D2A">
      <w:pPr>
        <w:pStyle w:val="CH3"/>
        <w:tabs>
          <w:tab w:val="clear" w:pos="851"/>
        </w:tabs>
        <w:ind w:hanging="680"/>
        <w:rPr>
          <w:lang w:val="fr-FR"/>
        </w:rPr>
      </w:pPr>
      <w:r w:rsidRPr="008C52E5">
        <w:rPr>
          <w:rFonts w:eastAsia="SimSun"/>
          <w:lang w:val="fr-FR" w:eastAsia="zh-CN"/>
        </w:rPr>
        <w:t>2.</w:t>
      </w:r>
      <w:r w:rsidRPr="008C52E5">
        <w:rPr>
          <w:rFonts w:eastAsia="SimSun"/>
          <w:lang w:val="fr-FR" w:eastAsia="zh-CN"/>
        </w:rPr>
        <w:tab/>
      </w:r>
      <w:r w:rsidR="00C772FA" w:rsidRPr="008C52E5">
        <w:rPr>
          <w:rFonts w:eastAsia="SimSun"/>
          <w:lang w:val="fr-FR" w:eastAsia="zh-CN"/>
        </w:rPr>
        <w:t>Hypothèses et dispositions institutionnelles</w:t>
      </w:r>
    </w:p>
    <w:p w14:paraId="16DCDAB9" w14:textId="51A9D46B" w:rsidR="000B56EA" w:rsidRPr="008C52E5" w:rsidRDefault="00C772FA" w:rsidP="00DD5D2A">
      <w:pPr>
        <w:pStyle w:val="Normalnumber"/>
        <w:keepNext/>
        <w:keepLines/>
        <w:numPr>
          <w:ilvl w:val="0"/>
          <w:numId w:val="5"/>
        </w:numPr>
        <w:tabs>
          <w:tab w:val="left" w:pos="1871"/>
          <w:tab w:val="left" w:pos="2495"/>
        </w:tabs>
        <w:ind w:left="1247" w:firstLine="0"/>
        <w:rPr>
          <w:lang w:val="fr-FR"/>
        </w:rPr>
      </w:pPr>
      <w:r w:rsidRPr="008C52E5">
        <w:rPr>
          <w:lang w:val="fr-FR"/>
        </w:rPr>
        <w:t>Il est proposé que le Groupe, le Bureau et le secrétariat, selon</w:t>
      </w:r>
      <w:r w:rsidR="00C16A89">
        <w:rPr>
          <w:lang w:val="fr-FR"/>
        </w:rPr>
        <w:t xml:space="preserve"> ce qu’il convient, prennent en </w:t>
      </w:r>
      <w:r w:rsidRPr="008C52E5">
        <w:rPr>
          <w:lang w:val="fr-FR"/>
        </w:rPr>
        <w:t>compte les recommandations découlant de l’examen de la Plateforme à la fin de son premier programme de travail et fassent rapport à la Plénière sur les progrès accomplis</w:t>
      </w:r>
      <w:r w:rsidR="000B56EA" w:rsidRPr="008C52E5">
        <w:rPr>
          <w:lang w:val="fr-FR"/>
        </w:rPr>
        <w:t>.</w:t>
      </w:r>
      <w:r w:rsidRPr="008C52E5">
        <w:rPr>
          <w:lang w:val="fr-FR"/>
        </w:rPr>
        <w:t xml:space="preserve"> Le</w:t>
      </w:r>
      <w:r w:rsidR="000B56EA" w:rsidRPr="008C52E5">
        <w:rPr>
          <w:lang w:val="fr-FR"/>
        </w:rPr>
        <w:t xml:space="preserve"> Bureau </w:t>
      </w:r>
      <w:r w:rsidRPr="008C52E5">
        <w:rPr>
          <w:lang w:val="fr-FR"/>
        </w:rPr>
        <w:t xml:space="preserve">et le Groupe orienteront l’établissement d’un cadre </w:t>
      </w:r>
      <w:r w:rsidR="00165F91" w:rsidRPr="008C52E5">
        <w:rPr>
          <w:lang w:val="fr-FR"/>
        </w:rPr>
        <w:t xml:space="preserve">régissant un </w:t>
      </w:r>
      <w:r w:rsidRPr="008C52E5">
        <w:rPr>
          <w:lang w:val="fr-FR"/>
        </w:rPr>
        <w:t xml:space="preserve">examen à mi-parcours et un examen à la fin du programme de travail </w:t>
      </w:r>
      <w:r w:rsidR="00DF7EE9" w:rsidRPr="008C52E5">
        <w:rPr>
          <w:lang w:val="fr-FR"/>
        </w:rPr>
        <w:t xml:space="preserve">allant </w:t>
      </w:r>
      <w:r w:rsidRPr="008C52E5">
        <w:rPr>
          <w:lang w:val="fr-FR"/>
        </w:rPr>
        <w:t xml:space="preserve">jusqu’en </w:t>
      </w:r>
      <w:r w:rsidR="00165F91" w:rsidRPr="008C52E5">
        <w:rPr>
          <w:lang w:val="fr-FR"/>
        </w:rPr>
        <w:t>2030.</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BF4160" w:rsidRPr="0082513F" w14:paraId="59E1A1CB" w14:textId="77777777" w:rsidTr="005C1C71">
        <w:trPr>
          <w:trHeight w:val="66"/>
        </w:trPr>
        <w:tc>
          <w:tcPr>
            <w:tcW w:w="1897" w:type="dxa"/>
          </w:tcPr>
          <w:p w14:paraId="41071131" w14:textId="77777777" w:rsidR="00BF4160" w:rsidRPr="008C52E5" w:rsidRDefault="00BF4160" w:rsidP="00ED76A4">
            <w:pPr>
              <w:pStyle w:val="Normal-pool"/>
              <w:rPr>
                <w:lang w:val="fr-FR"/>
              </w:rPr>
            </w:pPr>
          </w:p>
        </w:tc>
        <w:tc>
          <w:tcPr>
            <w:tcW w:w="1897" w:type="dxa"/>
          </w:tcPr>
          <w:p w14:paraId="472B495C" w14:textId="77777777" w:rsidR="00BF4160" w:rsidRPr="008C52E5" w:rsidRDefault="00BF4160" w:rsidP="00ED76A4">
            <w:pPr>
              <w:pStyle w:val="Normal-pool"/>
              <w:rPr>
                <w:lang w:val="fr-FR"/>
              </w:rPr>
            </w:pPr>
          </w:p>
        </w:tc>
        <w:tc>
          <w:tcPr>
            <w:tcW w:w="1897" w:type="dxa"/>
            <w:tcBorders>
              <w:bottom w:val="single" w:sz="4" w:space="0" w:color="auto"/>
            </w:tcBorders>
          </w:tcPr>
          <w:p w14:paraId="62AA2FFA" w14:textId="77777777" w:rsidR="00BF4160" w:rsidRPr="008C52E5" w:rsidRDefault="00BF4160" w:rsidP="00ED76A4">
            <w:pPr>
              <w:pStyle w:val="Normal-pool"/>
              <w:rPr>
                <w:lang w:val="fr-FR"/>
              </w:rPr>
            </w:pPr>
          </w:p>
        </w:tc>
        <w:tc>
          <w:tcPr>
            <w:tcW w:w="1897" w:type="dxa"/>
          </w:tcPr>
          <w:p w14:paraId="35FF76B1" w14:textId="77777777" w:rsidR="00BF4160" w:rsidRPr="008C52E5" w:rsidRDefault="00BF4160" w:rsidP="00ED76A4">
            <w:pPr>
              <w:pStyle w:val="Normal-pool"/>
              <w:rPr>
                <w:lang w:val="fr-FR"/>
              </w:rPr>
            </w:pPr>
          </w:p>
        </w:tc>
        <w:tc>
          <w:tcPr>
            <w:tcW w:w="1898" w:type="dxa"/>
          </w:tcPr>
          <w:p w14:paraId="24793B38" w14:textId="77777777" w:rsidR="00BF4160" w:rsidRPr="008C52E5" w:rsidRDefault="00BF4160" w:rsidP="00ED76A4">
            <w:pPr>
              <w:pStyle w:val="Normal-pool"/>
              <w:rPr>
                <w:lang w:val="fr-FR"/>
              </w:rPr>
            </w:pPr>
          </w:p>
        </w:tc>
      </w:tr>
    </w:tbl>
    <w:p w14:paraId="4008C967" w14:textId="77777777" w:rsidR="00BF4160" w:rsidRPr="008C52E5" w:rsidRDefault="00BF4160" w:rsidP="005C1C71">
      <w:pPr>
        <w:pStyle w:val="Normal-pool"/>
        <w:rPr>
          <w:sz w:val="16"/>
          <w:szCs w:val="16"/>
          <w:lang w:val="fr-FR"/>
        </w:rPr>
      </w:pPr>
    </w:p>
    <w:sectPr w:rsidR="00BF4160" w:rsidRPr="008C52E5" w:rsidSect="00D161EA">
      <w:headerReference w:type="even" r:id="rId16"/>
      <w:headerReference w:type="default" r:id="rId17"/>
      <w:footerReference w:type="even" r:id="rId18"/>
      <w:footerReference w:type="default" r:id="rId19"/>
      <w:headerReference w:type="first" r:id="rId20"/>
      <w:footerReference w:type="first" r:id="rId21"/>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F4D97" w14:textId="77777777" w:rsidR="002F4337" w:rsidRDefault="002F4337">
      <w:r>
        <w:separator/>
      </w:r>
    </w:p>
  </w:endnote>
  <w:endnote w:type="continuationSeparator" w:id="0">
    <w:p w14:paraId="3767EB37" w14:textId="77777777" w:rsidR="002F4337" w:rsidRDefault="002F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902544"/>
      <w:docPartObj>
        <w:docPartGallery w:val="Page Numbers (Bottom of Page)"/>
        <w:docPartUnique/>
      </w:docPartObj>
    </w:sdtPr>
    <w:sdtEndPr>
      <w:rPr>
        <w:noProof/>
      </w:rPr>
    </w:sdtEndPr>
    <w:sdtContent>
      <w:p w14:paraId="2360770F" w14:textId="1214E425" w:rsidR="0082513F" w:rsidRDefault="0082513F" w:rsidP="005C34BE">
        <w:pPr>
          <w:pStyle w:val="Footer-pool"/>
        </w:pPr>
        <w:r>
          <w:fldChar w:fldCharType="begin"/>
        </w:r>
        <w:r>
          <w:instrText xml:space="preserve"> PAGE   \* MERGEFORMAT </w:instrText>
        </w:r>
        <w:r>
          <w:fldChar w:fldCharType="separate"/>
        </w:r>
        <w:r w:rsidR="00591CAD">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151905"/>
      <w:docPartObj>
        <w:docPartGallery w:val="Page Numbers (Bottom of Page)"/>
        <w:docPartUnique/>
      </w:docPartObj>
    </w:sdtPr>
    <w:sdtEndPr>
      <w:rPr>
        <w:noProof/>
      </w:rPr>
    </w:sdtEndPr>
    <w:sdtContent>
      <w:p w14:paraId="74331471" w14:textId="694D143A" w:rsidR="0082513F" w:rsidRDefault="0082513F" w:rsidP="005C34BE">
        <w:pPr>
          <w:pStyle w:val="Footer-pool"/>
          <w:jc w:val="right"/>
        </w:pPr>
        <w:r>
          <w:fldChar w:fldCharType="begin"/>
        </w:r>
        <w:r>
          <w:instrText xml:space="preserve"> PAGE   \* MERGEFORMAT </w:instrText>
        </w:r>
        <w:r>
          <w:fldChar w:fldCharType="separate"/>
        </w:r>
        <w:r w:rsidR="00591CAD">
          <w:rPr>
            <w:noProof/>
          </w:rPr>
          <w:t>15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908862"/>
      <w:docPartObj>
        <w:docPartGallery w:val="Page Numbers (Bottom of Page)"/>
        <w:docPartUnique/>
      </w:docPartObj>
    </w:sdtPr>
    <w:sdtEndPr>
      <w:rPr>
        <w:noProof/>
      </w:rPr>
    </w:sdtEndPr>
    <w:sdtContent>
      <w:p w14:paraId="62F26438" w14:textId="047325E7" w:rsidR="0082513F" w:rsidRDefault="0082513F" w:rsidP="005C34BE">
        <w:pPr>
          <w:pStyle w:val="Normal-pool"/>
        </w:pPr>
        <w:r>
          <w:t>K1900339</w:t>
        </w:r>
        <w:r>
          <w:tab/>
          <w:t>0</w:t>
        </w:r>
        <w:r w:rsidR="00591CAD">
          <w:t>2</w:t>
        </w:r>
        <w:r>
          <w:t>0419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D620C" w14:textId="77777777" w:rsidR="002F4337" w:rsidRPr="005C34BE" w:rsidRDefault="002F4337" w:rsidP="005C34BE">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5C34BE">
        <w:rPr>
          <w:sz w:val="18"/>
          <w:szCs w:val="18"/>
        </w:rPr>
        <w:separator/>
      </w:r>
    </w:p>
  </w:footnote>
  <w:footnote w:type="continuationSeparator" w:id="0">
    <w:p w14:paraId="1AF81062" w14:textId="77777777" w:rsidR="002F4337" w:rsidRDefault="002F4337">
      <w:r>
        <w:continuationSeparator/>
      </w:r>
    </w:p>
  </w:footnote>
  <w:footnote w:id="1">
    <w:p w14:paraId="7A7FDF2F" w14:textId="5C4C9C51" w:rsidR="0082513F" w:rsidRPr="000559DA" w:rsidRDefault="0082513F" w:rsidP="005C34BE">
      <w:pPr>
        <w:pStyle w:val="NormalNonumber"/>
        <w:tabs>
          <w:tab w:val="clear" w:pos="1247"/>
          <w:tab w:val="clear" w:pos="1814"/>
          <w:tab w:val="clear" w:pos="2381"/>
          <w:tab w:val="clear" w:pos="2948"/>
          <w:tab w:val="clear" w:pos="3515"/>
          <w:tab w:val="clear" w:pos="4082"/>
          <w:tab w:val="left" w:pos="624"/>
        </w:tabs>
        <w:spacing w:before="20" w:after="40"/>
        <w:rPr>
          <w:sz w:val="18"/>
          <w:szCs w:val="18"/>
          <w:lang w:val="fr-FR"/>
        </w:rPr>
      </w:pPr>
      <w:r w:rsidRPr="000559DA">
        <w:rPr>
          <w:rStyle w:val="FootnoteReference"/>
          <w:sz w:val="18"/>
          <w:vertAlign w:val="baseline"/>
          <w:lang w:val="fr-FR"/>
        </w:rPr>
        <w:t>*</w:t>
      </w:r>
      <w:r w:rsidRPr="000559DA">
        <w:rPr>
          <w:sz w:val="18"/>
          <w:szCs w:val="18"/>
          <w:lang w:val="fr-FR"/>
        </w:rPr>
        <w:t xml:space="preserve"> IPBES/7/1</w:t>
      </w:r>
      <w:r>
        <w:rPr>
          <w:sz w:val="18"/>
          <w:szCs w:val="18"/>
          <w:lang w:val="fr-FR"/>
        </w:rPr>
        <w:t>/Rev.1</w:t>
      </w:r>
      <w:r w:rsidRPr="000559DA">
        <w:rPr>
          <w:sz w:val="18"/>
          <w:szCs w:val="18"/>
          <w:lang w:val="fr-FR"/>
        </w:rPr>
        <w:t>.</w:t>
      </w:r>
    </w:p>
  </w:footnote>
  <w:footnote w:id="2">
    <w:p w14:paraId="16A20404" w14:textId="69CE35AD" w:rsidR="0082513F" w:rsidRPr="000559DA" w:rsidRDefault="0082513F" w:rsidP="005C34BE">
      <w:pPr>
        <w:pStyle w:val="NormalNonumber"/>
        <w:tabs>
          <w:tab w:val="clear" w:pos="1247"/>
          <w:tab w:val="clear" w:pos="1814"/>
          <w:tab w:val="clear" w:pos="2381"/>
          <w:tab w:val="clear" w:pos="2948"/>
          <w:tab w:val="clear" w:pos="3515"/>
          <w:tab w:val="clear" w:pos="4082"/>
          <w:tab w:val="left" w:pos="624"/>
        </w:tabs>
        <w:spacing w:before="20" w:after="40"/>
        <w:rPr>
          <w:szCs w:val="18"/>
          <w:lang w:val="fr-FR"/>
        </w:rPr>
      </w:pPr>
      <w:r w:rsidRPr="000559DA">
        <w:rPr>
          <w:rStyle w:val="FootnoteReference"/>
          <w:sz w:val="18"/>
          <w:lang w:val="fr-FR"/>
        </w:rPr>
        <w:footnoteRef/>
      </w:r>
      <w:r w:rsidRPr="000559DA">
        <w:rPr>
          <w:sz w:val="18"/>
          <w:szCs w:val="18"/>
          <w:lang w:val="fr-FR"/>
        </w:rPr>
        <w:t xml:space="preserve"> D</w:t>
      </w:r>
      <w:r>
        <w:rPr>
          <w:sz w:val="18"/>
          <w:szCs w:val="18"/>
          <w:lang w:val="fr-FR"/>
        </w:rPr>
        <w:t>é</w:t>
      </w:r>
      <w:r w:rsidRPr="000559DA">
        <w:rPr>
          <w:sz w:val="18"/>
          <w:szCs w:val="18"/>
          <w:lang w:val="fr-FR"/>
        </w:rPr>
        <w:t>cision</w:t>
      </w:r>
      <w:r>
        <w:rPr>
          <w:sz w:val="18"/>
          <w:szCs w:val="18"/>
          <w:lang w:val="fr-FR"/>
        </w:rPr>
        <w:t> </w:t>
      </w:r>
      <w:r w:rsidRPr="000559DA">
        <w:rPr>
          <w:sz w:val="18"/>
          <w:szCs w:val="18"/>
          <w:lang w:val="fr-FR"/>
        </w:rPr>
        <w:t>IPBES-3/3, annex</w:t>
      </w:r>
      <w:r>
        <w:rPr>
          <w:sz w:val="18"/>
          <w:szCs w:val="18"/>
          <w:lang w:val="fr-FR"/>
        </w:rPr>
        <w:t>e </w:t>
      </w:r>
      <w:r w:rsidRPr="000559DA">
        <w:rPr>
          <w:sz w:val="18"/>
          <w:szCs w:val="18"/>
          <w:lang w:val="fr-FR"/>
        </w:rPr>
        <w:t xml:space="preserve">I. </w:t>
      </w:r>
    </w:p>
  </w:footnote>
  <w:footnote w:id="3">
    <w:p w14:paraId="6080BD55" w14:textId="111083F9" w:rsidR="0082513F" w:rsidRPr="000559DA" w:rsidRDefault="0082513F" w:rsidP="005C34BE">
      <w:pPr>
        <w:pStyle w:val="NormalNonumber"/>
        <w:tabs>
          <w:tab w:val="clear" w:pos="1247"/>
          <w:tab w:val="clear" w:pos="1814"/>
          <w:tab w:val="clear" w:pos="2381"/>
          <w:tab w:val="clear" w:pos="2948"/>
          <w:tab w:val="clear" w:pos="3515"/>
          <w:tab w:val="clear" w:pos="4082"/>
          <w:tab w:val="left" w:pos="624"/>
        </w:tabs>
        <w:spacing w:before="20" w:after="40"/>
        <w:rPr>
          <w:szCs w:val="18"/>
          <w:lang w:val="fr-FR"/>
        </w:rPr>
      </w:pPr>
      <w:r w:rsidRPr="000559DA">
        <w:rPr>
          <w:rStyle w:val="FootnoteReference"/>
          <w:sz w:val="18"/>
          <w:lang w:val="fr-FR"/>
        </w:rPr>
        <w:footnoteRef/>
      </w:r>
      <w:r w:rsidRPr="000559DA">
        <w:rPr>
          <w:sz w:val="18"/>
          <w:szCs w:val="18"/>
          <w:lang w:val="fr-FR"/>
        </w:rPr>
        <w:t xml:space="preserve"> </w:t>
      </w:r>
      <w:r w:rsidRPr="00184146">
        <w:rPr>
          <w:sz w:val="18"/>
          <w:szCs w:val="18"/>
          <w:lang w:val="fr-FR"/>
        </w:rPr>
        <w:t>Ibid.</w:t>
      </w:r>
    </w:p>
  </w:footnote>
  <w:footnote w:id="4">
    <w:p w14:paraId="45EC4257" w14:textId="525DA5F8" w:rsidR="0082513F" w:rsidRPr="007640A1" w:rsidRDefault="0082513F" w:rsidP="005C34BE">
      <w:pPr>
        <w:pStyle w:val="NormalNonumber"/>
        <w:tabs>
          <w:tab w:val="clear" w:pos="1247"/>
          <w:tab w:val="clear" w:pos="1814"/>
          <w:tab w:val="clear" w:pos="2381"/>
          <w:tab w:val="clear" w:pos="2948"/>
          <w:tab w:val="clear" w:pos="3515"/>
          <w:tab w:val="clear" w:pos="4082"/>
          <w:tab w:val="left" w:pos="624"/>
        </w:tabs>
        <w:spacing w:before="20" w:after="40"/>
        <w:rPr>
          <w:i/>
          <w:szCs w:val="18"/>
          <w:lang w:val="fr-FR"/>
        </w:rPr>
      </w:pPr>
      <w:r w:rsidRPr="000559DA">
        <w:rPr>
          <w:rStyle w:val="FootnoteReference"/>
          <w:sz w:val="18"/>
          <w:lang w:val="fr-FR"/>
        </w:rPr>
        <w:footnoteRef/>
      </w:r>
      <w:r w:rsidRPr="000559DA">
        <w:rPr>
          <w:sz w:val="18"/>
          <w:szCs w:val="18"/>
          <w:lang w:val="fr-FR"/>
        </w:rPr>
        <w:t xml:space="preserve"> </w:t>
      </w:r>
      <w:r w:rsidRPr="007640A1">
        <w:rPr>
          <w:i/>
          <w:sz w:val="18"/>
          <w:szCs w:val="18"/>
          <w:lang w:val="fr-FR"/>
        </w:rPr>
        <w:t>Ibid.</w:t>
      </w:r>
      <w:r w:rsidRPr="007640A1" w:rsidDel="0026358C">
        <w:rPr>
          <w:i/>
          <w:sz w:val="18"/>
          <w:szCs w:val="18"/>
          <w:lang w:val="fr-FR"/>
        </w:rPr>
        <w:t xml:space="preserve"> </w:t>
      </w:r>
    </w:p>
  </w:footnote>
  <w:footnote w:id="5">
    <w:p w14:paraId="13B9E2FE" w14:textId="2860CD57" w:rsidR="0082513F" w:rsidRPr="000559DA" w:rsidRDefault="0082513F" w:rsidP="005C34BE">
      <w:pPr>
        <w:pStyle w:val="NormalNonumber"/>
        <w:tabs>
          <w:tab w:val="clear" w:pos="1247"/>
          <w:tab w:val="clear" w:pos="1814"/>
          <w:tab w:val="clear" w:pos="2381"/>
          <w:tab w:val="clear" w:pos="2948"/>
          <w:tab w:val="clear" w:pos="3515"/>
          <w:tab w:val="clear" w:pos="4082"/>
          <w:tab w:val="left" w:pos="624"/>
        </w:tabs>
        <w:spacing w:before="20" w:after="40"/>
        <w:rPr>
          <w:szCs w:val="18"/>
          <w:lang w:val="fr-FR"/>
        </w:rPr>
      </w:pPr>
      <w:r w:rsidRPr="000559DA">
        <w:rPr>
          <w:rStyle w:val="FootnoteReference"/>
          <w:sz w:val="18"/>
          <w:lang w:val="fr-FR"/>
        </w:rPr>
        <w:footnoteRef/>
      </w:r>
      <w:r w:rsidRPr="000559DA">
        <w:rPr>
          <w:sz w:val="18"/>
          <w:szCs w:val="18"/>
          <w:lang w:val="fr-FR"/>
        </w:rPr>
        <w:t xml:space="preserve"> D</w:t>
      </w:r>
      <w:r>
        <w:rPr>
          <w:sz w:val="18"/>
          <w:szCs w:val="18"/>
          <w:lang w:val="fr-FR"/>
        </w:rPr>
        <w:t>é</w:t>
      </w:r>
      <w:r w:rsidRPr="000559DA">
        <w:rPr>
          <w:sz w:val="18"/>
          <w:szCs w:val="18"/>
          <w:lang w:val="fr-FR"/>
        </w:rPr>
        <w:t>cision</w:t>
      </w:r>
      <w:r>
        <w:rPr>
          <w:sz w:val="18"/>
          <w:szCs w:val="18"/>
          <w:lang w:val="fr-FR"/>
        </w:rPr>
        <w:t> </w:t>
      </w:r>
      <w:r w:rsidRPr="000559DA">
        <w:rPr>
          <w:sz w:val="18"/>
          <w:szCs w:val="18"/>
          <w:lang w:val="fr-FR"/>
        </w:rPr>
        <w:t>IPBES-3/3, annex</w:t>
      </w:r>
      <w:r>
        <w:rPr>
          <w:sz w:val="18"/>
          <w:szCs w:val="18"/>
          <w:lang w:val="fr-FR"/>
        </w:rPr>
        <w:t>e </w:t>
      </w:r>
      <w:r w:rsidRPr="000559DA">
        <w:rPr>
          <w:sz w:val="18"/>
          <w:szCs w:val="18"/>
          <w:lang w:val="fr-FR"/>
        </w:rPr>
        <w:t>I, section</w:t>
      </w:r>
      <w:r>
        <w:rPr>
          <w:sz w:val="18"/>
          <w:szCs w:val="18"/>
          <w:lang w:val="fr-FR"/>
        </w:rPr>
        <w:t> </w:t>
      </w:r>
      <w:r w:rsidRPr="000559DA">
        <w:rPr>
          <w:sz w:val="18"/>
          <w:szCs w:val="18"/>
          <w:lang w:val="fr-FR"/>
        </w:rPr>
        <w:t>3.2.</w:t>
      </w:r>
    </w:p>
  </w:footnote>
  <w:footnote w:id="6">
    <w:p w14:paraId="5D45E684" w14:textId="075CC0B1" w:rsidR="0082513F" w:rsidRPr="000559DA" w:rsidRDefault="0082513F" w:rsidP="005C34BE">
      <w:pPr>
        <w:pStyle w:val="NormalNonumber"/>
        <w:tabs>
          <w:tab w:val="clear" w:pos="1247"/>
          <w:tab w:val="clear" w:pos="1814"/>
          <w:tab w:val="clear" w:pos="2381"/>
          <w:tab w:val="clear" w:pos="2948"/>
          <w:tab w:val="clear" w:pos="3515"/>
          <w:tab w:val="clear" w:pos="4082"/>
          <w:tab w:val="left" w:pos="624"/>
        </w:tabs>
        <w:spacing w:before="20" w:after="40"/>
        <w:rPr>
          <w:szCs w:val="18"/>
          <w:lang w:val="fr-FR"/>
        </w:rPr>
      </w:pPr>
      <w:r w:rsidRPr="000559DA">
        <w:rPr>
          <w:rStyle w:val="FootnoteReference"/>
          <w:sz w:val="18"/>
          <w:lang w:val="fr-FR"/>
        </w:rPr>
        <w:footnoteRef/>
      </w:r>
      <w:r w:rsidRPr="000559DA">
        <w:rPr>
          <w:sz w:val="18"/>
          <w:szCs w:val="18"/>
          <w:lang w:val="fr-FR"/>
        </w:rPr>
        <w:t xml:space="preserve"> D</w:t>
      </w:r>
      <w:r>
        <w:rPr>
          <w:sz w:val="18"/>
          <w:szCs w:val="18"/>
          <w:lang w:val="fr-FR"/>
        </w:rPr>
        <w:t>é</w:t>
      </w:r>
      <w:r w:rsidRPr="000559DA">
        <w:rPr>
          <w:sz w:val="18"/>
          <w:szCs w:val="18"/>
          <w:lang w:val="fr-FR"/>
        </w:rPr>
        <w:t>cision</w:t>
      </w:r>
      <w:r>
        <w:rPr>
          <w:sz w:val="18"/>
          <w:szCs w:val="18"/>
          <w:lang w:val="fr-FR"/>
        </w:rPr>
        <w:t> </w:t>
      </w:r>
      <w:r w:rsidRPr="000559DA">
        <w:rPr>
          <w:sz w:val="18"/>
          <w:szCs w:val="18"/>
          <w:lang w:val="fr-FR"/>
        </w:rPr>
        <w:t>IPBES-3/4, annex</w:t>
      </w:r>
      <w:r>
        <w:rPr>
          <w:sz w:val="18"/>
          <w:szCs w:val="18"/>
          <w:lang w:val="fr-FR"/>
        </w:rPr>
        <w:t>e </w:t>
      </w:r>
      <w:r w:rsidRPr="000559DA">
        <w:rPr>
          <w:sz w:val="18"/>
          <w:szCs w:val="18"/>
          <w:lang w:val="fr-FR"/>
        </w:rPr>
        <w:t xml:space="preserve">III. </w:t>
      </w:r>
    </w:p>
  </w:footnote>
  <w:footnote w:id="7">
    <w:p w14:paraId="5DA9314A" w14:textId="352B5F05" w:rsidR="0082513F" w:rsidRPr="000559DA" w:rsidRDefault="0082513F" w:rsidP="005C34BE">
      <w:pPr>
        <w:pStyle w:val="NormalNonumber"/>
        <w:tabs>
          <w:tab w:val="clear" w:pos="1247"/>
          <w:tab w:val="clear" w:pos="1814"/>
          <w:tab w:val="clear" w:pos="2381"/>
          <w:tab w:val="clear" w:pos="2948"/>
          <w:tab w:val="clear" w:pos="3515"/>
          <w:tab w:val="clear" w:pos="4082"/>
          <w:tab w:val="left" w:pos="624"/>
        </w:tabs>
        <w:spacing w:before="20" w:after="40"/>
        <w:rPr>
          <w:szCs w:val="18"/>
          <w:lang w:val="fr-FR"/>
        </w:rPr>
      </w:pPr>
      <w:r w:rsidRPr="000559DA">
        <w:rPr>
          <w:rStyle w:val="FootnoteReference"/>
          <w:sz w:val="18"/>
          <w:lang w:val="fr-FR"/>
        </w:rPr>
        <w:footnoteRef/>
      </w:r>
      <w:r w:rsidRPr="000559DA">
        <w:rPr>
          <w:sz w:val="18"/>
          <w:szCs w:val="18"/>
          <w:lang w:val="fr-FR"/>
        </w:rPr>
        <w:t xml:space="preserve"> </w:t>
      </w:r>
      <w:r>
        <w:rPr>
          <w:sz w:val="18"/>
          <w:szCs w:val="18"/>
          <w:lang w:val="fr-FR"/>
        </w:rPr>
        <w:t>On trouvera dans le document </w:t>
      </w:r>
      <w:r w:rsidRPr="000559DA">
        <w:rPr>
          <w:sz w:val="18"/>
          <w:szCs w:val="18"/>
          <w:lang w:val="fr-FR"/>
        </w:rPr>
        <w:t>IPBES/7/INF/7/Add.1</w:t>
      </w:r>
      <w:r>
        <w:rPr>
          <w:sz w:val="18"/>
          <w:szCs w:val="18"/>
          <w:lang w:val="fr-FR"/>
        </w:rPr>
        <w:t xml:space="preserve"> la dernière version de l’annexe au plan glissant</w:t>
      </w:r>
      <w:r w:rsidRPr="000559DA">
        <w:rPr>
          <w:sz w:val="18"/>
          <w:szCs w:val="18"/>
          <w:lang w:val="fr-FR"/>
        </w:rPr>
        <w:t xml:space="preserve">. </w:t>
      </w:r>
    </w:p>
  </w:footnote>
  <w:footnote w:id="8">
    <w:p w14:paraId="3ED4CDD5" w14:textId="680841FA" w:rsidR="0082513F" w:rsidRPr="000559DA" w:rsidRDefault="0082513F" w:rsidP="005C34BE">
      <w:pPr>
        <w:pStyle w:val="NormalNonumber"/>
        <w:tabs>
          <w:tab w:val="clear" w:pos="1247"/>
          <w:tab w:val="clear" w:pos="1814"/>
          <w:tab w:val="clear" w:pos="2381"/>
          <w:tab w:val="clear" w:pos="2948"/>
          <w:tab w:val="clear" w:pos="3515"/>
          <w:tab w:val="clear" w:pos="4082"/>
          <w:tab w:val="left" w:pos="624"/>
        </w:tabs>
        <w:spacing w:before="20" w:after="40"/>
        <w:rPr>
          <w:szCs w:val="18"/>
          <w:lang w:val="fr-FR"/>
        </w:rPr>
      </w:pPr>
      <w:r w:rsidRPr="000559DA">
        <w:rPr>
          <w:rStyle w:val="FootnoteReference"/>
          <w:sz w:val="18"/>
          <w:lang w:val="fr-FR"/>
        </w:rPr>
        <w:footnoteRef/>
      </w:r>
      <w:r w:rsidRPr="000559DA">
        <w:rPr>
          <w:sz w:val="18"/>
          <w:szCs w:val="18"/>
          <w:lang w:val="fr-FR"/>
        </w:rPr>
        <w:t xml:space="preserve"> </w:t>
      </w:r>
      <w:r w:rsidRPr="000559DA">
        <w:rPr>
          <w:sz w:val="18"/>
          <w:szCs w:val="18"/>
          <w:lang w:val="fr-FR" w:eastAsia="nb-NO"/>
        </w:rPr>
        <w:t xml:space="preserve">IPBES/5/INF/5, </w:t>
      </w:r>
      <w:r w:rsidRPr="000559DA">
        <w:rPr>
          <w:sz w:val="18"/>
          <w:szCs w:val="18"/>
          <w:lang w:val="fr-FR"/>
        </w:rPr>
        <w:t>appendices</w:t>
      </w:r>
      <w:r>
        <w:rPr>
          <w:sz w:val="18"/>
          <w:szCs w:val="18"/>
          <w:lang w:val="fr-FR"/>
        </w:rPr>
        <w:t> </w:t>
      </w:r>
      <w:r w:rsidRPr="000559DA">
        <w:rPr>
          <w:sz w:val="18"/>
          <w:szCs w:val="18"/>
          <w:lang w:val="fr-FR"/>
        </w:rPr>
        <w:t xml:space="preserve">III </w:t>
      </w:r>
      <w:r>
        <w:rPr>
          <w:sz w:val="18"/>
          <w:szCs w:val="18"/>
          <w:lang w:val="fr-FR"/>
        </w:rPr>
        <w:t>et</w:t>
      </w:r>
      <w:r w:rsidRPr="000559DA">
        <w:rPr>
          <w:sz w:val="18"/>
          <w:szCs w:val="18"/>
          <w:lang w:val="fr-FR"/>
        </w:rPr>
        <w:t xml:space="preserve"> IV</w:t>
      </w:r>
      <w:r w:rsidRPr="000559DA">
        <w:rPr>
          <w:sz w:val="18"/>
          <w:szCs w:val="18"/>
          <w:lang w:val="fr-FR" w:eastAsia="nb-NO"/>
        </w:rPr>
        <w:t>.</w:t>
      </w:r>
    </w:p>
  </w:footnote>
  <w:footnote w:id="9">
    <w:p w14:paraId="04E93814" w14:textId="12599B07" w:rsidR="0082513F" w:rsidRPr="000559DA" w:rsidRDefault="0082513F" w:rsidP="005C34BE">
      <w:pPr>
        <w:pStyle w:val="NormalNonumber"/>
        <w:tabs>
          <w:tab w:val="clear" w:pos="1247"/>
          <w:tab w:val="clear" w:pos="1814"/>
          <w:tab w:val="clear" w:pos="2381"/>
          <w:tab w:val="clear" w:pos="2948"/>
          <w:tab w:val="clear" w:pos="3515"/>
          <w:tab w:val="clear" w:pos="4082"/>
          <w:tab w:val="left" w:pos="624"/>
        </w:tabs>
        <w:spacing w:before="20" w:after="40"/>
        <w:rPr>
          <w:szCs w:val="18"/>
          <w:lang w:val="fr-FR"/>
        </w:rPr>
      </w:pPr>
      <w:r w:rsidRPr="000559DA">
        <w:rPr>
          <w:rStyle w:val="FootnoteReference"/>
          <w:sz w:val="18"/>
          <w:lang w:val="fr-FR"/>
        </w:rPr>
        <w:footnoteRef/>
      </w:r>
      <w:r w:rsidRPr="000559DA">
        <w:rPr>
          <w:sz w:val="18"/>
          <w:szCs w:val="18"/>
          <w:lang w:val="fr-FR"/>
        </w:rPr>
        <w:t xml:space="preserve"> D</w:t>
      </w:r>
      <w:r>
        <w:rPr>
          <w:sz w:val="18"/>
          <w:szCs w:val="18"/>
          <w:lang w:val="fr-FR"/>
        </w:rPr>
        <w:t>é</w:t>
      </w:r>
      <w:r w:rsidRPr="000559DA">
        <w:rPr>
          <w:sz w:val="18"/>
          <w:szCs w:val="18"/>
          <w:lang w:val="fr-FR"/>
        </w:rPr>
        <w:t>cision</w:t>
      </w:r>
      <w:r>
        <w:rPr>
          <w:sz w:val="18"/>
          <w:szCs w:val="18"/>
          <w:lang w:val="fr-FR"/>
        </w:rPr>
        <w:t> </w:t>
      </w:r>
      <w:r w:rsidRPr="000559DA">
        <w:rPr>
          <w:sz w:val="18"/>
          <w:szCs w:val="18"/>
          <w:lang w:val="fr-FR"/>
        </w:rPr>
        <w:t>IPBES-5/1, annex</w:t>
      </w:r>
      <w:r>
        <w:rPr>
          <w:sz w:val="18"/>
          <w:szCs w:val="18"/>
          <w:lang w:val="fr-FR"/>
        </w:rPr>
        <w:t>e II.</w:t>
      </w:r>
    </w:p>
  </w:footnote>
  <w:footnote w:id="10">
    <w:p w14:paraId="021906A0" w14:textId="7F8D34AB" w:rsidR="0082513F" w:rsidRPr="000559DA" w:rsidRDefault="0082513F" w:rsidP="005C34BE">
      <w:pPr>
        <w:pStyle w:val="NormalNonumber"/>
        <w:tabs>
          <w:tab w:val="clear" w:pos="1247"/>
          <w:tab w:val="clear" w:pos="1814"/>
          <w:tab w:val="clear" w:pos="2381"/>
          <w:tab w:val="clear" w:pos="2948"/>
          <w:tab w:val="clear" w:pos="3515"/>
          <w:tab w:val="clear" w:pos="4082"/>
          <w:tab w:val="left" w:pos="624"/>
        </w:tabs>
        <w:spacing w:before="20" w:after="40"/>
        <w:rPr>
          <w:szCs w:val="18"/>
          <w:lang w:val="fr-FR"/>
        </w:rPr>
      </w:pPr>
      <w:r w:rsidRPr="000559DA">
        <w:rPr>
          <w:rStyle w:val="FootnoteReference"/>
          <w:sz w:val="18"/>
          <w:lang w:val="fr-FR"/>
        </w:rPr>
        <w:footnoteRef/>
      </w:r>
      <w:r w:rsidRPr="000559DA">
        <w:rPr>
          <w:sz w:val="18"/>
          <w:szCs w:val="18"/>
          <w:lang w:val="fr-FR"/>
        </w:rPr>
        <w:t xml:space="preserve"> </w:t>
      </w:r>
      <w:r>
        <w:rPr>
          <w:sz w:val="18"/>
          <w:szCs w:val="18"/>
          <w:lang w:val="fr-FR"/>
        </w:rPr>
        <w:t>Le projet d’orientations méthodologiques figure dans le document IPBES/7/INF/8.</w:t>
      </w:r>
    </w:p>
  </w:footnote>
  <w:footnote w:id="11">
    <w:p w14:paraId="151FD3D0" w14:textId="7F9211EB" w:rsidR="0082513F" w:rsidRPr="000559DA" w:rsidRDefault="0082513F" w:rsidP="005C34BE">
      <w:pPr>
        <w:pStyle w:val="NormalNonumber"/>
        <w:tabs>
          <w:tab w:val="clear" w:pos="1247"/>
          <w:tab w:val="clear" w:pos="1814"/>
          <w:tab w:val="clear" w:pos="2381"/>
          <w:tab w:val="clear" w:pos="2948"/>
          <w:tab w:val="clear" w:pos="3515"/>
          <w:tab w:val="clear" w:pos="4082"/>
          <w:tab w:val="left" w:pos="624"/>
        </w:tabs>
        <w:spacing w:before="20" w:after="40"/>
        <w:rPr>
          <w:szCs w:val="18"/>
          <w:lang w:val="fr-FR"/>
        </w:rPr>
      </w:pPr>
      <w:r w:rsidRPr="000559DA">
        <w:rPr>
          <w:rStyle w:val="FootnoteReference"/>
          <w:sz w:val="18"/>
          <w:lang w:val="fr-FR"/>
        </w:rPr>
        <w:footnoteRef/>
      </w:r>
      <w:r w:rsidRPr="000559DA">
        <w:rPr>
          <w:sz w:val="18"/>
          <w:szCs w:val="18"/>
          <w:lang w:val="fr-FR"/>
        </w:rPr>
        <w:t xml:space="preserve"> D</w:t>
      </w:r>
      <w:r>
        <w:rPr>
          <w:sz w:val="18"/>
          <w:szCs w:val="18"/>
          <w:lang w:val="fr-FR"/>
        </w:rPr>
        <w:t>é</w:t>
      </w:r>
      <w:r w:rsidRPr="000559DA">
        <w:rPr>
          <w:sz w:val="18"/>
          <w:szCs w:val="18"/>
          <w:lang w:val="fr-FR"/>
        </w:rPr>
        <w:t>cision</w:t>
      </w:r>
      <w:r>
        <w:rPr>
          <w:sz w:val="18"/>
          <w:szCs w:val="18"/>
          <w:lang w:val="fr-FR"/>
        </w:rPr>
        <w:t> </w:t>
      </w:r>
      <w:r w:rsidRPr="000559DA">
        <w:rPr>
          <w:sz w:val="18"/>
          <w:szCs w:val="18"/>
          <w:lang w:val="fr-FR"/>
        </w:rPr>
        <w:t>IPBES-2/5, section</w:t>
      </w:r>
      <w:r>
        <w:rPr>
          <w:sz w:val="18"/>
          <w:szCs w:val="18"/>
          <w:lang w:val="fr-FR"/>
        </w:rPr>
        <w:t> </w:t>
      </w:r>
      <w:r w:rsidRPr="000559DA">
        <w:rPr>
          <w:sz w:val="18"/>
          <w:szCs w:val="18"/>
          <w:lang w:val="fr-FR"/>
        </w:rPr>
        <w:t>VIII.</w:t>
      </w:r>
      <w:r>
        <w:rPr>
          <w:sz w:val="18"/>
          <w:szCs w:val="18"/>
          <w:lang w:val="fr-FR"/>
        </w:rPr>
        <w:t xml:space="preserve"> Dans la</w:t>
      </w:r>
      <w:r w:rsidRPr="000559DA">
        <w:rPr>
          <w:sz w:val="18"/>
          <w:szCs w:val="18"/>
          <w:lang w:val="fr-FR"/>
        </w:rPr>
        <w:t xml:space="preserve"> section</w:t>
      </w:r>
      <w:r>
        <w:rPr>
          <w:sz w:val="18"/>
          <w:szCs w:val="18"/>
          <w:lang w:val="fr-FR"/>
        </w:rPr>
        <w:t> </w:t>
      </w:r>
      <w:r w:rsidRPr="000559DA">
        <w:rPr>
          <w:sz w:val="18"/>
          <w:szCs w:val="18"/>
          <w:lang w:val="fr-FR"/>
        </w:rPr>
        <w:t xml:space="preserve">VII </w:t>
      </w:r>
      <w:r>
        <w:rPr>
          <w:sz w:val="18"/>
          <w:szCs w:val="18"/>
          <w:lang w:val="fr-FR"/>
        </w:rPr>
        <w:t>de sa décision </w:t>
      </w:r>
      <w:r w:rsidRPr="000559DA">
        <w:rPr>
          <w:sz w:val="18"/>
          <w:szCs w:val="18"/>
          <w:lang w:val="fr-FR"/>
        </w:rPr>
        <w:t xml:space="preserve">IPBES-3/1 </w:t>
      </w:r>
      <w:r>
        <w:rPr>
          <w:sz w:val="18"/>
          <w:szCs w:val="18"/>
          <w:lang w:val="fr-FR"/>
        </w:rPr>
        <w:t>et la</w:t>
      </w:r>
      <w:r w:rsidRPr="000559DA">
        <w:rPr>
          <w:sz w:val="18"/>
          <w:szCs w:val="18"/>
          <w:lang w:val="fr-FR"/>
        </w:rPr>
        <w:t xml:space="preserve"> section</w:t>
      </w:r>
      <w:r>
        <w:rPr>
          <w:sz w:val="18"/>
          <w:szCs w:val="18"/>
          <w:lang w:val="fr-FR"/>
        </w:rPr>
        <w:t> </w:t>
      </w:r>
      <w:r w:rsidRPr="000559DA">
        <w:rPr>
          <w:sz w:val="18"/>
          <w:szCs w:val="18"/>
          <w:lang w:val="fr-FR"/>
        </w:rPr>
        <w:t xml:space="preserve">VI </w:t>
      </w:r>
      <w:r w:rsidR="00305133">
        <w:rPr>
          <w:sz w:val="18"/>
          <w:szCs w:val="18"/>
          <w:lang w:val="fr-FR"/>
        </w:rPr>
        <w:t>de </w:t>
      </w:r>
      <w:r>
        <w:rPr>
          <w:sz w:val="18"/>
          <w:szCs w:val="18"/>
          <w:lang w:val="fr-FR"/>
        </w:rPr>
        <w:t>sa</w:t>
      </w:r>
      <w:r w:rsidR="00305133">
        <w:rPr>
          <w:sz w:val="18"/>
          <w:szCs w:val="18"/>
          <w:lang w:val="fr-FR"/>
        </w:rPr>
        <w:t> </w:t>
      </w:r>
      <w:r w:rsidRPr="000559DA">
        <w:rPr>
          <w:sz w:val="18"/>
          <w:szCs w:val="18"/>
          <w:lang w:val="fr-FR"/>
        </w:rPr>
        <w:t>d</w:t>
      </w:r>
      <w:r>
        <w:rPr>
          <w:sz w:val="18"/>
          <w:szCs w:val="18"/>
          <w:lang w:val="fr-FR"/>
        </w:rPr>
        <w:t>é</w:t>
      </w:r>
      <w:r w:rsidRPr="000559DA">
        <w:rPr>
          <w:sz w:val="18"/>
          <w:szCs w:val="18"/>
          <w:lang w:val="fr-FR"/>
        </w:rPr>
        <w:t>cision</w:t>
      </w:r>
      <w:r>
        <w:rPr>
          <w:sz w:val="18"/>
          <w:szCs w:val="18"/>
          <w:lang w:val="fr-FR"/>
        </w:rPr>
        <w:t> </w:t>
      </w:r>
      <w:r w:rsidRPr="000559DA">
        <w:rPr>
          <w:sz w:val="18"/>
          <w:szCs w:val="18"/>
          <w:lang w:val="fr-FR"/>
        </w:rPr>
        <w:t xml:space="preserve">IPBES-4/1, </w:t>
      </w:r>
      <w:r>
        <w:rPr>
          <w:sz w:val="18"/>
          <w:szCs w:val="18"/>
          <w:lang w:val="fr-FR"/>
        </w:rPr>
        <w:t>la Plénière a précisé le mandat du groupe d’experts</w:t>
      </w:r>
      <w:r w:rsidRPr="000559DA">
        <w:rPr>
          <w:sz w:val="18"/>
          <w:szCs w:val="18"/>
          <w:lang w:val="fr-FR"/>
        </w:rPr>
        <w:t>.</w:t>
      </w:r>
    </w:p>
  </w:footnote>
  <w:footnote w:id="12">
    <w:p w14:paraId="010D8213" w14:textId="4F515378" w:rsidR="0082513F" w:rsidRPr="000559DA" w:rsidRDefault="0082513F" w:rsidP="005C34BE">
      <w:pPr>
        <w:pStyle w:val="NormalNonumber"/>
        <w:tabs>
          <w:tab w:val="clear" w:pos="1247"/>
          <w:tab w:val="clear" w:pos="1814"/>
          <w:tab w:val="clear" w:pos="2381"/>
          <w:tab w:val="clear" w:pos="2948"/>
          <w:tab w:val="clear" w:pos="3515"/>
          <w:tab w:val="clear" w:pos="4082"/>
          <w:tab w:val="left" w:pos="624"/>
        </w:tabs>
        <w:spacing w:before="20" w:after="40"/>
        <w:rPr>
          <w:szCs w:val="18"/>
          <w:highlight w:val="green"/>
          <w:lang w:val="fr-FR"/>
        </w:rPr>
      </w:pPr>
      <w:r w:rsidRPr="000559DA">
        <w:rPr>
          <w:rStyle w:val="FootnoteReference"/>
          <w:sz w:val="18"/>
          <w:lang w:val="fr-FR"/>
        </w:rPr>
        <w:footnoteRef/>
      </w:r>
      <w:r w:rsidRPr="000559DA">
        <w:rPr>
          <w:sz w:val="18"/>
          <w:szCs w:val="18"/>
          <w:lang w:val="fr-FR"/>
        </w:rPr>
        <w:t xml:space="preserve"> </w:t>
      </w:r>
      <w:r>
        <w:rPr>
          <w:sz w:val="18"/>
          <w:szCs w:val="18"/>
          <w:lang w:val="fr-FR"/>
        </w:rPr>
        <w:t>Ces procédures et orientations méthodologiques figurent dans le document </w:t>
      </w:r>
      <w:r w:rsidRPr="000559DA">
        <w:rPr>
          <w:sz w:val="18"/>
          <w:szCs w:val="18"/>
          <w:lang w:val="fr-FR"/>
        </w:rPr>
        <w:t xml:space="preserve">IPBES/7/INF/13. </w:t>
      </w:r>
    </w:p>
  </w:footnote>
  <w:footnote w:id="13">
    <w:p w14:paraId="7E43BD29" w14:textId="49751260" w:rsidR="0082513F" w:rsidRPr="000559DA" w:rsidRDefault="0082513F" w:rsidP="005C34BE">
      <w:pPr>
        <w:pStyle w:val="NormalNonumber"/>
        <w:tabs>
          <w:tab w:val="clear" w:pos="1247"/>
          <w:tab w:val="clear" w:pos="1814"/>
          <w:tab w:val="clear" w:pos="2381"/>
          <w:tab w:val="clear" w:pos="2948"/>
          <w:tab w:val="clear" w:pos="3515"/>
          <w:tab w:val="clear" w:pos="4082"/>
          <w:tab w:val="left" w:pos="624"/>
        </w:tabs>
        <w:spacing w:before="20" w:after="40"/>
        <w:rPr>
          <w:szCs w:val="18"/>
          <w:highlight w:val="lightGray"/>
          <w:lang w:val="fr-FR"/>
        </w:rPr>
      </w:pPr>
      <w:r w:rsidRPr="000559DA">
        <w:rPr>
          <w:rStyle w:val="FootnoteReference"/>
          <w:sz w:val="18"/>
          <w:lang w:val="fr-FR"/>
        </w:rPr>
        <w:footnoteRef/>
      </w:r>
      <w:r w:rsidRPr="000559DA">
        <w:rPr>
          <w:sz w:val="18"/>
          <w:szCs w:val="18"/>
          <w:lang w:val="fr-FR"/>
        </w:rPr>
        <w:t xml:space="preserve"> </w:t>
      </w:r>
      <w:r>
        <w:rPr>
          <w:sz w:val="18"/>
          <w:szCs w:val="18"/>
          <w:lang w:val="fr-FR"/>
        </w:rPr>
        <w:t>Disponible à l’adresse suivante :</w:t>
      </w:r>
      <w:r w:rsidRPr="000559DA">
        <w:rPr>
          <w:sz w:val="18"/>
          <w:szCs w:val="18"/>
          <w:lang w:val="fr-FR"/>
        </w:rPr>
        <w:t xml:space="preserve"> </w:t>
      </w:r>
      <w:hyperlink r:id="rId1" w:history="1">
        <w:r w:rsidRPr="000559DA">
          <w:rPr>
            <w:sz w:val="18"/>
            <w:szCs w:val="18"/>
            <w:lang w:val="fr-FR"/>
          </w:rPr>
          <w:t>www.ipbes.net/policy-support</w:t>
        </w:r>
      </w:hyperlink>
      <w:r w:rsidRPr="000559DA">
        <w:rPr>
          <w:sz w:val="18"/>
          <w:szCs w:val="18"/>
          <w:lang w:val="fr-FR"/>
        </w:rPr>
        <w:t>.</w:t>
      </w:r>
    </w:p>
  </w:footnote>
  <w:footnote w:id="14">
    <w:p w14:paraId="07BCB8D2" w14:textId="17F1B997" w:rsidR="0082513F" w:rsidRPr="000559DA" w:rsidRDefault="0082513F" w:rsidP="005C34BE">
      <w:pPr>
        <w:pStyle w:val="NormalNonumber"/>
        <w:tabs>
          <w:tab w:val="clear" w:pos="1247"/>
          <w:tab w:val="clear" w:pos="1814"/>
          <w:tab w:val="clear" w:pos="2381"/>
          <w:tab w:val="clear" w:pos="2948"/>
          <w:tab w:val="clear" w:pos="3515"/>
          <w:tab w:val="clear" w:pos="4082"/>
          <w:tab w:val="left" w:pos="624"/>
        </w:tabs>
        <w:spacing w:before="20" w:after="40"/>
        <w:rPr>
          <w:szCs w:val="18"/>
          <w:lang w:val="fr-FR"/>
        </w:rPr>
      </w:pPr>
      <w:r w:rsidRPr="000559DA">
        <w:rPr>
          <w:rStyle w:val="FootnoteReference"/>
          <w:sz w:val="18"/>
          <w:lang w:val="fr-FR"/>
        </w:rPr>
        <w:footnoteRef/>
      </w:r>
      <w:r w:rsidRPr="000559DA">
        <w:rPr>
          <w:sz w:val="18"/>
          <w:szCs w:val="18"/>
          <w:lang w:val="fr-FR"/>
        </w:rPr>
        <w:t xml:space="preserve"> </w:t>
      </w:r>
      <w:r>
        <w:rPr>
          <w:sz w:val="18"/>
          <w:szCs w:val="18"/>
          <w:lang w:val="fr-FR"/>
        </w:rPr>
        <w:t xml:space="preserve">Ces procédures figurent dans le </w:t>
      </w:r>
      <w:r w:rsidRPr="000559DA">
        <w:rPr>
          <w:sz w:val="18"/>
          <w:szCs w:val="18"/>
          <w:lang w:val="fr-FR"/>
        </w:rPr>
        <w:t xml:space="preserve">document IPBES/7/INF/13. </w:t>
      </w:r>
    </w:p>
  </w:footnote>
  <w:footnote w:id="15">
    <w:p w14:paraId="6E0B1718" w14:textId="48E55617" w:rsidR="0082513F" w:rsidRPr="000559DA" w:rsidRDefault="0082513F" w:rsidP="005C34BE">
      <w:pPr>
        <w:pStyle w:val="NormalNonumber"/>
        <w:tabs>
          <w:tab w:val="clear" w:pos="1247"/>
          <w:tab w:val="clear" w:pos="1814"/>
          <w:tab w:val="clear" w:pos="2381"/>
          <w:tab w:val="clear" w:pos="2948"/>
          <w:tab w:val="clear" w:pos="3515"/>
          <w:tab w:val="clear" w:pos="4082"/>
          <w:tab w:val="left" w:pos="624"/>
        </w:tabs>
        <w:spacing w:before="20" w:after="40"/>
        <w:rPr>
          <w:szCs w:val="18"/>
          <w:lang w:val="fr-FR"/>
        </w:rPr>
      </w:pPr>
      <w:r w:rsidRPr="000559DA">
        <w:rPr>
          <w:rStyle w:val="FootnoteReference"/>
          <w:sz w:val="18"/>
          <w:lang w:val="fr-FR"/>
        </w:rPr>
        <w:footnoteRef/>
      </w:r>
      <w:r w:rsidRPr="000559DA">
        <w:rPr>
          <w:sz w:val="18"/>
          <w:szCs w:val="18"/>
          <w:lang w:val="fr-FR"/>
        </w:rPr>
        <w:t xml:space="preserve"> </w:t>
      </w:r>
      <w:hyperlink w:history="1">
        <w:r w:rsidRPr="00B747E1">
          <w:rPr>
            <w:rStyle w:val="Hyperlink"/>
            <w:sz w:val="18"/>
            <w:szCs w:val="18"/>
          </w:rPr>
          <w:t>Disponible à l’adresse suivante : www.ipbes.net/scenarios-models</w:t>
        </w:r>
      </w:hyperlink>
      <w:r w:rsidRPr="000559DA">
        <w:rPr>
          <w:sz w:val="18"/>
          <w:szCs w:val="18"/>
          <w:lang w:val="fr-FR"/>
        </w:rPr>
        <w:t>.</w:t>
      </w:r>
    </w:p>
  </w:footnote>
  <w:footnote w:id="16">
    <w:p w14:paraId="3A81E682" w14:textId="5FA27234" w:rsidR="0082513F" w:rsidRPr="000559DA" w:rsidRDefault="0082513F" w:rsidP="005C34BE">
      <w:pPr>
        <w:pStyle w:val="NormalNonumber"/>
        <w:tabs>
          <w:tab w:val="clear" w:pos="1247"/>
          <w:tab w:val="clear" w:pos="1814"/>
          <w:tab w:val="clear" w:pos="2381"/>
          <w:tab w:val="clear" w:pos="2948"/>
          <w:tab w:val="clear" w:pos="3515"/>
          <w:tab w:val="clear" w:pos="4082"/>
          <w:tab w:val="left" w:pos="624"/>
        </w:tabs>
        <w:spacing w:before="20" w:after="40"/>
        <w:rPr>
          <w:szCs w:val="18"/>
          <w:lang w:val="fr-FR"/>
        </w:rPr>
      </w:pPr>
      <w:r w:rsidRPr="000559DA">
        <w:rPr>
          <w:rStyle w:val="FootnoteReference"/>
          <w:sz w:val="18"/>
          <w:lang w:val="fr-FR"/>
        </w:rPr>
        <w:footnoteRef/>
      </w:r>
      <w:r w:rsidRPr="000559DA">
        <w:rPr>
          <w:sz w:val="18"/>
          <w:szCs w:val="18"/>
          <w:lang w:val="fr-FR"/>
        </w:rPr>
        <w:t xml:space="preserve"> D</w:t>
      </w:r>
      <w:r>
        <w:rPr>
          <w:sz w:val="18"/>
          <w:szCs w:val="18"/>
          <w:lang w:val="fr-FR"/>
        </w:rPr>
        <w:t>é</w:t>
      </w:r>
      <w:r w:rsidRPr="000559DA">
        <w:rPr>
          <w:sz w:val="18"/>
          <w:szCs w:val="18"/>
          <w:lang w:val="fr-FR"/>
        </w:rPr>
        <w:t>cision</w:t>
      </w:r>
      <w:r>
        <w:rPr>
          <w:sz w:val="18"/>
          <w:szCs w:val="18"/>
          <w:lang w:val="fr-FR"/>
        </w:rPr>
        <w:t> </w:t>
      </w:r>
      <w:r w:rsidRPr="000559DA">
        <w:rPr>
          <w:sz w:val="18"/>
          <w:szCs w:val="18"/>
          <w:lang w:val="fr-FR"/>
        </w:rPr>
        <w:t>IPBES-4/1, annex</w:t>
      </w:r>
      <w:r>
        <w:rPr>
          <w:sz w:val="18"/>
          <w:szCs w:val="18"/>
          <w:lang w:val="fr-FR"/>
        </w:rPr>
        <w:t>e </w:t>
      </w:r>
      <w:r w:rsidRPr="000559DA">
        <w:rPr>
          <w:sz w:val="18"/>
          <w:szCs w:val="18"/>
          <w:lang w:val="fr-FR"/>
        </w:rPr>
        <w:t xml:space="preserve">V. </w:t>
      </w:r>
    </w:p>
  </w:footnote>
  <w:footnote w:id="17">
    <w:p w14:paraId="2474ED8F" w14:textId="2905B751" w:rsidR="0082513F" w:rsidRPr="000559DA" w:rsidRDefault="0082513F" w:rsidP="005C34BE">
      <w:pPr>
        <w:pStyle w:val="NormalNonumber"/>
        <w:tabs>
          <w:tab w:val="clear" w:pos="1247"/>
          <w:tab w:val="clear" w:pos="1814"/>
          <w:tab w:val="clear" w:pos="2381"/>
          <w:tab w:val="clear" w:pos="2948"/>
          <w:tab w:val="clear" w:pos="3515"/>
          <w:tab w:val="clear" w:pos="4082"/>
          <w:tab w:val="left" w:pos="624"/>
        </w:tabs>
        <w:spacing w:before="20" w:after="40"/>
        <w:rPr>
          <w:szCs w:val="18"/>
          <w:lang w:val="fr-FR"/>
        </w:rPr>
      </w:pPr>
      <w:r w:rsidRPr="000559DA">
        <w:rPr>
          <w:rStyle w:val="FootnoteReference"/>
          <w:sz w:val="18"/>
          <w:lang w:val="fr-FR"/>
        </w:rPr>
        <w:footnoteRef/>
      </w:r>
      <w:r w:rsidRPr="000559DA">
        <w:rPr>
          <w:sz w:val="18"/>
          <w:szCs w:val="18"/>
          <w:lang w:val="fr-FR"/>
        </w:rPr>
        <w:t xml:space="preserve"> IPBES/4/INF/13.</w:t>
      </w:r>
    </w:p>
  </w:footnote>
  <w:footnote w:id="18">
    <w:p w14:paraId="34CA42BE" w14:textId="47B8A6FC" w:rsidR="0082513F" w:rsidRPr="000559DA" w:rsidRDefault="0082513F" w:rsidP="005C34BE">
      <w:pPr>
        <w:pStyle w:val="NormalNonumber"/>
        <w:tabs>
          <w:tab w:val="clear" w:pos="1247"/>
          <w:tab w:val="clear" w:pos="1814"/>
          <w:tab w:val="clear" w:pos="2381"/>
          <w:tab w:val="clear" w:pos="2948"/>
          <w:tab w:val="clear" w:pos="3515"/>
          <w:tab w:val="clear" w:pos="4082"/>
          <w:tab w:val="left" w:pos="624"/>
        </w:tabs>
        <w:spacing w:before="20" w:after="40"/>
        <w:rPr>
          <w:szCs w:val="18"/>
          <w:lang w:val="fr-FR"/>
        </w:rPr>
      </w:pPr>
      <w:r w:rsidRPr="000559DA">
        <w:rPr>
          <w:rStyle w:val="FootnoteReference"/>
          <w:sz w:val="18"/>
          <w:lang w:val="fr-FR"/>
        </w:rPr>
        <w:footnoteRef/>
      </w:r>
      <w:r w:rsidRPr="000559DA">
        <w:rPr>
          <w:sz w:val="18"/>
          <w:szCs w:val="18"/>
          <w:lang w:val="fr-FR"/>
        </w:rPr>
        <w:t xml:space="preserve"> D</w:t>
      </w:r>
      <w:r>
        <w:rPr>
          <w:sz w:val="18"/>
          <w:szCs w:val="18"/>
          <w:lang w:val="fr-FR"/>
        </w:rPr>
        <w:t>é</w:t>
      </w:r>
      <w:r w:rsidRPr="000559DA">
        <w:rPr>
          <w:sz w:val="18"/>
          <w:szCs w:val="18"/>
          <w:lang w:val="fr-FR"/>
        </w:rPr>
        <w:t>cision</w:t>
      </w:r>
      <w:r>
        <w:rPr>
          <w:sz w:val="18"/>
          <w:szCs w:val="18"/>
          <w:lang w:val="fr-FR"/>
        </w:rPr>
        <w:t> </w:t>
      </w:r>
      <w:r w:rsidRPr="000559DA">
        <w:rPr>
          <w:sz w:val="18"/>
          <w:szCs w:val="18"/>
          <w:lang w:val="fr-FR"/>
        </w:rPr>
        <w:t>IPBES-3/4, annex</w:t>
      </w:r>
      <w:r>
        <w:rPr>
          <w:sz w:val="18"/>
          <w:szCs w:val="18"/>
          <w:lang w:val="fr-FR"/>
        </w:rPr>
        <w:t>e </w:t>
      </w:r>
      <w:r w:rsidRPr="000559DA">
        <w:rPr>
          <w:sz w:val="18"/>
          <w:szCs w:val="18"/>
          <w:lang w:val="fr-FR"/>
        </w:rPr>
        <w:t xml:space="preserve">I. </w:t>
      </w:r>
    </w:p>
  </w:footnote>
  <w:footnote w:id="19">
    <w:p w14:paraId="4E6F4AEA" w14:textId="25364443" w:rsidR="0082513F" w:rsidRPr="000559DA" w:rsidRDefault="0082513F" w:rsidP="005C34BE">
      <w:pPr>
        <w:pStyle w:val="NormalNonumber"/>
        <w:tabs>
          <w:tab w:val="clear" w:pos="1247"/>
          <w:tab w:val="clear" w:pos="1814"/>
          <w:tab w:val="clear" w:pos="2381"/>
          <w:tab w:val="clear" w:pos="2948"/>
          <w:tab w:val="clear" w:pos="3515"/>
          <w:tab w:val="clear" w:pos="4082"/>
          <w:tab w:val="left" w:pos="624"/>
        </w:tabs>
        <w:spacing w:before="20" w:after="40"/>
        <w:rPr>
          <w:szCs w:val="18"/>
          <w:lang w:val="fr-FR"/>
        </w:rPr>
      </w:pPr>
      <w:r w:rsidRPr="000559DA">
        <w:rPr>
          <w:rStyle w:val="FootnoteReference"/>
          <w:sz w:val="18"/>
          <w:lang w:val="fr-FR"/>
        </w:rPr>
        <w:footnoteRef/>
      </w:r>
      <w:r w:rsidRPr="000559DA">
        <w:rPr>
          <w:sz w:val="18"/>
          <w:szCs w:val="18"/>
          <w:lang w:val="fr-FR"/>
        </w:rPr>
        <w:t xml:space="preserve"> D</w:t>
      </w:r>
      <w:r>
        <w:rPr>
          <w:sz w:val="18"/>
          <w:szCs w:val="18"/>
          <w:lang w:val="fr-FR"/>
        </w:rPr>
        <w:t>é</w:t>
      </w:r>
      <w:r w:rsidRPr="000559DA">
        <w:rPr>
          <w:sz w:val="18"/>
          <w:szCs w:val="18"/>
          <w:lang w:val="fr-FR"/>
        </w:rPr>
        <w:t>cision</w:t>
      </w:r>
      <w:r>
        <w:rPr>
          <w:sz w:val="18"/>
          <w:szCs w:val="18"/>
          <w:lang w:val="fr-FR"/>
        </w:rPr>
        <w:t> </w:t>
      </w:r>
      <w:r w:rsidRPr="000559DA">
        <w:rPr>
          <w:sz w:val="18"/>
          <w:szCs w:val="18"/>
          <w:lang w:val="fr-FR"/>
        </w:rPr>
        <w:t>IPBES-3/4, annex</w:t>
      </w:r>
      <w:r>
        <w:rPr>
          <w:sz w:val="18"/>
          <w:szCs w:val="18"/>
          <w:lang w:val="fr-FR"/>
        </w:rPr>
        <w:t>e </w:t>
      </w:r>
      <w:r w:rsidRPr="000559DA">
        <w:rPr>
          <w:sz w:val="18"/>
          <w:szCs w:val="18"/>
          <w:lang w:val="fr-FR"/>
        </w:rPr>
        <w:t xml:space="preserve">II. </w:t>
      </w:r>
    </w:p>
  </w:footnote>
  <w:footnote w:id="20">
    <w:p w14:paraId="1E99CF52" w14:textId="736D6FC2" w:rsidR="0082513F" w:rsidRPr="000559DA" w:rsidRDefault="0082513F" w:rsidP="005C34BE">
      <w:pPr>
        <w:pStyle w:val="NormalNonumber"/>
        <w:tabs>
          <w:tab w:val="clear" w:pos="1247"/>
          <w:tab w:val="clear" w:pos="1814"/>
          <w:tab w:val="clear" w:pos="2381"/>
          <w:tab w:val="clear" w:pos="2948"/>
          <w:tab w:val="clear" w:pos="3515"/>
          <w:tab w:val="clear" w:pos="4082"/>
          <w:tab w:val="left" w:pos="624"/>
        </w:tabs>
        <w:spacing w:before="20" w:after="40"/>
        <w:rPr>
          <w:szCs w:val="18"/>
          <w:highlight w:val="green"/>
          <w:lang w:val="fr-FR"/>
        </w:rPr>
      </w:pPr>
      <w:r w:rsidRPr="000559DA">
        <w:rPr>
          <w:rStyle w:val="FootnoteReference"/>
          <w:sz w:val="18"/>
          <w:lang w:val="fr-FR"/>
        </w:rPr>
        <w:footnoteRef/>
      </w:r>
      <w:r w:rsidRPr="000559DA">
        <w:rPr>
          <w:sz w:val="18"/>
          <w:szCs w:val="18"/>
          <w:lang w:val="fr-FR"/>
        </w:rPr>
        <w:t xml:space="preserve"> IPBES/7/5 </w:t>
      </w:r>
      <w:r>
        <w:rPr>
          <w:sz w:val="18"/>
          <w:szCs w:val="18"/>
          <w:lang w:val="fr-FR"/>
        </w:rPr>
        <w:t xml:space="preserve">et </w:t>
      </w:r>
      <w:r w:rsidRPr="000559DA">
        <w:rPr>
          <w:sz w:val="18"/>
          <w:szCs w:val="18"/>
          <w:lang w:val="fr-FR"/>
        </w:rPr>
        <w:t xml:space="preserve">IPBES/7/INF/18. </w:t>
      </w:r>
    </w:p>
  </w:footnote>
  <w:footnote w:id="21">
    <w:p w14:paraId="0DB34E3D" w14:textId="7DF87C24" w:rsidR="0082513F" w:rsidRPr="002D75B3" w:rsidRDefault="0082513F"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0559DA">
        <w:rPr>
          <w:rStyle w:val="FootnoteReference"/>
          <w:sz w:val="18"/>
          <w:lang w:val="fr-FR"/>
        </w:rPr>
        <w:footnoteRef/>
      </w:r>
      <w:r w:rsidRPr="002D75B3">
        <w:rPr>
          <w:sz w:val="18"/>
          <w:szCs w:val="18"/>
        </w:rPr>
        <w:t xml:space="preserve"> UNEP/IPBES.MI/2/9, annexe I, appendice I, section II.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BA345" w14:textId="3725648B" w:rsidR="0082513F" w:rsidRDefault="0082513F" w:rsidP="005C34BE">
    <w:pPr>
      <w:pStyle w:val="Header-pool"/>
    </w:pPr>
    <w:r>
      <w:t>IPBES/7/6/Add.2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8F5A0" w14:textId="72BFF00F" w:rsidR="0082513F" w:rsidRPr="003F2AFF" w:rsidRDefault="0082513F" w:rsidP="005C34BE">
    <w:pPr>
      <w:pStyle w:val="Header-pool"/>
      <w:jc w:val="right"/>
    </w:pPr>
    <w:r>
      <w:t>IPBES/7/6/Add.2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94AD" w14:textId="336E26E9" w:rsidR="0082513F" w:rsidRPr="00BF4160" w:rsidRDefault="0082513F" w:rsidP="00BF416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5EE6"/>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B0E5A89"/>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0B1E404F"/>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14F22B0E"/>
    <w:multiLevelType w:val="hybridMultilevel"/>
    <w:tmpl w:val="528A09DC"/>
    <w:lvl w:ilvl="0" w:tplc="0409000F">
      <w:start w:val="1"/>
      <w:numFmt w:val="decimal"/>
      <w:lvlText w:val="%1."/>
      <w:lvlJc w:val="left"/>
      <w:pPr>
        <w:ind w:left="1980"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4" w15:restartNumberingAfterBreak="0">
    <w:nsid w:val="167F2858"/>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9E1715"/>
    <w:multiLevelType w:val="hybridMultilevel"/>
    <w:tmpl w:val="CEF8A740"/>
    <w:lvl w:ilvl="0" w:tplc="C18EE48C">
      <w:start w:val="1"/>
      <w:numFmt w:val="decimal"/>
      <w:lvlText w:val="%1."/>
      <w:lvlJc w:val="left"/>
      <w:pPr>
        <w:ind w:left="1980" w:hanging="360"/>
      </w:pPr>
      <w:rPr>
        <w:b w:val="0"/>
        <w:sz w:val="20"/>
        <w:szCs w:val="20"/>
      </w:r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7" w15:restartNumberingAfterBreak="0">
    <w:nsid w:val="22D035DC"/>
    <w:multiLevelType w:val="multilevel"/>
    <w:tmpl w:val="0DB4F60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2EB755D8"/>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30403F7C"/>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356358F0"/>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3DC97AEF"/>
    <w:multiLevelType w:val="hybridMultilevel"/>
    <w:tmpl w:val="19A66328"/>
    <w:lvl w:ilvl="0" w:tplc="F602590A">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F165F9A"/>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402B64D0"/>
    <w:multiLevelType w:val="multilevel"/>
    <w:tmpl w:val="4790B24C"/>
    <w:lvl w:ilvl="0">
      <w:start w:val="1"/>
      <w:numFmt w:val="lowerLetter"/>
      <w:lvlText w:val="(%1)"/>
      <w:lvlJc w:val="left"/>
      <w:pPr>
        <w:tabs>
          <w:tab w:val="num" w:pos="1135"/>
        </w:tabs>
        <w:ind w:left="1248" w:firstLine="0"/>
      </w:pPr>
      <w:rPr>
        <w:b w:val="0"/>
      </w:rPr>
    </w:lvl>
    <w:lvl w:ilvl="1">
      <w:start w:val="1"/>
      <w:numFmt w:val="lowerLetter"/>
      <w:lvlText w:val="(%2)"/>
      <w:lvlJc w:val="left"/>
      <w:pPr>
        <w:tabs>
          <w:tab w:val="num" w:pos="1135"/>
        </w:tabs>
        <w:ind w:left="1248" w:firstLine="567"/>
      </w:pPr>
    </w:lvl>
    <w:lvl w:ilvl="2">
      <w:start w:val="1"/>
      <w:numFmt w:val="lowerRoman"/>
      <w:lvlText w:val="(%3)"/>
      <w:lvlJc w:val="left"/>
      <w:pPr>
        <w:tabs>
          <w:tab w:val="num" w:pos="1135"/>
        </w:tabs>
        <w:ind w:left="2949" w:hanging="567"/>
      </w:pPr>
    </w:lvl>
    <w:lvl w:ilvl="3">
      <w:start w:val="1"/>
      <w:numFmt w:val="lowerLetter"/>
      <w:lvlText w:val="%4."/>
      <w:lvlJc w:val="left"/>
      <w:pPr>
        <w:tabs>
          <w:tab w:val="num" w:pos="1135"/>
        </w:tabs>
        <w:ind w:left="3516" w:hanging="567"/>
      </w:pPr>
    </w:lvl>
    <w:lvl w:ilvl="4">
      <w:start w:val="1"/>
      <w:numFmt w:val="lowerRoman"/>
      <w:lvlText w:val="%5."/>
      <w:lvlJc w:val="left"/>
      <w:pPr>
        <w:tabs>
          <w:tab w:val="num" w:pos="1135"/>
        </w:tabs>
        <w:ind w:left="4083" w:hanging="567"/>
      </w:pPr>
    </w:lvl>
    <w:lvl w:ilvl="5">
      <w:start w:val="1"/>
      <w:numFmt w:val="lowerRoman"/>
      <w:lvlText w:val="%6."/>
      <w:lvlJc w:val="right"/>
      <w:pPr>
        <w:tabs>
          <w:tab w:val="num" w:pos="7836"/>
        </w:tabs>
        <w:ind w:left="7836" w:hanging="180"/>
      </w:pPr>
    </w:lvl>
    <w:lvl w:ilvl="6">
      <w:start w:val="1"/>
      <w:numFmt w:val="decimal"/>
      <w:lvlText w:val="%7."/>
      <w:lvlJc w:val="left"/>
      <w:pPr>
        <w:tabs>
          <w:tab w:val="num" w:pos="8556"/>
        </w:tabs>
        <w:ind w:left="8556" w:hanging="360"/>
      </w:pPr>
    </w:lvl>
    <w:lvl w:ilvl="7">
      <w:start w:val="1"/>
      <w:numFmt w:val="lowerLetter"/>
      <w:lvlText w:val="%8."/>
      <w:lvlJc w:val="left"/>
      <w:pPr>
        <w:tabs>
          <w:tab w:val="num" w:pos="9276"/>
        </w:tabs>
        <w:ind w:left="9276" w:hanging="360"/>
      </w:pPr>
    </w:lvl>
    <w:lvl w:ilvl="8">
      <w:start w:val="1"/>
      <w:numFmt w:val="lowerRoman"/>
      <w:lvlText w:val="%9."/>
      <w:lvlJc w:val="right"/>
      <w:pPr>
        <w:tabs>
          <w:tab w:val="num" w:pos="9996"/>
        </w:tabs>
        <w:ind w:left="9996" w:hanging="180"/>
      </w:pPr>
    </w:lvl>
  </w:abstractNum>
  <w:abstractNum w:abstractNumId="15" w15:restartNumberingAfterBreak="0">
    <w:nsid w:val="4571328D"/>
    <w:multiLevelType w:val="hybridMultilevel"/>
    <w:tmpl w:val="7A2E9364"/>
    <w:lvl w:ilvl="0" w:tplc="F602590A">
      <w:start w:val="1"/>
      <w:numFmt w:val="lowerLetter"/>
      <w:lvlText w:val="(%1)"/>
      <w:lvlJc w:val="left"/>
      <w:pPr>
        <w:ind w:left="1353"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8325704"/>
    <w:multiLevelType w:val="hybridMultilevel"/>
    <w:tmpl w:val="7A2E9364"/>
    <w:lvl w:ilvl="0" w:tplc="F602590A">
      <w:start w:val="1"/>
      <w:numFmt w:val="lowerLetter"/>
      <w:lvlText w:val="(%1)"/>
      <w:lvlJc w:val="left"/>
      <w:pPr>
        <w:ind w:left="1353"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AD04DBE"/>
    <w:multiLevelType w:val="multilevel"/>
    <w:tmpl w:val="4790B24C"/>
    <w:lvl w:ilvl="0">
      <w:start w:val="1"/>
      <w:numFmt w:val="lowerLetter"/>
      <w:lvlText w:val="(%1)"/>
      <w:lvlJc w:val="left"/>
      <w:pPr>
        <w:tabs>
          <w:tab w:val="num" w:pos="1135"/>
        </w:tabs>
        <w:ind w:left="1248" w:firstLine="0"/>
      </w:pPr>
      <w:rPr>
        <w:b w:val="0"/>
      </w:rPr>
    </w:lvl>
    <w:lvl w:ilvl="1">
      <w:start w:val="1"/>
      <w:numFmt w:val="lowerLetter"/>
      <w:lvlText w:val="(%2)"/>
      <w:lvlJc w:val="left"/>
      <w:pPr>
        <w:tabs>
          <w:tab w:val="num" w:pos="1135"/>
        </w:tabs>
        <w:ind w:left="1248" w:firstLine="567"/>
      </w:pPr>
    </w:lvl>
    <w:lvl w:ilvl="2">
      <w:start w:val="1"/>
      <w:numFmt w:val="lowerRoman"/>
      <w:lvlText w:val="(%3)"/>
      <w:lvlJc w:val="left"/>
      <w:pPr>
        <w:tabs>
          <w:tab w:val="num" w:pos="1135"/>
        </w:tabs>
        <w:ind w:left="2949" w:hanging="567"/>
      </w:pPr>
    </w:lvl>
    <w:lvl w:ilvl="3">
      <w:start w:val="1"/>
      <w:numFmt w:val="lowerLetter"/>
      <w:lvlText w:val="%4."/>
      <w:lvlJc w:val="left"/>
      <w:pPr>
        <w:tabs>
          <w:tab w:val="num" w:pos="1135"/>
        </w:tabs>
        <w:ind w:left="3516" w:hanging="567"/>
      </w:pPr>
    </w:lvl>
    <w:lvl w:ilvl="4">
      <w:start w:val="1"/>
      <w:numFmt w:val="lowerRoman"/>
      <w:lvlText w:val="%5."/>
      <w:lvlJc w:val="left"/>
      <w:pPr>
        <w:tabs>
          <w:tab w:val="num" w:pos="1135"/>
        </w:tabs>
        <w:ind w:left="4083" w:hanging="567"/>
      </w:pPr>
    </w:lvl>
    <w:lvl w:ilvl="5">
      <w:start w:val="1"/>
      <w:numFmt w:val="lowerRoman"/>
      <w:lvlText w:val="%6."/>
      <w:lvlJc w:val="right"/>
      <w:pPr>
        <w:tabs>
          <w:tab w:val="num" w:pos="7836"/>
        </w:tabs>
        <w:ind w:left="7836" w:hanging="180"/>
      </w:pPr>
    </w:lvl>
    <w:lvl w:ilvl="6">
      <w:start w:val="1"/>
      <w:numFmt w:val="decimal"/>
      <w:lvlText w:val="%7."/>
      <w:lvlJc w:val="left"/>
      <w:pPr>
        <w:tabs>
          <w:tab w:val="num" w:pos="8556"/>
        </w:tabs>
        <w:ind w:left="8556" w:hanging="360"/>
      </w:pPr>
    </w:lvl>
    <w:lvl w:ilvl="7">
      <w:start w:val="1"/>
      <w:numFmt w:val="lowerLetter"/>
      <w:lvlText w:val="%8."/>
      <w:lvlJc w:val="left"/>
      <w:pPr>
        <w:tabs>
          <w:tab w:val="num" w:pos="9276"/>
        </w:tabs>
        <w:ind w:left="9276" w:hanging="360"/>
      </w:pPr>
    </w:lvl>
    <w:lvl w:ilvl="8">
      <w:start w:val="1"/>
      <w:numFmt w:val="lowerRoman"/>
      <w:lvlText w:val="%9."/>
      <w:lvlJc w:val="right"/>
      <w:pPr>
        <w:tabs>
          <w:tab w:val="num" w:pos="9996"/>
        </w:tabs>
        <w:ind w:left="9996" w:hanging="180"/>
      </w:pPr>
    </w:lvl>
  </w:abstractNum>
  <w:abstractNum w:abstractNumId="18" w15:restartNumberingAfterBreak="0">
    <w:nsid w:val="4AE33958"/>
    <w:multiLevelType w:val="multilevel"/>
    <w:tmpl w:val="6B029430"/>
    <w:lvl w:ilvl="0">
      <w:start w:val="1"/>
      <w:numFmt w:val="decimal"/>
      <w:lvlText w:val="%1."/>
      <w:lvlJc w:val="left"/>
      <w:pPr>
        <w:tabs>
          <w:tab w:val="num" w:pos="670"/>
        </w:tabs>
        <w:ind w:left="1350" w:firstLine="0"/>
      </w:pPr>
    </w:lvl>
    <w:lvl w:ilvl="1">
      <w:start w:val="1"/>
      <w:numFmt w:val="lowerLetter"/>
      <w:lvlText w:val="(%2)"/>
      <w:lvlJc w:val="left"/>
      <w:pPr>
        <w:tabs>
          <w:tab w:val="num" w:pos="-680"/>
        </w:tabs>
        <w:ind w:left="0" w:firstLine="567"/>
      </w:pPr>
    </w:lvl>
    <w:lvl w:ilvl="2">
      <w:start w:val="1"/>
      <w:numFmt w:val="lowerRoman"/>
      <w:lvlText w:val="%3)"/>
      <w:lvlJc w:val="left"/>
      <w:pPr>
        <w:tabs>
          <w:tab w:val="num" w:pos="-680"/>
        </w:tabs>
        <w:ind w:left="1701" w:hanging="567"/>
      </w:pPr>
    </w:lvl>
    <w:lvl w:ilvl="3">
      <w:start w:val="1"/>
      <w:numFmt w:val="lowerLetter"/>
      <w:lvlText w:val="%4."/>
      <w:lvlJc w:val="left"/>
      <w:pPr>
        <w:tabs>
          <w:tab w:val="num" w:pos="-680"/>
        </w:tabs>
        <w:ind w:left="2268" w:hanging="567"/>
      </w:pPr>
    </w:lvl>
    <w:lvl w:ilvl="4">
      <w:start w:val="1"/>
      <w:numFmt w:val="lowerRoman"/>
      <w:lvlText w:val="%5."/>
      <w:lvlJc w:val="left"/>
      <w:pPr>
        <w:tabs>
          <w:tab w:val="num" w:pos="-680"/>
        </w:tabs>
        <w:ind w:left="2835" w:hanging="567"/>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19" w15:restartNumberingAfterBreak="0">
    <w:nsid w:val="4BC86F13"/>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50602EC4"/>
    <w:multiLevelType w:val="multilevel"/>
    <w:tmpl w:val="A1247F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533431E8"/>
    <w:multiLevelType w:val="hybridMultilevel"/>
    <w:tmpl w:val="7A2E9364"/>
    <w:lvl w:ilvl="0" w:tplc="F602590A">
      <w:start w:val="1"/>
      <w:numFmt w:val="lowerLetter"/>
      <w:lvlText w:val="(%1)"/>
      <w:lvlJc w:val="left"/>
      <w:pPr>
        <w:ind w:left="1353"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6C228A9"/>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57174B0F"/>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5E8F5404"/>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63D4105A"/>
    <w:multiLevelType w:val="hybridMultilevel"/>
    <w:tmpl w:val="7A2E9364"/>
    <w:lvl w:ilvl="0" w:tplc="F602590A">
      <w:start w:val="1"/>
      <w:numFmt w:val="lowerLetter"/>
      <w:lvlText w:val="(%1)"/>
      <w:lvlJc w:val="left"/>
      <w:pPr>
        <w:ind w:left="1353"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57871E4"/>
    <w:multiLevelType w:val="hybridMultilevel"/>
    <w:tmpl w:val="166C70C2"/>
    <w:lvl w:ilvl="0" w:tplc="A5D44548">
      <w:start w:val="1"/>
      <w:numFmt w:val="decimal"/>
      <w:lvlText w:val="%1."/>
      <w:lvlJc w:val="left"/>
      <w:pPr>
        <w:ind w:left="1620" w:hanging="360"/>
      </w:pPr>
      <w:rPr>
        <w:b w:val="0"/>
        <w:sz w:val="20"/>
        <w:szCs w:val="20"/>
      </w:r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8" w15:restartNumberingAfterBreak="0">
    <w:nsid w:val="6F3F1DA0"/>
    <w:multiLevelType w:val="multilevel"/>
    <w:tmpl w:val="FC0E3696"/>
    <w:lvl w:ilvl="0">
      <w:start w:val="1"/>
      <w:numFmt w:val="upperRoman"/>
      <w:lvlText w:val="%1."/>
      <w:lvlJc w:val="right"/>
      <w:pPr>
        <w:tabs>
          <w:tab w:val="num" w:pos="720"/>
        </w:tabs>
        <w:ind w:left="720" w:hanging="360"/>
      </w:pPr>
      <w:rPr>
        <w:b/>
        <w:i w:val="0"/>
        <w:color w:val="auto"/>
        <w:sz w:val="28"/>
        <w:lang w:val="en-GB"/>
      </w:rPr>
    </w:lvl>
    <w:lvl w:ilvl="1">
      <w:start w:val="1"/>
      <w:numFmt w:val="decimal"/>
      <w:lvlRestart w:val="0"/>
      <w:lvlText w:val="%2."/>
      <w:lvlJc w:val="left"/>
      <w:pPr>
        <w:tabs>
          <w:tab w:val="num" w:pos="1353"/>
        </w:tabs>
        <w:ind w:left="1353" w:hanging="360"/>
      </w:pPr>
      <w:rPr>
        <w:rFonts w:ascii="Times New Roman" w:hAnsi="Times New Roman" w:cs="Times New Roman" w:hint="default"/>
        <w:b w:val="0"/>
        <w:color w:val="auto"/>
        <w:sz w:val="20"/>
      </w:rPr>
    </w:lvl>
    <w:lvl w:ilvl="2">
      <w:start w:val="1"/>
      <w:numFmt w:val="lowerLetter"/>
      <w:lvlText w:val="%3)"/>
      <w:lvlJc w:val="left"/>
      <w:pPr>
        <w:tabs>
          <w:tab w:val="num" w:pos="2160"/>
        </w:tabs>
        <w:ind w:left="2160" w:hanging="180"/>
      </w:pPr>
      <w:rPr>
        <w:rFonts w:ascii="Times New Roman" w:eastAsia="SimSun" w:hAnsi="Times New Roman" w:cs="Calibri"/>
      </w:rPr>
    </w:lvl>
    <w:lvl w:ilvl="3">
      <w:start w:val="1"/>
      <w:numFmt w:val="lowerRoman"/>
      <w:lvlText w:val="%4."/>
      <w:lvlJc w:val="right"/>
      <w:pPr>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0704DEF"/>
    <w:multiLevelType w:val="hybridMultilevel"/>
    <w:tmpl w:val="7A2E9364"/>
    <w:lvl w:ilvl="0" w:tplc="F602590A">
      <w:start w:val="1"/>
      <w:numFmt w:val="lowerLetter"/>
      <w:lvlText w:val="(%1)"/>
      <w:lvlJc w:val="left"/>
      <w:pPr>
        <w:ind w:left="1353"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2421AFC"/>
    <w:multiLevelType w:val="hybridMultilevel"/>
    <w:tmpl w:val="7A2E9364"/>
    <w:lvl w:ilvl="0" w:tplc="F602590A">
      <w:start w:val="1"/>
      <w:numFmt w:val="lowerLetter"/>
      <w:lvlText w:val="(%1)"/>
      <w:lvlJc w:val="left"/>
      <w:pPr>
        <w:ind w:left="1353"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5C3796A"/>
    <w:multiLevelType w:val="multilevel"/>
    <w:tmpl w:val="4790B24C"/>
    <w:lvl w:ilvl="0">
      <w:start w:val="1"/>
      <w:numFmt w:val="lowerLetter"/>
      <w:lvlText w:val="(%1)"/>
      <w:lvlJc w:val="left"/>
      <w:pPr>
        <w:tabs>
          <w:tab w:val="num" w:pos="1135"/>
        </w:tabs>
        <w:ind w:left="1248" w:firstLine="0"/>
      </w:pPr>
      <w:rPr>
        <w:b w:val="0"/>
      </w:rPr>
    </w:lvl>
    <w:lvl w:ilvl="1">
      <w:start w:val="1"/>
      <w:numFmt w:val="lowerLetter"/>
      <w:lvlText w:val="(%2)"/>
      <w:lvlJc w:val="left"/>
      <w:pPr>
        <w:tabs>
          <w:tab w:val="num" w:pos="1135"/>
        </w:tabs>
        <w:ind w:left="1248" w:firstLine="567"/>
      </w:pPr>
    </w:lvl>
    <w:lvl w:ilvl="2">
      <w:start w:val="1"/>
      <w:numFmt w:val="lowerRoman"/>
      <w:lvlText w:val="(%3)"/>
      <w:lvlJc w:val="left"/>
      <w:pPr>
        <w:tabs>
          <w:tab w:val="num" w:pos="1135"/>
        </w:tabs>
        <w:ind w:left="2949" w:hanging="567"/>
      </w:pPr>
    </w:lvl>
    <w:lvl w:ilvl="3">
      <w:start w:val="1"/>
      <w:numFmt w:val="lowerLetter"/>
      <w:lvlText w:val="%4."/>
      <w:lvlJc w:val="left"/>
      <w:pPr>
        <w:tabs>
          <w:tab w:val="num" w:pos="1135"/>
        </w:tabs>
        <w:ind w:left="3516" w:hanging="567"/>
      </w:pPr>
    </w:lvl>
    <w:lvl w:ilvl="4">
      <w:start w:val="1"/>
      <w:numFmt w:val="lowerRoman"/>
      <w:lvlText w:val="%5."/>
      <w:lvlJc w:val="left"/>
      <w:pPr>
        <w:tabs>
          <w:tab w:val="num" w:pos="1135"/>
        </w:tabs>
        <w:ind w:left="4083" w:hanging="567"/>
      </w:pPr>
    </w:lvl>
    <w:lvl w:ilvl="5">
      <w:start w:val="1"/>
      <w:numFmt w:val="lowerRoman"/>
      <w:lvlText w:val="%6."/>
      <w:lvlJc w:val="right"/>
      <w:pPr>
        <w:tabs>
          <w:tab w:val="num" w:pos="7836"/>
        </w:tabs>
        <w:ind w:left="7836" w:hanging="180"/>
      </w:pPr>
    </w:lvl>
    <w:lvl w:ilvl="6">
      <w:start w:val="1"/>
      <w:numFmt w:val="decimal"/>
      <w:lvlText w:val="%7."/>
      <w:lvlJc w:val="left"/>
      <w:pPr>
        <w:tabs>
          <w:tab w:val="num" w:pos="8556"/>
        </w:tabs>
        <w:ind w:left="8556" w:hanging="360"/>
      </w:pPr>
    </w:lvl>
    <w:lvl w:ilvl="7">
      <w:start w:val="1"/>
      <w:numFmt w:val="lowerLetter"/>
      <w:lvlText w:val="%8."/>
      <w:lvlJc w:val="left"/>
      <w:pPr>
        <w:tabs>
          <w:tab w:val="num" w:pos="9276"/>
        </w:tabs>
        <w:ind w:left="9276" w:hanging="360"/>
      </w:pPr>
    </w:lvl>
    <w:lvl w:ilvl="8">
      <w:start w:val="1"/>
      <w:numFmt w:val="lowerRoman"/>
      <w:lvlText w:val="%9."/>
      <w:lvlJc w:val="right"/>
      <w:pPr>
        <w:tabs>
          <w:tab w:val="num" w:pos="9996"/>
        </w:tabs>
        <w:ind w:left="9996" w:hanging="180"/>
      </w:pPr>
    </w:lvl>
  </w:abstractNum>
  <w:abstractNum w:abstractNumId="32" w15:restartNumberingAfterBreak="0">
    <w:nsid w:val="79B61F7E"/>
    <w:multiLevelType w:val="multilevel"/>
    <w:tmpl w:val="F2961564"/>
    <w:lvl w:ilvl="0">
      <w:start w:val="1"/>
      <w:numFmt w:val="upperRoman"/>
      <w:lvlText w:val="%1."/>
      <w:lvlJc w:val="right"/>
      <w:pPr>
        <w:tabs>
          <w:tab w:val="num" w:pos="720"/>
        </w:tabs>
        <w:ind w:left="720" w:hanging="360"/>
      </w:pPr>
      <w:rPr>
        <w:b/>
        <w:i w:val="0"/>
        <w:color w:val="auto"/>
        <w:sz w:val="28"/>
      </w:rPr>
    </w:lvl>
    <w:lvl w:ilvl="1">
      <w:start w:val="1"/>
      <w:numFmt w:val="decimal"/>
      <w:lvlRestart w:val="0"/>
      <w:lvlText w:val="%2."/>
      <w:lvlJc w:val="left"/>
      <w:pPr>
        <w:tabs>
          <w:tab w:val="num" w:pos="1353"/>
        </w:tabs>
        <w:ind w:left="1353" w:hanging="360"/>
      </w:pPr>
      <w:rPr>
        <w:rFonts w:ascii="Times New Roman" w:hAnsi="Times New Roman" w:cs="Times New Roman" w:hint="default"/>
        <w:b w:val="0"/>
        <w:color w:val="auto"/>
        <w:sz w:val="20"/>
      </w:rPr>
    </w:lvl>
    <w:lvl w:ilvl="2">
      <w:start w:val="1"/>
      <w:numFmt w:val="lowerLetter"/>
      <w:lvlText w:val="%3)"/>
      <w:lvlJc w:val="left"/>
      <w:pPr>
        <w:tabs>
          <w:tab w:val="num" w:pos="2160"/>
        </w:tabs>
        <w:ind w:left="2160" w:hanging="180"/>
      </w:pPr>
      <w:rPr>
        <w:rFonts w:ascii="Times New Roman" w:eastAsia="SimSun" w:hAnsi="Times New Roman" w:cs="Calibri"/>
      </w:rPr>
    </w:lvl>
    <w:lvl w:ilvl="3">
      <w:start w:val="1"/>
      <w:numFmt w:val="lowerRoman"/>
      <w:lvlText w:val="%4."/>
      <w:lvlJc w:val="right"/>
      <w:pPr>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1"/>
  </w:num>
  <w:num w:numId="2">
    <w:abstractNumId w:val="5"/>
  </w:num>
  <w:num w:numId="3">
    <w:abstractNumId w:val="10"/>
  </w:num>
  <w:num w:numId="4">
    <w:abstractNumId w:val="2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num>
  <w:num w:numId="9">
    <w:abstractNumId w:val="31"/>
  </w:num>
  <w:num w:numId="10">
    <w:abstractNumId w:val="1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26"/>
  </w:num>
  <w:num w:numId="17">
    <w:abstractNumId w:val="22"/>
  </w:num>
  <w:num w:numId="18">
    <w:abstractNumId w:val="16"/>
  </w:num>
  <w:num w:numId="19">
    <w:abstractNumId w:val="29"/>
  </w:num>
  <w:num w:numId="20">
    <w:abstractNumId w:val="30"/>
  </w:num>
  <w:num w:numId="21">
    <w:abstractNumId w:val="8"/>
  </w:num>
  <w:num w:numId="22">
    <w:abstractNumId w:val="9"/>
  </w:num>
  <w:num w:numId="23">
    <w:abstractNumId w:val="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6"/>
  </w:num>
  <w:num w:numId="46">
    <w:abstractNumId w:val="3"/>
  </w:num>
  <w:num w:numId="47">
    <w:abstractNumId w:val="21"/>
  </w:num>
  <w:num w:numId="48">
    <w:abstractNumId w:val="21"/>
  </w:num>
  <w:num w:numId="49">
    <w:abstractNumId w:val="27"/>
  </w:num>
  <w:num w:numId="50">
    <w:abstractNumId w:val="21"/>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21"/>
  </w:num>
  <w:num w:numId="69">
    <w:abstractNumId w:val="21"/>
  </w:num>
  <w:num w:numId="70">
    <w:abstractNumId w:val="21"/>
  </w:num>
  <w:num w:numId="71">
    <w:abstractNumId w:val="7"/>
  </w:num>
  <w:num w:numId="72">
    <w:abstractNumId w:val="21"/>
  </w:num>
  <w:num w:numId="73">
    <w:abstractNumId w:val="21"/>
  </w:num>
  <w:num w:numId="74">
    <w:abstractNumId w:val="21"/>
  </w:num>
  <w:num w:numId="75">
    <w:abstractNumId w:val="21"/>
  </w:num>
  <w:num w:numId="76">
    <w:abstractNumId w:val="21"/>
  </w:num>
  <w:num w:numId="77">
    <w:abstractNumId w:val="21"/>
  </w:num>
  <w:num w:numId="78">
    <w:abstractNumId w:val="21"/>
  </w:num>
  <w:num w:numId="79">
    <w:abstractNumId w:val="21"/>
  </w:num>
  <w:num w:numId="80">
    <w:abstractNumId w:val="21"/>
  </w:num>
  <w:num w:numId="81">
    <w:abstractNumId w:val="21"/>
  </w:num>
  <w:num w:numId="82">
    <w:abstractNumId w:val="21"/>
  </w:num>
  <w:num w:numId="83">
    <w:abstractNumId w:val="21"/>
  </w:num>
  <w:num w:numId="84">
    <w:abstractNumId w:val="21"/>
  </w:num>
  <w:num w:numId="85">
    <w:abstractNumId w:val="21"/>
  </w:num>
  <w:num w:numId="86">
    <w:abstractNumId w:val="21"/>
  </w:num>
  <w:num w:numId="87">
    <w:abstractNumId w:val="21"/>
  </w:num>
  <w:num w:numId="88">
    <w:abstractNumId w:val="21"/>
  </w:num>
  <w:num w:numId="89">
    <w:abstractNumId w:val="1"/>
  </w:num>
  <w:num w:numId="90">
    <w:abstractNumId w:val="21"/>
  </w:num>
  <w:num w:numId="91">
    <w:abstractNumId w:val="21"/>
  </w:num>
  <w:num w:numId="92">
    <w:abstractNumId w:val="21"/>
  </w:num>
  <w:num w:numId="93">
    <w:abstractNumId w:val="21"/>
  </w:num>
  <w:num w:numId="94">
    <w:abstractNumId w:val="21"/>
  </w:num>
  <w:num w:numId="95">
    <w:abstractNumId w:val="21"/>
  </w:num>
  <w:num w:numId="96">
    <w:abstractNumId w:val="21"/>
  </w:num>
  <w:num w:numId="97">
    <w:abstractNumId w:val="21"/>
  </w:num>
  <w:num w:numId="98">
    <w:abstractNumId w:val="21"/>
  </w:num>
  <w:num w:numId="99">
    <w:abstractNumId w:val="21"/>
  </w:num>
  <w:num w:numId="100">
    <w:abstractNumId w:val="21"/>
  </w:num>
  <w:num w:numId="101">
    <w:abstractNumId w:val="21"/>
  </w:num>
  <w:num w:numId="102">
    <w:abstractNumId w:val="21"/>
  </w:num>
  <w:num w:numId="103">
    <w:abstractNumId w:val="21"/>
  </w:num>
  <w:num w:numId="104">
    <w:abstractNumId w:val="21"/>
  </w:num>
  <w:num w:numId="105">
    <w:abstractNumId w:val="21"/>
  </w:num>
  <w:num w:numId="106">
    <w:abstractNumId w:val="21"/>
  </w:num>
  <w:num w:numId="107">
    <w:abstractNumId w:val="21"/>
  </w:num>
  <w:num w:numId="108">
    <w:abstractNumId w:val="21"/>
  </w:num>
  <w:num w:numId="109">
    <w:abstractNumId w:val="21"/>
  </w:num>
  <w:num w:numId="110">
    <w:abstractNumId w:val="21"/>
  </w:num>
  <w:num w:numId="111">
    <w:abstractNumId w:val="21"/>
  </w:num>
  <w:num w:numId="112">
    <w:abstractNumId w:val="21"/>
  </w:num>
  <w:num w:numId="113">
    <w:abstractNumId w:val="21"/>
  </w:num>
  <w:num w:numId="114">
    <w:abstractNumId w:val="21"/>
  </w:num>
  <w:num w:numId="115">
    <w:abstractNumId w:val="21"/>
  </w:num>
  <w:num w:numId="116">
    <w:abstractNumId w:val="21"/>
  </w:num>
  <w:num w:numId="117">
    <w:abstractNumId w:val="21"/>
  </w:num>
  <w:num w:numId="118">
    <w:abstractNumId w:val="21"/>
  </w:num>
  <w:num w:numId="119">
    <w:abstractNumId w:val="21"/>
  </w:num>
  <w:num w:numId="120">
    <w:abstractNumId w:val="21"/>
  </w:num>
  <w:num w:numId="121">
    <w:abstractNumId w:val="21"/>
  </w:num>
  <w:num w:numId="122">
    <w:abstractNumId w:val="21"/>
  </w:num>
  <w:num w:numId="123">
    <w:abstractNumId w:val="23"/>
  </w:num>
  <w:num w:numId="124">
    <w:abstractNumId w:val="2"/>
  </w:num>
  <w:num w:numId="125">
    <w:abstractNumId w:val="19"/>
  </w:num>
  <w:num w:numId="126">
    <w:abstractNumId w:val="24"/>
  </w:num>
  <w:num w:numId="127">
    <w:abstractNumId w:val="13"/>
  </w:num>
  <w:num w:numId="128">
    <w:abstractNumId w:val="25"/>
  </w:num>
  <w:num w:numId="129">
    <w:abstractNumId w:val="11"/>
  </w:num>
  <w:num w:numId="130">
    <w:abstractNumId w:val="21"/>
  </w:num>
  <w:num w:numId="131">
    <w:abstractNumId w:val="21"/>
  </w:num>
  <w:num w:numId="132">
    <w:abstractNumId w:val="21"/>
  </w:num>
  <w:num w:numId="133">
    <w:abstractNumId w:val="21"/>
  </w:num>
  <w:num w:numId="134">
    <w:abstractNumId w:val="21"/>
  </w:num>
  <w:num w:numId="135">
    <w:abstractNumId w:val="21"/>
  </w:num>
  <w:num w:numId="136">
    <w:abstractNumId w:val="21"/>
  </w:num>
  <w:num w:numId="137">
    <w:abstractNumId w:val="21"/>
  </w:num>
  <w:num w:numId="138">
    <w:abstractNumId w:val="21"/>
  </w:num>
  <w:num w:numId="139">
    <w:abstractNumId w:val="21"/>
  </w:num>
  <w:num w:numId="140">
    <w:abstractNumId w:val="21"/>
  </w:num>
  <w:num w:numId="141">
    <w:abstractNumId w:val="2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16A8"/>
    <w:rsid w:val="00005B3D"/>
    <w:rsid w:val="00007446"/>
    <w:rsid w:val="00010E52"/>
    <w:rsid w:val="000118DB"/>
    <w:rsid w:val="00013CB5"/>
    <w:rsid w:val="000149E6"/>
    <w:rsid w:val="00017D49"/>
    <w:rsid w:val="00021C5A"/>
    <w:rsid w:val="00023275"/>
    <w:rsid w:val="000247B0"/>
    <w:rsid w:val="00026997"/>
    <w:rsid w:val="00031BBC"/>
    <w:rsid w:val="0003253E"/>
    <w:rsid w:val="00032E34"/>
    <w:rsid w:val="00033E0B"/>
    <w:rsid w:val="00034320"/>
    <w:rsid w:val="00035EDE"/>
    <w:rsid w:val="00037C27"/>
    <w:rsid w:val="00037F61"/>
    <w:rsid w:val="00042DB7"/>
    <w:rsid w:val="00043ABC"/>
    <w:rsid w:val="00043D72"/>
    <w:rsid w:val="0004605C"/>
    <w:rsid w:val="00046F87"/>
    <w:rsid w:val="000509B4"/>
    <w:rsid w:val="00052EA6"/>
    <w:rsid w:val="0005417F"/>
    <w:rsid w:val="00054BB3"/>
    <w:rsid w:val="000559DA"/>
    <w:rsid w:val="0006035B"/>
    <w:rsid w:val="000604DF"/>
    <w:rsid w:val="00065148"/>
    <w:rsid w:val="00067200"/>
    <w:rsid w:val="00070787"/>
    <w:rsid w:val="00070791"/>
    <w:rsid w:val="00070C57"/>
    <w:rsid w:val="00071886"/>
    <w:rsid w:val="000742BC"/>
    <w:rsid w:val="00076BA4"/>
    <w:rsid w:val="0007776B"/>
    <w:rsid w:val="00082A0C"/>
    <w:rsid w:val="00082CE0"/>
    <w:rsid w:val="00083504"/>
    <w:rsid w:val="00083FCD"/>
    <w:rsid w:val="000874C3"/>
    <w:rsid w:val="000937AD"/>
    <w:rsid w:val="0009640C"/>
    <w:rsid w:val="0009758B"/>
    <w:rsid w:val="000A0271"/>
    <w:rsid w:val="000A08D0"/>
    <w:rsid w:val="000A13F8"/>
    <w:rsid w:val="000A146D"/>
    <w:rsid w:val="000A36C9"/>
    <w:rsid w:val="000A3C7E"/>
    <w:rsid w:val="000A55FA"/>
    <w:rsid w:val="000A6088"/>
    <w:rsid w:val="000B22A2"/>
    <w:rsid w:val="000B3182"/>
    <w:rsid w:val="000B36DF"/>
    <w:rsid w:val="000B4858"/>
    <w:rsid w:val="000B56EA"/>
    <w:rsid w:val="000B69C6"/>
    <w:rsid w:val="000C23B4"/>
    <w:rsid w:val="000C2A52"/>
    <w:rsid w:val="000C34A8"/>
    <w:rsid w:val="000D1058"/>
    <w:rsid w:val="000D2F97"/>
    <w:rsid w:val="000D33C0"/>
    <w:rsid w:val="000D44D9"/>
    <w:rsid w:val="000D559D"/>
    <w:rsid w:val="000D618F"/>
    <w:rsid w:val="000D6941"/>
    <w:rsid w:val="000E0915"/>
    <w:rsid w:val="000E0EB2"/>
    <w:rsid w:val="000E3150"/>
    <w:rsid w:val="000E4895"/>
    <w:rsid w:val="000E78A1"/>
    <w:rsid w:val="000F0C1C"/>
    <w:rsid w:val="000F1C9E"/>
    <w:rsid w:val="000F2521"/>
    <w:rsid w:val="000F2D98"/>
    <w:rsid w:val="000F5374"/>
    <w:rsid w:val="000F6B61"/>
    <w:rsid w:val="00100F70"/>
    <w:rsid w:val="00103917"/>
    <w:rsid w:val="00104CEC"/>
    <w:rsid w:val="0010534D"/>
    <w:rsid w:val="00107BA7"/>
    <w:rsid w:val="00107C74"/>
    <w:rsid w:val="00107F35"/>
    <w:rsid w:val="00114549"/>
    <w:rsid w:val="00115A9D"/>
    <w:rsid w:val="00116D7F"/>
    <w:rsid w:val="001202E3"/>
    <w:rsid w:val="0012105D"/>
    <w:rsid w:val="00123699"/>
    <w:rsid w:val="00123D3D"/>
    <w:rsid w:val="001249A8"/>
    <w:rsid w:val="00127197"/>
    <w:rsid w:val="0013059D"/>
    <w:rsid w:val="00135CCA"/>
    <w:rsid w:val="001369F8"/>
    <w:rsid w:val="001379ED"/>
    <w:rsid w:val="00137AEE"/>
    <w:rsid w:val="00141A55"/>
    <w:rsid w:val="00142E20"/>
    <w:rsid w:val="001446A3"/>
    <w:rsid w:val="001513AC"/>
    <w:rsid w:val="001524CB"/>
    <w:rsid w:val="0015296A"/>
    <w:rsid w:val="00153E66"/>
    <w:rsid w:val="001546CE"/>
    <w:rsid w:val="00155395"/>
    <w:rsid w:val="00156B55"/>
    <w:rsid w:val="00160D74"/>
    <w:rsid w:val="0016143C"/>
    <w:rsid w:val="00162D1A"/>
    <w:rsid w:val="00165F91"/>
    <w:rsid w:val="00167851"/>
    <w:rsid w:val="001679C7"/>
    <w:rsid w:val="00167D02"/>
    <w:rsid w:val="00170366"/>
    <w:rsid w:val="00172B62"/>
    <w:rsid w:val="00176E3C"/>
    <w:rsid w:val="00177213"/>
    <w:rsid w:val="001800E0"/>
    <w:rsid w:val="00181EC8"/>
    <w:rsid w:val="00184146"/>
    <w:rsid w:val="00184349"/>
    <w:rsid w:val="00185D79"/>
    <w:rsid w:val="001915B1"/>
    <w:rsid w:val="00191670"/>
    <w:rsid w:val="001924C6"/>
    <w:rsid w:val="001942CF"/>
    <w:rsid w:val="0019590E"/>
    <w:rsid w:val="00195F33"/>
    <w:rsid w:val="00196618"/>
    <w:rsid w:val="00196D35"/>
    <w:rsid w:val="001977B4"/>
    <w:rsid w:val="001A0B70"/>
    <w:rsid w:val="001A1536"/>
    <w:rsid w:val="001A1546"/>
    <w:rsid w:val="001A179D"/>
    <w:rsid w:val="001A1970"/>
    <w:rsid w:val="001A453B"/>
    <w:rsid w:val="001A527A"/>
    <w:rsid w:val="001A5B93"/>
    <w:rsid w:val="001B1617"/>
    <w:rsid w:val="001B239A"/>
    <w:rsid w:val="001B504B"/>
    <w:rsid w:val="001B50B5"/>
    <w:rsid w:val="001B7C62"/>
    <w:rsid w:val="001C099E"/>
    <w:rsid w:val="001C0C36"/>
    <w:rsid w:val="001D0C1F"/>
    <w:rsid w:val="001D3874"/>
    <w:rsid w:val="001D4AC9"/>
    <w:rsid w:val="001D781E"/>
    <w:rsid w:val="001D7C30"/>
    <w:rsid w:val="001D7E75"/>
    <w:rsid w:val="001E1B99"/>
    <w:rsid w:val="001E27E2"/>
    <w:rsid w:val="001E34CB"/>
    <w:rsid w:val="001E56D2"/>
    <w:rsid w:val="001E5C38"/>
    <w:rsid w:val="001E6CDA"/>
    <w:rsid w:val="001E6F80"/>
    <w:rsid w:val="001E7D56"/>
    <w:rsid w:val="001F3FA8"/>
    <w:rsid w:val="001F75DE"/>
    <w:rsid w:val="00200D58"/>
    <w:rsid w:val="002013BE"/>
    <w:rsid w:val="002030D2"/>
    <w:rsid w:val="0020513C"/>
    <w:rsid w:val="002063A4"/>
    <w:rsid w:val="00207741"/>
    <w:rsid w:val="00207DCC"/>
    <w:rsid w:val="00211048"/>
    <w:rsid w:val="00211093"/>
    <w:rsid w:val="0021145B"/>
    <w:rsid w:val="00211610"/>
    <w:rsid w:val="00212662"/>
    <w:rsid w:val="002147DE"/>
    <w:rsid w:val="00217186"/>
    <w:rsid w:val="00221096"/>
    <w:rsid w:val="002211DE"/>
    <w:rsid w:val="0022290C"/>
    <w:rsid w:val="0022672D"/>
    <w:rsid w:val="00226FCE"/>
    <w:rsid w:val="00227FFD"/>
    <w:rsid w:val="00230649"/>
    <w:rsid w:val="00230862"/>
    <w:rsid w:val="00231818"/>
    <w:rsid w:val="00233785"/>
    <w:rsid w:val="00234A9A"/>
    <w:rsid w:val="00235966"/>
    <w:rsid w:val="0023640C"/>
    <w:rsid w:val="00240FCF"/>
    <w:rsid w:val="00243D36"/>
    <w:rsid w:val="00244C4A"/>
    <w:rsid w:val="00247707"/>
    <w:rsid w:val="002504F5"/>
    <w:rsid w:val="0026018E"/>
    <w:rsid w:val="0026358C"/>
    <w:rsid w:val="00263710"/>
    <w:rsid w:val="00263DE1"/>
    <w:rsid w:val="00264681"/>
    <w:rsid w:val="002675A4"/>
    <w:rsid w:val="00270837"/>
    <w:rsid w:val="00270D95"/>
    <w:rsid w:val="00271394"/>
    <w:rsid w:val="00271526"/>
    <w:rsid w:val="00274AE1"/>
    <w:rsid w:val="00275781"/>
    <w:rsid w:val="002778EF"/>
    <w:rsid w:val="00281695"/>
    <w:rsid w:val="00284BAA"/>
    <w:rsid w:val="0028658A"/>
    <w:rsid w:val="00286740"/>
    <w:rsid w:val="00287020"/>
    <w:rsid w:val="002874CC"/>
    <w:rsid w:val="00287BEA"/>
    <w:rsid w:val="0029063F"/>
    <w:rsid w:val="002929D8"/>
    <w:rsid w:val="00293EE1"/>
    <w:rsid w:val="00297AF3"/>
    <w:rsid w:val="002A237D"/>
    <w:rsid w:val="002A3FA0"/>
    <w:rsid w:val="002A4C53"/>
    <w:rsid w:val="002A546C"/>
    <w:rsid w:val="002A62FC"/>
    <w:rsid w:val="002A7645"/>
    <w:rsid w:val="002A7A58"/>
    <w:rsid w:val="002B0672"/>
    <w:rsid w:val="002B0F73"/>
    <w:rsid w:val="002B188D"/>
    <w:rsid w:val="002B1F2E"/>
    <w:rsid w:val="002B247F"/>
    <w:rsid w:val="002B27F6"/>
    <w:rsid w:val="002B2DE5"/>
    <w:rsid w:val="002B3428"/>
    <w:rsid w:val="002B4085"/>
    <w:rsid w:val="002C1316"/>
    <w:rsid w:val="002C1403"/>
    <w:rsid w:val="002C145D"/>
    <w:rsid w:val="002C203D"/>
    <w:rsid w:val="002C29BD"/>
    <w:rsid w:val="002C2C3E"/>
    <w:rsid w:val="002C4417"/>
    <w:rsid w:val="002C533E"/>
    <w:rsid w:val="002D027F"/>
    <w:rsid w:val="002D07F9"/>
    <w:rsid w:val="002D3EC3"/>
    <w:rsid w:val="002D471D"/>
    <w:rsid w:val="002D5D42"/>
    <w:rsid w:val="002D6283"/>
    <w:rsid w:val="002D75B3"/>
    <w:rsid w:val="002D7A85"/>
    <w:rsid w:val="002D7B60"/>
    <w:rsid w:val="002D7DF3"/>
    <w:rsid w:val="002E01B6"/>
    <w:rsid w:val="002E1FC6"/>
    <w:rsid w:val="002E2371"/>
    <w:rsid w:val="002E3654"/>
    <w:rsid w:val="002F3656"/>
    <w:rsid w:val="002F4337"/>
    <w:rsid w:val="002F4761"/>
    <w:rsid w:val="002F5C79"/>
    <w:rsid w:val="002F7A6A"/>
    <w:rsid w:val="003019E2"/>
    <w:rsid w:val="00302CEE"/>
    <w:rsid w:val="00303337"/>
    <w:rsid w:val="003050B5"/>
    <w:rsid w:val="00305133"/>
    <w:rsid w:val="00306862"/>
    <w:rsid w:val="00306F17"/>
    <w:rsid w:val="00313B2C"/>
    <w:rsid w:val="0031413F"/>
    <w:rsid w:val="0031432A"/>
    <w:rsid w:val="0031468C"/>
    <w:rsid w:val="003148BB"/>
    <w:rsid w:val="00315FFB"/>
    <w:rsid w:val="0031755F"/>
    <w:rsid w:val="00317976"/>
    <w:rsid w:val="0032113F"/>
    <w:rsid w:val="00324323"/>
    <w:rsid w:val="003248C6"/>
    <w:rsid w:val="00324E0F"/>
    <w:rsid w:val="00330FF2"/>
    <w:rsid w:val="003317C8"/>
    <w:rsid w:val="00332167"/>
    <w:rsid w:val="00337310"/>
    <w:rsid w:val="0034045B"/>
    <w:rsid w:val="00343154"/>
    <w:rsid w:val="003475A3"/>
    <w:rsid w:val="0034777A"/>
    <w:rsid w:val="0035049B"/>
    <w:rsid w:val="003512DB"/>
    <w:rsid w:val="00353392"/>
    <w:rsid w:val="003534E9"/>
    <w:rsid w:val="00355EA9"/>
    <w:rsid w:val="003578DE"/>
    <w:rsid w:val="00357EE6"/>
    <w:rsid w:val="0036184F"/>
    <w:rsid w:val="003622D2"/>
    <w:rsid w:val="003627B7"/>
    <w:rsid w:val="0036428E"/>
    <w:rsid w:val="0036514E"/>
    <w:rsid w:val="00365899"/>
    <w:rsid w:val="003661AA"/>
    <w:rsid w:val="00366CA5"/>
    <w:rsid w:val="0037124A"/>
    <w:rsid w:val="00373A6A"/>
    <w:rsid w:val="00373A7E"/>
    <w:rsid w:val="00375077"/>
    <w:rsid w:val="0037597C"/>
    <w:rsid w:val="003808B0"/>
    <w:rsid w:val="00383B70"/>
    <w:rsid w:val="00390AA2"/>
    <w:rsid w:val="00391E3C"/>
    <w:rsid w:val="00392FDB"/>
    <w:rsid w:val="003935F7"/>
    <w:rsid w:val="00394777"/>
    <w:rsid w:val="00396257"/>
    <w:rsid w:val="00396929"/>
    <w:rsid w:val="00397EB8"/>
    <w:rsid w:val="003A4FD0"/>
    <w:rsid w:val="003A69D1"/>
    <w:rsid w:val="003A7705"/>
    <w:rsid w:val="003A77F1"/>
    <w:rsid w:val="003B084F"/>
    <w:rsid w:val="003B1149"/>
    <w:rsid w:val="003B1545"/>
    <w:rsid w:val="003B27F2"/>
    <w:rsid w:val="003B30F3"/>
    <w:rsid w:val="003B34B0"/>
    <w:rsid w:val="003B36B9"/>
    <w:rsid w:val="003B3FC1"/>
    <w:rsid w:val="003B57A4"/>
    <w:rsid w:val="003C0477"/>
    <w:rsid w:val="003C361C"/>
    <w:rsid w:val="003C3B53"/>
    <w:rsid w:val="003C409D"/>
    <w:rsid w:val="003C4DF3"/>
    <w:rsid w:val="003C4F99"/>
    <w:rsid w:val="003C5BA6"/>
    <w:rsid w:val="003C6ABD"/>
    <w:rsid w:val="003D1B7F"/>
    <w:rsid w:val="003D1E38"/>
    <w:rsid w:val="003D4A33"/>
    <w:rsid w:val="003D5DAB"/>
    <w:rsid w:val="003D63EE"/>
    <w:rsid w:val="003D6E88"/>
    <w:rsid w:val="003E0D99"/>
    <w:rsid w:val="003E14E9"/>
    <w:rsid w:val="003E57EE"/>
    <w:rsid w:val="003E69CE"/>
    <w:rsid w:val="003E7FFB"/>
    <w:rsid w:val="003F0E85"/>
    <w:rsid w:val="003F2AFF"/>
    <w:rsid w:val="003F3EF1"/>
    <w:rsid w:val="003F4153"/>
    <w:rsid w:val="003F4C24"/>
    <w:rsid w:val="003F5980"/>
    <w:rsid w:val="003F6458"/>
    <w:rsid w:val="00403014"/>
    <w:rsid w:val="00404209"/>
    <w:rsid w:val="0040423A"/>
    <w:rsid w:val="0040610F"/>
    <w:rsid w:val="004070AB"/>
    <w:rsid w:val="004079F6"/>
    <w:rsid w:val="00410C55"/>
    <w:rsid w:val="00410DCD"/>
    <w:rsid w:val="00411871"/>
    <w:rsid w:val="00416555"/>
    <w:rsid w:val="00416854"/>
    <w:rsid w:val="004171E1"/>
    <w:rsid w:val="00417725"/>
    <w:rsid w:val="00422790"/>
    <w:rsid w:val="004240F2"/>
    <w:rsid w:val="00425640"/>
    <w:rsid w:val="004302F9"/>
    <w:rsid w:val="0043250C"/>
    <w:rsid w:val="0043299F"/>
    <w:rsid w:val="0043387B"/>
    <w:rsid w:val="0043439B"/>
    <w:rsid w:val="004364F9"/>
    <w:rsid w:val="00437F26"/>
    <w:rsid w:val="00440AC8"/>
    <w:rsid w:val="004418F4"/>
    <w:rsid w:val="00444097"/>
    <w:rsid w:val="0044443E"/>
    <w:rsid w:val="00445487"/>
    <w:rsid w:val="004464A6"/>
    <w:rsid w:val="004509FE"/>
    <w:rsid w:val="00451871"/>
    <w:rsid w:val="00454769"/>
    <w:rsid w:val="00454958"/>
    <w:rsid w:val="00456349"/>
    <w:rsid w:val="00457F73"/>
    <w:rsid w:val="00462ADE"/>
    <w:rsid w:val="00463BAE"/>
    <w:rsid w:val="00465A83"/>
    <w:rsid w:val="00466991"/>
    <w:rsid w:val="004675E5"/>
    <w:rsid w:val="0047064C"/>
    <w:rsid w:val="00471270"/>
    <w:rsid w:val="00473CFC"/>
    <w:rsid w:val="00475BC6"/>
    <w:rsid w:val="00475DC3"/>
    <w:rsid w:val="004779AA"/>
    <w:rsid w:val="00494E26"/>
    <w:rsid w:val="004A1FE9"/>
    <w:rsid w:val="004A345B"/>
    <w:rsid w:val="004A38A0"/>
    <w:rsid w:val="004A42E1"/>
    <w:rsid w:val="004A4966"/>
    <w:rsid w:val="004A4A74"/>
    <w:rsid w:val="004B00F0"/>
    <w:rsid w:val="004B162C"/>
    <w:rsid w:val="004B339D"/>
    <w:rsid w:val="004B35A0"/>
    <w:rsid w:val="004B42F0"/>
    <w:rsid w:val="004C00CA"/>
    <w:rsid w:val="004C1921"/>
    <w:rsid w:val="004C2B1C"/>
    <w:rsid w:val="004C3DBE"/>
    <w:rsid w:val="004C5C41"/>
    <w:rsid w:val="004C5C96"/>
    <w:rsid w:val="004C7AFA"/>
    <w:rsid w:val="004D06A4"/>
    <w:rsid w:val="004D21F0"/>
    <w:rsid w:val="004D7D7D"/>
    <w:rsid w:val="004E18E0"/>
    <w:rsid w:val="004E1D69"/>
    <w:rsid w:val="004E2379"/>
    <w:rsid w:val="004E2A49"/>
    <w:rsid w:val="004E2BF2"/>
    <w:rsid w:val="004E4242"/>
    <w:rsid w:val="004E62BD"/>
    <w:rsid w:val="004E757C"/>
    <w:rsid w:val="004F1A81"/>
    <w:rsid w:val="004F4475"/>
    <w:rsid w:val="004F6A62"/>
    <w:rsid w:val="00501F3F"/>
    <w:rsid w:val="00502E9D"/>
    <w:rsid w:val="0050402A"/>
    <w:rsid w:val="00506DFC"/>
    <w:rsid w:val="0051009D"/>
    <w:rsid w:val="0051220F"/>
    <w:rsid w:val="00513BC3"/>
    <w:rsid w:val="00513FDF"/>
    <w:rsid w:val="00514A31"/>
    <w:rsid w:val="005211BC"/>
    <w:rsid w:val="005218D9"/>
    <w:rsid w:val="00522310"/>
    <w:rsid w:val="005248B4"/>
    <w:rsid w:val="00526A96"/>
    <w:rsid w:val="00527B20"/>
    <w:rsid w:val="00534E77"/>
    <w:rsid w:val="00534EF6"/>
    <w:rsid w:val="0053561C"/>
    <w:rsid w:val="00536186"/>
    <w:rsid w:val="00536DAF"/>
    <w:rsid w:val="00541802"/>
    <w:rsid w:val="00544403"/>
    <w:rsid w:val="0054471A"/>
    <w:rsid w:val="00544CBB"/>
    <w:rsid w:val="005454C0"/>
    <w:rsid w:val="00546D9A"/>
    <w:rsid w:val="00546FF3"/>
    <w:rsid w:val="00547311"/>
    <w:rsid w:val="00550193"/>
    <w:rsid w:val="00552166"/>
    <w:rsid w:val="00554A8F"/>
    <w:rsid w:val="00557AF3"/>
    <w:rsid w:val="00557B12"/>
    <w:rsid w:val="005654DB"/>
    <w:rsid w:val="00570CD0"/>
    <w:rsid w:val="00572BA5"/>
    <w:rsid w:val="0057315F"/>
    <w:rsid w:val="005734B3"/>
    <w:rsid w:val="005749B6"/>
    <w:rsid w:val="00576104"/>
    <w:rsid w:val="00581730"/>
    <w:rsid w:val="00582256"/>
    <w:rsid w:val="005835D4"/>
    <w:rsid w:val="00583BC7"/>
    <w:rsid w:val="00585B2C"/>
    <w:rsid w:val="005862D0"/>
    <w:rsid w:val="00586C46"/>
    <w:rsid w:val="00586FAA"/>
    <w:rsid w:val="00591CAD"/>
    <w:rsid w:val="00591F2F"/>
    <w:rsid w:val="005933D0"/>
    <w:rsid w:val="00593483"/>
    <w:rsid w:val="00593DDA"/>
    <w:rsid w:val="005A1727"/>
    <w:rsid w:val="005A5D2D"/>
    <w:rsid w:val="005A63D1"/>
    <w:rsid w:val="005A6509"/>
    <w:rsid w:val="005A7501"/>
    <w:rsid w:val="005B2EA6"/>
    <w:rsid w:val="005B33FD"/>
    <w:rsid w:val="005B5DD9"/>
    <w:rsid w:val="005B6AE6"/>
    <w:rsid w:val="005B72D7"/>
    <w:rsid w:val="005C0F54"/>
    <w:rsid w:val="005C1734"/>
    <w:rsid w:val="005C1C71"/>
    <w:rsid w:val="005C34BE"/>
    <w:rsid w:val="005C54C3"/>
    <w:rsid w:val="005C67A1"/>
    <w:rsid w:val="005C67C8"/>
    <w:rsid w:val="005D0249"/>
    <w:rsid w:val="005D2094"/>
    <w:rsid w:val="005D6E8C"/>
    <w:rsid w:val="005D7D9A"/>
    <w:rsid w:val="005E062B"/>
    <w:rsid w:val="005E0DDD"/>
    <w:rsid w:val="005E0F0F"/>
    <w:rsid w:val="005E142F"/>
    <w:rsid w:val="005E4A29"/>
    <w:rsid w:val="005E775D"/>
    <w:rsid w:val="005F06C5"/>
    <w:rsid w:val="005F0720"/>
    <w:rsid w:val="005F100C"/>
    <w:rsid w:val="005F5D80"/>
    <w:rsid w:val="005F68DA"/>
    <w:rsid w:val="00602F35"/>
    <w:rsid w:val="0060773B"/>
    <w:rsid w:val="0061250E"/>
    <w:rsid w:val="006125FF"/>
    <w:rsid w:val="0061290E"/>
    <w:rsid w:val="006139A3"/>
    <w:rsid w:val="006157B5"/>
    <w:rsid w:val="00616EBE"/>
    <w:rsid w:val="006238B8"/>
    <w:rsid w:val="00625DBD"/>
    <w:rsid w:val="00626FC6"/>
    <w:rsid w:val="00627C8E"/>
    <w:rsid w:val="006303B4"/>
    <w:rsid w:val="00632BED"/>
    <w:rsid w:val="00633D3D"/>
    <w:rsid w:val="0063536B"/>
    <w:rsid w:val="0063665E"/>
    <w:rsid w:val="00636B90"/>
    <w:rsid w:val="00636CCA"/>
    <w:rsid w:val="00641703"/>
    <w:rsid w:val="006431A6"/>
    <w:rsid w:val="0064513C"/>
    <w:rsid w:val="006459F6"/>
    <w:rsid w:val="006501AD"/>
    <w:rsid w:val="00651BFA"/>
    <w:rsid w:val="00651F26"/>
    <w:rsid w:val="00654475"/>
    <w:rsid w:val="0065571E"/>
    <w:rsid w:val="0066196B"/>
    <w:rsid w:val="00661A50"/>
    <w:rsid w:val="006629AA"/>
    <w:rsid w:val="00662AD3"/>
    <w:rsid w:val="006640B8"/>
    <w:rsid w:val="00664F4F"/>
    <w:rsid w:val="00665656"/>
    <w:rsid w:val="00665A4B"/>
    <w:rsid w:val="00666C0F"/>
    <w:rsid w:val="006748D6"/>
    <w:rsid w:val="00674D0B"/>
    <w:rsid w:val="00674E05"/>
    <w:rsid w:val="00676210"/>
    <w:rsid w:val="0067659A"/>
    <w:rsid w:val="00676C77"/>
    <w:rsid w:val="00683585"/>
    <w:rsid w:val="00684A0E"/>
    <w:rsid w:val="00687CC7"/>
    <w:rsid w:val="00690364"/>
    <w:rsid w:val="00691435"/>
    <w:rsid w:val="00691E84"/>
    <w:rsid w:val="00692B65"/>
    <w:rsid w:val="00692E2A"/>
    <w:rsid w:val="00695E51"/>
    <w:rsid w:val="00697A66"/>
    <w:rsid w:val="006A1378"/>
    <w:rsid w:val="006A3E99"/>
    <w:rsid w:val="006A574C"/>
    <w:rsid w:val="006A609A"/>
    <w:rsid w:val="006A762F"/>
    <w:rsid w:val="006A76F2"/>
    <w:rsid w:val="006B09E1"/>
    <w:rsid w:val="006B279F"/>
    <w:rsid w:val="006B61A3"/>
    <w:rsid w:val="006C10B1"/>
    <w:rsid w:val="006C6872"/>
    <w:rsid w:val="006C6D34"/>
    <w:rsid w:val="006D2066"/>
    <w:rsid w:val="006D4FA2"/>
    <w:rsid w:val="006D6658"/>
    <w:rsid w:val="006D6AD3"/>
    <w:rsid w:val="006D7EFB"/>
    <w:rsid w:val="006E062B"/>
    <w:rsid w:val="006E1973"/>
    <w:rsid w:val="006E35B7"/>
    <w:rsid w:val="006E422E"/>
    <w:rsid w:val="006E6250"/>
    <w:rsid w:val="006E6672"/>
    <w:rsid w:val="006E6722"/>
    <w:rsid w:val="006F1654"/>
    <w:rsid w:val="006F3CE5"/>
    <w:rsid w:val="006F74E8"/>
    <w:rsid w:val="0070151C"/>
    <w:rsid w:val="0070164D"/>
    <w:rsid w:val="007027B9"/>
    <w:rsid w:val="00702B83"/>
    <w:rsid w:val="00707374"/>
    <w:rsid w:val="007076C6"/>
    <w:rsid w:val="007109E4"/>
    <w:rsid w:val="007120DA"/>
    <w:rsid w:val="00715BC5"/>
    <w:rsid w:val="00715E88"/>
    <w:rsid w:val="00720DC3"/>
    <w:rsid w:val="00721CDD"/>
    <w:rsid w:val="007228CF"/>
    <w:rsid w:val="0072324D"/>
    <w:rsid w:val="0072452F"/>
    <w:rsid w:val="00724D40"/>
    <w:rsid w:val="00725281"/>
    <w:rsid w:val="00726152"/>
    <w:rsid w:val="007306EC"/>
    <w:rsid w:val="0073077E"/>
    <w:rsid w:val="00732E7C"/>
    <w:rsid w:val="007332E2"/>
    <w:rsid w:val="00734B17"/>
    <w:rsid w:val="00734CAA"/>
    <w:rsid w:val="00736420"/>
    <w:rsid w:val="00740824"/>
    <w:rsid w:val="00741343"/>
    <w:rsid w:val="00745783"/>
    <w:rsid w:val="007476C3"/>
    <w:rsid w:val="00750F34"/>
    <w:rsid w:val="0075326C"/>
    <w:rsid w:val="00753705"/>
    <w:rsid w:val="007538EE"/>
    <w:rsid w:val="0075533C"/>
    <w:rsid w:val="007563DF"/>
    <w:rsid w:val="00757581"/>
    <w:rsid w:val="007611A0"/>
    <w:rsid w:val="007640A1"/>
    <w:rsid w:val="007646F2"/>
    <w:rsid w:val="00764A22"/>
    <w:rsid w:val="00767D1D"/>
    <w:rsid w:val="00770526"/>
    <w:rsid w:val="00771BDE"/>
    <w:rsid w:val="00774776"/>
    <w:rsid w:val="00774A62"/>
    <w:rsid w:val="00774FAF"/>
    <w:rsid w:val="00776528"/>
    <w:rsid w:val="00776FEC"/>
    <w:rsid w:val="007804C0"/>
    <w:rsid w:val="00781191"/>
    <w:rsid w:val="00781298"/>
    <w:rsid w:val="007847D5"/>
    <w:rsid w:val="00790D44"/>
    <w:rsid w:val="0079223A"/>
    <w:rsid w:val="007963AB"/>
    <w:rsid w:val="00796D3F"/>
    <w:rsid w:val="007A1683"/>
    <w:rsid w:val="007A44EC"/>
    <w:rsid w:val="007A5C12"/>
    <w:rsid w:val="007A73C0"/>
    <w:rsid w:val="007A7CB0"/>
    <w:rsid w:val="007B0542"/>
    <w:rsid w:val="007B45B1"/>
    <w:rsid w:val="007B68A3"/>
    <w:rsid w:val="007C2541"/>
    <w:rsid w:val="007C31BE"/>
    <w:rsid w:val="007C4EA7"/>
    <w:rsid w:val="007C4ED0"/>
    <w:rsid w:val="007C5991"/>
    <w:rsid w:val="007D0C09"/>
    <w:rsid w:val="007D5E97"/>
    <w:rsid w:val="007D6223"/>
    <w:rsid w:val="007D66A8"/>
    <w:rsid w:val="007E003F"/>
    <w:rsid w:val="007E0538"/>
    <w:rsid w:val="007E0DE3"/>
    <w:rsid w:val="007E10C2"/>
    <w:rsid w:val="007E299A"/>
    <w:rsid w:val="007E40B4"/>
    <w:rsid w:val="007E552F"/>
    <w:rsid w:val="007F0483"/>
    <w:rsid w:val="007F20DE"/>
    <w:rsid w:val="007F2B0F"/>
    <w:rsid w:val="008045CB"/>
    <w:rsid w:val="00804BD1"/>
    <w:rsid w:val="0080623B"/>
    <w:rsid w:val="0081058C"/>
    <w:rsid w:val="00811E57"/>
    <w:rsid w:val="008164F2"/>
    <w:rsid w:val="00821395"/>
    <w:rsid w:val="008215D4"/>
    <w:rsid w:val="0082480D"/>
    <w:rsid w:val="00824B4E"/>
    <w:rsid w:val="0082513F"/>
    <w:rsid w:val="0082634A"/>
    <w:rsid w:val="008272DD"/>
    <w:rsid w:val="00827EAB"/>
    <w:rsid w:val="00830E26"/>
    <w:rsid w:val="00831A72"/>
    <w:rsid w:val="00833B83"/>
    <w:rsid w:val="00835508"/>
    <w:rsid w:val="00835B5F"/>
    <w:rsid w:val="00840E7A"/>
    <w:rsid w:val="00842024"/>
    <w:rsid w:val="00843576"/>
    <w:rsid w:val="00843B64"/>
    <w:rsid w:val="0084568E"/>
    <w:rsid w:val="0084743A"/>
    <w:rsid w:val="008478FC"/>
    <w:rsid w:val="00851F6C"/>
    <w:rsid w:val="008520C8"/>
    <w:rsid w:val="00852D8D"/>
    <w:rsid w:val="00852DF4"/>
    <w:rsid w:val="008567A6"/>
    <w:rsid w:val="0086024D"/>
    <w:rsid w:val="00860766"/>
    <w:rsid w:val="00860BFB"/>
    <w:rsid w:val="00860D83"/>
    <w:rsid w:val="0086178A"/>
    <w:rsid w:val="00866674"/>
    <w:rsid w:val="00866B0E"/>
    <w:rsid w:val="00867BFF"/>
    <w:rsid w:val="00872957"/>
    <w:rsid w:val="00873A23"/>
    <w:rsid w:val="00877B73"/>
    <w:rsid w:val="008823D3"/>
    <w:rsid w:val="0088480A"/>
    <w:rsid w:val="00886130"/>
    <w:rsid w:val="0088757A"/>
    <w:rsid w:val="00891C9F"/>
    <w:rsid w:val="00893495"/>
    <w:rsid w:val="0089419C"/>
    <w:rsid w:val="008957DD"/>
    <w:rsid w:val="008959EE"/>
    <w:rsid w:val="00897D98"/>
    <w:rsid w:val="008A0268"/>
    <w:rsid w:val="008A0330"/>
    <w:rsid w:val="008A3075"/>
    <w:rsid w:val="008A60EC"/>
    <w:rsid w:val="008A6DF2"/>
    <w:rsid w:val="008A7807"/>
    <w:rsid w:val="008B43C2"/>
    <w:rsid w:val="008B4BCE"/>
    <w:rsid w:val="008B4CC9"/>
    <w:rsid w:val="008C32C3"/>
    <w:rsid w:val="008C52E5"/>
    <w:rsid w:val="008D024B"/>
    <w:rsid w:val="008D0A75"/>
    <w:rsid w:val="008D5CDB"/>
    <w:rsid w:val="008D6347"/>
    <w:rsid w:val="008D7C99"/>
    <w:rsid w:val="008E0FCB"/>
    <w:rsid w:val="008E5064"/>
    <w:rsid w:val="008E5A79"/>
    <w:rsid w:val="008F25B4"/>
    <w:rsid w:val="008F6C0F"/>
    <w:rsid w:val="00910358"/>
    <w:rsid w:val="009120DC"/>
    <w:rsid w:val="00913913"/>
    <w:rsid w:val="0092178C"/>
    <w:rsid w:val="00922374"/>
    <w:rsid w:val="00923201"/>
    <w:rsid w:val="0092392D"/>
    <w:rsid w:val="00930B88"/>
    <w:rsid w:val="00931329"/>
    <w:rsid w:val="00931BA9"/>
    <w:rsid w:val="00932C4F"/>
    <w:rsid w:val="00935B4D"/>
    <w:rsid w:val="00935D37"/>
    <w:rsid w:val="00935E40"/>
    <w:rsid w:val="00940DCC"/>
    <w:rsid w:val="0094179A"/>
    <w:rsid w:val="009432CA"/>
    <w:rsid w:val="0094459E"/>
    <w:rsid w:val="00944DBC"/>
    <w:rsid w:val="00944F83"/>
    <w:rsid w:val="00950977"/>
    <w:rsid w:val="00951A7B"/>
    <w:rsid w:val="0095243D"/>
    <w:rsid w:val="009554DD"/>
    <w:rsid w:val="00956108"/>
    <w:rsid w:val="009563FB"/>
    <w:rsid w:val="009564A6"/>
    <w:rsid w:val="009569D6"/>
    <w:rsid w:val="0095750C"/>
    <w:rsid w:val="009616BA"/>
    <w:rsid w:val="0096333B"/>
    <w:rsid w:val="00964E9B"/>
    <w:rsid w:val="00967621"/>
    <w:rsid w:val="00967E6A"/>
    <w:rsid w:val="009705AD"/>
    <w:rsid w:val="009721CE"/>
    <w:rsid w:val="00972B85"/>
    <w:rsid w:val="009737D8"/>
    <w:rsid w:val="00973A9C"/>
    <w:rsid w:val="0097695C"/>
    <w:rsid w:val="00977499"/>
    <w:rsid w:val="009804A9"/>
    <w:rsid w:val="009849B9"/>
    <w:rsid w:val="00991C02"/>
    <w:rsid w:val="00991C7A"/>
    <w:rsid w:val="009925C8"/>
    <w:rsid w:val="009940FB"/>
    <w:rsid w:val="00995053"/>
    <w:rsid w:val="009A206F"/>
    <w:rsid w:val="009A7803"/>
    <w:rsid w:val="009B1F47"/>
    <w:rsid w:val="009B4A0F"/>
    <w:rsid w:val="009B5322"/>
    <w:rsid w:val="009C11D2"/>
    <w:rsid w:val="009C2644"/>
    <w:rsid w:val="009C2C92"/>
    <w:rsid w:val="009C36D1"/>
    <w:rsid w:val="009C41F9"/>
    <w:rsid w:val="009C6C70"/>
    <w:rsid w:val="009C6E6E"/>
    <w:rsid w:val="009D0B63"/>
    <w:rsid w:val="009D5662"/>
    <w:rsid w:val="009D7B41"/>
    <w:rsid w:val="009E0C72"/>
    <w:rsid w:val="009E2144"/>
    <w:rsid w:val="009E307E"/>
    <w:rsid w:val="009E4014"/>
    <w:rsid w:val="009E6502"/>
    <w:rsid w:val="009E65CF"/>
    <w:rsid w:val="009E76DD"/>
    <w:rsid w:val="009F1A44"/>
    <w:rsid w:val="009F589D"/>
    <w:rsid w:val="009F7128"/>
    <w:rsid w:val="009F712A"/>
    <w:rsid w:val="00A0344D"/>
    <w:rsid w:val="00A07870"/>
    <w:rsid w:val="00A07F19"/>
    <w:rsid w:val="00A10C0E"/>
    <w:rsid w:val="00A1348D"/>
    <w:rsid w:val="00A14614"/>
    <w:rsid w:val="00A16DD3"/>
    <w:rsid w:val="00A16FCC"/>
    <w:rsid w:val="00A1753D"/>
    <w:rsid w:val="00A2080D"/>
    <w:rsid w:val="00A232EE"/>
    <w:rsid w:val="00A25B22"/>
    <w:rsid w:val="00A26140"/>
    <w:rsid w:val="00A26807"/>
    <w:rsid w:val="00A26967"/>
    <w:rsid w:val="00A32C93"/>
    <w:rsid w:val="00A33F99"/>
    <w:rsid w:val="00A34B5A"/>
    <w:rsid w:val="00A378F4"/>
    <w:rsid w:val="00A37B05"/>
    <w:rsid w:val="00A4175F"/>
    <w:rsid w:val="00A42B7E"/>
    <w:rsid w:val="00A44411"/>
    <w:rsid w:val="00A44768"/>
    <w:rsid w:val="00A468FC"/>
    <w:rsid w:val="00A469FA"/>
    <w:rsid w:val="00A47DB7"/>
    <w:rsid w:val="00A50E6F"/>
    <w:rsid w:val="00A51691"/>
    <w:rsid w:val="00A53AFC"/>
    <w:rsid w:val="00A55B01"/>
    <w:rsid w:val="00A5655F"/>
    <w:rsid w:val="00A56B5B"/>
    <w:rsid w:val="00A603FF"/>
    <w:rsid w:val="00A60D1F"/>
    <w:rsid w:val="00A61131"/>
    <w:rsid w:val="00A61354"/>
    <w:rsid w:val="00A621B6"/>
    <w:rsid w:val="00A63824"/>
    <w:rsid w:val="00A64443"/>
    <w:rsid w:val="00A6523F"/>
    <w:rsid w:val="00A653CB"/>
    <w:rsid w:val="00A657DD"/>
    <w:rsid w:val="00A666A6"/>
    <w:rsid w:val="00A67540"/>
    <w:rsid w:val="00A675FD"/>
    <w:rsid w:val="00A700F2"/>
    <w:rsid w:val="00A72437"/>
    <w:rsid w:val="00A72D94"/>
    <w:rsid w:val="00A7357A"/>
    <w:rsid w:val="00A73C3E"/>
    <w:rsid w:val="00A74181"/>
    <w:rsid w:val="00A74C42"/>
    <w:rsid w:val="00A76DC0"/>
    <w:rsid w:val="00A80611"/>
    <w:rsid w:val="00A8322E"/>
    <w:rsid w:val="00A90C4B"/>
    <w:rsid w:val="00AA1542"/>
    <w:rsid w:val="00AA1FD9"/>
    <w:rsid w:val="00AA2993"/>
    <w:rsid w:val="00AA3100"/>
    <w:rsid w:val="00AA4B21"/>
    <w:rsid w:val="00AA7975"/>
    <w:rsid w:val="00AB0885"/>
    <w:rsid w:val="00AB2C7A"/>
    <w:rsid w:val="00AB5340"/>
    <w:rsid w:val="00AC06F8"/>
    <w:rsid w:val="00AC0A89"/>
    <w:rsid w:val="00AC0C27"/>
    <w:rsid w:val="00AC1E98"/>
    <w:rsid w:val="00AC2F12"/>
    <w:rsid w:val="00AC4675"/>
    <w:rsid w:val="00AC4FA9"/>
    <w:rsid w:val="00AC7C96"/>
    <w:rsid w:val="00AD58C0"/>
    <w:rsid w:val="00AD6B61"/>
    <w:rsid w:val="00AE0C2C"/>
    <w:rsid w:val="00AE237D"/>
    <w:rsid w:val="00AE502A"/>
    <w:rsid w:val="00AE6AD4"/>
    <w:rsid w:val="00AF0331"/>
    <w:rsid w:val="00AF0597"/>
    <w:rsid w:val="00AF127B"/>
    <w:rsid w:val="00AF1580"/>
    <w:rsid w:val="00AF2294"/>
    <w:rsid w:val="00AF6A1E"/>
    <w:rsid w:val="00AF6C53"/>
    <w:rsid w:val="00AF7C07"/>
    <w:rsid w:val="00B020DD"/>
    <w:rsid w:val="00B035E4"/>
    <w:rsid w:val="00B05800"/>
    <w:rsid w:val="00B0622B"/>
    <w:rsid w:val="00B06AC9"/>
    <w:rsid w:val="00B0724A"/>
    <w:rsid w:val="00B101AE"/>
    <w:rsid w:val="00B10FE9"/>
    <w:rsid w:val="00B1147B"/>
    <w:rsid w:val="00B11568"/>
    <w:rsid w:val="00B116C7"/>
    <w:rsid w:val="00B147F8"/>
    <w:rsid w:val="00B154D3"/>
    <w:rsid w:val="00B22C93"/>
    <w:rsid w:val="00B23139"/>
    <w:rsid w:val="00B25DAE"/>
    <w:rsid w:val="00B268EF"/>
    <w:rsid w:val="00B27589"/>
    <w:rsid w:val="00B30546"/>
    <w:rsid w:val="00B33037"/>
    <w:rsid w:val="00B35CAF"/>
    <w:rsid w:val="00B405B7"/>
    <w:rsid w:val="00B40B6C"/>
    <w:rsid w:val="00B44332"/>
    <w:rsid w:val="00B4502A"/>
    <w:rsid w:val="00B503B5"/>
    <w:rsid w:val="00B504AB"/>
    <w:rsid w:val="00B52222"/>
    <w:rsid w:val="00B54807"/>
    <w:rsid w:val="00B54FE7"/>
    <w:rsid w:val="00B610FF"/>
    <w:rsid w:val="00B61D82"/>
    <w:rsid w:val="00B62882"/>
    <w:rsid w:val="00B66901"/>
    <w:rsid w:val="00B706AC"/>
    <w:rsid w:val="00B708E4"/>
    <w:rsid w:val="00B709DC"/>
    <w:rsid w:val="00B71B19"/>
    <w:rsid w:val="00B71E6D"/>
    <w:rsid w:val="00B72070"/>
    <w:rsid w:val="00B72C43"/>
    <w:rsid w:val="00B773FC"/>
    <w:rsid w:val="00B779E1"/>
    <w:rsid w:val="00B82CE8"/>
    <w:rsid w:val="00B83E2A"/>
    <w:rsid w:val="00B841A2"/>
    <w:rsid w:val="00B845A5"/>
    <w:rsid w:val="00B85647"/>
    <w:rsid w:val="00B86A7C"/>
    <w:rsid w:val="00B90361"/>
    <w:rsid w:val="00B90B05"/>
    <w:rsid w:val="00B90B53"/>
    <w:rsid w:val="00B91EE1"/>
    <w:rsid w:val="00B923EC"/>
    <w:rsid w:val="00B92BE2"/>
    <w:rsid w:val="00B94F15"/>
    <w:rsid w:val="00B978AC"/>
    <w:rsid w:val="00BA0090"/>
    <w:rsid w:val="00BA04E5"/>
    <w:rsid w:val="00BA1517"/>
    <w:rsid w:val="00BA1A67"/>
    <w:rsid w:val="00BA4C86"/>
    <w:rsid w:val="00BA5BC6"/>
    <w:rsid w:val="00BA6733"/>
    <w:rsid w:val="00BA7356"/>
    <w:rsid w:val="00BB0E1F"/>
    <w:rsid w:val="00BB36BC"/>
    <w:rsid w:val="00BB3BA6"/>
    <w:rsid w:val="00BB66B3"/>
    <w:rsid w:val="00BB6A34"/>
    <w:rsid w:val="00BC26F1"/>
    <w:rsid w:val="00BC6A1A"/>
    <w:rsid w:val="00BC7EC5"/>
    <w:rsid w:val="00BD315B"/>
    <w:rsid w:val="00BD38B9"/>
    <w:rsid w:val="00BD7870"/>
    <w:rsid w:val="00BD7BBD"/>
    <w:rsid w:val="00BE075A"/>
    <w:rsid w:val="00BE1619"/>
    <w:rsid w:val="00BE25C4"/>
    <w:rsid w:val="00BE47CD"/>
    <w:rsid w:val="00BE5B5F"/>
    <w:rsid w:val="00BE6852"/>
    <w:rsid w:val="00BF4160"/>
    <w:rsid w:val="00BF6473"/>
    <w:rsid w:val="00BF7736"/>
    <w:rsid w:val="00C0388E"/>
    <w:rsid w:val="00C105CB"/>
    <w:rsid w:val="00C11B6E"/>
    <w:rsid w:val="00C12196"/>
    <w:rsid w:val="00C1298D"/>
    <w:rsid w:val="00C14C48"/>
    <w:rsid w:val="00C14D64"/>
    <w:rsid w:val="00C15203"/>
    <w:rsid w:val="00C16998"/>
    <w:rsid w:val="00C16A89"/>
    <w:rsid w:val="00C16D54"/>
    <w:rsid w:val="00C26F55"/>
    <w:rsid w:val="00C279BB"/>
    <w:rsid w:val="00C27E52"/>
    <w:rsid w:val="00C30C63"/>
    <w:rsid w:val="00C329C2"/>
    <w:rsid w:val="00C33BE2"/>
    <w:rsid w:val="00C36362"/>
    <w:rsid w:val="00C36B8B"/>
    <w:rsid w:val="00C415C1"/>
    <w:rsid w:val="00C459DD"/>
    <w:rsid w:val="00C46BC5"/>
    <w:rsid w:val="00C47DBF"/>
    <w:rsid w:val="00C47E66"/>
    <w:rsid w:val="00C50B6D"/>
    <w:rsid w:val="00C53C6C"/>
    <w:rsid w:val="00C552FF"/>
    <w:rsid w:val="00C558DA"/>
    <w:rsid w:val="00C55AF3"/>
    <w:rsid w:val="00C5678B"/>
    <w:rsid w:val="00C6387F"/>
    <w:rsid w:val="00C63CB5"/>
    <w:rsid w:val="00C648AD"/>
    <w:rsid w:val="00C65E97"/>
    <w:rsid w:val="00C661B7"/>
    <w:rsid w:val="00C75860"/>
    <w:rsid w:val="00C772FA"/>
    <w:rsid w:val="00C80160"/>
    <w:rsid w:val="00C829E6"/>
    <w:rsid w:val="00C84759"/>
    <w:rsid w:val="00C941CE"/>
    <w:rsid w:val="00C95A5D"/>
    <w:rsid w:val="00C96C5A"/>
    <w:rsid w:val="00CA01F8"/>
    <w:rsid w:val="00CA22CD"/>
    <w:rsid w:val="00CA2A8B"/>
    <w:rsid w:val="00CA36F6"/>
    <w:rsid w:val="00CA4843"/>
    <w:rsid w:val="00CA504F"/>
    <w:rsid w:val="00CA6C7F"/>
    <w:rsid w:val="00CB3007"/>
    <w:rsid w:val="00CB3B9B"/>
    <w:rsid w:val="00CB46E8"/>
    <w:rsid w:val="00CB574B"/>
    <w:rsid w:val="00CB6D22"/>
    <w:rsid w:val="00CB6EBD"/>
    <w:rsid w:val="00CC060D"/>
    <w:rsid w:val="00CC10A6"/>
    <w:rsid w:val="00CC5BB9"/>
    <w:rsid w:val="00CC605A"/>
    <w:rsid w:val="00CC78E9"/>
    <w:rsid w:val="00CD4653"/>
    <w:rsid w:val="00CD5EB8"/>
    <w:rsid w:val="00CD6670"/>
    <w:rsid w:val="00CD7044"/>
    <w:rsid w:val="00CD7634"/>
    <w:rsid w:val="00CE03E7"/>
    <w:rsid w:val="00CE08B9"/>
    <w:rsid w:val="00CE2E8A"/>
    <w:rsid w:val="00CE3FB5"/>
    <w:rsid w:val="00CE404F"/>
    <w:rsid w:val="00CE524C"/>
    <w:rsid w:val="00CE5DB6"/>
    <w:rsid w:val="00CF141F"/>
    <w:rsid w:val="00CF2D1C"/>
    <w:rsid w:val="00CF4777"/>
    <w:rsid w:val="00CF5E69"/>
    <w:rsid w:val="00CF7813"/>
    <w:rsid w:val="00D03018"/>
    <w:rsid w:val="00D061C5"/>
    <w:rsid w:val="00D067BB"/>
    <w:rsid w:val="00D10E6A"/>
    <w:rsid w:val="00D11568"/>
    <w:rsid w:val="00D12245"/>
    <w:rsid w:val="00D1352A"/>
    <w:rsid w:val="00D14E3D"/>
    <w:rsid w:val="00D161EA"/>
    <w:rsid w:val="00D169AF"/>
    <w:rsid w:val="00D17CA1"/>
    <w:rsid w:val="00D205D1"/>
    <w:rsid w:val="00D243A8"/>
    <w:rsid w:val="00D25249"/>
    <w:rsid w:val="00D35ADE"/>
    <w:rsid w:val="00D36804"/>
    <w:rsid w:val="00D3777D"/>
    <w:rsid w:val="00D44172"/>
    <w:rsid w:val="00D44D82"/>
    <w:rsid w:val="00D45A72"/>
    <w:rsid w:val="00D47AEC"/>
    <w:rsid w:val="00D510F0"/>
    <w:rsid w:val="00D538B7"/>
    <w:rsid w:val="00D54820"/>
    <w:rsid w:val="00D5516E"/>
    <w:rsid w:val="00D56A82"/>
    <w:rsid w:val="00D577A4"/>
    <w:rsid w:val="00D57833"/>
    <w:rsid w:val="00D57A89"/>
    <w:rsid w:val="00D60BCC"/>
    <w:rsid w:val="00D62F31"/>
    <w:rsid w:val="00D63B8C"/>
    <w:rsid w:val="00D67486"/>
    <w:rsid w:val="00D726B1"/>
    <w:rsid w:val="00D739CC"/>
    <w:rsid w:val="00D77D1F"/>
    <w:rsid w:val="00D8093D"/>
    <w:rsid w:val="00D8108C"/>
    <w:rsid w:val="00D842AE"/>
    <w:rsid w:val="00D878C7"/>
    <w:rsid w:val="00D9211C"/>
    <w:rsid w:val="00D92B65"/>
    <w:rsid w:val="00D92DE0"/>
    <w:rsid w:val="00D92FEF"/>
    <w:rsid w:val="00D93447"/>
    <w:rsid w:val="00D93A0F"/>
    <w:rsid w:val="00D93BFF"/>
    <w:rsid w:val="00D9490A"/>
    <w:rsid w:val="00D94C0A"/>
    <w:rsid w:val="00D94FFA"/>
    <w:rsid w:val="00D97B8F"/>
    <w:rsid w:val="00DA0A9E"/>
    <w:rsid w:val="00DA1BCA"/>
    <w:rsid w:val="00DA2AEB"/>
    <w:rsid w:val="00DA3EA9"/>
    <w:rsid w:val="00DA4048"/>
    <w:rsid w:val="00DA7551"/>
    <w:rsid w:val="00DB1E1B"/>
    <w:rsid w:val="00DB2129"/>
    <w:rsid w:val="00DB471F"/>
    <w:rsid w:val="00DB56C5"/>
    <w:rsid w:val="00DC1A57"/>
    <w:rsid w:val="00DC22DC"/>
    <w:rsid w:val="00DC46FF"/>
    <w:rsid w:val="00DC5254"/>
    <w:rsid w:val="00DC5F7C"/>
    <w:rsid w:val="00DC606A"/>
    <w:rsid w:val="00DC6865"/>
    <w:rsid w:val="00DD1A4F"/>
    <w:rsid w:val="00DD26C2"/>
    <w:rsid w:val="00DD3107"/>
    <w:rsid w:val="00DD59E8"/>
    <w:rsid w:val="00DD5D2A"/>
    <w:rsid w:val="00DD7C2C"/>
    <w:rsid w:val="00DE05D4"/>
    <w:rsid w:val="00DE0B63"/>
    <w:rsid w:val="00DE2B51"/>
    <w:rsid w:val="00DE2EE5"/>
    <w:rsid w:val="00DF17EE"/>
    <w:rsid w:val="00DF1E4C"/>
    <w:rsid w:val="00DF26BC"/>
    <w:rsid w:val="00DF4342"/>
    <w:rsid w:val="00DF7EE9"/>
    <w:rsid w:val="00DF7F8C"/>
    <w:rsid w:val="00E002EE"/>
    <w:rsid w:val="00E03E5A"/>
    <w:rsid w:val="00E05772"/>
    <w:rsid w:val="00E060C1"/>
    <w:rsid w:val="00E06797"/>
    <w:rsid w:val="00E07703"/>
    <w:rsid w:val="00E07DE5"/>
    <w:rsid w:val="00E11109"/>
    <w:rsid w:val="00E1265B"/>
    <w:rsid w:val="00E13B48"/>
    <w:rsid w:val="00E1404F"/>
    <w:rsid w:val="00E161FC"/>
    <w:rsid w:val="00E16773"/>
    <w:rsid w:val="00E172C8"/>
    <w:rsid w:val="00E205BD"/>
    <w:rsid w:val="00E21C83"/>
    <w:rsid w:val="00E24ADA"/>
    <w:rsid w:val="00E25F45"/>
    <w:rsid w:val="00E311D4"/>
    <w:rsid w:val="00E323F1"/>
    <w:rsid w:val="00E32F59"/>
    <w:rsid w:val="00E42244"/>
    <w:rsid w:val="00E42BD8"/>
    <w:rsid w:val="00E43DFA"/>
    <w:rsid w:val="00E44C4F"/>
    <w:rsid w:val="00E46603"/>
    <w:rsid w:val="00E46A84"/>
    <w:rsid w:val="00E46D9A"/>
    <w:rsid w:val="00E474A9"/>
    <w:rsid w:val="00E50C73"/>
    <w:rsid w:val="00E523EB"/>
    <w:rsid w:val="00E5245E"/>
    <w:rsid w:val="00E52DC4"/>
    <w:rsid w:val="00E54873"/>
    <w:rsid w:val="00E565FF"/>
    <w:rsid w:val="00E60887"/>
    <w:rsid w:val="00E61144"/>
    <w:rsid w:val="00E61371"/>
    <w:rsid w:val="00E6205D"/>
    <w:rsid w:val="00E62C59"/>
    <w:rsid w:val="00E6359E"/>
    <w:rsid w:val="00E63AFB"/>
    <w:rsid w:val="00E643C5"/>
    <w:rsid w:val="00E65388"/>
    <w:rsid w:val="00E654B0"/>
    <w:rsid w:val="00E659E7"/>
    <w:rsid w:val="00E66591"/>
    <w:rsid w:val="00E722D7"/>
    <w:rsid w:val="00E7329C"/>
    <w:rsid w:val="00E73FD3"/>
    <w:rsid w:val="00E76DDA"/>
    <w:rsid w:val="00E800D9"/>
    <w:rsid w:val="00E80828"/>
    <w:rsid w:val="00E81F51"/>
    <w:rsid w:val="00E84E16"/>
    <w:rsid w:val="00E8569A"/>
    <w:rsid w:val="00E85B7D"/>
    <w:rsid w:val="00E85DB7"/>
    <w:rsid w:val="00E9121B"/>
    <w:rsid w:val="00E913F9"/>
    <w:rsid w:val="00E9140B"/>
    <w:rsid w:val="00E91AAE"/>
    <w:rsid w:val="00E9285A"/>
    <w:rsid w:val="00E92894"/>
    <w:rsid w:val="00E94E8A"/>
    <w:rsid w:val="00EA0AE2"/>
    <w:rsid w:val="00EA15F0"/>
    <w:rsid w:val="00EA39E5"/>
    <w:rsid w:val="00EA4E4D"/>
    <w:rsid w:val="00EA5903"/>
    <w:rsid w:val="00EB236B"/>
    <w:rsid w:val="00EB49C9"/>
    <w:rsid w:val="00EB4E00"/>
    <w:rsid w:val="00EB7C97"/>
    <w:rsid w:val="00EC5270"/>
    <w:rsid w:val="00EC5455"/>
    <w:rsid w:val="00EC5A46"/>
    <w:rsid w:val="00EC63E2"/>
    <w:rsid w:val="00EC7951"/>
    <w:rsid w:val="00ED0F82"/>
    <w:rsid w:val="00ED30FD"/>
    <w:rsid w:val="00ED3111"/>
    <w:rsid w:val="00ED441B"/>
    <w:rsid w:val="00ED60CC"/>
    <w:rsid w:val="00ED76A4"/>
    <w:rsid w:val="00EE394F"/>
    <w:rsid w:val="00EE3C3F"/>
    <w:rsid w:val="00EE4359"/>
    <w:rsid w:val="00EE4D9D"/>
    <w:rsid w:val="00EE57B7"/>
    <w:rsid w:val="00EE6E7D"/>
    <w:rsid w:val="00EF0D72"/>
    <w:rsid w:val="00EF1E82"/>
    <w:rsid w:val="00EF22B3"/>
    <w:rsid w:val="00EF2A80"/>
    <w:rsid w:val="00EF4366"/>
    <w:rsid w:val="00EF6262"/>
    <w:rsid w:val="00EF6495"/>
    <w:rsid w:val="00EF7214"/>
    <w:rsid w:val="00F03B69"/>
    <w:rsid w:val="00F07A50"/>
    <w:rsid w:val="00F10186"/>
    <w:rsid w:val="00F113DA"/>
    <w:rsid w:val="00F1172E"/>
    <w:rsid w:val="00F11745"/>
    <w:rsid w:val="00F121C3"/>
    <w:rsid w:val="00F15856"/>
    <w:rsid w:val="00F22C81"/>
    <w:rsid w:val="00F23B28"/>
    <w:rsid w:val="00F2413E"/>
    <w:rsid w:val="00F27471"/>
    <w:rsid w:val="00F277EB"/>
    <w:rsid w:val="00F314E6"/>
    <w:rsid w:val="00F35376"/>
    <w:rsid w:val="00F358E0"/>
    <w:rsid w:val="00F362A6"/>
    <w:rsid w:val="00F362AB"/>
    <w:rsid w:val="00F364A2"/>
    <w:rsid w:val="00F37266"/>
    <w:rsid w:val="00F37BD2"/>
    <w:rsid w:val="00F37DC8"/>
    <w:rsid w:val="00F4188B"/>
    <w:rsid w:val="00F41AD9"/>
    <w:rsid w:val="00F422E4"/>
    <w:rsid w:val="00F43674"/>
    <w:rsid w:val="00F439B3"/>
    <w:rsid w:val="00F443B6"/>
    <w:rsid w:val="00F44937"/>
    <w:rsid w:val="00F47CFD"/>
    <w:rsid w:val="00F50A6F"/>
    <w:rsid w:val="00F51368"/>
    <w:rsid w:val="00F5545A"/>
    <w:rsid w:val="00F55EAF"/>
    <w:rsid w:val="00F56735"/>
    <w:rsid w:val="00F570DC"/>
    <w:rsid w:val="00F57C35"/>
    <w:rsid w:val="00F61341"/>
    <w:rsid w:val="00F626AA"/>
    <w:rsid w:val="00F6378A"/>
    <w:rsid w:val="00F650C3"/>
    <w:rsid w:val="00F65D4F"/>
    <w:rsid w:val="00F65D85"/>
    <w:rsid w:val="00F66C5A"/>
    <w:rsid w:val="00F704F7"/>
    <w:rsid w:val="00F72210"/>
    <w:rsid w:val="00F736D5"/>
    <w:rsid w:val="00F74E19"/>
    <w:rsid w:val="00F76650"/>
    <w:rsid w:val="00F8032A"/>
    <w:rsid w:val="00F80434"/>
    <w:rsid w:val="00F8091E"/>
    <w:rsid w:val="00F80BD1"/>
    <w:rsid w:val="00F83F89"/>
    <w:rsid w:val="00F8463B"/>
    <w:rsid w:val="00F84895"/>
    <w:rsid w:val="00F84B95"/>
    <w:rsid w:val="00F8615C"/>
    <w:rsid w:val="00F86B03"/>
    <w:rsid w:val="00F874E0"/>
    <w:rsid w:val="00F93252"/>
    <w:rsid w:val="00F94F2D"/>
    <w:rsid w:val="00F95371"/>
    <w:rsid w:val="00F969E5"/>
    <w:rsid w:val="00F97551"/>
    <w:rsid w:val="00FA08E1"/>
    <w:rsid w:val="00FA32D2"/>
    <w:rsid w:val="00FA5021"/>
    <w:rsid w:val="00FA542E"/>
    <w:rsid w:val="00FA5466"/>
    <w:rsid w:val="00FA6BB0"/>
    <w:rsid w:val="00FB1DD6"/>
    <w:rsid w:val="00FB378C"/>
    <w:rsid w:val="00FB487F"/>
    <w:rsid w:val="00FB4F64"/>
    <w:rsid w:val="00FB6AAB"/>
    <w:rsid w:val="00FC0BC6"/>
    <w:rsid w:val="00FC0D95"/>
    <w:rsid w:val="00FC1100"/>
    <w:rsid w:val="00FC1274"/>
    <w:rsid w:val="00FC4A12"/>
    <w:rsid w:val="00FC556B"/>
    <w:rsid w:val="00FC5E47"/>
    <w:rsid w:val="00FC62FD"/>
    <w:rsid w:val="00FC6A7B"/>
    <w:rsid w:val="00FC742B"/>
    <w:rsid w:val="00FD1E45"/>
    <w:rsid w:val="00FD2596"/>
    <w:rsid w:val="00FD5860"/>
    <w:rsid w:val="00FD5F39"/>
    <w:rsid w:val="00FD797A"/>
    <w:rsid w:val="00FD7A9F"/>
    <w:rsid w:val="00FE0A54"/>
    <w:rsid w:val="00FE352D"/>
    <w:rsid w:val="00FE381F"/>
    <w:rsid w:val="00FE40EB"/>
    <w:rsid w:val="00FE4D02"/>
    <w:rsid w:val="00FE6934"/>
    <w:rsid w:val="00FE7368"/>
    <w:rsid w:val="00FE7D62"/>
    <w:rsid w:val="00FF0933"/>
    <w:rsid w:val="00FF1304"/>
    <w:rsid w:val="00FF1E48"/>
    <w:rsid w:val="00FF3819"/>
    <w:rsid w:val="00FF46F2"/>
    <w:rsid w:val="00FF69EB"/>
    <w:rsid w:val="00FF7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B9E09"/>
  <w15:chartTrackingRefBased/>
  <w15:docId w15:val="{15BB7EC4-D29A-4C6B-964E-5637403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6528"/>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771BDE"/>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771BDE"/>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771BDE"/>
    <w:rPr>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44768"/>
    <w:pPr>
      <w:ind w:left="720"/>
      <w:contextualSpacing/>
    </w:pPr>
  </w:style>
  <w:style w:type="paragraph" w:customStyle="1" w:styleId="Default">
    <w:name w:val="Default"/>
    <w:rsid w:val="00DC6865"/>
    <w:pPr>
      <w:autoSpaceDE w:val="0"/>
      <w:autoSpaceDN w:val="0"/>
      <w:adjustRightInd w:val="0"/>
    </w:pPr>
    <w:rPr>
      <w:color w:val="000000"/>
      <w:sz w:val="24"/>
      <w:szCs w:val="24"/>
      <w:lang w:val="en-US" w:eastAsia="en-US"/>
    </w:rPr>
  </w:style>
  <w:style w:type="numbering" w:customStyle="1" w:styleId="Normallist1">
    <w:name w:val="Normal_list1"/>
    <w:rsid w:val="00E060C1"/>
  </w:style>
  <w:style w:type="paragraph" w:customStyle="1" w:styleId="MediumGrid1-Accent21">
    <w:name w:val="Medium Grid 1 - Accent 21"/>
    <w:basedOn w:val="Normal"/>
    <w:uiPriority w:val="34"/>
    <w:qFormat/>
    <w:rsid w:val="003F3EF1"/>
    <w:pPr>
      <w:spacing w:after="0" w:line="240" w:lineRule="auto"/>
      <w:ind w:left="720"/>
      <w:contextualSpacing/>
    </w:pPr>
    <w:rPr>
      <w:rFonts w:ascii="Cambria" w:eastAsia="Times New Roman" w:hAnsi="Cambria"/>
      <w:sz w:val="24"/>
      <w:szCs w:val="24"/>
      <w:lang w:eastAsia="ja-JP"/>
    </w:rPr>
  </w:style>
  <w:style w:type="character" w:customStyle="1" w:styleId="Heading2Char">
    <w:name w:val="Heading 2 Char"/>
    <w:link w:val="Heading2"/>
    <w:locked/>
    <w:rsid w:val="00353392"/>
    <w:rPr>
      <w:rFonts w:ascii="Calibri" w:eastAsia="MS Mincho" w:hAnsi="Calibri"/>
      <w:b/>
      <w:sz w:val="24"/>
      <w:szCs w:val="24"/>
      <w:lang w:val="en-US" w:eastAsia="en-US"/>
    </w:rPr>
  </w:style>
  <w:style w:type="character" w:customStyle="1" w:styleId="FooterChar">
    <w:name w:val="Footer Char"/>
    <w:basedOn w:val="DefaultParagraphFont"/>
    <w:link w:val="Footer"/>
    <w:uiPriority w:val="99"/>
    <w:rsid w:val="00BE47CD"/>
    <w:rPr>
      <w:rFonts w:ascii="Calibri" w:eastAsia="MS Mincho" w:hAnsi="Calibri"/>
      <w:sz w:val="18"/>
      <w:szCs w:val="22"/>
      <w:lang w:val="en-US" w:eastAsia="en-US"/>
    </w:rPr>
  </w:style>
  <w:style w:type="character" w:customStyle="1" w:styleId="UnresolvedMention2">
    <w:name w:val="Unresolved Mention2"/>
    <w:basedOn w:val="DefaultParagraphFont"/>
    <w:uiPriority w:val="99"/>
    <w:semiHidden/>
    <w:unhideWhenUsed/>
    <w:rsid w:val="004E2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094">
      <w:bodyDiv w:val="1"/>
      <w:marLeft w:val="0"/>
      <w:marRight w:val="0"/>
      <w:marTop w:val="0"/>
      <w:marBottom w:val="0"/>
      <w:divBdr>
        <w:top w:val="none" w:sz="0" w:space="0" w:color="auto"/>
        <w:left w:val="none" w:sz="0" w:space="0" w:color="auto"/>
        <w:bottom w:val="none" w:sz="0" w:space="0" w:color="auto"/>
        <w:right w:val="none" w:sz="0" w:space="0" w:color="auto"/>
      </w:divBdr>
    </w:div>
    <w:div w:id="106587449">
      <w:bodyDiv w:val="1"/>
      <w:marLeft w:val="0"/>
      <w:marRight w:val="0"/>
      <w:marTop w:val="0"/>
      <w:marBottom w:val="0"/>
      <w:divBdr>
        <w:top w:val="none" w:sz="0" w:space="0" w:color="auto"/>
        <w:left w:val="none" w:sz="0" w:space="0" w:color="auto"/>
        <w:bottom w:val="none" w:sz="0" w:space="0" w:color="auto"/>
        <w:right w:val="none" w:sz="0" w:space="0" w:color="auto"/>
      </w:divBdr>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261571637">
      <w:bodyDiv w:val="1"/>
      <w:marLeft w:val="0"/>
      <w:marRight w:val="0"/>
      <w:marTop w:val="0"/>
      <w:marBottom w:val="0"/>
      <w:divBdr>
        <w:top w:val="none" w:sz="0" w:space="0" w:color="auto"/>
        <w:left w:val="none" w:sz="0" w:space="0" w:color="auto"/>
        <w:bottom w:val="none" w:sz="0" w:space="0" w:color="auto"/>
        <w:right w:val="none" w:sz="0" w:space="0" w:color="auto"/>
      </w:divBdr>
    </w:div>
    <w:div w:id="342898280">
      <w:bodyDiv w:val="1"/>
      <w:marLeft w:val="0"/>
      <w:marRight w:val="0"/>
      <w:marTop w:val="0"/>
      <w:marBottom w:val="0"/>
      <w:divBdr>
        <w:top w:val="none" w:sz="0" w:space="0" w:color="auto"/>
        <w:left w:val="none" w:sz="0" w:space="0" w:color="auto"/>
        <w:bottom w:val="none" w:sz="0" w:space="0" w:color="auto"/>
        <w:right w:val="none" w:sz="0" w:space="0" w:color="auto"/>
      </w:divBdr>
    </w:div>
    <w:div w:id="392121763">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53789256">
      <w:bodyDiv w:val="1"/>
      <w:marLeft w:val="0"/>
      <w:marRight w:val="0"/>
      <w:marTop w:val="0"/>
      <w:marBottom w:val="0"/>
      <w:divBdr>
        <w:top w:val="none" w:sz="0" w:space="0" w:color="auto"/>
        <w:left w:val="none" w:sz="0" w:space="0" w:color="auto"/>
        <w:bottom w:val="none" w:sz="0" w:space="0" w:color="auto"/>
        <w:right w:val="none" w:sz="0" w:space="0" w:color="auto"/>
      </w:divBdr>
    </w:div>
    <w:div w:id="517735289">
      <w:bodyDiv w:val="1"/>
      <w:marLeft w:val="0"/>
      <w:marRight w:val="0"/>
      <w:marTop w:val="0"/>
      <w:marBottom w:val="0"/>
      <w:divBdr>
        <w:top w:val="none" w:sz="0" w:space="0" w:color="auto"/>
        <w:left w:val="none" w:sz="0" w:space="0" w:color="auto"/>
        <w:bottom w:val="none" w:sz="0" w:space="0" w:color="auto"/>
        <w:right w:val="none" w:sz="0" w:space="0" w:color="auto"/>
      </w:divBdr>
    </w:div>
    <w:div w:id="560216497">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788934014">
      <w:bodyDiv w:val="1"/>
      <w:marLeft w:val="0"/>
      <w:marRight w:val="0"/>
      <w:marTop w:val="0"/>
      <w:marBottom w:val="0"/>
      <w:divBdr>
        <w:top w:val="none" w:sz="0" w:space="0" w:color="auto"/>
        <w:left w:val="none" w:sz="0" w:space="0" w:color="auto"/>
        <w:bottom w:val="none" w:sz="0" w:space="0" w:color="auto"/>
        <w:right w:val="none" w:sz="0" w:space="0" w:color="auto"/>
      </w:divBdr>
    </w:div>
    <w:div w:id="844901673">
      <w:bodyDiv w:val="1"/>
      <w:marLeft w:val="0"/>
      <w:marRight w:val="0"/>
      <w:marTop w:val="0"/>
      <w:marBottom w:val="0"/>
      <w:divBdr>
        <w:top w:val="none" w:sz="0" w:space="0" w:color="auto"/>
        <w:left w:val="none" w:sz="0" w:space="0" w:color="auto"/>
        <w:bottom w:val="none" w:sz="0" w:space="0" w:color="auto"/>
        <w:right w:val="none" w:sz="0" w:space="0" w:color="auto"/>
      </w:divBdr>
    </w:div>
    <w:div w:id="865559480">
      <w:bodyDiv w:val="1"/>
      <w:marLeft w:val="0"/>
      <w:marRight w:val="0"/>
      <w:marTop w:val="0"/>
      <w:marBottom w:val="0"/>
      <w:divBdr>
        <w:top w:val="none" w:sz="0" w:space="0" w:color="auto"/>
        <w:left w:val="none" w:sz="0" w:space="0" w:color="auto"/>
        <w:bottom w:val="none" w:sz="0" w:space="0" w:color="auto"/>
        <w:right w:val="none" w:sz="0" w:space="0" w:color="auto"/>
      </w:divBdr>
    </w:div>
    <w:div w:id="913320336">
      <w:bodyDiv w:val="1"/>
      <w:marLeft w:val="0"/>
      <w:marRight w:val="0"/>
      <w:marTop w:val="0"/>
      <w:marBottom w:val="0"/>
      <w:divBdr>
        <w:top w:val="none" w:sz="0" w:space="0" w:color="auto"/>
        <w:left w:val="none" w:sz="0" w:space="0" w:color="auto"/>
        <w:bottom w:val="none" w:sz="0" w:space="0" w:color="auto"/>
        <w:right w:val="none" w:sz="0" w:space="0" w:color="auto"/>
      </w:divBdr>
    </w:div>
    <w:div w:id="108981286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0300951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65325516">
      <w:bodyDiv w:val="1"/>
      <w:marLeft w:val="0"/>
      <w:marRight w:val="0"/>
      <w:marTop w:val="0"/>
      <w:marBottom w:val="0"/>
      <w:divBdr>
        <w:top w:val="none" w:sz="0" w:space="0" w:color="auto"/>
        <w:left w:val="none" w:sz="0" w:space="0" w:color="auto"/>
        <w:bottom w:val="none" w:sz="0" w:space="0" w:color="auto"/>
        <w:right w:val="none" w:sz="0" w:space="0" w:color="auto"/>
      </w:divBdr>
    </w:div>
    <w:div w:id="160703542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04281678">
      <w:bodyDiv w:val="1"/>
      <w:marLeft w:val="0"/>
      <w:marRight w:val="0"/>
      <w:marTop w:val="0"/>
      <w:marBottom w:val="0"/>
      <w:divBdr>
        <w:top w:val="none" w:sz="0" w:space="0" w:color="auto"/>
        <w:left w:val="none" w:sz="0" w:space="0" w:color="auto"/>
        <w:bottom w:val="none" w:sz="0" w:space="0" w:color="auto"/>
        <w:right w:val="none" w:sz="0" w:space="0" w:color="auto"/>
      </w:divBdr>
    </w:div>
    <w:div w:id="1836338481">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1977836795">
      <w:bodyDiv w:val="1"/>
      <w:marLeft w:val="0"/>
      <w:marRight w:val="0"/>
      <w:marTop w:val="0"/>
      <w:marBottom w:val="0"/>
      <w:divBdr>
        <w:top w:val="none" w:sz="0" w:space="0" w:color="auto"/>
        <w:left w:val="none" w:sz="0" w:space="0" w:color="auto"/>
        <w:bottom w:val="none" w:sz="0" w:space="0" w:color="auto"/>
        <w:right w:val="none" w:sz="0" w:space="0" w:color="auto"/>
      </w:divBdr>
    </w:div>
    <w:div w:id="2064013410">
      <w:bodyDiv w:val="1"/>
      <w:marLeft w:val="0"/>
      <w:marRight w:val="0"/>
      <w:marTop w:val="0"/>
      <w:marBottom w:val="0"/>
      <w:divBdr>
        <w:top w:val="none" w:sz="0" w:space="0" w:color="auto"/>
        <w:left w:val="none" w:sz="0" w:space="0" w:color="auto"/>
        <w:bottom w:val="none" w:sz="0" w:space="0" w:color="auto"/>
        <w:right w:val="none" w:sz="0" w:space="0" w:color="auto"/>
      </w:divBdr>
    </w:div>
    <w:div w:id="21444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pbes.net/polic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72371-F5E2-47AA-9331-C29E0E36331D}">
  <ds:schemaRefs>
    <ds:schemaRef ds:uri="http://schemas.openxmlformats.org/officeDocument/2006/bibliography"/>
  </ds:schemaRefs>
</ds:datastoreItem>
</file>

<file path=customXml/itemProps2.xml><?xml version="1.0" encoding="utf-8"?>
<ds:datastoreItem xmlns:ds="http://schemas.openxmlformats.org/officeDocument/2006/customXml" ds:itemID="{C0CD4786-C5A3-44FF-8B98-BBEAAF801C3A}"/>
</file>

<file path=customXml/itemProps3.xml><?xml version="1.0" encoding="utf-8"?>
<ds:datastoreItem xmlns:ds="http://schemas.openxmlformats.org/officeDocument/2006/customXml" ds:itemID="{F34BD7A4-D45B-48DE-A523-17620CC5303E}"/>
</file>

<file path=customXml/itemProps4.xml><?xml version="1.0" encoding="utf-8"?>
<ds:datastoreItem xmlns:ds="http://schemas.openxmlformats.org/officeDocument/2006/customXml" ds:itemID="{6332A48C-D558-43C3-A455-CA1D9A8E9A1E}"/>
</file>

<file path=docProps/app.xml><?xml version="1.0" encoding="utf-8"?>
<Properties xmlns="http://schemas.openxmlformats.org/officeDocument/2006/extended-properties" xmlns:vt="http://schemas.openxmlformats.org/officeDocument/2006/docPropsVTypes">
  <Template>Normal</Template>
  <TotalTime>0</TotalTime>
  <Pages>16</Pages>
  <Words>8986</Words>
  <Characters>51222</Characters>
  <Application>Microsoft Office Word</Application>
  <DocSecurity>0</DocSecurity>
  <Lines>426</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60088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2019-04-02T07:40:00Z</cp:lastPrinted>
  <dcterms:created xsi:type="dcterms:W3CDTF">2019-04-02T12:16:00Z</dcterms:created>
  <dcterms:modified xsi:type="dcterms:W3CDTF">2019-04-02T12:16:00Z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