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499"/>
        <w:gridCol w:w="822"/>
        <w:gridCol w:w="284"/>
        <w:gridCol w:w="1105"/>
        <w:gridCol w:w="1105"/>
        <w:gridCol w:w="1105"/>
        <w:gridCol w:w="1105"/>
        <w:gridCol w:w="13"/>
        <w:gridCol w:w="698"/>
        <w:gridCol w:w="1760"/>
      </w:tblGrid>
      <w:tr w:rsidR="00082A47" w:rsidRPr="00082A47" w14:paraId="33493573" w14:textId="77777777" w:rsidTr="00240646">
        <w:trPr>
          <w:cantSplit/>
          <w:trHeight w:val="1079"/>
        </w:trPr>
        <w:tc>
          <w:tcPr>
            <w:tcW w:w="1534" w:type="dxa"/>
          </w:tcPr>
          <w:p w14:paraId="193AD395" w14:textId="77777777" w:rsidR="00082A47" w:rsidRPr="00082A47" w:rsidRDefault="00082A47" w:rsidP="00082A47">
            <w:pPr>
              <w:tabs>
                <w:tab w:val="clear" w:pos="1247"/>
                <w:tab w:val="clear" w:pos="1814"/>
                <w:tab w:val="clear" w:pos="2381"/>
                <w:tab w:val="clear" w:pos="2948"/>
                <w:tab w:val="clear" w:pos="3515"/>
              </w:tabs>
              <w:bidi/>
              <w:spacing w:line="480" w:lineRule="exact"/>
              <w:jc w:val="both"/>
              <w:rPr>
                <w:rFonts w:hint="default"/>
                <w:b/>
                <w:bCs/>
                <w:sz w:val="48"/>
                <w:szCs w:val="48"/>
                <w:lang w:val="en-US"/>
              </w:rPr>
            </w:pPr>
            <w:bookmarkStart w:id="0" w:name="_GoBack"/>
            <w:bookmarkEnd w:id="0"/>
            <w:r w:rsidRPr="00082A47">
              <w:rPr>
                <w:rFonts w:hint="default"/>
                <w:b/>
                <w:bCs/>
                <w:sz w:val="48"/>
                <w:szCs w:val="48"/>
                <w:rtl/>
                <w:lang w:val="en-US"/>
              </w:rPr>
              <w:t>الأمم المتحدة</w:t>
            </w:r>
          </w:p>
        </w:tc>
        <w:tc>
          <w:tcPr>
            <w:tcW w:w="1130" w:type="dxa"/>
            <w:gridSpan w:val="2"/>
            <w:tcBorders>
              <w:left w:val="nil"/>
            </w:tcBorders>
            <w:vAlign w:val="center"/>
          </w:tcPr>
          <w:p w14:paraId="00D3C34A"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46F57C33" wp14:editId="52AA7D54">
                  <wp:extent cx="520103" cy="488054"/>
                  <wp:effectExtent l="0" t="0" r="0" b="762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14:paraId="56F79E49"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22"/>
                <w:szCs w:val="28"/>
                <w:lang w:val="en-US"/>
              </w:rPr>
              <w:drawing>
                <wp:inline distT="0" distB="0" distL="0" distR="0" wp14:anchorId="7196E052" wp14:editId="44289DB4">
                  <wp:extent cx="502285" cy="502285"/>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14:paraId="74803D65"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22"/>
                <w:szCs w:val="28"/>
                <w:lang w:val="en-US"/>
              </w:rPr>
            </w:pPr>
            <w:r w:rsidRPr="00082A47">
              <w:rPr>
                <w:rFonts w:cs="Simplified Arabic" w:hint="default"/>
                <w:noProof/>
                <w:sz w:val="22"/>
                <w:szCs w:val="28"/>
                <w:lang w:val="en-US"/>
              </w:rPr>
              <w:drawing>
                <wp:inline distT="0" distB="0" distL="0" distR="0" wp14:anchorId="6536DC3A" wp14:editId="04AB951C">
                  <wp:extent cx="590831" cy="454395"/>
                  <wp:effectExtent l="0" t="0" r="0" b="3175"/>
                  <wp:docPr id="10"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14:paraId="76C0400D" w14:textId="77777777" w:rsidR="00082A47" w:rsidRPr="00082A47" w:rsidRDefault="00082A47" w:rsidP="00082A47">
            <w:pPr>
              <w:tabs>
                <w:tab w:val="clear" w:pos="1247"/>
                <w:tab w:val="clear" w:pos="1814"/>
                <w:tab w:val="clear" w:pos="2381"/>
                <w:tab w:val="clear" w:pos="2948"/>
                <w:tab w:val="clear" w:pos="3515"/>
              </w:tabs>
              <w:bidi/>
              <w:rPr>
                <w:rFonts w:cs="Simplified Arabic" w:hint="default"/>
                <w:sz w:val="6"/>
                <w:szCs w:val="6"/>
                <w:lang w:val="en-US"/>
              </w:rPr>
            </w:pPr>
            <w:r w:rsidRPr="00082A47">
              <w:rPr>
                <w:rFonts w:cs="Simplified Arabic" w:hint="default"/>
                <w:noProof/>
                <w:sz w:val="22"/>
                <w:szCs w:val="28"/>
                <w:lang w:val="en-US"/>
              </w:rPr>
              <w:drawing>
                <wp:inline distT="0" distB="0" distL="0" distR="0" wp14:anchorId="45840633" wp14:editId="74EEA0C0">
                  <wp:extent cx="538541" cy="538542"/>
                  <wp:effectExtent l="0" t="0" r="0" b="0"/>
                  <wp:docPr id="11"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157" cy="547158"/>
                          </a:xfrm>
                          <a:prstGeom prst="rect">
                            <a:avLst/>
                          </a:prstGeom>
                          <a:noFill/>
                          <a:ln>
                            <a:noFill/>
                          </a:ln>
                        </pic:spPr>
                      </pic:pic>
                    </a:graphicData>
                  </a:graphic>
                </wp:inline>
              </w:drawing>
            </w:r>
          </w:p>
        </w:tc>
        <w:tc>
          <w:tcPr>
            <w:tcW w:w="1130" w:type="dxa"/>
            <w:tcBorders>
              <w:left w:val="nil"/>
            </w:tcBorders>
            <w:vAlign w:val="center"/>
          </w:tcPr>
          <w:p w14:paraId="4866365F" w14:textId="77777777" w:rsidR="00082A47" w:rsidRPr="00082A47" w:rsidRDefault="00082A47" w:rsidP="00082A47">
            <w:pPr>
              <w:tabs>
                <w:tab w:val="clear" w:pos="1247"/>
                <w:tab w:val="clear" w:pos="1814"/>
                <w:tab w:val="clear" w:pos="2381"/>
                <w:tab w:val="clear" w:pos="2948"/>
                <w:tab w:val="clear" w:pos="3515"/>
              </w:tabs>
              <w:bidi/>
              <w:jc w:val="right"/>
              <w:rPr>
                <w:rFonts w:cs="Simplified Arabic" w:hint="default"/>
                <w:sz w:val="6"/>
                <w:szCs w:val="6"/>
                <w:lang w:val="en-US"/>
              </w:rPr>
            </w:pPr>
          </w:p>
        </w:tc>
        <w:tc>
          <w:tcPr>
            <w:tcW w:w="725" w:type="dxa"/>
            <w:gridSpan w:val="2"/>
            <w:tcBorders>
              <w:left w:val="nil"/>
            </w:tcBorders>
            <w:vAlign w:val="center"/>
          </w:tcPr>
          <w:p w14:paraId="1440B9E6" w14:textId="77777777" w:rsidR="00082A47" w:rsidRPr="00082A47" w:rsidRDefault="00082A47" w:rsidP="00082A47">
            <w:pPr>
              <w:tabs>
                <w:tab w:val="clear" w:pos="1247"/>
                <w:tab w:val="clear" w:pos="1814"/>
                <w:tab w:val="clear" w:pos="2381"/>
                <w:tab w:val="clear" w:pos="2948"/>
                <w:tab w:val="clear" w:pos="3515"/>
              </w:tabs>
              <w:bidi/>
              <w:jc w:val="center"/>
              <w:rPr>
                <w:rFonts w:cs="Simplified Arabic" w:hint="default"/>
                <w:sz w:val="6"/>
                <w:szCs w:val="6"/>
                <w:lang w:val="en-US"/>
              </w:rPr>
            </w:pPr>
            <w:r w:rsidRPr="00082A47">
              <w:rPr>
                <w:rFonts w:cs="Simplified Arabic" w:hint="default"/>
                <w:noProof/>
                <w:sz w:val="6"/>
                <w:szCs w:val="6"/>
                <w:lang w:val="en-US"/>
              </w:rPr>
              <mc:AlternateContent>
                <mc:Choice Requires="wps">
                  <w:drawing>
                    <wp:anchor distT="0" distB="0" distL="114300" distR="114300" simplePos="0" relativeHeight="251659264" behindDoc="0" locked="0" layoutInCell="1" allowOverlap="1" wp14:anchorId="0199D7DF" wp14:editId="05FB2BB4">
                      <wp:simplePos x="0" y="0"/>
                      <wp:positionH relativeFrom="column">
                        <wp:posOffset>350520</wp:posOffset>
                      </wp:positionH>
                      <wp:positionV relativeFrom="paragraph">
                        <wp:posOffset>120650</wp:posOffset>
                      </wp:positionV>
                      <wp:extent cx="857885" cy="515620"/>
                      <wp:effectExtent l="0" t="0" r="18415" b="17780"/>
                      <wp:wrapNone/>
                      <wp:docPr id="7" name="Text Box 7"/>
                      <wp:cNvGraphicFramePr/>
                      <a:graphic xmlns:a="http://schemas.openxmlformats.org/drawingml/2006/main">
                        <a:graphicData uri="http://schemas.microsoft.com/office/word/2010/wordprocessingShape">
                          <wps:wsp>
                            <wps:cNvSpPr txBox="1"/>
                            <wps:spPr>
                              <a:xfrm>
                                <a:off x="0" y="0"/>
                                <a:ext cx="857885" cy="515620"/>
                              </a:xfrm>
                              <a:prstGeom prst="rect">
                                <a:avLst/>
                              </a:prstGeom>
                              <a:solidFill>
                                <a:sysClr val="window" lastClr="FFFFFF"/>
                              </a:solidFill>
                              <a:ln w="6350">
                                <a:solidFill>
                                  <a:sysClr val="window" lastClr="FFFFFF"/>
                                </a:solidFill>
                              </a:ln>
                              <a:effectLst/>
                            </wps:spPr>
                            <wps:txbx>
                              <w:txbxContent>
                                <w:p w14:paraId="4853B58C" w14:textId="77777777" w:rsidR="00204B49" w:rsidRPr="002F100D" w:rsidRDefault="00204B49" w:rsidP="00291F7C">
                                  <w:pPr>
                                    <w:bidi/>
                                    <w:spacing w:line="20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4E688524" w14:textId="77777777" w:rsidR="00204B49" w:rsidRPr="002F100D" w:rsidRDefault="00204B49" w:rsidP="00291F7C">
                                  <w:pPr>
                                    <w:bidi/>
                                    <w:spacing w:line="20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9D7DF" id="_x0000_t202" coordsize="21600,21600" o:spt="202" path="m,l,21600r21600,l21600,xe">
                      <v:stroke joinstyle="miter"/>
                      <v:path gradientshapeok="t" o:connecttype="rect"/>
                    </v:shapetype>
                    <v:shape id="Text Box 7" o:spid="_x0000_s1026" type="#_x0000_t202" style="position:absolute;left:0;text-align:left;margin-left:27.6pt;margin-top:9.5pt;width:67.5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" fillcolor="window" strokecolor="window" strokeweight=".5pt">
                      <v:textbox>
                        <w:txbxContent>
                          <w:p w14:paraId="4853B58C" w14:textId="77777777" w:rsidR="00204B49" w:rsidRPr="002F100D" w:rsidRDefault="00204B49" w:rsidP="00291F7C">
                            <w:pPr>
                              <w:bidi/>
                              <w:spacing w:line="200" w:lineRule="exact"/>
                              <w:rPr>
                                <w:rFonts w:ascii="Traditional Arabic" w:hAnsi="Traditional Arabic" w:hint="default"/>
                                <w:b/>
                                <w:bCs/>
                                <w:w w:val="103"/>
                                <w:sz w:val="24"/>
                                <w:szCs w:val="24"/>
                                <w:rtl/>
                              </w:rPr>
                            </w:pPr>
                            <w:r w:rsidRPr="002F100D">
                              <w:rPr>
                                <w:rFonts w:ascii="Traditional Arabic" w:hAnsi="Traditional Arabic"/>
                                <w:b/>
                                <w:bCs/>
                                <w:w w:val="103"/>
                                <w:sz w:val="24"/>
                                <w:szCs w:val="24"/>
                                <w:rtl/>
                              </w:rPr>
                              <w:t>منظمة</w:t>
                            </w:r>
                          </w:p>
                          <w:p w14:paraId="4E688524" w14:textId="77777777" w:rsidR="00204B49" w:rsidRPr="002F100D" w:rsidRDefault="00204B49" w:rsidP="00291F7C">
                            <w:pPr>
                              <w:bidi/>
                              <w:spacing w:line="200" w:lineRule="exact"/>
                              <w:rPr>
                                <w:rFonts w:hint="default"/>
                                <w:w w:val="103"/>
                                <w:sz w:val="24"/>
                                <w:szCs w:val="24"/>
                              </w:rPr>
                            </w:pPr>
                            <w:r w:rsidRPr="002F100D">
                              <w:rPr>
                                <w:rFonts w:ascii="Traditional Arabic" w:hAnsi="Traditional Arabic"/>
                                <w:b/>
                                <w:bCs/>
                                <w:w w:val="103"/>
                                <w:sz w:val="24"/>
                                <w:szCs w:val="24"/>
                                <w:rtl/>
                              </w:rPr>
                              <w:t>الأغذية والزراعة للأمم المتحدة</w:t>
                            </w:r>
                          </w:p>
                        </w:txbxContent>
                      </v:textbox>
                    </v:shape>
                  </w:pict>
                </mc:Fallback>
              </mc:AlternateContent>
            </w:r>
            <w:r w:rsidRPr="00082A47">
              <w:rPr>
                <w:rFonts w:cs="Simplified Arabic" w:hint="default"/>
                <w:noProof/>
                <w:sz w:val="22"/>
                <w:szCs w:val="28"/>
                <w:lang w:val="en-US"/>
              </w:rPr>
              <w:drawing>
                <wp:inline distT="0" distB="0" distL="0" distR="0" wp14:anchorId="0FC859E2" wp14:editId="142CE8A4">
                  <wp:extent cx="327025" cy="640715"/>
                  <wp:effectExtent l="0" t="0" r="0" b="6985"/>
                  <wp:docPr id="12"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14:paraId="122868CD" w14:textId="77777777" w:rsidR="00082A47" w:rsidRPr="00082A47" w:rsidRDefault="00082A47" w:rsidP="00082A47">
            <w:pPr>
              <w:keepNext/>
              <w:tabs>
                <w:tab w:val="clear" w:pos="1247"/>
                <w:tab w:val="clear" w:pos="1814"/>
                <w:tab w:val="clear" w:pos="2381"/>
                <w:tab w:val="clear" w:pos="2948"/>
                <w:tab w:val="clear" w:pos="3515"/>
              </w:tabs>
              <w:jc w:val="both"/>
              <w:outlineLvl w:val="1"/>
              <w:rPr>
                <w:rFonts w:ascii="Arial" w:hAnsi="Arial" w:cs="Arial" w:hint="default"/>
                <w:b/>
                <w:bCs/>
                <w:sz w:val="10"/>
                <w:szCs w:val="10"/>
                <w:lang w:val="en-US"/>
              </w:rPr>
            </w:pPr>
            <w:r w:rsidRPr="00082A47">
              <w:rPr>
                <w:rFonts w:ascii="Arial" w:hAnsi="Arial" w:cs="Arial" w:hint="default"/>
                <w:b/>
                <w:bCs/>
                <w:sz w:val="64"/>
                <w:szCs w:val="64"/>
                <w:lang w:val="en-US"/>
              </w:rPr>
              <w:t>BES</w:t>
            </w:r>
          </w:p>
        </w:tc>
      </w:tr>
      <w:tr w:rsidR="00082A47" w:rsidRPr="00082A47" w14:paraId="446EBB2C" w14:textId="77777777" w:rsidTr="00240646">
        <w:trPr>
          <w:cantSplit/>
          <w:trHeight w:val="362"/>
        </w:trPr>
        <w:tc>
          <w:tcPr>
            <w:tcW w:w="1534" w:type="dxa"/>
            <w:tcBorders>
              <w:bottom w:val="single" w:sz="2" w:space="0" w:color="auto"/>
            </w:tcBorders>
          </w:tcPr>
          <w:p w14:paraId="4476037B" w14:textId="77777777" w:rsidR="00082A47" w:rsidRPr="00082A47" w:rsidRDefault="00082A47" w:rsidP="00082A47">
            <w:pPr>
              <w:tabs>
                <w:tab w:val="clear" w:pos="1247"/>
                <w:tab w:val="clear" w:pos="1814"/>
                <w:tab w:val="clear" w:pos="2381"/>
                <w:tab w:val="clear" w:pos="2948"/>
                <w:tab w:val="clear" w:pos="3515"/>
              </w:tabs>
              <w:bidi/>
              <w:jc w:val="both"/>
              <w:rPr>
                <w:rFonts w:cs="Simplified Arabic" w:hint="default"/>
                <w:sz w:val="6"/>
                <w:szCs w:val="6"/>
                <w:lang w:val="en-US"/>
              </w:rPr>
            </w:pPr>
          </w:p>
        </w:tc>
        <w:tc>
          <w:tcPr>
            <w:tcW w:w="5663" w:type="dxa"/>
            <w:gridSpan w:val="7"/>
            <w:tcBorders>
              <w:bottom w:val="single" w:sz="2" w:space="0" w:color="auto"/>
            </w:tcBorders>
          </w:tcPr>
          <w:p w14:paraId="7E705B66" w14:textId="77777777" w:rsidR="00082A47" w:rsidRPr="00082A47" w:rsidRDefault="00082A47" w:rsidP="00082A47">
            <w:pPr>
              <w:tabs>
                <w:tab w:val="clear" w:pos="1247"/>
                <w:tab w:val="clear" w:pos="1814"/>
                <w:tab w:val="clear" w:pos="2381"/>
                <w:tab w:val="clear" w:pos="2948"/>
                <w:tab w:val="clear" w:pos="3515"/>
              </w:tabs>
              <w:bidi/>
              <w:rPr>
                <w:rFonts w:ascii="Univers" w:hAnsi="Univers" w:cs="Simplified Arabic" w:hint="default"/>
                <w:b/>
                <w:sz w:val="6"/>
                <w:szCs w:val="6"/>
                <w:lang w:val="en-US"/>
              </w:rPr>
            </w:pPr>
          </w:p>
        </w:tc>
        <w:tc>
          <w:tcPr>
            <w:tcW w:w="2515" w:type="dxa"/>
            <w:gridSpan w:val="2"/>
            <w:tcBorders>
              <w:bottom w:val="single" w:sz="2" w:space="0" w:color="auto"/>
            </w:tcBorders>
          </w:tcPr>
          <w:p w14:paraId="376F5077" w14:textId="096A0006" w:rsidR="00082A47" w:rsidRPr="00082A47" w:rsidRDefault="00082A47" w:rsidP="00066A8E">
            <w:pPr>
              <w:tabs>
                <w:tab w:val="clear" w:pos="1247"/>
                <w:tab w:val="clear" w:pos="1814"/>
                <w:tab w:val="clear" w:pos="2381"/>
                <w:tab w:val="clear" w:pos="2948"/>
                <w:tab w:val="clear" w:pos="3515"/>
              </w:tabs>
              <w:jc w:val="both"/>
              <w:rPr>
                <w:rFonts w:cs="Simplified Arabic" w:hint="default"/>
                <w:b/>
                <w:sz w:val="24"/>
                <w:szCs w:val="24"/>
                <w:lang w:val="en-US"/>
              </w:rPr>
            </w:pPr>
            <w:r w:rsidRPr="00082A47">
              <w:rPr>
                <w:rFonts w:cs="Simplified Arabic" w:hint="default"/>
                <w:b/>
                <w:sz w:val="24"/>
                <w:szCs w:val="24"/>
                <w:lang w:val="en-US"/>
              </w:rPr>
              <w:t>IPBES</w:t>
            </w:r>
            <w:r w:rsidRPr="00082A47">
              <w:rPr>
                <w:rFonts w:cs="Simplified Arabic" w:hint="default"/>
                <w:szCs w:val="20"/>
                <w:lang w:val="en-US"/>
              </w:rPr>
              <w:t>/</w:t>
            </w:r>
            <w:r w:rsidR="005F3FA5">
              <w:rPr>
                <w:rFonts w:cs="Simplified Arabic" w:hint="default"/>
                <w:szCs w:val="20"/>
                <w:lang w:val="en-US"/>
              </w:rPr>
              <w:t>6</w:t>
            </w:r>
            <w:r w:rsidR="00F03516">
              <w:rPr>
                <w:rFonts w:cs="Times New Roman" w:hint="default"/>
                <w:szCs w:val="20"/>
                <w:lang w:val="en-US"/>
              </w:rPr>
              <w:t>/</w:t>
            </w:r>
            <w:r w:rsidR="00172F60">
              <w:rPr>
                <w:rFonts w:cs="Times New Roman" w:hint="default"/>
                <w:szCs w:val="20"/>
                <w:lang w:val="en-US"/>
              </w:rPr>
              <w:t>8</w:t>
            </w:r>
          </w:p>
        </w:tc>
      </w:tr>
      <w:tr w:rsidR="00082A47" w:rsidRPr="00082A47" w14:paraId="4FCD47E1" w14:textId="77777777" w:rsidTr="00240646">
        <w:trPr>
          <w:cantSplit/>
          <w:trHeight w:val="1433"/>
        </w:trPr>
        <w:tc>
          <w:tcPr>
            <w:tcW w:w="2373" w:type="dxa"/>
            <w:gridSpan w:val="2"/>
            <w:tcBorders>
              <w:top w:val="single" w:sz="2" w:space="0" w:color="auto"/>
              <w:bottom w:val="single" w:sz="24" w:space="0" w:color="auto"/>
            </w:tcBorders>
            <w:vAlign w:val="center"/>
          </w:tcPr>
          <w:p w14:paraId="670F6DEF" w14:textId="77777777" w:rsidR="00082A47" w:rsidRPr="00082A47" w:rsidRDefault="00082A47" w:rsidP="00082A47">
            <w:pPr>
              <w:tabs>
                <w:tab w:val="clear" w:pos="1247"/>
                <w:tab w:val="clear" w:pos="1814"/>
                <w:tab w:val="clear" w:pos="2381"/>
                <w:tab w:val="clear" w:pos="2948"/>
                <w:tab w:val="clear" w:pos="3515"/>
              </w:tabs>
              <w:spacing w:before="240" w:after="240"/>
              <w:jc w:val="right"/>
              <w:rPr>
                <w:rFonts w:ascii="Arial" w:hAnsi="Arial" w:cs="Arial" w:hint="default"/>
                <w:b/>
                <w:sz w:val="10"/>
                <w:szCs w:val="10"/>
                <w:lang w:val="en-US"/>
              </w:rPr>
            </w:pPr>
            <w:r w:rsidRPr="00082A47">
              <w:rPr>
                <w:rFonts w:ascii="Arial" w:hAnsi="Arial" w:cs="Arial" w:hint="default"/>
                <w:b/>
                <w:noProof/>
                <w:sz w:val="28"/>
                <w:szCs w:val="28"/>
                <w:lang w:val="en-US"/>
              </w:rPr>
              <w:drawing>
                <wp:inline distT="0" distB="0" distL="0" distR="0" wp14:anchorId="19E599E2" wp14:editId="184D3B13">
                  <wp:extent cx="1111406" cy="51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gridSpan w:val="6"/>
            <w:tcBorders>
              <w:top w:val="single" w:sz="2" w:space="0" w:color="auto"/>
              <w:bottom w:val="single" w:sz="24" w:space="0" w:color="auto"/>
            </w:tcBorders>
          </w:tcPr>
          <w:p w14:paraId="53B5E047" w14:textId="77777777" w:rsidR="00051300" w:rsidRDefault="00082A47" w:rsidP="00A2088A">
            <w:pPr>
              <w:tabs>
                <w:tab w:val="clear" w:pos="1247"/>
                <w:tab w:val="clear" w:pos="1814"/>
                <w:tab w:val="clear" w:pos="2381"/>
                <w:tab w:val="clear" w:pos="2948"/>
                <w:tab w:val="clear" w:pos="3515"/>
              </w:tabs>
              <w:bidi/>
              <w:spacing w:before="120" w:line="400" w:lineRule="exact"/>
              <w:ind w:right="459"/>
              <w:rPr>
                <w:rFonts w:ascii="Times New Roman Bold" w:hAnsi="Times New Roman Bold" w:hint="default"/>
                <w:b/>
                <w:bCs/>
                <w:w w:val="97"/>
                <w:sz w:val="36"/>
                <w:szCs w:val="36"/>
                <w:lang w:val="en-US"/>
              </w:rPr>
            </w:pPr>
            <w:r w:rsidRPr="00082A47">
              <w:rPr>
                <w:rFonts w:ascii="Times New Roman Bold" w:hAnsi="Times New Roman Bold" w:hint="default"/>
                <w:b/>
                <w:bCs/>
                <w:w w:val="97"/>
                <w:sz w:val="36"/>
                <w:szCs w:val="36"/>
                <w:rtl/>
                <w:lang w:val="en-US"/>
              </w:rPr>
              <w:t>المنبر الحكومي الدولي للعلوم والسياسات</w:t>
            </w:r>
          </w:p>
          <w:p w14:paraId="55F959B1" w14:textId="436DEF65" w:rsidR="00082A47" w:rsidRPr="00082A47" w:rsidRDefault="00082A47" w:rsidP="00DB61E3">
            <w:pPr>
              <w:tabs>
                <w:tab w:val="clear" w:pos="1247"/>
                <w:tab w:val="clear" w:pos="1814"/>
                <w:tab w:val="clear" w:pos="2381"/>
                <w:tab w:val="clear" w:pos="2948"/>
                <w:tab w:val="clear" w:pos="3515"/>
              </w:tabs>
              <w:bidi/>
              <w:spacing w:after="120" w:line="400" w:lineRule="exact"/>
              <w:ind w:right="459"/>
              <w:rPr>
                <w:rFonts w:ascii="Arial" w:hAnsi="Arial" w:cs="Arial" w:hint="default"/>
                <w:b/>
                <w:bCs/>
                <w:sz w:val="36"/>
                <w:szCs w:val="36"/>
                <w:rtl/>
                <w:lang w:val="en-US"/>
              </w:rPr>
            </w:pPr>
            <w:r w:rsidRPr="00082A47">
              <w:rPr>
                <w:rFonts w:ascii="Times New Roman Bold" w:hAnsi="Times New Roman Bold" w:hint="default"/>
                <w:b/>
                <w:bCs/>
                <w:w w:val="97"/>
                <w:sz w:val="36"/>
                <w:szCs w:val="36"/>
                <w:rtl/>
                <w:lang w:val="en-US"/>
              </w:rPr>
              <w:t>في مجال التنوع البيولوجي وخدمات النظم الإيكولوجية</w:t>
            </w:r>
          </w:p>
        </w:tc>
        <w:tc>
          <w:tcPr>
            <w:tcW w:w="2515" w:type="dxa"/>
            <w:gridSpan w:val="2"/>
            <w:tcBorders>
              <w:top w:val="single" w:sz="2" w:space="0" w:color="auto"/>
              <w:bottom w:val="single" w:sz="24" w:space="0" w:color="auto"/>
            </w:tcBorders>
          </w:tcPr>
          <w:p w14:paraId="59F2BC68" w14:textId="6B2E38C2" w:rsidR="00082A47" w:rsidRPr="00082A47" w:rsidRDefault="00082A47" w:rsidP="00082A47">
            <w:pPr>
              <w:tabs>
                <w:tab w:val="clear" w:pos="1247"/>
                <w:tab w:val="clear" w:pos="1814"/>
                <w:tab w:val="clear" w:pos="2381"/>
                <w:tab w:val="clear" w:pos="2948"/>
                <w:tab w:val="clear" w:pos="3515"/>
              </w:tabs>
              <w:spacing w:before="120"/>
              <w:rPr>
                <w:rFonts w:cs="Simplified Arabic" w:hint="default"/>
                <w:szCs w:val="20"/>
                <w:lang w:val="en-US"/>
              </w:rPr>
            </w:pPr>
            <w:r w:rsidRPr="00082A47">
              <w:rPr>
                <w:rFonts w:cs="Simplified Arabic" w:hint="default"/>
                <w:szCs w:val="20"/>
                <w:lang w:val="en-US"/>
              </w:rPr>
              <w:t xml:space="preserve">Distr.: </w:t>
            </w:r>
            <w:r w:rsidR="00066A8E">
              <w:rPr>
                <w:rFonts w:hint="default"/>
                <w:lang w:eastAsia="zh-CN"/>
              </w:rPr>
              <w:t>General</w:t>
            </w:r>
          </w:p>
          <w:p w14:paraId="5032CB34" w14:textId="190F5ED4" w:rsidR="00082A47" w:rsidRPr="00082A47" w:rsidRDefault="00172F60" w:rsidP="00066A8E">
            <w:pPr>
              <w:tabs>
                <w:tab w:val="clear" w:pos="1247"/>
                <w:tab w:val="clear" w:pos="1814"/>
                <w:tab w:val="clear" w:pos="2381"/>
                <w:tab w:val="clear" w:pos="2948"/>
                <w:tab w:val="clear" w:pos="3515"/>
              </w:tabs>
              <w:spacing w:after="120"/>
              <w:rPr>
                <w:rFonts w:cs="Simplified Arabic" w:hint="default"/>
                <w:szCs w:val="20"/>
                <w:lang w:val="en-US"/>
              </w:rPr>
            </w:pPr>
            <w:r>
              <w:rPr>
                <w:rFonts w:cs="Simplified Arabic" w:hint="default"/>
                <w:szCs w:val="20"/>
                <w:lang w:val="en-US"/>
              </w:rPr>
              <w:t>4</w:t>
            </w:r>
            <w:r w:rsidR="00082A47" w:rsidRPr="00082A47">
              <w:rPr>
                <w:rFonts w:cs="Simplified Arabic" w:hint="default"/>
                <w:szCs w:val="20"/>
                <w:lang w:val="en-US"/>
              </w:rPr>
              <w:t xml:space="preserve"> </w:t>
            </w:r>
            <w:r w:rsidR="005F3FA5">
              <w:rPr>
                <w:rFonts w:cs="Simplified Arabic" w:hint="default"/>
                <w:szCs w:val="20"/>
                <w:lang w:val="en-US"/>
              </w:rPr>
              <w:t>December</w:t>
            </w:r>
            <w:r w:rsidR="00082A47" w:rsidRPr="00082A47">
              <w:rPr>
                <w:rFonts w:cs="Simplified Arabic" w:hint="default"/>
                <w:szCs w:val="20"/>
                <w:lang w:val="en-US"/>
              </w:rPr>
              <w:t xml:space="preserve"> 2017</w:t>
            </w:r>
          </w:p>
          <w:p w14:paraId="47AA7989" w14:textId="77777777" w:rsidR="00082A47" w:rsidRPr="00082A47" w:rsidRDefault="00082A47" w:rsidP="00082A47">
            <w:pPr>
              <w:tabs>
                <w:tab w:val="clear" w:pos="1247"/>
                <w:tab w:val="clear" w:pos="1814"/>
                <w:tab w:val="clear" w:pos="2381"/>
                <w:tab w:val="clear" w:pos="2948"/>
                <w:tab w:val="clear" w:pos="3515"/>
              </w:tabs>
              <w:spacing w:before="120"/>
              <w:rPr>
                <w:rFonts w:cs="Simplified Arabic" w:hint="default"/>
                <w:szCs w:val="20"/>
                <w:lang w:val="en-US"/>
              </w:rPr>
            </w:pPr>
            <w:r w:rsidRPr="00082A47">
              <w:rPr>
                <w:rFonts w:cs="Simplified Arabic" w:hint="default"/>
                <w:szCs w:val="20"/>
                <w:lang w:val="en-US"/>
              </w:rPr>
              <w:t>Arabic</w:t>
            </w:r>
          </w:p>
          <w:p w14:paraId="720548F8" w14:textId="77777777" w:rsidR="00082A47" w:rsidRPr="00082A47" w:rsidRDefault="00082A47" w:rsidP="00082A47">
            <w:pPr>
              <w:tabs>
                <w:tab w:val="clear" w:pos="1247"/>
                <w:tab w:val="clear" w:pos="1814"/>
                <w:tab w:val="clear" w:pos="2381"/>
                <w:tab w:val="clear" w:pos="2948"/>
                <w:tab w:val="clear" w:pos="3515"/>
              </w:tabs>
              <w:spacing w:after="120"/>
              <w:rPr>
                <w:rFonts w:cs="Simplified Arabic" w:hint="default"/>
                <w:sz w:val="22"/>
                <w:szCs w:val="28"/>
                <w:lang w:val="en-US"/>
              </w:rPr>
            </w:pPr>
            <w:r w:rsidRPr="00082A47">
              <w:rPr>
                <w:rFonts w:cs="Simplified Arabic" w:hint="default"/>
                <w:szCs w:val="20"/>
                <w:lang w:val="en-US"/>
              </w:rPr>
              <w:t>Original: English</w:t>
            </w:r>
          </w:p>
        </w:tc>
      </w:tr>
    </w:tbl>
    <w:p w14:paraId="114B7143" w14:textId="77777777" w:rsidR="00082A47" w:rsidRPr="00082A47" w:rsidRDefault="00082A47" w:rsidP="004579FA">
      <w:pPr>
        <w:tabs>
          <w:tab w:val="clear" w:pos="1247"/>
          <w:tab w:val="clear" w:pos="1814"/>
          <w:tab w:val="clear" w:pos="2381"/>
          <w:tab w:val="clear" w:pos="2948"/>
          <w:tab w:val="clear" w:pos="3515"/>
        </w:tabs>
        <w:bidi/>
        <w:spacing w:before="40" w:line="340" w:lineRule="exact"/>
        <w:ind w:left="140" w:right="5954"/>
        <w:jc w:val="both"/>
        <w:rPr>
          <w:rFonts w:ascii="Times New Roman Bold" w:hAnsi="Times New Roman Bold" w:hint="default"/>
          <w:b/>
          <w:bCs/>
          <w:w w:val="97"/>
          <w:sz w:val="28"/>
          <w:szCs w:val="28"/>
          <w:rtl/>
          <w:lang w:val="en-US"/>
        </w:rPr>
      </w:pPr>
      <w:r w:rsidRPr="00082A47">
        <w:rPr>
          <w:rFonts w:ascii="Times New Roman Bold" w:hAnsi="Times New Roman Bold" w:hint="default"/>
          <w:b/>
          <w:bCs/>
          <w:w w:val="97"/>
          <w:sz w:val="28"/>
          <w:szCs w:val="28"/>
          <w:rtl/>
          <w:lang w:val="en-US"/>
        </w:rPr>
        <w:t>الاجتماع العام للمنبر الحكومي الدولي للعلوم والسياسات في مجال التنوع البيولوجي وخدمات النظم الإيكولوجية</w:t>
      </w:r>
    </w:p>
    <w:p w14:paraId="1644C7BF" w14:textId="302AE490" w:rsidR="00082A47" w:rsidRPr="00082A47" w:rsidRDefault="00082A47" w:rsidP="00082A47">
      <w:pPr>
        <w:tabs>
          <w:tab w:val="clear" w:pos="1247"/>
          <w:tab w:val="clear" w:pos="1814"/>
          <w:tab w:val="clear" w:pos="2381"/>
          <w:tab w:val="clear" w:pos="2948"/>
          <w:tab w:val="clear" w:pos="3515"/>
        </w:tabs>
        <w:bidi/>
        <w:spacing w:line="340" w:lineRule="exact"/>
        <w:ind w:left="140"/>
        <w:jc w:val="both"/>
        <w:rPr>
          <w:rFonts w:ascii="Times New Roman Bold" w:hAnsi="Times New Roman Bold" w:hint="default"/>
          <w:w w:val="97"/>
          <w:sz w:val="28"/>
          <w:szCs w:val="28"/>
          <w:rtl/>
          <w:lang w:val="en-US"/>
        </w:rPr>
      </w:pPr>
      <w:r w:rsidRPr="00082A47">
        <w:rPr>
          <w:rFonts w:ascii="Times New Roman Bold" w:hAnsi="Times New Roman Bold" w:hint="default"/>
          <w:b/>
          <w:bCs/>
          <w:w w:val="97"/>
          <w:sz w:val="28"/>
          <w:szCs w:val="28"/>
          <w:rtl/>
          <w:lang w:val="en-US"/>
        </w:rPr>
        <w:t>الدورة ال</w:t>
      </w:r>
      <w:r w:rsidR="00051300">
        <w:rPr>
          <w:rFonts w:ascii="Times New Roman Bold" w:hAnsi="Times New Roman Bold"/>
          <w:b/>
          <w:bCs/>
          <w:w w:val="97"/>
          <w:sz w:val="28"/>
          <w:szCs w:val="28"/>
          <w:rtl/>
          <w:lang w:val="en-US"/>
        </w:rPr>
        <w:t>ساد</w:t>
      </w:r>
      <w:r w:rsidRPr="00082A47">
        <w:rPr>
          <w:rFonts w:ascii="Times New Roman Bold" w:hAnsi="Times New Roman Bold" w:hint="default"/>
          <w:b/>
          <w:bCs/>
          <w:w w:val="97"/>
          <w:sz w:val="28"/>
          <w:szCs w:val="28"/>
          <w:rtl/>
          <w:lang w:val="en-US"/>
        </w:rPr>
        <w:t>سة</w:t>
      </w:r>
    </w:p>
    <w:p w14:paraId="3990A285" w14:textId="132D0EE7" w:rsidR="007045B8" w:rsidRDefault="00C83CB2" w:rsidP="007045B8">
      <w:pPr>
        <w:bidi/>
        <w:spacing w:line="340" w:lineRule="exact"/>
        <w:ind w:left="142"/>
        <w:jc w:val="both"/>
        <w:rPr>
          <w:rFonts w:hint="default"/>
          <w:sz w:val="28"/>
          <w:rtl/>
        </w:rPr>
      </w:pPr>
      <w:r>
        <w:rPr>
          <w:sz w:val="28"/>
          <w:rtl/>
        </w:rPr>
        <w:t>مديين</w:t>
      </w:r>
      <w:r w:rsidR="007045B8">
        <w:rPr>
          <w:sz w:val="28"/>
          <w:rtl/>
        </w:rPr>
        <w:t>، كولومبيا، 1</w:t>
      </w:r>
      <w:r w:rsidR="009C5957">
        <w:rPr>
          <w:sz w:val="28"/>
          <w:rtl/>
        </w:rPr>
        <w:t>8</w:t>
      </w:r>
      <w:r w:rsidR="007045B8">
        <w:rPr>
          <w:sz w:val="28"/>
          <w:rtl/>
        </w:rPr>
        <w:t>-24 آذار/مارس 2018</w:t>
      </w:r>
    </w:p>
    <w:p w14:paraId="22B3EC05" w14:textId="7F5589B0" w:rsidR="007045B8" w:rsidRPr="007045B8" w:rsidRDefault="007045B8" w:rsidP="007045B8">
      <w:pPr>
        <w:tabs>
          <w:tab w:val="clear" w:pos="1247"/>
          <w:tab w:val="clear" w:pos="1814"/>
          <w:tab w:val="clear" w:pos="2381"/>
          <w:tab w:val="clear" w:pos="2948"/>
          <w:tab w:val="clear" w:pos="3515"/>
        </w:tabs>
        <w:bidi/>
        <w:spacing w:line="340" w:lineRule="exact"/>
        <w:ind w:left="142"/>
        <w:jc w:val="both"/>
        <w:rPr>
          <w:rFonts w:ascii="Times New Roman Bold" w:hAnsi="Times New Roman Bold" w:hint="default"/>
          <w:b/>
          <w:bCs/>
          <w:w w:val="97"/>
          <w:sz w:val="28"/>
          <w:szCs w:val="28"/>
        </w:rPr>
      </w:pPr>
      <w:r>
        <w:rPr>
          <w:sz w:val="28"/>
          <w:rtl/>
        </w:rPr>
        <w:t xml:space="preserve">البند </w:t>
      </w:r>
      <w:r w:rsidR="00051300">
        <w:rPr>
          <w:sz w:val="28"/>
          <w:rtl/>
        </w:rPr>
        <w:t>8</w:t>
      </w:r>
      <w:r w:rsidR="002C1220">
        <w:rPr>
          <w:sz w:val="28"/>
          <w:rtl/>
        </w:rPr>
        <w:t xml:space="preserve"> </w:t>
      </w:r>
      <w:r>
        <w:rPr>
          <w:sz w:val="28"/>
          <w:rtl/>
        </w:rPr>
        <w:t>جدول الأعمال المؤقت</w:t>
      </w:r>
      <w:r w:rsidRPr="007045B8">
        <w:rPr>
          <w:rStyle w:val="FootnoteReference"/>
          <w:rFonts w:hint="default"/>
          <w:b/>
          <w:bCs/>
          <w:w w:val="97"/>
          <w:sz w:val="32"/>
          <w:szCs w:val="32"/>
        </w:rPr>
        <w:footnoteReference w:id="2"/>
      </w:r>
    </w:p>
    <w:p w14:paraId="17C953B2" w14:textId="435BEBF8" w:rsidR="007045B8" w:rsidRPr="002C1220" w:rsidRDefault="002C1220" w:rsidP="00A2088A">
      <w:pPr>
        <w:tabs>
          <w:tab w:val="clear" w:pos="1247"/>
          <w:tab w:val="clear" w:pos="1814"/>
          <w:tab w:val="clear" w:pos="2381"/>
          <w:tab w:val="clear" w:pos="2948"/>
          <w:tab w:val="clear" w:pos="3515"/>
        </w:tabs>
        <w:bidi/>
        <w:spacing w:after="240" w:line="320" w:lineRule="exact"/>
        <w:ind w:left="142" w:right="5812"/>
        <w:jc w:val="both"/>
        <w:rPr>
          <w:rFonts w:ascii="Times New Roman Bold" w:hAnsi="Times New Roman Bold" w:hint="default"/>
          <w:b/>
          <w:bCs/>
          <w:w w:val="97"/>
          <w:sz w:val="28"/>
          <w:szCs w:val="28"/>
          <w:lang w:val="en-US"/>
        </w:rPr>
      </w:pPr>
      <w:r w:rsidRPr="002C1220">
        <w:rPr>
          <w:b/>
          <w:bCs/>
          <w:sz w:val="28"/>
          <w:szCs w:val="28"/>
          <w:rtl/>
        </w:rPr>
        <w:t>التقييمات العالقة: التقييم المواضيعي للاستخدام المستدام للأنواع البرية؛ التقييم المنهجي المتعلق بالمفاهيم المتنوعة للقيم المتعددة للطبيعة ومنافعها؛ التقييم المواضيعي للأنواع الغريبة الغازية</w:t>
      </w:r>
    </w:p>
    <w:p w14:paraId="186B3333" w14:textId="77777777" w:rsidR="002C1220" w:rsidRPr="00212545" w:rsidRDefault="002C1220" w:rsidP="00197345">
      <w:pPr>
        <w:tabs>
          <w:tab w:val="left" w:pos="1841"/>
        </w:tabs>
        <w:bidi/>
        <w:spacing w:after="180" w:line="400" w:lineRule="exact"/>
        <w:ind w:left="1134"/>
        <w:jc w:val="both"/>
        <w:rPr>
          <w:rFonts w:hint="default"/>
          <w:b/>
          <w:bCs/>
          <w:sz w:val="34"/>
          <w:szCs w:val="34"/>
        </w:rPr>
      </w:pPr>
      <w:r w:rsidRPr="00212545">
        <w:rPr>
          <w:b/>
          <w:bCs/>
          <w:sz w:val="34"/>
          <w:szCs w:val="34"/>
          <w:rtl/>
        </w:rPr>
        <w:t>التقييمات العالقة: التقييم المواضيعي للاستخدام المستدام للأنواع البرية؛ والتقييم المنهجي المتعلق بالمفاهيم المتنوعة للقيم المتعددة للطبيعة ومنافعها؛ والتقييم المواضيعي للأنواع الغريبة الغازية</w:t>
      </w:r>
    </w:p>
    <w:p w14:paraId="6397F6AE" w14:textId="77777777" w:rsidR="002C1220" w:rsidRPr="00212545" w:rsidRDefault="002C1220" w:rsidP="00212545">
      <w:pPr>
        <w:tabs>
          <w:tab w:val="left" w:pos="1841"/>
        </w:tabs>
        <w:bidi/>
        <w:spacing w:after="120" w:line="400" w:lineRule="exact"/>
        <w:ind w:left="1134"/>
        <w:rPr>
          <w:rFonts w:hint="default"/>
          <w:b/>
          <w:bCs/>
          <w:sz w:val="32"/>
          <w:szCs w:val="32"/>
          <w:rtl/>
        </w:rPr>
      </w:pPr>
      <w:r w:rsidRPr="00212545">
        <w:rPr>
          <w:b/>
          <w:bCs/>
          <w:sz w:val="32"/>
          <w:szCs w:val="32"/>
          <w:rtl/>
        </w:rPr>
        <w:t>مذكرة من الأمانة</w:t>
      </w:r>
    </w:p>
    <w:p w14:paraId="57DF522B" w14:textId="77777777" w:rsidR="002C1220" w:rsidRPr="00212545" w:rsidRDefault="002C1220" w:rsidP="002C1220">
      <w:pPr>
        <w:tabs>
          <w:tab w:val="left" w:pos="1841"/>
        </w:tabs>
        <w:bidi/>
        <w:spacing w:after="120" w:line="400" w:lineRule="exact"/>
        <w:ind w:left="1134"/>
        <w:rPr>
          <w:rFonts w:hint="default"/>
          <w:sz w:val="32"/>
          <w:szCs w:val="32"/>
          <w:rtl/>
        </w:rPr>
      </w:pPr>
      <w:r w:rsidRPr="00212545">
        <w:rPr>
          <w:b/>
          <w:bCs/>
          <w:sz w:val="32"/>
          <w:szCs w:val="32"/>
          <w:rtl/>
        </w:rPr>
        <w:t>مقدمة</w:t>
      </w:r>
    </w:p>
    <w:p w14:paraId="2D60171C" w14:textId="4FB247AD"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1 -</w:t>
      </w:r>
      <w:r w:rsidRPr="002C1220">
        <w:rPr>
          <w:rtl/>
        </w:rPr>
        <w:tab/>
        <w:t>في المقرر م ح د -4/1 وافق الاجتماع العام للمنبر الحكومي الدولي للعلوم والسياسات في مجال التنوع البيولوجي وخدمات النظم الإيكولوجية على تقرير تحديد النطاق للناتج ٣ (ب) ’</w:t>
      </w:r>
      <w:r w:rsidR="00291F7C" w:rsidRPr="002C1220">
        <w:rPr>
          <w:rtl/>
        </w:rPr>
        <w:t>٢‘</w:t>
      </w:r>
      <w:r w:rsidR="00291F7C">
        <w:rPr>
          <w:rtl/>
        </w:rPr>
        <w:t xml:space="preserve"> </w:t>
      </w:r>
      <w:r w:rsidR="00291F7C" w:rsidRPr="002C1220">
        <w:rPr>
          <w:rtl/>
        </w:rPr>
        <w:t>للتقييم</w:t>
      </w:r>
      <w:r w:rsidRPr="002C1220">
        <w:rPr>
          <w:rtl/>
        </w:rPr>
        <w:t xml:space="preserve"> المواضيعي للأنواع الغريبة الغازية ومراقبتها (المستنسخ في وثيقة المعلومات الأساسية </w:t>
      </w:r>
      <w:r w:rsidRPr="002C1220">
        <w:t>IPBES/6/INF/10</w:t>
      </w:r>
      <w:r w:rsidRPr="002C1220">
        <w:rPr>
          <w:rtl/>
        </w:rPr>
        <w:t xml:space="preserve">)، إلى جانب التقرير المنقح لتحديد النطاق للناتج ٣ (د) للتقييم المنهجي المتعلق بالمفاهيم المتنوعة للقيم المتعددة للطبيعة ومنافعها للناس (المستنسخ في وثيقة المعلومات الأساسية </w:t>
      </w:r>
      <w:r w:rsidRPr="002C1220">
        <w:t>IPBES/6/INF/9</w:t>
      </w:r>
      <w:r w:rsidRPr="002C1220">
        <w:rPr>
          <w:rtl/>
        </w:rPr>
        <w:t>).</w:t>
      </w:r>
    </w:p>
    <w:p w14:paraId="5A635EB1" w14:textId="76F59879"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2 -</w:t>
      </w:r>
      <w:r w:rsidRPr="002C1220">
        <w:rPr>
          <w:rtl/>
        </w:rPr>
        <w:tab/>
        <w:t xml:space="preserve">وفي المقرر م ح د-٥/١، وافق الاجتماع العام على تقرير تحديد النطاق للناتج ٣ (ب) ’٣‘ للتقييم المواضيعي للاستخدام المستدام للأنواع البرية (المستنسخ في وثيقة المعلومات الأساسية </w:t>
      </w:r>
      <w:r w:rsidRPr="002C1220">
        <w:t>IPBES/6/INF/</w:t>
      </w:r>
      <w:r w:rsidR="00C83CB2">
        <w:rPr>
          <w:rFonts w:hint="default"/>
        </w:rPr>
        <w:t>8</w:t>
      </w:r>
      <w:r w:rsidRPr="002C1220">
        <w:rPr>
          <w:rtl/>
        </w:rPr>
        <w:t>). وفي المقرر نفسه طلب الاجتماع العام إلى فريق الخبراء المتعدد التخصصات أن يقيم، بالتشاور مع المكتب، الحاجة إلى إدخال أية تغييرات على وثائق تحديد النطاق التي سبق إقرارها، استناداً إلى النتائج العلمية الرئيسية للتقييمات الأخرى التي يجريها المنبر الحكومي الدولي وأن يقدم تقريراً إلى الاجتماع العام في حال كانت هناك حاجة لإدخال أي تعديلات كبيرة.</w:t>
      </w:r>
      <w:bookmarkStart w:id="1" w:name="_Hlk499657637"/>
      <w:bookmarkEnd w:id="1"/>
    </w:p>
    <w:p w14:paraId="31349E1E" w14:textId="2D98A846"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lastRenderedPageBreak/>
        <w:t>3 -</w:t>
      </w:r>
      <w:r w:rsidRPr="002C1220">
        <w:rPr>
          <w:rtl/>
        </w:rPr>
        <w:tab/>
        <w:t>وبالإضافة إلى ذلك، ففي الفقرة 5 من المقرر م ح د-٥/٦، بشأن الترتيبات المالية والترتيبات المتعلقة بالميزانية، قرر الاجتماع العام أن ينظر في دورته السادسة، رهناً بتوافر الأموال الكافية، في التقييمات المذكورة في الفقرتين 1 و2 أعلاه، والمشار إليهما في هذه الوثيقة كتقييمات عالقة.</w:t>
      </w:r>
    </w:p>
    <w:p w14:paraId="4AA2BB5E"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4 -</w:t>
      </w:r>
      <w:r w:rsidRPr="002C1220">
        <w:rPr>
          <w:rtl/>
        </w:rPr>
        <w:tab/>
        <w:t>ووفقاً لهذه المقررات، يتضمن الفرع الرئيسي الأول والفرع الثانوي ألف من هذه المذكرة الاقتراحات التي قدمها فريق الخبراء المتعدد التخصصات والمكتب بشأن الحاجة إلى إدخال أي تغييرات على وثيقة تحديد النطاق التي اعتمدت بالفعل للتقييمات الثلاثة العالقة، استناداً إلى النتائج العلمية الرئيسية المستمدة من التقييمات الأخرى للمنبر الحكومي الدولي. ويقترح الفرع الثانوي باء عدداً من التعديلات على الأسلوب المنهجي المعروض في التقارير الثلاثة لتحديد النطاق، مع التكاليف التي تترتب على ذلك بالنسبة لكل تقييم. ويتضمن مرفق هذه المذكرة تنقيحاً للتكلفة الإجمالية المقترحة لكل تقييم من التقييمات الثلاثة العالقة.</w:t>
      </w:r>
    </w:p>
    <w:p w14:paraId="5FFAD026" w14:textId="0CA0159A"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5 -</w:t>
      </w:r>
      <w:r w:rsidRPr="002C1220">
        <w:rPr>
          <w:rtl/>
        </w:rPr>
        <w:tab/>
        <w:t>وترد في الفرع الثاني اقتراحات إضافية قدمها</w:t>
      </w:r>
      <w:r w:rsidR="00051300">
        <w:rPr>
          <w:rtl/>
        </w:rPr>
        <w:t xml:space="preserve"> </w:t>
      </w:r>
      <w:r w:rsidRPr="002C1220">
        <w:rPr>
          <w:rtl/>
        </w:rPr>
        <w:t>فريق الخبراء المتعدد التخصصات والمكتب، فيما يتعلق بإمكانية وضع تسلسل لبدء التقييمات الثلاثة العالقة.</w:t>
      </w:r>
    </w:p>
    <w:p w14:paraId="34103B31"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6 -</w:t>
      </w:r>
      <w:r w:rsidRPr="002C1220">
        <w:rPr>
          <w:rtl/>
        </w:rPr>
        <w:tab/>
        <w:t>ويقترح الفرع الثالث الإجراءات التي قد يرغب الاجتماع العام في اتخاذها.</w:t>
      </w:r>
    </w:p>
    <w:p w14:paraId="6DBB842A" w14:textId="5DF047C2" w:rsidR="002C1220" w:rsidRPr="00212545" w:rsidRDefault="002C1220" w:rsidP="00197345">
      <w:pPr>
        <w:tabs>
          <w:tab w:val="clear" w:pos="1247"/>
          <w:tab w:val="clear" w:pos="1814"/>
          <w:tab w:val="clear" w:pos="2381"/>
          <w:tab w:val="clear" w:pos="2948"/>
          <w:tab w:val="clear" w:pos="3515"/>
        </w:tabs>
        <w:bidi/>
        <w:spacing w:after="120" w:line="400" w:lineRule="exact"/>
        <w:ind w:left="1134" w:hanging="852"/>
        <w:jc w:val="both"/>
        <w:rPr>
          <w:rFonts w:hint="default"/>
          <w:b/>
          <w:bCs/>
          <w:sz w:val="32"/>
          <w:szCs w:val="32"/>
          <w:rtl/>
        </w:rPr>
      </w:pPr>
      <w:r w:rsidRPr="00212545">
        <w:rPr>
          <w:b/>
          <w:bCs/>
          <w:sz w:val="32"/>
          <w:szCs w:val="32"/>
          <w:rtl/>
        </w:rPr>
        <w:t>أولاً</w:t>
      </w:r>
      <w:r w:rsidR="00197345">
        <w:rPr>
          <w:b/>
          <w:bCs/>
          <w:sz w:val="32"/>
          <w:szCs w:val="32"/>
          <w:rtl/>
        </w:rPr>
        <w:t xml:space="preserve"> </w:t>
      </w:r>
      <w:r w:rsidRPr="00212545">
        <w:rPr>
          <w:b/>
          <w:bCs/>
          <w:sz w:val="32"/>
          <w:szCs w:val="32"/>
          <w:rtl/>
        </w:rPr>
        <w:t>-</w:t>
      </w:r>
      <w:r w:rsidRPr="00212545">
        <w:rPr>
          <w:b/>
          <w:bCs/>
          <w:sz w:val="32"/>
          <w:szCs w:val="32"/>
          <w:rtl/>
        </w:rPr>
        <w:tab/>
        <w:t>تقارير تحديد النطاق</w:t>
      </w:r>
    </w:p>
    <w:p w14:paraId="4DCA3665"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7 -</w:t>
      </w:r>
      <w:r w:rsidRPr="002C1220">
        <w:rPr>
          <w:rtl/>
        </w:rPr>
        <w:tab/>
        <w:t>استجابة لطلب من الاجتماع العام من أجل تقييم الحاجة إلى إدخال أي تغييرات على التقارير الثلاثة لتحديد النطاق، أصدر فريق الخبراء المتعدد التخصصات والمكتب في اجتماعهما العاشر المنعقد في تشرين الأول/أكتوبر ٢٠١٧، التوصيات التالية التي ترد في الفرعين الثانويين ألف وباء أدناه.</w:t>
      </w:r>
    </w:p>
    <w:p w14:paraId="61959356" w14:textId="426A31E1" w:rsidR="002C1220" w:rsidRPr="00212545" w:rsidRDefault="002C1220" w:rsidP="00197345">
      <w:pPr>
        <w:tabs>
          <w:tab w:val="clear" w:pos="1247"/>
          <w:tab w:val="clear" w:pos="1814"/>
          <w:tab w:val="clear" w:pos="2381"/>
          <w:tab w:val="clear" w:pos="2948"/>
          <w:tab w:val="clear" w:pos="3515"/>
        </w:tabs>
        <w:bidi/>
        <w:spacing w:after="120" w:line="400" w:lineRule="exact"/>
        <w:ind w:left="1134" w:hanging="852"/>
        <w:jc w:val="both"/>
        <w:rPr>
          <w:rFonts w:hint="default"/>
          <w:b/>
          <w:bCs/>
          <w:sz w:val="30"/>
          <w:rtl/>
        </w:rPr>
      </w:pPr>
      <w:r w:rsidRPr="00212545">
        <w:rPr>
          <w:b/>
          <w:bCs/>
          <w:sz w:val="30"/>
          <w:rtl/>
        </w:rPr>
        <w:t>ألف</w:t>
      </w:r>
      <w:r w:rsidR="00197345">
        <w:rPr>
          <w:b/>
          <w:bCs/>
          <w:sz w:val="30"/>
          <w:rtl/>
        </w:rPr>
        <w:t xml:space="preserve"> </w:t>
      </w:r>
      <w:r w:rsidRPr="00212545">
        <w:rPr>
          <w:b/>
          <w:bCs/>
          <w:sz w:val="30"/>
          <w:rtl/>
        </w:rPr>
        <w:t>-</w:t>
      </w:r>
      <w:r w:rsidRPr="00212545">
        <w:rPr>
          <w:b/>
          <w:bCs/>
          <w:sz w:val="30"/>
          <w:rtl/>
        </w:rPr>
        <w:tab/>
        <w:t>النطاق العام</w:t>
      </w:r>
    </w:p>
    <w:p w14:paraId="4242317E"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8 -</w:t>
      </w:r>
      <w:r w:rsidRPr="002C1220">
        <w:rPr>
          <w:rtl/>
        </w:rPr>
        <w:tab/>
        <w:t>فيما يتعلق بالنطاق العام للتقييمات الثلاثة العالقة خلص فريق الخبراء المتعدد التخصصات إلى أنه لا حاجة لإدخال أي تعديلات في ضوء النتائج العلمية الرئيسية المستمدة من التقييمات الأخرى للمنبر الحكومي الدولي.</w:t>
      </w:r>
    </w:p>
    <w:p w14:paraId="00719428" w14:textId="1858F907" w:rsidR="002C1220" w:rsidRPr="00212545" w:rsidRDefault="002C1220" w:rsidP="00197345">
      <w:pPr>
        <w:tabs>
          <w:tab w:val="clear" w:pos="1247"/>
          <w:tab w:val="clear" w:pos="1814"/>
          <w:tab w:val="clear" w:pos="2381"/>
          <w:tab w:val="clear" w:pos="2948"/>
          <w:tab w:val="clear" w:pos="3515"/>
        </w:tabs>
        <w:bidi/>
        <w:spacing w:after="120" w:line="400" w:lineRule="exact"/>
        <w:ind w:left="1134" w:hanging="852"/>
        <w:jc w:val="both"/>
        <w:rPr>
          <w:rFonts w:hint="default"/>
          <w:b/>
          <w:bCs/>
          <w:sz w:val="30"/>
          <w:rtl/>
        </w:rPr>
      </w:pPr>
      <w:r w:rsidRPr="00212545">
        <w:rPr>
          <w:b/>
          <w:bCs/>
          <w:sz w:val="30"/>
          <w:rtl/>
        </w:rPr>
        <w:t>باء</w:t>
      </w:r>
      <w:r w:rsidR="00197345">
        <w:rPr>
          <w:b/>
          <w:bCs/>
          <w:sz w:val="30"/>
          <w:rtl/>
        </w:rPr>
        <w:t xml:space="preserve"> </w:t>
      </w:r>
      <w:r w:rsidRPr="00212545">
        <w:rPr>
          <w:b/>
          <w:bCs/>
          <w:sz w:val="30"/>
          <w:rtl/>
        </w:rPr>
        <w:t>-</w:t>
      </w:r>
      <w:r w:rsidRPr="00212545">
        <w:rPr>
          <w:b/>
          <w:bCs/>
          <w:sz w:val="30"/>
          <w:rtl/>
        </w:rPr>
        <w:tab/>
        <w:t>الأسلوب المنهجي وتقديرات التكلفة</w:t>
      </w:r>
    </w:p>
    <w:p w14:paraId="204D6CCB"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9 -</w:t>
      </w:r>
      <w:r w:rsidRPr="002C1220">
        <w:rPr>
          <w:rtl/>
        </w:rPr>
        <w:tab/>
        <w:t xml:space="preserve">استناداً إلى الدروس المستفادة من التقييمات الجارية والمنجزة على حد سواء، وكذلك إلى نتائج الاستعراض الداخلي للمنبر (على النحو المبين في وثيقة المعلومات الأساسية </w:t>
      </w:r>
      <w:r w:rsidRPr="002C1220">
        <w:t>IPBES/6/INF/32</w:t>
      </w:r>
      <w:r w:rsidRPr="002C1220">
        <w:rPr>
          <w:rtl/>
        </w:rPr>
        <w:t>)، يقترح فريق الخبراء المتعدد التخصصات والمكتب إدخال التغييرات التالية على الأسلوب المنهجي المعروض في تقارير تحديد النطاق، الأمر الذي سيرفع إجمالي تكلفة كل تقييم من ٠٠٠ ٩٩٧ دولار إلى ٠٠٠ ٤٤٥ ١ دولار:</w:t>
      </w:r>
    </w:p>
    <w:p w14:paraId="7C6ED964"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(أ)</w:t>
      </w:r>
      <w:r w:rsidRPr="002C1220">
        <w:rPr>
          <w:rtl/>
        </w:rPr>
        <w:tab/>
        <w:t>زيادة عدد المؤلفين الرئيسيين لكل فصل من ستة إلى ثمانية، وبذلك يصل مجموع عدد الخبراء إلى 12 خبيراً لكل فصل، يشملون 8 مؤلفين رئيسيين، واثنين من المؤلفين الرئيسيين المعنيين بالتنسيق واثنين من محرري الاستعراض. ويظل دون تغيير عدد المؤلفين الرئيسيين المعنيين بالتنسيق ومحرري الاستعراض لكل فصل. وستتيح هذه الزيادة تنوعاً كافياً للخبرات والآراء في كل فصل، وتقاسماً أفضل لعبء العمل بين الخبراء. وسيخصص عدد مماثل من الخبراء للتقييم المتعلق بتدهور الأراضي واستصلاحها؛</w:t>
      </w:r>
    </w:p>
    <w:p w14:paraId="4396CCCF" w14:textId="1A3EE1C0" w:rsidR="002C1220" w:rsidRPr="002C1220" w:rsidRDefault="002C1220" w:rsidP="00A2088A">
      <w:pPr>
        <w:tabs>
          <w:tab w:val="clear" w:pos="1247"/>
          <w:tab w:val="clear" w:pos="1814"/>
          <w:tab w:val="clear" w:pos="2381"/>
          <w:tab w:val="clear" w:pos="2948"/>
          <w:tab w:val="clear" w:pos="3515"/>
          <w:tab w:val="left" w:pos="2550"/>
        </w:tabs>
        <w:bidi/>
        <w:spacing w:line="360" w:lineRule="exact"/>
        <w:ind w:left="1134" w:firstLine="709"/>
        <w:jc w:val="both"/>
        <w:rPr>
          <w:rFonts w:hint="default"/>
          <w:rtl/>
        </w:rPr>
      </w:pPr>
      <w:r w:rsidRPr="002C1220">
        <w:rPr>
          <w:rtl/>
        </w:rPr>
        <w:t>(ب)</w:t>
      </w:r>
      <w:r w:rsidRPr="002C1220">
        <w:rPr>
          <w:rtl/>
        </w:rPr>
        <w:tab/>
        <w:t>إتاحة انعقاد ثلاثة اجتماعات شاملة للمؤلفين يحضرها المؤلفون الرئيسيون بدلاً من عقد اجتماعين فقط من هذه الاجتماعات: يعتبر هذا معياراً رئيسياً للنجاح من أجل كفالة الإدماج والمشاركة الكاملين للمؤلفين الرئيسين خلال هذه العملية التي تستغرق ثلاث سنوات؛</w:t>
      </w:r>
    </w:p>
    <w:p w14:paraId="0B3C083B" w14:textId="0DA601ED" w:rsidR="002C1220" w:rsidRPr="002C1220" w:rsidRDefault="002C1220" w:rsidP="00051300">
      <w:pPr>
        <w:tabs>
          <w:tab w:val="clear" w:pos="1247"/>
          <w:tab w:val="clear" w:pos="1814"/>
          <w:tab w:val="clear" w:pos="2381"/>
          <w:tab w:val="clear" w:pos="2948"/>
          <w:tab w:val="clear" w:pos="3515"/>
          <w:tab w:val="left" w:pos="2550"/>
        </w:tabs>
        <w:bidi/>
        <w:spacing w:after="120" w:line="400" w:lineRule="exact"/>
        <w:ind w:left="1134" w:firstLine="709"/>
        <w:jc w:val="both"/>
        <w:rPr>
          <w:rFonts w:hint="default"/>
          <w:rtl/>
        </w:rPr>
      </w:pPr>
      <w:r w:rsidRPr="002C1220">
        <w:rPr>
          <w:rtl/>
        </w:rPr>
        <w:lastRenderedPageBreak/>
        <w:t>(ج)</w:t>
      </w:r>
      <w:r w:rsidRPr="002C1220">
        <w:rPr>
          <w:rtl/>
        </w:rPr>
        <w:tab/>
        <w:t>زيادة حجم وحدات الدعم التقني بحيث تشمل ما لا يقل عن موظفين اثنين للشؤون التقنية والبرنامجية، إلى جانب موظف إداري واحد بنصف دوام، بدلاً من موظف تقني واحد على النحو المقترح من قبل. وبناء على الدروس المستفادة، سيكون هذا ضرورياً للتصدي لعبء العمل الكبير المتعلق بتنسيق إنجاز التقييمات، ويجعل حجم تلك الوحدات مماثلاً لحجم وحدات الدعم التقني للتقييمات الإقليمية للمنبر؛</w:t>
      </w:r>
    </w:p>
    <w:p w14:paraId="1914698C"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(د)</w:t>
      </w:r>
      <w:r w:rsidRPr="002C1220">
        <w:rPr>
          <w:rtl/>
        </w:rPr>
        <w:tab/>
        <w:t>زيادة الميزانية المخصصة لتصميم تقارير التقييم وطباعتها والتوعية بها ونشرها، استناداً إلى تكاليف الاتصال لأغراض التقييمات الإقليمية الأربعة وتقييم تدهور الأراضي واستصلاحها.</w:t>
      </w:r>
    </w:p>
    <w:p w14:paraId="3F21D67C"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10 -</w:t>
      </w:r>
      <w:r w:rsidRPr="002C1220">
        <w:rPr>
          <w:rtl/>
        </w:rPr>
        <w:tab/>
        <w:t>وتُعرض في مرفق هذه المذكرة ميزانية عامة تنطبق على كل تقييم من التقييمات الثلاثة العالقة. وتستند الميزانية العامة إلى الاعتبارات المذكورة أعلاه، على النحو التالي:</w:t>
      </w:r>
    </w:p>
    <w:p w14:paraId="102E167C"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(أ)</w:t>
      </w:r>
      <w:r w:rsidRPr="002C1220">
        <w:rPr>
          <w:rtl/>
        </w:rPr>
        <w:tab/>
        <w:t>سيُجرى كل تقييم على مدى ثلاث سنوات؛</w:t>
      </w:r>
    </w:p>
    <w:p w14:paraId="532158CE"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(ب)</w:t>
      </w:r>
      <w:r w:rsidRPr="002C1220">
        <w:rPr>
          <w:rtl/>
        </w:rPr>
        <w:tab/>
        <w:t>سيشتمل كل تقييم على ثلاثة اجتماعات شاملة بالكامل للمؤلفين ويحضر المؤلفون الرئيسيون كل اجتماع من تلك الاجتماعات؛</w:t>
      </w:r>
    </w:p>
    <w:p w14:paraId="4158B4CC"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(ج)</w:t>
      </w:r>
      <w:r w:rsidRPr="002C1220">
        <w:rPr>
          <w:rtl/>
        </w:rPr>
        <w:tab/>
        <w:t>سيشمل كل تقييم ما مجموعه 74 خبيراً (رئيسان مشاركان، و12 مؤلفاً رئيسياً معنياً بالتنسيق، و48 مؤلفاً رئيسياً، و12 من محرري الاستعراض) أو نحو 10 خبراء لكل فصل، وسيدعم الصندوق الاستئماني تكلفة 75 في المائة منهم؛</w:t>
      </w:r>
    </w:p>
    <w:p w14:paraId="031CC769" w14:textId="77777777" w:rsidR="002C1220" w:rsidRPr="002C1220" w:rsidRDefault="002C1220" w:rsidP="00051300">
      <w:pPr>
        <w:tabs>
          <w:tab w:val="clear" w:pos="1247"/>
          <w:tab w:val="clear" w:pos="1814"/>
          <w:tab w:val="clear" w:pos="2381"/>
          <w:tab w:val="clear" w:pos="2948"/>
          <w:tab w:val="clear" w:pos="3515"/>
          <w:tab w:val="left" w:pos="2550"/>
        </w:tabs>
        <w:bidi/>
        <w:spacing w:after="120" w:line="400" w:lineRule="exact"/>
        <w:ind w:left="1134" w:firstLine="709"/>
        <w:jc w:val="both"/>
        <w:rPr>
          <w:rFonts w:hint="default"/>
          <w:rtl/>
        </w:rPr>
      </w:pPr>
      <w:r w:rsidRPr="002C1220">
        <w:rPr>
          <w:rtl/>
        </w:rPr>
        <w:t>(د)</w:t>
      </w:r>
      <w:r w:rsidRPr="002C1220">
        <w:rPr>
          <w:rtl/>
        </w:rPr>
        <w:tab/>
        <w:t>وستخصص لكل تقييم وحدة دعم تقني مؤلفة من موظفين للشؤون التقنية والبرنامجية وموظف إداري واحد بنصف دوام، وتُغطى نسبة 50 في المائة من هذا الدعم من الصندوق الاستئماني، وسيقابل ذلك مبلغ مماثل تقدمه مؤسسة مضيفة كدعم عيني للمنبر؛</w:t>
      </w:r>
    </w:p>
    <w:p w14:paraId="021ABDB2"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(ه)</w:t>
      </w:r>
      <w:r w:rsidRPr="002C1220">
        <w:rPr>
          <w:rtl/>
        </w:rPr>
        <w:tab/>
        <w:t>وسيكون لكل تقييم ميزانية للاتصال تغطي أنشطة التصميم والطباعة والتوعية والنشر المتعلقة بتقارير التقييم.</w:t>
      </w:r>
    </w:p>
    <w:p w14:paraId="56EC1222" w14:textId="5B44D453" w:rsidR="002C1220" w:rsidRPr="00212545" w:rsidRDefault="002C1220" w:rsidP="00197345">
      <w:pPr>
        <w:tabs>
          <w:tab w:val="clear" w:pos="1247"/>
          <w:tab w:val="clear" w:pos="1814"/>
          <w:tab w:val="clear" w:pos="2381"/>
          <w:tab w:val="clear" w:pos="2948"/>
          <w:tab w:val="clear" w:pos="3515"/>
        </w:tabs>
        <w:bidi/>
        <w:spacing w:after="120" w:line="400" w:lineRule="exact"/>
        <w:ind w:left="1134" w:hanging="852"/>
        <w:jc w:val="both"/>
        <w:rPr>
          <w:rFonts w:hint="default"/>
          <w:b/>
          <w:bCs/>
          <w:sz w:val="32"/>
          <w:szCs w:val="32"/>
          <w:rtl/>
        </w:rPr>
      </w:pPr>
      <w:r w:rsidRPr="00212545">
        <w:rPr>
          <w:b/>
          <w:bCs/>
          <w:sz w:val="32"/>
          <w:szCs w:val="32"/>
          <w:rtl/>
        </w:rPr>
        <w:t>ثانياً -</w:t>
      </w:r>
      <w:r w:rsidRPr="00212545">
        <w:rPr>
          <w:b/>
          <w:bCs/>
          <w:sz w:val="32"/>
          <w:szCs w:val="32"/>
          <w:rtl/>
        </w:rPr>
        <w:tab/>
        <w:t>تسلسل البدء</w:t>
      </w:r>
    </w:p>
    <w:p w14:paraId="3980833B"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11 -</w:t>
      </w:r>
      <w:r w:rsidRPr="002C1220">
        <w:rPr>
          <w:rtl/>
        </w:rPr>
        <w:tab/>
        <w:t xml:space="preserve">وبالإضافة إلى ذلك يقترح فريق الخبراء المتعدد التخصصات والمكتب أن الاجتماع العام قد يود، إذا قرر بدء إجراء التقييمات الثلاثة العالقة، أن يبدأها بالتدريج حسب الترتيب التالي: بدء تقييمين في الدورة السادسة للاجتماع العام في العام ٢٠١٨، وتقييم واحد في الدورة السابعة في العام ٢٠١٩. ويقدم هذا الاقتراح من أجل تجنب إجراء أكثر من ثلاثة تقييمات على التوازي، مع مراعاة استنتاجات الاستعراض الداخلي </w:t>
      </w:r>
      <w:r w:rsidRPr="00197345">
        <w:rPr>
          <w:rFonts w:asciiTheme="majorBidi" w:hAnsiTheme="majorBidi" w:cstheme="majorBidi" w:hint="default"/>
          <w:szCs w:val="20"/>
          <w:rtl/>
        </w:rPr>
        <w:t>(</w:t>
      </w:r>
      <w:r w:rsidRPr="00197345">
        <w:rPr>
          <w:rFonts w:asciiTheme="majorBidi" w:hAnsiTheme="majorBidi" w:cstheme="majorBidi" w:hint="default"/>
          <w:szCs w:val="20"/>
        </w:rPr>
        <w:t>IPBES/6/INF/32</w:t>
      </w:r>
      <w:r w:rsidRPr="00197345">
        <w:rPr>
          <w:rFonts w:asciiTheme="majorBidi" w:hAnsiTheme="majorBidi" w:cstheme="majorBidi" w:hint="default"/>
          <w:szCs w:val="20"/>
          <w:rtl/>
        </w:rPr>
        <w:t>)</w:t>
      </w:r>
      <w:r w:rsidRPr="002C1220">
        <w:rPr>
          <w:rtl/>
        </w:rPr>
        <w:t>، وبالنظر إلى تقديم التقييم العالمي إلى الاجتماع العام في دورته السابعة.</w:t>
      </w:r>
    </w:p>
    <w:p w14:paraId="12373B50" w14:textId="002DA2CB" w:rsidR="002C1220" w:rsidRPr="00212545" w:rsidRDefault="002C1220" w:rsidP="00197345">
      <w:pPr>
        <w:tabs>
          <w:tab w:val="clear" w:pos="1247"/>
          <w:tab w:val="clear" w:pos="1814"/>
          <w:tab w:val="clear" w:pos="2381"/>
          <w:tab w:val="clear" w:pos="2948"/>
          <w:tab w:val="clear" w:pos="3515"/>
        </w:tabs>
        <w:bidi/>
        <w:spacing w:after="120" w:line="400" w:lineRule="exact"/>
        <w:ind w:left="1134" w:hanging="852"/>
        <w:jc w:val="both"/>
        <w:rPr>
          <w:rFonts w:hint="default"/>
          <w:b/>
          <w:bCs/>
          <w:sz w:val="32"/>
          <w:szCs w:val="32"/>
          <w:rtl/>
        </w:rPr>
      </w:pPr>
      <w:r w:rsidRPr="00212545">
        <w:rPr>
          <w:b/>
          <w:bCs/>
          <w:sz w:val="32"/>
          <w:szCs w:val="32"/>
          <w:rtl/>
        </w:rPr>
        <w:t>ثالثاً -</w:t>
      </w:r>
      <w:r w:rsidRPr="00212545">
        <w:rPr>
          <w:b/>
          <w:bCs/>
          <w:sz w:val="32"/>
          <w:szCs w:val="32"/>
          <w:rtl/>
        </w:rPr>
        <w:tab/>
        <w:t xml:space="preserve">الإجراء </w:t>
      </w:r>
      <w:r w:rsidR="00C83CB2">
        <w:rPr>
          <w:b/>
          <w:bCs/>
          <w:sz w:val="32"/>
          <w:szCs w:val="32"/>
          <w:rtl/>
        </w:rPr>
        <w:t>الذي</w:t>
      </w:r>
      <w:r w:rsidR="00C83CB2" w:rsidRPr="00212545">
        <w:rPr>
          <w:b/>
          <w:bCs/>
          <w:sz w:val="32"/>
          <w:szCs w:val="32"/>
          <w:rtl/>
        </w:rPr>
        <w:t xml:space="preserve"> </w:t>
      </w:r>
      <w:r w:rsidRPr="00212545">
        <w:rPr>
          <w:b/>
          <w:bCs/>
          <w:sz w:val="32"/>
          <w:szCs w:val="32"/>
          <w:rtl/>
        </w:rPr>
        <w:t>يُقتَرح أن يتخذه الاجتماع العام</w:t>
      </w:r>
    </w:p>
    <w:p w14:paraId="6BEB2D79" w14:textId="77777777" w:rsidR="002C1220" w:rsidRPr="002C1220" w:rsidRDefault="002C1220" w:rsidP="00212545">
      <w:pPr>
        <w:tabs>
          <w:tab w:val="clear" w:pos="1247"/>
          <w:tab w:val="clear" w:pos="1814"/>
          <w:tab w:val="clear" w:pos="2381"/>
          <w:tab w:val="clear" w:pos="2948"/>
          <w:tab w:val="clear" w:pos="3515"/>
          <w:tab w:val="left" w:pos="1842"/>
        </w:tabs>
        <w:bidi/>
        <w:spacing w:after="120" w:line="400" w:lineRule="exact"/>
        <w:ind w:left="1134"/>
        <w:jc w:val="both"/>
        <w:rPr>
          <w:rFonts w:hint="default"/>
          <w:rtl/>
        </w:rPr>
      </w:pPr>
      <w:r w:rsidRPr="002C1220">
        <w:rPr>
          <w:rtl/>
        </w:rPr>
        <w:t>12 -</w:t>
      </w:r>
      <w:r w:rsidRPr="002C1220">
        <w:rPr>
          <w:rtl/>
        </w:rPr>
        <w:tab/>
        <w:t>قد يود الاجتماع العام أن ينظر في الاقتراحات التي قدمها فريق الخبراء المتعدد التخصصات والمكتب:</w:t>
      </w:r>
    </w:p>
    <w:p w14:paraId="383C6AC0"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(أ)</w:t>
      </w:r>
      <w:r w:rsidRPr="002C1220">
        <w:rPr>
          <w:rtl/>
        </w:rPr>
        <w:tab/>
        <w:t>عدم تعديل نطاق التقييمات الثلاثة العالقة؛</w:t>
      </w:r>
    </w:p>
    <w:p w14:paraId="00D821E5" w14:textId="77777777" w:rsidR="002C1220" w:rsidRPr="002C1220" w:rsidRDefault="002C1220" w:rsidP="00212545">
      <w:pPr>
        <w:tabs>
          <w:tab w:val="clear" w:pos="1247"/>
          <w:tab w:val="clear" w:pos="1814"/>
          <w:tab w:val="clear" w:pos="2381"/>
          <w:tab w:val="clear" w:pos="2948"/>
          <w:tab w:val="clear" w:pos="3515"/>
          <w:tab w:val="left" w:pos="2550"/>
        </w:tabs>
        <w:bidi/>
        <w:spacing w:after="120" w:line="400" w:lineRule="exact"/>
        <w:ind w:left="1134" w:firstLine="708"/>
        <w:jc w:val="both"/>
        <w:rPr>
          <w:rFonts w:hint="default"/>
          <w:rtl/>
        </w:rPr>
      </w:pPr>
      <w:r w:rsidRPr="002C1220">
        <w:rPr>
          <w:rtl/>
        </w:rPr>
        <w:t>(ب)</w:t>
      </w:r>
      <w:r w:rsidRPr="002C1220">
        <w:rPr>
          <w:rtl/>
        </w:rPr>
        <w:tab/>
        <w:t>تنقيح تكلفة كل تقييم من التقييمات العالقة، في سياق المناقشة المتعلقة بالميزانية في إطار البند ٩ من جدول أعمال الدورة الحالية للاجتماع العام؛</w:t>
      </w:r>
    </w:p>
    <w:p w14:paraId="0DD98024" w14:textId="77777777" w:rsidR="00A2088A" w:rsidRDefault="002C1220" w:rsidP="00A2088A">
      <w:pPr>
        <w:tabs>
          <w:tab w:val="clear" w:pos="1247"/>
          <w:tab w:val="clear" w:pos="1814"/>
          <w:tab w:val="clear" w:pos="2381"/>
          <w:tab w:val="clear" w:pos="2948"/>
          <w:tab w:val="clear" w:pos="3515"/>
          <w:tab w:val="left" w:pos="2550"/>
        </w:tabs>
        <w:bidi/>
        <w:spacing w:line="400" w:lineRule="exact"/>
        <w:ind w:left="1134" w:firstLine="709"/>
        <w:jc w:val="both"/>
        <w:rPr>
          <w:rFonts w:hint="default"/>
          <w:rtl/>
        </w:rPr>
      </w:pPr>
      <w:r w:rsidRPr="002C1220">
        <w:rPr>
          <w:rtl/>
        </w:rPr>
        <w:t>(ج)</w:t>
      </w:r>
      <w:r w:rsidRPr="002C1220">
        <w:rPr>
          <w:rtl/>
        </w:rPr>
        <w:tab/>
        <w:t>النظر في البدء التدريجي للتقييمات الثلاثة المعلقة، والبدء بتقييمين في العام 2018، يليهما تقييم واحد في العام 2019.</w:t>
      </w:r>
    </w:p>
    <w:p w14:paraId="054A27FA" w14:textId="388D120F" w:rsidR="002C1220" w:rsidRPr="00197345" w:rsidRDefault="002C1220" w:rsidP="00A2088A">
      <w:pPr>
        <w:tabs>
          <w:tab w:val="clear" w:pos="1247"/>
          <w:tab w:val="clear" w:pos="1814"/>
          <w:tab w:val="clear" w:pos="2381"/>
          <w:tab w:val="clear" w:pos="2948"/>
          <w:tab w:val="clear" w:pos="3515"/>
        </w:tabs>
        <w:bidi/>
        <w:spacing w:after="240" w:line="400" w:lineRule="exact"/>
        <w:jc w:val="both"/>
        <w:textDirection w:val="tbRlV"/>
        <w:rPr>
          <w:rFonts w:hint="default"/>
          <w:b/>
          <w:bCs/>
          <w:sz w:val="34"/>
          <w:szCs w:val="34"/>
          <w:rtl/>
        </w:rPr>
      </w:pPr>
      <w:r w:rsidRPr="00197345">
        <w:rPr>
          <w:b/>
          <w:bCs/>
          <w:sz w:val="34"/>
          <w:szCs w:val="34"/>
          <w:rtl/>
        </w:rPr>
        <w:lastRenderedPageBreak/>
        <w:t>المرفق</w:t>
      </w:r>
      <w:bookmarkStart w:id="2" w:name="_Hlk499716434"/>
    </w:p>
    <w:p w14:paraId="08EC6569" w14:textId="1E9B928C" w:rsidR="002C1220" w:rsidRPr="00212545" w:rsidRDefault="002C1220" w:rsidP="001B3ADA">
      <w:pPr>
        <w:tabs>
          <w:tab w:val="clear" w:pos="1247"/>
          <w:tab w:val="clear" w:pos="1814"/>
          <w:tab w:val="clear" w:pos="2381"/>
          <w:tab w:val="clear" w:pos="2948"/>
          <w:tab w:val="clear" w:pos="3515"/>
        </w:tabs>
        <w:bidi/>
        <w:spacing w:after="60" w:line="400" w:lineRule="exact"/>
        <w:ind w:left="849"/>
        <w:jc w:val="both"/>
        <w:textDirection w:val="tbRlV"/>
        <w:rPr>
          <w:rFonts w:hint="default"/>
          <w:b/>
          <w:bCs/>
          <w:sz w:val="32"/>
          <w:szCs w:val="32"/>
          <w:rtl/>
        </w:rPr>
      </w:pPr>
      <w:r w:rsidRPr="00212545">
        <w:rPr>
          <w:b/>
          <w:bCs/>
          <w:sz w:val="32"/>
          <w:szCs w:val="32"/>
          <w:rtl/>
        </w:rPr>
        <w:t>التكلفة التقديرية لإجراء تقييم</w:t>
      </w:r>
    </w:p>
    <w:tbl>
      <w:tblPr>
        <w:bidiVisual/>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tblCellMar>
        <w:tblLook w:val="04A0" w:firstRow="1" w:lastRow="0" w:firstColumn="1" w:lastColumn="0" w:noHBand="0" w:noVBand="1"/>
      </w:tblPr>
      <w:tblGrid>
        <w:gridCol w:w="857"/>
        <w:gridCol w:w="3119"/>
        <w:gridCol w:w="3685"/>
        <w:gridCol w:w="2123"/>
      </w:tblGrid>
      <w:tr w:rsidR="00197345" w:rsidRPr="001B3ADA" w14:paraId="4254ED40" w14:textId="77777777" w:rsidTr="001B3ADA">
        <w:trPr>
          <w:tblHeader/>
        </w:trPr>
        <w:tc>
          <w:tcPr>
            <w:tcW w:w="857" w:type="dxa"/>
            <w:tcBorders>
              <w:bottom w:val="single" w:sz="4" w:space="0" w:color="auto"/>
            </w:tcBorders>
            <w:vAlign w:val="center"/>
          </w:tcPr>
          <w:bookmarkEnd w:id="2"/>
          <w:p w14:paraId="35A050FF" w14:textId="0187EB9C" w:rsidR="00197345" w:rsidRPr="001B3ADA" w:rsidRDefault="00051300" w:rsidP="001B3ADA">
            <w:pPr>
              <w:bidi/>
              <w:spacing w:line="360" w:lineRule="exact"/>
              <w:rPr>
                <w:rFonts w:ascii="Traditional Arabic" w:hAnsi="Traditional Arabic" w:hint="default"/>
                <w:b/>
                <w:bCs/>
                <w:i/>
                <w:iCs/>
                <w:sz w:val="30"/>
                <w:rtl/>
              </w:rPr>
            </w:pPr>
            <w:r w:rsidRPr="001B3ADA">
              <w:rPr>
                <w:rFonts w:ascii="Traditional Arabic" w:hAnsi="Traditional Arabic"/>
                <w:b/>
                <w:bCs/>
                <w:i/>
                <w:iCs/>
                <w:sz w:val="30"/>
                <w:rtl/>
              </w:rPr>
              <w:t>السنة</w:t>
            </w:r>
          </w:p>
        </w:tc>
        <w:tc>
          <w:tcPr>
            <w:tcW w:w="3119" w:type="dxa"/>
            <w:shd w:val="clear" w:color="auto" w:fill="auto"/>
            <w:vAlign w:val="center"/>
          </w:tcPr>
          <w:p w14:paraId="0F33900B" w14:textId="29016584" w:rsidR="00197345" w:rsidRPr="001B3ADA" w:rsidRDefault="00197345" w:rsidP="001B3ADA">
            <w:pPr>
              <w:bidi/>
              <w:spacing w:line="360" w:lineRule="exact"/>
              <w:rPr>
                <w:rFonts w:ascii="Traditional Arabic" w:hAnsi="Traditional Arabic" w:hint="default"/>
                <w:b/>
                <w:bCs/>
                <w:i/>
                <w:iCs/>
                <w:sz w:val="30"/>
                <w:rtl/>
              </w:rPr>
            </w:pPr>
            <w:r w:rsidRPr="001B3ADA">
              <w:rPr>
                <w:rFonts w:ascii="Traditional Arabic" w:hAnsi="Traditional Arabic"/>
                <w:b/>
                <w:bCs/>
                <w:i/>
                <w:iCs/>
                <w:sz w:val="30"/>
                <w:rtl/>
              </w:rPr>
              <w:t>بند التكاليف</w:t>
            </w:r>
          </w:p>
        </w:tc>
        <w:tc>
          <w:tcPr>
            <w:tcW w:w="3685" w:type="dxa"/>
            <w:shd w:val="clear" w:color="auto" w:fill="auto"/>
            <w:vAlign w:val="center"/>
          </w:tcPr>
          <w:p w14:paraId="4829A1AE" w14:textId="77777777" w:rsidR="00197345" w:rsidRPr="001B3ADA" w:rsidRDefault="00197345" w:rsidP="001B3ADA">
            <w:pPr>
              <w:bidi/>
              <w:spacing w:line="360" w:lineRule="exact"/>
              <w:jc w:val="center"/>
              <w:rPr>
                <w:rFonts w:ascii="Traditional Arabic" w:hAnsi="Traditional Arabic" w:hint="default"/>
                <w:b/>
                <w:bCs/>
                <w:i/>
                <w:iCs/>
                <w:sz w:val="30"/>
                <w:rtl/>
              </w:rPr>
            </w:pPr>
            <w:r w:rsidRPr="001B3ADA">
              <w:rPr>
                <w:rFonts w:ascii="Traditional Arabic" w:hAnsi="Traditional Arabic"/>
                <w:b/>
                <w:bCs/>
                <w:i/>
                <w:iCs/>
                <w:sz w:val="30"/>
                <w:rtl/>
              </w:rPr>
              <w:t>الافتراضات</w:t>
            </w:r>
          </w:p>
        </w:tc>
        <w:tc>
          <w:tcPr>
            <w:tcW w:w="2123" w:type="dxa"/>
            <w:shd w:val="clear" w:color="auto" w:fill="auto"/>
            <w:vAlign w:val="center"/>
          </w:tcPr>
          <w:p w14:paraId="1EA49600" w14:textId="77777777" w:rsidR="001B3ADA" w:rsidRDefault="00197345" w:rsidP="001B3ADA">
            <w:pPr>
              <w:bidi/>
              <w:spacing w:line="360" w:lineRule="exact"/>
              <w:jc w:val="center"/>
              <w:rPr>
                <w:rFonts w:ascii="Traditional Arabic" w:hAnsi="Traditional Arabic" w:hint="default"/>
                <w:b/>
                <w:bCs/>
                <w:i/>
                <w:iCs/>
                <w:sz w:val="30"/>
                <w:rtl/>
              </w:rPr>
            </w:pPr>
            <w:r w:rsidRPr="001B3ADA">
              <w:rPr>
                <w:rFonts w:ascii="Traditional Arabic" w:hAnsi="Traditional Arabic"/>
                <w:b/>
                <w:bCs/>
                <w:i/>
                <w:iCs/>
                <w:sz w:val="30"/>
                <w:rtl/>
              </w:rPr>
              <w:t>التكاليف المقدرة</w:t>
            </w:r>
          </w:p>
          <w:p w14:paraId="002C6615" w14:textId="218C4E4D" w:rsidR="00197345" w:rsidRPr="001B3ADA" w:rsidRDefault="00197345" w:rsidP="001B3ADA">
            <w:pPr>
              <w:bidi/>
              <w:spacing w:line="360" w:lineRule="exact"/>
              <w:jc w:val="center"/>
              <w:rPr>
                <w:rFonts w:ascii="Traditional Arabic" w:hAnsi="Traditional Arabic" w:hint="default"/>
                <w:b/>
                <w:bCs/>
                <w:i/>
                <w:iCs/>
                <w:sz w:val="30"/>
                <w:rtl/>
              </w:rPr>
            </w:pPr>
            <w:r w:rsidRPr="001B3ADA">
              <w:rPr>
                <w:rFonts w:ascii="Traditional Arabic" w:hAnsi="Traditional Arabic"/>
                <w:b/>
                <w:bCs/>
                <w:i/>
                <w:iCs/>
                <w:sz w:val="30"/>
                <w:rtl/>
              </w:rPr>
              <w:t>(بدولارات الولايات المتحدة)</w:t>
            </w:r>
          </w:p>
        </w:tc>
      </w:tr>
      <w:tr w:rsidR="00903CF3" w:rsidRPr="001B3ADA" w14:paraId="39055243" w14:textId="77777777" w:rsidTr="00CA2D43">
        <w:tc>
          <w:tcPr>
            <w:tcW w:w="857" w:type="dxa"/>
            <w:vMerge w:val="restart"/>
            <w:vAlign w:val="center"/>
          </w:tcPr>
          <w:p w14:paraId="33B07FE3" w14:textId="0AA91899"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السنة 1</w:t>
            </w:r>
          </w:p>
        </w:tc>
        <w:tc>
          <w:tcPr>
            <w:tcW w:w="3119" w:type="dxa"/>
            <w:vMerge w:val="restart"/>
            <w:shd w:val="clear" w:color="auto" w:fill="auto"/>
          </w:tcPr>
          <w:p w14:paraId="5FCFE97E" w14:textId="62500A85"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اجتماع لجنة الإدارة (رئيسان مشاركان، وأعضاء الأمانة، بما في ذلك وحدة الدعم التقني وفريق الخبراء المتعدد التخصصات والمكتب)</w:t>
            </w:r>
          </w:p>
        </w:tc>
        <w:tc>
          <w:tcPr>
            <w:tcW w:w="3685" w:type="dxa"/>
            <w:shd w:val="clear" w:color="auto" w:fill="auto"/>
          </w:tcPr>
          <w:p w14:paraId="463D6EEC"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 xml:space="preserve">تكلفة مكان الاجتماع (نصف أسبوع، لستة مشاركين في بون) </w:t>
            </w:r>
          </w:p>
        </w:tc>
        <w:tc>
          <w:tcPr>
            <w:tcW w:w="2123" w:type="dxa"/>
            <w:shd w:val="clear" w:color="auto" w:fill="auto"/>
          </w:tcPr>
          <w:p w14:paraId="3DD54002" w14:textId="722A308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صفر</w:t>
            </w:r>
          </w:p>
        </w:tc>
      </w:tr>
      <w:tr w:rsidR="00903CF3" w:rsidRPr="001B3ADA" w14:paraId="01FB919B" w14:textId="77777777" w:rsidTr="00CA2D43">
        <w:trPr>
          <w:trHeight w:val="187"/>
        </w:trPr>
        <w:tc>
          <w:tcPr>
            <w:tcW w:w="857" w:type="dxa"/>
            <w:vMerge/>
          </w:tcPr>
          <w:p w14:paraId="11536293" w14:textId="77777777" w:rsidR="00903CF3" w:rsidRPr="001B3ADA" w:rsidRDefault="00903CF3" w:rsidP="001B3ADA">
            <w:pPr>
              <w:bidi/>
              <w:spacing w:line="360" w:lineRule="exact"/>
              <w:rPr>
                <w:rFonts w:ascii="Traditional Arabic" w:hAnsi="Traditional Arabic" w:hint="default"/>
                <w:sz w:val="30"/>
              </w:rPr>
            </w:pPr>
          </w:p>
        </w:tc>
        <w:tc>
          <w:tcPr>
            <w:tcW w:w="3119" w:type="dxa"/>
            <w:vMerge/>
            <w:shd w:val="clear" w:color="auto" w:fill="auto"/>
          </w:tcPr>
          <w:p w14:paraId="3670095A" w14:textId="1526ECB4" w:rsidR="00903CF3" w:rsidRPr="001B3ADA" w:rsidRDefault="00903CF3" w:rsidP="001B3ADA">
            <w:pPr>
              <w:bidi/>
              <w:spacing w:line="360" w:lineRule="exact"/>
              <w:rPr>
                <w:rFonts w:ascii="Traditional Arabic" w:hAnsi="Traditional Arabic" w:hint="default"/>
                <w:sz w:val="30"/>
              </w:rPr>
            </w:pPr>
          </w:p>
        </w:tc>
        <w:tc>
          <w:tcPr>
            <w:tcW w:w="3685" w:type="dxa"/>
            <w:shd w:val="clear" w:color="auto" w:fill="auto"/>
          </w:tcPr>
          <w:p w14:paraId="03239D7D" w14:textId="0E432078"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السفر وبدل المعيشة اليومي لأربعة مشاركين يتلقون الدعم (4×750 3 دولاراً)</w:t>
            </w:r>
          </w:p>
        </w:tc>
        <w:tc>
          <w:tcPr>
            <w:tcW w:w="2123" w:type="dxa"/>
            <w:shd w:val="clear" w:color="auto" w:fill="auto"/>
          </w:tcPr>
          <w:p w14:paraId="085D6515"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٠٠٠ ١٥</w:t>
            </w:r>
          </w:p>
        </w:tc>
      </w:tr>
      <w:tr w:rsidR="00903CF3" w:rsidRPr="001B3ADA" w14:paraId="4C3ABBAD" w14:textId="77777777" w:rsidTr="00CA2D43">
        <w:trPr>
          <w:trHeight w:val="420"/>
        </w:trPr>
        <w:tc>
          <w:tcPr>
            <w:tcW w:w="857" w:type="dxa"/>
            <w:vMerge/>
          </w:tcPr>
          <w:p w14:paraId="69450A5C" w14:textId="77777777" w:rsidR="00903CF3" w:rsidRPr="001B3ADA" w:rsidRDefault="00903CF3" w:rsidP="001B3ADA">
            <w:pPr>
              <w:bidi/>
              <w:spacing w:line="360" w:lineRule="exact"/>
              <w:rPr>
                <w:rFonts w:ascii="Traditional Arabic" w:hAnsi="Traditional Arabic" w:hint="default"/>
                <w:sz w:val="30"/>
                <w:rtl/>
              </w:rPr>
            </w:pPr>
          </w:p>
        </w:tc>
        <w:tc>
          <w:tcPr>
            <w:tcW w:w="3119" w:type="dxa"/>
            <w:vMerge w:val="restart"/>
            <w:shd w:val="clear" w:color="auto" w:fill="auto"/>
          </w:tcPr>
          <w:p w14:paraId="41626474" w14:textId="0D7ACFC0"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الاجتماع الأول للمؤلفين (رئيسان مشاركان، 12 مؤلفاً رئيسياً معنياً بالتنسيق، و48 مؤلفاً رئيسياً، و6 من أعضاء فريق الخبراء المتعدد التخصصات والمكتب)</w:t>
            </w:r>
          </w:p>
        </w:tc>
        <w:tc>
          <w:tcPr>
            <w:tcW w:w="3685" w:type="dxa"/>
            <w:shd w:val="clear" w:color="auto" w:fill="auto"/>
          </w:tcPr>
          <w:p w14:paraId="76B4A09C"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 xml:space="preserve">تكلفة مكان الاجتماع (توازي 75 في المائة، تُستكمل بـ 25 بالمائة عينياً؛ لـ 68 مشاركاً) </w:t>
            </w:r>
          </w:p>
        </w:tc>
        <w:tc>
          <w:tcPr>
            <w:tcW w:w="2123" w:type="dxa"/>
            <w:shd w:val="clear" w:color="auto" w:fill="auto"/>
          </w:tcPr>
          <w:p w14:paraId="0A828526"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٧٥٠ ١٨</w:t>
            </w:r>
          </w:p>
        </w:tc>
      </w:tr>
      <w:tr w:rsidR="00903CF3" w:rsidRPr="001B3ADA" w14:paraId="174666ED" w14:textId="77777777" w:rsidTr="00CA2D43">
        <w:trPr>
          <w:trHeight w:val="129"/>
        </w:trPr>
        <w:tc>
          <w:tcPr>
            <w:tcW w:w="857" w:type="dxa"/>
            <w:vMerge/>
          </w:tcPr>
          <w:p w14:paraId="029792F3" w14:textId="77777777" w:rsidR="00903CF3" w:rsidRPr="001B3ADA" w:rsidRDefault="00903CF3" w:rsidP="001B3ADA">
            <w:pPr>
              <w:bidi/>
              <w:spacing w:line="360" w:lineRule="exact"/>
              <w:rPr>
                <w:rFonts w:ascii="Traditional Arabic" w:hAnsi="Traditional Arabic" w:hint="default"/>
                <w:sz w:val="30"/>
              </w:rPr>
            </w:pPr>
          </w:p>
        </w:tc>
        <w:tc>
          <w:tcPr>
            <w:tcW w:w="3119" w:type="dxa"/>
            <w:vMerge/>
            <w:shd w:val="clear" w:color="auto" w:fill="auto"/>
          </w:tcPr>
          <w:p w14:paraId="74069B88" w14:textId="18AB66E8" w:rsidR="00903CF3" w:rsidRPr="001B3ADA" w:rsidRDefault="00903CF3" w:rsidP="001B3ADA">
            <w:pPr>
              <w:bidi/>
              <w:spacing w:line="360" w:lineRule="exact"/>
              <w:rPr>
                <w:rFonts w:ascii="Traditional Arabic" w:hAnsi="Traditional Arabic" w:hint="default"/>
                <w:sz w:val="30"/>
              </w:rPr>
            </w:pPr>
          </w:p>
        </w:tc>
        <w:tc>
          <w:tcPr>
            <w:tcW w:w="3685" w:type="dxa"/>
            <w:shd w:val="clear" w:color="auto" w:fill="auto"/>
          </w:tcPr>
          <w:p w14:paraId="3C89999B" w14:textId="12636CDD"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السفر وبدل المعيشة اليومي لـ 51 مشاركاً يحصلون على الدعم (51×750 3 دولاراً أمريكياً)</w:t>
            </w:r>
          </w:p>
        </w:tc>
        <w:tc>
          <w:tcPr>
            <w:tcW w:w="2123" w:type="dxa"/>
            <w:shd w:val="clear" w:color="auto" w:fill="auto"/>
          </w:tcPr>
          <w:p w14:paraId="05D6AA0D"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٢٥٠ ١٩١</w:t>
            </w:r>
          </w:p>
        </w:tc>
      </w:tr>
      <w:tr w:rsidR="00903CF3" w:rsidRPr="001B3ADA" w14:paraId="1861ADA4" w14:textId="77777777" w:rsidTr="00CA2D43">
        <w:trPr>
          <w:trHeight w:val="452"/>
        </w:trPr>
        <w:tc>
          <w:tcPr>
            <w:tcW w:w="857" w:type="dxa"/>
            <w:vMerge/>
          </w:tcPr>
          <w:p w14:paraId="22B398F5" w14:textId="77777777" w:rsidR="00903CF3" w:rsidRPr="001B3ADA" w:rsidRDefault="00903CF3" w:rsidP="001B3ADA">
            <w:pPr>
              <w:bidi/>
              <w:spacing w:line="360" w:lineRule="exact"/>
              <w:rPr>
                <w:rFonts w:ascii="Traditional Arabic" w:hAnsi="Traditional Arabic" w:hint="default"/>
                <w:sz w:val="30"/>
                <w:rtl/>
              </w:rPr>
            </w:pPr>
          </w:p>
        </w:tc>
        <w:tc>
          <w:tcPr>
            <w:tcW w:w="3119" w:type="dxa"/>
            <w:shd w:val="clear" w:color="auto" w:fill="auto"/>
          </w:tcPr>
          <w:p w14:paraId="0169FBC8" w14:textId="0BED1E64"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وحدة الدعم التقني</w:t>
            </w:r>
          </w:p>
        </w:tc>
        <w:tc>
          <w:tcPr>
            <w:tcW w:w="3685" w:type="dxa"/>
            <w:shd w:val="clear" w:color="auto" w:fill="auto"/>
          </w:tcPr>
          <w:p w14:paraId="59ECC926" w14:textId="5901D843"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تعادل تكاليف وظيفة واحدة مكافئة بدوام كامل لموظف فني ووظيفة بدوام جزئي لمساعد إداري، بما في ذلك السفر والتكاليف العامة (ويقابلها عرض عيني بقيمة مكافئة)</w:t>
            </w:r>
          </w:p>
        </w:tc>
        <w:tc>
          <w:tcPr>
            <w:tcW w:w="2123" w:type="dxa"/>
            <w:shd w:val="clear" w:color="auto" w:fill="auto"/>
          </w:tcPr>
          <w:p w14:paraId="6BEDAF0E"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٠٠٠ ١٥٠</w:t>
            </w:r>
          </w:p>
        </w:tc>
      </w:tr>
      <w:tr w:rsidR="00197345" w:rsidRPr="001B3ADA" w14:paraId="2C6C5933" w14:textId="77777777" w:rsidTr="001B3ADA">
        <w:trPr>
          <w:trHeight w:val="271"/>
        </w:trPr>
        <w:tc>
          <w:tcPr>
            <w:tcW w:w="857" w:type="dxa"/>
            <w:tcBorders>
              <w:bottom w:val="single" w:sz="4" w:space="0" w:color="auto"/>
            </w:tcBorders>
          </w:tcPr>
          <w:p w14:paraId="101FBD5A" w14:textId="77777777" w:rsidR="00197345" w:rsidRPr="001B3ADA" w:rsidRDefault="00197345" w:rsidP="001B3ADA">
            <w:pPr>
              <w:bidi/>
              <w:spacing w:line="360" w:lineRule="exact"/>
              <w:rPr>
                <w:rFonts w:ascii="Traditional Arabic" w:hAnsi="Traditional Arabic" w:hint="default"/>
                <w:sz w:val="30"/>
                <w:rtl/>
              </w:rPr>
            </w:pPr>
          </w:p>
        </w:tc>
        <w:tc>
          <w:tcPr>
            <w:tcW w:w="3119" w:type="dxa"/>
            <w:shd w:val="clear" w:color="auto" w:fill="auto"/>
          </w:tcPr>
          <w:p w14:paraId="54E3C6E1" w14:textId="5EFFA311"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مجموع السنة 1:</w:t>
            </w:r>
          </w:p>
        </w:tc>
        <w:tc>
          <w:tcPr>
            <w:tcW w:w="3685" w:type="dxa"/>
            <w:shd w:val="clear" w:color="auto" w:fill="auto"/>
          </w:tcPr>
          <w:p w14:paraId="41517696" w14:textId="77777777" w:rsidR="00197345" w:rsidRPr="001B3ADA" w:rsidRDefault="00197345" w:rsidP="001B3ADA">
            <w:pPr>
              <w:bidi/>
              <w:spacing w:line="360" w:lineRule="exact"/>
              <w:rPr>
                <w:rFonts w:ascii="Traditional Arabic" w:hAnsi="Traditional Arabic" w:hint="default"/>
                <w:b/>
                <w:bCs/>
                <w:sz w:val="30"/>
              </w:rPr>
            </w:pPr>
          </w:p>
        </w:tc>
        <w:tc>
          <w:tcPr>
            <w:tcW w:w="2123" w:type="dxa"/>
            <w:shd w:val="clear" w:color="auto" w:fill="auto"/>
          </w:tcPr>
          <w:p w14:paraId="6D3F31F4" w14:textId="77777777"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٠٠٠ ٣٧٥</w:t>
            </w:r>
          </w:p>
        </w:tc>
      </w:tr>
      <w:tr w:rsidR="00903CF3" w:rsidRPr="001B3ADA" w14:paraId="3146194B" w14:textId="77777777" w:rsidTr="00903CF3">
        <w:trPr>
          <w:trHeight w:val="516"/>
        </w:trPr>
        <w:tc>
          <w:tcPr>
            <w:tcW w:w="857" w:type="dxa"/>
            <w:vMerge w:val="restart"/>
            <w:vAlign w:val="center"/>
          </w:tcPr>
          <w:p w14:paraId="6F3FB4C5" w14:textId="264C636F"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السنة 2</w:t>
            </w:r>
          </w:p>
        </w:tc>
        <w:tc>
          <w:tcPr>
            <w:tcW w:w="3119" w:type="dxa"/>
            <w:vMerge w:val="restart"/>
            <w:shd w:val="clear" w:color="auto" w:fill="auto"/>
          </w:tcPr>
          <w:p w14:paraId="3F4FEE1E" w14:textId="15F98DF6"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الاجتماع الثاني للمؤلفين (رئيسان مشاركان، 12 مؤلفاً رئيسياً معنياً بالتنسيق، و48 مؤلفاً رئيسياً، و12 من محرري الاستعراض، و6 من أعضاء فريق الخبراء المتعدد التخصصات والمكتب)</w:t>
            </w:r>
          </w:p>
        </w:tc>
        <w:tc>
          <w:tcPr>
            <w:tcW w:w="3685" w:type="dxa"/>
            <w:shd w:val="clear" w:color="auto" w:fill="auto"/>
          </w:tcPr>
          <w:p w14:paraId="786ECE23"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تكلفة مكان الاجتماع (توازي 75 في المائة، تُستكمل بـ 25 بالمائة عينياً؛ لـ 80 مشاركاً)</w:t>
            </w:r>
          </w:p>
        </w:tc>
        <w:tc>
          <w:tcPr>
            <w:tcW w:w="2123" w:type="dxa"/>
            <w:shd w:val="clear" w:color="auto" w:fill="auto"/>
          </w:tcPr>
          <w:p w14:paraId="4DE6FB5E"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٠٠٠ ٢٠</w:t>
            </w:r>
          </w:p>
        </w:tc>
      </w:tr>
      <w:tr w:rsidR="00903CF3" w:rsidRPr="001B3ADA" w14:paraId="48A29457" w14:textId="77777777" w:rsidTr="00167542">
        <w:trPr>
          <w:trHeight w:val="63"/>
        </w:trPr>
        <w:tc>
          <w:tcPr>
            <w:tcW w:w="857" w:type="dxa"/>
            <w:vMerge/>
          </w:tcPr>
          <w:p w14:paraId="729146EF" w14:textId="77777777" w:rsidR="00903CF3" w:rsidRPr="001B3ADA" w:rsidRDefault="00903CF3" w:rsidP="001B3ADA">
            <w:pPr>
              <w:bidi/>
              <w:spacing w:line="360" w:lineRule="exact"/>
              <w:rPr>
                <w:rFonts w:ascii="Traditional Arabic" w:hAnsi="Traditional Arabic" w:hint="default"/>
                <w:sz w:val="30"/>
              </w:rPr>
            </w:pPr>
          </w:p>
        </w:tc>
        <w:tc>
          <w:tcPr>
            <w:tcW w:w="3119" w:type="dxa"/>
            <w:vMerge/>
            <w:shd w:val="clear" w:color="auto" w:fill="auto"/>
          </w:tcPr>
          <w:p w14:paraId="1D9F3AD5" w14:textId="7A06D11D" w:rsidR="00903CF3" w:rsidRPr="001B3ADA" w:rsidRDefault="00903CF3" w:rsidP="001B3ADA">
            <w:pPr>
              <w:bidi/>
              <w:spacing w:line="360" w:lineRule="exact"/>
              <w:rPr>
                <w:rFonts w:ascii="Traditional Arabic" w:hAnsi="Traditional Arabic" w:hint="default"/>
                <w:sz w:val="30"/>
              </w:rPr>
            </w:pPr>
          </w:p>
        </w:tc>
        <w:tc>
          <w:tcPr>
            <w:tcW w:w="3685" w:type="dxa"/>
            <w:shd w:val="clear" w:color="auto" w:fill="auto"/>
          </w:tcPr>
          <w:p w14:paraId="00A0AF23" w14:textId="177EA42D"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السفر وبدل المعيشة اليومي لـ 60 مشاركاً يتلقون الدعم (60×750 3 دولاراً)</w:t>
            </w:r>
          </w:p>
        </w:tc>
        <w:tc>
          <w:tcPr>
            <w:tcW w:w="2123" w:type="dxa"/>
            <w:shd w:val="clear" w:color="auto" w:fill="auto"/>
          </w:tcPr>
          <w:p w14:paraId="2F6B7635"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٠٠٠ ٢٢٥</w:t>
            </w:r>
          </w:p>
        </w:tc>
      </w:tr>
      <w:tr w:rsidR="00903CF3" w:rsidRPr="001B3ADA" w14:paraId="25BEAAA1" w14:textId="77777777" w:rsidTr="00167542">
        <w:trPr>
          <w:trHeight w:val="139"/>
        </w:trPr>
        <w:tc>
          <w:tcPr>
            <w:tcW w:w="857" w:type="dxa"/>
            <w:vMerge/>
            <w:tcBorders>
              <w:bottom w:val="single" w:sz="4" w:space="0" w:color="auto"/>
            </w:tcBorders>
          </w:tcPr>
          <w:p w14:paraId="27CD5577" w14:textId="77777777" w:rsidR="00903CF3" w:rsidRPr="001B3ADA" w:rsidRDefault="00903CF3" w:rsidP="001B3ADA">
            <w:pPr>
              <w:bidi/>
              <w:spacing w:line="360" w:lineRule="exact"/>
              <w:rPr>
                <w:rFonts w:ascii="Traditional Arabic" w:hAnsi="Traditional Arabic" w:hint="default"/>
                <w:sz w:val="30"/>
                <w:rtl/>
              </w:rPr>
            </w:pPr>
          </w:p>
        </w:tc>
        <w:tc>
          <w:tcPr>
            <w:tcW w:w="3119" w:type="dxa"/>
            <w:shd w:val="clear" w:color="auto" w:fill="auto"/>
          </w:tcPr>
          <w:p w14:paraId="44D2B131" w14:textId="4A5B3356"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وحدة الدعم التقني</w:t>
            </w:r>
          </w:p>
        </w:tc>
        <w:tc>
          <w:tcPr>
            <w:tcW w:w="3685" w:type="dxa"/>
            <w:shd w:val="clear" w:color="auto" w:fill="auto"/>
          </w:tcPr>
          <w:p w14:paraId="61E46F0E"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تعادل تكاليف وظيفة واحدة مكافئة بدوام كامل لموظف فني ووطيفة بدوام جزئي لمساعد إداري، بما في ذلك السفر والتكاليف العامة (ويقابلها عرض عيني بقيمة مكافئة)</w:t>
            </w:r>
          </w:p>
        </w:tc>
        <w:tc>
          <w:tcPr>
            <w:tcW w:w="2123" w:type="dxa"/>
            <w:shd w:val="clear" w:color="auto" w:fill="auto"/>
          </w:tcPr>
          <w:p w14:paraId="7AE10661" w14:textId="3C66B62E" w:rsidR="00903CF3" w:rsidRPr="001B3ADA" w:rsidRDefault="00903CF3" w:rsidP="001B3ADA">
            <w:pPr>
              <w:bidi/>
              <w:spacing w:line="360" w:lineRule="exact"/>
              <w:rPr>
                <w:rFonts w:ascii="Traditional Arabic" w:hAnsi="Traditional Arabic" w:hint="default"/>
                <w:sz w:val="30"/>
              </w:rPr>
            </w:pPr>
            <w:r w:rsidRPr="001B3ADA">
              <w:rPr>
                <w:rFonts w:ascii="Traditional Arabic" w:hAnsi="Traditional Arabic"/>
                <w:sz w:val="30"/>
                <w:rtl/>
              </w:rPr>
              <w:t>٠٠٠ ١٥٠</w:t>
            </w:r>
          </w:p>
        </w:tc>
      </w:tr>
      <w:tr w:rsidR="00197345" w:rsidRPr="001B3ADA" w14:paraId="6122139D" w14:textId="77777777" w:rsidTr="001B3ADA">
        <w:trPr>
          <w:cantSplit/>
          <w:trHeight w:val="139"/>
        </w:trPr>
        <w:tc>
          <w:tcPr>
            <w:tcW w:w="857" w:type="dxa"/>
            <w:tcBorders>
              <w:top w:val="single" w:sz="4" w:space="0" w:color="auto"/>
              <w:bottom w:val="single" w:sz="4" w:space="0" w:color="auto"/>
            </w:tcBorders>
          </w:tcPr>
          <w:p w14:paraId="45BD78FF" w14:textId="77777777" w:rsidR="00197345" w:rsidRPr="001B3ADA" w:rsidRDefault="00197345" w:rsidP="001B3ADA">
            <w:pPr>
              <w:bidi/>
              <w:spacing w:line="360" w:lineRule="exact"/>
              <w:rPr>
                <w:rFonts w:ascii="Traditional Arabic" w:hAnsi="Traditional Arabic" w:hint="default"/>
                <w:sz w:val="30"/>
                <w:rtl/>
              </w:rPr>
            </w:pPr>
          </w:p>
        </w:tc>
        <w:tc>
          <w:tcPr>
            <w:tcW w:w="3119" w:type="dxa"/>
            <w:shd w:val="clear" w:color="auto" w:fill="auto"/>
          </w:tcPr>
          <w:p w14:paraId="2F47464B" w14:textId="0B548D4D"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مجموع السنة 2:</w:t>
            </w:r>
          </w:p>
        </w:tc>
        <w:tc>
          <w:tcPr>
            <w:tcW w:w="3685" w:type="dxa"/>
            <w:shd w:val="clear" w:color="auto" w:fill="auto"/>
          </w:tcPr>
          <w:p w14:paraId="5C608622" w14:textId="77777777" w:rsidR="00197345" w:rsidRPr="001B3ADA" w:rsidRDefault="00197345" w:rsidP="001B3ADA">
            <w:pPr>
              <w:bidi/>
              <w:spacing w:line="360" w:lineRule="exact"/>
              <w:rPr>
                <w:rFonts w:ascii="Traditional Arabic" w:hAnsi="Traditional Arabic" w:hint="default"/>
                <w:b/>
                <w:bCs/>
                <w:sz w:val="30"/>
              </w:rPr>
            </w:pPr>
          </w:p>
        </w:tc>
        <w:tc>
          <w:tcPr>
            <w:tcW w:w="2123" w:type="dxa"/>
            <w:shd w:val="clear" w:color="auto" w:fill="auto"/>
          </w:tcPr>
          <w:p w14:paraId="7E06ACDA" w14:textId="77777777"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٠٠٠ ٣٩٥</w:t>
            </w:r>
          </w:p>
        </w:tc>
      </w:tr>
      <w:tr w:rsidR="00903CF3" w:rsidRPr="001B3ADA" w14:paraId="7E41BA79" w14:textId="77777777" w:rsidTr="00903CF3">
        <w:trPr>
          <w:cantSplit/>
        </w:trPr>
        <w:tc>
          <w:tcPr>
            <w:tcW w:w="857" w:type="dxa"/>
            <w:vMerge w:val="restart"/>
            <w:tcBorders>
              <w:top w:val="single" w:sz="4" w:space="0" w:color="auto"/>
            </w:tcBorders>
            <w:vAlign w:val="center"/>
          </w:tcPr>
          <w:p w14:paraId="0DDA8431" w14:textId="11BAB168"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السنة 3</w:t>
            </w:r>
          </w:p>
        </w:tc>
        <w:tc>
          <w:tcPr>
            <w:tcW w:w="3119" w:type="dxa"/>
            <w:vMerge w:val="restart"/>
            <w:shd w:val="clear" w:color="auto" w:fill="auto"/>
          </w:tcPr>
          <w:p w14:paraId="130DF16B" w14:textId="6A27CE9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الاجتماع الثالث للمؤلفين (رئيسان مشاركان، 12 مؤلفاً رئيسياً معنياً بالتنسيق، و48 مؤلفاً رئيسياً، و12 من محرري الاستعراض، و6 من أعضاء فريق الخبراء المتعدد التخصصات والمكتب)</w:t>
            </w:r>
          </w:p>
        </w:tc>
        <w:tc>
          <w:tcPr>
            <w:tcW w:w="3685" w:type="dxa"/>
            <w:shd w:val="clear" w:color="auto" w:fill="auto"/>
          </w:tcPr>
          <w:p w14:paraId="18F35065" w14:textId="2E6DCC65" w:rsidR="00903CF3" w:rsidRPr="001B3ADA" w:rsidRDefault="00903CF3" w:rsidP="001B3ADA">
            <w:pPr>
              <w:bidi/>
              <w:spacing w:line="360" w:lineRule="exact"/>
              <w:rPr>
                <w:rFonts w:ascii="Traditional Arabic" w:hAnsi="Traditional Arabic" w:hint="default"/>
                <w:sz w:val="30"/>
              </w:rPr>
            </w:pPr>
            <w:r w:rsidRPr="001B3ADA">
              <w:rPr>
                <w:rFonts w:ascii="Traditional Arabic" w:hAnsi="Traditional Arabic"/>
                <w:sz w:val="30"/>
                <w:rtl/>
              </w:rPr>
              <w:t>تكلفة مكان الاجتماع (توازي 75 في المائة، تُستكمل بـ 25 بالمائة عينياً؛ لـ 80 مشاركاً)</w:t>
            </w:r>
          </w:p>
        </w:tc>
        <w:tc>
          <w:tcPr>
            <w:tcW w:w="2123" w:type="dxa"/>
            <w:shd w:val="clear" w:color="auto" w:fill="auto"/>
          </w:tcPr>
          <w:p w14:paraId="495FE0D9" w14:textId="03ADAF30"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٠٠٠ ٢٠</w:t>
            </w:r>
          </w:p>
        </w:tc>
      </w:tr>
      <w:tr w:rsidR="00903CF3" w:rsidRPr="001B3ADA" w14:paraId="5BA57362" w14:textId="77777777" w:rsidTr="00332D51">
        <w:trPr>
          <w:cantSplit/>
          <w:trHeight w:val="720"/>
        </w:trPr>
        <w:tc>
          <w:tcPr>
            <w:tcW w:w="857" w:type="dxa"/>
            <w:vMerge/>
          </w:tcPr>
          <w:p w14:paraId="73CAF716" w14:textId="77777777" w:rsidR="00903CF3" w:rsidRPr="001B3ADA" w:rsidRDefault="00903CF3" w:rsidP="001B3ADA">
            <w:pPr>
              <w:bidi/>
              <w:spacing w:line="360" w:lineRule="exact"/>
              <w:rPr>
                <w:rFonts w:ascii="Traditional Arabic" w:hAnsi="Traditional Arabic" w:hint="default"/>
                <w:sz w:val="30"/>
                <w:rtl/>
              </w:rPr>
            </w:pPr>
          </w:p>
        </w:tc>
        <w:tc>
          <w:tcPr>
            <w:tcW w:w="3119" w:type="dxa"/>
            <w:vMerge/>
            <w:tcBorders>
              <w:bottom w:val="single" w:sz="4" w:space="0" w:color="auto"/>
            </w:tcBorders>
            <w:shd w:val="clear" w:color="auto" w:fill="auto"/>
          </w:tcPr>
          <w:p w14:paraId="4C7604F2" w14:textId="77777777" w:rsidR="00903CF3" w:rsidRPr="001B3ADA" w:rsidRDefault="00903CF3" w:rsidP="001B3ADA">
            <w:pPr>
              <w:bidi/>
              <w:spacing w:line="360" w:lineRule="exact"/>
              <w:rPr>
                <w:rFonts w:ascii="Traditional Arabic" w:hAnsi="Traditional Arabic" w:hint="default"/>
                <w:sz w:val="30"/>
                <w:rtl/>
              </w:rPr>
            </w:pPr>
          </w:p>
        </w:tc>
        <w:tc>
          <w:tcPr>
            <w:tcW w:w="3685" w:type="dxa"/>
            <w:tcBorders>
              <w:bottom w:val="single" w:sz="4" w:space="0" w:color="auto"/>
            </w:tcBorders>
            <w:shd w:val="clear" w:color="auto" w:fill="auto"/>
          </w:tcPr>
          <w:p w14:paraId="66A89ECA" w14:textId="0F9B0272" w:rsidR="00903CF3" w:rsidRPr="001B3ADA" w:rsidRDefault="00903CF3" w:rsidP="001B3ADA">
            <w:pPr>
              <w:bidi/>
              <w:spacing w:line="360" w:lineRule="exact"/>
              <w:rPr>
                <w:rFonts w:ascii="Traditional Arabic" w:hAnsi="Traditional Arabic" w:hint="default"/>
                <w:sz w:val="30"/>
              </w:rPr>
            </w:pPr>
            <w:r w:rsidRPr="001B3ADA">
              <w:rPr>
                <w:rFonts w:ascii="Traditional Arabic" w:hAnsi="Traditional Arabic"/>
                <w:sz w:val="30"/>
                <w:rtl/>
              </w:rPr>
              <w:t>السفر وبدل المعيشة اليومي لـ 60 مشاركاً يتلقون الدعم (60×750 3 دولاراً)</w:t>
            </w:r>
          </w:p>
        </w:tc>
        <w:tc>
          <w:tcPr>
            <w:tcW w:w="2123" w:type="dxa"/>
            <w:tcBorders>
              <w:bottom w:val="single" w:sz="4" w:space="0" w:color="auto"/>
            </w:tcBorders>
            <w:shd w:val="clear" w:color="auto" w:fill="auto"/>
          </w:tcPr>
          <w:p w14:paraId="6DE09448" w14:textId="39266C4D"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٠٠٠ ٢٢٥</w:t>
            </w:r>
          </w:p>
        </w:tc>
      </w:tr>
      <w:tr w:rsidR="00903CF3" w:rsidRPr="001B3ADA" w14:paraId="22C44C3F" w14:textId="77777777" w:rsidTr="00332D51">
        <w:trPr>
          <w:trHeight w:val="139"/>
        </w:trPr>
        <w:tc>
          <w:tcPr>
            <w:tcW w:w="857" w:type="dxa"/>
            <w:vMerge/>
          </w:tcPr>
          <w:p w14:paraId="72118EBA" w14:textId="77777777" w:rsidR="00903CF3" w:rsidRPr="001B3ADA" w:rsidRDefault="00903CF3" w:rsidP="001B3ADA">
            <w:pPr>
              <w:bidi/>
              <w:spacing w:line="360" w:lineRule="exact"/>
              <w:rPr>
                <w:rFonts w:ascii="Traditional Arabic" w:hAnsi="Traditional Arabic" w:hint="default"/>
                <w:sz w:val="30"/>
                <w:rtl/>
              </w:rPr>
            </w:pPr>
          </w:p>
        </w:tc>
        <w:tc>
          <w:tcPr>
            <w:tcW w:w="3119" w:type="dxa"/>
            <w:shd w:val="clear" w:color="auto" w:fill="auto"/>
          </w:tcPr>
          <w:p w14:paraId="0D334945" w14:textId="637DF449"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وحدة الدعم التقني (بما في ذلك 3 أشهر بعد إصدار تقرير التقييم في الاجتماع العام)</w:t>
            </w:r>
          </w:p>
        </w:tc>
        <w:tc>
          <w:tcPr>
            <w:tcW w:w="3685" w:type="dxa"/>
            <w:shd w:val="clear" w:color="auto" w:fill="auto"/>
          </w:tcPr>
          <w:p w14:paraId="038E8B46"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تعادل تكاليف وظيفة واحدة مكافئة بدوام كامل لموظف فني ووطيفة بدوام جزئي لمساعد إداري، بما في ذلك السفر والتكاليف العامة (ويقابلها عرض عيني بقيمة مكافئة)</w:t>
            </w:r>
          </w:p>
        </w:tc>
        <w:tc>
          <w:tcPr>
            <w:tcW w:w="2123" w:type="dxa"/>
            <w:shd w:val="clear" w:color="auto" w:fill="auto"/>
          </w:tcPr>
          <w:p w14:paraId="0E81C08B"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٥٠٠ ١٨٧</w:t>
            </w:r>
          </w:p>
        </w:tc>
      </w:tr>
      <w:tr w:rsidR="00903CF3" w:rsidRPr="001B3ADA" w14:paraId="74F05830" w14:textId="77777777" w:rsidTr="00332D51">
        <w:trPr>
          <w:trHeight w:val="139"/>
        </w:trPr>
        <w:tc>
          <w:tcPr>
            <w:tcW w:w="857" w:type="dxa"/>
            <w:vMerge/>
          </w:tcPr>
          <w:p w14:paraId="7D74D005" w14:textId="77777777" w:rsidR="00903CF3" w:rsidRPr="001B3ADA" w:rsidRDefault="00903CF3" w:rsidP="001B3ADA">
            <w:pPr>
              <w:bidi/>
              <w:spacing w:line="360" w:lineRule="exact"/>
              <w:rPr>
                <w:rFonts w:ascii="Traditional Arabic" w:hAnsi="Traditional Arabic" w:hint="default"/>
                <w:sz w:val="30"/>
                <w:rtl/>
              </w:rPr>
            </w:pPr>
          </w:p>
        </w:tc>
        <w:tc>
          <w:tcPr>
            <w:tcW w:w="3119" w:type="dxa"/>
            <w:shd w:val="clear" w:color="auto" w:fill="auto"/>
          </w:tcPr>
          <w:p w14:paraId="28887826" w14:textId="269D593A"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 xml:space="preserve">مشاركة 8 خبراء، بما في ذلك رئيسان مشاركان و6 مؤلفين رئيسيين معنيين بالتنسيق أو مؤلفين رئيسيين في الدورة الثامنة للاجتماع العام </w:t>
            </w:r>
          </w:p>
        </w:tc>
        <w:tc>
          <w:tcPr>
            <w:tcW w:w="3685" w:type="dxa"/>
            <w:shd w:val="clear" w:color="auto" w:fill="auto"/>
          </w:tcPr>
          <w:p w14:paraId="16760706" w14:textId="39F75664"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السفر وبدل المعيشة اليومي لـ 6 مشاركين يتلقون الدعم (6×750 3 دولاراً)</w:t>
            </w:r>
          </w:p>
        </w:tc>
        <w:tc>
          <w:tcPr>
            <w:tcW w:w="2123" w:type="dxa"/>
            <w:shd w:val="clear" w:color="auto" w:fill="auto"/>
          </w:tcPr>
          <w:p w14:paraId="48F83404"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٥٠٠ ٢٢</w:t>
            </w:r>
          </w:p>
        </w:tc>
      </w:tr>
      <w:tr w:rsidR="00903CF3" w:rsidRPr="001B3ADA" w14:paraId="6B559CB8" w14:textId="77777777" w:rsidTr="00332D51">
        <w:trPr>
          <w:trHeight w:val="139"/>
        </w:trPr>
        <w:tc>
          <w:tcPr>
            <w:tcW w:w="857" w:type="dxa"/>
            <w:vMerge/>
          </w:tcPr>
          <w:p w14:paraId="696EAF24" w14:textId="77777777" w:rsidR="00903CF3" w:rsidRPr="001B3ADA" w:rsidRDefault="00903CF3" w:rsidP="001B3ADA">
            <w:pPr>
              <w:bidi/>
              <w:spacing w:line="360" w:lineRule="exact"/>
              <w:rPr>
                <w:rFonts w:ascii="Traditional Arabic" w:hAnsi="Traditional Arabic" w:hint="default"/>
                <w:sz w:val="30"/>
                <w:rtl/>
              </w:rPr>
            </w:pPr>
          </w:p>
        </w:tc>
        <w:tc>
          <w:tcPr>
            <w:tcW w:w="3119" w:type="dxa"/>
            <w:shd w:val="clear" w:color="auto" w:fill="auto"/>
          </w:tcPr>
          <w:p w14:paraId="5A3D6C99" w14:textId="055D5ABD"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التصميم والترتيب والنشر والتوعية</w:t>
            </w:r>
          </w:p>
        </w:tc>
        <w:tc>
          <w:tcPr>
            <w:tcW w:w="3685" w:type="dxa"/>
            <w:shd w:val="clear" w:color="auto" w:fill="auto"/>
          </w:tcPr>
          <w:p w14:paraId="017C0A3E" w14:textId="031FE1C5"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يشمل ذلك الأنشطة التالية: تصميم وترتيب تقرير التقييم بما في ذلك الرسوم البيانية التقنية، وإنتاج الفيلم الترويجي للتوعية وتقديم الدعم للعلاقات العامة، ومناسبات الإصدار وطباعة موجز مقرري السياسات فضلاً عن تقارير التقييم وتوزيعها في مرحلة لاحقة</w:t>
            </w:r>
          </w:p>
        </w:tc>
        <w:tc>
          <w:tcPr>
            <w:tcW w:w="2123" w:type="dxa"/>
            <w:shd w:val="clear" w:color="auto" w:fill="auto"/>
          </w:tcPr>
          <w:p w14:paraId="0EA1AC24" w14:textId="77777777" w:rsidR="00903CF3" w:rsidRPr="001B3ADA" w:rsidRDefault="00903CF3" w:rsidP="001B3ADA">
            <w:pPr>
              <w:bidi/>
              <w:spacing w:line="360" w:lineRule="exact"/>
              <w:rPr>
                <w:rFonts w:ascii="Traditional Arabic" w:hAnsi="Traditional Arabic" w:hint="default"/>
                <w:sz w:val="30"/>
                <w:rtl/>
              </w:rPr>
            </w:pPr>
            <w:r w:rsidRPr="001B3ADA">
              <w:rPr>
                <w:rFonts w:ascii="Traditional Arabic" w:hAnsi="Traditional Arabic"/>
                <w:sz w:val="30"/>
                <w:rtl/>
              </w:rPr>
              <w:t>٠٠٠ ٢٢٠</w:t>
            </w:r>
          </w:p>
        </w:tc>
      </w:tr>
      <w:tr w:rsidR="00197345" w:rsidRPr="001B3ADA" w14:paraId="2D20DCB7" w14:textId="77777777" w:rsidTr="001B3ADA">
        <w:trPr>
          <w:trHeight w:val="350"/>
        </w:trPr>
        <w:tc>
          <w:tcPr>
            <w:tcW w:w="857" w:type="dxa"/>
          </w:tcPr>
          <w:p w14:paraId="3BD0547A" w14:textId="77777777" w:rsidR="00197345" w:rsidRPr="001B3ADA" w:rsidRDefault="00197345" w:rsidP="001B3ADA">
            <w:pPr>
              <w:bidi/>
              <w:spacing w:line="360" w:lineRule="exact"/>
              <w:rPr>
                <w:rFonts w:ascii="Traditional Arabic" w:hAnsi="Traditional Arabic" w:hint="default"/>
                <w:sz w:val="30"/>
                <w:rtl/>
              </w:rPr>
            </w:pPr>
          </w:p>
        </w:tc>
        <w:tc>
          <w:tcPr>
            <w:tcW w:w="3119" w:type="dxa"/>
            <w:shd w:val="clear" w:color="auto" w:fill="auto"/>
          </w:tcPr>
          <w:p w14:paraId="5C5958B5" w14:textId="5641F7E8"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مجموع السنة 3:</w:t>
            </w:r>
          </w:p>
        </w:tc>
        <w:tc>
          <w:tcPr>
            <w:tcW w:w="3685" w:type="dxa"/>
            <w:shd w:val="clear" w:color="auto" w:fill="auto"/>
          </w:tcPr>
          <w:p w14:paraId="6AAD067F" w14:textId="77777777" w:rsidR="00197345" w:rsidRPr="001B3ADA" w:rsidRDefault="00197345" w:rsidP="001B3ADA">
            <w:pPr>
              <w:bidi/>
              <w:spacing w:line="360" w:lineRule="exact"/>
              <w:rPr>
                <w:rFonts w:ascii="Traditional Arabic" w:hAnsi="Traditional Arabic" w:hint="default"/>
                <w:b/>
                <w:bCs/>
                <w:sz w:val="30"/>
              </w:rPr>
            </w:pPr>
          </w:p>
        </w:tc>
        <w:tc>
          <w:tcPr>
            <w:tcW w:w="2123" w:type="dxa"/>
            <w:shd w:val="clear" w:color="auto" w:fill="auto"/>
          </w:tcPr>
          <w:p w14:paraId="0ADF21D0" w14:textId="77777777"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٠٠٠ ٦٧٥</w:t>
            </w:r>
          </w:p>
        </w:tc>
      </w:tr>
      <w:tr w:rsidR="00197345" w:rsidRPr="001B3ADA" w14:paraId="6AC35C6B" w14:textId="77777777" w:rsidTr="001B3ADA">
        <w:trPr>
          <w:trHeight w:val="350"/>
        </w:trPr>
        <w:tc>
          <w:tcPr>
            <w:tcW w:w="857" w:type="dxa"/>
          </w:tcPr>
          <w:p w14:paraId="0249C3FF" w14:textId="77777777" w:rsidR="00197345" w:rsidRPr="001B3ADA" w:rsidRDefault="00197345" w:rsidP="001B3ADA">
            <w:pPr>
              <w:bidi/>
              <w:spacing w:line="360" w:lineRule="exact"/>
              <w:rPr>
                <w:rFonts w:ascii="Traditional Arabic" w:hAnsi="Traditional Arabic" w:hint="default"/>
                <w:sz w:val="30"/>
                <w:rtl/>
              </w:rPr>
            </w:pPr>
          </w:p>
        </w:tc>
        <w:tc>
          <w:tcPr>
            <w:tcW w:w="3119" w:type="dxa"/>
            <w:shd w:val="clear" w:color="auto" w:fill="auto"/>
          </w:tcPr>
          <w:p w14:paraId="45046BBE" w14:textId="424593F4"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المجموع</w:t>
            </w:r>
          </w:p>
        </w:tc>
        <w:tc>
          <w:tcPr>
            <w:tcW w:w="3685" w:type="dxa"/>
            <w:shd w:val="clear" w:color="auto" w:fill="auto"/>
          </w:tcPr>
          <w:p w14:paraId="55A6299F" w14:textId="77777777" w:rsidR="00197345" w:rsidRPr="001B3ADA" w:rsidRDefault="00197345" w:rsidP="001B3ADA">
            <w:pPr>
              <w:bidi/>
              <w:spacing w:line="360" w:lineRule="exact"/>
              <w:rPr>
                <w:rFonts w:ascii="Traditional Arabic" w:hAnsi="Traditional Arabic" w:hint="default"/>
                <w:b/>
                <w:bCs/>
                <w:sz w:val="30"/>
              </w:rPr>
            </w:pPr>
          </w:p>
        </w:tc>
        <w:tc>
          <w:tcPr>
            <w:tcW w:w="2123" w:type="dxa"/>
            <w:shd w:val="clear" w:color="auto" w:fill="auto"/>
          </w:tcPr>
          <w:p w14:paraId="62978B2E" w14:textId="77777777" w:rsidR="00197345" w:rsidRPr="001B3ADA" w:rsidRDefault="00197345" w:rsidP="001B3ADA">
            <w:pPr>
              <w:bidi/>
              <w:spacing w:line="360" w:lineRule="exact"/>
              <w:rPr>
                <w:rFonts w:ascii="Traditional Arabic" w:hAnsi="Traditional Arabic" w:hint="default"/>
                <w:b/>
                <w:bCs/>
                <w:sz w:val="30"/>
                <w:rtl/>
              </w:rPr>
            </w:pPr>
            <w:r w:rsidRPr="001B3ADA">
              <w:rPr>
                <w:rFonts w:ascii="Traditional Arabic" w:hAnsi="Traditional Arabic"/>
                <w:b/>
                <w:bCs/>
                <w:sz w:val="30"/>
                <w:rtl/>
              </w:rPr>
              <w:t>٠٠٠ ٤٤٥ ١</w:t>
            </w:r>
          </w:p>
        </w:tc>
      </w:tr>
    </w:tbl>
    <w:p w14:paraId="1441CFFD" w14:textId="45942D5B" w:rsidR="002C1220" w:rsidRPr="002C1220" w:rsidRDefault="00450B16" w:rsidP="002C1220">
      <w:pPr>
        <w:tabs>
          <w:tab w:val="clear" w:pos="1247"/>
          <w:tab w:val="clear" w:pos="1814"/>
          <w:tab w:val="clear" w:pos="2381"/>
          <w:tab w:val="clear" w:pos="2948"/>
          <w:tab w:val="clear" w:pos="3515"/>
        </w:tabs>
        <w:bidi/>
        <w:spacing w:after="120" w:line="400" w:lineRule="exact"/>
        <w:ind w:left="1134"/>
        <w:jc w:val="center"/>
        <w:rPr>
          <w:rFonts w:hint="default"/>
          <w:rtl/>
          <w:lang w:eastAsia="zh-TW"/>
        </w:rPr>
      </w:pPr>
      <w:r>
        <w:rPr>
          <w:rtl/>
          <w:lang w:val="en-US"/>
        </w:rPr>
        <w:t>____</w:t>
      </w:r>
      <w:r w:rsidR="002C1220">
        <w:rPr>
          <w:rtl/>
          <w:lang w:val="en-US"/>
        </w:rPr>
        <w:t>__________</w:t>
      </w:r>
    </w:p>
    <w:sectPr w:rsidR="002C1220" w:rsidRPr="002C1220" w:rsidSect="004713C4">
      <w:headerReference w:type="even" r:id="rId21"/>
      <w:headerReference w:type="default" r:id="rId22"/>
      <w:footerReference w:type="even" r:id="rId23"/>
      <w:footerReference w:type="default" r:id="rId24"/>
      <w:footerReference w:type="first" r:id="rId25"/>
      <w:footnotePr>
        <w:numFmt w:val="chicago"/>
      </w:footnotePr>
      <w:pgSz w:w="11906" w:h="16838" w:code="9"/>
      <w:pgMar w:top="907" w:right="1418" w:bottom="1418" w:left="992" w:header="539" w:footer="975" w:gutter="0"/>
      <w:cols w:space="539"/>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4589" w14:textId="77777777" w:rsidR="00204B49" w:rsidRDefault="00204B49">
      <w:pPr>
        <w:rPr>
          <w:rFonts w:hint="default"/>
        </w:rPr>
      </w:pPr>
      <w:r>
        <w:separator/>
      </w:r>
    </w:p>
  </w:endnote>
  <w:endnote w:type="continuationSeparator" w:id="0">
    <w:p w14:paraId="4106688F" w14:textId="77777777" w:rsidR="00204B49" w:rsidRDefault="00204B49">
      <w:pPr>
        <w:rPr>
          <w:rFonts w:hint="default"/>
        </w:rPr>
      </w:pPr>
      <w:r>
        <w:continuationSeparator/>
      </w:r>
    </w:p>
  </w:endnote>
  <w:endnote w:type="continuationNotice" w:id="1">
    <w:p w14:paraId="6B6647AB" w14:textId="77777777" w:rsidR="00204B49" w:rsidRDefault="00204B49">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03966308"/>
      <w:docPartObj>
        <w:docPartGallery w:val="Page Numbers (Bottom of Page)"/>
        <w:docPartUnique/>
      </w:docPartObj>
    </w:sdtPr>
    <w:sdtEndPr/>
    <w:sdtContent>
      <w:p w14:paraId="3B59718D" w14:textId="66ACF8EB" w:rsidR="00212545" w:rsidRPr="00DB649F" w:rsidRDefault="00DB649F" w:rsidP="00DB649F">
        <w:pPr>
          <w:pStyle w:val="Footer"/>
          <w:spacing w:after="0"/>
          <w:jc w:val="right"/>
          <w:rPr>
            <w:rFonts w:hint="default"/>
            <w:sz w:val="20"/>
            <w:szCs w:val="20"/>
          </w:rPr>
        </w:pPr>
        <w:r w:rsidRPr="00DB649F">
          <w:rPr>
            <w:sz w:val="20"/>
            <w:szCs w:val="20"/>
          </w:rPr>
          <w:fldChar w:fldCharType="begin"/>
        </w:r>
        <w:r w:rsidRPr="00DB649F">
          <w:rPr>
            <w:sz w:val="20"/>
            <w:szCs w:val="20"/>
          </w:rPr>
          <w:instrText xml:space="preserve"> PAGE   \* MERGEFORMAT </w:instrText>
        </w:r>
        <w:r w:rsidRPr="00DB649F">
          <w:rPr>
            <w:sz w:val="20"/>
            <w:szCs w:val="20"/>
          </w:rPr>
          <w:fldChar w:fldCharType="separate"/>
        </w:r>
        <w:r w:rsidR="00BC64CE">
          <w:rPr>
            <w:rFonts w:hint="default"/>
            <w:noProof/>
            <w:sz w:val="20"/>
            <w:szCs w:val="20"/>
          </w:rPr>
          <w:t>2</w:t>
        </w:r>
        <w:r w:rsidRPr="00DB649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35145320"/>
      <w:docPartObj>
        <w:docPartGallery w:val="Page Numbers (Bottom of Page)"/>
        <w:docPartUnique/>
      </w:docPartObj>
    </w:sdtPr>
    <w:sdtEndPr/>
    <w:sdtContent>
      <w:p w14:paraId="2BFE932B" w14:textId="72AE8608" w:rsidR="005F3FA5" w:rsidRPr="00DB649F" w:rsidRDefault="00DB649F" w:rsidP="00DB649F">
        <w:pPr>
          <w:pStyle w:val="Footer"/>
          <w:tabs>
            <w:tab w:val="clear" w:pos="1247"/>
            <w:tab w:val="clear" w:pos="1814"/>
            <w:tab w:val="clear" w:pos="2381"/>
            <w:tab w:val="clear" w:pos="2948"/>
            <w:tab w:val="clear" w:pos="3515"/>
            <w:tab w:val="clear" w:pos="4320"/>
            <w:tab w:val="clear" w:pos="8640"/>
          </w:tabs>
          <w:spacing w:after="0"/>
          <w:rPr>
            <w:rFonts w:hint="default"/>
            <w:sz w:val="20"/>
            <w:szCs w:val="20"/>
            <w:rtl/>
          </w:rPr>
        </w:pPr>
        <w:r w:rsidRPr="00DB649F">
          <w:rPr>
            <w:sz w:val="20"/>
            <w:szCs w:val="20"/>
          </w:rPr>
          <w:fldChar w:fldCharType="begin"/>
        </w:r>
        <w:r w:rsidRPr="00DB649F">
          <w:rPr>
            <w:sz w:val="20"/>
            <w:szCs w:val="20"/>
          </w:rPr>
          <w:instrText xml:space="preserve"> PAGE   \* MERGEFORMAT </w:instrText>
        </w:r>
        <w:r w:rsidRPr="00DB649F">
          <w:rPr>
            <w:sz w:val="20"/>
            <w:szCs w:val="20"/>
          </w:rPr>
          <w:fldChar w:fldCharType="separate"/>
        </w:r>
        <w:r w:rsidR="00BC64CE">
          <w:rPr>
            <w:rFonts w:hint="default"/>
            <w:noProof/>
            <w:sz w:val="20"/>
            <w:szCs w:val="20"/>
          </w:rPr>
          <w:t>5</w:t>
        </w:r>
        <w:r w:rsidRPr="00DB649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9B792" w14:textId="1223449B" w:rsidR="00204B49" w:rsidRPr="005F3FA5" w:rsidRDefault="005F3FA5" w:rsidP="005F3FA5">
    <w:pPr>
      <w:bidi/>
      <w:rPr>
        <w:rFonts w:hint="default"/>
        <w:szCs w:val="20"/>
        <w:rtl/>
      </w:rPr>
    </w:pPr>
    <w:r w:rsidRPr="00F45D78">
      <w:rPr>
        <w:rFonts w:cs="Times New Roman"/>
        <w:szCs w:val="20"/>
      </w:rPr>
      <w:t>K1</w:t>
    </w:r>
    <w:r>
      <w:rPr>
        <w:rFonts w:cs="Times New Roman"/>
        <w:szCs w:val="20"/>
      </w:rPr>
      <w:t>70</w:t>
    </w:r>
    <w:r w:rsidR="002C1220">
      <w:rPr>
        <w:rFonts w:cs="Times New Roman" w:hint="default"/>
        <w:szCs w:val="20"/>
      </w:rPr>
      <w:t>9127</w:t>
    </w:r>
    <w:r w:rsidRPr="00F45D78">
      <w:rPr>
        <w:rFonts w:cs="Times New Roman"/>
        <w:szCs w:val="20"/>
        <w:rtl/>
      </w:rPr>
      <w:tab/>
    </w:r>
    <w:r w:rsidR="007E128C">
      <w:rPr>
        <w:rFonts w:cs="Times New Roman" w:hint="default"/>
        <w:szCs w:val="20"/>
      </w:rPr>
      <w:t>2</w:t>
    </w:r>
    <w:r w:rsidR="00903CF3">
      <w:rPr>
        <w:rFonts w:cs="Times New Roman" w:hint="default"/>
        <w:szCs w:val="20"/>
      </w:rPr>
      <w:t>4</w:t>
    </w:r>
    <w:r w:rsidR="00C83CB2">
      <w:rPr>
        <w:rFonts w:cs="Times New Roman" w:hint="default"/>
        <w:szCs w:val="20"/>
      </w:rPr>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462C" w14:textId="77777777" w:rsidR="00204B49" w:rsidRDefault="00204B49" w:rsidP="009E268A">
      <w:pPr>
        <w:bidi/>
        <w:ind w:left="624"/>
        <w:rPr>
          <w:rFonts w:hint="default"/>
        </w:rPr>
      </w:pPr>
      <w:r>
        <w:separator/>
      </w:r>
    </w:p>
  </w:footnote>
  <w:footnote w:type="continuationSeparator" w:id="0">
    <w:p w14:paraId="3B36258F" w14:textId="77777777" w:rsidR="00204B49" w:rsidRDefault="00204B49">
      <w:pPr>
        <w:rPr>
          <w:rFonts w:hint="default"/>
        </w:rPr>
      </w:pPr>
      <w:r>
        <w:continuationSeparator/>
      </w:r>
    </w:p>
  </w:footnote>
  <w:footnote w:type="continuationNotice" w:id="1">
    <w:p w14:paraId="1FC34622" w14:textId="77777777" w:rsidR="00204B49" w:rsidRDefault="00204B49">
      <w:pPr>
        <w:rPr>
          <w:rFonts w:hint="default"/>
        </w:rPr>
      </w:pPr>
    </w:p>
  </w:footnote>
  <w:footnote w:id="2">
    <w:p w14:paraId="2DF59B70" w14:textId="75426F5F" w:rsidR="007045B8" w:rsidRPr="007045B8" w:rsidRDefault="007045B8" w:rsidP="007045B8">
      <w:pPr>
        <w:pStyle w:val="FootnoteText"/>
        <w:bidi/>
        <w:rPr>
          <w:sz w:val="28"/>
          <w:szCs w:val="28"/>
          <w:rtl/>
        </w:rPr>
      </w:pPr>
      <w:r w:rsidRPr="007045B8">
        <w:rPr>
          <w:rStyle w:val="FootnoteReference"/>
          <w:sz w:val="18"/>
          <w:vertAlign w:val="baseline"/>
        </w:rPr>
        <w:footnoteRef/>
      </w:r>
      <w:r w:rsidRPr="00C40CCF">
        <w:rPr>
          <w:rFonts w:ascii="Traditional Arabic" w:hAnsi="Traditional Arabic" w:cs="Traditional Arabic"/>
          <w:sz w:val="26"/>
          <w:szCs w:val="26"/>
          <w:rtl/>
        </w:rPr>
        <w:t xml:space="preserve">  </w:t>
      </w:r>
      <w:r w:rsidRPr="00366AFB">
        <w:rPr>
          <w:rFonts w:asciiTheme="majorBidi" w:hAnsiTheme="majorBidi" w:cstheme="majorBidi"/>
          <w:lang w:val="en-GB"/>
        </w:rPr>
        <w:t>IPBES/6/1</w:t>
      </w:r>
      <w:r w:rsidRPr="00C40CCF">
        <w:rPr>
          <w:rFonts w:ascii="Traditional Arabic" w:hAnsi="Traditional Arabic" w:cs="Traditional Arabic"/>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277C" w14:textId="7044F879" w:rsidR="00204B49" w:rsidRPr="002F74D7" w:rsidRDefault="00204B49" w:rsidP="002F74D7">
    <w:pPr>
      <w:pStyle w:val="Header"/>
      <w:pBdr>
        <w:bottom w:val="single" w:sz="4" w:space="2" w:color="auto"/>
      </w:pBdr>
      <w:tabs>
        <w:tab w:val="clear" w:pos="1247"/>
        <w:tab w:val="clear" w:pos="4536"/>
        <w:tab w:val="clear" w:pos="9072"/>
      </w:tabs>
      <w:bidi/>
      <w:spacing w:after="0"/>
      <w:rPr>
        <w:rFonts w:hint="default"/>
        <w:sz w:val="17"/>
        <w:szCs w:val="17"/>
        <w:rtl/>
      </w:rPr>
    </w:pPr>
    <w:r w:rsidRPr="002F74D7">
      <w:rPr>
        <w:sz w:val="17"/>
        <w:szCs w:val="17"/>
      </w:rPr>
      <w:t>IPBES/</w:t>
    </w:r>
    <w:r w:rsidR="005F3FA5" w:rsidRPr="002F74D7">
      <w:rPr>
        <w:rFonts w:hint="default"/>
        <w:sz w:val="17"/>
        <w:szCs w:val="17"/>
      </w:rPr>
      <w:t>6</w:t>
    </w:r>
    <w:r w:rsidRPr="002F74D7">
      <w:rPr>
        <w:sz w:val="17"/>
        <w:szCs w:val="17"/>
      </w:rPr>
      <w:t>/</w:t>
    </w:r>
    <w:r w:rsidR="002C1220" w:rsidRPr="002F74D7">
      <w:rPr>
        <w:rFonts w:hint="default"/>
        <w:sz w:val="17"/>
        <w:szCs w:val="17"/>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C0CE" w14:textId="2E1763C8" w:rsidR="00204B49" w:rsidRPr="002F74D7" w:rsidRDefault="00204B49" w:rsidP="002F74D7">
    <w:pPr>
      <w:pStyle w:val="Header"/>
      <w:pBdr>
        <w:bottom w:val="single" w:sz="4" w:space="2" w:color="auto"/>
      </w:pBdr>
      <w:tabs>
        <w:tab w:val="clear" w:pos="1247"/>
        <w:tab w:val="clear" w:pos="4536"/>
        <w:tab w:val="clear" w:pos="9072"/>
      </w:tabs>
      <w:spacing w:after="0"/>
      <w:rPr>
        <w:rFonts w:hint="default"/>
        <w:sz w:val="17"/>
        <w:szCs w:val="17"/>
      </w:rPr>
    </w:pPr>
    <w:r w:rsidRPr="002F74D7">
      <w:rPr>
        <w:sz w:val="17"/>
        <w:szCs w:val="17"/>
      </w:rPr>
      <w:t>IPBES/</w:t>
    </w:r>
    <w:r w:rsidR="005F3FA5" w:rsidRPr="002F74D7">
      <w:rPr>
        <w:rFonts w:hint="default"/>
        <w:sz w:val="17"/>
        <w:szCs w:val="17"/>
      </w:rPr>
      <w:t>6</w:t>
    </w:r>
    <w:r w:rsidRPr="002F74D7">
      <w:rPr>
        <w:sz w:val="17"/>
        <w:szCs w:val="17"/>
      </w:rPr>
      <w:t>/</w:t>
    </w:r>
    <w:r w:rsidR="002C1220" w:rsidRPr="002F74D7">
      <w:rPr>
        <w:rFonts w:hint="default"/>
        <w:sz w:val="17"/>
        <w:szCs w:val="17"/>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1A2"/>
    <w:multiLevelType w:val="hybridMultilevel"/>
    <w:tmpl w:val="36CEF316"/>
    <w:lvl w:ilvl="0" w:tplc="1FB00A50">
      <w:start w:val="1"/>
      <w:numFmt w:val="arabicAbjad"/>
      <w:lvlText w:val="(%1)"/>
      <w:lvlJc w:val="left"/>
      <w:pPr>
        <w:ind w:left="1854" w:hanging="360"/>
      </w:pPr>
      <w:rPr>
        <w:rFonts w:hint="default"/>
        <w:lang w:val="en-U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5E85592"/>
    <w:multiLevelType w:val="hybridMultilevel"/>
    <w:tmpl w:val="0E9A9D72"/>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2" w15:restartNumberingAfterBreak="0">
    <w:nsid w:val="06BF6C19"/>
    <w:multiLevelType w:val="hybridMultilevel"/>
    <w:tmpl w:val="C260859C"/>
    <w:lvl w:ilvl="0" w:tplc="777E84E4">
      <w:start w:val="1"/>
      <w:numFmt w:val="arabicAbjad"/>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CA4CE4"/>
    <w:multiLevelType w:val="hybridMultilevel"/>
    <w:tmpl w:val="2B5015A4"/>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4" w15:restartNumberingAfterBreak="0">
    <w:nsid w:val="0D7C7F6C"/>
    <w:multiLevelType w:val="hybridMultilevel"/>
    <w:tmpl w:val="5024F096"/>
    <w:lvl w:ilvl="0" w:tplc="777E84E4">
      <w:start w:val="1"/>
      <w:numFmt w:val="arabicAbjad"/>
      <w:lvlText w:val="(%1)"/>
      <w:lvlJc w:val="left"/>
      <w:pPr>
        <w:ind w:left="1925" w:hanging="360"/>
      </w:pPr>
      <w:rPr>
        <w:rFonts w:hint="default"/>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5" w15:restartNumberingAfterBreak="0">
    <w:nsid w:val="0F8C1EE9"/>
    <w:multiLevelType w:val="hybridMultilevel"/>
    <w:tmpl w:val="FE2C95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47B5A6B"/>
    <w:multiLevelType w:val="hybridMultilevel"/>
    <w:tmpl w:val="1FA8DBE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5366ECF"/>
    <w:multiLevelType w:val="hybridMultilevel"/>
    <w:tmpl w:val="4D2E524A"/>
    <w:lvl w:ilvl="0" w:tplc="5B40001E">
      <w:start w:val="1"/>
      <w:numFmt w:val="decimal"/>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8" w15:restartNumberingAfterBreak="0">
    <w:nsid w:val="15937001"/>
    <w:multiLevelType w:val="hybridMultilevel"/>
    <w:tmpl w:val="413AAB80"/>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D91017C"/>
    <w:multiLevelType w:val="hybridMultilevel"/>
    <w:tmpl w:val="435A1F54"/>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DA87B8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6844EED"/>
    <w:multiLevelType w:val="hybridMultilevel"/>
    <w:tmpl w:val="2E26B140"/>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5" w15:restartNumberingAfterBreak="0">
    <w:nsid w:val="28684915"/>
    <w:multiLevelType w:val="hybridMultilevel"/>
    <w:tmpl w:val="E5BE4E86"/>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9462F9A"/>
    <w:multiLevelType w:val="hybridMultilevel"/>
    <w:tmpl w:val="743493D0"/>
    <w:lvl w:ilvl="0" w:tplc="66CC03D6">
      <w:start w:val="1"/>
      <w:numFmt w:val="arabicAlpha"/>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7" w15:restartNumberingAfterBreak="0">
    <w:nsid w:val="29B114CD"/>
    <w:multiLevelType w:val="hybridMultilevel"/>
    <w:tmpl w:val="2CB4647C"/>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E0709F4"/>
    <w:multiLevelType w:val="hybridMultilevel"/>
    <w:tmpl w:val="7C16F5B6"/>
    <w:lvl w:ilvl="0" w:tplc="D652C2CC">
      <w:numFmt w:val="bullet"/>
      <w:lvlText w:val="-"/>
      <w:lvlJc w:val="left"/>
      <w:pPr>
        <w:ind w:left="1216" w:hanging="360"/>
      </w:pPr>
      <w:rPr>
        <w:rFonts w:asciiTheme="majorBidi" w:eastAsia="Calibri" w:hAnsiTheme="majorBidi" w:cstheme="majorBidi" w:hint="default"/>
      </w:rPr>
    </w:lvl>
    <w:lvl w:ilvl="1" w:tplc="04090003">
      <w:start w:val="1"/>
      <w:numFmt w:val="bullet"/>
      <w:lvlText w:val="o"/>
      <w:lvlJc w:val="left"/>
      <w:pPr>
        <w:ind w:left="1936" w:hanging="360"/>
      </w:pPr>
      <w:rPr>
        <w:rFonts w:ascii="Courier New" w:hAnsi="Courier New" w:cs="Courier New" w:hint="default"/>
      </w:rPr>
    </w:lvl>
    <w:lvl w:ilvl="2" w:tplc="04090005">
      <w:start w:val="1"/>
      <w:numFmt w:val="bullet"/>
      <w:lvlText w:val=""/>
      <w:lvlJc w:val="left"/>
      <w:pPr>
        <w:ind w:left="2656" w:hanging="360"/>
      </w:pPr>
      <w:rPr>
        <w:rFonts w:ascii="Wingdings" w:hAnsi="Wingdings" w:hint="default"/>
      </w:rPr>
    </w:lvl>
    <w:lvl w:ilvl="3" w:tplc="0409000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9" w15:restartNumberingAfterBreak="0">
    <w:nsid w:val="2E4F52D6"/>
    <w:multiLevelType w:val="hybridMultilevel"/>
    <w:tmpl w:val="214486A6"/>
    <w:lvl w:ilvl="0" w:tplc="1A68467A">
      <w:start w:val="1"/>
      <w:numFmt w:val="arabicAlpha"/>
      <w:lvlText w:val="(%1)"/>
      <w:lvlJc w:val="left"/>
      <w:pPr>
        <w:ind w:left="1968" w:hanging="72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0" w15:restartNumberingAfterBreak="0">
    <w:nsid w:val="32994764"/>
    <w:multiLevelType w:val="hybridMultilevel"/>
    <w:tmpl w:val="A93ABD32"/>
    <w:lvl w:ilvl="0" w:tplc="777E84E4">
      <w:start w:val="1"/>
      <w:numFmt w:val="arabicAbjad"/>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DE06C8C"/>
    <w:multiLevelType w:val="hybridMultilevel"/>
    <w:tmpl w:val="F0F466DA"/>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DE37941"/>
    <w:multiLevelType w:val="hybridMultilevel"/>
    <w:tmpl w:val="A5147D5A"/>
    <w:lvl w:ilvl="0" w:tplc="680ACDBE">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33F49"/>
    <w:multiLevelType w:val="hybridMultilevel"/>
    <w:tmpl w:val="1DCC7066"/>
    <w:lvl w:ilvl="0" w:tplc="777E84E4">
      <w:start w:val="1"/>
      <w:numFmt w:val="arabicAbjad"/>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47E552D4"/>
    <w:multiLevelType w:val="hybridMultilevel"/>
    <w:tmpl w:val="DA00AFE8"/>
    <w:lvl w:ilvl="0" w:tplc="70280742">
      <w:start w:val="1"/>
      <w:numFmt w:val="arabicAlpha"/>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4CB04176"/>
    <w:multiLevelType w:val="hybridMultilevel"/>
    <w:tmpl w:val="363053A8"/>
    <w:lvl w:ilvl="0" w:tplc="04090001">
      <w:start w:val="1"/>
      <w:numFmt w:val="bullet"/>
      <w:lvlText w:val=""/>
      <w:lvlJc w:val="left"/>
      <w:pPr>
        <w:ind w:left="2409" w:hanging="360"/>
      </w:pPr>
      <w:rPr>
        <w:rFonts w:ascii="Symbol" w:hAnsi="Symbol" w:hint="default"/>
      </w:rPr>
    </w:lvl>
    <w:lvl w:ilvl="1" w:tplc="04090003" w:tentative="1">
      <w:start w:val="1"/>
      <w:numFmt w:val="bullet"/>
      <w:lvlText w:val="o"/>
      <w:lvlJc w:val="left"/>
      <w:pPr>
        <w:ind w:left="3129" w:hanging="360"/>
      </w:pPr>
      <w:rPr>
        <w:rFonts w:ascii="Courier New" w:hAnsi="Courier New" w:cs="Courier New" w:hint="default"/>
      </w:rPr>
    </w:lvl>
    <w:lvl w:ilvl="2" w:tplc="04090005" w:tentative="1">
      <w:start w:val="1"/>
      <w:numFmt w:val="bullet"/>
      <w:lvlText w:val=""/>
      <w:lvlJc w:val="left"/>
      <w:pPr>
        <w:ind w:left="3849" w:hanging="360"/>
      </w:pPr>
      <w:rPr>
        <w:rFonts w:ascii="Wingdings" w:hAnsi="Wingdings" w:hint="default"/>
      </w:rPr>
    </w:lvl>
    <w:lvl w:ilvl="3" w:tplc="04090001" w:tentative="1">
      <w:start w:val="1"/>
      <w:numFmt w:val="bullet"/>
      <w:lvlText w:val=""/>
      <w:lvlJc w:val="left"/>
      <w:pPr>
        <w:ind w:left="4569" w:hanging="360"/>
      </w:pPr>
      <w:rPr>
        <w:rFonts w:ascii="Symbol" w:hAnsi="Symbol" w:hint="default"/>
      </w:rPr>
    </w:lvl>
    <w:lvl w:ilvl="4" w:tplc="04090003" w:tentative="1">
      <w:start w:val="1"/>
      <w:numFmt w:val="bullet"/>
      <w:lvlText w:val="o"/>
      <w:lvlJc w:val="left"/>
      <w:pPr>
        <w:ind w:left="5289" w:hanging="360"/>
      </w:pPr>
      <w:rPr>
        <w:rFonts w:ascii="Courier New" w:hAnsi="Courier New" w:cs="Courier New" w:hint="default"/>
      </w:rPr>
    </w:lvl>
    <w:lvl w:ilvl="5" w:tplc="04090005" w:tentative="1">
      <w:start w:val="1"/>
      <w:numFmt w:val="bullet"/>
      <w:lvlText w:val=""/>
      <w:lvlJc w:val="left"/>
      <w:pPr>
        <w:ind w:left="6009" w:hanging="360"/>
      </w:pPr>
      <w:rPr>
        <w:rFonts w:ascii="Wingdings" w:hAnsi="Wingdings" w:hint="default"/>
      </w:rPr>
    </w:lvl>
    <w:lvl w:ilvl="6" w:tplc="04090001" w:tentative="1">
      <w:start w:val="1"/>
      <w:numFmt w:val="bullet"/>
      <w:lvlText w:val=""/>
      <w:lvlJc w:val="left"/>
      <w:pPr>
        <w:ind w:left="6729" w:hanging="360"/>
      </w:pPr>
      <w:rPr>
        <w:rFonts w:ascii="Symbol" w:hAnsi="Symbol" w:hint="default"/>
      </w:rPr>
    </w:lvl>
    <w:lvl w:ilvl="7" w:tplc="04090003" w:tentative="1">
      <w:start w:val="1"/>
      <w:numFmt w:val="bullet"/>
      <w:lvlText w:val="o"/>
      <w:lvlJc w:val="left"/>
      <w:pPr>
        <w:ind w:left="7449" w:hanging="360"/>
      </w:pPr>
      <w:rPr>
        <w:rFonts w:ascii="Courier New" w:hAnsi="Courier New" w:cs="Courier New" w:hint="default"/>
      </w:rPr>
    </w:lvl>
    <w:lvl w:ilvl="8" w:tplc="04090005" w:tentative="1">
      <w:start w:val="1"/>
      <w:numFmt w:val="bullet"/>
      <w:lvlText w:val=""/>
      <w:lvlJc w:val="left"/>
      <w:pPr>
        <w:ind w:left="8169" w:hanging="360"/>
      </w:pPr>
      <w:rPr>
        <w:rFonts w:ascii="Wingdings" w:hAnsi="Wingdings" w:hint="default"/>
      </w:rPr>
    </w:lvl>
  </w:abstractNum>
  <w:abstractNum w:abstractNumId="27" w15:restartNumberingAfterBreak="0">
    <w:nsid w:val="4DDC3CCE"/>
    <w:multiLevelType w:val="hybridMultilevel"/>
    <w:tmpl w:val="11A426AC"/>
    <w:lvl w:ilvl="0" w:tplc="777E84E4">
      <w:start w:val="1"/>
      <w:numFmt w:val="arabicAbjad"/>
      <w:lvlText w:val="(%1)"/>
      <w:lvlJc w:val="left"/>
      <w:pPr>
        <w:ind w:left="2409" w:hanging="72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8" w15:restartNumberingAfterBreak="0">
    <w:nsid w:val="4E7653A7"/>
    <w:multiLevelType w:val="hybridMultilevel"/>
    <w:tmpl w:val="EB5CC89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9" w15:restartNumberingAfterBreak="0">
    <w:nsid w:val="4ECF31B3"/>
    <w:multiLevelType w:val="hybridMultilevel"/>
    <w:tmpl w:val="6B7E282C"/>
    <w:lvl w:ilvl="0" w:tplc="A692D9E2">
      <w:start w:val="14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66A9D"/>
    <w:multiLevelType w:val="multilevel"/>
    <w:tmpl w:val="24787CB4"/>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43D7A6C"/>
    <w:multiLevelType w:val="hybridMultilevel"/>
    <w:tmpl w:val="9BB2818E"/>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2" w15:restartNumberingAfterBreak="0">
    <w:nsid w:val="58B44D2B"/>
    <w:multiLevelType w:val="hybridMultilevel"/>
    <w:tmpl w:val="4B4613B2"/>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3" w15:restartNumberingAfterBreak="0">
    <w:nsid w:val="5EA5350D"/>
    <w:multiLevelType w:val="hybridMultilevel"/>
    <w:tmpl w:val="D5BE5D3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FD25663"/>
    <w:multiLevelType w:val="hybridMultilevel"/>
    <w:tmpl w:val="D758D4A8"/>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62291BF8"/>
    <w:multiLevelType w:val="multilevel"/>
    <w:tmpl w:val="C61464DE"/>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15:restartNumberingAfterBreak="0">
    <w:nsid w:val="6AEF2C33"/>
    <w:multiLevelType w:val="hybridMultilevel"/>
    <w:tmpl w:val="D60C23B4"/>
    <w:lvl w:ilvl="0" w:tplc="21E0E7AA">
      <w:start w:val="1"/>
      <w:numFmt w:val="decimal"/>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6D3D7F51"/>
    <w:multiLevelType w:val="hybridMultilevel"/>
    <w:tmpl w:val="EEA6D9DA"/>
    <w:lvl w:ilvl="0" w:tplc="5A2012A6">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A83AD4"/>
    <w:multiLevelType w:val="hybridMultilevel"/>
    <w:tmpl w:val="139EDAD6"/>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39" w15:restartNumberingAfterBreak="0">
    <w:nsid w:val="789F32A9"/>
    <w:multiLevelType w:val="hybridMultilevel"/>
    <w:tmpl w:val="A5461E9E"/>
    <w:lvl w:ilvl="0" w:tplc="D610B2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C3F6140"/>
    <w:multiLevelType w:val="hybridMultilevel"/>
    <w:tmpl w:val="498C1752"/>
    <w:lvl w:ilvl="0" w:tplc="24984BE0">
      <w:start w:val="1"/>
      <w:numFmt w:val="decimal"/>
      <w:lvlText w:val="%1-"/>
      <w:lvlJc w:val="left"/>
      <w:pPr>
        <w:ind w:left="1030" w:hanging="360"/>
      </w:p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start w:val="1"/>
      <w:numFmt w:val="lowerLetter"/>
      <w:lvlText w:val="%5."/>
      <w:lvlJc w:val="left"/>
      <w:pPr>
        <w:ind w:left="3910" w:hanging="360"/>
      </w:pPr>
    </w:lvl>
    <w:lvl w:ilvl="5" w:tplc="0409001B">
      <w:start w:val="1"/>
      <w:numFmt w:val="lowerRoman"/>
      <w:lvlText w:val="%6."/>
      <w:lvlJc w:val="right"/>
      <w:pPr>
        <w:ind w:left="4630" w:hanging="180"/>
      </w:pPr>
    </w:lvl>
    <w:lvl w:ilvl="6" w:tplc="0409000F">
      <w:start w:val="1"/>
      <w:numFmt w:val="decimal"/>
      <w:lvlText w:val="%7."/>
      <w:lvlJc w:val="left"/>
      <w:pPr>
        <w:ind w:left="5350" w:hanging="360"/>
      </w:pPr>
    </w:lvl>
    <w:lvl w:ilvl="7" w:tplc="04090019">
      <w:start w:val="1"/>
      <w:numFmt w:val="lowerLetter"/>
      <w:lvlText w:val="%8."/>
      <w:lvlJc w:val="left"/>
      <w:pPr>
        <w:ind w:left="6070" w:hanging="360"/>
      </w:pPr>
    </w:lvl>
    <w:lvl w:ilvl="8" w:tplc="0409001B">
      <w:start w:val="1"/>
      <w:numFmt w:val="lowerRoman"/>
      <w:lvlText w:val="%9."/>
      <w:lvlJc w:val="right"/>
      <w:pPr>
        <w:ind w:left="6790" w:hanging="180"/>
      </w:pPr>
    </w:lvl>
  </w:abstractNum>
  <w:abstractNum w:abstractNumId="41" w15:restartNumberingAfterBreak="0">
    <w:nsid w:val="7CF178DB"/>
    <w:multiLevelType w:val="hybridMultilevel"/>
    <w:tmpl w:val="99000D6E"/>
    <w:lvl w:ilvl="0" w:tplc="777E84E4">
      <w:start w:val="1"/>
      <w:numFmt w:val="arabicAbjad"/>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0"/>
  </w:num>
  <w:num w:numId="2">
    <w:abstractNumId w:val="35"/>
  </w:num>
  <w:num w:numId="3">
    <w:abstractNumId w:val="10"/>
  </w:num>
  <w:num w:numId="4">
    <w:abstractNumId w:val="21"/>
  </w:num>
  <w:num w:numId="5">
    <w:abstractNumId w:val="13"/>
  </w:num>
  <w:num w:numId="6">
    <w:abstractNumId w:val="22"/>
  </w:num>
  <w:num w:numId="7">
    <w:abstractNumId w:val="11"/>
  </w:num>
  <w:num w:numId="8">
    <w:abstractNumId w:val="28"/>
  </w:num>
  <w:num w:numId="9">
    <w:abstractNumId w:val="24"/>
  </w:num>
  <w:num w:numId="10">
    <w:abstractNumId w:val="34"/>
  </w:num>
  <w:num w:numId="11">
    <w:abstractNumId w:val="0"/>
  </w:num>
  <w:num w:numId="12">
    <w:abstractNumId w:val="20"/>
  </w:num>
  <w:num w:numId="13">
    <w:abstractNumId w:val="2"/>
  </w:num>
  <w:num w:numId="14">
    <w:abstractNumId w:val="14"/>
  </w:num>
  <w:num w:numId="15">
    <w:abstractNumId w:val="26"/>
  </w:num>
  <w:num w:numId="16">
    <w:abstractNumId w:val="16"/>
  </w:num>
  <w:num w:numId="17">
    <w:abstractNumId w:val="27"/>
  </w:num>
  <w:num w:numId="18">
    <w:abstractNumId w:val="38"/>
  </w:num>
  <w:num w:numId="19">
    <w:abstractNumId w:val="41"/>
  </w:num>
  <w:num w:numId="20">
    <w:abstractNumId w:val="15"/>
  </w:num>
  <w:num w:numId="21">
    <w:abstractNumId w:val="17"/>
  </w:num>
  <w:num w:numId="22">
    <w:abstractNumId w:val="32"/>
  </w:num>
  <w:num w:numId="23">
    <w:abstractNumId w:val="19"/>
  </w:num>
  <w:num w:numId="24">
    <w:abstractNumId w:val="31"/>
  </w:num>
  <w:num w:numId="25">
    <w:abstractNumId w:val="3"/>
  </w:num>
  <w:num w:numId="26">
    <w:abstractNumId w:val="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9"/>
  </w:num>
  <w:num w:numId="30">
    <w:abstractNumId w:val="18"/>
  </w:num>
  <w:num w:numId="31">
    <w:abstractNumId w:val="9"/>
    <w:lvlOverride w:ilvl="0">
      <w:startOverride w:val="1"/>
      <w:lvl w:ilvl="0">
        <w:start w:val="1"/>
        <w:numFmt w:val="decimal"/>
        <w:lvlText w:val="%1-"/>
        <w:lvlJc w:val="left"/>
        <w:pPr>
          <w:tabs>
            <w:tab w:val="num" w:pos="400"/>
          </w:tabs>
          <w:ind w:left="1080" w:firstLine="0"/>
        </w:pPr>
        <w:rPr>
          <w:rFonts w:ascii="Traditional Arabic" w:eastAsia="Times New Roman" w:hAnsi="Traditional Arabic" w:cs="Traditional Arabic"/>
        </w:rPr>
      </w:lvl>
    </w:lvlOverride>
  </w:num>
  <w:num w:numId="32">
    <w:abstractNumId w:val="37"/>
  </w:num>
  <w:num w:numId="33">
    <w:abstractNumId w:val="36"/>
  </w:num>
  <w:num w:numId="34">
    <w:abstractNumId w:val="4"/>
  </w:num>
  <w:num w:numId="35">
    <w:abstractNumId w:val="6"/>
  </w:num>
  <w:num w:numId="36">
    <w:abstractNumId w:val="5"/>
  </w:num>
  <w:num w:numId="37">
    <w:abstractNumId w:val="8"/>
  </w:num>
  <w:num w:numId="38">
    <w:abstractNumId w:val="33"/>
  </w:num>
  <w:num w:numId="39">
    <w:abstractNumId w:val="9"/>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25"/>
  </w:num>
  <w:num w:numId="41">
    <w:abstractNumId w:val="39"/>
  </w:num>
  <w:num w:numId="42">
    <w:abstractNumId w:val="12"/>
  </w:num>
  <w:num w:numId="43">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1"/>
  <w:activeWritingStyle w:appName="MSWord" w:lang="en-AU" w:vendorID="64" w:dllVersion="0" w:nlCheck="1" w:checkStyle="1"/>
  <w:activeWritingStyle w:appName="MSWord" w:lang="de-DE" w:vendorID="64" w:dllVersion="0" w:nlCheck="1" w:checkStyle="1"/>
  <w:activeWritingStyle w:appName="MSWord" w:lang="fr-BE" w:vendorID="64" w:dllVersion="0" w:nlCheck="1" w:checkStyle="1"/>
  <w:activeWritingStyle w:appName="MSWord" w:lang="ar-SA" w:vendorID="64" w:dllVersion="0" w:nlCheck="1" w:checkStyle="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4033"/>
  </w:hdrShapeDefaults>
  <w:footnotePr>
    <w:numFmt w:val="chicago"/>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69"/>
    <w:rsid w:val="000069B9"/>
    <w:rsid w:val="000077FB"/>
    <w:rsid w:val="000149E6"/>
    <w:rsid w:val="00016062"/>
    <w:rsid w:val="00020B93"/>
    <w:rsid w:val="000219F6"/>
    <w:rsid w:val="00022C02"/>
    <w:rsid w:val="000247B0"/>
    <w:rsid w:val="00026997"/>
    <w:rsid w:val="00033E0B"/>
    <w:rsid w:val="0003486B"/>
    <w:rsid w:val="00034C5A"/>
    <w:rsid w:val="00035187"/>
    <w:rsid w:val="000351CD"/>
    <w:rsid w:val="00035EDE"/>
    <w:rsid w:val="0003674E"/>
    <w:rsid w:val="00043722"/>
    <w:rsid w:val="000466C5"/>
    <w:rsid w:val="00046B36"/>
    <w:rsid w:val="0005006D"/>
    <w:rsid w:val="00050560"/>
    <w:rsid w:val="000509B4"/>
    <w:rsid w:val="00051300"/>
    <w:rsid w:val="00052CA6"/>
    <w:rsid w:val="00053984"/>
    <w:rsid w:val="00055AA1"/>
    <w:rsid w:val="0006035B"/>
    <w:rsid w:val="000638F6"/>
    <w:rsid w:val="00063FD9"/>
    <w:rsid w:val="0006429C"/>
    <w:rsid w:val="00066A8E"/>
    <w:rsid w:val="00067929"/>
    <w:rsid w:val="0007166E"/>
    <w:rsid w:val="00071886"/>
    <w:rsid w:val="00071F87"/>
    <w:rsid w:val="000742BC"/>
    <w:rsid w:val="000764D0"/>
    <w:rsid w:val="0007721C"/>
    <w:rsid w:val="00082A0C"/>
    <w:rsid w:val="00082A47"/>
    <w:rsid w:val="00082CBF"/>
    <w:rsid w:val="0008310B"/>
    <w:rsid w:val="00083504"/>
    <w:rsid w:val="0008641D"/>
    <w:rsid w:val="000864A0"/>
    <w:rsid w:val="0008779A"/>
    <w:rsid w:val="00090258"/>
    <w:rsid w:val="0009640C"/>
    <w:rsid w:val="0009643A"/>
    <w:rsid w:val="000A0E4E"/>
    <w:rsid w:val="000A11C8"/>
    <w:rsid w:val="000A218C"/>
    <w:rsid w:val="000A23D3"/>
    <w:rsid w:val="000A24A8"/>
    <w:rsid w:val="000A2D29"/>
    <w:rsid w:val="000A4A4F"/>
    <w:rsid w:val="000A53CE"/>
    <w:rsid w:val="000A55CA"/>
    <w:rsid w:val="000B0A9F"/>
    <w:rsid w:val="000B1695"/>
    <w:rsid w:val="000B21D5"/>
    <w:rsid w:val="000B22A2"/>
    <w:rsid w:val="000B3ECF"/>
    <w:rsid w:val="000B3F3C"/>
    <w:rsid w:val="000B4A3F"/>
    <w:rsid w:val="000B5CE8"/>
    <w:rsid w:val="000B6330"/>
    <w:rsid w:val="000B6BE1"/>
    <w:rsid w:val="000C2A52"/>
    <w:rsid w:val="000C6468"/>
    <w:rsid w:val="000D0115"/>
    <w:rsid w:val="000D2A37"/>
    <w:rsid w:val="000D33C0"/>
    <w:rsid w:val="000D37BD"/>
    <w:rsid w:val="000D44CE"/>
    <w:rsid w:val="000D48A0"/>
    <w:rsid w:val="000D4EAD"/>
    <w:rsid w:val="000D672F"/>
    <w:rsid w:val="000D6941"/>
    <w:rsid w:val="000D74EB"/>
    <w:rsid w:val="000E07FE"/>
    <w:rsid w:val="000E149C"/>
    <w:rsid w:val="000E1B11"/>
    <w:rsid w:val="000E2EF5"/>
    <w:rsid w:val="000E372D"/>
    <w:rsid w:val="000E4722"/>
    <w:rsid w:val="000E4840"/>
    <w:rsid w:val="000E7AA4"/>
    <w:rsid w:val="000F049B"/>
    <w:rsid w:val="000F304E"/>
    <w:rsid w:val="000F53AB"/>
    <w:rsid w:val="000F6DC5"/>
    <w:rsid w:val="0010538F"/>
    <w:rsid w:val="00106830"/>
    <w:rsid w:val="00115C25"/>
    <w:rsid w:val="00116C81"/>
    <w:rsid w:val="001202E3"/>
    <w:rsid w:val="001205D6"/>
    <w:rsid w:val="00120EE3"/>
    <w:rsid w:val="00120FFA"/>
    <w:rsid w:val="00121C0B"/>
    <w:rsid w:val="00123699"/>
    <w:rsid w:val="00123EC6"/>
    <w:rsid w:val="0012724E"/>
    <w:rsid w:val="0013059D"/>
    <w:rsid w:val="0013081C"/>
    <w:rsid w:val="001409E5"/>
    <w:rsid w:val="0014147C"/>
    <w:rsid w:val="00141A55"/>
    <w:rsid w:val="00143A84"/>
    <w:rsid w:val="001446A3"/>
    <w:rsid w:val="001452C5"/>
    <w:rsid w:val="00145FFB"/>
    <w:rsid w:val="00150AAD"/>
    <w:rsid w:val="00153C84"/>
    <w:rsid w:val="0015488C"/>
    <w:rsid w:val="00155395"/>
    <w:rsid w:val="001574BC"/>
    <w:rsid w:val="001622D3"/>
    <w:rsid w:val="00166532"/>
    <w:rsid w:val="001667D0"/>
    <w:rsid w:val="00172F60"/>
    <w:rsid w:val="0017661F"/>
    <w:rsid w:val="00177294"/>
    <w:rsid w:val="001773CD"/>
    <w:rsid w:val="00181EC8"/>
    <w:rsid w:val="0018248D"/>
    <w:rsid w:val="00183ECA"/>
    <w:rsid w:val="00184349"/>
    <w:rsid w:val="00185DE5"/>
    <w:rsid w:val="00186BE6"/>
    <w:rsid w:val="00190570"/>
    <w:rsid w:val="00195F33"/>
    <w:rsid w:val="00197345"/>
    <w:rsid w:val="001A1D42"/>
    <w:rsid w:val="001A46E0"/>
    <w:rsid w:val="001B1607"/>
    <w:rsid w:val="001B1617"/>
    <w:rsid w:val="001B3ADA"/>
    <w:rsid w:val="001B3C60"/>
    <w:rsid w:val="001B446B"/>
    <w:rsid w:val="001B504B"/>
    <w:rsid w:val="001B63E9"/>
    <w:rsid w:val="001B6D6F"/>
    <w:rsid w:val="001B78BF"/>
    <w:rsid w:val="001C0857"/>
    <w:rsid w:val="001C6FF0"/>
    <w:rsid w:val="001D3874"/>
    <w:rsid w:val="001D4A29"/>
    <w:rsid w:val="001D7E75"/>
    <w:rsid w:val="001D7FC0"/>
    <w:rsid w:val="001E56D2"/>
    <w:rsid w:val="001E7ACA"/>
    <w:rsid w:val="001E7D56"/>
    <w:rsid w:val="001F1FF2"/>
    <w:rsid w:val="001F21CC"/>
    <w:rsid w:val="001F24E7"/>
    <w:rsid w:val="001F75DE"/>
    <w:rsid w:val="00200D58"/>
    <w:rsid w:val="002013BE"/>
    <w:rsid w:val="00204B49"/>
    <w:rsid w:val="00204E13"/>
    <w:rsid w:val="002062AB"/>
    <w:rsid w:val="002063A4"/>
    <w:rsid w:val="002069BA"/>
    <w:rsid w:val="00210EC6"/>
    <w:rsid w:val="0021145B"/>
    <w:rsid w:val="00212545"/>
    <w:rsid w:val="00213E07"/>
    <w:rsid w:val="00216DBD"/>
    <w:rsid w:val="00220F56"/>
    <w:rsid w:val="00223932"/>
    <w:rsid w:val="0022523E"/>
    <w:rsid w:val="002259BF"/>
    <w:rsid w:val="002265EE"/>
    <w:rsid w:val="00226BB7"/>
    <w:rsid w:val="002273B8"/>
    <w:rsid w:val="00227C82"/>
    <w:rsid w:val="00234599"/>
    <w:rsid w:val="00235B8B"/>
    <w:rsid w:val="00235D02"/>
    <w:rsid w:val="0023644A"/>
    <w:rsid w:val="00240646"/>
    <w:rsid w:val="002425FB"/>
    <w:rsid w:val="00243D36"/>
    <w:rsid w:val="0024414C"/>
    <w:rsid w:val="00244D5A"/>
    <w:rsid w:val="00245497"/>
    <w:rsid w:val="00247707"/>
    <w:rsid w:val="00251B6C"/>
    <w:rsid w:val="00252286"/>
    <w:rsid w:val="00253C9B"/>
    <w:rsid w:val="002545A0"/>
    <w:rsid w:val="002548E6"/>
    <w:rsid w:val="002560C1"/>
    <w:rsid w:val="002602DB"/>
    <w:rsid w:val="00263D0E"/>
    <w:rsid w:val="00267B25"/>
    <w:rsid w:val="00267D34"/>
    <w:rsid w:val="00270571"/>
    <w:rsid w:val="0028147D"/>
    <w:rsid w:val="002833F9"/>
    <w:rsid w:val="00284682"/>
    <w:rsid w:val="00286740"/>
    <w:rsid w:val="002907B9"/>
    <w:rsid w:val="00291F7C"/>
    <w:rsid w:val="002929D3"/>
    <w:rsid w:val="002929D8"/>
    <w:rsid w:val="002932A2"/>
    <w:rsid w:val="00294076"/>
    <w:rsid w:val="00294D94"/>
    <w:rsid w:val="002955AA"/>
    <w:rsid w:val="002A237D"/>
    <w:rsid w:val="002A38DB"/>
    <w:rsid w:val="002A3F52"/>
    <w:rsid w:val="002A4C53"/>
    <w:rsid w:val="002A6E95"/>
    <w:rsid w:val="002B0672"/>
    <w:rsid w:val="002B1499"/>
    <w:rsid w:val="002B1B4C"/>
    <w:rsid w:val="002B1CED"/>
    <w:rsid w:val="002B247F"/>
    <w:rsid w:val="002B252D"/>
    <w:rsid w:val="002B4DD8"/>
    <w:rsid w:val="002B64DE"/>
    <w:rsid w:val="002C1220"/>
    <w:rsid w:val="002C145D"/>
    <w:rsid w:val="002C2C3E"/>
    <w:rsid w:val="002C35A1"/>
    <w:rsid w:val="002C533E"/>
    <w:rsid w:val="002C5EC2"/>
    <w:rsid w:val="002C607B"/>
    <w:rsid w:val="002C6E06"/>
    <w:rsid w:val="002D00E7"/>
    <w:rsid w:val="002D027F"/>
    <w:rsid w:val="002D21D5"/>
    <w:rsid w:val="002D4E47"/>
    <w:rsid w:val="002D6BB2"/>
    <w:rsid w:val="002D7A85"/>
    <w:rsid w:val="002D7B60"/>
    <w:rsid w:val="002E052C"/>
    <w:rsid w:val="002E5919"/>
    <w:rsid w:val="002E7582"/>
    <w:rsid w:val="002F428D"/>
    <w:rsid w:val="002F4761"/>
    <w:rsid w:val="002F5C79"/>
    <w:rsid w:val="002F74BD"/>
    <w:rsid w:val="002F74D7"/>
    <w:rsid w:val="0030073E"/>
    <w:rsid w:val="003008BC"/>
    <w:rsid w:val="003019E2"/>
    <w:rsid w:val="00306411"/>
    <w:rsid w:val="00311693"/>
    <w:rsid w:val="00313D20"/>
    <w:rsid w:val="0031413F"/>
    <w:rsid w:val="003148BB"/>
    <w:rsid w:val="00317976"/>
    <w:rsid w:val="00317D2D"/>
    <w:rsid w:val="0032198F"/>
    <w:rsid w:val="00322F33"/>
    <w:rsid w:val="0032771E"/>
    <w:rsid w:val="00330EA8"/>
    <w:rsid w:val="00331B92"/>
    <w:rsid w:val="0033220D"/>
    <w:rsid w:val="00332640"/>
    <w:rsid w:val="003330FD"/>
    <w:rsid w:val="00333329"/>
    <w:rsid w:val="00335DC5"/>
    <w:rsid w:val="0033726C"/>
    <w:rsid w:val="00337A19"/>
    <w:rsid w:val="00337C5F"/>
    <w:rsid w:val="003408D8"/>
    <w:rsid w:val="00346815"/>
    <w:rsid w:val="00355082"/>
    <w:rsid w:val="00355EA9"/>
    <w:rsid w:val="003578DE"/>
    <w:rsid w:val="00360F41"/>
    <w:rsid w:val="00362DB5"/>
    <w:rsid w:val="00365812"/>
    <w:rsid w:val="00366BCA"/>
    <w:rsid w:val="00371B76"/>
    <w:rsid w:val="00372E24"/>
    <w:rsid w:val="00373018"/>
    <w:rsid w:val="00374182"/>
    <w:rsid w:val="00374716"/>
    <w:rsid w:val="003755C0"/>
    <w:rsid w:val="003756CA"/>
    <w:rsid w:val="00375C0F"/>
    <w:rsid w:val="00383228"/>
    <w:rsid w:val="003841BE"/>
    <w:rsid w:val="003907E4"/>
    <w:rsid w:val="00390A85"/>
    <w:rsid w:val="003916F5"/>
    <w:rsid w:val="00395DE8"/>
    <w:rsid w:val="00395FD8"/>
    <w:rsid w:val="00396257"/>
    <w:rsid w:val="00397EB8"/>
    <w:rsid w:val="003A086E"/>
    <w:rsid w:val="003A2A35"/>
    <w:rsid w:val="003A33FF"/>
    <w:rsid w:val="003A4FD0"/>
    <w:rsid w:val="003A69D1"/>
    <w:rsid w:val="003A7705"/>
    <w:rsid w:val="003B0427"/>
    <w:rsid w:val="003B1545"/>
    <w:rsid w:val="003B3B96"/>
    <w:rsid w:val="003B4620"/>
    <w:rsid w:val="003B50FC"/>
    <w:rsid w:val="003B7FA2"/>
    <w:rsid w:val="003C152A"/>
    <w:rsid w:val="003C1F1F"/>
    <w:rsid w:val="003C2A10"/>
    <w:rsid w:val="003C3E15"/>
    <w:rsid w:val="003C409D"/>
    <w:rsid w:val="003C4F20"/>
    <w:rsid w:val="003C5BA6"/>
    <w:rsid w:val="003C79EC"/>
    <w:rsid w:val="003D4D62"/>
    <w:rsid w:val="003D7657"/>
    <w:rsid w:val="003E0D25"/>
    <w:rsid w:val="003E2128"/>
    <w:rsid w:val="003F064B"/>
    <w:rsid w:val="003F0E85"/>
    <w:rsid w:val="003F17A0"/>
    <w:rsid w:val="003F1E84"/>
    <w:rsid w:val="003F1FA9"/>
    <w:rsid w:val="003F2049"/>
    <w:rsid w:val="003F2C0E"/>
    <w:rsid w:val="003F610C"/>
    <w:rsid w:val="003F7E21"/>
    <w:rsid w:val="00400FE8"/>
    <w:rsid w:val="004041F2"/>
    <w:rsid w:val="00405251"/>
    <w:rsid w:val="00405B3A"/>
    <w:rsid w:val="00406D1B"/>
    <w:rsid w:val="00410BE0"/>
    <w:rsid w:val="00410C55"/>
    <w:rsid w:val="00411F5B"/>
    <w:rsid w:val="00412D09"/>
    <w:rsid w:val="00412D2F"/>
    <w:rsid w:val="0041354A"/>
    <w:rsid w:val="0041464C"/>
    <w:rsid w:val="00416854"/>
    <w:rsid w:val="00416CA5"/>
    <w:rsid w:val="00417725"/>
    <w:rsid w:val="00417C09"/>
    <w:rsid w:val="00422563"/>
    <w:rsid w:val="00425467"/>
    <w:rsid w:val="00427699"/>
    <w:rsid w:val="00427B5A"/>
    <w:rsid w:val="004332BF"/>
    <w:rsid w:val="00435090"/>
    <w:rsid w:val="00435497"/>
    <w:rsid w:val="0043775B"/>
    <w:rsid w:val="00437F26"/>
    <w:rsid w:val="00442605"/>
    <w:rsid w:val="00444097"/>
    <w:rsid w:val="00444B62"/>
    <w:rsid w:val="00445487"/>
    <w:rsid w:val="00447A57"/>
    <w:rsid w:val="00450B16"/>
    <w:rsid w:val="00454769"/>
    <w:rsid w:val="004579FA"/>
    <w:rsid w:val="004614D4"/>
    <w:rsid w:val="004617CF"/>
    <w:rsid w:val="00461F44"/>
    <w:rsid w:val="004621A8"/>
    <w:rsid w:val="00466735"/>
    <w:rsid w:val="00466991"/>
    <w:rsid w:val="00467D06"/>
    <w:rsid w:val="004703E5"/>
    <w:rsid w:val="0047064C"/>
    <w:rsid w:val="00470DDC"/>
    <w:rsid w:val="004713C4"/>
    <w:rsid w:val="004722FE"/>
    <w:rsid w:val="00472661"/>
    <w:rsid w:val="00472A63"/>
    <w:rsid w:val="00475A31"/>
    <w:rsid w:val="00476410"/>
    <w:rsid w:val="004773A2"/>
    <w:rsid w:val="004808F8"/>
    <w:rsid w:val="00481AD1"/>
    <w:rsid w:val="00484582"/>
    <w:rsid w:val="00484A2B"/>
    <w:rsid w:val="00487BF3"/>
    <w:rsid w:val="00491874"/>
    <w:rsid w:val="00492C6E"/>
    <w:rsid w:val="00495CAC"/>
    <w:rsid w:val="00495FAE"/>
    <w:rsid w:val="00496CE3"/>
    <w:rsid w:val="00497E42"/>
    <w:rsid w:val="004A0F70"/>
    <w:rsid w:val="004A1A86"/>
    <w:rsid w:val="004A28AB"/>
    <w:rsid w:val="004A296F"/>
    <w:rsid w:val="004A42E1"/>
    <w:rsid w:val="004A5ECD"/>
    <w:rsid w:val="004A6D15"/>
    <w:rsid w:val="004B0699"/>
    <w:rsid w:val="004B162C"/>
    <w:rsid w:val="004B3E35"/>
    <w:rsid w:val="004B4047"/>
    <w:rsid w:val="004B5DC2"/>
    <w:rsid w:val="004B6495"/>
    <w:rsid w:val="004C1A85"/>
    <w:rsid w:val="004C3D8E"/>
    <w:rsid w:val="004C3DBE"/>
    <w:rsid w:val="004C5C96"/>
    <w:rsid w:val="004D06A4"/>
    <w:rsid w:val="004D0EB1"/>
    <w:rsid w:val="004D122F"/>
    <w:rsid w:val="004D2DB8"/>
    <w:rsid w:val="004D50C4"/>
    <w:rsid w:val="004E36B8"/>
    <w:rsid w:val="004E43B6"/>
    <w:rsid w:val="004E474D"/>
    <w:rsid w:val="004E5DA9"/>
    <w:rsid w:val="004E605B"/>
    <w:rsid w:val="004E63A3"/>
    <w:rsid w:val="004E777D"/>
    <w:rsid w:val="004F03B3"/>
    <w:rsid w:val="004F03C7"/>
    <w:rsid w:val="004F1A81"/>
    <w:rsid w:val="004F7F13"/>
    <w:rsid w:val="00505DCA"/>
    <w:rsid w:val="00510F65"/>
    <w:rsid w:val="00511E8C"/>
    <w:rsid w:val="00513491"/>
    <w:rsid w:val="00514308"/>
    <w:rsid w:val="005164F2"/>
    <w:rsid w:val="005218D9"/>
    <w:rsid w:val="00524841"/>
    <w:rsid w:val="00524DC0"/>
    <w:rsid w:val="00530869"/>
    <w:rsid w:val="005310CB"/>
    <w:rsid w:val="005316BA"/>
    <w:rsid w:val="00532718"/>
    <w:rsid w:val="00536186"/>
    <w:rsid w:val="00541B6A"/>
    <w:rsid w:val="00541CE5"/>
    <w:rsid w:val="00544CBB"/>
    <w:rsid w:val="0054589F"/>
    <w:rsid w:val="005458B1"/>
    <w:rsid w:val="005463D3"/>
    <w:rsid w:val="00552A31"/>
    <w:rsid w:val="005544CA"/>
    <w:rsid w:val="005559E2"/>
    <w:rsid w:val="00561998"/>
    <w:rsid w:val="00566B03"/>
    <w:rsid w:val="00570367"/>
    <w:rsid w:val="00571044"/>
    <w:rsid w:val="00571B62"/>
    <w:rsid w:val="005730B6"/>
    <w:rsid w:val="0057315F"/>
    <w:rsid w:val="00576104"/>
    <w:rsid w:val="00577566"/>
    <w:rsid w:val="00577FA2"/>
    <w:rsid w:val="0058172C"/>
    <w:rsid w:val="00582F5C"/>
    <w:rsid w:val="005877BB"/>
    <w:rsid w:val="005901FC"/>
    <w:rsid w:val="00592029"/>
    <w:rsid w:val="00593444"/>
    <w:rsid w:val="00593753"/>
    <w:rsid w:val="00594B27"/>
    <w:rsid w:val="00595685"/>
    <w:rsid w:val="00597069"/>
    <w:rsid w:val="0059798F"/>
    <w:rsid w:val="00597A84"/>
    <w:rsid w:val="005A4A3A"/>
    <w:rsid w:val="005A4FCB"/>
    <w:rsid w:val="005A5DE8"/>
    <w:rsid w:val="005A5DF8"/>
    <w:rsid w:val="005A7715"/>
    <w:rsid w:val="005B251A"/>
    <w:rsid w:val="005B3DAD"/>
    <w:rsid w:val="005B55EB"/>
    <w:rsid w:val="005C129F"/>
    <w:rsid w:val="005C4AFC"/>
    <w:rsid w:val="005C67C8"/>
    <w:rsid w:val="005D00F6"/>
    <w:rsid w:val="005D0249"/>
    <w:rsid w:val="005D1FF2"/>
    <w:rsid w:val="005D3298"/>
    <w:rsid w:val="005D3C26"/>
    <w:rsid w:val="005D4225"/>
    <w:rsid w:val="005D5972"/>
    <w:rsid w:val="005D6E8C"/>
    <w:rsid w:val="005D7763"/>
    <w:rsid w:val="005E0155"/>
    <w:rsid w:val="005E2065"/>
    <w:rsid w:val="005E78B3"/>
    <w:rsid w:val="005F100C"/>
    <w:rsid w:val="005F12DA"/>
    <w:rsid w:val="005F3E2A"/>
    <w:rsid w:val="005F3FA5"/>
    <w:rsid w:val="005F68DA"/>
    <w:rsid w:val="005F7AF0"/>
    <w:rsid w:val="00600273"/>
    <w:rsid w:val="00601DE4"/>
    <w:rsid w:val="006035F4"/>
    <w:rsid w:val="0060376C"/>
    <w:rsid w:val="00604C28"/>
    <w:rsid w:val="0060773B"/>
    <w:rsid w:val="00610C43"/>
    <w:rsid w:val="006113B4"/>
    <w:rsid w:val="006137A4"/>
    <w:rsid w:val="00614EFF"/>
    <w:rsid w:val="00615598"/>
    <w:rsid w:val="006157B5"/>
    <w:rsid w:val="00615847"/>
    <w:rsid w:val="00617E4A"/>
    <w:rsid w:val="006222AD"/>
    <w:rsid w:val="00626FC6"/>
    <w:rsid w:val="006276CD"/>
    <w:rsid w:val="006303B4"/>
    <w:rsid w:val="006308ED"/>
    <w:rsid w:val="006315CC"/>
    <w:rsid w:val="00632869"/>
    <w:rsid w:val="00633D3D"/>
    <w:rsid w:val="006341AC"/>
    <w:rsid w:val="0063492C"/>
    <w:rsid w:val="00634C61"/>
    <w:rsid w:val="00636F9B"/>
    <w:rsid w:val="00637DCC"/>
    <w:rsid w:val="00641703"/>
    <w:rsid w:val="006422EC"/>
    <w:rsid w:val="006431A6"/>
    <w:rsid w:val="00643556"/>
    <w:rsid w:val="006459F6"/>
    <w:rsid w:val="006501AD"/>
    <w:rsid w:val="00651488"/>
    <w:rsid w:val="00651BFA"/>
    <w:rsid w:val="00651FC1"/>
    <w:rsid w:val="00653CD6"/>
    <w:rsid w:val="00657A14"/>
    <w:rsid w:val="00665A4B"/>
    <w:rsid w:val="00666288"/>
    <w:rsid w:val="00666E11"/>
    <w:rsid w:val="006720BF"/>
    <w:rsid w:val="006735EC"/>
    <w:rsid w:val="00676A85"/>
    <w:rsid w:val="00681B23"/>
    <w:rsid w:val="00681BC4"/>
    <w:rsid w:val="0068477C"/>
    <w:rsid w:val="0068576E"/>
    <w:rsid w:val="00691B27"/>
    <w:rsid w:val="00692306"/>
    <w:rsid w:val="00692E2A"/>
    <w:rsid w:val="00697CC3"/>
    <w:rsid w:val="006A29CB"/>
    <w:rsid w:val="006A456F"/>
    <w:rsid w:val="006A76F2"/>
    <w:rsid w:val="006B1862"/>
    <w:rsid w:val="006B1FA2"/>
    <w:rsid w:val="006B2111"/>
    <w:rsid w:val="006B4AA8"/>
    <w:rsid w:val="006B5416"/>
    <w:rsid w:val="006B5F32"/>
    <w:rsid w:val="006B68B5"/>
    <w:rsid w:val="006C749C"/>
    <w:rsid w:val="006D12C5"/>
    <w:rsid w:val="006D1E82"/>
    <w:rsid w:val="006D26CC"/>
    <w:rsid w:val="006D40FB"/>
    <w:rsid w:val="006D5FC4"/>
    <w:rsid w:val="006D62F9"/>
    <w:rsid w:val="006D7D2F"/>
    <w:rsid w:val="006D7EFB"/>
    <w:rsid w:val="006E0B99"/>
    <w:rsid w:val="006E6672"/>
    <w:rsid w:val="006E6722"/>
    <w:rsid w:val="006E67EB"/>
    <w:rsid w:val="006E74AF"/>
    <w:rsid w:val="006F0FEC"/>
    <w:rsid w:val="006F4969"/>
    <w:rsid w:val="006F6EDB"/>
    <w:rsid w:val="006F749D"/>
    <w:rsid w:val="006F7B83"/>
    <w:rsid w:val="006F7E33"/>
    <w:rsid w:val="00700193"/>
    <w:rsid w:val="00700DF1"/>
    <w:rsid w:val="00700FFB"/>
    <w:rsid w:val="007027B9"/>
    <w:rsid w:val="00703446"/>
    <w:rsid w:val="00703F2D"/>
    <w:rsid w:val="007045B8"/>
    <w:rsid w:val="00704E79"/>
    <w:rsid w:val="00705A62"/>
    <w:rsid w:val="007079F6"/>
    <w:rsid w:val="00710020"/>
    <w:rsid w:val="007100BA"/>
    <w:rsid w:val="00713D8F"/>
    <w:rsid w:val="00715E88"/>
    <w:rsid w:val="00720FAE"/>
    <w:rsid w:val="00723425"/>
    <w:rsid w:val="00724CB6"/>
    <w:rsid w:val="00725AFD"/>
    <w:rsid w:val="00732D46"/>
    <w:rsid w:val="00734CAA"/>
    <w:rsid w:val="00735248"/>
    <w:rsid w:val="00741365"/>
    <w:rsid w:val="00752578"/>
    <w:rsid w:val="0075533C"/>
    <w:rsid w:val="00755AC5"/>
    <w:rsid w:val="00756631"/>
    <w:rsid w:val="00757581"/>
    <w:rsid w:val="00757C74"/>
    <w:rsid w:val="00760279"/>
    <w:rsid w:val="007611A0"/>
    <w:rsid w:val="00761B57"/>
    <w:rsid w:val="00762491"/>
    <w:rsid w:val="007634FB"/>
    <w:rsid w:val="00767933"/>
    <w:rsid w:val="00767E4A"/>
    <w:rsid w:val="007744F3"/>
    <w:rsid w:val="00782519"/>
    <w:rsid w:val="007854D9"/>
    <w:rsid w:val="0079054B"/>
    <w:rsid w:val="00790646"/>
    <w:rsid w:val="007915B8"/>
    <w:rsid w:val="00791A42"/>
    <w:rsid w:val="00796D3F"/>
    <w:rsid w:val="007A1683"/>
    <w:rsid w:val="007A2899"/>
    <w:rsid w:val="007A36F8"/>
    <w:rsid w:val="007A50CB"/>
    <w:rsid w:val="007A5C12"/>
    <w:rsid w:val="007A6A46"/>
    <w:rsid w:val="007A7AAD"/>
    <w:rsid w:val="007A7B04"/>
    <w:rsid w:val="007A7CB0"/>
    <w:rsid w:val="007B071F"/>
    <w:rsid w:val="007B09B5"/>
    <w:rsid w:val="007B2E36"/>
    <w:rsid w:val="007B4C30"/>
    <w:rsid w:val="007B62B1"/>
    <w:rsid w:val="007B68A3"/>
    <w:rsid w:val="007B751F"/>
    <w:rsid w:val="007C2541"/>
    <w:rsid w:val="007C7311"/>
    <w:rsid w:val="007C7AC5"/>
    <w:rsid w:val="007D015C"/>
    <w:rsid w:val="007D017C"/>
    <w:rsid w:val="007D0C52"/>
    <w:rsid w:val="007D1DC5"/>
    <w:rsid w:val="007D1EF5"/>
    <w:rsid w:val="007D2F6D"/>
    <w:rsid w:val="007D4135"/>
    <w:rsid w:val="007D44DF"/>
    <w:rsid w:val="007D496E"/>
    <w:rsid w:val="007D66A8"/>
    <w:rsid w:val="007E003F"/>
    <w:rsid w:val="007E0C4A"/>
    <w:rsid w:val="007E128C"/>
    <w:rsid w:val="007E1C21"/>
    <w:rsid w:val="007E5E91"/>
    <w:rsid w:val="007E6A78"/>
    <w:rsid w:val="007E7613"/>
    <w:rsid w:val="007F269F"/>
    <w:rsid w:val="007F28B6"/>
    <w:rsid w:val="007F3D03"/>
    <w:rsid w:val="007F4812"/>
    <w:rsid w:val="007F4A98"/>
    <w:rsid w:val="007F5DC0"/>
    <w:rsid w:val="0080083A"/>
    <w:rsid w:val="00800DCD"/>
    <w:rsid w:val="0080161D"/>
    <w:rsid w:val="00802B9E"/>
    <w:rsid w:val="00802E72"/>
    <w:rsid w:val="008033C0"/>
    <w:rsid w:val="00804457"/>
    <w:rsid w:val="00806E28"/>
    <w:rsid w:val="0080723B"/>
    <w:rsid w:val="00810250"/>
    <w:rsid w:val="008104DD"/>
    <w:rsid w:val="00810546"/>
    <w:rsid w:val="00810F67"/>
    <w:rsid w:val="00811318"/>
    <w:rsid w:val="0081276D"/>
    <w:rsid w:val="008164F2"/>
    <w:rsid w:val="00816F6C"/>
    <w:rsid w:val="00821395"/>
    <w:rsid w:val="00821ADF"/>
    <w:rsid w:val="00822253"/>
    <w:rsid w:val="008231DE"/>
    <w:rsid w:val="00824FB1"/>
    <w:rsid w:val="00826ACD"/>
    <w:rsid w:val="00827898"/>
    <w:rsid w:val="00827C03"/>
    <w:rsid w:val="00830E26"/>
    <w:rsid w:val="00834034"/>
    <w:rsid w:val="00842FD3"/>
    <w:rsid w:val="00843576"/>
    <w:rsid w:val="00843B64"/>
    <w:rsid w:val="0084691F"/>
    <w:rsid w:val="008478FC"/>
    <w:rsid w:val="008508A6"/>
    <w:rsid w:val="00851487"/>
    <w:rsid w:val="00852279"/>
    <w:rsid w:val="0085259D"/>
    <w:rsid w:val="008536BD"/>
    <w:rsid w:val="0085474D"/>
    <w:rsid w:val="00854A8C"/>
    <w:rsid w:val="008567A5"/>
    <w:rsid w:val="008579C2"/>
    <w:rsid w:val="0086003B"/>
    <w:rsid w:val="00863788"/>
    <w:rsid w:val="00867BFF"/>
    <w:rsid w:val="008727A7"/>
    <w:rsid w:val="00872E1D"/>
    <w:rsid w:val="0087465A"/>
    <w:rsid w:val="00877AAA"/>
    <w:rsid w:val="00882947"/>
    <w:rsid w:val="00882E3D"/>
    <w:rsid w:val="00883048"/>
    <w:rsid w:val="008836F7"/>
    <w:rsid w:val="0088480A"/>
    <w:rsid w:val="0088498A"/>
    <w:rsid w:val="0088757A"/>
    <w:rsid w:val="00887C5C"/>
    <w:rsid w:val="0089241F"/>
    <w:rsid w:val="00895368"/>
    <w:rsid w:val="008957DD"/>
    <w:rsid w:val="00897D98"/>
    <w:rsid w:val="008A01C6"/>
    <w:rsid w:val="008A26B4"/>
    <w:rsid w:val="008A3E6C"/>
    <w:rsid w:val="008A6DF2"/>
    <w:rsid w:val="008A7807"/>
    <w:rsid w:val="008A7852"/>
    <w:rsid w:val="008B09D8"/>
    <w:rsid w:val="008B124D"/>
    <w:rsid w:val="008B242D"/>
    <w:rsid w:val="008B2ACF"/>
    <w:rsid w:val="008B3BD1"/>
    <w:rsid w:val="008B3CC5"/>
    <w:rsid w:val="008B4CC9"/>
    <w:rsid w:val="008B6AF2"/>
    <w:rsid w:val="008C0522"/>
    <w:rsid w:val="008C0A18"/>
    <w:rsid w:val="008C2657"/>
    <w:rsid w:val="008C560C"/>
    <w:rsid w:val="008C5628"/>
    <w:rsid w:val="008D0FD6"/>
    <w:rsid w:val="008D2650"/>
    <w:rsid w:val="008D33CF"/>
    <w:rsid w:val="008D7C99"/>
    <w:rsid w:val="008E0FCB"/>
    <w:rsid w:val="008E1AFA"/>
    <w:rsid w:val="008E1BBA"/>
    <w:rsid w:val="008E33C7"/>
    <w:rsid w:val="008E6F1A"/>
    <w:rsid w:val="008F0099"/>
    <w:rsid w:val="008F295F"/>
    <w:rsid w:val="008F3039"/>
    <w:rsid w:val="008F3E46"/>
    <w:rsid w:val="008F410F"/>
    <w:rsid w:val="0090142E"/>
    <w:rsid w:val="00903CF3"/>
    <w:rsid w:val="00906E86"/>
    <w:rsid w:val="00906F7A"/>
    <w:rsid w:val="009102BC"/>
    <w:rsid w:val="00910D5D"/>
    <w:rsid w:val="009168C2"/>
    <w:rsid w:val="00917CEA"/>
    <w:rsid w:val="00921327"/>
    <w:rsid w:val="0092138B"/>
    <w:rsid w:val="009216FD"/>
    <w:rsid w:val="0092178C"/>
    <w:rsid w:val="009233C9"/>
    <w:rsid w:val="0092402C"/>
    <w:rsid w:val="00924E8E"/>
    <w:rsid w:val="0092608B"/>
    <w:rsid w:val="0092758B"/>
    <w:rsid w:val="00930A1D"/>
    <w:rsid w:val="00930B88"/>
    <w:rsid w:val="009325EC"/>
    <w:rsid w:val="00936158"/>
    <w:rsid w:val="0094083E"/>
    <w:rsid w:val="00940DCC"/>
    <w:rsid w:val="0094179A"/>
    <w:rsid w:val="00942A37"/>
    <w:rsid w:val="009432DD"/>
    <w:rsid w:val="00943D3D"/>
    <w:rsid w:val="0094459E"/>
    <w:rsid w:val="00944AE9"/>
    <w:rsid w:val="00944DBC"/>
    <w:rsid w:val="0094600C"/>
    <w:rsid w:val="00947AEA"/>
    <w:rsid w:val="00947C09"/>
    <w:rsid w:val="00950977"/>
    <w:rsid w:val="00951A7B"/>
    <w:rsid w:val="009555CB"/>
    <w:rsid w:val="009564A6"/>
    <w:rsid w:val="00957DBC"/>
    <w:rsid w:val="009614E8"/>
    <w:rsid w:val="00962AE3"/>
    <w:rsid w:val="00963600"/>
    <w:rsid w:val="00964D37"/>
    <w:rsid w:val="009665A3"/>
    <w:rsid w:val="00967621"/>
    <w:rsid w:val="00967E6A"/>
    <w:rsid w:val="009723A9"/>
    <w:rsid w:val="009730E9"/>
    <w:rsid w:val="0097410F"/>
    <w:rsid w:val="00975D04"/>
    <w:rsid w:val="00980055"/>
    <w:rsid w:val="00982E51"/>
    <w:rsid w:val="009860F7"/>
    <w:rsid w:val="00990418"/>
    <w:rsid w:val="00991C88"/>
    <w:rsid w:val="009928B8"/>
    <w:rsid w:val="009935AC"/>
    <w:rsid w:val="009974B6"/>
    <w:rsid w:val="00997B42"/>
    <w:rsid w:val="009A0BBC"/>
    <w:rsid w:val="009A2A3C"/>
    <w:rsid w:val="009A40DF"/>
    <w:rsid w:val="009A442F"/>
    <w:rsid w:val="009A5C63"/>
    <w:rsid w:val="009B1F42"/>
    <w:rsid w:val="009B2FBB"/>
    <w:rsid w:val="009B4A0F"/>
    <w:rsid w:val="009C0E87"/>
    <w:rsid w:val="009C11D2"/>
    <w:rsid w:val="009C2187"/>
    <w:rsid w:val="009C44C4"/>
    <w:rsid w:val="009C5957"/>
    <w:rsid w:val="009C6BCA"/>
    <w:rsid w:val="009C6C70"/>
    <w:rsid w:val="009D0B63"/>
    <w:rsid w:val="009D1578"/>
    <w:rsid w:val="009D3A16"/>
    <w:rsid w:val="009D5F11"/>
    <w:rsid w:val="009D6A1B"/>
    <w:rsid w:val="009E14E6"/>
    <w:rsid w:val="009E24AB"/>
    <w:rsid w:val="009E268A"/>
    <w:rsid w:val="009E307E"/>
    <w:rsid w:val="009E3236"/>
    <w:rsid w:val="009E6E70"/>
    <w:rsid w:val="009F01C0"/>
    <w:rsid w:val="009F1F06"/>
    <w:rsid w:val="009F30DC"/>
    <w:rsid w:val="009F5045"/>
    <w:rsid w:val="00A010B9"/>
    <w:rsid w:val="00A02B58"/>
    <w:rsid w:val="00A02FEE"/>
    <w:rsid w:val="00A07870"/>
    <w:rsid w:val="00A07CB1"/>
    <w:rsid w:val="00A07F19"/>
    <w:rsid w:val="00A07F65"/>
    <w:rsid w:val="00A10BE3"/>
    <w:rsid w:val="00A12CED"/>
    <w:rsid w:val="00A1348D"/>
    <w:rsid w:val="00A1496F"/>
    <w:rsid w:val="00A15880"/>
    <w:rsid w:val="00A1738F"/>
    <w:rsid w:val="00A17AC1"/>
    <w:rsid w:val="00A2088A"/>
    <w:rsid w:val="00A20E66"/>
    <w:rsid w:val="00A22966"/>
    <w:rsid w:val="00A232EE"/>
    <w:rsid w:val="00A23DA2"/>
    <w:rsid w:val="00A241AD"/>
    <w:rsid w:val="00A246FC"/>
    <w:rsid w:val="00A253BD"/>
    <w:rsid w:val="00A267F4"/>
    <w:rsid w:val="00A26C92"/>
    <w:rsid w:val="00A27328"/>
    <w:rsid w:val="00A273BE"/>
    <w:rsid w:val="00A30DFD"/>
    <w:rsid w:val="00A31B78"/>
    <w:rsid w:val="00A3275B"/>
    <w:rsid w:val="00A32A8E"/>
    <w:rsid w:val="00A3305F"/>
    <w:rsid w:val="00A334BB"/>
    <w:rsid w:val="00A33810"/>
    <w:rsid w:val="00A33E7F"/>
    <w:rsid w:val="00A3582E"/>
    <w:rsid w:val="00A36B50"/>
    <w:rsid w:val="00A4175F"/>
    <w:rsid w:val="00A41922"/>
    <w:rsid w:val="00A42391"/>
    <w:rsid w:val="00A44411"/>
    <w:rsid w:val="00A44A84"/>
    <w:rsid w:val="00A44EBC"/>
    <w:rsid w:val="00A46594"/>
    <w:rsid w:val="00A469FA"/>
    <w:rsid w:val="00A46E5A"/>
    <w:rsid w:val="00A53C43"/>
    <w:rsid w:val="00A55B01"/>
    <w:rsid w:val="00A56B5B"/>
    <w:rsid w:val="00A603FF"/>
    <w:rsid w:val="00A6051B"/>
    <w:rsid w:val="00A657DD"/>
    <w:rsid w:val="00A666A6"/>
    <w:rsid w:val="00A66A53"/>
    <w:rsid w:val="00A66A8A"/>
    <w:rsid w:val="00A675FD"/>
    <w:rsid w:val="00A67C60"/>
    <w:rsid w:val="00A70475"/>
    <w:rsid w:val="00A72437"/>
    <w:rsid w:val="00A75DA0"/>
    <w:rsid w:val="00A8022C"/>
    <w:rsid w:val="00A80611"/>
    <w:rsid w:val="00A8365C"/>
    <w:rsid w:val="00A92A88"/>
    <w:rsid w:val="00A92FA6"/>
    <w:rsid w:val="00A966E4"/>
    <w:rsid w:val="00A97D6D"/>
    <w:rsid w:val="00AA2C78"/>
    <w:rsid w:val="00AA3668"/>
    <w:rsid w:val="00AA7454"/>
    <w:rsid w:val="00AA7973"/>
    <w:rsid w:val="00AA7E52"/>
    <w:rsid w:val="00AB07CE"/>
    <w:rsid w:val="00AB26FC"/>
    <w:rsid w:val="00AB3C1F"/>
    <w:rsid w:val="00AB4929"/>
    <w:rsid w:val="00AB5340"/>
    <w:rsid w:val="00AB538F"/>
    <w:rsid w:val="00AB53DC"/>
    <w:rsid w:val="00AB5ADD"/>
    <w:rsid w:val="00AB61FB"/>
    <w:rsid w:val="00AC12E7"/>
    <w:rsid w:val="00AC4F2E"/>
    <w:rsid w:val="00AC5271"/>
    <w:rsid w:val="00AC5488"/>
    <w:rsid w:val="00AC6208"/>
    <w:rsid w:val="00AC6F9F"/>
    <w:rsid w:val="00AC7389"/>
    <w:rsid w:val="00AC7532"/>
    <w:rsid w:val="00AC7C96"/>
    <w:rsid w:val="00AD310B"/>
    <w:rsid w:val="00AD63E2"/>
    <w:rsid w:val="00AE237D"/>
    <w:rsid w:val="00AE3FDB"/>
    <w:rsid w:val="00AE41DE"/>
    <w:rsid w:val="00AE4CEF"/>
    <w:rsid w:val="00AE502A"/>
    <w:rsid w:val="00AE5D3B"/>
    <w:rsid w:val="00AF1246"/>
    <w:rsid w:val="00AF1E55"/>
    <w:rsid w:val="00AF5B52"/>
    <w:rsid w:val="00AF7C07"/>
    <w:rsid w:val="00B0755D"/>
    <w:rsid w:val="00B1307E"/>
    <w:rsid w:val="00B146DC"/>
    <w:rsid w:val="00B15EF0"/>
    <w:rsid w:val="00B213DF"/>
    <w:rsid w:val="00B22C93"/>
    <w:rsid w:val="00B22CDE"/>
    <w:rsid w:val="00B22E2E"/>
    <w:rsid w:val="00B24440"/>
    <w:rsid w:val="00B24FD9"/>
    <w:rsid w:val="00B25282"/>
    <w:rsid w:val="00B27589"/>
    <w:rsid w:val="00B313AF"/>
    <w:rsid w:val="00B31D57"/>
    <w:rsid w:val="00B33777"/>
    <w:rsid w:val="00B34435"/>
    <w:rsid w:val="00B364F0"/>
    <w:rsid w:val="00B405B7"/>
    <w:rsid w:val="00B44FF0"/>
    <w:rsid w:val="00B46C82"/>
    <w:rsid w:val="00B47AE3"/>
    <w:rsid w:val="00B50850"/>
    <w:rsid w:val="00B52222"/>
    <w:rsid w:val="00B53A90"/>
    <w:rsid w:val="00B54503"/>
    <w:rsid w:val="00B54FE7"/>
    <w:rsid w:val="00B56117"/>
    <w:rsid w:val="00B64184"/>
    <w:rsid w:val="00B6644B"/>
    <w:rsid w:val="00B66901"/>
    <w:rsid w:val="00B66B46"/>
    <w:rsid w:val="00B671D3"/>
    <w:rsid w:val="00B70534"/>
    <w:rsid w:val="00B714D6"/>
    <w:rsid w:val="00B71E6D"/>
    <w:rsid w:val="00B72070"/>
    <w:rsid w:val="00B723D2"/>
    <w:rsid w:val="00B73431"/>
    <w:rsid w:val="00B743A5"/>
    <w:rsid w:val="00B74C91"/>
    <w:rsid w:val="00B75BE7"/>
    <w:rsid w:val="00B75E65"/>
    <w:rsid w:val="00B772EE"/>
    <w:rsid w:val="00B779E1"/>
    <w:rsid w:val="00B77E64"/>
    <w:rsid w:val="00B810DD"/>
    <w:rsid w:val="00B82B03"/>
    <w:rsid w:val="00B84155"/>
    <w:rsid w:val="00B86A9D"/>
    <w:rsid w:val="00B90D24"/>
    <w:rsid w:val="00B91EE1"/>
    <w:rsid w:val="00B93752"/>
    <w:rsid w:val="00B9443B"/>
    <w:rsid w:val="00B9514E"/>
    <w:rsid w:val="00B9552C"/>
    <w:rsid w:val="00B95EEF"/>
    <w:rsid w:val="00BA0090"/>
    <w:rsid w:val="00BA07C2"/>
    <w:rsid w:val="00BA1A67"/>
    <w:rsid w:val="00BA1B75"/>
    <w:rsid w:val="00BA1D25"/>
    <w:rsid w:val="00BA2B86"/>
    <w:rsid w:val="00BA7883"/>
    <w:rsid w:val="00BB01BE"/>
    <w:rsid w:val="00BB5930"/>
    <w:rsid w:val="00BB6A7B"/>
    <w:rsid w:val="00BB7FD2"/>
    <w:rsid w:val="00BC5275"/>
    <w:rsid w:val="00BC64CE"/>
    <w:rsid w:val="00BC6E97"/>
    <w:rsid w:val="00BD1990"/>
    <w:rsid w:val="00BD4928"/>
    <w:rsid w:val="00BE0936"/>
    <w:rsid w:val="00BE1392"/>
    <w:rsid w:val="00BE35D6"/>
    <w:rsid w:val="00BE3964"/>
    <w:rsid w:val="00BE4573"/>
    <w:rsid w:val="00BE5B5F"/>
    <w:rsid w:val="00BE5D34"/>
    <w:rsid w:val="00BE786A"/>
    <w:rsid w:val="00BF09EB"/>
    <w:rsid w:val="00BF3FAB"/>
    <w:rsid w:val="00C0204F"/>
    <w:rsid w:val="00C035A4"/>
    <w:rsid w:val="00C04687"/>
    <w:rsid w:val="00C103AA"/>
    <w:rsid w:val="00C12D49"/>
    <w:rsid w:val="00C1393B"/>
    <w:rsid w:val="00C13CE7"/>
    <w:rsid w:val="00C15C68"/>
    <w:rsid w:val="00C17C0C"/>
    <w:rsid w:val="00C20049"/>
    <w:rsid w:val="00C21127"/>
    <w:rsid w:val="00C22CB2"/>
    <w:rsid w:val="00C26F55"/>
    <w:rsid w:val="00C30C63"/>
    <w:rsid w:val="00C31FBB"/>
    <w:rsid w:val="00C36B8B"/>
    <w:rsid w:val="00C36CCE"/>
    <w:rsid w:val="00C43DB6"/>
    <w:rsid w:val="00C46995"/>
    <w:rsid w:val="00C47DBF"/>
    <w:rsid w:val="00C52101"/>
    <w:rsid w:val="00C546E0"/>
    <w:rsid w:val="00C552FF"/>
    <w:rsid w:val="00C558DA"/>
    <w:rsid w:val="00C55AF3"/>
    <w:rsid w:val="00C55CD4"/>
    <w:rsid w:val="00C56374"/>
    <w:rsid w:val="00C56DE1"/>
    <w:rsid w:val="00C605DB"/>
    <w:rsid w:val="00C60942"/>
    <w:rsid w:val="00C6224C"/>
    <w:rsid w:val="00C65429"/>
    <w:rsid w:val="00C65A9E"/>
    <w:rsid w:val="00C66CAB"/>
    <w:rsid w:val="00C70450"/>
    <w:rsid w:val="00C71EA8"/>
    <w:rsid w:val="00C73463"/>
    <w:rsid w:val="00C7693A"/>
    <w:rsid w:val="00C777A8"/>
    <w:rsid w:val="00C8019D"/>
    <w:rsid w:val="00C807C3"/>
    <w:rsid w:val="00C808B0"/>
    <w:rsid w:val="00C82A90"/>
    <w:rsid w:val="00C83C61"/>
    <w:rsid w:val="00C83CB2"/>
    <w:rsid w:val="00C84212"/>
    <w:rsid w:val="00C84759"/>
    <w:rsid w:val="00C90F6C"/>
    <w:rsid w:val="00C92203"/>
    <w:rsid w:val="00C93EAB"/>
    <w:rsid w:val="00C951CF"/>
    <w:rsid w:val="00C95915"/>
    <w:rsid w:val="00C964FD"/>
    <w:rsid w:val="00C97E6B"/>
    <w:rsid w:val="00CA0A2A"/>
    <w:rsid w:val="00CA4666"/>
    <w:rsid w:val="00CA6C7F"/>
    <w:rsid w:val="00CB0D48"/>
    <w:rsid w:val="00CB136A"/>
    <w:rsid w:val="00CB3B32"/>
    <w:rsid w:val="00CC10A6"/>
    <w:rsid w:val="00CC119C"/>
    <w:rsid w:val="00CC6F53"/>
    <w:rsid w:val="00CD0DCE"/>
    <w:rsid w:val="00CD148C"/>
    <w:rsid w:val="00CD3C9F"/>
    <w:rsid w:val="00CD4043"/>
    <w:rsid w:val="00CD5EB8"/>
    <w:rsid w:val="00CD6946"/>
    <w:rsid w:val="00CD7044"/>
    <w:rsid w:val="00CE08B9"/>
    <w:rsid w:val="00CE19F1"/>
    <w:rsid w:val="00CE1A52"/>
    <w:rsid w:val="00CE2A76"/>
    <w:rsid w:val="00CE2DE7"/>
    <w:rsid w:val="00CE524C"/>
    <w:rsid w:val="00CE55CE"/>
    <w:rsid w:val="00CE610B"/>
    <w:rsid w:val="00CE74AB"/>
    <w:rsid w:val="00CF141F"/>
    <w:rsid w:val="00CF1573"/>
    <w:rsid w:val="00CF4777"/>
    <w:rsid w:val="00CF56C4"/>
    <w:rsid w:val="00CF5B89"/>
    <w:rsid w:val="00CF716D"/>
    <w:rsid w:val="00CF724C"/>
    <w:rsid w:val="00D02D90"/>
    <w:rsid w:val="00D02FE8"/>
    <w:rsid w:val="00D05220"/>
    <w:rsid w:val="00D05649"/>
    <w:rsid w:val="00D067BB"/>
    <w:rsid w:val="00D07CCF"/>
    <w:rsid w:val="00D11628"/>
    <w:rsid w:val="00D1352A"/>
    <w:rsid w:val="00D169AF"/>
    <w:rsid w:val="00D21215"/>
    <w:rsid w:val="00D23341"/>
    <w:rsid w:val="00D2515B"/>
    <w:rsid w:val="00D25249"/>
    <w:rsid w:val="00D253B3"/>
    <w:rsid w:val="00D25DC6"/>
    <w:rsid w:val="00D279AC"/>
    <w:rsid w:val="00D318F8"/>
    <w:rsid w:val="00D32566"/>
    <w:rsid w:val="00D36F43"/>
    <w:rsid w:val="00D402E8"/>
    <w:rsid w:val="00D42507"/>
    <w:rsid w:val="00D42963"/>
    <w:rsid w:val="00D44172"/>
    <w:rsid w:val="00D4561F"/>
    <w:rsid w:val="00D45D37"/>
    <w:rsid w:val="00D62BDE"/>
    <w:rsid w:val="00D63B8C"/>
    <w:rsid w:val="00D6539F"/>
    <w:rsid w:val="00D6588D"/>
    <w:rsid w:val="00D658DD"/>
    <w:rsid w:val="00D65A44"/>
    <w:rsid w:val="00D66C68"/>
    <w:rsid w:val="00D70C67"/>
    <w:rsid w:val="00D739CC"/>
    <w:rsid w:val="00D741A4"/>
    <w:rsid w:val="00D7548E"/>
    <w:rsid w:val="00D757EC"/>
    <w:rsid w:val="00D8093D"/>
    <w:rsid w:val="00D8108C"/>
    <w:rsid w:val="00D81EDF"/>
    <w:rsid w:val="00D842AE"/>
    <w:rsid w:val="00D85528"/>
    <w:rsid w:val="00D86AC3"/>
    <w:rsid w:val="00D90D13"/>
    <w:rsid w:val="00D918BA"/>
    <w:rsid w:val="00D9211C"/>
    <w:rsid w:val="00D92DE0"/>
    <w:rsid w:val="00D92FEF"/>
    <w:rsid w:val="00D93A0F"/>
    <w:rsid w:val="00D958BA"/>
    <w:rsid w:val="00DA1BCA"/>
    <w:rsid w:val="00DA2567"/>
    <w:rsid w:val="00DB4CD2"/>
    <w:rsid w:val="00DB58A2"/>
    <w:rsid w:val="00DB61E3"/>
    <w:rsid w:val="00DB649F"/>
    <w:rsid w:val="00DB74AF"/>
    <w:rsid w:val="00DC270F"/>
    <w:rsid w:val="00DC46FF"/>
    <w:rsid w:val="00DC4D05"/>
    <w:rsid w:val="00DC5254"/>
    <w:rsid w:val="00DC5278"/>
    <w:rsid w:val="00DD1A4F"/>
    <w:rsid w:val="00DD3107"/>
    <w:rsid w:val="00DD6CAF"/>
    <w:rsid w:val="00DD768C"/>
    <w:rsid w:val="00DD7C2C"/>
    <w:rsid w:val="00DE015D"/>
    <w:rsid w:val="00DE1896"/>
    <w:rsid w:val="00DE2B4C"/>
    <w:rsid w:val="00DE3641"/>
    <w:rsid w:val="00DE57B2"/>
    <w:rsid w:val="00DE5C6A"/>
    <w:rsid w:val="00DF07BB"/>
    <w:rsid w:val="00E01CD2"/>
    <w:rsid w:val="00E03464"/>
    <w:rsid w:val="00E050E1"/>
    <w:rsid w:val="00E06797"/>
    <w:rsid w:val="00E06AA8"/>
    <w:rsid w:val="00E10131"/>
    <w:rsid w:val="00E11065"/>
    <w:rsid w:val="00E1265B"/>
    <w:rsid w:val="00E12AA6"/>
    <w:rsid w:val="00E13B48"/>
    <w:rsid w:val="00E1404F"/>
    <w:rsid w:val="00E143EB"/>
    <w:rsid w:val="00E145EB"/>
    <w:rsid w:val="00E20F2C"/>
    <w:rsid w:val="00E21C83"/>
    <w:rsid w:val="00E2371B"/>
    <w:rsid w:val="00E24ADA"/>
    <w:rsid w:val="00E25C6C"/>
    <w:rsid w:val="00E275AE"/>
    <w:rsid w:val="00E32F59"/>
    <w:rsid w:val="00E347DB"/>
    <w:rsid w:val="00E41021"/>
    <w:rsid w:val="00E43CCE"/>
    <w:rsid w:val="00E45369"/>
    <w:rsid w:val="00E461B0"/>
    <w:rsid w:val="00E46D9A"/>
    <w:rsid w:val="00E54BD4"/>
    <w:rsid w:val="00E54E03"/>
    <w:rsid w:val="00E565FF"/>
    <w:rsid w:val="00E60F76"/>
    <w:rsid w:val="00E62FEB"/>
    <w:rsid w:val="00E65388"/>
    <w:rsid w:val="00E65898"/>
    <w:rsid w:val="00E7402C"/>
    <w:rsid w:val="00E745D8"/>
    <w:rsid w:val="00E82A08"/>
    <w:rsid w:val="00E832C0"/>
    <w:rsid w:val="00E83638"/>
    <w:rsid w:val="00E84429"/>
    <w:rsid w:val="00E853BB"/>
    <w:rsid w:val="00E85B7D"/>
    <w:rsid w:val="00E86D63"/>
    <w:rsid w:val="00E9074F"/>
    <w:rsid w:val="00E9121B"/>
    <w:rsid w:val="00E93B68"/>
    <w:rsid w:val="00E94B1F"/>
    <w:rsid w:val="00E94FF5"/>
    <w:rsid w:val="00EA0AE2"/>
    <w:rsid w:val="00EA1FEE"/>
    <w:rsid w:val="00EA39E5"/>
    <w:rsid w:val="00EA6360"/>
    <w:rsid w:val="00EB0DB6"/>
    <w:rsid w:val="00EB1694"/>
    <w:rsid w:val="00EB27B2"/>
    <w:rsid w:val="00EB48F4"/>
    <w:rsid w:val="00EB51DE"/>
    <w:rsid w:val="00EB5AE3"/>
    <w:rsid w:val="00EB6F85"/>
    <w:rsid w:val="00EB7226"/>
    <w:rsid w:val="00EC023C"/>
    <w:rsid w:val="00EC2A0E"/>
    <w:rsid w:val="00EC5261"/>
    <w:rsid w:val="00EC5A46"/>
    <w:rsid w:val="00EC5B0D"/>
    <w:rsid w:val="00EC63E2"/>
    <w:rsid w:val="00ED1C34"/>
    <w:rsid w:val="00ED563F"/>
    <w:rsid w:val="00ED78F0"/>
    <w:rsid w:val="00EE2B07"/>
    <w:rsid w:val="00EE6EFF"/>
    <w:rsid w:val="00EE74E6"/>
    <w:rsid w:val="00EF1A9D"/>
    <w:rsid w:val="00EF22B3"/>
    <w:rsid w:val="00EF3695"/>
    <w:rsid w:val="00EF4136"/>
    <w:rsid w:val="00EF44D2"/>
    <w:rsid w:val="00F00269"/>
    <w:rsid w:val="00F00FBC"/>
    <w:rsid w:val="00F01B5C"/>
    <w:rsid w:val="00F02AF6"/>
    <w:rsid w:val="00F03516"/>
    <w:rsid w:val="00F03B69"/>
    <w:rsid w:val="00F07A50"/>
    <w:rsid w:val="00F113DA"/>
    <w:rsid w:val="00F13547"/>
    <w:rsid w:val="00F16F62"/>
    <w:rsid w:val="00F200B0"/>
    <w:rsid w:val="00F23C45"/>
    <w:rsid w:val="00F24B80"/>
    <w:rsid w:val="00F26896"/>
    <w:rsid w:val="00F26ACA"/>
    <w:rsid w:val="00F2708A"/>
    <w:rsid w:val="00F27874"/>
    <w:rsid w:val="00F31BC0"/>
    <w:rsid w:val="00F32816"/>
    <w:rsid w:val="00F3320F"/>
    <w:rsid w:val="00F36BA9"/>
    <w:rsid w:val="00F37DC8"/>
    <w:rsid w:val="00F40C3C"/>
    <w:rsid w:val="00F41C71"/>
    <w:rsid w:val="00F42047"/>
    <w:rsid w:val="00F439B3"/>
    <w:rsid w:val="00F46086"/>
    <w:rsid w:val="00F47A52"/>
    <w:rsid w:val="00F47C96"/>
    <w:rsid w:val="00F51565"/>
    <w:rsid w:val="00F51FD9"/>
    <w:rsid w:val="00F5241A"/>
    <w:rsid w:val="00F5280C"/>
    <w:rsid w:val="00F548A7"/>
    <w:rsid w:val="00F5519E"/>
    <w:rsid w:val="00F62B29"/>
    <w:rsid w:val="00F62F25"/>
    <w:rsid w:val="00F634B7"/>
    <w:rsid w:val="00F63788"/>
    <w:rsid w:val="00F650C3"/>
    <w:rsid w:val="00F65D85"/>
    <w:rsid w:val="00F73B3E"/>
    <w:rsid w:val="00F740A4"/>
    <w:rsid w:val="00F741CF"/>
    <w:rsid w:val="00F7517A"/>
    <w:rsid w:val="00F75264"/>
    <w:rsid w:val="00F7622A"/>
    <w:rsid w:val="00F807E8"/>
    <w:rsid w:val="00F8091E"/>
    <w:rsid w:val="00F80A22"/>
    <w:rsid w:val="00F83283"/>
    <w:rsid w:val="00F8615C"/>
    <w:rsid w:val="00F912DE"/>
    <w:rsid w:val="00F91632"/>
    <w:rsid w:val="00F94F82"/>
    <w:rsid w:val="00F969E5"/>
    <w:rsid w:val="00FA1E75"/>
    <w:rsid w:val="00FA34A3"/>
    <w:rsid w:val="00FA3F7A"/>
    <w:rsid w:val="00FA60A6"/>
    <w:rsid w:val="00FA6981"/>
    <w:rsid w:val="00FA6BB0"/>
    <w:rsid w:val="00FA6DF9"/>
    <w:rsid w:val="00FB0069"/>
    <w:rsid w:val="00FB7A41"/>
    <w:rsid w:val="00FC16C9"/>
    <w:rsid w:val="00FC45D5"/>
    <w:rsid w:val="00FC49C4"/>
    <w:rsid w:val="00FC63BE"/>
    <w:rsid w:val="00FD3624"/>
    <w:rsid w:val="00FD5860"/>
    <w:rsid w:val="00FD5F89"/>
    <w:rsid w:val="00FD68FA"/>
    <w:rsid w:val="00FE0B37"/>
    <w:rsid w:val="00FE352D"/>
    <w:rsid w:val="00FE40EB"/>
    <w:rsid w:val="00FE4957"/>
    <w:rsid w:val="00FE4D02"/>
    <w:rsid w:val="00FE64CC"/>
    <w:rsid w:val="00FE685E"/>
    <w:rsid w:val="00FE7073"/>
    <w:rsid w:val="00FE7D62"/>
    <w:rsid w:val="00FF244D"/>
    <w:rsid w:val="00FF3819"/>
    <w:rsid w:val="00FF75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1A03CACC"/>
  <w15:docId w15:val="{A23809FE-5DDA-46E2-A20F-415AE09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269"/>
    <w:pPr>
      <w:tabs>
        <w:tab w:val="left" w:pos="1247"/>
        <w:tab w:val="left" w:pos="1814"/>
        <w:tab w:val="left" w:pos="2381"/>
        <w:tab w:val="left" w:pos="2948"/>
        <w:tab w:val="left" w:pos="3515"/>
      </w:tabs>
    </w:pPr>
    <w:rPr>
      <w:rFonts w:cs="Traditional Arabic" w:hint="cs"/>
      <w:szCs w:val="30"/>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ootnote01,-E Fußnotentext,ft,Fußnote,Fußnotentext Ursprung,fn,footnote text"/>
    <w:basedOn w:val="Normalpool"/>
    <w:link w:val="FootnoteTextChar"/>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aliases w:val=" Char,Cha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numPr>
        <w:numId w:val="2"/>
      </w:num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rsid w:val="00F002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uiPriority w:val="99"/>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uiPriority w:val="99"/>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uiPriority w:val="99"/>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5"/>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uiPriority w:val="99"/>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uiPriority w:val="99"/>
    <w:rsid w:val="00F00269"/>
    <w:rPr>
      <w:rFonts w:ascii="Tahoma" w:hAnsi="Tahoma"/>
      <w:sz w:val="16"/>
      <w:szCs w:val="16"/>
      <w:lang w:val="en-GB" w:eastAsia="en-US"/>
    </w:rPr>
  </w:style>
  <w:style w:type="paragraph" w:styleId="CommentSubject">
    <w:name w:val="annotation subject"/>
    <w:basedOn w:val="CommentText"/>
    <w:next w:val="CommentText"/>
    <w:link w:val="CommentSubjectChar"/>
    <w:uiPriority w:val="99"/>
    <w:unhideWhenUsed/>
    <w:rsid w:val="00F00269"/>
    <w:rPr>
      <w:rFonts w:eastAsia="SimSun"/>
      <w:b/>
      <w:bCs/>
      <w:lang w:eastAsia="zh-CN"/>
    </w:rPr>
  </w:style>
  <w:style w:type="character" w:customStyle="1" w:styleId="CommentSubjectChar">
    <w:name w:val="Comment Subject Char"/>
    <w:link w:val="CommentSubject"/>
    <w:uiPriority w:val="99"/>
    <w:rsid w:val="00F00269"/>
    <w:rPr>
      <w:rFonts w:eastAsia="SimSun"/>
      <w:b/>
      <w:bCs/>
      <w:lang w:val="en-GB" w:eastAsia="zh-CN"/>
    </w:rPr>
  </w:style>
  <w:style w:type="paragraph" w:customStyle="1" w:styleId="Ingenmellomrom1">
    <w:name w:val="Ingen mellomrom1"/>
    <w:qFormat/>
    <w:rsid w:val="00F00269"/>
    <w:rPr>
      <w:rFonts w:eastAsia="SimSun"/>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rFonts w:eastAsia="SimSun"/>
      <w:sz w:val="24"/>
      <w:szCs w:val="24"/>
      <w:lang w:eastAsia="zh-CN"/>
    </w:rPr>
  </w:style>
  <w:style w:type="paragraph" w:customStyle="1" w:styleId="MediumList2-Accent22">
    <w:name w:val="Medium List 2 - Accent 22"/>
    <w:hidden/>
    <w:semiHidden/>
    <w:rsid w:val="00F00269"/>
    <w:rPr>
      <w:rFonts w:eastAsia="SimSun"/>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ootnote01 Char,ft Char"/>
    <w:link w:val="FootnoteText"/>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rFonts w:eastAsia="SimSun"/>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rFonts w:eastAsia="SimSun"/>
      <w:sz w:val="24"/>
      <w:szCs w:val="24"/>
      <w:lang w:val="pt-BR" w:eastAsia="pt-BR"/>
    </w:rPr>
  </w:style>
  <w:style w:type="character" w:customStyle="1" w:styleId="FooterChar">
    <w:name w:val="Footer Char"/>
    <w:aliases w:val=" Char Char,Char Char"/>
    <w:link w:val="Footer"/>
    <w:uiPriority w:val="99"/>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rFonts w:cs="Traditional Arabic"/>
      <w:snapToGrid w:val="0"/>
      <w:szCs w:val="30"/>
      <w:u w:val="single"/>
      <w:lang w:val="en-US" w:eastAsia="en-US"/>
    </w:rPr>
  </w:style>
  <w:style w:type="character" w:customStyle="1" w:styleId="Heading9Char">
    <w:name w:val="Heading 9 Char"/>
    <w:link w:val="Heading9"/>
    <w:rsid w:val="00F00269"/>
    <w:rPr>
      <w:rFonts w:cs="Traditional Arabic"/>
      <w:snapToGrid w:val="0"/>
      <w:szCs w:val="3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numbering" w:customStyle="1" w:styleId="Normallist1">
    <w:name w:val="Normal_list1"/>
    <w:basedOn w:val="NoList"/>
    <w:rsid w:val="0012724E"/>
  </w:style>
  <w:style w:type="paragraph" w:customStyle="1" w:styleId="font6">
    <w:name w:val="font6"/>
    <w:basedOn w:val="Normal"/>
    <w:rsid w:val="008F410F"/>
    <w:pPr>
      <w:tabs>
        <w:tab w:val="clear" w:pos="1247"/>
        <w:tab w:val="clear" w:pos="1814"/>
        <w:tab w:val="clear" w:pos="2381"/>
        <w:tab w:val="clear" w:pos="2948"/>
        <w:tab w:val="clear" w:pos="3515"/>
      </w:tabs>
      <w:spacing w:before="100" w:beforeAutospacing="1" w:after="100" w:afterAutospacing="1"/>
    </w:pPr>
    <w:rPr>
      <w:rFonts w:ascii="Arial" w:eastAsia="Arial Unicode MS" w:hAnsi="Arial" w:cs="Arial" w:hint="default"/>
      <w:szCs w:val="20"/>
      <w:lang w:val="fr-FR" w:eastAsia="fr-FR"/>
    </w:rPr>
  </w:style>
  <w:style w:type="paragraph" w:customStyle="1" w:styleId="HCh">
    <w:name w:val="_ H _Ch"/>
    <w:basedOn w:val="Normal"/>
    <w:next w:val="SingleTxt"/>
    <w:rsid w:val="008F410F"/>
    <w:pPr>
      <w:keepNext/>
      <w:keepLines/>
      <w:tabs>
        <w:tab w:val="clear" w:pos="1247"/>
        <w:tab w:val="clear" w:pos="1814"/>
        <w:tab w:val="clear" w:pos="2381"/>
        <w:tab w:val="clear" w:pos="2948"/>
        <w:tab w:val="clear" w:pos="3515"/>
      </w:tabs>
      <w:suppressAutoHyphens/>
      <w:bidi/>
      <w:spacing w:line="450" w:lineRule="exact"/>
      <w:jc w:val="lowKashida"/>
      <w:outlineLvl w:val="0"/>
    </w:pPr>
    <w:rPr>
      <w:rFonts w:hint="default"/>
      <w:b/>
      <w:bCs/>
      <w:spacing w:val="-2"/>
      <w:w w:val="103"/>
      <w:kern w:val="14"/>
      <w:sz w:val="28"/>
      <w:szCs w:val="38"/>
      <w:lang w:val="en-US"/>
    </w:rPr>
  </w:style>
  <w:style w:type="character" w:customStyle="1" w:styleId="DeltaViewInsertion">
    <w:name w:val="DeltaView Insertion"/>
    <w:uiPriority w:val="99"/>
    <w:rsid w:val="001C0857"/>
    <w:rPr>
      <w:color w:val="0000FF"/>
      <w:u w:val="double"/>
    </w:rPr>
  </w:style>
  <w:style w:type="paragraph" w:customStyle="1" w:styleId="AnnexTitle">
    <w:name w:val="Annex Title"/>
    <w:basedOn w:val="Normal-pool"/>
    <w:qFormat/>
    <w:rsid w:val="001C0857"/>
    <w:pPr>
      <w:pageBreakBefore/>
      <w:tabs>
        <w:tab w:val="clear" w:pos="4082"/>
      </w:tabs>
    </w:pPr>
    <w:rPr>
      <w:b/>
      <w:bCs/>
      <w:sz w:val="28"/>
      <w:szCs w:val="22"/>
    </w:rPr>
  </w:style>
  <w:style w:type="numbering" w:customStyle="1" w:styleId="NoList2">
    <w:name w:val="No List2"/>
    <w:next w:val="NoList"/>
    <w:uiPriority w:val="99"/>
    <w:semiHidden/>
    <w:unhideWhenUsed/>
    <w:rsid w:val="001C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52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05322262">
      <w:bodyDiv w:val="1"/>
      <w:marLeft w:val="0"/>
      <w:marRight w:val="0"/>
      <w:marTop w:val="0"/>
      <w:marBottom w:val="0"/>
      <w:divBdr>
        <w:top w:val="none" w:sz="0" w:space="0" w:color="auto"/>
        <w:left w:val="none" w:sz="0" w:space="0" w:color="auto"/>
        <w:bottom w:val="none" w:sz="0" w:space="0" w:color="auto"/>
        <w:right w:val="none" w:sz="0" w:space="0" w:color="auto"/>
      </w:divBdr>
    </w:div>
    <w:div w:id="1990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4126-9146-4B78-839E-A7941C64688C}">
  <ds:schemaRefs>
    <ds:schemaRef ds:uri="http://schemas.openxmlformats.org/officeDocument/2006/bibliography"/>
  </ds:schemaRefs>
</ds:datastoreItem>
</file>

<file path=customXml/itemProps2.xml><?xml version="1.0" encoding="utf-8"?>
<ds:datastoreItem xmlns:ds="http://schemas.openxmlformats.org/officeDocument/2006/customXml" ds:itemID="{1CB0A13A-5031-4623-A201-B00C437B2D74}">
  <ds:schemaRefs>
    <ds:schemaRef ds:uri="http://schemas.openxmlformats.org/officeDocument/2006/bibliography"/>
  </ds:schemaRefs>
</ds:datastoreItem>
</file>

<file path=customXml/itemProps3.xml><?xml version="1.0" encoding="utf-8"?>
<ds:datastoreItem xmlns:ds="http://schemas.openxmlformats.org/officeDocument/2006/customXml" ds:itemID="{5B634651-B518-4516-AFDA-E11BB84E0F64}">
  <ds:schemaRefs>
    <ds:schemaRef ds:uri="http://schemas.openxmlformats.org/officeDocument/2006/bibliography"/>
  </ds:schemaRefs>
</ds:datastoreItem>
</file>

<file path=customXml/itemProps4.xml><?xml version="1.0" encoding="utf-8"?>
<ds:datastoreItem xmlns:ds="http://schemas.openxmlformats.org/officeDocument/2006/customXml" ds:itemID="{1D291DA9-2513-419D-B593-F0AA051534FB}">
  <ds:schemaRefs>
    <ds:schemaRef ds:uri="http://schemas.openxmlformats.org/officeDocument/2006/bibliography"/>
  </ds:schemaRefs>
</ds:datastoreItem>
</file>

<file path=customXml/itemProps5.xml><?xml version="1.0" encoding="utf-8"?>
<ds:datastoreItem xmlns:ds="http://schemas.openxmlformats.org/officeDocument/2006/customXml" ds:itemID="{EACED203-E1D2-4277-AA18-BB9340C93BED}">
  <ds:schemaRefs>
    <ds:schemaRef ds:uri="http://schemas.openxmlformats.org/officeDocument/2006/bibliography"/>
  </ds:schemaRefs>
</ds:datastoreItem>
</file>

<file path=customXml/itemProps6.xml><?xml version="1.0" encoding="utf-8"?>
<ds:datastoreItem xmlns:ds="http://schemas.openxmlformats.org/officeDocument/2006/customXml" ds:itemID="{C0AEA19F-1ED4-4E60-9024-A9668631319D}">
  <ds:schemaRefs>
    <ds:schemaRef ds:uri="http://schemas.openxmlformats.org/officeDocument/2006/bibliography"/>
  </ds:schemaRefs>
</ds:datastoreItem>
</file>

<file path=customXml/itemProps7.xml><?xml version="1.0" encoding="utf-8"?>
<ds:datastoreItem xmlns:ds="http://schemas.openxmlformats.org/officeDocument/2006/customXml" ds:itemID="{D4C803AF-F6D7-4503-B048-8A11A6FE0F49}">
  <ds:schemaRefs>
    <ds:schemaRef ds:uri="http://schemas.openxmlformats.org/officeDocument/2006/bibliography"/>
  </ds:schemaRefs>
</ds:datastoreItem>
</file>

<file path=customXml/itemProps8.xml><?xml version="1.0" encoding="utf-8"?>
<ds:datastoreItem xmlns:ds="http://schemas.openxmlformats.org/officeDocument/2006/customXml" ds:itemID="{B375C288-5A1F-43FA-B126-BFE569B8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UNFCCC</Company>
  <LinksUpToDate>false</LinksUpToDate>
  <CharactersWithSpaces>9538</CharactersWithSpaces>
  <SharedDoc>false</SharedDoc>
  <HLinks>
    <vt:vector size="30" baseType="variant">
      <vt:variant>
        <vt:i4>4784142</vt:i4>
      </vt:variant>
      <vt:variant>
        <vt:i4>9</vt:i4>
      </vt:variant>
      <vt:variant>
        <vt:i4>0</vt:i4>
      </vt:variant>
      <vt:variant>
        <vt:i4>5</vt:i4>
      </vt:variant>
      <vt:variant>
        <vt:lpwstr>http://www.ipbes.net/</vt:lpwstr>
      </vt:variant>
      <vt:variant>
        <vt:lpwstr/>
      </vt:variant>
      <vt:variant>
        <vt:i4>5636188</vt:i4>
      </vt:variant>
      <vt:variant>
        <vt:i4>6</vt:i4>
      </vt:variant>
      <vt:variant>
        <vt:i4>0</vt:i4>
      </vt:variant>
      <vt:variant>
        <vt:i4>5</vt:i4>
      </vt:variant>
      <vt:variant>
        <vt:lpwstr>http://www.gbif.org/</vt:lpwstr>
      </vt:variant>
      <vt:variant>
        <vt:lpwstr/>
      </vt:variant>
      <vt:variant>
        <vt:i4>5767248</vt:i4>
      </vt:variant>
      <vt:variant>
        <vt:i4>3</vt:i4>
      </vt:variant>
      <vt:variant>
        <vt:i4>0</vt:i4>
      </vt:variant>
      <vt:variant>
        <vt:i4>5</vt:i4>
      </vt:variant>
      <vt:variant>
        <vt:lpwstr>http://www.iisd.ca/ipbes/ipbes3/12jan.htm</vt:lpwstr>
      </vt:variant>
      <vt:variant>
        <vt:lpwstr/>
      </vt:variant>
      <vt:variant>
        <vt:i4>6619198</vt:i4>
      </vt:variant>
      <vt:variant>
        <vt:i4>0</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Nikki Criticos</dc:creator>
  <cp:keywords/>
  <dc:description/>
  <cp:lastModifiedBy>Sarah Banda-Genchev ( IPBES Secretariat )</cp:lastModifiedBy>
  <cp:revision>2</cp:revision>
  <cp:lastPrinted>2016-06-27T06:35:00Z</cp:lastPrinted>
  <dcterms:created xsi:type="dcterms:W3CDTF">2018-01-29T11:18:00Z</dcterms:created>
  <dcterms:modified xsi:type="dcterms:W3CDTF">2018-01-29T11:18:00Z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Talha.Shamshoom </vt:lpwstr>
  </property>
  <property fmtid="{D5CDD505-2E9C-101B-9397-08002B2CF9AE}" pid="4" name="GeneratedDate">
    <vt:lpwstr>3/8/2017 10:10:18 AM</vt:lpwstr>
  </property>
  <property fmtid="{D5CDD505-2E9C-101B-9397-08002B2CF9AE}" pid="5" name="OriginalDocID">
    <vt:lpwstr>bc441428-5cb7-4e6b-9b0d-6f906a2afacb</vt:lpwstr>
  </property>
</Properties>
</file>