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B05BDD" w:rsidRPr="00C2053F" w14:paraId="66451BE6" w14:textId="77777777" w:rsidTr="00FD75DA">
        <w:trPr>
          <w:cantSplit/>
          <w:trHeight w:val="1079"/>
          <w:jc w:val="right"/>
        </w:trPr>
        <w:tc>
          <w:tcPr>
            <w:tcW w:w="1456" w:type="dxa"/>
          </w:tcPr>
          <w:p w14:paraId="0B6AD089" w14:textId="77777777" w:rsidR="00B05BDD" w:rsidRPr="00C2053F" w:rsidRDefault="00B05BDD" w:rsidP="00FD75DA">
            <w:pPr>
              <w:pStyle w:val="Normal-pool"/>
              <w:rPr>
                <w:rFonts w:ascii="Arial" w:hAnsi="Arial" w:cs="Arial"/>
                <w:b/>
                <w:sz w:val="27"/>
                <w:szCs w:val="27"/>
                <w:lang w:val="fr-FR"/>
              </w:rPr>
            </w:pPr>
            <w:bookmarkStart w:id="0" w:name="_GoBack"/>
            <w:bookmarkEnd w:id="0"/>
            <w:r w:rsidRPr="00C2053F">
              <w:rPr>
                <w:rFonts w:ascii="Arial" w:hAnsi="Arial" w:cs="Arial"/>
                <w:b/>
                <w:sz w:val="27"/>
                <w:szCs w:val="27"/>
                <w:lang w:val="fr-FR"/>
              </w:rPr>
              <w:t>NATIONS UNIES</w:t>
            </w:r>
          </w:p>
        </w:tc>
        <w:tc>
          <w:tcPr>
            <w:tcW w:w="946" w:type="dxa"/>
            <w:gridSpan w:val="2"/>
            <w:tcBorders>
              <w:left w:val="nil"/>
            </w:tcBorders>
            <w:vAlign w:val="center"/>
          </w:tcPr>
          <w:p w14:paraId="1BCEDFEE" w14:textId="77777777" w:rsidR="00B05BDD" w:rsidRPr="00C2053F" w:rsidRDefault="00B05BDD" w:rsidP="00FD75DA">
            <w:pPr>
              <w:pStyle w:val="Normal-pool"/>
              <w:rPr>
                <w:lang w:val="fr-FR"/>
              </w:rPr>
            </w:pPr>
            <w:r w:rsidRPr="00C2053F">
              <w:rPr>
                <w:noProof/>
                <w:lang w:val="en-US"/>
              </w:rPr>
              <w:drawing>
                <wp:inline distT="0" distB="0" distL="0" distR="0" wp14:anchorId="53269917" wp14:editId="0ACBFBF3">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14:paraId="6A715DDD" w14:textId="0609C2F6" w:rsidR="00B05BDD" w:rsidRPr="00C2053F" w:rsidRDefault="00F20136" w:rsidP="00FD75DA">
            <w:pPr>
              <w:pStyle w:val="Normal-pool"/>
              <w:rPr>
                <w:lang w:val="fr-FR"/>
              </w:rPr>
            </w:pPr>
            <w:r w:rsidRPr="00C2053F">
              <w:rPr>
                <w:noProof/>
                <w:lang w:val="en-US"/>
              </w:rPr>
              <w:drawing>
                <wp:inline distT="0" distB="0" distL="0" distR="0" wp14:anchorId="3F890154" wp14:editId="0604C292">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14:paraId="1A2ACE2A" w14:textId="77777777" w:rsidR="00B05BDD" w:rsidRPr="00C2053F" w:rsidRDefault="00B05BDD" w:rsidP="00FD75DA">
            <w:pPr>
              <w:pStyle w:val="Normal-pool"/>
              <w:rPr>
                <w:lang w:val="fr-FR"/>
              </w:rPr>
            </w:pPr>
            <w:r w:rsidRPr="00C2053F">
              <w:rPr>
                <w:noProof/>
                <w:lang w:val="en-US"/>
              </w:rPr>
              <w:drawing>
                <wp:inline distT="0" distB="0" distL="0" distR="0" wp14:anchorId="61B989F6" wp14:editId="25EE9D40">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14:paraId="7733E3CB" w14:textId="77777777" w:rsidR="00B05BDD" w:rsidRPr="00C2053F" w:rsidRDefault="00B05BDD" w:rsidP="00FD75DA">
            <w:pPr>
              <w:pStyle w:val="Normal-pool"/>
              <w:rPr>
                <w:lang w:val="fr-FR"/>
              </w:rPr>
            </w:pPr>
            <w:r w:rsidRPr="00C2053F">
              <w:rPr>
                <w:noProof/>
                <w:lang w:val="en-US"/>
              </w:rPr>
              <w:drawing>
                <wp:inline distT="0" distB="0" distL="0" distR="0" wp14:anchorId="4E1375E4" wp14:editId="5B9E9D45">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14:paraId="1CB6C7FA" w14:textId="250C4018" w:rsidR="00B05BDD" w:rsidRPr="00C2053F" w:rsidRDefault="00F20136" w:rsidP="00FD75DA">
            <w:pPr>
              <w:pStyle w:val="Normal-pool"/>
              <w:ind w:right="-136"/>
              <w:rPr>
                <w:lang w:val="fr-FR"/>
              </w:rPr>
            </w:pPr>
            <w:r w:rsidRPr="00C2053F">
              <w:rPr>
                <w:noProof/>
                <w:lang w:val="en-US"/>
              </w:rPr>
              <w:drawing>
                <wp:inline distT="0" distB="0" distL="0" distR="0" wp14:anchorId="6203AD50" wp14:editId="421CB2AD">
                  <wp:extent cx="327617" cy="63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14:paraId="2B228495" w14:textId="77777777" w:rsidR="00B05BDD" w:rsidRPr="00C2053F" w:rsidRDefault="00B05BDD" w:rsidP="00FD75DA">
            <w:pPr>
              <w:pStyle w:val="Normal-pool"/>
              <w:ind w:right="-136"/>
              <w:jc w:val="right"/>
              <w:rPr>
                <w:rFonts w:ascii="Arial" w:hAnsi="Arial" w:cs="Arial"/>
                <w:b/>
                <w:sz w:val="64"/>
                <w:szCs w:val="64"/>
                <w:lang w:val="fr-FR"/>
              </w:rPr>
            </w:pPr>
            <w:r w:rsidRPr="00C2053F">
              <w:rPr>
                <w:rFonts w:ascii="Arial" w:hAnsi="Arial" w:cs="Arial"/>
                <w:b/>
                <w:sz w:val="64"/>
                <w:szCs w:val="64"/>
                <w:lang w:val="fr-FR"/>
              </w:rPr>
              <w:t>BES</w:t>
            </w:r>
          </w:p>
        </w:tc>
      </w:tr>
      <w:tr w:rsidR="00B05BDD" w:rsidRPr="00C2053F" w14:paraId="518BAD5A" w14:textId="77777777" w:rsidTr="00FD75DA">
        <w:trPr>
          <w:cantSplit/>
          <w:trHeight w:val="282"/>
          <w:jc w:val="right"/>
        </w:trPr>
        <w:tc>
          <w:tcPr>
            <w:tcW w:w="1456" w:type="dxa"/>
            <w:tcBorders>
              <w:bottom w:val="single" w:sz="2" w:space="0" w:color="auto"/>
            </w:tcBorders>
          </w:tcPr>
          <w:p w14:paraId="044C233F" w14:textId="77777777" w:rsidR="00B05BDD" w:rsidRPr="00C2053F" w:rsidRDefault="00B05BDD" w:rsidP="00FD75DA">
            <w:pPr>
              <w:pStyle w:val="Normal-pool"/>
              <w:rPr>
                <w:lang w:val="fr-FR"/>
              </w:rPr>
            </w:pPr>
          </w:p>
        </w:tc>
        <w:tc>
          <w:tcPr>
            <w:tcW w:w="5486" w:type="dxa"/>
            <w:gridSpan w:val="5"/>
            <w:tcBorders>
              <w:bottom w:val="single" w:sz="2" w:space="0" w:color="auto"/>
            </w:tcBorders>
          </w:tcPr>
          <w:p w14:paraId="77F0CF72" w14:textId="77777777" w:rsidR="00B05BDD" w:rsidRPr="00C2053F" w:rsidRDefault="00B05BDD" w:rsidP="00FD75DA">
            <w:pPr>
              <w:pStyle w:val="Normal-pool"/>
              <w:rPr>
                <w:rFonts w:ascii="Univers" w:hAnsi="Univers"/>
                <w:b/>
                <w:sz w:val="24"/>
                <w:lang w:val="fr-FR"/>
              </w:rPr>
            </w:pPr>
          </w:p>
        </w:tc>
        <w:tc>
          <w:tcPr>
            <w:tcW w:w="2699" w:type="dxa"/>
            <w:gridSpan w:val="2"/>
            <w:tcBorders>
              <w:bottom w:val="single" w:sz="2" w:space="0" w:color="auto"/>
            </w:tcBorders>
          </w:tcPr>
          <w:p w14:paraId="6C534504" w14:textId="5DFD9028" w:rsidR="00B05BDD" w:rsidRPr="00C2053F" w:rsidRDefault="00B05BDD" w:rsidP="006B04BF">
            <w:pPr>
              <w:pStyle w:val="Normal-pool"/>
              <w:spacing w:before="120"/>
              <w:rPr>
                <w:b/>
                <w:sz w:val="24"/>
                <w:szCs w:val="24"/>
                <w:lang w:val="fr-FR"/>
              </w:rPr>
            </w:pPr>
            <w:r w:rsidRPr="00C2053F">
              <w:rPr>
                <w:b/>
                <w:sz w:val="24"/>
                <w:lang w:val="fr-FR"/>
              </w:rPr>
              <w:t>IPBES</w:t>
            </w:r>
            <w:r w:rsidRPr="00C2053F">
              <w:rPr>
                <w:lang w:val="fr-FR"/>
              </w:rPr>
              <w:t>/5/5</w:t>
            </w:r>
          </w:p>
        </w:tc>
      </w:tr>
      <w:tr w:rsidR="00B05BDD" w:rsidRPr="00C2053F" w14:paraId="24BB6678" w14:textId="77777777" w:rsidTr="00FD75DA">
        <w:trPr>
          <w:cantSplit/>
          <w:trHeight w:val="1743"/>
          <w:jc w:val="right"/>
        </w:trPr>
        <w:tc>
          <w:tcPr>
            <w:tcW w:w="2047" w:type="dxa"/>
            <w:gridSpan w:val="2"/>
            <w:tcBorders>
              <w:top w:val="single" w:sz="2" w:space="0" w:color="auto"/>
              <w:bottom w:val="single" w:sz="24" w:space="0" w:color="auto"/>
            </w:tcBorders>
          </w:tcPr>
          <w:p w14:paraId="76863C1F" w14:textId="77777777" w:rsidR="00B05BDD" w:rsidRPr="00C2053F" w:rsidRDefault="00B05BDD" w:rsidP="00FD75DA">
            <w:pPr>
              <w:pStyle w:val="Normal-pool"/>
              <w:spacing w:before="240" w:after="240"/>
              <w:rPr>
                <w:b/>
                <w:sz w:val="28"/>
                <w:szCs w:val="28"/>
                <w:lang w:val="fr-FR"/>
              </w:rPr>
            </w:pPr>
            <w:r w:rsidRPr="00C2053F">
              <w:rPr>
                <w:b/>
                <w:noProof/>
                <w:sz w:val="28"/>
                <w:szCs w:val="28"/>
                <w:lang w:val="en-US"/>
              </w:rPr>
              <w:drawing>
                <wp:inline distT="0" distB="0" distL="0" distR="0" wp14:anchorId="378B1FD0" wp14:editId="6F503D89">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14:paraId="16BD56B8" w14:textId="77777777" w:rsidR="00B05BDD" w:rsidRPr="00C2053F" w:rsidRDefault="00F3783E" w:rsidP="00FD75DA">
            <w:pPr>
              <w:pStyle w:val="Normal-pool"/>
              <w:spacing w:before="240" w:after="240"/>
              <w:rPr>
                <w:rFonts w:ascii="Arial" w:hAnsi="Arial" w:cs="Arial"/>
                <w:b/>
                <w:sz w:val="28"/>
                <w:szCs w:val="28"/>
                <w:lang w:val="fr-FR"/>
              </w:rPr>
            </w:pPr>
            <w:hyperlink r:id="rId15" w:tgtFrame="_blank" w:history="1">
              <w:r w:rsidR="00B05BDD" w:rsidRPr="00C2053F">
                <w:rPr>
                  <w:rFonts w:ascii="Arial" w:hAnsi="Arial" w:cs="Arial"/>
                  <w:b/>
                  <w:sz w:val="28"/>
                  <w:szCs w:val="28"/>
                  <w:lang w:val="fr-FR"/>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14:paraId="78B48238" w14:textId="7374AF0A" w:rsidR="00B05BDD" w:rsidRPr="00C2053F" w:rsidRDefault="00B05BDD" w:rsidP="00FD75DA">
            <w:pPr>
              <w:pStyle w:val="Normal-pool"/>
              <w:spacing w:before="120"/>
              <w:rPr>
                <w:lang w:val="fr-FR"/>
              </w:rPr>
            </w:pPr>
            <w:r w:rsidRPr="00C2053F">
              <w:rPr>
                <w:lang w:val="fr-FR"/>
              </w:rPr>
              <w:t xml:space="preserve">Distr. générale </w:t>
            </w:r>
            <w:r w:rsidRPr="00C2053F">
              <w:rPr>
                <w:lang w:val="fr-FR"/>
              </w:rPr>
              <w:br/>
            </w:r>
            <w:r w:rsidR="002C24D8" w:rsidRPr="00C2053F">
              <w:rPr>
                <w:lang w:val="fr-FR"/>
              </w:rPr>
              <w:t>15</w:t>
            </w:r>
            <w:r w:rsidRPr="00C2053F">
              <w:rPr>
                <w:lang w:val="fr-FR"/>
              </w:rPr>
              <w:t> décembre 2016</w:t>
            </w:r>
          </w:p>
          <w:p w14:paraId="3FF49315" w14:textId="77777777" w:rsidR="00B05BDD" w:rsidRPr="00C2053F" w:rsidRDefault="00B05BDD" w:rsidP="00FD75DA">
            <w:pPr>
              <w:pStyle w:val="Normal-pool"/>
              <w:spacing w:before="120"/>
              <w:rPr>
                <w:lang w:val="fr-FR"/>
              </w:rPr>
            </w:pPr>
            <w:r w:rsidRPr="00C2053F">
              <w:rPr>
                <w:lang w:val="fr-FR"/>
              </w:rPr>
              <w:t xml:space="preserve">Français </w:t>
            </w:r>
            <w:r w:rsidRPr="00C2053F">
              <w:rPr>
                <w:lang w:val="fr-FR"/>
              </w:rPr>
              <w:br/>
              <w:t>Original : anglais</w:t>
            </w:r>
          </w:p>
        </w:tc>
      </w:tr>
    </w:tbl>
    <w:p w14:paraId="0CEC3763" w14:textId="77777777" w:rsidR="000D176B" w:rsidRPr="00C2053F" w:rsidRDefault="000D176B" w:rsidP="000D176B">
      <w:pPr>
        <w:pStyle w:val="AATitle"/>
        <w:ind w:left="284" w:right="4160"/>
        <w:rPr>
          <w:lang w:val="fr-FR"/>
        </w:rPr>
      </w:pPr>
      <w:r w:rsidRPr="00C2053F">
        <w:rPr>
          <w:lang w:val="fr-FR"/>
        </w:rPr>
        <w:t xml:space="preserve">Plénière de la Plateforme intergouvernementale scientifique et politique sur la biodiversité </w:t>
      </w:r>
      <w:r w:rsidRPr="00C2053F">
        <w:rPr>
          <w:lang w:val="fr-FR"/>
        </w:rPr>
        <w:br/>
        <w:t>et les services écosystémiques</w:t>
      </w:r>
    </w:p>
    <w:p w14:paraId="5D15869D" w14:textId="77777777" w:rsidR="000D176B" w:rsidRPr="00C2053F" w:rsidRDefault="000D176B" w:rsidP="000D176B">
      <w:pPr>
        <w:pStyle w:val="AATitle"/>
        <w:ind w:left="284" w:right="4160"/>
        <w:rPr>
          <w:lang w:val="fr-FR"/>
        </w:rPr>
      </w:pPr>
      <w:r w:rsidRPr="00C2053F">
        <w:rPr>
          <w:lang w:val="fr-FR"/>
        </w:rPr>
        <w:t>Cinquième session</w:t>
      </w:r>
    </w:p>
    <w:p w14:paraId="627BA4A2" w14:textId="68FB177E" w:rsidR="00C2053F" w:rsidRDefault="008D44DA" w:rsidP="000D176B">
      <w:pPr>
        <w:pStyle w:val="AgendaItemTitle"/>
        <w:ind w:left="284"/>
        <w:rPr>
          <w:b w:val="0"/>
          <w:lang w:val="fr-FR"/>
        </w:rPr>
      </w:pPr>
      <w:r>
        <w:rPr>
          <w:b w:val="0"/>
          <w:lang w:val="fr-FR"/>
        </w:rPr>
        <w:t>Bonn (Allemagne), 7-10 </w:t>
      </w:r>
      <w:r w:rsidR="00C2053F">
        <w:rPr>
          <w:b w:val="0"/>
          <w:lang w:val="fr-FR"/>
        </w:rPr>
        <w:t>mars 2017</w:t>
      </w:r>
    </w:p>
    <w:p w14:paraId="74F1CAEF" w14:textId="3C67D6C9" w:rsidR="009441A9" w:rsidRPr="00C2053F" w:rsidRDefault="00712299" w:rsidP="000D176B">
      <w:pPr>
        <w:pStyle w:val="AgendaItemTitle"/>
        <w:ind w:left="284"/>
        <w:rPr>
          <w:b w:val="0"/>
          <w:lang w:val="fr-FR"/>
        </w:rPr>
      </w:pPr>
      <w:r w:rsidRPr="00C2053F">
        <w:rPr>
          <w:b w:val="0"/>
          <w:lang w:val="fr-FR"/>
        </w:rPr>
        <w:t>Point </w:t>
      </w:r>
      <w:r w:rsidR="009441A9" w:rsidRPr="00C2053F">
        <w:rPr>
          <w:b w:val="0"/>
          <w:lang w:val="fr-FR"/>
        </w:rPr>
        <w:t>6</w:t>
      </w:r>
      <w:r w:rsidR="000D176B" w:rsidRPr="00C2053F">
        <w:rPr>
          <w:b w:val="0"/>
          <w:lang w:val="fr-FR"/>
        </w:rPr>
        <w:t> </w:t>
      </w:r>
      <w:r w:rsidR="009441A9" w:rsidRPr="00C2053F">
        <w:rPr>
          <w:b w:val="0"/>
          <w:lang w:val="fr-FR"/>
        </w:rPr>
        <w:t xml:space="preserve">c) </w:t>
      </w:r>
      <w:r w:rsidRPr="00C2053F">
        <w:rPr>
          <w:b w:val="0"/>
          <w:lang w:val="fr-FR"/>
        </w:rPr>
        <w:t>de l’ordre du jour provisoire</w:t>
      </w:r>
      <w:r w:rsidR="009441A9" w:rsidRPr="00C2053F">
        <w:rPr>
          <w:rStyle w:val="FootnoteReference"/>
          <w:b w:val="0"/>
          <w:vertAlign w:val="baseline"/>
          <w:lang w:val="fr-FR"/>
        </w:rPr>
        <w:footnoteReference w:id="1"/>
      </w:r>
    </w:p>
    <w:p w14:paraId="7B03363F" w14:textId="145C170F" w:rsidR="009441A9" w:rsidRPr="00C2053F" w:rsidRDefault="004F2356" w:rsidP="000D176B">
      <w:pPr>
        <w:pStyle w:val="AATitle2"/>
        <w:spacing w:before="60" w:after="60"/>
        <w:ind w:left="284" w:right="3876"/>
        <w:rPr>
          <w:lang w:val="fr-FR"/>
        </w:rPr>
      </w:pPr>
      <w:r w:rsidRPr="00C2053F">
        <w:rPr>
          <w:lang w:val="fr-FR"/>
        </w:rPr>
        <w:t>Programme de travail de la Plateforme </w:t>
      </w:r>
      <w:r w:rsidR="009441A9" w:rsidRPr="00C2053F">
        <w:rPr>
          <w:lang w:val="fr-FR"/>
        </w:rPr>
        <w:t xml:space="preserve">: </w:t>
      </w:r>
      <w:r w:rsidR="00503461" w:rsidRPr="00C2053F">
        <w:rPr>
          <w:lang w:val="fr-FR"/>
        </w:rPr>
        <w:br/>
      </w:r>
      <w:r w:rsidR="00FD6266" w:rsidRPr="00C2053F">
        <w:rPr>
          <w:lang w:val="fr-FR"/>
        </w:rPr>
        <w:t>connaissances</w:t>
      </w:r>
      <w:r w:rsidRPr="00C2053F">
        <w:rPr>
          <w:lang w:val="fr-FR"/>
        </w:rPr>
        <w:t xml:space="preserve"> et </w:t>
      </w:r>
      <w:r w:rsidR="00FD6266" w:rsidRPr="00C2053F">
        <w:rPr>
          <w:lang w:val="fr-FR"/>
        </w:rPr>
        <w:t>d</w:t>
      </w:r>
      <w:r w:rsidRPr="00C2053F">
        <w:rPr>
          <w:lang w:val="fr-FR"/>
        </w:rPr>
        <w:t>onnées</w:t>
      </w:r>
    </w:p>
    <w:p w14:paraId="4544FFCE" w14:textId="5C5905F2" w:rsidR="009441A9" w:rsidRPr="00C2053F" w:rsidRDefault="007C1E1E" w:rsidP="009441A9">
      <w:pPr>
        <w:pStyle w:val="BBTitle"/>
        <w:rPr>
          <w:lang w:val="fr-FR"/>
        </w:rPr>
      </w:pPr>
      <w:r w:rsidRPr="00C2053F">
        <w:rPr>
          <w:lang w:val="fr-FR"/>
        </w:rPr>
        <w:t xml:space="preserve">Travaux sur les </w:t>
      </w:r>
      <w:r w:rsidR="00FD6266" w:rsidRPr="00C2053F">
        <w:rPr>
          <w:lang w:val="fr-FR"/>
        </w:rPr>
        <w:t>connaissances</w:t>
      </w:r>
      <w:r w:rsidRPr="00C2053F">
        <w:rPr>
          <w:lang w:val="fr-FR"/>
        </w:rPr>
        <w:t xml:space="preserve"> et les données</w:t>
      </w:r>
      <w:r w:rsidR="009441A9" w:rsidRPr="00C2053F">
        <w:rPr>
          <w:lang w:val="fr-FR"/>
        </w:rPr>
        <w:t xml:space="preserve"> </w:t>
      </w:r>
      <w:r w:rsidR="00C0644B" w:rsidRPr="00C2053F">
        <w:rPr>
          <w:lang w:val="fr-FR"/>
        </w:rPr>
        <w:br/>
      </w:r>
      <w:r w:rsidR="008D44DA">
        <w:rPr>
          <w:lang w:val="fr-FR"/>
        </w:rPr>
        <w:t>(</w:t>
      </w:r>
      <w:r w:rsidR="000D176B" w:rsidRPr="00C2053F">
        <w:rPr>
          <w:lang w:val="fr-FR"/>
        </w:rPr>
        <w:t>produits </w:t>
      </w:r>
      <w:r w:rsidRPr="00C2053F">
        <w:rPr>
          <w:lang w:val="fr-FR"/>
        </w:rPr>
        <w:t>1</w:t>
      </w:r>
      <w:r w:rsidR="000D176B" w:rsidRPr="00C2053F">
        <w:rPr>
          <w:lang w:val="fr-FR"/>
        </w:rPr>
        <w:t> </w:t>
      </w:r>
      <w:r w:rsidR="009441A9" w:rsidRPr="00C2053F">
        <w:rPr>
          <w:lang w:val="fr-FR"/>
        </w:rPr>
        <w:t xml:space="preserve">d) </w:t>
      </w:r>
      <w:r w:rsidR="000D176B" w:rsidRPr="00C2053F">
        <w:rPr>
          <w:lang w:val="fr-FR"/>
        </w:rPr>
        <w:t>et 4 </w:t>
      </w:r>
      <w:r w:rsidR="009441A9" w:rsidRPr="00C2053F">
        <w:rPr>
          <w:lang w:val="fr-FR"/>
        </w:rPr>
        <w:t>b)</w:t>
      </w:r>
      <w:r w:rsidR="008D44DA">
        <w:rPr>
          <w:lang w:val="fr-FR"/>
        </w:rPr>
        <w:t>)</w:t>
      </w:r>
    </w:p>
    <w:p w14:paraId="0316517D" w14:textId="2183BBC7" w:rsidR="009441A9" w:rsidRPr="00C2053F" w:rsidRDefault="009441A9" w:rsidP="009441A9">
      <w:pPr>
        <w:pStyle w:val="CH2"/>
        <w:rPr>
          <w:lang w:val="fr-FR"/>
        </w:rPr>
      </w:pPr>
      <w:r w:rsidRPr="00C2053F">
        <w:rPr>
          <w:lang w:val="fr-FR"/>
        </w:rPr>
        <w:tab/>
      </w:r>
      <w:r w:rsidRPr="00C2053F">
        <w:rPr>
          <w:lang w:val="fr-FR"/>
        </w:rPr>
        <w:tab/>
        <w:t xml:space="preserve">Note </w:t>
      </w:r>
      <w:r w:rsidR="000C6F1C" w:rsidRPr="00C2053F">
        <w:rPr>
          <w:lang w:val="fr-FR"/>
        </w:rPr>
        <w:t>du secrétariat</w:t>
      </w:r>
    </w:p>
    <w:p w14:paraId="0A40DF1D" w14:textId="2B8A107D" w:rsidR="009441A9" w:rsidRPr="00C2053F" w:rsidRDefault="009441A9" w:rsidP="009441A9">
      <w:pPr>
        <w:pStyle w:val="CH1"/>
        <w:rPr>
          <w:lang w:val="fr-FR"/>
        </w:rPr>
      </w:pPr>
      <w:r w:rsidRPr="00C2053F">
        <w:rPr>
          <w:lang w:val="fr-FR"/>
        </w:rPr>
        <w:tab/>
      </w:r>
      <w:r w:rsidR="00D64770" w:rsidRPr="00C2053F">
        <w:rPr>
          <w:lang w:val="fr-FR"/>
        </w:rPr>
        <w:tab/>
      </w:r>
      <w:r w:rsidRPr="00C2053F">
        <w:rPr>
          <w:lang w:val="fr-FR"/>
        </w:rPr>
        <w:t>Introduction</w:t>
      </w:r>
    </w:p>
    <w:p w14:paraId="464F2403" w14:textId="3BD9B44E" w:rsidR="002F2444" w:rsidRPr="00C2053F" w:rsidRDefault="00EC2BA8" w:rsidP="009441A9">
      <w:pPr>
        <w:pStyle w:val="Normalnumber"/>
        <w:rPr>
          <w:lang w:val="fr-FR"/>
        </w:rPr>
      </w:pPr>
      <w:r w:rsidRPr="00C2053F">
        <w:rPr>
          <w:lang w:val="fr-FR"/>
        </w:rPr>
        <w:t>Dans la</w:t>
      </w:r>
      <w:r w:rsidR="009441A9" w:rsidRPr="00C2053F">
        <w:rPr>
          <w:lang w:val="fr-FR"/>
        </w:rPr>
        <w:t xml:space="preserve"> section</w:t>
      </w:r>
      <w:r w:rsidRPr="00C2053F">
        <w:rPr>
          <w:lang w:val="fr-FR"/>
        </w:rPr>
        <w:t> </w:t>
      </w:r>
      <w:r w:rsidR="009441A9" w:rsidRPr="00C2053F">
        <w:rPr>
          <w:lang w:val="fr-FR"/>
        </w:rPr>
        <w:t xml:space="preserve">II </w:t>
      </w:r>
      <w:r w:rsidRPr="00C2053F">
        <w:rPr>
          <w:lang w:val="fr-FR"/>
        </w:rPr>
        <w:t>de la décision</w:t>
      </w:r>
      <w:r w:rsidR="008D44DA">
        <w:rPr>
          <w:lang w:val="fr-FR"/>
        </w:rPr>
        <w:t> </w:t>
      </w:r>
      <w:r w:rsidR="009441A9" w:rsidRPr="00C2053F">
        <w:rPr>
          <w:lang w:val="fr-FR"/>
        </w:rPr>
        <w:t xml:space="preserve">IPBES-2/5, </w:t>
      </w:r>
      <w:r w:rsidRPr="00C2053F">
        <w:rPr>
          <w:lang w:val="fr-FR"/>
        </w:rPr>
        <w:t>la Plénière de la Plateforme intergouvernemental</w:t>
      </w:r>
      <w:r w:rsidR="002F2444" w:rsidRPr="00C2053F">
        <w:rPr>
          <w:lang w:val="fr-FR"/>
        </w:rPr>
        <w:t>e</w:t>
      </w:r>
      <w:r w:rsidRPr="00C2053F">
        <w:rPr>
          <w:lang w:val="fr-FR"/>
        </w:rPr>
        <w:t xml:space="preserve"> scientifique et politique sur la biodiversité et les services écosystémiques</w:t>
      </w:r>
      <w:r w:rsidR="005E5607" w:rsidRPr="00C2053F">
        <w:rPr>
          <w:lang w:val="fr-FR"/>
        </w:rPr>
        <w:t xml:space="preserve"> </w:t>
      </w:r>
      <w:r w:rsidR="002F2444" w:rsidRPr="00C2053F">
        <w:rPr>
          <w:lang w:val="fr-FR"/>
        </w:rPr>
        <w:t>a créé une équipe spéciale sur les connaissances et l</w:t>
      </w:r>
      <w:r w:rsidR="00C0644B" w:rsidRPr="00C2053F">
        <w:rPr>
          <w:lang w:val="fr-FR"/>
        </w:rPr>
        <w:t>es données pour la période 2014-</w:t>
      </w:r>
      <w:r w:rsidR="002F2444" w:rsidRPr="00C2053F">
        <w:rPr>
          <w:lang w:val="fr-FR"/>
        </w:rPr>
        <w:t xml:space="preserve">2018. Le mandat de l’équipe spéciale </w:t>
      </w:r>
      <w:r w:rsidR="00845267" w:rsidRPr="00C2053F">
        <w:rPr>
          <w:lang w:val="fr-FR"/>
        </w:rPr>
        <w:t>est énoncé</w:t>
      </w:r>
      <w:r w:rsidR="002F2444" w:rsidRPr="00C2053F">
        <w:rPr>
          <w:lang w:val="fr-FR"/>
        </w:rPr>
        <w:t xml:space="preserve"> dans l’annexe III à la décision. </w:t>
      </w:r>
      <w:r w:rsidR="00845267" w:rsidRPr="00C2053F">
        <w:rPr>
          <w:lang w:val="fr-FR"/>
        </w:rPr>
        <w:t>L</w:t>
      </w:r>
      <w:r w:rsidR="00F602E3" w:rsidRPr="00C2053F">
        <w:rPr>
          <w:lang w:val="fr-FR"/>
        </w:rPr>
        <w:t>e principal objectif de l</w:t>
      </w:r>
      <w:r w:rsidR="00845267" w:rsidRPr="00C2053F">
        <w:rPr>
          <w:lang w:val="fr-FR"/>
        </w:rPr>
        <w:t xml:space="preserve">’équipe spéciale </w:t>
      </w:r>
      <w:r w:rsidR="00F602E3" w:rsidRPr="00C2053F">
        <w:rPr>
          <w:lang w:val="fr-FR"/>
        </w:rPr>
        <w:t>est</w:t>
      </w:r>
      <w:r w:rsidR="005009BB" w:rsidRPr="00C2053F">
        <w:rPr>
          <w:lang w:val="fr-FR"/>
        </w:rPr>
        <w:t xml:space="preserve"> de réaliser les </w:t>
      </w:r>
      <w:r w:rsidR="00845267" w:rsidRPr="00C2053F">
        <w:rPr>
          <w:lang w:val="fr-FR"/>
        </w:rPr>
        <w:t xml:space="preserve">produits 1 d) et 4 b) </w:t>
      </w:r>
      <w:r w:rsidR="0057766F" w:rsidRPr="00C2053F">
        <w:rPr>
          <w:lang w:val="fr-FR"/>
        </w:rPr>
        <w:t xml:space="preserve">du premier programme de travail. </w:t>
      </w:r>
    </w:p>
    <w:p w14:paraId="1959DF37" w14:textId="585B0112" w:rsidR="00F602E3" w:rsidRPr="00C2053F" w:rsidRDefault="00F602E3" w:rsidP="009441A9">
      <w:pPr>
        <w:pStyle w:val="Normalnumber"/>
        <w:rPr>
          <w:lang w:val="fr-FR"/>
        </w:rPr>
      </w:pPr>
      <w:r w:rsidRPr="00C2053F">
        <w:rPr>
          <w:lang w:val="fr-FR"/>
        </w:rPr>
        <w:t>Dans sa décision</w:t>
      </w:r>
      <w:r w:rsidR="000D176B" w:rsidRPr="00C2053F">
        <w:rPr>
          <w:lang w:val="fr-FR"/>
        </w:rPr>
        <w:t> </w:t>
      </w:r>
      <w:r w:rsidRPr="00C2053F">
        <w:rPr>
          <w:lang w:val="fr-FR"/>
        </w:rPr>
        <w:t>IPBES-3/1, la Plénière a approuvé le plan de gestion des données et de l’information pour 2015, élaboré par le secrétariat en collaboration avec le Bureau et l’équipe spéciale, qui figure dans l’annexe II à la décision. Elle a également prié le secrétariat de lui présenter, pour information, les plans de gestion des données et informations correspondant à chaque évaluation en cours et d’établir des plans de gestion des données et informations dans le cadre de tout processus ou rapport de cadrage. Les activités à entreprendre en 2016 dans le cadre du plan de gestion des données et de l’information sont énoncées dans l’appendice II à la note du secré</w:t>
      </w:r>
      <w:r w:rsidR="005009BB" w:rsidRPr="00C2053F">
        <w:rPr>
          <w:lang w:val="fr-FR"/>
        </w:rPr>
        <w:t>tariat faisant le point sur les </w:t>
      </w:r>
      <w:r w:rsidRPr="00C2053F">
        <w:rPr>
          <w:lang w:val="fr-FR"/>
        </w:rPr>
        <w:t>travaux de l’équipe spéciale sur les connaissances et les données, s</w:t>
      </w:r>
      <w:r w:rsidR="005009BB" w:rsidRPr="00C2053F">
        <w:rPr>
          <w:lang w:val="fr-FR"/>
        </w:rPr>
        <w:t>oumise à la Plénière lors de sa </w:t>
      </w:r>
      <w:r w:rsidRPr="00C2053F">
        <w:rPr>
          <w:lang w:val="fr-FR"/>
        </w:rPr>
        <w:t>quatrième session (IPBES/4/INF/7).</w:t>
      </w:r>
    </w:p>
    <w:p w14:paraId="263BAD56" w14:textId="4484799B" w:rsidR="00F602E3" w:rsidRPr="00C2053F" w:rsidRDefault="00E6421D" w:rsidP="009441A9">
      <w:pPr>
        <w:pStyle w:val="Normalnumber"/>
        <w:rPr>
          <w:lang w:val="fr-FR"/>
        </w:rPr>
      </w:pPr>
      <w:r w:rsidRPr="00C2053F">
        <w:rPr>
          <w:lang w:val="fr-FR"/>
        </w:rPr>
        <w:t xml:space="preserve">Afin de mettre en œuvre le plan de gestion </w:t>
      </w:r>
      <w:r w:rsidR="00D07A37" w:rsidRPr="00C2053F">
        <w:rPr>
          <w:lang w:val="fr-FR"/>
        </w:rPr>
        <w:t xml:space="preserve">des données et de l’information en 2016 et de s’acquitter plus efficacement de son mandat, l’équipe spéciale sur les connaissances et les données a créé trois groupes de travail </w:t>
      </w:r>
      <w:r w:rsidR="00B05A15" w:rsidRPr="00C2053F">
        <w:rPr>
          <w:lang w:val="fr-FR"/>
        </w:rPr>
        <w:t>– des sous-</w:t>
      </w:r>
      <w:r w:rsidR="007D655B" w:rsidRPr="00C2053F">
        <w:rPr>
          <w:lang w:val="fr-FR"/>
        </w:rPr>
        <w:t xml:space="preserve">groupes de l’équipe spéciale composés de membres de l’équipe spéciale et d’experts – </w:t>
      </w:r>
      <w:r w:rsidR="0019744B" w:rsidRPr="00C2053F">
        <w:rPr>
          <w:lang w:val="fr-FR"/>
        </w:rPr>
        <w:t>chargés</w:t>
      </w:r>
      <w:r w:rsidR="007D655B" w:rsidRPr="00C2053F">
        <w:rPr>
          <w:lang w:val="fr-FR"/>
        </w:rPr>
        <w:t xml:space="preserve"> a) </w:t>
      </w:r>
      <w:r w:rsidR="0019744B" w:rsidRPr="00C2053F">
        <w:rPr>
          <w:lang w:val="fr-FR"/>
        </w:rPr>
        <w:t>d</w:t>
      </w:r>
      <w:r w:rsidR="007D655B" w:rsidRPr="00C2053F">
        <w:rPr>
          <w:lang w:val="fr-FR"/>
        </w:rPr>
        <w:t>es indicateurs et données pour les évaluations de la Plateforme, b) </w:t>
      </w:r>
      <w:r w:rsidR="0019744B" w:rsidRPr="00C2053F">
        <w:rPr>
          <w:lang w:val="fr-FR"/>
        </w:rPr>
        <w:t xml:space="preserve">de </w:t>
      </w:r>
      <w:r w:rsidR="004313D9" w:rsidRPr="00C2053F">
        <w:rPr>
          <w:lang w:val="fr-FR"/>
        </w:rPr>
        <w:t>l</w:t>
      </w:r>
      <w:r w:rsidR="00B33E3A" w:rsidRPr="00C2053F">
        <w:rPr>
          <w:lang w:val="fr-FR"/>
        </w:rPr>
        <w:t>’</w:t>
      </w:r>
      <w:r w:rsidR="004313D9" w:rsidRPr="00C2053F">
        <w:rPr>
          <w:lang w:val="fr-FR"/>
        </w:rPr>
        <w:t>infrastructure en ligne à l’appui des besoins en matière de gestion des données et de l’information, et c) </w:t>
      </w:r>
      <w:r w:rsidR="0019744B" w:rsidRPr="00C2053F">
        <w:rPr>
          <w:lang w:val="fr-FR"/>
        </w:rPr>
        <w:t xml:space="preserve">de favoriser </w:t>
      </w:r>
      <w:r w:rsidR="0044122F" w:rsidRPr="00C2053F">
        <w:rPr>
          <w:lang w:val="fr-FR"/>
        </w:rPr>
        <w:t>la production</w:t>
      </w:r>
      <w:r w:rsidR="004313D9" w:rsidRPr="00C2053F">
        <w:rPr>
          <w:lang w:val="fr-FR"/>
        </w:rPr>
        <w:t xml:space="preserve"> de </w:t>
      </w:r>
      <w:r w:rsidR="0019744B" w:rsidRPr="00C2053F">
        <w:rPr>
          <w:lang w:val="fr-FR"/>
        </w:rPr>
        <w:t xml:space="preserve">nouvelles </w:t>
      </w:r>
      <w:r w:rsidR="004313D9" w:rsidRPr="00C2053F">
        <w:rPr>
          <w:lang w:val="fr-FR"/>
        </w:rPr>
        <w:t>connaissances. L’équi</w:t>
      </w:r>
      <w:r w:rsidR="005009BB" w:rsidRPr="00C2053F">
        <w:rPr>
          <w:lang w:val="fr-FR"/>
        </w:rPr>
        <w:t>pe spéciale a tenu sa </w:t>
      </w:r>
      <w:r w:rsidR="00B05A15" w:rsidRPr="00C2053F">
        <w:rPr>
          <w:lang w:val="fr-FR"/>
        </w:rPr>
        <w:t>troisième </w:t>
      </w:r>
      <w:r w:rsidR="004313D9" w:rsidRPr="00C2053F">
        <w:rPr>
          <w:lang w:val="fr-FR"/>
        </w:rPr>
        <w:t>réunion à Bonn (Allemagne)</w:t>
      </w:r>
      <w:r w:rsidR="00D0245D" w:rsidRPr="00C2053F">
        <w:rPr>
          <w:lang w:val="fr-FR"/>
        </w:rPr>
        <w:t>,</w:t>
      </w:r>
      <w:r w:rsidR="004313D9" w:rsidRPr="00C2053F">
        <w:rPr>
          <w:lang w:val="fr-FR"/>
        </w:rPr>
        <w:t xml:space="preserve"> du 13 au 16 juin 2016</w:t>
      </w:r>
      <w:r w:rsidR="00D0245D" w:rsidRPr="00C2053F">
        <w:rPr>
          <w:lang w:val="fr-FR"/>
        </w:rPr>
        <w:t xml:space="preserve">, et a travaillé entre les sessions, essentiellement par l’intermédiaire des trois groupes de travail. </w:t>
      </w:r>
    </w:p>
    <w:p w14:paraId="2583C7CF" w14:textId="4E958B4A" w:rsidR="00D0245D" w:rsidRPr="00C2053F" w:rsidRDefault="00791DB4" w:rsidP="009441A9">
      <w:pPr>
        <w:pStyle w:val="Normalnumber"/>
        <w:rPr>
          <w:lang w:val="fr-FR"/>
        </w:rPr>
      </w:pPr>
      <w:r w:rsidRPr="00C2053F">
        <w:rPr>
          <w:lang w:val="fr-FR"/>
        </w:rPr>
        <w:t xml:space="preserve">La section I de la présente note décrit l’état d’avancement des travaux des trois groupes de travail, tandis que la section II souligne les </w:t>
      </w:r>
      <w:r w:rsidR="00A17B1D" w:rsidRPr="00C2053F">
        <w:rPr>
          <w:lang w:val="fr-FR"/>
        </w:rPr>
        <w:t>mesures proposées pour la Plénière. Le projet de plan de travail pour 2017 et 2018 est énoncé dans l’annexe à la présente note. Des informations complémentaires sur ces travaux et sur d’autres activités entreprises de</w:t>
      </w:r>
      <w:r w:rsidR="005009BB" w:rsidRPr="00C2053F">
        <w:rPr>
          <w:lang w:val="fr-FR"/>
        </w:rPr>
        <w:t>puis la quatrième session de la </w:t>
      </w:r>
      <w:r w:rsidR="00A17B1D" w:rsidRPr="00C2053F">
        <w:rPr>
          <w:lang w:val="fr-FR"/>
        </w:rPr>
        <w:t xml:space="preserve">Plénière figurent dans la note d’information du secrétariat </w:t>
      </w:r>
      <w:r w:rsidR="009D24BE" w:rsidRPr="00C2053F">
        <w:rPr>
          <w:lang w:val="fr-FR"/>
        </w:rPr>
        <w:t xml:space="preserve">faisant le point sur les travaux relatifs aux </w:t>
      </w:r>
      <w:r w:rsidR="008D44DA">
        <w:rPr>
          <w:lang w:val="fr-FR"/>
        </w:rPr>
        <w:lastRenderedPageBreak/>
        <w:t>connaissances et aux données (produits 1 d) et 4 b))</w:t>
      </w:r>
      <w:r w:rsidR="009D24BE" w:rsidRPr="00C2053F">
        <w:rPr>
          <w:lang w:val="fr-FR"/>
        </w:rPr>
        <w:t xml:space="preserve"> (IPBES/5/INF/5). Un projet de décision sur les</w:t>
      </w:r>
      <w:r w:rsidR="00740066" w:rsidRPr="00C2053F">
        <w:rPr>
          <w:lang w:val="fr-FR"/>
        </w:rPr>
        <w:t> </w:t>
      </w:r>
      <w:r w:rsidR="009D24BE" w:rsidRPr="00C2053F">
        <w:rPr>
          <w:lang w:val="fr-FR"/>
        </w:rPr>
        <w:t>connaissances et les données est présenté dans la note du secrétariat sur les projets de décisions pour la cinquième session de la Plénière (IPBES/5/1/Add.2).</w:t>
      </w:r>
    </w:p>
    <w:p w14:paraId="26601D8B" w14:textId="03BFD960" w:rsidR="009441A9" w:rsidRPr="00C2053F" w:rsidRDefault="009F3D34" w:rsidP="009F3D34">
      <w:pPr>
        <w:pStyle w:val="CH1"/>
        <w:rPr>
          <w:lang w:val="fr-FR"/>
        </w:rPr>
      </w:pPr>
      <w:r w:rsidRPr="00C2053F">
        <w:rPr>
          <w:lang w:val="fr-FR"/>
        </w:rPr>
        <w:tab/>
        <w:t>I.</w:t>
      </w:r>
      <w:r w:rsidRPr="00C2053F">
        <w:rPr>
          <w:lang w:val="fr-FR"/>
        </w:rPr>
        <w:tab/>
      </w:r>
      <w:r w:rsidR="009D24BE" w:rsidRPr="00C2053F">
        <w:rPr>
          <w:lang w:val="fr-FR"/>
        </w:rPr>
        <w:t xml:space="preserve">Progrès accomplis à ce jour et projet de plan de travail </w:t>
      </w:r>
      <w:r w:rsidR="00A9167F" w:rsidRPr="00C2053F">
        <w:rPr>
          <w:lang w:val="fr-FR"/>
        </w:rPr>
        <w:t xml:space="preserve">pour 2017 et </w:t>
      </w:r>
      <w:r w:rsidR="009D24BE" w:rsidRPr="00C2053F">
        <w:rPr>
          <w:lang w:val="fr-FR"/>
        </w:rPr>
        <w:t>2018</w:t>
      </w:r>
    </w:p>
    <w:p w14:paraId="505A158B" w14:textId="03F4CFA7" w:rsidR="009441A9" w:rsidRPr="00C2053F" w:rsidRDefault="009F3D34" w:rsidP="009F3D34">
      <w:pPr>
        <w:pStyle w:val="CH2"/>
        <w:rPr>
          <w:lang w:val="fr-FR"/>
        </w:rPr>
      </w:pPr>
      <w:r w:rsidRPr="00C2053F">
        <w:rPr>
          <w:lang w:val="fr-FR"/>
        </w:rPr>
        <w:tab/>
        <w:t>A.</w:t>
      </w:r>
      <w:r w:rsidRPr="00C2053F">
        <w:rPr>
          <w:lang w:val="fr-FR"/>
        </w:rPr>
        <w:tab/>
      </w:r>
      <w:r w:rsidR="009441A9" w:rsidRPr="00C2053F">
        <w:rPr>
          <w:lang w:val="fr-FR"/>
        </w:rPr>
        <w:t>Indicat</w:t>
      </w:r>
      <w:r w:rsidR="00F8090B" w:rsidRPr="00C2053F">
        <w:rPr>
          <w:lang w:val="fr-FR"/>
        </w:rPr>
        <w:t>eu</w:t>
      </w:r>
      <w:r w:rsidR="009441A9" w:rsidRPr="00C2053F">
        <w:rPr>
          <w:lang w:val="fr-FR"/>
        </w:rPr>
        <w:t xml:space="preserve">rs </w:t>
      </w:r>
      <w:r w:rsidR="00F8090B" w:rsidRPr="00C2053F">
        <w:rPr>
          <w:lang w:val="fr-FR"/>
        </w:rPr>
        <w:t>et données pour les évaluations de la Plateforme</w:t>
      </w:r>
    </w:p>
    <w:p w14:paraId="61CEE5F3" w14:textId="3D2452CE" w:rsidR="00F8090B" w:rsidRPr="00C2053F" w:rsidRDefault="005E71DF" w:rsidP="009441A9">
      <w:pPr>
        <w:pStyle w:val="Normalnumber"/>
        <w:rPr>
          <w:lang w:val="fr-FR"/>
        </w:rPr>
      </w:pPr>
      <w:r w:rsidRPr="00C2053F">
        <w:rPr>
          <w:lang w:val="fr-FR"/>
        </w:rPr>
        <w:t xml:space="preserve">Étant chargée </w:t>
      </w:r>
      <w:r w:rsidR="00AE7283" w:rsidRPr="00C2053F">
        <w:rPr>
          <w:lang w:val="fr-FR"/>
        </w:rPr>
        <w:t>de formuler des avis sur les indicateurs et les mesures à utiliser pour les produits de la Plateforme ainsi que sur les normes à appliquer pour recueillir et gérer les données qui leur sont associées, l’équipe spéciale sur les connaissances et les données a dressé une liste d</w:t>
      </w:r>
      <w:r w:rsidR="009254AE" w:rsidRPr="00C2053F">
        <w:rPr>
          <w:lang w:val="fr-FR"/>
        </w:rPr>
        <w:t>’</w:t>
      </w:r>
      <w:r w:rsidR="00AE7283" w:rsidRPr="00C2053F">
        <w:rPr>
          <w:lang w:val="fr-FR"/>
        </w:rPr>
        <w:t>indicateurs de base, que les auteurs d’évaluation</w:t>
      </w:r>
      <w:r w:rsidR="00434C6E" w:rsidRPr="00C2053F">
        <w:rPr>
          <w:lang w:val="fr-FR"/>
        </w:rPr>
        <w:t>s</w:t>
      </w:r>
      <w:r w:rsidR="00AE7283" w:rsidRPr="00C2053F">
        <w:rPr>
          <w:lang w:val="fr-FR"/>
        </w:rPr>
        <w:t xml:space="preserve"> sont priés d’utiliser </w:t>
      </w:r>
      <w:r w:rsidR="009254AE" w:rsidRPr="00C2053F">
        <w:rPr>
          <w:lang w:val="fr-FR"/>
        </w:rPr>
        <w:t xml:space="preserve">dans le cadre des évaluations régionales et de l’évaluation mondiale de la biodiversité et des services écosystémiques. La liste des indicateurs de base a été établie en utilisant </w:t>
      </w:r>
      <w:r w:rsidR="00C569EC" w:rsidRPr="00C2053F">
        <w:rPr>
          <w:lang w:val="fr-FR"/>
        </w:rPr>
        <w:t>un ensemble strict de critères et a été approuvée par le Groupe d’experts multidisciplinaire à sa septième réunion, tenue à Bonn en juin 2016. Des informations sur ces critères sont énoncées dans la note d’information IPBES/5/INF/5, avec la liste des indicateurs de base approuvés. L’utilisation de ces indicateurs de base permet la compa</w:t>
      </w:r>
      <w:r w:rsidR="005009BB" w:rsidRPr="00C2053F">
        <w:rPr>
          <w:lang w:val="fr-FR"/>
        </w:rPr>
        <w:t>raison directe entre les </w:t>
      </w:r>
      <w:r w:rsidR="00A9167F" w:rsidRPr="00C2053F">
        <w:rPr>
          <w:lang w:val="fr-FR"/>
        </w:rPr>
        <w:t>quatre </w:t>
      </w:r>
      <w:r w:rsidR="00C569EC" w:rsidRPr="00C2053F">
        <w:rPr>
          <w:lang w:val="fr-FR"/>
        </w:rPr>
        <w:t xml:space="preserve">évaluations régionales et entre les évaluations régionales et l’évaluation mondiale, </w:t>
      </w:r>
      <w:r w:rsidR="00EE6E0A" w:rsidRPr="00C2053F">
        <w:rPr>
          <w:lang w:val="fr-FR"/>
        </w:rPr>
        <w:t xml:space="preserve">et garantit un examen minutieux des éléments quantitatifs pris en considération dans les évaluations de la Plateforme. </w:t>
      </w:r>
      <w:r w:rsidR="005B41EB" w:rsidRPr="00C2053F">
        <w:rPr>
          <w:lang w:val="fr-FR"/>
        </w:rPr>
        <w:t>De surcroît, une liste plus longue d’indicateurs majeurs qui sont portés à l’attention des auteurs d’évaluation</w:t>
      </w:r>
      <w:r w:rsidR="00434C6E" w:rsidRPr="00C2053F">
        <w:rPr>
          <w:lang w:val="fr-FR"/>
        </w:rPr>
        <w:t>s</w:t>
      </w:r>
      <w:r w:rsidR="005B41EB" w:rsidRPr="00C2053F">
        <w:rPr>
          <w:lang w:val="fr-FR"/>
        </w:rPr>
        <w:t xml:space="preserve"> a été communiquée </w:t>
      </w:r>
      <w:r w:rsidR="00A45943" w:rsidRPr="00C2053F">
        <w:rPr>
          <w:lang w:val="fr-FR"/>
        </w:rPr>
        <w:t>à ceux-ci</w:t>
      </w:r>
      <w:r w:rsidR="005B41EB" w:rsidRPr="00C2053F">
        <w:rPr>
          <w:lang w:val="fr-FR"/>
        </w:rPr>
        <w:t xml:space="preserve"> pour leur donner un aperçu du large éventail d’indicateurs disponibles.</w:t>
      </w:r>
    </w:p>
    <w:p w14:paraId="7B127013" w14:textId="7329A1B4" w:rsidR="00066898" w:rsidRPr="00C2053F" w:rsidRDefault="002261E9" w:rsidP="009441A9">
      <w:pPr>
        <w:pStyle w:val="Normalnumber"/>
        <w:rPr>
          <w:lang w:val="fr-FR"/>
        </w:rPr>
      </w:pPr>
      <w:r w:rsidRPr="00C2053F">
        <w:rPr>
          <w:lang w:val="fr-FR"/>
        </w:rPr>
        <w:t xml:space="preserve">En 2016, le groupe de travail sur les indicateurs et données pour les évaluations de la Plateforme, </w:t>
      </w:r>
      <w:r w:rsidR="00A45943" w:rsidRPr="00C2053F">
        <w:rPr>
          <w:lang w:val="fr-FR"/>
        </w:rPr>
        <w:t>avec l’aide du</w:t>
      </w:r>
      <w:r w:rsidR="003B3CD0" w:rsidRPr="00C2053F">
        <w:rPr>
          <w:lang w:val="fr-FR"/>
        </w:rPr>
        <w:t xml:space="preserve"> groupe d’appui technique pour l’équipe spécia</w:t>
      </w:r>
      <w:r w:rsidR="005009BB" w:rsidRPr="00C2053F">
        <w:rPr>
          <w:lang w:val="fr-FR"/>
        </w:rPr>
        <w:t>le sur les connaissances et les </w:t>
      </w:r>
      <w:r w:rsidR="003B3CD0" w:rsidRPr="00C2053F">
        <w:rPr>
          <w:lang w:val="fr-FR"/>
        </w:rPr>
        <w:t xml:space="preserve">données, </w:t>
      </w:r>
      <w:r w:rsidR="00434C6E" w:rsidRPr="00C2053F">
        <w:rPr>
          <w:lang w:val="fr-FR"/>
        </w:rPr>
        <w:t xml:space="preserve">a créé un site Web qui fournit aux auteurs d’évaluations des ressources telles que des fiches d’information, des données, des images et des textes explicatifs pour l’ensemble des indicateurs de base et, </w:t>
      </w:r>
      <w:r w:rsidR="003F22A5" w:rsidRPr="00C2053F">
        <w:rPr>
          <w:lang w:val="fr-FR"/>
        </w:rPr>
        <w:t>dans certains cas, pour l’ensemble des indicateurs majeurs. Cet appui aux auteurs a été rendu possible par les contributions en nature d’un certain nombre d’organisations qui ont mis au point des</w:t>
      </w:r>
      <w:r w:rsidR="00D73673" w:rsidRPr="00C2053F">
        <w:rPr>
          <w:lang w:val="fr-FR"/>
        </w:rPr>
        <w:t xml:space="preserve"> indicateurs de base et majeurs, tels que décrits dans la note du s</w:t>
      </w:r>
      <w:r w:rsidR="005009BB" w:rsidRPr="00C2053F">
        <w:rPr>
          <w:lang w:val="fr-FR"/>
        </w:rPr>
        <w:t>ecrétariat sur le budget et les </w:t>
      </w:r>
      <w:r w:rsidR="00D73673" w:rsidRPr="00C2053F">
        <w:rPr>
          <w:lang w:val="fr-FR"/>
        </w:rPr>
        <w:t>dépenses pour la p</w:t>
      </w:r>
      <w:r w:rsidR="0001054E" w:rsidRPr="00C2053F">
        <w:rPr>
          <w:lang w:val="fr-FR"/>
        </w:rPr>
        <w:t>ériode 2014-</w:t>
      </w:r>
      <w:r w:rsidR="00D73673" w:rsidRPr="00C2053F">
        <w:rPr>
          <w:lang w:val="fr-FR"/>
        </w:rPr>
        <w:t xml:space="preserve">2018 (IPBES/5/10). Les auteurs d’évaluations ont été incités à prendre contact avec le groupe d’appui technique </w:t>
      </w:r>
      <w:r w:rsidR="00C4375A" w:rsidRPr="00C2053F">
        <w:rPr>
          <w:lang w:val="fr-FR"/>
        </w:rPr>
        <w:t>pour les connaissances et les données afin d’obtenir un appui spécifique concernant l’utilisation des indicateurs de base et majeurs.</w:t>
      </w:r>
    </w:p>
    <w:p w14:paraId="7903FCFC" w14:textId="12AC9254" w:rsidR="00C4375A" w:rsidRPr="00C2053F" w:rsidRDefault="00C4375A" w:rsidP="009441A9">
      <w:pPr>
        <w:pStyle w:val="Normalnumber"/>
        <w:rPr>
          <w:lang w:val="fr-FR"/>
        </w:rPr>
      </w:pPr>
      <w:r w:rsidRPr="00C2053F">
        <w:rPr>
          <w:lang w:val="fr-FR"/>
        </w:rPr>
        <w:t xml:space="preserve">Les auteurs d’évaluations ont également reçu une liste préliminaire d’indicateurs socioéconomiques pour les trois éléments du cadre conceptuel de la Plateforme intitulés </w:t>
      </w:r>
      <w:r w:rsidR="00AA2F6F" w:rsidRPr="00C2053F">
        <w:rPr>
          <w:lang w:val="fr-FR"/>
        </w:rPr>
        <w:t xml:space="preserve">les </w:t>
      </w:r>
      <w:r w:rsidRPr="00C2053F">
        <w:rPr>
          <w:lang w:val="fr-FR"/>
        </w:rPr>
        <w:t xml:space="preserve">« bienfaits de la nature pour l’homme », </w:t>
      </w:r>
      <w:r w:rsidR="00AA2F6F" w:rsidRPr="00C2053F">
        <w:rPr>
          <w:lang w:val="fr-FR"/>
        </w:rPr>
        <w:t xml:space="preserve">une </w:t>
      </w:r>
      <w:r w:rsidRPr="00C2053F">
        <w:rPr>
          <w:lang w:val="fr-FR"/>
        </w:rPr>
        <w:t xml:space="preserve">« bonne qualité de vie » et </w:t>
      </w:r>
      <w:r w:rsidR="00AA2F6F" w:rsidRPr="00C2053F">
        <w:rPr>
          <w:lang w:val="fr-FR"/>
        </w:rPr>
        <w:t xml:space="preserve">les </w:t>
      </w:r>
      <w:r w:rsidRPr="00C2053F">
        <w:rPr>
          <w:lang w:val="fr-FR"/>
        </w:rPr>
        <w:t xml:space="preserve">« institutions, les systèmes de gouvernance et autres facteurs indirects de changement ». Cette liste préliminaire complète la liste </w:t>
      </w:r>
      <w:r w:rsidR="00552D00" w:rsidRPr="00C2053F">
        <w:rPr>
          <w:lang w:val="fr-FR"/>
        </w:rPr>
        <w:t>des indicateurs de base pour les évaluations régionales.</w:t>
      </w:r>
    </w:p>
    <w:p w14:paraId="0DE2AFB0" w14:textId="56E8CF00" w:rsidR="00552D00" w:rsidRPr="00C2053F" w:rsidRDefault="00552D00" w:rsidP="009441A9">
      <w:pPr>
        <w:pStyle w:val="Normalnumber"/>
        <w:rPr>
          <w:lang w:val="fr-FR"/>
        </w:rPr>
      </w:pPr>
      <w:r w:rsidRPr="00C2053F">
        <w:rPr>
          <w:lang w:val="fr-FR"/>
        </w:rPr>
        <w:t>Le groupe de travail et le groupe d’appui technique ont l’intention de continuer à apporter un appui aux auteurs des évaluations régionales (2017)</w:t>
      </w:r>
      <w:r w:rsidR="00DB3CCD" w:rsidRPr="00C2053F">
        <w:rPr>
          <w:lang w:val="fr-FR"/>
        </w:rPr>
        <w:t>, et d’intensifier l’appu</w:t>
      </w:r>
      <w:r w:rsidR="00B474EE" w:rsidRPr="00C2053F">
        <w:rPr>
          <w:lang w:val="fr-FR"/>
        </w:rPr>
        <w:t>i à l’évaluation mondiale (2017-</w:t>
      </w:r>
      <w:r w:rsidR="00DB3CCD" w:rsidRPr="00C2053F">
        <w:rPr>
          <w:lang w:val="fr-FR"/>
        </w:rPr>
        <w:t xml:space="preserve">2018). Ils proposent en outre de poursuivre les travaux sur la sélection de nouveaux indicateurs socioéconomiques adaptés à l’évaluation mondiale, </w:t>
      </w:r>
      <w:r w:rsidR="002F2855" w:rsidRPr="00C2053F">
        <w:rPr>
          <w:lang w:val="fr-FR"/>
        </w:rPr>
        <w:t>sur l’é</w:t>
      </w:r>
      <w:r w:rsidR="00A252C8" w:rsidRPr="00C2053F">
        <w:rPr>
          <w:lang w:val="fr-FR"/>
        </w:rPr>
        <w:t>laboration connexe</w:t>
      </w:r>
      <w:r w:rsidR="002F2855" w:rsidRPr="00C2053F">
        <w:rPr>
          <w:lang w:val="fr-FR"/>
        </w:rPr>
        <w:t xml:space="preserve"> de </w:t>
      </w:r>
      <w:r w:rsidR="00A252C8" w:rsidRPr="00C2053F">
        <w:rPr>
          <w:lang w:val="fr-FR"/>
        </w:rPr>
        <w:t>trames de scénarios</w:t>
      </w:r>
      <w:r w:rsidR="002F2855" w:rsidRPr="00C2053F">
        <w:rPr>
          <w:lang w:val="fr-FR"/>
        </w:rPr>
        <w:t xml:space="preserve"> et, par la suite, sur la communication de fiches d’information, de donnée</w:t>
      </w:r>
      <w:r w:rsidR="00B474EE" w:rsidRPr="00C2053F">
        <w:rPr>
          <w:lang w:val="fr-FR"/>
        </w:rPr>
        <w:t>s et de documents visuels (2017-</w:t>
      </w:r>
      <w:r w:rsidR="002F2855" w:rsidRPr="00C2053F">
        <w:rPr>
          <w:lang w:val="fr-FR"/>
        </w:rPr>
        <w:t>2018).</w:t>
      </w:r>
    </w:p>
    <w:p w14:paraId="67D078D1" w14:textId="38CC9C55" w:rsidR="009441A9" w:rsidRPr="00C2053F" w:rsidRDefault="009F3D34" w:rsidP="009F3D34">
      <w:pPr>
        <w:pStyle w:val="CH2"/>
        <w:rPr>
          <w:lang w:val="fr-FR"/>
        </w:rPr>
      </w:pPr>
      <w:r w:rsidRPr="00C2053F">
        <w:rPr>
          <w:lang w:val="fr-FR"/>
        </w:rPr>
        <w:tab/>
        <w:t>B.</w:t>
      </w:r>
      <w:r w:rsidRPr="00C2053F">
        <w:rPr>
          <w:lang w:val="fr-FR"/>
        </w:rPr>
        <w:tab/>
      </w:r>
      <w:r w:rsidR="00650675" w:rsidRPr="00C2053F">
        <w:rPr>
          <w:lang w:val="fr-FR"/>
        </w:rPr>
        <w:t>Infrastructure en ligne à l’appui de la gestion des données et de l’information</w:t>
      </w:r>
    </w:p>
    <w:p w14:paraId="037ED323" w14:textId="7425262D" w:rsidR="008365E5" w:rsidRPr="00C2053F" w:rsidRDefault="008365E5" w:rsidP="009441A9">
      <w:pPr>
        <w:pStyle w:val="Normalnumber"/>
        <w:rPr>
          <w:lang w:val="fr-FR"/>
        </w:rPr>
      </w:pPr>
      <w:r w:rsidRPr="00C2053F">
        <w:rPr>
          <w:lang w:val="fr-FR"/>
        </w:rPr>
        <w:t>Étant chargée</w:t>
      </w:r>
      <w:r w:rsidR="00C673F6" w:rsidRPr="00C2053F">
        <w:rPr>
          <w:lang w:val="fr-FR"/>
        </w:rPr>
        <w:t>, d’une part,</w:t>
      </w:r>
      <w:r w:rsidRPr="00C2053F">
        <w:rPr>
          <w:lang w:val="fr-FR"/>
        </w:rPr>
        <w:t xml:space="preserve"> </w:t>
      </w:r>
      <w:r w:rsidR="0019744B" w:rsidRPr="00C2053F">
        <w:rPr>
          <w:lang w:val="fr-FR"/>
        </w:rPr>
        <w:t>d’aider</w:t>
      </w:r>
      <w:r w:rsidRPr="00C2053F">
        <w:rPr>
          <w:lang w:val="fr-FR"/>
        </w:rPr>
        <w:t xml:space="preserve"> le secrétariat </w:t>
      </w:r>
      <w:r w:rsidR="0019744B" w:rsidRPr="00C2053F">
        <w:rPr>
          <w:lang w:val="fr-FR"/>
        </w:rPr>
        <w:t>à superviser</w:t>
      </w:r>
      <w:r w:rsidRPr="00C2053F">
        <w:rPr>
          <w:lang w:val="fr-FR"/>
        </w:rPr>
        <w:t xml:space="preserve"> la gestion des données, informatio</w:t>
      </w:r>
      <w:r w:rsidR="0019744B" w:rsidRPr="00C2053F">
        <w:rPr>
          <w:lang w:val="fr-FR"/>
        </w:rPr>
        <w:t>ns et connaissances utilisées p</w:t>
      </w:r>
      <w:r w:rsidRPr="00C2053F">
        <w:rPr>
          <w:lang w:val="fr-FR"/>
        </w:rPr>
        <w:t xml:space="preserve">our réaliser les produits de la Plateforme, de façon à garantir leur disponibilité à long terme </w:t>
      </w:r>
      <w:r w:rsidR="00C673F6" w:rsidRPr="00C2053F">
        <w:rPr>
          <w:lang w:val="fr-FR"/>
        </w:rPr>
        <w:t>et, d’autre part, de déterminer comment l’accès aux données, informations et connaissances existantes peut être amélioré, de façon à assurer leur disponibilité pour appuyer les travaux de la Plateforme, l’équipe spéciale sur l</w:t>
      </w:r>
      <w:r w:rsidR="00B33E3A" w:rsidRPr="00C2053F">
        <w:rPr>
          <w:lang w:val="fr-FR"/>
        </w:rPr>
        <w:t>’</w:t>
      </w:r>
      <w:r w:rsidR="00C673F6" w:rsidRPr="00C2053F">
        <w:rPr>
          <w:lang w:val="fr-FR"/>
        </w:rPr>
        <w:t>infrastructure en ligne à l’appui des besoins en matière de gestion des données et de l’information a, de</w:t>
      </w:r>
      <w:r w:rsidR="005009BB" w:rsidRPr="00C2053F">
        <w:rPr>
          <w:lang w:val="fr-FR"/>
        </w:rPr>
        <w:t>puis la quatrième session de la </w:t>
      </w:r>
      <w:r w:rsidR="00C673F6" w:rsidRPr="00C2053F">
        <w:rPr>
          <w:lang w:val="fr-FR"/>
        </w:rPr>
        <w:t xml:space="preserve">Plénière, </w:t>
      </w:r>
      <w:r w:rsidR="00E32573" w:rsidRPr="00C2053F">
        <w:rPr>
          <w:lang w:val="fr-FR"/>
        </w:rPr>
        <w:t>conceptualisé et supervisé le développement de</w:t>
      </w:r>
      <w:r w:rsidR="00B33E3A" w:rsidRPr="00C2053F">
        <w:rPr>
          <w:lang w:val="fr-FR"/>
        </w:rPr>
        <w:t xml:space="preserve"> l’infrastructure</w:t>
      </w:r>
      <w:r w:rsidR="00E32573" w:rsidRPr="00C2053F">
        <w:rPr>
          <w:lang w:val="fr-FR"/>
        </w:rPr>
        <w:t xml:space="preserve"> en ligne sur le site Web de la Plateforme. </w:t>
      </w:r>
      <w:r w:rsidR="00B33E3A" w:rsidRPr="00C2053F">
        <w:rPr>
          <w:lang w:val="fr-FR"/>
        </w:rPr>
        <w:t xml:space="preserve">L’infrastructure permet aux experts de la Plateforme d’obtenir des informations clés relatives à leurs travaux, y compris des documents officiels pertinents, des catalogues de la Plateforme, des </w:t>
      </w:r>
      <w:r w:rsidR="00504790" w:rsidRPr="00C2053F">
        <w:rPr>
          <w:lang w:val="fr-FR"/>
        </w:rPr>
        <w:t>produits livrables</w:t>
      </w:r>
      <w:r w:rsidR="00B33E3A" w:rsidRPr="00C2053F">
        <w:rPr>
          <w:lang w:val="fr-FR"/>
        </w:rPr>
        <w:t xml:space="preserve"> et autres produits, et leur offre la possibilité de prendre contact avec les experts et parties prenantes concernés.</w:t>
      </w:r>
    </w:p>
    <w:p w14:paraId="454E0596" w14:textId="4968070A" w:rsidR="00B33E3A" w:rsidRPr="00C2053F" w:rsidRDefault="003D761B" w:rsidP="009441A9">
      <w:pPr>
        <w:pStyle w:val="Normalnumber"/>
        <w:rPr>
          <w:lang w:val="fr-FR"/>
        </w:rPr>
      </w:pPr>
      <w:r w:rsidRPr="00C2053F">
        <w:rPr>
          <w:lang w:val="fr-FR"/>
        </w:rPr>
        <w:t xml:space="preserve">Il est proposé de mener une enquête auprès des utilisateurs de l’infrastructure en ligne afin de déterminer leurs besoins, leurs priorités et leurs attentes, et de permettre d’affiner les fonctionnalités de l’infrastructure en 2017. L’infrastructure sera régulièrement mise à jour afin d’y inclure les </w:t>
      </w:r>
      <w:r w:rsidR="00504790" w:rsidRPr="00C2053F">
        <w:rPr>
          <w:lang w:val="fr-FR"/>
        </w:rPr>
        <w:t xml:space="preserve">produits </w:t>
      </w:r>
      <w:r w:rsidR="00504790" w:rsidRPr="00C2053F">
        <w:rPr>
          <w:lang w:val="fr-FR"/>
        </w:rPr>
        <w:lastRenderedPageBreak/>
        <w:t>livrables</w:t>
      </w:r>
      <w:r w:rsidRPr="00C2053F">
        <w:rPr>
          <w:lang w:val="fr-FR"/>
        </w:rPr>
        <w:t xml:space="preserve"> et autres produits de la Plateforme à mesure qu’ils seront disponibles. L’infrastructure </w:t>
      </w:r>
      <w:r w:rsidR="00AB2C5F" w:rsidRPr="00C2053F">
        <w:rPr>
          <w:lang w:val="fr-FR"/>
        </w:rPr>
        <w:t xml:space="preserve">doit être développée afin de centraliser les principales informations concernant les évaluations </w:t>
      </w:r>
      <w:r w:rsidR="00A252C8" w:rsidRPr="00C2053F">
        <w:rPr>
          <w:lang w:val="fr-FR"/>
        </w:rPr>
        <w:t xml:space="preserve">et autres produits </w:t>
      </w:r>
      <w:r w:rsidR="00FB7A1F" w:rsidRPr="00C2053F">
        <w:rPr>
          <w:lang w:val="fr-FR"/>
        </w:rPr>
        <w:t>livrés</w:t>
      </w:r>
      <w:r w:rsidR="00AB2C5F" w:rsidRPr="00C2053F">
        <w:rPr>
          <w:lang w:val="fr-FR"/>
        </w:rPr>
        <w:t xml:space="preserve"> par la Plateforme </w:t>
      </w:r>
      <w:r w:rsidR="00FB7A1F" w:rsidRPr="00C2053F">
        <w:rPr>
          <w:lang w:val="fr-FR"/>
        </w:rPr>
        <w:t>au cours de</w:t>
      </w:r>
      <w:r w:rsidR="006A68ED" w:rsidRPr="00C2053F">
        <w:rPr>
          <w:lang w:val="fr-FR"/>
        </w:rPr>
        <w:t xml:space="preserve"> la période 2017-</w:t>
      </w:r>
      <w:r w:rsidR="00AB2C5F" w:rsidRPr="00C2053F">
        <w:rPr>
          <w:lang w:val="fr-FR"/>
        </w:rPr>
        <w:t>2018.</w:t>
      </w:r>
    </w:p>
    <w:p w14:paraId="3EFBB495" w14:textId="3DF36280" w:rsidR="009441A9" w:rsidRPr="00C2053F" w:rsidRDefault="009F3D34" w:rsidP="009F3D34">
      <w:pPr>
        <w:pStyle w:val="CH2"/>
        <w:rPr>
          <w:lang w:val="fr-FR"/>
        </w:rPr>
      </w:pPr>
      <w:r w:rsidRPr="00C2053F">
        <w:rPr>
          <w:lang w:val="fr-FR"/>
        </w:rPr>
        <w:tab/>
        <w:t>C.</w:t>
      </w:r>
      <w:r w:rsidRPr="00C2053F">
        <w:rPr>
          <w:lang w:val="fr-FR"/>
        </w:rPr>
        <w:tab/>
      </w:r>
      <w:r w:rsidR="0019744B" w:rsidRPr="00C2053F">
        <w:rPr>
          <w:lang w:val="fr-FR"/>
        </w:rPr>
        <w:t>Favoriser la production de</w:t>
      </w:r>
      <w:r w:rsidR="0036031D" w:rsidRPr="00C2053F">
        <w:rPr>
          <w:lang w:val="fr-FR"/>
        </w:rPr>
        <w:t xml:space="preserve"> </w:t>
      </w:r>
      <w:r w:rsidR="0019744B" w:rsidRPr="00C2053F">
        <w:rPr>
          <w:lang w:val="fr-FR"/>
        </w:rPr>
        <w:t xml:space="preserve">nouvelles </w:t>
      </w:r>
      <w:r w:rsidR="0036031D" w:rsidRPr="00C2053F">
        <w:rPr>
          <w:lang w:val="fr-FR"/>
        </w:rPr>
        <w:t>connaissances</w:t>
      </w:r>
    </w:p>
    <w:p w14:paraId="57423A4D" w14:textId="663A5856" w:rsidR="0036031D" w:rsidRPr="00C2053F" w:rsidRDefault="0044122F" w:rsidP="009441A9">
      <w:pPr>
        <w:pStyle w:val="Normalnumber"/>
        <w:rPr>
          <w:lang w:val="fr-FR"/>
        </w:rPr>
      </w:pPr>
      <w:r w:rsidRPr="00C2053F">
        <w:rPr>
          <w:lang w:val="fr-FR"/>
        </w:rPr>
        <w:t xml:space="preserve">Étant chargée, d’une part, </w:t>
      </w:r>
      <w:r w:rsidR="0019744B" w:rsidRPr="00C2053F">
        <w:rPr>
          <w:lang w:val="fr-FR"/>
        </w:rPr>
        <w:t>d’aider</w:t>
      </w:r>
      <w:r w:rsidRPr="00C2053F">
        <w:rPr>
          <w:lang w:val="fr-FR"/>
        </w:rPr>
        <w:t xml:space="preserve"> le Bureau et le Groupe d’experts multidisciplinaire </w:t>
      </w:r>
      <w:r w:rsidR="0019744B" w:rsidRPr="00C2053F">
        <w:rPr>
          <w:lang w:val="fr-FR"/>
        </w:rPr>
        <w:t>à examiner l</w:t>
      </w:r>
      <w:r w:rsidRPr="00C2053F">
        <w:rPr>
          <w:lang w:val="fr-FR"/>
        </w:rPr>
        <w:t xml:space="preserve">es besoins et </w:t>
      </w:r>
      <w:r w:rsidR="0019744B" w:rsidRPr="00C2053F">
        <w:rPr>
          <w:lang w:val="fr-FR"/>
        </w:rPr>
        <w:t>l</w:t>
      </w:r>
      <w:r w:rsidRPr="00C2053F">
        <w:rPr>
          <w:lang w:val="fr-FR"/>
        </w:rPr>
        <w:t>es lacunes en matière de connaissances</w:t>
      </w:r>
      <w:r w:rsidR="0019744B" w:rsidRPr="00C2053F">
        <w:rPr>
          <w:lang w:val="fr-FR"/>
        </w:rPr>
        <w:t>,</w:t>
      </w:r>
      <w:r w:rsidRPr="00C2053F">
        <w:rPr>
          <w:lang w:val="fr-FR"/>
        </w:rPr>
        <w:t xml:space="preserve"> déterminés grâce aux études de cadrage et aux évaluations de la Plateforme, et de </w:t>
      </w:r>
      <w:r w:rsidR="0019744B" w:rsidRPr="00C2053F">
        <w:rPr>
          <w:lang w:val="fr-FR"/>
        </w:rPr>
        <w:t>favoriser</w:t>
      </w:r>
      <w:r w:rsidRPr="00C2053F">
        <w:rPr>
          <w:lang w:val="fr-FR"/>
        </w:rPr>
        <w:t xml:space="preserve"> la production de nouvelles connaissances et données</w:t>
      </w:r>
      <w:r w:rsidR="0019744B" w:rsidRPr="00C2053F">
        <w:rPr>
          <w:lang w:val="fr-FR"/>
        </w:rPr>
        <w:t xml:space="preserve"> et, d’autre part, d’aider le Bureau et le Groupe d’experts multidisciplinaire à organiser des dialogues avec des organisations scientifiques, les décideurs et les organismes de financement, et à entreprendre d’autres activités pour répondre aux besoins recensés dans le programme de travail, l’équipe spéciale sur les connaissances et les données a,</w:t>
      </w:r>
      <w:r w:rsidR="0032125F" w:rsidRPr="00C2053F">
        <w:rPr>
          <w:lang w:val="fr-FR"/>
        </w:rPr>
        <w:t xml:space="preserve"> depuis la quatrième session de la Plénière, élaboré sous la direction</w:t>
      </w:r>
      <w:r w:rsidR="0019744B" w:rsidRPr="00C2053F">
        <w:rPr>
          <w:lang w:val="fr-FR"/>
        </w:rPr>
        <w:t xml:space="preserve"> du Bureau et du Groupe d’experts un processus pour favoriser la production de nouvelles connaissances.</w:t>
      </w:r>
    </w:p>
    <w:p w14:paraId="60257A42" w14:textId="16C1D830" w:rsidR="0019744B" w:rsidRPr="00C2053F" w:rsidRDefault="008944A6" w:rsidP="009441A9">
      <w:pPr>
        <w:pStyle w:val="Normalnumber"/>
        <w:rPr>
          <w:lang w:val="fr-FR"/>
        </w:rPr>
      </w:pPr>
      <w:r w:rsidRPr="00C2053F">
        <w:rPr>
          <w:lang w:val="fr-FR"/>
        </w:rPr>
        <w:t xml:space="preserve">Le processus suivant en trois étapes est proposé pour favoriser </w:t>
      </w:r>
      <w:r w:rsidR="0072757D" w:rsidRPr="00C2053F">
        <w:rPr>
          <w:lang w:val="fr-FR"/>
        </w:rPr>
        <w:t>la production</w:t>
      </w:r>
      <w:r w:rsidRPr="00C2053F">
        <w:rPr>
          <w:lang w:val="fr-FR"/>
        </w:rPr>
        <w:t xml:space="preserve"> de nouvelles connaissances : a) recenser les lacunes en matière de connaissances, d’informations et de données dans le programme de travail de la Plateforme ainsi que dans les évaluations menées à bien; b) organiser des consultations sur ces lacunes et </w:t>
      </w:r>
      <w:r w:rsidR="0032125F" w:rsidRPr="00C2053F">
        <w:rPr>
          <w:lang w:val="fr-FR"/>
        </w:rPr>
        <w:t>défini</w:t>
      </w:r>
      <w:r w:rsidRPr="00C2053F">
        <w:rPr>
          <w:lang w:val="fr-FR"/>
        </w:rPr>
        <w:t xml:space="preserve">r, avec la communauté scientifique, les domaines prioritaires pour la production de nouvelles connaissances; c) adapter ces domaines de recherche prioritaires aux institutions potentiellement favorables au financement de la recherche et les communiquer à ces organismes de financement, principalement lors de réunions bilatérales. </w:t>
      </w:r>
      <w:r w:rsidR="006C44C5" w:rsidRPr="00C2053F">
        <w:rPr>
          <w:lang w:val="fr-FR"/>
        </w:rPr>
        <w:t>Dans ce contexte, l</w:t>
      </w:r>
      <w:r w:rsidR="00792D47" w:rsidRPr="00C2053F">
        <w:rPr>
          <w:lang w:val="fr-FR"/>
        </w:rPr>
        <w:t>a définition d</w:t>
      </w:r>
      <w:r w:rsidR="006C44C5" w:rsidRPr="00C2053F">
        <w:rPr>
          <w:lang w:val="fr-FR"/>
        </w:rPr>
        <w:t xml:space="preserve">es lacunes en matière de connaissances </w:t>
      </w:r>
      <w:r w:rsidR="00792D47" w:rsidRPr="00C2053F">
        <w:rPr>
          <w:lang w:val="fr-FR"/>
        </w:rPr>
        <w:t>inclut l</w:t>
      </w:r>
      <w:r w:rsidR="006C44C5" w:rsidRPr="00C2053F">
        <w:rPr>
          <w:lang w:val="fr-FR"/>
        </w:rPr>
        <w:t xml:space="preserve">es lacunes </w:t>
      </w:r>
      <w:r w:rsidR="00792D47" w:rsidRPr="00C2053F">
        <w:rPr>
          <w:lang w:val="fr-FR"/>
        </w:rPr>
        <w:t>du point de vue des</w:t>
      </w:r>
      <w:r w:rsidR="006C44C5" w:rsidRPr="00C2053F">
        <w:rPr>
          <w:lang w:val="fr-FR"/>
        </w:rPr>
        <w:t xml:space="preserve"> information</w:t>
      </w:r>
      <w:r w:rsidR="00792D47" w:rsidRPr="00C2053F">
        <w:rPr>
          <w:lang w:val="fr-FR"/>
        </w:rPr>
        <w:t>s</w:t>
      </w:r>
      <w:r w:rsidR="006C44C5" w:rsidRPr="00C2053F">
        <w:rPr>
          <w:lang w:val="fr-FR"/>
        </w:rPr>
        <w:t xml:space="preserve"> et </w:t>
      </w:r>
      <w:r w:rsidR="00792D47" w:rsidRPr="00C2053F">
        <w:rPr>
          <w:lang w:val="fr-FR"/>
        </w:rPr>
        <w:t>des</w:t>
      </w:r>
      <w:r w:rsidR="006C44C5" w:rsidRPr="00C2053F">
        <w:rPr>
          <w:lang w:val="fr-FR"/>
        </w:rPr>
        <w:t xml:space="preserve"> principales données se rapportant à la biodiversité mondiale.</w:t>
      </w:r>
    </w:p>
    <w:p w14:paraId="1556C67B" w14:textId="601CE3EC" w:rsidR="006C44C5" w:rsidRPr="00C2053F" w:rsidRDefault="00134978" w:rsidP="009441A9">
      <w:pPr>
        <w:pStyle w:val="Normalnumber"/>
        <w:rPr>
          <w:lang w:val="fr-FR"/>
        </w:rPr>
      </w:pPr>
      <w:r w:rsidRPr="00C2053F">
        <w:rPr>
          <w:lang w:val="fr-FR"/>
        </w:rPr>
        <w:t xml:space="preserve">Dans le cadre de la première étape, l’équipe spéciale a élaboré un questionnaire en ligne. </w:t>
      </w:r>
      <w:r w:rsidR="006A68ED" w:rsidRPr="00C2053F">
        <w:rPr>
          <w:lang w:val="fr-FR"/>
        </w:rPr>
        <w:t>Lors </w:t>
      </w:r>
      <w:r w:rsidR="0015099E" w:rsidRPr="00C2053F">
        <w:rPr>
          <w:lang w:val="fr-FR"/>
        </w:rPr>
        <w:t>d’un</w:t>
      </w:r>
      <w:r w:rsidR="0053524B" w:rsidRPr="00C2053F">
        <w:rPr>
          <w:lang w:val="fr-FR"/>
        </w:rPr>
        <w:t xml:space="preserve">e </w:t>
      </w:r>
      <w:r w:rsidR="0015099E" w:rsidRPr="00C2053F">
        <w:rPr>
          <w:lang w:val="fr-FR"/>
        </w:rPr>
        <w:t>premi</w:t>
      </w:r>
      <w:r w:rsidR="0053524B" w:rsidRPr="00C2053F">
        <w:rPr>
          <w:lang w:val="fr-FR"/>
        </w:rPr>
        <w:t>ère</w:t>
      </w:r>
      <w:r w:rsidR="0015099E" w:rsidRPr="00C2053F">
        <w:rPr>
          <w:lang w:val="fr-FR"/>
        </w:rPr>
        <w:t xml:space="preserve"> </w:t>
      </w:r>
      <w:r w:rsidR="0053524B" w:rsidRPr="00C2053F">
        <w:rPr>
          <w:lang w:val="fr-FR"/>
        </w:rPr>
        <w:t>série</w:t>
      </w:r>
      <w:r w:rsidR="0015099E" w:rsidRPr="00C2053F">
        <w:rPr>
          <w:lang w:val="fr-FR"/>
        </w:rPr>
        <w:t xml:space="preserve"> de consultations, </w:t>
      </w:r>
      <w:r w:rsidR="007560DD" w:rsidRPr="00C2053F">
        <w:rPr>
          <w:lang w:val="fr-FR"/>
        </w:rPr>
        <w:t>c</w:t>
      </w:r>
      <w:r w:rsidR="0015099E" w:rsidRPr="00C2053F">
        <w:rPr>
          <w:lang w:val="fr-FR"/>
        </w:rPr>
        <w:t xml:space="preserve">e questionnaire a été communiqué aux coprésidents et aux principaux auteurs coordonnateurs des évaluations </w:t>
      </w:r>
      <w:r w:rsidR="007560DD" w:rsidRPr="00C2053F">
        <w:rPr>
          <w:lang w:val="fr-FR"/>
        </w:rPr>
        <w:t>achevées</w:t>
      </w:r>
      <w:r w:rsidR="0015099E" w:rsidRPr="00C2053F">
        <w:rPr>
          <w:lang w:val="fr-FR"/>
        </w:rPr>
        <w:t xml:space="preserve"> </w:t>
      </w:r>
      <w:r w:rsidR="00761937" w:rsidRPr="00C2053F">
        <w:rPr>
          <w:lang w:val="fr-FR"/>
        </w:rPr>
        <w:t>ou</w:t>
      </w:r>
      <w:r w:rsidR="0015099E" w:rsidRPr="00C2053F">
        <w:rPr>
          <w:lang w:val="fr-FR"/>
        </w:rPr>
        <w:t xml:space="preserve"> en cours </w:t>
      </w:r>
      <w:r w:rsidR="007560DD" w:rsidRPr="00C2053F">
        <w:rPr>
          <w:lang w:val="fr-FR"/>
        </w:rPr>
        <w:t>au</w:t>
      </w:r>
      <w:r w:rsidR="0015099E" w:rsidRPr="00C2053F">
        <w:rPr>
          <w:lang w:val="fr-FR"/>
        </w:rPr>
        <w:t xml:space="preserve"> 10 octobre 2016. </w:t>
      </w:r>
      <w:r w:rsidR="007560DD" w:rsidRPr="00C2053F">
        <w:rPr>
          <w:lang w:val="fr-FR"/>
        </w:rPr>
        <w:t>Il</w:t>
      </w:r>
      <w:r w:rsidR="005009BB" w:rsidRPr="00C2053F">
        <w:rPr>
          <w:lang w:val="fr-FR"/>
        </w:rPr>
        <w:t> a </w:t>
      </w:r>
      <w:r w:rsidR="0015099E" w:rsidRPr="00C2053F">
        <w:rPr>
          <w:lang w:val="fr-FR"/>
        </w:rPr>
        <w:t xml:space="preserve">abouti à une série de propositions concernant les domaines de recherche prioritaires, fondées sur les résultats de l’évaluation thématique des pollinisateurs, de la pollinisation et de la production alimentaire. Les réponses reçues ont également indiqué que le processus d’évaluation n’était pas encore suffisamment avancé pour </w:t>
      </w:r>
      <w:r w:rsidR="00337C0D" w:rsidRPr="00C2053F">
        <w:rPr>
          <w:lang w:val="fr-FR"/>
        </w:rPr>
        <w:t>définir les domaines de recherche prioritaires à par</w:t>
      </w:r>
      <w:r w:rsidR="009260DA" w:rsidRPr="00C2053F">
        <w:rPr>
          <w:lang w:val="fr-FR"/>
        </w:rPr>
        <w:t xml:space="preserve">tir </w:t>
      </w:r>
      <w:r w:rsidR="00504790" w:rsidRPr="00C2053F">
        <w:rPr>
          <w:lang w:val="fr-FR"/>
        </w:rPr>
        <w:t xml:space="preserve">de l’évaluation mondiale et </w:t>
      </w:r>
      <w:r w:rsidR="009260DA" w:rsidRPr="00C2053F">
        <w:rPr>
          <w:lang w:val="fr-FR"/>
        </w:rPr>
        <w:t>de</w:t>
      </w:r>
      <w:r w:rsidR="007F789D" w:rsidRPr="00C2053F">
        <w:rPr>
          <w:lang w:val="fr-FR"/>
        </w:rPr>
        <w:t>s</w:t>
      </w:r>
      <w:r w:rsidR="009260DA" w:rsidRPr="00C2053F">
        <w:rPr>
          <w:lang w:val="fr-FR"/>
        </w:rPr>
        <w:t xml:space="preserve"> </w:t>
      </w:r>
      <w:r w:rsidR="007F789D" w:rsidRPr="00C2053F">
        <w:rPr>
          <w:lang w:val="fr-FR"/>
        </w:rPr>
        <w:t>é</w:t>
      </w:r>
      <w:r w:rsidR="009260DA" w:rsidRPr="00C2053F">
        <w:rPr>
          <w:lang w:val="fr-FR"/>
        </w:rPr>
        <w:t>valuation</w:t>
      </w:r>
      <w:r w:rsidR="007F789D" w:rsidRPr="00C2053F">
        <w:rPr>
          <w:lang w:val="fr-FR"/>
        </w:rPr>
        <w:t>s</w:t>
      </w:r>
      <w:r w:rsidR="009260DA" w:rsidRPr="00C2053F">
        <w:rPr>
          <w:lang w:val="fr-FR"/>
        </w:rPr>
        <w:t xml:space="preserve"> régionale</w:t>
      </w:r>
      <w:r w:rsidR="007F789D" w:rsidRPr="00C2053F">
        <w:rPr>
          <w:lang w:val="fr-FR"/>
        </w:rPr>
        <w:t>s</w:t>
      </w:r>
      <w:r w:rsidR="009260DA" w:rsidRPr="00C2053F">
        <w:rPr>
          <w:lang w:val="fr-FR"/>
        </w:rPr>
        <w:t xml:space="preserve"> de la dégradation et de la </w:t>
      </w:r>
      <w:r w:rsidR="001F6AC6" w:rsidRPr="00C2053F">
        <w:rPr>
          <w:lang w:val="fr-FR"/>
        </w:rPr>
        <w:t>restauration</w:t>
      </w:r>
      <w:r w:rsidR="00504790" w:rsidRPr="00C2053F">
        <w:rPr>
          <w:lang w:val="fr-FR"/>
        </w:rPr>
        <w:t xml:space="preserve"> des terres</w:t>
      </w:r>
      <w:r w:rsidR="009260DA" w:rsidRPr="00C2053F">
        <w:rPr>
          <w:lang w:val="fr-FR"/>
        </w:rPr>
        <w:t>.</w:t>
      </w:r>
    </w:p>
    <w:p w14:paraId="1D92B67D" w14:textId="533B7E95" w:rsidR="009260DA" w:rsidRPr="00C2053F" w:rsidRDefault="009260DA" w:rsidP="009441A9">
      <w:pPr>
        <w:pStyle w:val="Normalnumber"/>
        <w:rPr>
          <w:lang w:val="fr-FR"/>
        </w:rPr>
      </w:pPr>
      <w:r w:rsidRPr="00C2053F">
        <w:rPr>
          <w:lang w:val="fr-FR"/>
        </w:rPr>
        <w:t xml:space="preserve">Il est </w:t>
      </w:r>
      <w:r w:rsidR="000E3574" w:rsidRPr="00C2053F">
        <w:rPr>
          <w:lang w:val="fr-FR"/>
        </w:rPr>
        <w:t>donc</w:t>
      </w:r>
      <w:r w:rsidRPr="00C2053F">
        <w:rPr>
          <w:lang w:val="fr-FR"/>
        </w:rPr>
        <w:t xml:space="preserve"> envisagé de diffuser le questionnaire </w:t>
      </w:r>
      <w:r w:rsidR="00761937" w:rsidRPr="00C2053F">
        <w:rPr>
          <w:lang w:val="fr-FR"/>
        </w:rPr>
        <w:t>une</w:t>
      </w:r>
      <w:r w:rsidRPr="00C2053F">
        <w:rPr>
          <w:lang w:val="fr-FR"/>
        </w:rPr>
        <w:t xml:space="preserve"> nouve</w:t>
      </w:r>
      <w:r w:rsidR="00761937" w:rsidRPr="00C2053F">
        <w:rPr>
          <w:lang w:val="fr-FR"/>
        </w:rPr>
        <w:t>lle fois,</w:t>
      </w:r>
      <w:r w:rsidRPr="00C2053F">
        <w:rPr>
          <w:lang w:val="fr-FR"/>
        </w:rPr>
        <w:t xml:space="preserve"> </w:t>
      </w:r>
      <w:r w:rsidR="00761937" w:rsidRPr="00C2053F">
        <w:rPr>
          <w:lang w:val="fr-FR"/>
        </w:rPr>
        <w:t>avec</w:t>
      </w:r>
      <w:r w:rsidRPr="00C2053F">
        <w:rPr>
          <w:lang w:val="fr-FR"/>
        </w:rPr>
        <w:t xml:space="preserve"> des indications plus précises </w:t>
      </w:r>
      <w:r w:rsidR="00761937" w:rsidRPr="00C2053F">
        <w:rPr>
          <w:lang w:val="fr-FR"/>
        </w:rPr>
        <w:t xml:space="preserve">de la part </w:t>
      </w:r>
      <w:r w:rsidRPr="00C2053F">
        <w:rPr>
          <w:lang w:val="fr-FR"/>
        </w:rPr>
        <w:t xml:space="preserve">du Groupe d’experts multidisciplinaire et avec le soutien technique du secrétariat, </w:t>
      </w:r>
      <w:r w:rsidR="00761937" w:rsidRPr="00C2053F">
        <w:rPr>
          <w:lang w:val="fr-FR"/>
        </w:rPr>
        <w:t>vers le</w:t>
      </w:r>
      <w:r w:rsidR="00723305" w:rsidRPr="00C2053F">
        <w:rPr>
          <w:lang w:val="fr-FR"/>
        </w:rPr>
        <w:t xml:space="preserve"> milieu de l’année 2017, pendant l</w:t>
      </w:r>
      <w:r w:rsidR="00DF4E9D" w:rsidRPr="00C2053F">
        <w:rPr>
          <w:lang w:val="fr-FR"/>
        </w:rPr>
        <w:t xml:space="preserve">a mise au point </w:t>
      </w:r>
      <w:r w:rsidR="00723305" w:rsidRPr="00C2053F">
        <w:rPr>
          <w:lang w:val="fr-FR"/>
        </w:rPr>
        <w:t xml:space="preserve">des </w:t>
      </w:r>
      <w:r w:rsidR="00263842" w:rsidRPr="00C2053F">
        <w:rPr>
          <w:lang w:val="fr-FR"/>
        </w:rPr>
        <w:t xml:space="preserve">deuxièmes versions des </w:t>
      </w:r>
      <w:r w:rsidR="00723305" w:rsidRPr="00C2053F">
        <w:rPr>
          <w:lang w:val="fr-FR"/>
        </w:rPr>
        <w:t xml:space="preserve">projets </w:t>
      </w:r>
      <w:r w:rsidR="00263842" w:rsidRPr="00C2053F">
        <w:rPr>
          <w:lang w:val="fr-FR"/>
        </w:rPr>
        <w:t>de rapport sur l’</w:t>
      </w:r>
      <w:r w:rsidR="007F789D" w:rsidRPr="00C2053F">
        <w:rPr>
          <w:lang w:val="fr-FR"/>
        </w:rPr>
        <w:t xml:space="preserve">évaluation régionale de la dégradation et de la </w:t>
      </w:r>
      <w:r w:rsidR="001F6AC6" w:rsidRPr="00C2053F">
        <w:rPr>
          <w:lang w:val="fr-FR"/>
        </w:rPr>
        <w:t>restauration</w:t>
      </w:r>
      <w:r w:rsidR="007F789D" w:rsidRPr="00C2053F">
        <w:rPr>
          <w:lang w:val="fr-FR"/>
        </w:rPr>
        <w:t xml:space="preserve"> des terres et l’élaboration </w:t>
      </w:r>
      <w:r w:rsidR="005009BB" w:rsidRPr="00C2053F">
        <w:rPr>
          <w:lang w:val="fr-FR"/>
        </w:rPr>
        <w:t>de la </w:t>
      </w:r>
      <w:r w:rsidR="00263842" w:rsidRPr="00C2053F">
        <w:rPr>
          <w:lang w:val="fr-FR"/>
        </w:rPr>
        <w:t xml:space="preserve">première version </w:t>
      </w:r>
      <w:r w:rsidR="007F789D" w:rsidRPr="00C2053F">
        <w:rPr>
          <w:lang w:val="fr-FR"/>
        </w:rPr>
        <w:t>du projet d</w:t>
      </w:r>
      <w:r w:rsidR="00263842" w:rsidRPr="00C2053F">
        <w:rPr>
          <w:lang w:val="fr-FR"/>
        </w:rPr>
        <w:t>e rapport sur l</w:t>
      </w:r>
      <w:r w:rsidR="007F789D" w:rsidRPr="00C2053F">
        <w:rPr>
          <w:lang w:val="fr-FR"/>
        </w:rPr>
        <w:t xml:space="preserve">’évaluation mondiale. </w:t>
      </w:r>
      <w:r w:rsidR="00027CC6" w:rsidRPr="00C2053F">
        <w:rPr>
          <w:lang w:val="fr-FR"/>
        </w:rPr>
        <w:t>Pour</w:t>
      </w:r>
      <w:r w:rsidR="007F789D" w:rsidRPr="00C2053F">
        <w:rPr>
          <w:lang w:val="fr-FR"/>
        </w:rPr>
        <w:t xml:space="preserve"> veiller à ce que les domaines de recherche prioritaires proposés tiennent compte de tous les </w:t>
      </w:r>
      <w:r w:rsidR="00027CC6" w:rsidRPr="00C2053F">
        <w:rPr>
          <w:lang w:val="fr-FR"/>
        </w:rPr>
        <w:t>produits</w:t>
      </w:r>
      <w:r w:rsidR="007F789D" w:rsidRPr="00C2053F">
        <w:rPr>
          <w:lang w:val="fr-FR"/>
        </w:rPr>
        <w:t xml:space="preserve"> </w:t>
      </w:r>
      <w:r w:rsidR="005009BB" w:rsidRPr="00C2053F">
        <w:rPr>
          <w:lang w:val="fr-FR"/>
        </w:rPr>
        <w:t>pertinents de la Plateforme, il </w:t>
      </w:r>
      <w:r w:rsidR="007F789D" w:rsidRPr="00C2053F">
        <w:rPr>
          <w:lang w:val="fr-FR"/>
        </w:rPr>
        <w:t xml:space="preserve">sera rappelé aux experts qu’afin de recenser les lacunes en matières de connaissances, il convient de déterminer </w:t>
      </w:r>
      <w:r w:rsidR="00787CE8" w:rsidRPr="00C2053F">
        <w:rPr>
          <w:lang w:val="fr-FR"/>
        </w:rPr>
        <w:t xml:space="preserve">la disponibilité des </w:t>
      </w:r>
      <w:r w:rsidR="001F6AC6" w:rsidRPr="00C2053F">
        <w:rPr>
          <w:lang w:val="fr-FR"/>
        </w:rPr>
        <w:t>savoirs</w:t>
      </w:r>
      <w:r w:rsidR="00787CE8" w:rsidRPr="00C2053F">
        <w:rPr>
          <w:lang w:val="fr-FR"/>
        </w:rPr>
        <w:t xml:space="preserve"> autochtones et loca</w:t>
      </w:r>
      <w:r w:rsidR="001F6AC6" w:rsidRPr="00C2053F">
        <w:rPr>
          <w:lang w:val="fr-FR"/>
        </w:rPr>
        <w:t>ux</w:t>
      </w:r>
      <w:r w:rsidR="00787CE8" w:rsidRPr="00C2053F">
        <w:rPr>
          <w:lang w:val="fr-FR"/>
        </w:rPr>
        <w:t xml:space="preserve"> pertinents; des méthodologies applicables aux valeurs et à la détermination de la valeur, scénarios et modèles; et des outils et méthodes d’appui à l’élaboration de politiques pour évaluer leur efficacité. </w:t>
      </w:r>
      <w:r w:rsidR="008506EB" w:rsidRPr="00C2053F">
        <w:rPr>
          <w:lang w:val="fr-FR"/>
        </w:rPr>
        <w:t>En ce qui concerne</w:t>
      </w:r>
      <w:r w:rsidR="005009BB" w:rsidRPr="00C2053F">
        <w:rPr>
          <w:lang w:val="fr-FR"/>
        </w:rPr>
        <w:t xml:space="preserve"> les scénarios et modèles, la </w:t>
      </w:r>
      <w:r w:rsidR="00787CE8" w:rsidRPr="00C2053F">
        <w:rPr>
          <w:lang w:val="fr-FR"/>
        </w:rPr>
        <w:t>P</w:t>
      </w:r>
      <w:r w:rsidR="008506EB" w:rsidRPr="00C2053F">
        <w:rPr>
          <w:lang w:val="fr-FR"/>
        </w:rPr>
        <w:t>lé</w:t>
      </w:r>
      <w:r w:rsidR="006A68ED" w:rsidRPr="00C2053F">
        <w:rPr>
          <w:lang w:val="fr-FR"/>
        </w:rPr>
        <w:t>nière a, dans sa décision</w:t>
      </w:r>
      <w:r w:rsidR="008D44DA">
        <w:rPr>
          <w:lang w:val="fr-FR"/>
        </w:rPr>
        <w:t> </w:t>
      </w:r>
      <w:r w:rsidR="006A68ED" w:rsidRPr="00C2053F">
        <w:rPr>
          <w:lang w:val="fr-FR"/>
        </w:rPr>
        <w:t>IPBES-</w:t>
      </w:r>
      <w:r w:rsidR="008506EB" w:rsidRPr="00C2053F">
        <w:rPr>
          <w:lang w:val="fr-FR"/>
        </w:rPr>
        <w:t xml:space="preserve">4/1 (section V et annexe V), chargé le groupe d’experts de faciliter l’élaboration </w:t>
      </w:r>
      <w:r w:rsidR="000F7996" w:rsidRPr="00C2053F">
        <w:rPr>
          <w:lang w:val="fr-FR"/>
        </w:rPr>
        <w:t xml:space="preserve">par la communauté scientifique au sens large de scénarios et de modèles en vue des futurs travaux de la Plateforme, et </w:t>
      </w:r>
      <w:r w:rsidR="00AF0270" w:rsidRPr="00C2053F">
        <w:rPr>
          <w:lang w:val="fr-FR"/>
        </w:rPr>
        <w:t>d</w:t>
      </w:r>
      <w:r w:rsidR="000F7996" w:rsidRPr="00C2053F">
        <w:rPr>
          <w:lang w:val="fr-FR"/>
        </w:rPr>
        <w:t>es travaux à ce sujet sont en cours (voir IPBES/5/INF/2).</w:t>
      </w:r>
    </w:p>
    <w:p w14:paraId="757CA263" w14:textId="2FAF8ACC" w:rsidR="000F7996" w:rsidRPr="00C2053F" w:rsidRDefault="000F7996" w:rsidP="009441A9">
      <w:pPr>
        <w:pStyle w:val="Normalnumber"/>
        <w:rPr>
          <w:lang w:val="fr-FR"/>
        </w:rPr>
      </w:pPr>
      <w:r w:rsidRPr="00C2053F">
        <w:rPr>
          <w:lang w:val="fr-FR"/>
        </w:rPr>
        <w:t>Il est prévu de recueillir les avis de la communauté scientifique sur les domaines prioritaires proposés pour la production de connaissances</w:t>
      </w:r>
      <w:r w:rsidR="00027CC6" w:rsidRPr="00C2053F">
        <w:rPr>
          <w:lang w:val="fr-FR"/>
        </w:rPr>
        <w:t>,</w:t>
      </w:r>
      <w:r w:rsidRPr="00C2053F">
        <w:rPr>
          <w:lang w:val="fr-FR"/>
        </w:rPr>
        <w:t xml:space="preserve"> résultant des deux premiers cycles d’enquête</w:t>
      </w:r>
      <w:r w:rsidR="00A621EA" w:rsidRPr="00C2053F">
        <w:rPr>
          <w:lang w:val="fr-FR"/>
        </w:rPr>
        <w:t>, et ce,</w:t>
      </w:r>
      <w:r w:rsidRPr="00C2053F">
        <w:rPr>
          <w:lang w:val="fr-FR"/>
        </w:rPr>
        <w:t xml:space="preserve"> au cours du deuxième </w:t>
      </w:r>
      <w:r w:rsidR="00A621EA" w:rsidRPr="00C2053F">
        <w:rPr>
          <w:lang w:val="fr-FR"/>
        </w:rPr>
        <w:t>se</w:t>
      </w:r>
      <w:r w:rsidRPr="00C2053F">
        <w:rPr>
          <w:lang w:val="fr-FR"/>
        </w:rPr>
        <w:t>mestre de 2017</w:t>
      </w:r>
      <w:r w:rsidR="00A621EA" w:rsidRPr="00C2053F">
        <w:rPr>
          <w:lang w:val="fr-FR"/>
        </w:rPr>
        <w:t>, avant d’engager la collaboration ciblée avec les organisations potentiellement favorables au financement de la recherche, comme les membres du Belmont Forum</w:t>
      </w:r>
      <w:r w:rsidR="0053524B" w:rsidRPr="00C2053F">
        <w:rPr>
          <w:lang w:val="fr-FR"/>
        </w:rPr>
        <w:t>, fin 2017 et début 2018. Cette première série de consultations servira à expérimenter le processus visant à favoriser la production de nouvelles connaissances.</w:t>
      </w:r>
    </w:p>
    <w:p w14:paraId="05C07308" w14:textId="27E38886" w:rsidR="0053524B" w:rsidRPr="00C2053F" w:rsidRDefault="0053524B" w:rsidP="009441A9">
      <w:pPr>
        <w:pStyle w:val="Normalnumber"/>
        <w:rPr>
          <w:lang w:val="fr-FR"/>
        </w:rPr>
      </w:pPr>
      <w:r w:rsidRPr="00C2053F">
        <w:rPr>
          <w:lang w:val="fr-FR"/>
        </w:rPr>
        <w:t xml:space="preserve">Le processus sera répété à l’issue des évaluations régionales et de l’évaluation de la dégradation et de la </w:t>
      </w:r>
      <w:r w:rsidR="001F6AC6" w:rsidRPr="00C2053F">
        <w:rPr>
          <w:lang w:val="fr-FR"/>
        </w:rPr>
        <w:t>restauration</w:t>
      </w:r>
      <w:r w:rsidRPr="00C2053F">
        <w:rPr>
          <w:lang w:val="fr-FR"/>
        </w:rPr>
        <w:t xml:space="preserve"> des terres, pendant l’élaboration d</w:t>
      </w:r>
      <w:r w:rsidR="00263842" w:rsidRPr="00C2053F">
        <w:rPr>
          <w:lang w:val="fr-FR"/>
        </w:rPr>
        <w:t>e la</w:t>
      </w:r>
      <w:r w:rsidRPr="00C2053F">
        <w:rPr>
          <w:lang w:val="fr-FR"/>
        </w:rPr>
        <w:t xml:space="preserve"> deuxième </w:t>
      </w:r>
      <w:r w:rsidR="00263842" w:rsidRPr="00C2053F">
        <w:rPr>
          <w:lang w:val="fr-FR"/>
        </w:rPr>
        <w:t>version du projet de rapport sur</w:t>
      </w:r>
      <w:r w:rsidRPr="00C2053F">
        <w:rPr>
          <w:lang w:val="fr-FR"/>
        </w:rPr>
        <w:t xml:space="preserve"> l’évaluation mondiale en 2018 et 2019.</w:t>
      </w:r>
    </w:p>
    <w:p w14:paraId="7AB52377" w14:textId="054052E6" w:rsidR="009441A9" w:rsidRPr="00C2053F" w:rsidRDefault="009F3D34" w:rsidP="009F3D34">
      <w:pPr>
        <w:pStyle w:val="CH1"/>
        <w:rPr>
          <w:lang w:val="fr-FR"/>
        </w:rPr>
      </w:pPr>
      <w:r w:rsidRPr="00C2053F">
        <w:rPr>
          <w:lang w:val="fr-FR"/>
        </w:rPr>
        <w:tab/>
        <w:t>II.</w:t>
      </w:r>
      <w:r w:rsidRPr="00C2053F">
        <w:rPr>
          <w:lang w:val="fr-FR"/>
        </w:rPr>
        <w:tab/>
      </w:r>
      <w:r w:rsidR="006D75F0" w:rsidRPr="00C2053F">
        <w:rPr>
          <w:lang w:val="fr-FR"/>
        </w:rPr>
        <w:t>Mesures proposées</w:t>
      </w:r>
    </w:p>
    <w:p w14:paraId="0FB8E752" w14:textId="5B7969AE" w:rsidR="006D75F0" w:rsidRPr="00C2053F" w:rsidRDefault="00A247A5" w:rsidP="009441A9">
      <w:pPr>
        <w:pStyle w:val="Normalnumber"/>
        <w:rPr>
          <w:rFonts w:cstheme="minorHAnsi"/>
          <w:lang w:val="fr-FR"/>
        </w:rPr>
      </w:pPr>
      <w:r w:rsidRPr="00C2053F">
        <w:rPr>
          <w:rFonts w:cstheme="minorHAnsi"/>
          <w:lang w:val="fr-FR"/>
        </w:rPr>
        <w:t>La Plénière souhaitera peut-</w:t>
      </w:r>
      <w:r w:rsidR="001F603A" w:rsidRPr="00C2053F">
        <w:rPr>
          <w:rFonts w:cstheme="minorHAnsi"/>
          <w:lang w:val="fr-FR"/>
        </w:rPr>
        <w:t xml:space="preserve">être examiner, en vue de son éventuelle approbation, le </w:t>
      </w:r>
      <w:r w:rsidR="0090781D" w:rsidRPr="00C2053F">
        <w:rPr>
          <w:rFonts w:cstheme="minorHAnsi"/>
          <w:lang w:val="fr-FR"/>
        </w:rPr>
        <w:t xml:space="preserve">projet de </w:t>
      </w:r>
      <w:r w:rsidR="001F603A" w:rsidRPr="00C2053F">
        <w:rPr>
          <w:rFonts w:cstheme="minorHAnsi"/>
          <w:lang w:val="fr-FR"/>
        </w:rPr>
        <w:t xml:space="preserve">plan de travail </w:t>
      </w:r>
      <w:r w:rsidR="00761937" w:rsidRPr="00C2053F">
        <w:rPr>
          <w:rFonts w:cstheme="minorHAnsi"/>
          <w:lang w:val="fr-FR"/>
        </w:rPr>
        <w:t>de</w:t>
      </w:r>
      <w:r w:rsidR="00027CC6" w:rsidRPr="00C2053F">
        <w:rPr>
          <w:rFonts w:cstheme="minorHAnsi"/>
          <w:lang w:val="fr-FR"/>
        </w:rPr>
        <w:t xml:space="preserve"> l’équipe spéciale sur les connaissances et les données </w:t>
      </w:r>
      <w:r w:rsidR="001F603A" w:rsidRPr="00C2053F">
        <w:rPr>
          <w:rFonts w:cstheme="minorHAnsi"/>
          <w:lang w:val="fr-FR"/>
        </w:rPr>
        <w:t xml:space="preserve">pour 2017 et 2018, qui figure </w:t>
      </w:r>
      <w:r w:rsidR="00027CC6" w:rsidRPr="00C2053F">
        <w:rPr>
          <w:rFonts w:cstheme="minorHAnsi"/>
          <w:lang w:val="fr-FR"/>
        </w:rPr>
        <w:t xml:space="preserve">en </w:t>
      </w:r>
      <w:r w:rsidR="001F603A" w:rsidRPr="00C2053F">
        <w:rPr>
          <w:rFonts w:cstheme="minorHAnsi"/>
          <w:lang w:val="fr-FR"/>
        </w:rPr>
        <w:t>annexe. La Plénière est également invitée à communiquer tout commentaire et conseil sur la mise en œuvre du plan de travail et, à cet égard, sur les informations figurant à</w:t>
      </w:r>
      <w:r w:rsidRPr="00C2053F">
        <w:rPr>
          <w:rFonts w:cstheme="minorHAnsi"/>
          <w:lang w:val="fr-FR"/>
        </w:rPr>
        <w:t xml:space="preserve"> la section I ci-</w:t>
      </w:r>
      <w:r w:rsidR="001F603A" w:rsidRPr="00C2053F">
        <w:rPr>
          <w:rFonts w:cstheme="minorHAnsi"/>
          <w:lang w:val="fr-FR"/>
        </w:rPr>
        <w:t>dessus.</w:t>
      </w:r>
    </w:p>
    <w:p w14:paraId="121E83AB" w14:textId="5A9A86B6" w:rsidR="009F3D34" w:rsidRPr="00C2053F" w:rsidRDefault="009F3D34" w:rsidP="006D75F0">
      <w:pPr>
        <w:pStyle w:val="Normalnumber"/>
        <w:numPr>
          <w:ilvl w:val="0"/>
          <w:numId w:val="0"/>
        </w:numPr>
        <w:ind w:left="1247"/>
        <w:rPr>
          <w:rFonts w:cstheme="minorHAnsi"/>
          <w:lang w:val="fr-FR"/>
        </w:rPr>
        <w:sectPr w:rsidR="009F3D34" w:rsidRPr="00C2053F" w:rsidSect="00503461">
          <w:headerReference w:type="even" r:id="rId16"/>
          <w:headerReference w:type="default" r:id="rId17"/>
          <w:footerReference w:type="even" r:id="rId18"/>
          <w:footerReference w:type="default" r:id="rId19"/>
          <w:headerReference w:type="first" r:id="rId20"/>
          <w:footerReference w:type="first" r:id="rId21"/>
          <w:footnotePr>
            <w:numFmt w:val="chicago"/>
          </w:footnotePr>
          <w:type w:val="continuous"/>
          <w:pgSz w:w="11907" w:h="16840" w:code="9"/>
          <w:pgMar w:top="907" w:right="992" w:bottom="1418" w:left="1418" w:header="539" w:footer="975" w:gutter="0"/>
          <w:cols w:space="539"/>
          <w:titlePg/>
          <w:docGrid w:linePitch="360"/>
        </w:sectPr>
      </w:pPr>
    </w:p>
    <w:p w14:paraId="37ADFF47" w14:textId="18037E33" w:rsidR="009441A9" w:rsidRPr="00C2053F" w:rsidRDefault="009441A9" w:rsidP="009441A9">
      <w:pPr>
        <w:pStyle w:val="AnnexTitle"/>
        <w:rPr>
          <w:rFonts w:eastAsia="Calibri"/>
          <w:w w:val="103"/>
          <w:lang w:val="fr-FR"/>
        </w:rPr>
      </w:pPr>
      <w:r w:rsidRPr="00C2053F">
        <w:rPr>
          <w:rFonts w:eastAsia="Calibri"/>
          <w:w w:val="103"/>
          <w:lang w:val="fr-FR"/>
        </w:rPr>
        <w:lastRenderedPageBreak/>
        <w:t>Annex</w:t>
      </w:r>
      <w:r w:rsidR="00FD6266" w:rsidRPr="00C2053F">
        <w:rPr>
          <w:rFonts w:eastAsia="Calibri"/>
          <w:w w:val="103"/>
          <w:lang w:val="fr-FR"/>
        </w:rPr>
        <w:t>e</w:t>
      </w:r>
    </w:p>
    <w:p w14:paraId="29271D90" w14:textId="5956FC9C" w:rsidR="009441A9" w:rsidRPr="00C2053F" w:rsidRDefault="00FD6266" w:rsidP="009F3D34">
      <w:pPr>
        <w:pStyle w:val="ZZAnxtitle"/>
        <w:rPr>
          <w:lang w:val="fr-FR"/>
        </w:rPr>
      </w:pPr>
      <w:r w:rsidRPr="00C2053F">
        <w:rPr>
          <w:lang w:val="fr-FR"/>
        </w:rPr>
        <w:t>Projet de plan de travail pour</w:t>
      </w:r>
      <w:r w:rsidR="009441A9" w:rsidRPr="00C2053F">
        <w:rPr>
          <w:lang w:val="fr-FR"/>
        </w:rPr>
        <w:t xml:space="preserve"> 2017 </w:t>
      </w:r>
      <w:r w:rsidRPr="00C2053F">
        <w:rPr>
          <w:lang w:val="fr-FR"/>
        </w:rPr>
        <w:t>et</w:t>
      </w:r>
      <w:r w:rsidR="009441A9" w:rsidRPr="00C2053F">
        <w:rPr>
          <w:lang w:val="fr-FR"/>
        </w:rPr>
        <w:t xml:space="preserve"> 2018</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850"/>
        <w:gridCol w:w="891"/>
        <w:gridCol w:w="992"/>
        <w:gridCol w:w="992"/>
        <w:gridCol w:w="952"/>
        <w:gridCol w:w="937"/>
        <w:gridCol w:w="994"/>
        <w:gridCol w:w="938"/>
      </w:tblGrid>
      <w:tr w:rsidR="007947B1" w:rsidRPr="007947B1" w14:paraId="4F410966" w14:textId="77777777" w:rsidTr="007947B1">
        <w:trPr>
          <w:tblHeader/>
        </w:trPr>
        <w:tc>
          <w:tcPr>
            <w:tcW w:w="2479" w:type="dxa"/>
            <w:vAlign w:val="center"/>
          </w:tcPr>
          <w:p w14:paraId="5CA5DDD3" w14:textId="39EF993F" w:rsidR="009441A9" w:rsidRPr="007947B1" w:rsidRDefault="009441A9" w:rsidP="00FD6266">
            <w:pPr>
              <w:pStyle w:val="Normal-pool"/>
              <w:spacing w:before="40" w:after="40"/>
              <w:jc w:val="center"/>
              <w:rPr>
                <w:rFonts w:eastAsia="SimSun"/>
                <w:i/>
                <w:sz w:val="18"/>
                <w:szCs w:val="18"/>
                <w:lang w:val="fr-FR" w:eastAsia="zh-CN"/>
              </w:rPr>
            </w:pPr>
            <w:r w:rsidRPr="007947B1">
              <w:rPr>
                <w:rFonts w:eastAsia="SimSun"/>
                <w:i/>
                <w:sz w:val="18"/>
                <w:szCs w:val="18"/>
                <w:lang w:val="fr-FR" w:eastAsia="zh-CN"/>
              </w:rPr>
              <w:t>Activit</w:t>
            </w:r>
            <w:r w:rsidR="00FD6266" w:rsidRPr="007947B1">
              <w:rPr>
                <w:rFonts w:eastAsia="SimSun"/>
                <w:i/>
                <w:sz w:val="18"/>
                <w:szCs w:val="18"/>
                <w:lang w:val="fr-FR" w:eastAsia="zh-CN"/>
              </w:rPr>
              <w:t>é</w:t>
            </w:r>
          </w:p>
        </w:tc>
        <w:tc>
          <w:tcPr>
            <w:tcW w:w="850" w:type="dxa"/>
            <w:vAlign w:val="bottom"/>
          </w:tcPr>
          <w:p w14:paraId="623BD08D" w14:textId="46A7F683" w:rsidR="009441A9" w:rsidRPr="007947B1" w:rsidRDefault="009441A9" w:rsidP="005C5BF5">
            <w:pPr>
              <w:pStyle w:val="Normal-pool"/>
              <w:spacing w:after="40"/>
              <w:jc w:val="center"/>
              <w:rPr>
                <w:rFonts w:eastAsia="SimSun"/>
                <w:i/>
                <w:sz w:val="18"/>
                <w:szCs w:val="18"/>
                <w:lang w:val="fr-FR" w:eastAsia="zh-CN"/>
              </w:rPr>
            </w:pPr>
            <w:r w:rsidRPr="007947B1">
              <w:rPr>
                <w:rFonts w:eastAsia="SimSun"/>
                <w:i/>
                <w:spacing w:val="4"/>
                <w:w w:val="103"/>
                <w:kern w:val="14"/>
                <w:sz w:val="18"/>
                <w:szCs w:val="18"/>
                <w:lang w:val="fr-FR" w:eastAsia="zh-CN"/>
              </w:rPr>
              <w:t>2</w:t>
            </w:r>
            <w:r w:rsidR="005C5BF5" w:rsidRPr="007947B1">
              <w:rPr>
                <w:rFonts w:eastAsia="SimSun"/>
                <w:i/>
                <w:spacing w:val="4"/>
                <w:w w:val="103"/>
                <w:kern w:val="14"/>
                <w:sz w:val="18"/>
                <w:szCs w:val="18"/>
                <w:vertAlign w:val="superscript"/>
                <w:lang w:val="fr-FR" w:eastAsia="zh-CN"/>
              </w:rPr>
              <w:t>e</w:t>
            </w:r>
            <w:r w:rsidRPr="007947B1">
              <w:rPr>
                <w:rFonts w:eastAsia="SimSun"/>
                <w:i/>
                <w:spacing w:val="4"/>
                <w:w w:val="103"/>
                <w:kern w:val="14"/>
                <w:sz w:val="18"/>
                <w:szCs w:val="18"/>
                <w:lang w:val="fr-FR" w:eastAsia="zh-CN"/>
              </w:rPr>
              <w:t xml:space="preserve"> </w:t>
            </w:r>
            <w:r w:rsidR="005C5BF5" w:rsidRPr="007947B1">
              <w:rPr>
                <w:rFonts w:eastAsia="SimSun"/>
                <w:i/>
                <w:spacing w:val="4"/>
                <w:w w:val="103"/>
                <w:kern w:val="14"/>
                <w:sz w:val="18"/>
                <w:szCs w:val="18"/>
                <w:lang w:val="fr-FR" w:eastAsia="zh-CN"/>
              </w:rPr>
              <w:t>trimestre</w:t>
            </w:r>
            <w:r w:rsidRPr="007947B1">
              <w:rPr>
                <w:rFonts w:eastAsia="SimSun"/>
                <w:i/>
                <w:spacing w:val="4"/>
                <w:w w:val="103"/>
                <w:kern w:val="14"/>
                <w:sz w:val="18"/>
                <w:szCs w:val="18"/>
                <w:lang w:val="fr-FR" w:eastAsia="zh-CN"/>
              </w:rPr>
              <w:t xml:space="preserve"> 2017</w:t>
            </w:r>
          </w:p>
        </w:tc>
        <w:tc>
          <w:tcPr>
            <w:tcW w:w="891" w:type="dxa"/>
            <w:vAlign w:val="bottom"/>
          </w:tcPr>
          <w:p w14:paraId="2BBC9674" w14:textId="3509FC85" w:rsidR="009441A9" w:rsidRPr="007947B1" w:rsidRDefault="009441A9" w:rsidP="005C5BF5">
            <w:pPr>
              <w:pStyle w:val="Normal-pool"/>
              <w:spacing w:after="40"/>
              <w:jc w:val="center"/>
              <w:rPr>
                <w:rFonts w:eastAsia="SimSun"/>
                <w:i/>
                <w:sz w:val="18"/>
                <w:szCs w:val="18"/>
                <w:lang w:val="fr-FR" w:eastAsia="zh-CN"/>
              </w:rPr>
            </w:pPr>
            <w:r w:rsidRPr="007947B1">
              <w:rPr>
                <w:rFonts w:eastAsia="SimSun"/>
                <w:i/>
                <w:spacing w:val="4"/>
                <w:w w:val="103"/>
                <w:kern w:val="14"/>
                <w:sz w:val="18"/>
                <w:szCs w:val="18"/>
                <w:lang w:val="fr-FR" w:eastAsia="zh-CN"/>
              </w:rPr>
              <w:t>3</w:t>
            </w:r>
            <w:r w:rsidR="005C5BF5" w:rsidRPr="007947B1">
              <w:rPr>
                <w:rFonts w:eastAsia="SimSun"/>
                <w:i/>
                <w:spacing w:val="4"/>
                <w:w w:val="103"/>
                <w:kern w:val="14"/>
                <w:sz w:val="18"/>
                <w:szCs w:val="18"/>
                <w:vertAlign w:val="superscript"/>
                <w:lang w:val="fr-FR" w:eastAsia="zh-CN"/>
              </w:rPr>
              <w:t>e</w:t>
            </w:r>
            <w:r w:rsidRPr="007947B1">
              <w:rPr>
                <w:rFonts w:eastAsia="SimSun"/>
                <w:i/>
                <w:spacing w:val="4"/>
                <w:w w:val="103"/>
                <w:kern w:val="14"/>
                <w:sz w:val="18"/>
                <w:szCs w:val="18"/>
                <w:lang w:val="fr-FR" w:eastAsia="zh-CN"/>
              </w:rPr>
              <w:t xml:space="preserve"> </w:t>
            </w:r>
            <w:r w:rsidR="005C5BF5" w:rsidRPr="007947B1">
              <w:rPr>
                <w:rFonts w:eastAsia="SimSun"/>
                <w:i/>
                <w:spacing w:val="4"/>
                <w:w w:val="103"/>
                <w:kern w:val="14"/>
                <w:sz w:val="18"/>
                <w:szCs w:val="18"/>
                <w:lang w:val="fr-FR" w:eastAsia="zh-CN"/>
              </w:rPr>
              <w:t>trimestre</w:t>
            </w:r>
            <w:r w:rsidRPr="007947B1">
              <w:rPr>
                <w:rFonts w:eastAsia="SimSun"/>
                <w:i/>
                <w:spacing w:val="4"/>
                <w:w w:val="103"/>
                <w:kern w:val="14"/>
                <w:sz w:val="18"/>
                <w:szCs w:val="18"/>
                <w:lang w:val="fr-FR" w:eastAsia="zh-CN"/>
              </w:rPr>
              <w:t xml:space="preserve"> 2017</w:t>
            </w:r>
          </w:p>
        </w:tc>
        <w:tc>
          <w:tcPr>
            <w:tcW w:w="992" w:type="dxa"/>
            <w:vAlign w:val="bottom"/>
          </w:tcPr>
          <w:p w14:paraId="7CE4A2D3" w14:textId="41ECF2F6" w:rsidR="009441A9" w:rsidRPr="007947B1" w:rsidRDefault="009441A9" w:rsidP="005C5BF5">
            <w:pPr>
              <w:pStyle w:val="Normal-pool"/>
              <w:spacing w:after="40"/>
              <w:jc w:val="center"/>
              <w:rPr>
                <w:rFonts w:eastAsia="SimSun"/>
                <w:i/>
                <w:sz w:val="18"/>
                <w:szCs w:val="18"/>
                <w:lang w:val="fr-FR" w:eastAsia="zh-CN"/>
              </w:rPr>
            </w:pPr>
            <w:r w:rsidRPr="007947B1">
              <w:rPr>
                <w:rFonts w:eastAsia="SimSun"/>
                <w:i/>
                <w:spacing w:val="4"/>
                <w:w w:val="103"/>
                <w:kern w:val="14"/>
                <w:sz w:val="18"/>
                <w:szCs w:val="18"/>
                <w:lang w:val="fr-FR" w:eastAsia="zh-CN"/>
              </w:rPr>
              <w:t>4</w:t>
            </w:r>
            <w:r w:rsidR="005C5BF5" w:rsidRPr="007947B1">
              <w:rPr>
                <w:rFonts w:eastAsia="SimSun"/>
                <w:i/>
                <w:spacing w:val="4"/>
                <w:w w:val="103"/>
                <w:kern w:val="14"/>
                <w:sz w:val="18"/>
                <w:szCs w:val="18"/>
                <w:vertAlign w:val="superscript"/>
                <w:lang w:val="fr-FR" w:eastAsia="zh-CN"/>
              </w:rPr>
              <w:t>e</w:t>
            </w:r>
            <w:r w:rsidRPr="007947B1">
              <w:rPr>
                <w:rFonts w:eastAsia="SimSun"/>
                <w:i/>
                <w:spacing w:val="4"/>
                <w:w w:val="103"/>
                <w:kern w:val="14"/>
                <w:sz w:val="18"/>
                <w:szCs w:val="18"/>
                <w:lang w:val="fr-FR" w:eastAsia="zh-CN"/>
              </w:rPr>
              <w:t xml:space="preserve"> </w:t>
            </w:r>
            <w:r w:rsidR="005C5BF5" w:rsidRPr="007947B1">
              <w:rPr>
                <w:rFonts w:eastAsia="SimSun"/>
                <w:i/>
                <w:spacing w:val="4"/>
                <w:w w:val="103"/>
                <w:kern w:val="14"/>
                <w:sz w:val="18"/>
                <w:szCs w:val="18"/>
                <w:lang w:val="fr-FR" w:eastAsia="zh-CN"/>
              </w:rPr>
              <w:t>trimestre</w:t>
            </w:r>
            <w:r w:rsidRPr="007947B1">
              <w:rPr>
                <w:rFonts w:eastAsia="SimSun"/>
                <w:i/>
                <w:spacing w:val="4"/>
                <w:w w:val="103"/>
                <w:kern w:val="14"/>
                <w:sz w:val="18"/>
                <w:szCs w:val="18"/>
                <w:lang w:val="fr-FR" w:eastAsia="zh-CN"/>
              </w:rPr>
              <w:t xml:space="preserve"> 2017</w:t>
            </w:r>
          </w:p>
        </w:tc>
        <w:tc>
          <w:tcPr>
            <w:tcW w:w="992" w:type="dxa"/>
            <w:vAlign w:val="bottom"/>
          </w:tcPr>
          <w:p w14:paraId="6A476BD1" w14:textId="4BAA672F" w:rsidR="009441A9" w:rsidRPr="007947B1" w:rsidRDefault="009441A9" w:rsidP="005C5BF5">
            <w:pPr>
              <w:pStyle w:val="Normal-pool"/>
              <w:spacing w:after="40"/>
              <w:jc w:val="center"/>
              <w:rPr>
                <w:rFonts w:eastAsia="SimSun"/>
                <w:i/>
                <w:spacing w:val="4"/>
                <w:w w:val="103"/>
                <w:kern w:val="14"/>
                <w:sz w:val="18"/>
                <w:szCs w:val="18"/>
                <w:lang w:val="fr-FR" w:eastAsia="zh-CN"/>
              </w:rPr>
            </w:pPr>
            <w:r w:rsidRPr="007947B1">
              <w:rPr>
                <w:rFonts w:eastAsia="SimSun"/>
                <w:i/>
                <w:spacing w:val="4"/>
                <w:w w:val="103"/>
                <w:kern w:val="14"/>
                <w:sz w:val="18"/>
                <w:szCs w:val="18"/>
                <w:lang w:val="fr-FR" w:eastAsia="zh-CN"/>
              </w:rPr>
              <w:t>1</w:t>
            </w:r>
            <w:r w:rsidR="005C5BF5" w:rsidRPr="007947B1">
              <w:rPr>
                <w:rFonts w:eastAsia="SimSun"/>
                <w:i/>
                <w:spacing w:val="4"/>
                <w:w w:val="103"/>
                <w:kern w:val="14"/>
                <w:sz w:val="18"/>
                <w:szCs w:val="18"/>
                <w:vertAlign w:val="superscript"/>
                <w:lang w:val="fr-FR" w:eastAsia="zh-CN"/>
              </w:rPr>
              <w:t>er</w:t>
            </w:r>
            <w:r w:rsidRPr="007947B1">
              <w:rPr>
                <w:rFonts w:eastAsia="SimSun"/>
                <w:i/>
                <w:spacing w:val="4"/>
                <w:w w:val="103"/>
                <w:kern w:val="14"/>
                <w:sz w:val="18"/>
                <w:szCs w:val="18"/>
                <w:lang w:val="fr-FR" w:eastAsia="zh-CN"/>
              </w:rPr>
              <w:t xml:space="preserve"> </w:t>
            </w:r>
            <w:r w:rsidR="005C5BF5" w:rsidRPr="007947B1">
              <w:rPr>
                <w:rFonts w:eastAsia="SimSun"/>
                <w:i/>
                <w:spacing w:val="4"/>
                <w:w w:val="103"/>
                <w:kern w:val="14"/>
                <w:sz w:val="18"/>
                <w:szCs w:val="18"/>
                <w:lang w:val="fr-FR" w:eastAsia="zh-CN"/>
              </w:rPr>
              <w:t>trimestre</w:t>
            </w:r>
            <w:r w:rsidRPr="007947B1">
              <w:rPr>
                <w:rFonts w:eastAsia="SimSun"/>
                <w:i/>
                <w:spacing w:val="4"/>
                <w:w w:val="103"/>
                <w:kern w:val="14"/>
                <w:sz w:val="18"/>
                <w:szCs w:val="18"/>
                <w:lang w:val="fr-FR" w:eastAsia="zh-CN"/>
              </w:rPr>
              <w:t xml:space="preserve"> 2018</w:t>
            </w:r>
          </w:p>
        </w:tc>
        <w:tc>
          <w:tcPr>
            <w:tcW w:w="952" w:type="dxa"/>
            <w:vAlign w:val="bottom"/>
          </w:tcPr>
          <w:p w14:paraId="510011CF" w14:textId="68F4689B" w:rsidR="009441A9" w:rsidRPr="007947B1" w:rsidRDefault="005C5BF5" w:rsidP="0070220C">
            <w:pPr>
              <w:pStyle w:val="Normal-pool"/>
              <w:spacing w:after="40"/>
              <w:jc w:val="center"/>
              <w:rPr>
                <w:rFonts w:eastAsia="SimSun"/>
                <w:i/>
                <w:spacing w:val="4"/>
                <w:w w:val="103"/>
                <w:kern w:val="14"/>
                <w:sz w:val="18"/>
                <w:szCs w:val="18"/>
                <w:lang w:val="fr-FR" w:eastAsia="zh-CN"/>
              </w:rPr>
            </w:pPr>
            <w:r w:rsidRPr="007947B1">
              <w:rPr>
                <w:rFonts w:eastAsia="SimSun"/>
                <w:i/>
                <w:spacing w:val="4"/>
                <w:w w:val="103"/>
                <w:kern w:val="14"/>
                <w:sz w:val="18"/>
                <w:szCs w:val="18"/>
                <w:lang w:val="fr-FR" w:eastAsia="zh-CN"/>
              </w:rPr>
              <w:t>2</w:t>
            </w:r>
            <w:r w:rsidRPr="007947B1">
              <w:rPr>
                <w:rFonts w:eastAsia="SimSun"/>
                <w:i/>
                <w:spacing w:val="4"/>
                <w:w w:val="103"/>
                <w:kern w:val="14"/>
                <w:sz w:val="18"/>
                <w:szCs w:val="18"/>
                <w:vertAlign w:val="superscript"/>
                <w:lang w:val="fr-FR" w:eastAsia="zh-CN"/>
              </w:rPr>
              <w:t>e</w:t>
            </w:r>
            <w:r w:rsidRPr="007947B1">
              <w:rPr>
                <w:rFonts w:eastAsia="SimSun"/>
                <w:i/>
                <w:spacing w:val="4"/>
                <w:w w:val="103"/>
                <w:kern w:val="14"/>
                <w:sz w:val="18"/>
                <w:szCs w:val="18"/>
                <w:lang w:val="fr-FR" w:eastAsia="zh-CN"/>
              </w:rPr>
              <w:t xml:space="preserve"> trimestre</w:t>
            </w:r>
            <w:r w:rsidR="009441A9" w:rsidRPr="007947B1">
              <w:rPr>
                <w:rFonts w:eastAsia="SimSun"/>
                <w:i/>
                <w:spacing w:val="4"/>
                <w:w w:val="103"/>
                <w:kern w:val="14"/>
                <w:sz w:val="18"/>
                <w:szCs w:val="18"/>
                <w:lang w:val="fr-FR" w:eastAsia="zh-CN"/>
              </w:rPr>
              <w:t xml:space="preserve"> 2018</w:t>
            </w:r>
          </w:p>
        </w:tc>
        <w:tc>
          <w:tcPr>
            <w:tcW w:w="937" w:type="dxa"/>
            <w:vAlign w:val="bottom"/>
          </w:tcPr>
          <w:p w14:paraId="0AB806B9" w14:textId="290B5B34" w:rsidR="009441A9" w:rsidRPr="007947B1" w:rsidRDefault="005C5BF5" w:rsidP="0070220C">
            <w:pPr>
              <w:pStyle w:val="Normal-pool"/>
              <w:spacing w:after="40"/>
              <w:jc w:val="center"/>
              <w:rPr>
                <w:rFonts w:eastAsia="SimSun"/>
                <w:i/>
                <w:spacing w:val="4"/>
                <w:w w:val="103"/>
                <w:kern w:val="14"/>
                <w:sz w:val="18"/>
                <w:szCs w:val="18"/>
                <w:lang w:val="fr-FR" w:eastAsia="zh-CN"/>
              </w:rPr>
            </w:pPr>
            <w:r w:rsidRPr="007947B1">
              <w:rPr>
                <w:rFonts w:eastAsia="SimSun"/>
                <w:i/>
                <w:spacing w:val="4"/>
                <w:w w:val="103"/>
                <w:kern w:val="14"/>
                <w:sz w:val="18"/>
                <w:szCs w:val="18"/>
                <w:lang w:val="fr-FR" w:eastAsia="zh-CN"/>
              </w:rPr>
              <w:t>3</w:t>
            </w:r>
            <w:r w:rsidRPr="007947B1">
              <w:rPr>
                <w:rFonts w:eastAsia="SimSun"/>
                <w:i/>
                <w:spacing w:val="4"/>
                <w:w w:val="103"/>
                <w:kern w:val="14"/>
                <w:sz w:val="18"/>
                <w:szCs w:val="18"/>
                <w:vertAlign w:val="superscript"/>
                <w:lang w:val="fr-FR" w:eastAsia="zh-CN"/>
              </w:rPr>
              <w:t>e</w:t>
            </w:r>
            <w:r w:rsidR="009441A9" w:rsidRPr="007947B1">
              <w:rPr>
                <w:rFonts w:eastAsia="SimSun"/>
                <w:i/>
                <w:spacing w:val="4"/>
                <w:w w:val="103"/>
                <w:kern w:val="14"/>
                <w:sz w:val="18"/>
                <w:szCs w:val="18"/>
                <w:lang w:val="fr-FR" w:eastAsia="zh-CN"/>
              </w:rPr>
              <w:t xml:space="preserve"> </w:t>
            </w:r>
            <w:r w:rsidRPr="007947B1">
              <w:rPr>
                <w:rFonts w:eastAsia="SimSun"/>
                <w:i/>
                <w:spacing w:val="4"/>
                <w:w w:val="103"/>
                <w:kern w:val="14"/>
                <w:sz w:val="18"/>
                <w:szCs w:val="18"/>
                <w:lang w:val="fr-FR" w:eastAsia="zh-CN"/>
              </w:rPr>
              <w:t>trimestre</w:t>
            </w:r>
            <w:r w:rsidR="009441A9" w:rsidRPr="007947B1">
              <w:rPr>
                <w:rFonts w:eastAsia="SimSun"/>
                <w:i/>
                <w:spacing w:val="4"/>
                <w:w w:val="103"/>
                <w:kern w:val="14"/>
                <w:sz w:val="18"/>
                <w:szCs w:val="18"/>
                <w:lang w:val="fr-FR" w:eastAsia="zh-CN"/>
              </w:rPr>
              <w:t xml:space="preserve"> 2018</w:t>
            </w:r>
          </w:p>
        </w:tc>
        <w:tc>
          <w:tcPr>
            <w:tcW w:w="994" w:type="dxa"/>
            <w:vAlign w:val="bottom"/>
          </w:tcPr>
          <w:p w14:paraId="50E6967C" w14:textId="3D637E86" w:rsidR="009441A9" w:rsidRPr="007947B1" w:rsidRDefault="005C5BF5" w:rsidP="0070220C">
            <w:pPr>
              <w:pStyle w:val="Normal-pool"/>
              <w:spacing w:after="40"/>
              <w:jc w:val="center"/>
              <w:rPr>
                <w:rFonts w:eastAsia="SimSun"/>
                <w:i/>
                <w:spacing w:val="4"/>
                <w:w w:val="103"/>
                <w:kern w:val="14"/>
                <w:sz w:val="18"/>
                <w:szCs w:val="18"/>
                <w:lang w:val="fr-FR" w:eastAsia="zh-CN"/>
              </w:rPr>
            </w:pPr>
            <w:r w:rsidRPr="007947B1">
              <w:rPr>
                <w:rFonts w:eastAsia="SimSun"/>
                <w:i/>
                <w:spacing w:val="4"/>
                <w:w w:val="103"/>
                <w:kern w:val="14"/>
                <w:sz w:val="18"/>
                <w:szCs w:val="18"/>
                <w:lang w:val="fr-FR" w:eastAsia="zh-CN"/>
              </w:rPr>
              <w:t>4</w:t>
            </w:r>
            <w:r w:rsidRPr="007947B1">
              <w:rPr>
                <w:rFonts w:eastAsia="SimSun"/>
                <w:i/>
                <w:spacing w:val="4"/>
                <w:w w:val="103"/>
                <w:kern w:val="14"/>
                <w:sz w:val="18"/>
                <w:szCs w:val="18"/>
                <w:vertAlign w:val="superscript"/>
                <w:lang w:val="fr-FR" w:eastAsia="zh-CN"/>
              </w:rPr>
              <w:t>e</w:t>
            </w:r>
            <w:r w:rsidRPr="007947B1">
              <w:rPr>
                <w:rFonts w:eastAsia="SimSun"/>
                <w:i/>
                <w:spacing w:val="4"/>
                <w:w w:val="103"/>
                <w:kern w:val="14"/>
                <w:sz w:val="18"/>
                <w:szCs w:val="18"/>
                <w:lang w:val="fr-FR" w:eastAsia="zh-CN"/>
              </w:rPr>
              <w:t xml:space="preserve"> trimestre</w:t>
            </w:r>
            <w:r w:rsidR="009441A9" w:rsidRPr="007947B1">
              <w:rPr>
                <w:rFonts w:eastAsia="SimSun"/>
                <w:i/>
                <w:spacing w:val="4"/>
                <w:w w:val="103"/>
                <w:kern w:val="14"/>
                <w:sz w:val="18"/>
                <w:szCs w:val="18"/>
                <w:lang w:val="fr-FR" w:eastAsia="zh-CN"/>
              </w:rPr>
              <w:t xml:space="preserve"> 2018</w:t>
            </w:r>
          </w:p>
        </w:tc>
        <w:tc>
          <w:tcPr>
            <w:tcW w:w="938" w:type="dxa"/>
            <w:vAlign w:val="bottom"/>
          </w:tcPr>
          <w:p w14:paraId="3928047D" w14:textId="15CB9017" w:rsidR="009441A9" w:rsidRPr="007947B1" w:rsidRDefault="005C5BF5" w:rsidP="0070220C">
            <w:pPr>
              <w:pStyle w:val="Normal-pool"/>
              <w:spacing w:after="40"/>
              <w:jc w:val="center"/>
              <w:rPr>
                <w:rFonts w:eastAsia="SimSun"/>
                <w:i/>
                <w:spacing w:val="4"/>
                <w:w w:val="103"/>
                <w:kern w:val="14"/>
                <w:sz w:val="18"/>
                <w:szCs w:val="18"/>
                <w:lang w:val="fr-FR" w:eastAsia="zh-CN"/>
              </w:rPr>
            </w:pPr>
            <w:r w:rsidRPr="007947B1">
              <w:rPr>
                <w:rFonts w:eastAsia="SimSun"/>
                <w:i/>
                <w:spacing w:val="4"/>
                <w:w w:val="103"/>
                <w:kern w:val="14"/>
                <w:sz w:val="18"/>
                <w:szCs w:val="18"/>
                <w:lang w:val="fr-FR" w:eastAsia="zh-CN"/>
              </w:rPr>
              <w:t>1</w:t>
            </w:r>
            <w:r w:rsidRPr="007947B1">
              <w:rPr>
                <w:rFonts w:eastAsia="SimSun"/>
                <w:i/>
                <w:spacing w:val="4"/>
                <w:w w:val="103"/>
                <w:kern w:val="14"/>
                <w:sz w:val="18"/>
                <w:szCs w:val="18"/>
                <w:vertAlign w:val="superscript"/>
                <w:lang w:val="fr-FR" w:eastAsia="zh-CN"/>
              </w:rPr>
              <w:t>er</w:t>
            </w:r>
            <w:r w:rsidR="009441A9" w:rsidRPr="007947B1">
              <w:rPr>
                <w:rFonts w:eastAsia="SimSun"/>
                <w:i/>
                <w:spacing w:val="4"/>
                <w:w w:val="103"/>
                <w:kern w:val="14"/>
                <w:sz w:val="18"/>
                <w:szCs w:val="18"/>
                <w:lang w:val="fr-FR" w:eastAsia="zh-CN"/>
              </w:rPr>
              <w:t xml:space="preserve"> </w:t>
            </w:r>
            <w:r w:rsidRPr="007947B1">
              <w:rPr>
                <w:rFonts w:eastAsia="SimSun"/>
                <w:i/>
                <w:spacing w:val="4"/>
                <w:w w:val="103"/>
                <w:kern w:val="14"/>
                <w:sz w:val="18"/>
                <w:szCs w:val="18"/>
                <w:lang w:val="fr-FR" w:eastAsia="zh-CN"/>
              </w:rPr>
              <w:t>trimestre</w:t>
            </w:r>
            <w:r w:rsidR="009441A9" w:rsidRPr="007947B1">
              <w:rPr>
                <w:rFonts w:eastAsia="SimSun"/>
                <w:i/>
                <w:spacing w:val="4"/>
                <w:w w:val="103"/>
                <w:kern w:val="14"/>
                <w:sz w:val="18"/>
                <w:szCs w:val="18"/>
                <w:lang w:val="fr-FR" w:eastAsia="zh-CN"/>
              </w:rPr>
              <w:t xml:space="preserve"> 2019</w:t>
            </w:r>
          </w:p>
        </w:tc>
      </w:tr>
      <w:tr w:rsidR="007947B1" w:rsidRPr="007947B1" w14:paraId="267E881A" w14:textId="77777777" w:rsidTr="007947B1">
        <w:tc>
          <w:tcPr>
            <w:tcW w:w="2479" w:type="dxa"/>
            <w:shd w:val="clear" w:color="auto" w:fill="auto"/>
            <w:vAlign w:val="center"/>
          </w:tcPr>
          <w:p w14:paraId="0D126DAB" w14:textId="5AE00350" w:rsidR="009441A9" w:rsidRPr="007947B1" w:rsidRDefault="00211727" w:rsidP="00027CC6">
            <w:pPr>
              <w:pStyle w:val="Normal-pool"/>
              <w:spacing w:before="40" w:after="40"/>
              <w:rPr>
                <w:rFonts w:eastAsia="SimSun"/>
                <w:sz w:val="18"/>
                <w:szCs w:val="18"/>
                <w:highlight w:val="yellow"/>
                <w:lang w:val="fr-FR" w:eastAsia="zh-CN"/>
              </w:rPr>
            </w:pPr>
            <w:r w:rsidRPr="007947B1">
              <w:rPr>
                <w:rFonts w:eastAsia="SimSun"/>
                <w:sz w:val="18"/>
                <w:szCs w:val="18"/>
                <w:lang w:val="fr-FR" w:eastAsia="zh-CN"/>
              </w:rPr>
              <w:t>Appui aux experts travaillant sur les évaluations relatives à la sélection et à l’utilisation des indicateurs, mesures et données associées</w:t>
            </w:r>
          </w:p>
        </w:tc>
        <w:tc>
          <w:tcPr>
            <w:tcW w:w="850" w:type="dxa"/>
            <w:shd w:val="clear" w:color="auto" w:fill="D9D9D9" w:themeFill="background1" w:themeFillShade="D9"/>
            <w:vAlign w:val="center"/>
          </w:tcPr>
          <w:p w14:paraId="1705E3E8"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891" w:type="dxa"/>
            <w:shd w:val="clear" w:color="auto" w:fill="D9D9D9" w:themeFill="background1" w:themeFillShade="D9"/>
            <w:vAlign w:val="center"/>
          </w:tcPr>
          <w:p w14:paraId="58050A41"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2" w:type="dxa"/>
            <w:shd w:val="clear" w:color="auto" w:fill="D9D9D9" w:themeFill="background1" w:themeFillShade="D9"/>
            <w:vAlign w:val="center"/>
          </w:tcPr>
          <w:p w14:paraId="54674AAF"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2" w:type="dxa"/>
            <w:shd w:val="clear" w:color="auto" w:fill="D9D9D9" w:themeFill="background1" w:themeFillShade="D9"/>
            <w:vAlign w:val="center"/>
          </w:tcPr>
          <w:p w14:paraId="19A90B12"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52" w:type="dxa"/>
            <w:shd w:val="clear" w:color="auto" w:fill="D9D9D9" w:themeFill="background1" w:themeFillShade="D9"/>
            <w:vAlign w:val="center"/>
          </w:tcPr>
          <w:p w14:paraId="051A6FCF"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7" w:type="dxa"/>
            <w:shd w:val="clear" w:color="auto" w:fill="D9D9D9" w:themeFill="background1" w:themeFillShade="D9"/>
            <w:vAlign w:val="center"/>
          </w:tcPr>
          <w:p w14:paraId="62400980"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4" w:type="dxa"/>
            <w:shd w:val="clear" w:color="auto" w:fill="D9D9D9" w:themeFill="background1" w:themeFillShade="D9"/>
            <w:vAlign w:val="center"/>
          </w:tcPr>
          <w:p w14:paraId="4DB96145"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8" w:type="dxa"/>
            <w:shd w:val="clear" w:color="auto" w:fill="D9D9D9" w:themeFill="background1" w:themeFillShade="D9"/>
            <w:vAlign w:val="center"/>
          </w:tcPr>
          <w:p w14:paraId="5BD571E0"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r>
      <w:tr w:rsidR="007947B1" w:rsidRPr="007947B1" w14:paraId="193D8035" w14:textId="77777777" w:rsidTr="007947B1">
        <w:tc>
          <w:tcPr>
            <w:tcW w:w="2479" w:type="dxa"/>
            <w:vAlign w:val="center"/>
          </w:tcPr>
          <w:p w14:paraId="5F380C3C" w14:textId="4E172623" w:rsidR="009441A9" w:rsidRPr="007947B1" w:rsidRDefault="00211727" w:rsidP="00211727">
            <w:pPr>
              <w:pStyle w:val="Normal-pool"/>
              <w:spacing w:before="40" w:after="40"/>
              <w:rPr>
                <w:rFonts w:eastAsia="SimSun"/>
                <w:sz w:val="18"/>
                <w:szCs w:val="18"/>
                <w:lang w:val="fr-FR" w:eastAsia="zh-CN"/>
              </w:rPr>
            </w:pPr>
            <w:r w:rsidRPr="007947B1">
              <w:rPr>
                <w:rFonts w:eastAsia="SimSun"/>
                <w:sz w:val="18"/>
                <w:szCs w:val="18"/>
                <w:lang w:val="fr-FR" w:eastAsia="zh-CN"/>
              </w:rPr>
              <w:t>Enquête relative à l’utilité de l’infrastructure en ligne et à son affinement</w:t>
            </w:r>
          </w:p>
        </w:tc>
        <w:tc>
          <w:tcPr>
            <w:tcW w:w="850" w:type="dxa"/>
            <w:shd w:val="clear" w:color="auto" w:fill="D9D9D9" w:themeFill="background1" w:themeFillShade="D9"/>
            <w:vAlign w:val="center"/>
          </w:tcPr>
          <w:p w14:paraId="043A3BE2"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891" w:type="dxa"/>
            <w:shd w:val="clear" w:color="auto" w:fill="D9D9D9" w:themeFill="background1" w:themeFillShade="D9"/>
            <w:vAlign w:val="center"/>
          </w:tcPr>
          <w:p w14:paraId="4917F7A9" w14:textId="77777777" w:rsidR="009441A9" w:rsidRPr="007947B1" w:rsidRDefault="009441A9" w:rsidP="0070220C">
            <w:pPr>
              <w:pStyle w:val="Normal-pool"/>
              <w:spacing w:before="40" w:after="40"/>
              <w:jc w:val="center"/>
              <w:rPr>
                <w:rFonts w:eastAsia="SimSun"/>
                <w:sz w:val="18"/>
                <w:szCs w:val="18"/>
                <w:lang w:val="fr-FR" w:eastAsia="zh-CN"/>
              </w:rPr>
            </w:pPr>
            <w:r w:rsidRPr="007947B1">
              <w:rPr>
                <w:rFonts w:eastAsia="SimSun"/>
                <w:sz w:val="18"/>
                <w:szCs w:val="18"/>
                <w:lang w:val="fr-FR" w:eastAsia="zh-CN"/>
              </w:rPr>
              <w:t>x</w:t>
            </w:r>
          </w:p>
        </w:tc>
        <w:tc>
          <w:tcPr>
            <w:tcW w:w="992" w:type="dxa"/>
            <w:shd w:val="clear" w:color="auto" w:fill="D9D9D9" w:themeFill="background1" w:themeFillShade="D9"/>
            <w:vAlign w:val="center"/>
          </w:tcPr>
          <w:p w14:paraId="3784EED4"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2" w:type="dxa"/>
          </w:tcPr>
          <w:p w14:paraId="01CB0C18"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52" w:type="dxa"/>
          </w:tcPr>
          <w:p w14:paraId="659B965C"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37" w:type="dxa"/>
          </w:tcPr>
          <w:p w14:paraId="1CE4369F"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94" w:type="dxa"/>
          </w:tcPr>
          <w:p w14:paraId="7A102B27"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38" w:type="dxa"/>
          </w:tcPr>
          <w:p w14:paraId="59547C9D"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r>
      <w:tr w:rsidR="007947B1" w:rsidRPr="007947B1" w14:paraId="4BED464C" w14:textId="77777777" w:rsidTr="007947B1">
        <w:tc>
          <w:tcPr>
            <w:tcW w:w="2479" w:type="dxa"/>
            <w:vAlign w:val="center"/>
          </w:tcPr>
          <w:p w14:paraId="676C3DAE" w14:textId="7F9D8283" w:rsidR="009441A9" w:rsidRPr="007947B1" w:rsidRDefault="00211727" w:rsidP="00211727">
            <w:pPr>
              <w:pStyle w:val="Normal-pool"/>
              <w:spacing w:before="40" w:after="40"/>
              <w:rPr>
                <w:rFonts w:eastAsia="SimSun"/>
                <w:sz w:val="18"/>
                <w:szCs w:val="18"/>
                <w:highlight w:val="yellow"/>
                <w:lang w:val="fr-FR" w:eastAsia="zh-CN"/>
              </w:rPr>
            </w:pPr>
            <w:r w:rsidRPr="007947B1">
              <w:rPr>
                <w:rFonts w:eastAsia="SimSun"/>
                <w:sz w:val="18"/>
                <w:szCs w:val="18"/>
                <w:lang w:val="fr-FR" w:eastAsia="zh-CN"/>
              </w:rPr>
              <w:t>Mise à jour de l’infrastructure en ligne en fonction des produits concrets de la Plateforme</w:t>
            </w:r>
          </w:p>
        </w:tc>
        <w:tc>
          <w:tcPr>
            <w:tcW w:w="850" w:type="dxa"/>
            <w:shd w:val="clear" w:color="auto" w:fill="D9D9D9" w:themeFill="background1" w:themeFillShade="D9"/>
            <w:vAlign w:val="center"/>
          </w:tcPr>
          <w:p w14:paraId="3E87208A"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891" w:type="dxa"/>
            <w:shd w:val="clear" w:color="auto" w:fill="D9D9D9" w:themeFill="background1" w:themeFillShade="D9"/>
            <w:vAlign w:val="center"/>
          </w:tcPr>
          <w:p w14:paraId="60F8304A" w14:textId="77777777" w:rsidR="009441A9" w:rsidRPr="007947B1" w:rsidRDefault="009441A9" w:rsidP="0070220C">
            <w:pPr>
              <w:pStyle w:val="Normal-pool"/>
              <w:spacing w:before="40" w:after="40"/>
              <w:jc w:val="center"/>
              <w:rPr>
                <w:rFonts w:eastAsia="SimSun"/>
                <w:sz w:val="18"/>
                <w:szCs w:val="18"/>
                <w:lang w:val="fr-FR" w:eastAsia="zh-CN"/>
              </w:rPr>
            </w:pPr>
            <w:r w:rsidRPr="007947B1">
              <w:rPr>
                <w:rFonts w:eastAsia="SimSun"/>
                <w:sz w:val="18"/>
                <w:szCs w:val="18"/>
                <w:lang w:val="fr-FR" w:eastAsia="zh-CN"/>
              </w:rPr>
              <w:t>x</w:t>
            </w:r>
          </w:p>
        </w:tc>
        <w:tc>
          <w:tcPr>
            <w:tcW w:w="992" w:type="dxa"/>
            <w:shd w:val="clear" w:color="auto" w:fill="D9D9D9" w:themeFill="background1" w:themeFillShade="D9"/>
            <w:vAlign w:val="center"/>
          </w:tcPr>
          <w:p w14:paraId="2C615EC6"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2" w:type="dxa"/>
            <w:shd w:val="clear" w:color="auto" w:fill="D9D9D9" w:themeFill="background1" w:themeFillShade="D9"/>
            <w:vAlign w:val="center"/>
          </w:tcPr>
          <w:p w14:paraId="2E7DAE3E"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52" w:type="dxa"/>
            <w:shd w:val="clear" w:color="auto" w:fill="D9D9D9" w:themeFill="background1" w:themeFillShade="D9"/>
            <w:vAlign w:val="center"/>
          </w:tcPr>
          <w:p w14:paraId="269251F9" w14:textId="02FD7A02"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7" w:type="dxa"/>
            <w:shd w:val="clear" w:color="auto" w:fill="D9D9D9" w:themeFill="background1" w:themeFillShade="D9"/>
            <w:vAlign w:val="center"/>
          </w:tcPr>
          <w:p w14:paraId="565F81F1"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4" w:type="dxa"/>
            <w:shd w:val="clear" w:color="auto" w:fill="D9D9D9" w:themeFill="background1" w:themeFillShade="D9"/>
            <w:vAlign w:val="center"/>
          </w:tcPr>
          <w:p w14:paraId="2908D524"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8" w:type="dxa"/>
            <w:shd w:val="clear" w:color="auto" w:fill="D9D9D9" w:themeFill="background1" w:themeFillShade="D9"/>
            <w:vAlign w:val="center"/>
          </w:tcPr>
          <w:p w14:paraId="52E590B5"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r>
      <w:tr w:rsidR="007947B1" w:rsidRPr="007947B1" w14:paraId="5B3E75E9" w14:textId="77777777" w:rsidTr="007947B1">
        <w:tc>
          <w:tcPr>
            <w:tcW w:w="2479" w:type="dxa"/>
            <w:vAlign w:val="center"/>
          </w:tcPr>
          <w:p w14:paraId="68AEA394" w14:textId="56090F4C" w:rsidR="009441A9" w:rsidRPr="007947B1" w:rsidRDefault="00211727" w:rsidP="00EB6A7D">
            <w:pPr>
              <w:pStyle w:val="Normal-pool"/>
              <w:spacing w:before="40" w:after="40"/>
              <w:rPr>
                <w:rFonts w:eastAsia="SimSun"/>
                <w:sz w:val="18"/>
                <w:szCs w:val="18"/>
                <w:highlight w:val="yellow"/>
                <w:lang w:val="fr-FR" w:eastAsia="zh-CN"/>
              </w:rPr>
            </w:pPr>
            <w:r w:rsidRPr="007947B1">
              <w:rPr>
                <w:rFonts w:eastAsia="SimSun"/>
                <w:sz w:val="18"/>
                <w:szCs w:val="18"/>
                <w:lang w:val="fr-FR" w:eastAsia="zh-CN"/>
              </w:rPr>
              <w:t xml:space="preserve">Développement de l’infrastructure en ligne </w:t>
            </w:r>
            <w:r w:rsidR="00EB6A7D" w:rsidRPr="007947B1">
              <w:rPr>
                <w:rFonts w:eastAsia="SimSun"/>
                <w:sz w:val="18"/>
                <w:szCs w:val="18"/>
                <w:lang w:val="fr-FR" w:eastAsia="zh-CN"/>
              </w:rPr>
              <w:t>afin de centraliser les principales ressources liées aux produits de la Plateforme</w:t>
            </w:r>
          </w:p>
        </w:tc>
        <w:tc>
          <w:tcPr>
            <w:tcW w:w="850" w:type="dxa"/>
          </w:tcPr>
          <w:p w14:paraId="0EC65A08"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891" w:type="dxa"/>
            <w:shd w:val="clear" w:color="auto" w:fill="D9D9D9" w:themeFill="background1" w:themeFillShade="D9"/>
            <w:vAlign w:val="center"/>
          </w:tcPr>
          <w:p w14:paraId="6A78A2A5" w14:textId="77777777" w:rsidR="009441A9" w:rsidRPr="007947B1" w:rsidRDefault="009441A9" w:rsidP="0070220C">
            <w:pPr>
              <w:pStyle w:val="Normal-pool"/>
              <w:spacing w:before="40" w:after="40"/>
              <w:jc w:val="center"/>
              <w:rPr>
                <w:rFonts w:eastAsia="SimSun"/>
                <w:sz w:val="18"/>
                <w:szCs w:val="18"/>
                <w:lang w:val="fr-FR" w:eastAsia="zh-CN"/>
              </w:rPr>
            </w:pPr>
            <w:r w:rsidRPr="007947B1">
              <w:rPr>
                <w:rFonts w:eastAsia="SimSun"/>
                <w:sz w:val="18"/>
                <w:szCs w:val="18"/>
                <w:lang w:val="fr-FR" w:eastAsia="zh-CN"/>
              </w:rPr>
              <w:t>x</w:t>
            </w:r>
          </w:p>
        </w:tc>
        <w:tc>
          <w:tcPr>
            <w:tcW w:w="992" w:type="dxa"/>
            <w:shd w:val="clear" w:color="auto" w:fill="D9D9D9" w:themeFill="background1" w:themeFillShade="D9"/>
            <w:vAlign w:val="center"/>
          </w:tcPr>
          <w:p w14:paraId="3104878F"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2" w:type="dxa"/>
            <w:shd w:val="clear" w:color="auto" w:fill="D9D9D9" w:themeFill="background1" w:themeFillShade="D9"/>
            <w:vAlign w:val="center"/>
          </w:tcPr>
          <w:p w14:paraId="15D136D8"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52" w:type="dxa"/>
            <w:shd w:val="clear" w:color="auto" w:fill="D9D9D9" w:themeFill="background1" w:themeFillShade="D9"/>
            <w:vAlign w:val="center"/>
          </w:tcPr>
          <w:p w14:paraId="1631B14C"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7" w:type="dxa"/>
            <w:shd w:val="clear" w:color="auto" w:fill="D9D9D9" w:themeFill="background1" w:themeFillShade="D9"/>
            <w:vAlign w:val="center"/>
          </w:tcPr>
          <w:p w14:paraId="0B6B6643"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4" w:type="dxa"/>
            <w:shd w:val="clear" w:color="auto" w:fill="D9D9D9" w:themeFill="background1" w:themeFillShade="D9"/>
            <w:vAlign w:val="center"/>
          </w:tcPr>
          <w:p w14:paraId="323ECDEA"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8" w:type="dxa"/>
            <w:shd w:val="clear" w:color="auto" w:fill="D9D9D9" w:themeFill="background1" w:themeFillShade="D9"/>
            <w:vAlign w:val="center"/>
          </w:tcPr>
          <w:p w14:paraId="2E6E5EFA"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r>
      <w:tr w:rsidR="007947B1" w:rsidRPr="007947B1" w14:paraId="5287374B" w14:textId="77777777" w:rsidTr="007947B1">
        <w:tc>
          <w:tcPr>
            <w:tcW w:w="2479" w:type="dxa"/>
            <w:vAlign w:val="center"/>
          </w:tcPr>
          <w:p w14:paraId="063E445D" w14:textId="5F5D3C84" w:rsidR="009441A9" w:rsidRPr="007947B1" w:rsidRDefault="00EB6A7D" w:rsidP="00EB6A7D">
            <w:pPr>
              <w:pStyle w:val="Normal-pool"/>
              <w:spacing w:before="40" w:after="40"/>
              <w:rPr>
                <w:rFonts w:eastAsia="SimSun"/>
                <w:sz w:val="18"/>
                <w:szCs w:val="18"/>
                <w:highlight w:val="yellow"/>
                <w:lang w:val="fr-FR" w:eastAsia="zh-CN"/>
              </w:rPr>
            </w:pPr>
            <w:r w:rsidRPr="007947B1">
              <w:rPr>
                <w:rFonts w:eastAsia="SimSun"/>
                <w:sz w:val="18"/>
                <w:szCs w:val="18"/>
                <w:lang w:val="fr-FR" w:eastAsia="zh-CN"/>
              </w:rPr>
              <w:t>Recensement des lacunes en matière de recherche, apparaissant dans le contexte des évaluations menées à bien et en cours</w:t>
            </w:r>
          </w:p>
        </w:tc>
        <w:tc>
          <w:tcPr>
            <w:tcW w:w="850" w:type="dxa"/>
            <w:shd w:val="clear" w:color="auto" w:fill="D9D9D9" w:themeFill="background1" w:themeFillShade="D9"/>
            <w:vAlign w:val="center"/>
          </w:tcPr>
          <w:p w14:paraId="1DD159A9"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891" w:type="dxa"/>
            <w:shd w:val="clear" w:color="auto" w:fill="auto"/>
            <w:vAlign w:val="center"/>
          </w:tcPr>
          <w:p w14:paraId="036972E1" w14:textId="77777777" w:rsidR="009441A9" w:rsidRPr="007947B1" w:rsidRDefault="009441A9" w:rsidP="0070220C">
            <w:pPr>
              <w:pStyle w:val="Normal-pool"/>
              <w:spacing w:before="40" w:after="40"/>
              <w:jc w:val="center"/>
              <w:rPr>
                <w:rFonts w:eastAsia="SimSun"/>
                <w:sz w:val="18"/>
                <w:szCs w:val="18"/>
                <w:lang w:val="fr-FR" w:eastAsia="zh-CN"/>
              </w:rPr>
            </w:pPr>
          </w:p>
        </w:tc>
        <w:tc>
          <w:tcPr>
            <w:tcW w:w="992" w:type="dxa"/>
            <w:shd w:val="clear" w:color="auto" w:fill="auto"/>
            <w:vAlign w:val="center"/>
          </w:tcPr>
          <w:p w14:paraId="7F68C3FA"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92" w:type="dxa"/>
            <w:shd w:val="clear" w:color="auto" w:fill="auto"/>
            <w:vAlign w:val="center"/>
          </w:tcPr>
          <w:p w14:paraId="71334E65"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52" w:type="dxa"/>
            <w:shd w:val="clear" w:color="auto" w:fill="D9D9D9" w:themeFill="background1" w:themeFillShade="D9"/>
            <w:vAlign w:val="center"/>
          </w:tcPr>
          <w:p w14:paraId="58536D34"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7" w:type="dxa"/>
            <w:shd w:val="clear" w:color="auto" w:fill="auto"/>
            <w:vAlign w:val="center"/>
          </w:tcPr>
          <w:p w14:paraId="13914F1E"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94" w:type="dxa"/>
            <w:shd w:val="clear" w:color="auto" w:fill="auto"/>
            <w:vAlign w:val="center"/>
          </w:tcPr>
          <w:p w14:paraId="4894E29A"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38" w:type="dxa"/>
            <w:shd w:val="clear" w:color="auto" w:fill="auto"/>
            <w:vAlign w:val="center"/>
          </w:tcPr>
          <w:p w14:paraId="12C60A56"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r>
      <w:tr w:rsidR="007947B1" w:rsidRPr="007947B1" w14:paraId="63F93B98" w14:textId="77777777" w:rsidTr="007947B1">
        <w:tc>
          <w:tcPr>
            <w:tcW w:w="2479" w:type="dxa"/>
            <w:vAlign w:val="center"/>
          </w:tcPr>
          <w:p w14:paraId="28611EF9" w14:textId="4A8C7230" w:rsidR="009441A9" w:rsidRPr="007947B1" w:rsidRDefault="00EB6A7D" w:rsidP="00EB6A7D">
            <w:pPr>
              <w:pStyle w:val="Normal-pool"/>
              <w:spacing w:before="40" w:after="40"/>
              <w:rPr>
                <w:rFonts w:eastAsia="SimSun"/>
                <w:sz w:val="18"/>
                <w:szCs w:val="18"/>
                <w:highlight w:val="yellow"/>
                <w:lang w:val="fr-FR" w:eastAsia="zh-CN"/>
              </w:rPr>
            </w:pPr>
            <w:r w:rsidRPr="007947B1">
              <w:rPr>
                <w:rFonts w:eastAsia="SimSun"/>
                <w:sz w:val="18"/>
                <w:szCs w:val="18"/>
                <w:lang w:val="fr-FR" w:eastAsia="zh-CN"/>
              </w:rPr>
              <w:t>Consultations relatives aux domaines prioritaires proposés pour la production de connaissances</w:t>
            </w:r>
          </w:p>
        </w:tc>
        <w:tc>
          <w:tcPr>
            <w:tcW w:w="850" w:type="dxa"/>
            <w:shd w:val="clear" w:color="auto" w:fill="auto"/>
            <w:vAlign w:val="center"/>
          </w:tcPr>
          <w:p w14:paraId="30EE116C"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891" w:type="dxa"/>
            <w:shd w:val="clear" w:color="auto" w:fill="D9D9D9" w:themeFill="background1" w:themeFillShade="D9"/>
            <w:vAlign w:val="center"/>
          </w:tcPr>
          <w:p w14:paraId="381F2358" w14:textId="77777777" w:rsidR="009441A9" w:rsidRPr="007947B1" w:rsidRDefault="009441A9" w:rsidP="0070220C">
            <w:pPr>
              <w:pStyle w:val="Normal-pool"/>
              <w:spacing w:before="40" w:after="40"/>
              <w:jc w:val="center"/>
              <w:rPr>
                <w:rFonts w:eastAsia="SimSun"/>
                <w:sz w:val="18"/>
                <w:szCs w:val="18"/>
                <w:lang w:val="fr-FR" w:eastAsia="zh-CN"/>
              </w:rPr>
            </w:pPr>
            <w:r w:rsidRPr="007947B1">
              <w:rPr>
                <w:rFonts w:eastAsia="SimSun"/>
                <w:sz w:val="18"/>
                <w:szCs w:val="18"/>
                <w:lang w:val="fr-FR" w:eastAsia="zh-CN"/>
              </w:rPr>
              <w:t>x</w:t>
            </w:r>
          </w:p>
        </w:tc>
        <w:tc>
          <w:tcPr>
            <w:tcW w:w="992" w:type="dxa"/>
          </w:tcPr>
          <w:p w14:paraId="1D9BA8E8"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92" w:type="dxa"/>
          </w:tcPr>
          <w:p w14:paraId="77ABA01F"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52" w:type="dxa"/>
          </w:tcPr>
          <w:p w14:paraId="0E2ACF48"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37" w:type="dxa"/>
            <w:shd w:val="clear" w:color="auto" w:fill="D9D9D9" w:themeFill="background1" w:themeFillShade="D9"/>
            <w:vAlign w:val="center"/>
          </w:tcPr>
          <w:p w14:paraId="1B5EC71D"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4" w:type="dxa"/>
            <w:vAlign w:val="center"/>
          </w:tcPr>
          <w:p w14:paraId="1E0961BA"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38" w:type="dxa"/>
            <w:vAlign w:val="center"/>
          </w:tcPr>
          <w:p w14:paraId="68F6ED44"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r>
      <w:tr w:rsidR="007947B1" w:rsidRPr="007947B1" w14:paraId="7DE02E8E" w14:textId="77777777" w:rsidTr="007947B1">
        <w:tc>
          <w:tcPr>
            <w:tcW w:w="2479" w:type="dxa"/>
          </w:tcPr>
          <w:p w14:paraId="6B7013A7" w14:textId="7E3D440E" w:rsidR="009441A9" w:rsidRPr="007947B1" w:rsidRDefault="00EB6A7D" w:rsidP="00EB6A7D">
            <w:pPr>
              <w:pStyle w:val="Normal-pool"/>
              <w:rPr>
                <w:rFonts w:eastAsia="SimSun"/>
                <w:sz w:val="18"/>
                <w:szCs w:val="18"/>
                <w:highlight w:val="yellow"/>
                <w:lang w:val="fr-FR" w:eastAsia="zh-CN"/>
              </w:rPr>
            </w:pPr>
            <w:r w:rsidRPr="007947B1">
              <w:rPr>
                <w:rFonts w:eastAsia="SimSun"/>
                <w:sz w:val="18"/>
                <w:szCs w:val="18"/>
                <w:lang w:val="fr-FR" w:eastAsia="zh-CN"/>
              </w:rPr>
              <w:t>Collaboration avec les organisations potentiellement favorables au financement de la recherche en ce qui concerne les domaines prioritaires pour la production de connaissances</w:t>
            </w:r>
          </w:p>
        </w:tc>
        <w:tc>
          <w:tcPr>
            <w:tcW w:w="850" w:type="dxa"/>
          </w:tcPr>
          <w:p w14:paraId="45AEDAEA" w14:textId="77777777" w:rsidR="009441A9" w:rsidRPr="007947B1" w:rsidRDefault="009441A9" w:rsidP="0070220C">
            <w:pPr>
              <w:pStyle w:val="Normal-pool"/>
              <w:spacing w:before="40" w:after="40"/>
              <w:jc w:val="center"/>
              <w:rPr>
                <w:rFonts w:eastAsia="SimSun"/>
                <w:sz w:val="18"/>
                <w:szCs w:val="18"/>
                <w:lang w:val="fr-FR" w:eastAsia="zh-CN"/>
              </w:rPr>
            </w:pPr>
          </w:p>
        </w:tc>
        <w:tc>
          <w:tcPr>
            <w:tcW w:w="891" w:type="dxa"/>
            <w:shd w:val="clear" w:color="auto" w:fill="FFFFFF" w:themeFill="background1"/>
            <w:vAlign w:val="center"/>
          </w:tcPr>
          <w:p w14:paraId="6011168D" w14:textId="77777777" w:rsidR="009441A9" w:rsidRPr="007947B1" w:rsidRDefault="009441A9" w:rsidP="0070220C">
            <w:pPr>
              <w:pStyle w:val="Normal-pool"/>
              <w:spacing w:before="40" w:after="40"/>
              <w:jc w:val="center"/>
              <w:rPr>
                <w:rFonts w:eastAsia="SimSun"/>
                <w:b/>
                <w:i/>
                <w:sz w:val="18"/>
                <w:szCs w:val="18"/>
                <w:lang w:val="fr-FR" w:eastAsia="zh-CN"/>
              </w:rPr>
            </w:pPr>
          </w:p>
        </w:tc>
        <w:tc>
          <w:tcPr>
            <w:tcW w:w="992" w:type="dxa"/>
            <w:shd w:val="clear" w:color="auto" w:fill="D9D9D9" w:themeFill="background1" w:themeFillShade="D9"/>
            <w:vAlign w:val="center"/>
          </w:tcPr>
          <w:p w14:paraId="0A9B0D5F" w14:textId="7DDDA53F" w:rsidR="009441A9" w:rsidRPr="007947B1" w:rsidRDefault="009441A9" w:rsidP="0070220C">
            <w:pPr>
              <w:pStyle w:val="Normal-pool"/>
              <w:spacing w:before="40" w:after="40"/>
              <w:jc w:val="center"/>
              <w:rPr>
                <w:rFonts w:eastAsia="SimSun"/>
                <w:sz w:val="18"/>
                <w:szCs w:val="18"/>
                <w:lang w:val="fr-FR" w:eastAsia="zh-CN"/>
              </w:rPr>
            </w:pPr>
            <w:r w:rsidRPr="007947B1">
              <w:rPr>
                <w:rFonts w:eastAsia="SimSun"/>
                <w:sz w:val="18"/>
                <w:szCs w:val="18"/>
                <w:lang w:val="fr-FR" w:eastAsia="zh-CN"/>
              </w:rPr>
              <w:t>x</w:t>
            </w:r>
          </w:p>
        </w:tc>
        <w:tc>
          <w:tcPr>
            <w:tcW w:w="992" w:type="dxa"/>
            <w:shd w:val="clear" w:color="auto" w:fill="D9D9D9" w:themeFill="background1" w:themeFillShade="D9"/>
            <w:vAlign w:val="center"/>
          </w:tcPr>
          <w:p w14:paraId="795CA96F" w14:textId="1059A424"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z w:val="18"/>
                <w:szCs w:val="18"/>
                <w:lang w:val="fr-FR" w:eastAsia="zh-CN"/>
              </w:rPr>
              <w:t>x</w:t>
            </w:r>
          </w:p>
        </w:tc>
        <w:tc>
          <w:tcPr>
            <w:tcW w:w="952" w:type="dxa"/>
          </w:tcPr>
          <w:p w14:paraId="72DD02CE"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37" w:type="dxa"/>
            <w:vAlign w:val="center"/>
          </w:tcPr>
          <w:p w14:paraId="23C17FDD"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p>
        </w:tc>
        <w:tc>
          <w:tcPr>
            <w:tcW w:w="994" w:type="dxa"/>
            <w:shd w:val="clear" w:color="auto" w:fill="D9D9D9" w:themeFill="background1" w:themeFillShade="D9"/>
            <w:vAlign w:val="center"/>
          </w:tcPr>
          <w:p w14:paraId="515311D5"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8" w:type="dxa"/>
            <w:shd w:val="clear" w:color="auto" w:fill="D9D9D9" w:themeFill="background1" w:themeFillShade="D9"/>
            <w:vAlign w:val="center"/>
          </w:tcPr>
          <w:p w14:paraId="7ADFFC54"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r>
      <w:tr w:rsidR="007947B1" w:rsidRPr="007947B1" w:rsidDel="001E184E" w14:paraId="552249D8" w14:textId="77777777" w:rsidTr="007947B1">
        <w:trPr>
          <w:trHeight w:val="560"/>
        </w:trPr>
        <w:tc>
          <w:tcPr>
            <w:tcW w:w="2479" w:type="dxa"/>
            <w:vAlign w:val="center"/>
          </w:tcPr>
          <w:p w14:paraId="1C66EA29" w14:textId="462BD5CF" w:rsidR="009441A9" w:rsidRPr="007947B1" w:rsidRDefault="00EB6A7D" w:rsidP="00EB6A7D">
            <w:pPr>
              <w:pStyle w:val="Normal-pool"/>
              <w:rPr>
                <w:rFonts w:eastAsia="SimSun"/>
                <w:spacing w:val="4"/>
                <w:w w:val="103"/>
                <w:kern w:val="14"/>
                <w:sz w:val="18"/>
                <w:szCs w:val="18"/>
                <w:highlight w:val="yellow"/>
                <w:lang w:val="fr-FR" w:eastAsia="zh-CN"/>
              </w:rPr>
            </w:pPr>
            <w:r w:rsidRPr="007947B1">
              <w:rPr>
                <w:rFonts w:eastAsia="SimSun"/>
                <w:sz w:val="18"/>
                <w:szCs w:val="18"/>
                <w:lang w:val="fr-FR" w:eastAsia="zh-CN"/>
              </w:rPr>
              <w:t>Autres activités liées aux connaissances et aux données à l’appui des experts de la Plateforme chargés des évaluations</w:t>
            </w:r>
          </w:p>
        </w:tc>
        <w:tc>
          <w:tcPr>
            <w:tcW w:w="850" w:type="dxa"/>
            <w:shd w:val="clear" w:color="auto" w:fill="D9D9D9" w:themeFill="background1" w:themeFillShade="D9"/>
            <w:vAlign w:val="center"/>
          </w:tcPr>
          <w:p w14:paraId="3331E204"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891" w:type="dxa"/>
            <w:shd w:val="clear" w:color="auto" w:fill="D9D9D9" w:themeFill="background1" w:themeFillShade="D9"/>
            <w:vAlign w:val="center"/>
          </w:tcPr>
          <w:p w14:paraId="1BB872FF"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2" w:type="dxa"/>
            <w:shd w:val="clear" w:color="auto" w:fill="D9D9D9" w:themeFill="background1" w:themeFillShade="D9"/>
            <w:vAlign w:val="center"/>
          </w:tcPr>
          <w:p w14:paraId="0E205551" w14:textId="377D944C"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2" w:type="dxa"/>
            <w:shd w:val="clear" w:color="auto" w:fill="D9D9D9" w:themeFill="background1" w:themeFillShade="D9"/>
            <w:vAlign w:val="center"/>
          </w:tcPr>
          <w:p w14:paraId="0975AC24"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52" w:type="dxa"/>
            <w:shd w:val="clear" w:color="auto" w:fill="D9D9D9" w:themeFill="background1" w:themeFillShade="D9"/>
            <w:vAlign w:val="center"/>
          </w:tcPr>
          <w:p w14:paraId="02599EE6"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7" w:type="dxa"/>
            <w:shd w:val="clear" w:color="auto" w:fill="D9D9D9" w:themeFill="background1" w:themeFillShade="D9"/>
            <w:vAlign w:val="center"/>
          </w:tcPr>
          <w:p w14:paraId="43318B69"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94" w:type="dxa"/>
            <w:shd w:val="clear" w:color="auto" w:fill="D9D9D9" w:themeFill="background1" w:themeFillShade="D9"/>
            <w:vAlign w:val="center"/>
          </w:tcPr>
          <w:p w14:paraId="5EBE1B47" w14:textId="6187A6B5"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c>
          <w:tcPr>
            <w:tcW w:w="938" w:type="dxa"/>
            <w:shd w:val="clear" w:color="auto" w:fill="D9D9D9" w:themeFill="background1" w:themeFillShade="D9"/>
            <w:vAlign w:val="center"/>
          </w:tcPr>
          <w:p w14:paraId="3E29655C" w14:textId="77777777" w:rsidR="009441A9" w:rsidRPr="007947B1" w:rsidRDefault="009441A9" w:rsidP="0070220C">
            <w:pPr>
              <w:pStyle w:val="Normal-pool"/>
              <w:spacing w:before="40" w:after="40"/>
              <w:jc w:val="center"/>
              <w:rPr>
                <w:rFonts w:eastAsia="SimSun"/>
                <w:spacing w:val="4"/>
                <w:w w:val="103"/>
                <w:kern w:val="14"/>
                <w:sz w:val="18"/>
                <w:szCs w:val="18"/>
                <w:lang w:val="fr-FR" w:eastAsia="zh-CN"/>
              </w:rPr>
            </w:pPr>
            <w:r w:rsidRPr="007947B1">
              <w:rPr>
                <w:rFonts w:eastAsia="SimSun"/>
                <w:spacing w:val="4"/>
                <w:w w:val="103"/>
                <w:kern w:val="14"/>
                <w:sz w:val="18"/>
                <w:szCs w:val="18"/>
                <w:lang w:val="fr-FR" w:eastAsia="zh-CN"/>
              </w:rPr>
              <w:t>x</w:t>
            </w:r>
          </w:p>
        </w:tc>
      </w:tr>
    </w:tbl>
    <w:p w14:paraId="4D99FA60" w14:textId="6772DBF7" w:rsidR="001D0DE6" w:rsidRDefault="001D0DE6" w:rsidP="009F3D34">
      <w:pPr>
        <w:pStyle w:val="Normal-pool"/>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1959"/>
        <w:gridCol w:w="1959"/>
        <w:gridCol w:w="1960"/>
        <w:gridCol w:w="1960"/>
      </w:tblGrid>
      <w:tr w:rsidR="007947B1" w14:paraId="04D42CDC" w14:textId="77777777" w:rsidTr="00330204">
        <w:tc>
          <w:tcPr>
            <w:tcW w:w="1959" w:type="dxa"/>
          </w:tcPr>
          <w:p w14:paraId="57C1758F" w14:textId="77777777" w:rsidR="007947B1" w:rsidRDefault="007947B1" w:rsidP="00330204">
            <w:pPr>
              <w:pStyle w:val="Normal-pool"/>
              <w:spacing w:before="520"/>
            </w:pPr>
          </w:p>
        </w:tc>
        <w:tc>
          <w:tcPr>
            <w:tcW w:w="1959" w:type="dxa"/>
          </w:tcPr>
          <w:p w14:paraId="33C7D3CE" w14:textId="77777777" w:rsidR="007947B1" w:rsidRDefault="007947B1" w:rsidP="00330204">
            <w:pPr>
              <w:pStyle w:val="Normal-pool"/>
              <w:spacing w:before="520"/>
            </w:pPr>
          </w:p>
        </w:tc>
        <w:tc>
          <w:tcPr>
            <w:tcW w:w="1959" w:type="dxa"/>
            <w:tcBorders>
              <w:bottom w:val="single" w:sz="4" w:space="0" w:color="auto"/>
            </w:tcBorders>
          </w:tcPr>
          <w:p w14:paraId="14154C0C" w14:textId="77777777" w:rsidR="007947B1" w:rsidRDefault="007947B1" w:rsidP="00330204">
            <w:pPr>
              <w:pStyle w:val="Normal-pool"/>
              <w:spacing w:before="520"/>
            </w:pPr>
          </w:p>
        </w:tc>
        <w:tc>
          <w:tcPr>
            <w:tcW w:w="1960" w:type="dxa"/>
          </w:tcPr>
          <w:p w14:paraId="10132368" w14:textId="77777777" w:rsidR="007947B1" w:rsidRDefault="007947B1" w:rsidP="00330204">
            <w:pPr>
              <w:pStyle w:val="Normal-pool"/>
              <w:spacing w:before="520"/>
            </w:pPr>
          </w:p>
        </w:tc>
        <w:tc>
          <w:tcPr>
            <w:tcW w:w="1960" w:type="dxa"/>
          </w:tcPr>
          <w:p w14:paraId="4942055A" w14:textId="77777777" w:rsidR="007947B1" w:rsidRDefault="007947B1" w:rsidP="00330204">
            <w:pPr>
              <w:pStyle w:val="Normal-pool"/>
              <w:spacing w:before="520"/>
            </w:pPr>
          </w:p>
        </w:tc>
      </w:tr>
    </w:tbl>
    <w:p w14:paraId="5AC99B42" w14:textId="77777777" w:rsidR="007947B1" w:rsidRPr="00EC7F01" w:rsidRDefault="007947B1" w:rsidP="007947B1">
      <w:pPr>
        <w:pStyle w:val="Normal-pool"/>
      </w:pPr>
    </w:p>
    <w:p w14:paraId="3B1957F9" w14:textId="77777777" w:rsidR="007947B1" w:rsidRPr="00C2053F" w:rsidRDefault="007947B1" w:rsidP="009F3D34">
      <w:pPr>
        <w:pStyle w:val="Normal-pool"/>
        <w:rPr>
          <w:lang w:val="fr-FR"/>
        </w:rPr>
      </w:pPr>
    </w:p>
    <w:sectPr w:rsidR="007947B1" w:rsidRPr="00C2053F" w:rsidSect="007947B1">
      <w:headerReference w:type="even" r:id="rId22"/>
      <w:headerReference w:type="default" r:id="rId23"/>
      <w:footerReference w:type="even" r:id="rId24"/>
      <w:footerReference w:type="default" r:id="rId25"/>
      <w:headerReference w:type="first" r:id="rId26"/>
      <w:footerReference w:type="first" r:id="rId27"/>
      <w:pgSz w:w="11906" w:h="16838" w:code="9"/>
      <w:pgMar w:top="992" w:right="1418" w:bottom="1418" w:left="907"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D071" w14:textId="77777777" w:rsidR="00F3783E" w:rsidRDefault="00F3783E">
      <w:r>
        <w:separator/>
      </w:r>
    </w:p>
  </w:endnote>
  <w:endnote w:type="continuationSeparator" w:id="0">
    <w:p w14:paraId="524A03E8" w14:textId="77777777" w:rsidR="00F3783E" w:rsidRDefault="00F3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0972" w14:textId="7B1C2ACE" w:rsidR="0070220C" w:rsidRDefault="0070220C" w:rsidP="009F3D34">
    <w:pPr>
      <w:pStyle w:val="Normal-pool"/>
    </w:pPr>
    <w:r>
      <w:rPr>
        <w:rStyle w:val="PageNumber"/>
      </w:rPr>
      <w:fldChar w:fldCharType="begin"/>
    </w:r>
    <w:r>
      <w:rPr>
        <w:rStyle w:val="PageNumber"/>
      </w:rPr>
      <w:instrText xml:space="preserve"> PAGE </w:instrText>
    </w:r>
    <w:r>
      <w:rPr>
        <w:rStyle w:val="PageNumber"/>
      </w:rPr>
      <w:fldChar w:fldCharType="separate"/>
    </w:r>
    <w:r w:rsidR="007C4F2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CD98" w14:textId="58712A51" w:rsidR="0070220C" w:rsidRDefault="0070220C" w:rsidP="009F3D34">
    <w:pPr>
      <w:pStyle w:val="Normal-pool"/>
      <w:jc w:val="right"/>
    </w:pPr>
    <w:r>
      <w:rPr>
        <w:rStyle w:val="PageNumber"/>
      </w:rPr>
      <w:fldChar w:fldCharType="begin"/>
    </w:r>
    <w:r>
      <w:rPr>
        <w:rStyle w:val="PageNumber"/>
      </w:rPr>
      <w:instrText xml:space="preserve"> PAGE </w:instrText>
    </w:r>
    <w:r>
      <w:rPr>
        <w:rStyle w:val="PageNumber"/>
      </w:rPr>
      <w:fldChar w:fldCharType="separate"/>
    </w:r>
    <w:r w:rsidR="007C4F2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FE02" w14:textId="279466C8" w:rsidR="0070220C" w:rsidRDefault="0070220C" w:rsidP="009F3D34">
    <w:pPr>
      <w:pStyle w:val="Normal-pool"/>
    </w:pPr>
    <w:r w:rsidRPr="009F3D34">
      <w:t>K1</w:t>
    </w:r>
    <w:r w:rsidR="000D176B">
      <w:t>612132</w:t>
    </w:r>
    <w:r w:rsidRPr="009F3D34">
      <w:tab/>
    </w:r>
    <w:r w:rsidR="00D16E50">
      <w:t>20</w:t>
    </w:r>
    <w:r w:rsidR="000D176B">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52E9" w14:textId="77777777" w:rsidR="0070220C" w:rsidRDefault="0070220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5095" w14:textId="77777777" w:rsidR="0070220C" w:rsidRDefault="0070220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947B1">
      <w:rPr>
        <w:rStyle w:val="PageNumber"/>
        <w:noProof/>
      </w:rPr>
      <w:t>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2078" w14:textId="62127E5F" w:rsidR="0070220C" w:rsidRPr="00222065" w:rsidRDefault="00F3783E" w:rsidP="00222065">
    <w:pPr>
      <w:pStyle w:val="Normal-pool"/>
      <w:tabs>
        <w:tab w:val="clear" w:pos="1247"/>
        <w:tab w:val="clear" w:pos="1814"/>
        <w:tab w:val="clear" w:pos="2381"/>
        <w:tab w:val="clear" w:pos="2948"/>
        <w:tab w:val="clear" w:pos="3515"/>
        <w:tab w:val="clear" w:pos="4082"/>
        <w:tab w:val="left" w:pos="665"/>
      </w:tabs>
      <w:rPr>
        <w:b/>
        <w:sz w:val="18"/>
        <w:szCs w:val="18"/>
      </w:rPr>
    </w:pPr>
    <w:sdt>
      <w:sdtPr>
        <w:rPr>
          <w:sz w:val="18"/>
          <w:szCs w:val="18"/>
        </w:rPr>
        <w:id w:val="-1728832404"/>
        <w:docPartObj>
          <w:docPartGallery w:val="Page Numbers (Bottom of Page)"/>
          <w:docPartUnique/>
        </w:docPartObj>
      </w:sdtPr>
      <w:sdtEndPr>
        <w:rPr>
          <w:noProof/>
        </w:rPr>
      </w:sdtEndPr>
      <w:sdtContent>
        <w:r w:rsidR="0070220C" w:rsidRPr="00222065">
          <w:rPr>
            <w:b/>
            <w:sz w:val="18"/>
            <w:szCs w:val="18"/>
          </w:rPr>
          <w:fldChar w:fldCharType="begin"/>
        </w:r>
        <w:r w:rsidR="0070220C" w:rsidRPr="00222065">
          <w:rPr>
            <w:b/>
            <w:sz w:val="18"/>
            <w:szCs w:val="18"/>
          </w:rPr>
          <w:instrText xml:space="preserve"> PAGE   \* MERGEFORMAT </w:instrText>
        </w:r>
        <w:r w:rsidR="0070220C" w:rsidRPr="00222065">
          <w:rPr>
            <w:b/>
            <w:sz w:val="18"/>
            <w:szCs w:val="18"/>
          </w:rPr>
          <w:fldChar w:fldCharType="separate"/>
        </w:r>
        <w:r w:rsidR="007C4F2C">
          <w:rPr>
            <w:b/>
            <w:noProof/>
            <w:sz w:val="18"/>
            <w:szCs w:val="18"/>
          </w:rPr>
          <w:t>4</w:t>
        </w:r>
        <w:r w:rsidR="0070220C" w:rsidRPr="00222065">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ABD6" w14:textId="77777777" w:rsidR="00F3783E" w:rsidRPr="004063D7" w:rsidRDefault="00F3783E" w:rsidP="004063D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4063D7">
        <w:rPr>
          <w:sz w:val="18"/>
          <w:szCs w:val="18"/>
        </w:rPr>
        <w:separator/>
      </w:r>
    </w:p>
  </w:footnote>
  <w:footnote w:type="continuationSeparator" w:id="0">
    <w:p w14:paraId="2DCBF88B" w14:textId="77777777" w:rsidR="00F3783E" w:rsidRDefault="00F3783E">
      <w:r>
        <w:continuationSeparator/>
      </w:r>
    </w:p>
  </w:footnote>
  <w:footnote w:id="1">
    <w:p w14:paraId="4C7CABF6" w14:textId="4FF06FE8" w:rsidR="0070220C" w:rsidRPr="00C2053F" w:rsidRDefault="0070220C" w:rsidP="009441A9">
      <w:pPr>
        <w:pStyle w:val="FootnoteText"/>
        <w:tabs>
          <w:tab w:val="clear" w:pos="1247"/>
          <w:tab w:val="clear" w:pos="1814"/>
          <w:tab w:val="clear" w:pos="2381"/>
          <w:tab w:val="clear" w:pos="2948"/>
          <w:tab w:val="clear" w:pos="3515"/>
          <w:tab w:val="clear" w:pos="4082"/>
        </w:tabs>
        <w:rPr>
          <w:szCs w:val="18"/>
        </w:rPr>
      </w:pPr>
      <w:r w:rsidRPr="00C2053F">
        <w:rPr>
          <w:rStyle w:val="FootnoteReference"/>
          <w:sz w:val="18"/>
          <w:vertAlign w:val="baseline"/>
        </w:rPr>
        <w:footnoteRef/>
      </w:r>
      <w:r w:rsidRPr="00C2053F">
        <w:rPr>
          <w:szCs w:val="18"/>
        </w:rPr>
        <w:t xml:space="preserve"> IPBES/5/1</w:t>
      </w:r>
      <w:r w:rsidR="00BF2A88" w:rsidRPr="00C2053F">
        <w:rPr>
          <w:szCs w:val="18"/>
        </w:rPr>
        <w:t>/Rev.1</w:t>
      </w:r>
      <w:r w:rsidR="00D806AF" w:rsidRPr="00C2053F">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9B9A" w14:textId="3DA6C455" w:rsidR="0070220C" w:rsidRPr="009441A9" w:rsidRDefault="0070220C" w:rsidP="009441A9">
    <w:pPr>
      <w:pStyle w:val="Normal-pool"/>
      <w:pBdr>
        <w:bottom w:val="single" w:sz="4" w:space="1" w:color="auto"/>
      </w:pBdr>
      <w:rPr>
        <w:b/>
        <w:sz w:val="18"/>
        <w:szCs w:val="18"/>
      </w:rPr>
    </w:pPr>
    <w:r w:rsidRPr="009441A9">
      <w:rPr>
        <w:b/>
        <w:sz w:val="18"/>
        <w:szCs w:val="18"/>
      </w:rPr>
      <w:t>IPBES/</w:t>
    </w:r>
    <w:r w:rsidRPr="009441A9">
      <w:rPr>
        <w:b/>
        <w:sz w:val="18"/>
        <w:szCs w:val="18"/>
        <w:lang w:eastAsia="ja-JP"/>
      </w:rPr>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4481" w14:textId="41C6C672" w:rsidR="0070220C" w:rsidRPr="009F3D34" w:rsidRDefault="0070220C" w:rsidP="009F3D34">
    <w:pPr>
      <w:pStyle w:val="Normal-pool"/>
      <w:pBdr>
        <w:bottom w:val="single" w:sz="4" w:space="1" w:color="auto"/>
      </w:pBdr>
      <w:jc w:val="right"/>
      <w:rPr>
        <w:b/>
        <w:sz w:val="18"/>
        <w:szCs w:val="18"/>
      </w:rPr>
    </w:pPr>
    <w:r w:rsidRPr="009F3D34">
      <w:rPr>
        <w:b/>
        <w:sz w:val="18"/>
        <w:szCs w:val="18"/>
      </w:rPr>
      <w:t>IPBES/</w:t>
    </w:r>
    <w:r w:rsidRPr="009F3D34">
      <w:rPr>
        <w:b/>
        <w:sz w:val="18"/>
        <w:szCs w:val="18"/>
        <w:lang w:eastAsia="ja-JP"/>
      </w:rPr>
      <w:t>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7DF3" w14:textId="13FF2122" w:rsidR="0070220C" w:rsidRPr="009441A9" w:rsidRDefault="0070220C" w:rsidP="009441A9">
    <w:pPr>
      <w:pStyle w:val="Header"/>
      <w:pBdr>
        <w:bottom w:val="none" w:sz="0" w:space="0"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8D25" w14:textId="082DFB94" w:rsidR="0070220C" w:rsidRPr="007F3540" w:rsidRDefault="0070220C" w:rsidP="007F3540">
    <w:pPr>
      <w:pStyle w:val="Header"/>
      <w:rPr>
        <w:szCs w:val="18"/>
      </w:rPr>
    </w:pPr>
    <w:r w:rsidRPr="007F3540">
      <w:rPr>
        <w:rFonts w:ascii="Times New Roman" w:hAnsi="Times New Roman"/>
        <w:szCs w:val="18"/>
        <w:lang w:val="en-GB"/>
      </w:rPr>
      <w:t>IPBES/5/1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F6A2" w14:textId="671915A3" w:rsidR="0070220C" w:rsidRDefault="0070220C" w:rsidP="00035EDE">
    <w:pPr>
      <w:pStyle w:val="Header"/>
      <w:jc w:val="right"/>
    </w:pPr>
    <w:r>
      <w:t>UNON/DCS/ELU/TEMPLATE.1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42B6" w14:textId="01B7EDE4" w:rsidR="0070220C" w:rsidRPr="009F3D34" w:rsidRDefault="0070220C" w:rsidP="009F3D34">
    <w:pPr>
      <w:pStyle w:val="Normal-pool"/>
      <w:pBdr>
        <w:bottom w:val="single" w:sz="4" w:space="1" w:color="auto"/>
      </w:pBdr>
      <w:rPr>
        <w:b/>
        <w:sz w:val="18"/>
        <w:szCs w:val="18"/>
      </w:rPr>
    </w:pPr>
    <w:r w:rsidRPr="009441A9">
      <w:rPr>
        <w:b/>
        <w:sz w:val="18"/>
        <w:szCs w:val="18"/>
      </w:rPr>
      <w:t>IPBES/</w:t>
    </w:r>
    <w:r w:rsidRPr="009441A9">
      <w:rPr>
        <w:b/>
        <w:sz w:val="18"/>
        <w:szCs w:val="18"/>
        <w:lang w:eastAsia="ja-JP"/>
      </w:rPr>
      <w:t>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54E"/>
    <w:rsid w:val="00010869"/>
    <w:rsid w:val="000149E6"/>
    <w:rsid w:val="000247B0"/>
    <w:rsid w:val="00026997"/>
    <w:rsid w:val="00027CC6"/>
    <w:rsid w:val="00031A78"/>
    <w:rsid w:val="00033C5F"/>
    <w:rsid w:val="00033E0B"/>
    <w:rsid w:val="00035EDE"/>
    <w:rsid w:val="000423C6"/>
    <w:rsid w:val="0004540A"/>
    <w:rsid w:val="000475A6"/>
    <w:rsid w:val="000509B4"/>
    <w:rsid w:val="0006035B"/>
    <w:rsid w:val="00061444"/>
    <w:rsid w:val="0006430A"/>
    <w:rsid w:val="00066898"/>
    <w:rsid w:val="00071886"/>
    <w:rsid w:val="000742BC"/>
    <w:rsid w:val="00082A0C"/>
    <w:rsid w:val="00083504"/>
    <w:rsid w:val="000904EF"/>
    <w:rsid w:val="0009640C"/>
    <w:rsid w:val="000B1598"/>
    <w:rsid w:val="000B22A2"/>
    <w:rsid w:val="000C2A52"/>
    <w:rsid w:val="000C6DA0"/>
    <w:rsid w:val="000C6F1C"/>
    <w:rsid w:val="000D176B"/>
    <w:rsid w:val="000D33C0"/>
    <w:rsid w:val="000D6941"/>
    <w:rsid w:val="000E3574"/>
    <w:rsid w:val="000F6B5C"/>
    <w:rsid w:val="000F7996"/>
    <w:rsid w:val="001202E3"/>
    <w:rsid w:val="00123699"/>
    <w:rsid w:val="0013059D"/>
    <w:rsid w:val="00134978"/>
    <w:rsid w:val="0014082A"/>
    <w:rsid w:val="001408E2"/>
    <w:rsid w:val="00141A55"/>
    <w:rsid w:val="001446A3"/>
    <w:rsid w:val="0015099E"/>
    <w:rsid w:val="00155395"/>
    <w:rsid w:val="00160D74"/>
    <w:rsid w:val="00167D02"/>
    <w:rsid w:val="00181EC8"/>
    <w:rsid w:val="00184349"/>
    <w:rsid w:val="00195F33"/>
    <w:rsid w:val="0019744B"/>
    <w:rsid w:val="001974B0"/>
    <w:rsid w:val="001A3283"/>
    <w:rsid w:val="001B1617"/>
    <w:rsid w:val="001B504B"/>
    <w:rsid w:val="001D0DE6"/>
    <w:rsid w:val="001D3874"/>
    <w:rsid w:val="001D38EC"/>
    <w:rsid w:val="001D7E75"/>
    <w:rsid w:val="001E56D2"/>
    <w:rsid w:val="001E7D56"/>
    <w:rsid w:val="001F603A"/>
    <w:rsid w:val="001F6AC6"/>
    <w:rsid w:val="001F75DE"/>
    <w:rsid w:val="00200D58"/>
    <w:rsid w:val="002013BE"/>
    <w:rsid w:val="002063A4"/>
    <w:rsid w:val="0021145B"/>
    <w:rsid w:val="00211727"/>
    <w:rsid w:val="00222065"/>
    <w:rsid w:val="00224379"/>
    <w:rsid w:val="002261E9"/>
    <w:rsid w:val="00243D36"/>
    <w:rsid w:val="00247707"/>
    <w:rsid w:val="0026018E"/>
    <w:rsid w:val="00263842"/>
    <w:rsid w:val="00285344"/>
    <w:rsid w:val="00286740"/>
    <w:rsid w:val="002929D8"/>
    <w:rsid w:val="002A237D"/>
    <w:rsid w:val="002A4C53"/>
    <w:rsid w:val="002B0672"/>
    <w:rsid w:val="002B247F"/>
    <w:rsid w:val="002B6F40"/>
    <w:rsid w:val="002C11FD"/>
    <w:rsid w:val="002C145D"/>
    <w:rsid w:val="002C24D8"/>
    <w:rsid w:val="002C2C3E"/>
    <w:rsid w:val="002C533E"/>
    <w:rsid w:val="002D027F"/>
    <w:rsid w:val="002D7A85"/>
    <w:rsid w:val="002D7B60"/>
    <w:rsid w:val="002E2C2B"/>
    <w:rsid w:val="002F2444"/>
    <w:rsid w:val="002F2855"/>
    <w:rsid w:val="002F4761"/>
    <w:rsid w:val="002F5C79"/>
    <w:rsid w:val="003019E2"/>
    <w:rsid w:val="00302C59"/>
    <w:rsid w:val="0031413F"/>
    <w:rsid w:val="003148BB"/>
    <w:rsid w:val="00317976"/>
    <w:rsid w:val="00320688"/>
    <w:rsid w:val="0032125F"/>
    <w:rsid w:val="00337C0D"/>
    <w:rsid w:val="00355EA9"/>
    <w:rsid w:val="003578DE"/>
    <w:rsid w:val="0036031D"/>
    <w:rsid w:val="00396257"/>
    <w:rsid w:val="00397EB8"/>
    <w:rsid w:val="003A4FD0"/>
    <w:rsid w:val="003A69D1"/>
    <w:rsid w:val="003A7705"/>
    <w:rsid w:val="003A77F1"/>
    <w:rsid w:val="003B1545"/>
    <w:rsid w:val="003B3CD0"/>
    <w:rsid w:val="003C409D"/>
    <w:rsid w:val="003C5BA6"/>
    <w:rsid w:val="003D24C1"/>
    <w:rsid w:val="003D50CB"/>
    <w:rsid w:val="003D761B"/>
    <w:rsid w:val="003E1A32"/>
    <w:rsid w:val="003F0E85"/>
    <w:rsid w:val="003F1D30"/>
    <w:rsid w:val="003F22A5"/>
    <w:rsid w:val="003F2647"/>
    <w:rsid w:val="003F7440"/>
    <w:rsid w:val="004063D7"/>
    <w:rsid w:val="0041081A"/>
    <w:rsid w:val="00410C55"/>
    <w:rsid w:val="00414049"/>
    <w:rsid w:val="00416854"/>
    <w:rsid w:val="00417725"/>
    <w:rsid w:val="004313D9"/>
    <w:rsid w:val="00434C6E"/>
    <w:rsid w:val="00437F26"/>
    <w:rsid w:val="00440ED3"/>
    <w:rsid w:val="0044122F"/>
    <w:rsid w:val="00444097"/>
    <w:rsid w:val="00445487"/>
    <w:rsid w:val="00454769"/>
    <w:rsid w:val="00466991"/>
    <w:rsid w:val="0047064C"/>
    <w:rsid w:val="004757C6"/>
    <w:rsid w:val="00485CAD"/>
    <w:rsid w:val="004A42E1"/>
    <w:rsid w:val="004B162C"/>
    <w:rsid w:val="004C3DBE"/>
    <w:rsid w:val="004C5C96"/>
    <w:rsid w:val="004D06A4"/>
    <w:rsid w:val="004F1A81"/>
    <w:rsid w:val="004F2356"/>
    <w:rsid w:val="005009BB"/>
    <w:rsid w:val="00503461"/>
    <w:rsid w:val="00504790"/>
    <w:rsid w:val="00517861"/>
    <w:rsid w:val="005218D9"/>
    <w:rsid w:val="0053524B"/>
    <w:rsid w:val="00536186"/>
    <w:rsid w:val="00544CBB"/>
    <w:rsid w:val="00552D00"/>
    <w:rsid w:val="0057315F"/>
    <w:rsid w:val="00576104"/>
    <w:rsid w:val="0057766F"/>
    <w:rsid w:val="005919AF"/>
    <w:rsid w:val="005B41EB"/>
    <w:rsid w:val="005C5BF5"/>
    <w:rsid w:val="005C67C8"/>
    <w:rsid w:val="005D0249"/>
    <w:rsid w:val="005D6E8C"/>
    <w:rsid w:val="005E5607"/>
    <w:rsid w:val="005E71DF"/>
    <w:rsid w:val="005F100C"/>
    <w:rsid w:val="005F68DA"/>
    <w:rsid w:val="00605A73"/>
    <w:rsid w:val="00606059"/>
    <w:rsid w:val="0060773B"/>
    <w:rsid w:val="00612769"/>
    <w:rsid w:val="006157B5"/>
    <w:rsid w:val="00626FC6"/>
    <w:rsid w:val="006303B4"/>
    <w:rsid w:val="00633D3D"/>
    <w:rsid w:val="0064005E"/>
    <w:rsid w:val="00641703"/>
    <w:rsid w:val="00642A70"/>
    <w:rsid w:val="006431A6"/>
    <w:rsid w:val="006459F6"/>
    <w:rsid w:val="006501AD"/>
    <w:rsid w:val="00650675"/>
    <w:rsid w:val="00651BFA"/>
    <w:rsid w:val="00654475"/>
    <w:rsid w:val="006600AD"/>
    <w:rsid w:val="00665A4B"/>
    <w:rsid w:val="00692E2A"/>
    <w:rsid w:val="006A68ED"/>
    <w:rsid w:val="006A76F2"/>
    <w:rsid w:val="006B04BF"/>
    <w:rsid w:val="006C44C5"/>
    <w:rsid w:val="006D75F0"/>
    <w:rsid w:val="006D7EFB"/>
    <w:rsid w:val="006E6672"/>
    <w:rsid w:val="006E6722"/>
    <w:rsid w:val="0070220C"/>
    <w:rsid w:val="007027B9"/>
    <w:rsid w:val="00712299"/>
    <w:rsid w:val="00714E08"/>
    <w:rsid w:val="00715E88"/>
    <w:rsid w:val="00721221"/>
    <w:rsid w:val="00723305"/>
    <w:rsid w:val="0072757D"/>
    <w:rsid w:val="00734CAA"/>
    <w:rsid w:val="00740066"/>
    <w:rsid w:val="0075533C"/>
    <w:rsid w:val="007560DD"/>
    <w:rsid w:val="00757581"/>
    <w:rsid w:val="007611A0"/>
    <w:rsid w:val="00761937"/>
    <w:rsid w:val="0076341E"/>
    <w:rsid w:val="00787CE8"/>
    <w:rsid w:val="00791DB4"/>
    <w:rsid w:val="00792D47"/>
    <w:rsid w:val="007947B1"/>
    <w:rsid w:val="00796D3F"/>
    <w:rsid w:val="007A1683"/>
    <w:rsid w:val="007A5C12"/>
    <w:rsid w:val="007A7CB0"/>
    <w:rsid w:val="007B68A3"/>
    <w:rsid w:val="007C1E1E"/>
    <w:rsid w:val="007C2541"/>
    <w:rsid w:val="007C4F2C"/>
    <w:rsid w:val="007D655B"/>
    <w:rsid w:val="007D66A8"/>
    <w:rsid w:val="007E003F"/>
    <w:rsid w:val="007F3540"/>
    <w:rsid w:val="007F6126"/>
    <w:rsid w:val="007F789D"/>
    <w:rsid w:val="0080159A"/>
    <w:rsid w:val="008034CE"/>
    <w:rsid w:val="008164F2"/>
    <w:rsid w:val="00821395"/>
    <w:rsid w:val="00830E26"/>
    <w:rsid w:val="008365E5"/>
    <w:rsid w:val="00843576"/>
    <w:rsid w:val="00843B64"/>
    <w:rsid w:val="00845267"/>
    <w:rsid w:val="008478FC"/>
    <w:rsid w:val="008506EB"/>
    <w:rsid w:val="00867BFF"/>
    <w:rsid w:val="008829D3"/>
    <w:rsid w:val="0088480A"/>
    <w:rsid w:val="0088757A"/>
    <w:rsid w:val="008944A6"/>
    <w:rsid w:val="008957DD"/>
    <w:rsid w:val="00897AC0"/>
    <w:rsid w:val="00897D98"/>
    <w:rsid w:val="008A6DF2"/>
    <w:rsid w:val="008A6F96"/>
    <w:rsid w:val="008A7807"/>
    <w:rsid w:val="008B4CC9"/>
    <w:rsid w:val="008C4DCE"/>
    <w:rsid w:val="008C722B"/>
    <w:rsid w:val="008D44DA"/>
    <w:rsid w:val="008D7C99"/>
    <w:rsid w:val="008E0FCB"/>
    <w:rsid w:val="0090781D"/>
    <w:rsid w:val="0092178C"/>
    <w:rsid w:val="009254AE"/>
    <w:rsid w:val="009260DA"/>
    <w:rsid w:val="00930B88"/>
    <w:rsid w:val="00940DCC"/>
    <w:rsid w:val="009411D8"/>
    <w:rsid w:val="0094179A"/>
    <w:rsid w:val="009441A9"/>
    <w:rsid w:val="0094459E"/>
    <w:rsid w:val="00944DBC"/>
    <w:rsid w:val="0094617E"/>
    <w:rsid w:val="00950977"/>
    <w:rsid w:val="00951A7B"/>
    <w:rsid w:val="009527C6"/>
    <w:rsid w:val="009564A6"/>
    <w:rsid w:val="00967621"/>
    <w:rsid w:val="00967E6A"/>
    <w:rsid w:val="00984862"/>
    <w:rsid w:val="00984A20"/>
    <w:rsid w:val="00985ADF"/>
    <w:rsid w:val="009B4A0F"/>
    <w:rsid w:val="009B6AE8"/>
    <w:rsid w:val="009C11D2"/>
    <w:rsid w:val="009C6C70"/>
    <w:rsid w:val="009D0B63"/>
    <w:rsid w:val="009D24BE"/>
    <w:rsid w:val="009E307E"/>
    <w:rsid w:val="009E78C3"/>
    <w:rsid w:val="009F25B5"/>
    <w:rsid w:val="009F3D34"/>
    <w:rsid w:val="00A07870"/>
    <w:rsid w:val="00A07F19"/>
    <w:rsid w:val="00A1348D"/>
    <w:rsid w:val="00A17B1D"/>
    <w:rsid w:val="00A232EE"/>
    <w:rsid w:val="00A247A5"/>
    <w:rsid w:val="00A252C8"/>
    <w:rsid w:val="00A4175F"/>
    <w:rsid w:val="00A44411"/>
    <w:rsid w:val="00A45943"/>
    <w:rsid w:val="00A469FA"/>
    <w:rsid w:val="00A55B01"/>
    <w:rsid w:val="00A56B5B"/>
    <w:rsid w:val="00A603FF"/>
    <w:rsid w:val="00A621EA"/>
    <w:rsid w:val="00A657DD"/>
    <w:rsid w:val="00A666A6"/>
    <w:rsid w:val="00A675FD"/>
    <w:rsid w:val="00A72437"/>
    <w:rsid w:val="00A80611"/>
    <w:rsid w:val="00A9167F"/>
    <w:rsid w:val="00AA0C30"/>
    <w:rsid w:val="00AA2F6F"/>
    <w:rsid w:val="00AB2C5F"/>
    <w:rsid w:val="00AB5340"/>
    <w:rsid w:val="00AC0A89"/>
    <w:rsid w:val="00AC7C96"/>
    <w:rsid w:val="00AE237D"/>
    <w:rsid w:val="00AE2C12"/>
    <w:rsid w:val="00AE2DC4"/>
    <w:rsid w:val="00AE502A"/>
    <w:rsid w:val="00AE7283"/>
    <w:rsid w:val="00AF0270"/>
    <w:rsid w:val="00AF7C07"/>
    <w:rsid w:val="00B05A15"/>
    <w:rsid w:val="00B05BDD"/>
    <w:rsid w:val="00B06696"/>
    <w:rsid w:val="00B22C93"/>
    <w:rsid w:val="00B26925"/>
    <w:rsid w:val="00B27589"/>
    <w:rsid w:val="00B33E3A"/>
    <w:rsid w:val="00B405B7"/>
    <w:rsid w:val="00B474EE"/>
    <w:rsid w:val="00B52222"/>
    <w:rsid w:val="00B54FE7"/>
    <w:rsid w:val="00B66901"/>
    <w:rsid w:val="00B71E6D"/>
    <w:rsid w:val="00B72070"/>
    <w:rsid w:val="00B779E1"/>
    <w:rsid w:val="00B84516"/>
    <w:rsid w:val="00B90ADD"/>
    <w:rsid w:val="00B91EE1"/>
    <w:rsid w:val="00B93447"/>
    <w:rsid w:val="00BA0090"/>
    <w:rsid w:val="00BA1A67"/>
    <w:rsid w:val="00BA7FE4"/>
    <w:rsid w:val="00BE57F9"/>
    <w:rsid w:val="00BE5B5F"/>
    <w:rsid w:val="00BF2A88"/>
    <w:rsid w:val="00C0644B"/>
    <w:rsid w:val="00C16505"/>
    <w:rsid w:val="00C2053F"/>
    <w:rsid w:val="00C26F55"/>
    <w:rsid w:val="00C30C63"/>
    <w:rsid w:val="00C36B8B"/>
    <w:rsid w:val="00C415C1"/>
    <w:rsid w:val="00C4375A"/>
    <w:rsid w:val="00C47795"/>
    <w:rsid w:val="00C47DBF"/>
    <w:rsid w:val="00C552FF"/>
    <w:rsid w:val="00C558DA"/>
    <w:rsid w:val="00C55AF3"/>
    <w:rsid w:val="00C569EC"/>
    <w:rsid w:val="00C65318"/>
    <w:rsid w:val="00C673F6"/>
    <w:rsid w:val="00C70845"/>
    <w:rsid w:val="00C84759"/>
    <w:rsid w:val="00CA6C7F"/>
    <w:rsid w:val="00CB508B"/>
    <w:rsid w:val="00CC10A6"/>
    <w:rsid w:val="00CD30A2"/>
    <w:rsid w:val="00CD5EB8"/>
    <w:rsid w:val="00CD7044"/>
    <w:rsid w:val="00CE08B9"/>
    <w:rsid w:val="00CE524C"/>
    <w:rsid w:val="00CF141F"/>
    <w:rsid w:val="00CF4777"/>
    <w:rsid w:val="00D0245D"/>
    <w:rsid w:val="00D067BB"/>
    <w:rsid w:val="00D07A37"/>
    <w:rsid w:val="00D1352A"/>
    <w:rsid w:val="00D169AF"/>
    <w:rsid w:val="00D16E50"/>
    <w:rsid w:val="00D25249"/>
    <w:rsid w:val="00D26ED8"/>
    <w:rsid w:val="00D44172"/>
    <w:rsid w:val="00D44A14"/>
    <w:rsid w:val="00D62DAC"/>
    <w:rsid w:val="00D63B8C"/>
    <w:rsid w:val="00D64770"/>
    <w:rsid w:val="00D73673"/>
    <w:rsid w:val="00D739CC"/>
    <w:rsid w:val="00D806AF"/>
    <w:rsid w:val="00D8093D"/>
    <w:rsid w:val="00D8108C"/>
    <w:rsid w:val="00D842AE"/>
    <w:rsid w:val="00D85E41"/>
    <w:rsid w:val="00D87566"/>
    <w:rsid w:val="00D9211C"/>
    <w:rsid w:val="00D92DE0"/>
    <w:rsid w:val="00D92FEF"/>
    <w:rsid w:val="00D93A0F"/>
    <w:rsid w:val="00DA1BCA"/>
    <w:rsid w:val="00DB3CCD"/>
    <w:rsid w:val="00DC45C7"/>
    <w:rsid w:val="00DC46FF"/>
    <w:rsid w:val="00DC5254"/>
    <w:rsid w:val="00DD1A4F"/>
    <w:rsid w:val="00DD2838"/>
    <w:rsid w:val="00DD3107"/>
    <w:rsid w:val="00DD7C2C"/>
    <w:rsid w:val="00DF05AB"/>
    <w:rsid w:val="00DF4E9D"/>
    <w:rsid w:val="00E06797"/>
    <w:rsid w:val="00E1265B"/>
    <w:rsid w:val="00E13B48"/>
    <w:rsid w:val="00E1404F"/>
    <w:rsid w:val="00E21C83"/>
    <w:rsid w:val="00E24ADA"/>
    <w:rsid w:val="00E32573"/>
    <w:rsid w:val="00E32F59"/>
    <w:rsid w:val="00E44A5A"/>
    <w:rsid w:val="00E46D9A"/>
    <w:rsid w:val="00E565FF"/>
    <w:rsid w:val="00E6421D"/>
    <w:rsid w:val="00E65388"/>
    <w:rsid w:val="00E85B7D"/>
    <w:rsid w:val="00E9121B"/>
    <w:rsid w:val="00EA0AE2"/>
    <w:rsid w:val="00EA39E5"/>
    <w:rsid w:val="00EA5E72"/>
    <w:rsid w:val="00EB6A7D"/>
    <w:rsid w:val="00EC1464"/>
    <w:rsid w:val="00EC2BA8"/>
    <w:rsid w:val="00EC5A46"/>
    <w:rsid w:val="00EC63E2"/>
    <w:rsid w:val="00EE6E0A"/>
    <w:rsid w:val="00EF22B3"/>
    <w:rsid w:val="00F03B69"/>
    <w:rsid w:val="00F07A50"/>
    <w:rsid w:val="00F07D41"/>
    <w:rsid w:val="00F113DA"/>
    <w:rsid w:val="00F152F5"/>
    <w:rsid w:val="00F20136"/>
    <w:rsid w:val="00F24AB6"/>
    <w:rsid w:val="00F3783E"/>
    <w:rsid w:val="00F37DC8"/>
    <w:rsid w:val="00F439B3"/>
    <w:rsid w:val="00F54D36"/>
    <w:rsid w:val="00F602E3"/>
    <w:rsid w:val="00F650C3"/>
    <w:rsid w:val="00F65D85"/>
    <w:rsid w:val="00F8090B"/>
    <w:rsid w:val="00F8091E"/>
    <w:rsid w:val="00F8615C"/>
    <w:rsid w:val="00F94214"/>
    <w:rsid w:val="00F969E5"/>
    <w:rsid w:val="00FA3208"/>
    <w:rsid w:val="00FA5BA4"/>
    <w:rsid w:val="00FA6BB0"/>
    <w:rsid w:val="00FB7A1F"/>
    <w:rsid w:val="00FC61B6"/>
    <w:rsid w:val="00FD5860"/>
    <w:rsid w:val="00FD6266"/>
    <w:rsid w:val="00FE352D"/>
    <w:rsid w:val="00FE40EB"/>
    <w:rsid w:val="00FE4D02"/>
    <w:rsid w:val="00FE7D62"/>
    <w:rsid w:val="00FF3819"/>
    <w:rsid w:val="00FF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30F90"/>
  <w15:docId w15:val="{3FED9C5C-5D21-4DDF-8E0F-6D06AA4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408E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1408E2"/>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character" w:styleId="CommentReference">
    <w:name w:val="annotation reference"/>
    <w:basedOn w:val="DefaultParagraphFont"/>
    <w:semiHidden/>
    <w:unhideWhenUsed/>
    <w:rsid w:val="000B1598"/>
    <w:rPr>
      <w:sz w:val="16"/>
      <w:szCs w:val="16"/>
    </w:rPr>
  </w:style>
  <w:style w:type="paragraph" w:styleId="CommentText">
    <w:name w:val="annotation text"/>
    <w:basedOn w:val="Normal"/>
    <w:link w:val="CommentTextChar"/>
    <w:semiHidden/>
    <w:unhideWhenUsed/>
    <w:rsid w:val="000B1598"/>
    <w:pPr>
      <w:spacing w:line="240" w:lineRule="auto"/>
    </w:pPr>
    <w:rPr>
      <w:sz w:val="20"/>
      <w:szCs w:val="20"/>
    </w:rPr>
  </w:style>
  <w:style w:type="character" w:customStyle="1" w:styleId="CommentTextChar">
    <w:name w:val="Comment Text Char"/>
    <w:basedOn w:val="DefaultParagraphFont"/>
    <w:link w:val="CommentText"/>
    <w:semiHidden/>
    <w:rsid w:val="000B1598"/>
    <w:rPr>
      <w:rFonts w:ascii="Calibri" w:eastAsia="MS Mincho" w:hAnsi="Calibri"/>
    </w:rPr>
  </w:style>
  <w:style w:type="paragraph" w:styleId="CommentSubject">
    <w:name w:val="annotation subject"/>
    <w:basedOn w:val="CommentText"/>
    <w:next w:val="CommentText"/>
    <w:link w:val="CommentSubjectChar"/>
    <w:semiHidden/>
    <w:unhideWhenUsed/>
    <w:rsid w:val="000B1598"/>
    <w:rPr>
      <w:b/>
      <w:bCs/>
    </w:rPr>
  </w:style>
  <w:style w:type="character" w:customStyle="1" w:styleId="CommentSubjectChar">
    <w:name w:val="Comment Subject Char"/>
    <w:basedOn w:val="CommentTextChar"/>
    <w:link w:val="CommentSubject"/>
    <w:semiHidden/>
    <w:rsid w:val="000B1598"/>
    <w:rPr>
      <w:rFonts w:ascii="Calibri" w:eastAsia="MS Mincho" w:hAnsi="Calibri"/>
      <w:b/>
      <w:bCs/>
    </w:rPr>
  </w:style>
  <w:style w:type="table" w:styleId="TableGrid">
    <w:name w:val="Table Grid"/>
    <w:basedOn w:val="TableNormal"/>
    <w:rsid w:val="0079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37D3-C94C-4A3F-9512-E65012A6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2234</Words>
  <Characters>12738</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2017-01-09T09:30:00Z</cp:lastPrinted>
  <dcterms:created xsi:type="dcterms:W3CDTF">2017-01-23T09:31:00Z</dcterms:created>
  <dcterms:modified xsi:type="dcterms:W3CDTF">2017-01-23T09:31:00Z</dcterms:modified>
</cp:coreProperties>
</file>