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79AB303F" wp14:editId="3766EA02">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022C11CB" wp14:editId="6FB33BA9">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14:anchorId="4A04B4F6" wp14:editId="319F27CC">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14:anchorId="41C67C33" wp14:editId="7697881E">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2E4DCDB4" wp14:editId="79D92DF5">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7C08" w:rsidRPr="006C7B6F" w:rsidRDefault="003D7C08" w:rsidP="00224248">
                                  <w:pPr>
                                    <w:spacing w:line="180" w:lineRule="exact"/>
                                    <w:rPr>
                                      <w:rFonts w:ascii="Traditional Arabic" w:hAnsi="Traditional Arabic" w:cs="Traditional Arabic"/>
                                      <w:b/>
                                      <w:bCs/>
                                      <w:w w:val="103"/>
                                      <w:sz w:val="24"/>
                                      <w:szCs w:val="24"/>
                                      <w:rtl/>
                                    </w:rPr>
                                  </w:pPr>
                                  <w:r w:rsidRPr="006C7B6F">
                                    <w:rPr>
                                      <w:rFonts w:ascii="Traditional Arabic" w:hAnsi="Traditional Arabic" w:cs="Traditional Arabic" w:hint="eastAsia"/>
                                      <w:b/>
                                      <w:bCs/>
                                      <w:w w:val="103"/>
                                      <w:sz w:val="24"/>
                                      <w:szCs w:val="24"/>
                                      <w:rtl/>
                                    </w:rPr>
                                    <w:t>منظمة</w:t>
                                  </w:r>
                                </w:p>
                                <w:p w:rsidR="003D7C08" w:rsidRPr="006C7B6F" w:rsidRDefault="003D7C08" w:rsidP="00224248">
                                  <w:pPr>
                                    <w:spacing w:line="180" w:lineRule="exact"/>
                                    <w:rPr>
                                      <w:w w:val="103"/>
                                      <w:sz w:val="24"/>
                                      <w:szCs w:val="24"/>
                                    </w:rPr>
                                  </w:pPr>
                                  <w:r w:rsidRPr="006C7B6F">
                                    <w:rPr>
                                      <w:rFonts w:ascii="Traditional Arabic" w:hAnsi="Traditional Arabic" w:cs="Traditional Arabic" w:hint="eastAsia"/>
                                      <w:b/>
                                      <w:bCs/>
                                      <w:w w:val="103"/>
                                      <w:sz w:val="24"/>
                                      <w:szCs w:val="24"/>
                                      <w:rtl/>
                                    </w:rPr>
                                    <w:t>الأغذية</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والزراعة</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للأمم</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DCDB4"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3D7C08" w:rsidRPr="006C7B6F" w:rsidRDefault="003D7C08" w:rsidP="00224248">
                            <w:pPr>
                              <w:spacing w:line="180" w:lineRule="exact"/>
                              <w:rPr>
                                <w:rFonts w:ascii="Traditional Arabic" w:hAnsi="Traditional Arabic" w:cs="Traditional Arabic"/>
                                <w:b/>
                                <w:bCs/>
                                <w:w w:val="103"/>
                                <w:sz w:val="24"/>
                                <w:szCs w:val="24"/>
                                <w:rtl/>
                              </w:rPr>
                            </w:pPr>
                            <w:r w:rsidRPr="006C7B6F">
                              <w:rPr>
                                <w:rFonts w:ascii="Traditional Arabic" w:hAnsi="Traditional Arabic" w:cs="Traditional Arabic" w:hint="eastAsia"/>
                                <w:b/>
                                <w:bCs/>
                                <w:w w:val="103"/>
                                <w:sz w:val="24"/>
                                <w:szCs w:val="24"/>
                                <w:rtl/>
                              </w:rPr>
                              <w:t>منظمة</w:t>
                            </w:r>
                          </w:p>
                          <w:p w:rsidR="003D7C08" w:rsidRPr="006C7B6F" w:rsidRDefault="003D7C08" w:rsidP="00224248">
                            <w:pPr>
                              <w:spacing w:line="180" w:lineRule="exact"/>
                              <w:rPr>
                                <w:w w:val="103"/>
                                <w:sz w:val="24"/>
                                <w:szCs w:val="24"/>
                              </w:rPr>
                            </w:pPr>
                            <w:r w:rsidRPr="006C7B6F">
                              <w:rPr>
                                <w:rFonts w:ascii="Traditional Arabic" w:hAnsi="Traditional Arabic" w:cs="Traditional Arabic" w:hint="eastAsia"/>
                                <w:b/>
                                <w:bCs/>
                                <w:w w:val="103"/>
                                <w:sz w:val="24"/>
                                <w:szCs w:val="24"/>
                                <w:rtl/>
                              </w:rPr>
                              <w:t>الأغذية</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والزراعة</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للأمم</w:t>
                            </w:r>
                            <w:r w:rsidRPr="006C7B6F">
                              <w:rPr>
                                <w:rFonts w:ascii="Traditional Arabic" w:hAnsi="Traditional Arabic" w:cs="Traditional Arabic"/>
                                <w:b/>
                                <w:bCs/>
                                <w:w w:val="103"/>
                                <w:sz w:val="24"/>
                                <w:szCs w:val="24"/>
                                <w:rtl/>
                              </w:rPr>
                              <w:t xml:space="preserve"> </w:t>
                            </w:r>
                            <w:r w:rsidRPr="006C7B6F">
                              <w:rPr>
                                <w:rFonts w:ascii="Traditional Arabic" w:hAnsi="Traditional Arabic" w:cs="Traditional Arabic" w:hint="eastAsia"/>
                                <w:b/>
                                <w:bCs/>
                                <w:w w:val="103"/>
                                <w:sz w:val="24"/>
                                <w:szCs w:val="24"/>
                                <w:rtl/>
                              </w:rPr>
                              <w:t>المتحدة</w:t>
                            </w:r>
                          </w:p>
                        </w:txbxContent>
                      </v:textbox>
                    </v:shape>
                  </w:pict>
                </mc:Fallback>
              </mc:AlternateContent>
            </w:r>
            <w:r>
              <w:rPr>
                <w:noProof/>
              </w:rPr>
              <w:drawing>
                <wp:inline distT="0" distB="0" distL="0" distR="0" wp14:anchorId="1BC4F95B" wp14:editId="6E9EDA84">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330A7D">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330A7D">
              <w:rPr>
                <w:rFonts w:cs="Times New Roman"/>
                <w:sz w:val="20"/>
                <w:szCs w:val="20"/>
              </w:rPr>
              <w:t>13</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5F31FE93" wp14:editId="1C003ABA">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330A7D" w:rsidP="00330A7D">
            <w:pPr>
              <w:bidi w:val="0"/>
              <w:spacing w:after="120"/>
              <w:rPr>
                <w:sz w:val="20"/>
                <w:szCs w:val="20"/>
              </w:rPr>
            </w:pPr>
            <w:r>
              <w:rPr>
                <w:sz w:val="20"/>
                <w:szCs w:val="20"/>
              </w:rPr>
              <w:t>16</w:t>
            </w:r>
            <w:r w:rsidR="002D12BC">
              <w:rPr>
                <w:sz w:val="20"/>
                <w:szCs w:val="20"/>
              </w:rPr>
              <w:t xml:space="preserve"> </w:t>
            </w:r>
            <w:r>
              <w:rPr>
                <w:sz w:val="20"/>
                <w:szCs w:val="20"/>
              </w:rPr>
              <w:t>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3D7C08" w:rsidRDefault="008A6A43" w:rsidP="006A5C3F">
      <w:pPr>
        <w:spacing w:before="40" w:line="340" w:lineRule="exact"/>
        <w:ind w:left="140" w:right="5812"/>
        <w:jc w:val="both"/>
        <w:rPr>
          <w:rFonts w:ascii="Times New Roman Bold" w:hAnsi="Times New Roman Bold" w:cs="Traditional Arabic"/>
          <w:b/>
          <w:bCs/>
          <w:w w:val="97"/>
          <w:sz w:val="30"/>
          <w:szCs w:val="30"/>
          <w:rtl/>
        </w:rPr>
      </w:pPr>
      <w:r w:rsidRPr="003D7C08">
        <w:rPr>
          <w:rFonts w:ascii="Times New Roman Bold" w:hAnsi="Times New Roman Bold" w:cs="Traditional Arabic" w:hint="cs"/>
          <w:b/>
          <w:bCs/>
          <w:w w:val="97"/>
          <w:sz w:val="30"/>
          <w:szCs w:val="30"/>
          <w:rtl/>
        </w:rPr>
        <w:t>الاجتماع العام للمنبر الحكومي الدولي للعلوم والسياسات في مجال التنوع البيولوجي وخدمات النظم الإيكولوجية</w:t>
      </w:r>
    </w:p>
    <w:p w:rsidR="008A6A43" w:rsidRPr="003D7C08" w:rsidRDefault="008A6A43" w:rsidP="002D12BC">
      <w:pPr>
        <w:spacing w:line="340" w:lineRule="exact"/>
        <w:ind w:left="140"/>
        <w:jc w:val="both"/>
        <w:rPr>
          <w:rFonts w:ascii="Times New Roman Bold" w:hAnsi="Times New Roman Bold" w:cs="Traditional Arabic"/>
          <w:w w:val="97"/>
          <w:sz w:val="30"/>
          <w:szCs w:val="30"/>
          <w:rtl/>
        </w:rPr>
      </w:pPr>
      <w:r w:rsidRPr="003D7C08">
        <w:rPr>
          <w:rFonts w:ascii="Times New Roman Bold" w:hAnsi="Times New Roman Bold" w:cs="Traditional Arabic" w:hint="cs"/>
          <w:b/>
          <w:bCs/>
          <w:w w:val="97"/>
          <w:sz w:val="30"/>
          <w:szCs w:val="30"/>
          <w:rtl/>
        </w:rPr>
        <w:t xml:space="preserve">الدورة </w:t>
      </w:r>
      <w:r w:rsidR="002D12BC" w:rsidRPr="003D7C08">
        <w:rPr>
          <w:rFonts w:ascii="Times New Roman Bold" w:hAnsi="Times New Roman Bold" w:cs="Traditional Arabic" w:hint="cs"/>
          <w:b/>
          <w:bCs/>
          <w:w w:val="97"/>
          <w:sz w:val="30"/>
          <w:szCs w:val="30"/>
          <w:rtl/>
        </w:rPr>
        <w:t>الخامسة</w:t>
      </w:r>
    </w:p>
    <w:p w:rsidR="00516B35" w:rsidRPr="003D7C08" w:rsidRDefault="002D12BC" w:rsidP="00FA2101">
      <w:pPr>
        <w:spacing w:line="340" w:lineRule="exact"/>
        <w:ind w:left="142"/>
        <w:jc w:val="both"/>
        <w:rPr>
          <w:rFonts w:cs="Traditional Arabic"/>
          <w:sz w:val="30"/>
          <w:szCs w:val="30"/>
          <w:rtl/>
        </w:rPr>
      </w:pPr>
      <w:r w:rsidRPr="003D7C08">
        <w:rPr>
          <w:rFonts w:cs="Traditional Arabic" w:hint="cs"/>
          <w:sz w:val="30"/>
          <w:szCs w:val="30"/>
          <w:rtl/>
        </w:rPr>
        <w:t>بون</w:t>
      </w:r>
      <w:r w:rsidR="008A6A43" w:rsidRPr="003D7C08">
        <w:rPr>
          <w:rFonts w:cs="Traditional Arabic" w:hint="cs"/>
          <w:sz w:val="30"/>
          <w:szCs w:val="30"/>
          <w:rtl/>
        </w:rPr>
        <w:t xml:space="preserve">، </w:t>
      </w:r>
      <w:r w:rsidRPr="003D7C08">
        <w:rPr>
          <w:rFonts w:cs="Traditional Arabic" w:hint="cs"/>
          <w:sz w:val="30"/>
          <w:szCs w:val="30"/>
          <w:rtl/>
        </w:rPr>
        <w:t>ألمانيا</w:t>
      </w:r>
      <w:r w:rsidR="00EE5C27" w:rsidRPr="003D7C08">
        <w:rPr>
          <w:rFonts w:cs="Traditional Arabic" w:hint="cs"/>
          <w:sz w:val="30"/>
          <w:szCs w:val="30"/>
          <w:rtl/>
        </w:rPr>
        <w:t>،</w:t>
      </w:r>
      <w:r w:rsidRPr="003D7C08">
        <w:rPr>
          <w:rFonts w:cs="Traditional Arabic" w:hint="cs"/>
          <w:sz w:val="30"/>
          <w:szCs w:val="30"/>
          <w:rtl/>
        </w:rPr>
        <w:t xml:space="preserve"> </w:t>
      </w:r>
      <w:r w:rsidR="00FA2101" w:rsidRPr="003D7C08">
        <w:rPr>
          <w:rFonts w:cs="Traditional Arabic" w:hint="cs"/>
          <w:sz w:val="30"/>
          <w:szCs w:val="30"/>
          <w:rtl/>
        </w:rPr>
        <w:t>7</w:t>
      </w:r>
      <w:r w:rsidR="008A6A43" w:rsidRPr="003D7C08">
        <w:rPr>
          <w:rFonts w:cs="Traditional Arabic" w:hint="cs"/>
          <w:sz w:val="30"/>
          <w:szCs w:val="30"/>
          <w:rtl/>
        </w:rPr>
        <w:t>-</w:t>
      </w:r>
      <w:r w:rsidRPr="003D7C08">
        <w:rPr>
          <w:rFonts w:cs="Traditional Arabic" w:hint="cs"/>
          <w:sz w:val="30"/>
          <w:szCs w:val="30"/>
          <w:rtl/>
        </w:rPr>
        <w:t>10 آذار</w:t>
      </w:r>
      <w:r w:rsidR="008A6A43" w:rsidRPr="003D7C08">
        <w:rPr>
          <w:rFonts w:cs="Traditional Arabic" w:hint="cs"/>
          <w:sz w:val="30"/>
          <w:szCs w:val="30"/>
          <w:rtl/>
        </w:rPr>
        <w:t>/</w:t>
      </w:r>
      <w:r w:rsidRPr="003D7C08">
        <w:rPr>
          <w:rFonts w:cs="Traditional Arabic" w:hint="cs"/>
          <w:sz w:val="30"/>
          <w:szCs w:val="30"/>
          <w:rtl/>
        </w:rPr>
        <w:t>مارس 2017</w:t>
      </w:r>
    </w:p>
    <w:p w:rsidR="002A7552" w:rsidRDefault="002A7552" w:rsidP="00330A7D">
      <w:pPr>
        <w:spacing w:line="340" w:lineRule="exact"/>
        <w:ind w:left="142"/>
        <w:jc w:val="both"/>
        <w:rPr>
          <w:rFonts w:cs="Traditional Arabic"/>
          <w:sz w:val="30"/>
          <w:szCs w:val="30"/>
          <w:rtl/>
        </w:rPr>
      </w:pPr>
      <w:r w:rsidRPr="003D7C08">
        <w:rPr>
          <w:rFonts w:cs="Traditional Arabic" w:hint="cs"/>
          <w:sz w:val="30"/>
          <w:szCs w:val="30"/>
          <w:rtl/>
        </w:rPr>
        <w:t xml:space="preserve">البند </w:t>
      </w:r>
      <w:r w:rsidR="00330A7D" w:rsidRPr="003D7C08">
        <w:rPr>
          <w:rFonts w:cs="Traditional Arabic" w:hint="cs"/>
          <w:sz w:val="30"/>
          <w:szCs w:val="30"/>
          <w:rtl/>
          <w:lang w:val="en-GB"/>
        </w:rPr>
        <w:t>2</w:t>
      </w:r>
      <w:r w:rsidRPr="003D7C08">
        <w:rPr>
          <w:rFonts w:cs="Traditional Arabic" w:hint="cs"/>
          <w:sz w:val="30"/>
          <w:szCs w:val="30"/>
          <w:rtl/>
        </w:rPr>
        <w:t xml:space="preserve"> </w:t>
      </w:r>
      <w:r w:rsidR="00B75F7D">
        <w:rPr>
          <w:rFonts w:cs="Traditional Arabic" w:hint="cs"/>
          <w:sz w:val="30"/>
          <w:szCs w:val="30"/>
          <w:rtl/>
        </w:rPr>
        <w:t xml:space="preserve">(ج) </w:t>
      </w:r>
      <w:r w:rsidRPr="003D7C08">
        <w:rPr>
          <w:rFonts w:cs="Traditional Arabic" w:hint="cs"/>
          <w:sz w:val="30"/>
          <w:szCs w:val="30"/>
          <w:rtl/>
        </w:rPr>
        <w:t>من جدول الأعمال المؤقت</w:t>
      </w:r>
      <w:r w:rsidRPr="005D5D6E">
        <w:rPr>
          <w:rStyle w:val="FootnoteReference"/>
          <w:rFonts w:asciiTheme="majorBidi" w:hAnsiTheme="majorBidi" w:cstheme="majorBidi"/>
          <w:sz w:val="20"/>
          <w:szCs w:val="20"/>
          <w:rtl/>
        </w:rPr>
        <w:footnoteReference w:id="1"/>
      </w:r>
    </w:p>
    <w:p w:rsidR="003D7C08" w:rsidRPr="003D7C08" w:rsidRDefault="003D7C08" w:rsidP="00E6563F">
      <w:pPr>
        <w:spacing w:before="120" w:line="360" w:lineRule="exact"/>
        <w:ind w:left="142"/>
        <w:rPr>
          <w:rFonts w:cs="Traditional Arabic"/>
          <w:b/>
          <w:bCs/>
          <w:sz w:val="28"/>
          <w:rtl/>
        </w:rPr>
      </w:pPr>
      <w:r w:rsidRPr="003D7C08">
        <w:rPr>
          <w:rFonts w:cs="Traditional Arabic" w:hint="cs"/>
          <w:b/>
          <w:bCs/>
          <w:sz w:val="28"/>
          <w:rtl/>
        </w:rPr>
        <w:t>المسائل التنظيمية</w:t>
      </w:r>
      <w:r w:rsidR="00B75F7D">
        <w:rPr>
          <w:rFonts w:cs="Traditional Arabic" w:hint="cs"/>
          <w:b/>
          <w:bCs/>
          <w:sz w:val="28"/>
          <w:rtl/>
        </w:rPr>
        <w:t xml:space="preserve">: انتخاب </w:t>
      </w:r>
      <w:r w:rsidR="00E6563F">
        <w:rPr>
          <w:rFonts w:cs="Traditional Arabic" w:hint="cs"/>
          <w:b/>
          <w:bCs/>
          <w:sz w:val="28"/>
          <w:rtl/>
        </w:rPr>
        <w:t>ال</w:t>
      </w:r>
      <w:r w:rsidR="00B75F7D">
        <w:rPr>
          <w:rFonts w:cs="Traditional Arabic" w:hint="cs"/>
          <w:b/>
          <w:bCs/>
          <w:sz w:val="28"/>
          <w:rtl/>
        </w:rPr>
        <w:t xml:space="preserve">أعضاء </w:t>
      </w:r>
      <w:r w:rsidR="00E6563F">
        <w:rPr>
          <w:rFonts w:cs="Traditional Arabic" w:hint="cs"/>
          <w:b/>
          <w:bCs/>
          <w:sz w:val="28"/>
          <w:rtl/>
        </w:rPr>
        <w:t>ال</w:t>
      </w:r>
      <w:r w:rsidR="00B75F7D">
        <w:rPr>
          <w:rFonts w:cs="Traditional Arabic" w:hint="cs"/>
          <w:b/>
          <w:bCs/>
          <w:sz w:val="28"/>
          <w:rtl/>
        </w:rPr>
        <w:t>مناوبين</w:t>
      </w:r>
      <w:r w:rsidR="00B75F7D" w:rsidRPr="006C7B6F">
        <w:rPr>
          <w:rFonts w:asciiTheme="majorBidi" w:hAnsiTheme="majorBidi" w:cstheme="majorBidi"/>
          <w:b/>
          <w:bCs/>
          <w:sz w:val="28"/>
          <w:rtl/>
        </w:rPr>
        <w:t xml:space="preserve"> </w:t>
      </w:r>
      <w:r w:rsidR="00B75F7D">
        <w:rPr>
          <w:rFonts w:cs="Traditional Arabic"/>
          <w:b/>
          <w:bCs/>
          <w:sz w:val="28"/>
          <w:rtl/>
        </w:rPr>
        <w:br/>
      </w:r>
      <w:r w:rsidR="00E6563F">
        <w:rPr>
          <w:rFonts w:cs="Traditional Arabic" w:hint="cs"/>
          <w:b/>
          <w:bCs/>
          <w:sz w:val="28"/>
          <w:rtl/>
        </w:rPr>
        <w:t>ل</w:t>
      </w:r>
      <w:r w:rsidR="00B75F7D" w:rsidRPr="00B75F7D">
        <w:rPr>
          <w:rFonts w:cs="Traditional Arabic"/>
          <w:b/>
          <w:bCs/>
          <w:sz w:val="28"/>
          <w:rtl/>
        </w:rPr>
        <w:t>فريق الخبراء المتعدد التخصصات</w:t>
      </w:r>
    </w:p>
    <w:p w:rsidR="00330A7D" w:rsidRPr="00392023" w:rsidRDefault="00330A7D" w:rsidP="00392023">
      <w:pPr>
        <w:pStyle w:val="BBTitle"/>
        <w:tabs>
          <w:tab w:val="clear" w:pos="1247"/>
          <w:tab w:val="clear" w:pos="1814"/>
          <w:tab w:val="clear" w:pos="2381"/>
          <w:tab w:val="left" w:pos="1841"/>
          <w:tab w:val="left" w:pos="2408"/>
        </w:tabs>
        <w:bidi/>
        <w:spacing w:before="360" w:line="400" w:lineRule="exact"/>
        <w:ind w:left="1134" w:right="0"/>
        <w:jc w:val="both"/>
        <w:textDirection w:val="tbRlV"/>
        <w:rPr>
          <w:rFonts w:ascii="Traditional Arabic" w:hAnsi="Traditional Arabic" w:cs="Traditional Arabic"/>
          <w:b w:val="0"/>
          <w:bCs/>
          <w:sz w:val="34"/>
          <w:szCs w:val="34"/>
          <w:rtl/>
          <w:lang w:eastAsia="zh-TW"/>
        </w:rPr>
      </w:pPr>
      <w:r w:rsidRPr="00392023">
        <w:rPr>
          <w:rFonts w:ascii="Traditional Arabic" w:hAnsi="Traditional Arabic" w:cs="Traditional Arabic"/>
          <w:b w:val="0"/>
          <w:bCs/>
          <w:sz w:val="34"/>
          <w:szCs w:val="34"/>
          <w:rtl/>
          <w:lang w:eastAsia="zh-TW"/>
        </w:rPr>
        <w:t>فريق الخبراء المتعدد التخصصات: ترشيحات لاستبدال الأعضاء المستقيلين</w:t>
      </w:r>
    </w:p>
    <w:p w:rsidR="00330A7D" w:rsidRPr="00392023" w:rsidRDefault="00330A7D" w:rsidP="00392023">
      <w:pPr>
        <w:pStyle w:val="CH2"/>
        <w:tabs>
          <w:tab w:val="clear" w:pos="624"/>
          <w:tab w:val="clear" w:pos="851"/>
          <w:tab w:val="clear" w:pos="1247"/>
          <w:tab w:val="clear" w:pos="1814"/>
          <w:tab w:val="clear" w:pos="2381"/>
          <w:tab w:val="left" w:pos="1841"/>
          <w:tab w:val="left" w:pos="2408"/>
        </w:tabs>
        <w:bidi/>
        <w:spacing w:before="0" w:after="180" w:line="400" w:lineRule="exact"/>
        <w:ind w:left="1134" w:right="0" w:firstLine="0"/>
        <w:jc w:val="both"/>
        <w:textDirection w:val="tbRlV"/>
        <w:rPr>
          <w:rFonts w:ascii="Traditional Arabic" w:hAnsi="Traditional Arabic" w:cs="Traditional Arabic"/>
          <w:b w:val="0"/>
          <w:bCs/>
          <w:sz w:val="32"/>
          <w:szCs w:val="32"/>
          <w:rtl/>
          <w:lang w:eastAsia="zh-TW"/>
        </w:rPr>
      </w:pPr>
      <w:r w:rsidRPr="00392023">
        <w:rPr>
          <w:rFonts w:ascii="Traditional Arabic" w:hAnsi="Traditional Arabic" w:cs="Traditional Arabic"/>
          <w:b w:val="0"/>
          <w:bCs/>
          <w:sz w:val="32"/>
          <w:szCs w:val="32"/>
          <w:rtl/>
          <w:lang w:eastAsia="zh-TW"/>
        </w:rPr>
        <w:t>مذكرة من الأمانة</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415AB6">
        <w:rPr>
          <w:rFonts w:ascii="Traditional Arabic" w:hAnsi="Traditional Arabic"/>
          <w:sz w:val="30"/>
          <w:szCs w:val="30"/>
          <w:rtl/>
          <w:lang w:eastAsia="zh-TW"/>
        </w:rPr>
        <w:t xml:space="preserve">انتخب الاجتماع العام للمنبر الحكومي الدولي للعلوم والسياسات في مجال التنوع البيولوجي وخدمات النظم الإيكولوجية في دورته الثالثة 25 </w:t>
      </w:r>
      <w:r>
        <w:rPr>
          <w:rFonts w:ascii="Traditional Arabic" w:hAnsi="Traditional Arabic"/>
          <w:sz w:val="30"/>
          <w:szCs w:val="30"/>
          <w:rtl/>
          <w:lang w:eastAsia="zh-TW"/>
        </w:rPr>
        <w:t>عضوا</w:t>
      </w:r>
      <w:r w:rsidR="003D7C08">
        <w:rPr>
          <w:rFonts w:ascii="Traditional Arabic" w:hAnsi="Traditional Arabic" w:hint="cs"/>
          <w:sz w:val="30"/>
          <w:szCs w:val="30"/>
          <w:rtl/>
          <w:lang w:val="en-GB" w:eastAsia="zh-TW"/>
        </w:rPr>
        <w:t>ً</w:t>
      </w:r>
      <w:r>
        <w:rPr>
          <w:rFonts w:ascii="Traditional Arabic" w:hAnsi="Traditional Arabic"/>
          <w:sz w:val="30"/>
          <w:szCs w:val="30"/>
          <w:rtl/>
          <w:lang w:eastAsia="zh-TW"/>
        </w:rPr>
        <w:t xml:space="preserve"> </w:t>
      </w:r>
      <w:r>
        <w:rPr>
          <w:rFonts w:ascii="Traditional Arabic" w:hAnsi="Traditional Arabic" w:hint="cs"/>
          <w:sz w:val="30"/>
          <w:szCs w:val="30"/>
          <w:rtl/>
          <w:lang w:eastAsia="zh-TW"/>
        </w:rPr>
        <w:t>ل</w:t>
      </w:r>
      <w:r w:rsidRPr="00415AB6">
        <w:rPr>
          <w:rFonts w:ascii="Traditional Arabic" w:hAnsi="Traditional Arabic"/>
          <w:sz w:val="30"/>
          <w:szCs w:val="30"/>
          <w:rtl/>
          <w:lang w:eastAsia="zh-TW"/>
        </w:rPr>
        <w:t>فريق الخبراء المتعدد التخصصات، وفقا</w:t>
      </w:r>
      <w:r w:rsidR="003D7C08">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للنظام الداخلي للاجتماع العام بصيغته المعتمدة في المقررين م</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ح</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د-1/1 و</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م</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ح</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د-2/1. وستنتهي مدة عضوية أولئك الأعضاء في نهاية الدورة السادسة للاجتماع العام.</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415AB6">
        <w:rPr>
          <w:rFonts w:ascii="Traditional Arabic" w:hAnsi="Traditional Arabic"/>
          <w:sz w:val="30"/>
          <w:szCs w:val="30"/>
          <w:rtl/>
          <w:lang w:eastAsia="zh-TW"/>
        </w:rPr>
        <w:t>وقد استقال أربعة من أعضاء فريق الخبراء المتعدد التخصصات منذ انعقاد الدورة الرابعة للاجتماع العام، وهم: السيدة ساندرا دياز (أمريكا اللاتينية ومنطقة البحر الكاريبي)، والسيدة مايا فاسيليفيتش والسيد غيورغي باتاكي (منطقة أوروبا الشرقية)، والسيدة شارلوت كاريبوهوي (منطقة أفريقيا). وتنص المادة 31 من النظام الداخلي على أنه إذا استقال أحد أعضاء الفريق أو أصبح لأسباب أخرى غير قادر على إتمام الولاية المنوطة به أو تأدية مهام منصبه، يحل محله عضو مناوب ترشحه نفس المنطقة ويختاره الاجتماع العام.</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415AB6">
        <w:rPr>
          <w:rFonts w:ascii="Traditional Arabic" w:hAnsi="Traditional Arabic"/>
          <w:sz w:val="30"/>
          <w:szCs w:val="30"/>
          <w:rtl/>
          <w:lang w:eastAsia="zh-TW"/>
        </w:rPr>
        <w:t>ووفقا</w:t>
      </w:r>
      <w:r w:rsidR="00392023">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للمادة 29 من النظام الداخلي، يتولى العضو المناو</w:t>
      </w:r>
      <w:r>
        <w:rPr>
          <w:rFonts w:ascii="Traditional Arabic" w:hAnsi="Traditional Arabic"/>
          <w:sz w:val="30"/>
          <w:szCs w:val="30"/>
          <w:rtl/>
          <w:lang w:eastAsia="zh-TW"/>
        </w:rPr>
        <w:t>ب تلك المهام ح</w:t>
      </w:r>
      <w:r>
        <w:rPr>
          <w:rFonts w:ascii="Traditional Arabic" w:hAnsi="Traditional Arabic" w:hint="cs"/>
          <w:sz w:val="30"/>
          <w:szCs w:val="30"/>
          <w:rtl/>
          <w:lang w:eastAsia="zh-TW"/>
        </w:rPr>
        <w:t>تى</w:t>
      </w:r>
      <w:r w:rsidRPr="00415AB6">
        <w:rPr>
          <w:rFonts w:ascii="Traditional Arabic" w:hAnsi="Traditional Arabic"/>
          <w:sz w:val="30"/>
          <w:szCs w:val="30"/>
          <w:rtl/>
          <w:lang w:eastAsia="zh-TW"/>
        </w:rPr>
        <w:t xml:space="preserve"> نهاية ولاية العضو الذي حل محله، أي من نهاية الدورة الخامسة حتى نهاية الدورة السادسة للاجتماع العام. ويُنتخب أعضاء الفريق مع إمكانية إعادة انتخابهم لفترة عضوية تالية واحدة.</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415AB6">
        <w:rPr>
          <w:rFonts w:ascii="Traditional Arabic" w:hAnsi="Traditional Arabic"/>
          <w:sz w:val="30"/>
          <w:szCs w:val="30"/>
          <w:rtl/>
          <w:lang w:eastAsia="zh-TW"/>
        </w:rPr>
        <w:t>وفي تشرين الأول/أكتوبر 2016، دعا الأمين التنفيذي المناطق الثلاث المعنية إلى تقديم ترشيحات لمناوبين ل</w:t>
      </w:r>
      <w:r>
        <w:rPr>
          <w:rFonts w:ascii="Traditional Arabic" w:hAnsi="Traditional Arabic"/>
          <w:sz w:val="30"/>
          <w:szCs w:val="30"/>
          <w:rtl/>
          <w:lang w:eastAsia="zh-TW"/>
        </w:rPr>
        <w:t>يحلوا محل الأعضاء ال</w:t>
      </w:r>
      <w:r>
        <w:rPr>
          <w:rFonts w:ascii="Traditional Arabic" w:hAnsi="Traditional Arabic" w:hint="cs"/>
          <w:sz w:val="30"/>
          <w:szCs w:val="30"/>
          <w:rtl/>
          <w:lang w:eastAsia="zh-TW"/>
        </w:rPr>
        <w:t>مستقيلين</w:t>
      </w:r>
      <w:r w:rsidRPr="00415AB6">
        <w:rPr>
          <w:rFonts w:ascii="Traditional Arabic" w:hAnsi="Traditional Arabic"/>
          <w:sz w:val="30"/>
          <w:szCs w:val="30"/>
          <w:rtl/>
          <w:lang w:eastAsia="zh-TW"/>
        </w:rPr>
        <w:t>. وحتى 15 كانون الأول/ديسمبر، لم ترد سوى أربعة ترشيحات، لا</w:t>
      </w:r>
      <w:r w:rsidR="00392023">
        <w:rPr>
          <w:rFonts w:ascii="Traditional Arabic" w:hAnsi="Traditional Arabic" w:hint="cs"/>
          <w:sz w:val="30"/>
          <w:szCs w:val="30"/>
          <w:rtl/>
          <w:lang w:eastAsia="zh-TW"/>
        </w:rPr>
        <w:t> </w:t>
      </w:r>
      <w:r w:rsidRPr="00415AB6">
        <w:rPr>
          <w:rFonts w:ascii="Traditional Arabic" w:hAnsi="Traditional Arabic"/>
          <w:sz w:val="30"/>
          <w:szCs w:val="30"/>
          <w:rtl/>
          <w:lang w:eastAsia="zh-TW"/>
        </w:rPr>
        <w:t xml:space="preserve">تغطي جميع المناطق المعنية. ولذلك فقد مدد الأمين التنفيذي الموعد النهائي للترشيح إلى 31 كانون </w:t>
      </w:r>
      <w:r w:rsidRPr="00415AB6">
        <w:rPr>
          <w:rFonts w:ascii="Traditional Arabic" w:hAnsi="Traditional Arabic"/>
          <w:sz w:val="30"/>
          <w:szCs w:val="30"/>
          <w:rtl/>
          <w:lang w:eastAsia="zh-TW"/>
        </w:rPr>
        <w:lastRenderedPageBreak/>
        <w:t xml:space="preserve">الثاني/يناير 2017. وستُتاح معلومات عن جميع الترشيحات التي وردت بحلول الموعد النهائي، بما في ذلك السير الذاتية للمرشحين، في المذكرة التي تُصدرها الأمانة بهذا الخصوص </w:t>
      </w:r>
      <w:r w:rsidRPr="00392023">
        <w:rPr>
          <w:rFonts w:asciiTheme="majorBidi" w:hAnsiTheme="majorBidi" w:cstheme="majorBidi"/>
          <w:rtl/>
          <w:lang w:eastAsia="zh-TW"/>
        </w:rPr>
        <w:t>(</w:t>
      </w:r>
      <w:r w:rsidRPr="00392023">
        <w:rPr>
          <w:rFonts w:asciiTheme="majorBidi" w:hAnsiTheme="majorBidi" w:cstheme="majorBidi"/>
          <w:lang w:eastAsia="zh-TW"/>
        </w:rPr>
        <w:t>IPBES/5/INF/20</w:t>
      </w:r>
      <w:r w:rsidRPr="00392023">
        <w:rPr>
          <w:rFonts w:asciiTheme="majorBidi" w:hAnsiTheme="majorBidi" w:cstheme="majorBidi"/>
          <w:rtl/>
          <w:lang w:eastAsia="zh-TW"/>
        </w:rPr>
        <w:t>)</w:t>
      </w:r>
      <w:r w:rsidRPr="00415AB6">
        <w:rPr>
          <w:rFonts w:ascii="Traditional Arabic" w:hAnsi="Traditional Arabic"/>
          <w:sz w:val="30"/>
          <w:szCs w:val="30"/>
          <w:rtl/>
          <w:lang w:eastAsia="zh-TW"/>
        </w:rPr>
        <w:t xml:space="preserve">، وفي الموقع الشبكي للمنبر الحكومي الدولي على الرابط </w:t>
      </w:r>
      <w:r w:rsidRPr="00392023">
        <w:rPr>
          <w:rFonts w:asciiTheme="majorBidi" w:hAnsiTheme="majorBidi" w:cstheme="majorBidi"/>
          <w:lang w:eastAsia="zh-TW"/>
        </w:rPr>
        <w:t>www.ipbes.net/plenary/ipbes-5</w:t>
      </w:r>
      <w:r w:rsidRPr="00415AB6">
        <w:rPr>
          <w:rFonts w:ascii="Traditional Arabic" w:hAnsi="Traditional Arabic"/>
          <w:sz w:val="30"/>
          <w:szCs w:val="30"/>
          <w:rtl/>
          <w:lang w:eastAsia="zh-TW"/>
        </w:rPr>
        <w:t>.</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415AB6">
        <w:rPr>
          <w:rFonts w:ascii="Traditional Arabic" w:hAnsi="Traditional Arabic"/>
          <w:sz w:val="30"/>
          <w:szCs w:val="30"/>
          <w:rtl/>
          <w:lang w:eastAsia="zh-TW"/>
        </w:rPr>
        <w:t>وستُدعى المناطق المعنية إلى النظر في الترشيحات التي وردت، كما ستُدعى في إطار البند 2 (أ) من جدول أعمال الدورة الخامسة للاجتماع العام، إلى أن ترشح للاختيار في الاجتماع العام عضوا</w:t>
      </w:r>
      <w:r w:rsidR="00717747">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واحدا</w:t>
      </w:r>
      <w:r w:rsidR="00717747">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من منطقة أمريكا اللاتينية، وعضوين من منطقة أوروبا الشرقية، وعضوا</w:t>
      </w:r>
      <w:r w:rsidR="00717747">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واحدا</w:t>
      </w:r>
      <w:r w:rsidR="00717747">
        <w:rPr>
          <w:rFonts w:ascii="Traditional Arabic" w:hAnsi="Traditional Arabic" w:hint="cs"/>
          <w:sz w:val="30"/>
          <w:szCs w:val="30"/>
          <w:rtl/>
          <w:lang w:eastAsia="zh-TW"/>
        </w:rPr>
        <w:t>ً</w:t>
      </w:r>
      <w:r w:rsidRPr="00415AB6">
        <w:rPr>
          <w:rFonts w:ascii="Traditional Arabic" w:hAnsi="Traditional Arabic"/>
          <w:sz w:val="30"/>
          <w:szCs w:val="30"/>
          <w:rtl/>
          <w:lang w:eastAsia="zh-TW"/>
        </w:rPr>
        <w:t xml:space="preserve"> من المنطقة الأفريقية، للحلول محل الأعضاء المستقيلين.</w:t>
      </w:r>
    </w:p>
    <w:p w:rsidR="00330A7D" w:rsidRPr="00415AB6"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t>وتمشيا</w:t>
      </w:r>
      <w:r w:rsidR="00392023">
        <w:rPr>
          <w:rFonts w:ascii="Traditional Arabic" w:hAnsi="Traditional Arabic" w:hint="cs"/>
          <w:sz w:val="30"/>
          <w:szCs w:val="30"/>
          <w:rtl/>
          <w:lang w:val="en-GB" w:eastAsia="zh-TW"/>
        </w:rPr>
        <w:t>ً</w:t>
      </w:r>
      <w:r>
        <w:rPr>
          <w:rFonts w:ascii="Traditional Arabic" w:hAnsi="Traditional Arabic"/>
          <w:sz w:val="30"/>
          <w:szCs w:val="30"/>
          <w:rtl/>
          <w:lang w:eastAsia="zh-TW"/>
        </w:rPr>
        <w:t xml:space="preserve"> مع ال</w:t>
      </w:r>
      <w:r>
        <w:rPr>
          <w:rFonts w:ascii="Traditional Arabic" w:hAnsi="Traditional Arabic" w:hint="cs"/>
          <w:sz w:val="30"/>
          <w:szCs w:val="30"/>
          <w:rtl/>
          <w:lang w:eastAsia="zh-TW"/>
        </w:rPr>
        <w:t>مادة</w:t>
      </w:r>
      <w:r w:rsidRPr="00415AB6">
        <w:rPr>
          <w:rFonts w:ascii="Traditional Arabic" w:hAnsi="Traditional Arabic"/>
          <w:sz w:val="30"/>
          <w:szCs w:val="30"/>
          <w:rtl/>
          <w:lang w:eastAsia="zh-TW"/>
        </w:rPr>
        <w:t xml:space="preserve"> 26 من النظام الداخلي، ينبغي أن تأخذ الترشيحات في اعتبارها التوازن بين مجالات التخصص وبين الجنسين. وإضافة إلى ذلك، يجوز أخذ المعايير التالية في الحسبان عند ترشيح واختيار أعضاء الفريق:</w:t>
      </w:r>
    </w:p>
    <w:p w:rsidR="00330A7D" w:rsidRPr="00415AB6" w:rsidRDefault="00392023" w:rsidP="006C7B6F">
      <w:pPr>
        <w:pStyle w:val="Normalnumber"/>
        <w:numPr>
          <w:ilvl w:val="0"/>
          <w:numId w:val="0"/>
        </w:numPr>
        <w:tabs>
          <w:tab w:val="clear" w:pos="1247"/>
          <w:tab w:val="clear" w:pos="1814"/>
          <w:tab w:val="clear" w:pos="2381"/>
          <w:tab w:val="left" w:pos="1841"/>
          <w:tab w:val="left" w:pos="2408"/>
        </w:tabs>
        <w:bidi/>
        <w:spacing w:line="400" w:lineRule="exact"/>
        <w:ind w:left="1134"/>
        <w:jc w:val="both"/>
        <w:textDirection w:val="tbRlV"/>
        <w:rPr>
          <w:rFonts w:ascii="Traditional Arabic" w:eastAsia="Calibri" w:hAnsi="Traditional Arabic"/>
          <w:sz w:val="30"/>
          <w:szCs w:val="30"/>
          <w:rtl/>
          <w:lang w:eastAsia="zh-TW"/>
        </w:rPr>
      </w:pPr>
      <w:r>
        <w:rPr>
          <w:rFonts w:ascii="Traditional Arabic" w:hAnsi="Traditional Arabic"/>
          <w:sz w:val="30"/>
          <w:szCs w:val="30"/>
          <w:lang w:eastAsia="zh-TW"/>
        </w:rPr>
        <w:tab/>
      </w:r>
      <w:r w:rsidR="00330A7D" w:rsidRPr="00415AB6">
        <w:rPr>
          <w:rFonts w:ascii="Traditional Arabic" w:hAnsi="Traditional Arabic"/>
          <w:sz w:val="30"/>
          <w:szCs w:val="30"/>
          <w:rtl/>
          <w:lang w:eastAsia="zh-TW"/>
        </w:rPr>
        <w:t>(أ)</w:t>
      </w:r>
      <w:r w:rsidR="00330A7D">
        <w:rPr>
          <w:rFonts w:ascii="Traditional Arabic" w:hAnsi="Traditional Arabic" w:hint="cs"/>
          <w:sz w:val="30"/>
          <w:szCs w:val="30"/>
          <w:rtl/>
          <w:lang w:eastAsia="zh-TW"/>
        </w:rPr>
        <w:tab/>
      </w:r>
      <w:r w:rsidR="00330A7D" w:rsidRPr="00415AB6">
        <w:rPr>
          <w:rFonts w:ascii="Traditional Arabic" w:hAnsi="Traditional Arabic"/>
          <w:sz w:val="30"/>
          <w:szCs w:val="30"/>
          <w:rtl/>
          <w:lang w:eastAsia="zh-TW"/>
        </w:rPr>
        <w:t>الخبرة العلمية في مجال التنوع البيولوجي وخدمات النظم الإيكولوجية، فيما يتعلق بكل من العلوم الطبيعية والعلوم الاجتماعية والمعارف التقليدية والمحلية في صفوف أعضاء الفريق؛</w:t>
      </w:r>
    </w:p>
    <w:p w:rsidR="00330A7D" w:rsidRPr="00415AB6" w:rsidRDefault="00392023" w:rsidP="00392023">
      <w:pPr>
        <w:pStyle w:val="Normalnumber"/>
        <w:numPr>
          <w:ilvl w:val="0"/>
          <w:numId w:val="0"/>
        </w:numPr>
        <w:tabs>
          <w:tab w:val="clear" w:pos="1247"/>
          <w:tab w:val="clear" w:pos="1814"/>
          <w:tab w:val="clear" w:pos="2381"/>
          <w:tab w:val="left" w:pos="1841"/>
          <w:tab w:val="left" w:pos="2408"/>
        </w:tabs>
        <w:bidi/>
        <w:spacing w:line="400" w:lineRule="exact"/>
        <w:ind w:left="1134"/>
        <w:jc w:val="both"/>
        <w:textDirection w:val="tbRlV"/>
        <w:rPr>
          <w:rFonts w:ascii="Traditional Arabic" w:eastAsia="Calibri" w:hAnsi="Traditional Arabic"/>
          <w:sz w:val="30"/>
          <w:szCs w:val="30"/>
          <w:rtl/>
          <w:lang w:eastAsia="zh-TW"/>
        </w:rPr>
      </w:pPr>
      <w:r>
        <w:rPr>
          <w:rFonts w:ascii="Traditional Arabic" w:hAnsi="Traditional Arabic"/>
          <w:sz w:val="30"/>
          <w:szCs w:val="30"/>
        </w:rPr>
        <w:tab/>
      </w:r>
      <w:r w:rsidR="00330A7D" w:rsidRPr="00415AB6">
        <w:rPr>
          <w:rFonts w:ascii="Traditional Arabic" w:hAnsi="Traditional Arabic"/>
          <w:sz w:val="30"/>
          <w:szCs w:val="30"/>
          <w:rtl/>
        </w:rPr>
        <w:t>(ب)</w:t>
      </w:r>
      <w:r w:rsidR="00330A7D" w:rsidRPr="00415AB6">
        <w:rPr>
          <w:rFonts w:ascii="Traditional Arabic" w:hAnsi="Traditional Arabic"/>
          <w:sz w:val="30"/>
          <w:szCs w:val="30"/>
          <w:rtl/>
        </w:rPr>
        <w:tab/>
      </w:r>
      <w:r w:rsidR="00330A7D" w:rsidRPr="00415AB6">
        <w:rPr>
          <w:rFonts w:ascii="Traditional Arabic" w:hAnsi="Traditional Arabic"/>
          <w:sz w:val="30"/>
          <w:szCs w:val="30"/>
          <w:rtl/>
          <w:lang w:eastAsia="zh-TW"/>
        </w:rPr>
        <w:t>الخبرة والمعرفة العلمية أو التقنية أو السياساتية بالعناصر الرئيسية لبرنامج عمل المنبر؛</w:t>
      </w:r>
    </w:p>
    <w:p w:rsidR="00330A7D" w:rsidRPr="00415AB6" w:rsidRDefault="00392023" w:rsidP="00392023">
      <w:pPr>
        <w:pStyle w:val="Normalnumber"/>
        <w:numPr>
          <w:ilvl w:val="0"/>
          <w:numId w:val="0"/>
        </w:numPr>
        <w:tabs>
          <w:tab w:val="clear" w:pos="1247"/>
          <w:tab w:val="clear" w:pos="1814"/>
          <w:tab w:val="clear" w:pos="2381"/>
          <w:tab w:val="left" w:pos="1841"/>
          <w:tab w:val="left" w:pos="2408"/>
        </w:tabs>
        <w:bidi/>
        <w:spacing w:line="400" w:lineRule="exact"/>
        <w:ind w:left="1134"/>
        <w:jc w:val="both"/>
        <w:textDirection w:val="tbRlV"/>
        <w:rPr>
          <w:rFonts w:ascii="Traditional Arabic" w:eastAsia="Calibri" w:hAnsi="Traditional Arabic"/>
          <w:sz w:val="30"/>
          <w:szCs w:val="30"/>
          <w:rtl/>
          <w:lang w:eastAsia="zh-TW"/>
        </w:rPr>
      </w:pPr>
      <w:r>
        <w:rPr>
          <w:rFonts w:ascii="Traditional Arabic" w:hAnsi="Traditional Arabic"/>
          <w:sz w:val="30"/>
          <w:szCs w:val="30"/>
          <w:lang w:eastAsia="zh-TW"/>
        </w:rPr>
        <w:tab/>
      </w:r>
      <w:r w:rsidR="00330A7D" w:rsidRPr="00415AB6">
        <w:rPr>
          <w:rFonts w:ascii="Traditional Arabic" w:hAnsi="Traditional Arabic"/>
          <w:sz w:val="30"/>
          <w:szCs w:val="30"/>
          <w:rtl/>
          <w:lang w:eastAsia="zh-TW"/>
        </w:rPr>
        <w:t>(ج)</w:t>
      </w:r>
      <w:r>
        <w:rPr>
          <w:rFonts w:ascii="Traditional Arabic" w:hAnsi="Traditional Arabic"/>
          <w:sz w:val="30"/>
          <w:szCs w:val="30"/>
          <w:lang w:eastAsia="zh-TW"/>
        </w:rPr>
        <w:tab/>
      </w:r>
      <w:r w:rsidR="00330A7D" w:rsidRPr="00415AB6">
        <w:rPr>
          <w:rFonts w:ascii="Traditional Arabic" w:hAnsi="Traditional Arabic"/>
          <w:sz w:val="30"/>
          <w:szCs w:val="30"/>
          <w:rtl/>
          <w:lang w:eastAsia="zh-TW"/>
        </w:rPr>
        <w:t>الخبرة في توصيل ونشر وإدماج المعارف العلمية في عمليات وضع السياسات؛</w:t>
      </w:r>
    </w:p>
    <w:p w:rsidR="00330A7D" w:rsidRPr="00415AB6" w:rsidRDefault="00392023" w:rsidP="00392023">
      <w:pPr>
        <w:pStyle w:val="Normalnumber"/>
        <w:numPr>
          <w:ilvl w:val="0"/>
          <w:numId w:val="0"/>
        </w:numPr>
        <w:tabs>
          <w:tab w:val="clear" w:pos="1247"/>
          <w:tab w:val="clear" w:pos="1814"/>
          <w:tab w:val="clear" w:pos="2381"/>
          <w:tab w:val="left" w:pos="1841"/>
          <w:tab w:val="left" w:pos="2408"/>
        </w:tabs>
        <w:bidi/>
        <w:spacing w:line="400" w:lineRule="exact"/>
        <w:ind w:left="1134"/>
        <w:jc w:val="both"/>
        <w:textDirection w:val="tbRlV"/>
        <w:rPr>
          <w:rFonts w:ascii="Traditional Arabic" w:eastAsia="Calibri" w:hAnsi="Traditional Arabic"/>
          <w:sz w:val="30"/>
          <w:szCs w:val="30"/>
          <w:rtl/>
          <w:lang w:eastAsia="zh-TW"/>
        </w:rPr>
      </w:pPr>
      <w:r>
        <w:rPr>
          <w:rFonts w:ascii="Traditional Arabic" w:hAnsi="Traditional Arabic"/>
          <w:sz w:val="30"/>
          <w:szCs w:val="30"/>
          <w:lang w:eastAsia="zh-TW"/>
        </w:rPr>
        <w:tab/>
      </w:r>
      <w:r w:rsidR="00330A7D" w:rsidRPr="00415AB6">
        <w:rPr>
          <w:rFonts w:ascii="Traditional Arabic" w:hAnsi="Traditional Arabic"/>
          <w:sz w:val="30"/>
          <w:szCs w:val="30"/>
          <w:rtl/>
          <w:lang w:eastAsia="zh-TW"/>
        </w:rPr>
        <w:t>(د)</w:t>
      </w:r>
      <w:r>
        <w:rPr>
          <w:rFonts w:ascii="Traditional Arabic" w:hAnsi="Traditional Arabic"/>
          <w:sz w:val="30"/>
          <w:szCs w:val="30"/>
          <w:lang w:eastAsia="zh-TW"/>
        </w:rPr>
        <w:tab/>
      </w:r>
      <w:r w:rsidR="00330A7D" w:rsidRPr="00415AB6">
        <w:rPr>
          <w:rFonts w:ascii="Traditional Arabic" w:hAnsi="Traditional Arabic"/>
          <w:sz w:val="30"/>
          <w:szCs w:val="30"/>
          <w:rtl/>
          <w:lang w:eastAsia="zh-TW"/>
        </w:rPr>
        <w:t>القدرة على العمل في إطار العمليات العلمية والسياساتية الدولية.</w:t>
      </w:r>
    </w:p>
    <w:p w:rsidR="00330A7D" w:rsidRPr="00392023" w:rsidRDefault="00330A7D" w:rsidP="00392023">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eastAsia="Calibri" w:hAnsi="Traditional Arabic"/>
          <w:w w:val="103"/>
          <w:sz w:val="30"/>
          <w:szCs w:val="30"/>
          <w:lang w:eastAsia="zh-TW"/>
        </w:rPr>
      </w:pPr>
      <w:r w:rsidRPr="00415AB6">
        <w:rPr>
          <w:rFonts w:ascii="Traditional Arabic" w:hAnsi="Traditional Arabic"/>
          <w:sz w:val="30"/>
          <w:szCs w:val="30"/>
          <w:rtl/>
          <w:lang w:eastAsia="zh-TW"/>
        </w:rPr>
        <w:t>وقد أُبلغت المناطق أيضا بضرورة تكريس أعضاء فريق الخبراء المتعدد التخصصات 20 في المائة من وقتهم لعمل الفريق، أي ما يعادل حوالي 10 أسابيع في السنة، وقيامهم بعدد كبير من الأسفار على الصعيد الدولي.</w:t>
      </w:r>
    </w:p>
    <w:p w:rsidR="008A6A43" w:rsidRPr="00317B52" w:rsidRDefault="00516B35" w:rsidP="00392023">
      <w:pPr>
        <w:ind w:left="1132"/>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5A0DCF">
      <w:footnotePr>
        <w:numFmt w:val="chicago"/>
      </w:footnotePr>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7E" w:rsidRDefault="0075117E">
      <w:r>
        <w:separator/>
      </w:r>
    </w:p>
  </w:endnote>
  <w:endnote w:type="continuationSeparator" w:id="0">
    <w:p w:rsidR="0075117E" w:rsidRDefault="0075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Pr="00B86C1A" w:rsidRDefault="003D7C08"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B5497">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Pr="00B86C1A" w:rsidRDefault="003D7C08"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Pr="00F45D78" w:rsidRDefault="003D7C08" w:rsidP="00E6563F">
    <w:pPr>
      <w:rPr>
        <w:sz w:val="20"/>
        <w:szCs w:val="20"/>
      </w:rPr>
    </w:pPr>
    <w:r w:rsidRPr="00F45D78">
      <w:rPr>
        <w:rFonts w:cs="Times New Roman"/>
        <w:sz w:val="20"/>
        <w:szCs w:val="20"/>
        <w:lang w:val="en-GB"/>
      </w:rPr>
      <w:t>K1</w:t>
    </w:r>
    <w:r>
      <w:rPr>
        <w:rFonts w:cs="Times New Roman"/>
        <w:sz w:val="20"/>
        <w:szCs w:val="20"/>
        <w:lang w:val="en-GB"/>
      </w:rPr>
      <w:t>612199</w:t>
    </w:r>
    <w:r w:rsidRPr="00F45D78">
      <w:rPr>
        <w:rFonts w:cs="Times New Roman" w:hint="cs"/>
        <w:sz w:val="20"/>
        <w:szCs w:val="20"/>
        <w:rtl/>
        <w:lang w:val="en-GB"/>
      </w:rPr>
      <w:tab/>
    </w:r>
    <w:r w:rsidR="00E6563F">
      <w:rPr>
        <w:rFonts w:cs="Times New Roman"/>
        <w:sz w:val="20"/>
        <w:szCs w:val="20"/>
        <w:lang w:val="en-GB"/>
      </w:rPr>
      <w:t>20</w:t>
    </w:r>
    <w:r w:rsidR="00DD0E30">
      <w:rPr>
        <w:rFonts w:cs="Times New Roman"/>
        <w:sz w:val="20"/>
        <w:szCs w:val="20"/>
        <w:lang w:val="en-GB"/>
      </w:rPr>
      <w:t>01</w:t>
    </w:r>
    <w:r w:rsidR="00DD0E30" w:rsidRPr="00F45D78">
      <w:rPr>
        <w:rFonts w:cs="Times New Roman"/>
        <w:sz w:val="20"/>
        <w:szCs w:val="20"/>
        <w:lang w:val="en-GB"/>
      </w:rPr>
      <w:t>1</w:t>
    </w:r>
    <w:r w:rsidR="00DD0E30">
      <w:rPr>
        <w:rFonts w:cs="Times New Roman"/>
        <w:sz w:val="20"/>
        <w:szCs w:val="20"/>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7E" w:rsidRDefault="0075117E" w:rsidP="00684243">
      <w:pPr>
        <w:ind w:left="720"/>
      </w:pPr>
      <w:r>
        <w:separator/>
      </w:r>
    </w:p>
  </w:footnote>
  <w:footnote w:type="continuationSeparator" w:id="0">
    <w:p w:rsidR="0075117E" w:rsidRDefault="0075117E">
      <w:r>
        <w:continuationSeparator/>
      </w:r>
    </w:p>
  </w:footnote>
  <w:footnote w:id="1">
    <w:p w:rsidR="003D7C08" w:rsidRPr="002A7552" w:rsidRDefault="003D7C08" w:rsidP="002A7552">
      <w:pPr>
        <w:pStyle w:val="FootnoteText"/>
        <w:ind w:left="1132"/>
        <w:jc w:val="left"/>
        <w:rPr>
          <w:rFonts w:asciiTheme="majorBidi" w:hAnsiTheme="majorBidi" w:cstheme="majorBidi"/>
          <w:rtl/>
        </w:rPr>
      </w:pPr>
      <w:r w:rsidRPr="006C7B6F">
        <w:rPr>
          <w:rStyle w:val="FootnoteReference"/>
          <w:rFonts w:asciiTheme="majorBidi" w:hAnsiTheme="majorBidi" w:cstheme="majorBidi"/>
          <w:vertAlign w:val="baseline"/>
        </w:rPr>
        <w:footnoteRef/>
      </w:r>
      <w:r w:rsidRPr="002A7552">
        <w:rPr>
          <w:rFonts w:asciiTheme="majorBidi" w:hAnsiTheme="majorBidi" w:cstheme="majorBidi"/>
          <w:rtl/>
        </w:rPr>
        <w:t xml:space="preserve"> </w:t>
      </w:r>
      <w:r>
        <w:rPr>
          <w:rFonts w:asciiTheme="majorBidi" w:hAnsiTheme="majorBidi" w:cstheme="majorBidi" w:hint="cs"/>
          <w:rtl/>
        </w:rPr>
        <w:t xml:space="preserve"> </w:t>
      </w:r>
      <w:r>
        <w:rPr>
          <w:rFonts w:asciiTheme="majorBidi" w:hAnsiTheme="majorBidi" w:cstheme="majorBidi"/>
        </w:rPr>
        <w:t>IPBES/5/1/Rev.1</w:t>
      </w:r>
      <w:r>
        <w:rPr>
          <w:rFonts w:asciiTheme="majorBidi" w:hAnsiTheme="majorBidi" w:cstheme="majorBid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Pr="0073400D" w:rsidRDefault="003D7C08" w:rsidP="00392023">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Pr="0073400D" w:rsidRDefault="003D7C08" w:rsidP="00392023">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08" w:rsidRDefault="003D7C08"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1FCF"/>
    <w:rsid w:val="0021634D"/>
    <w:rsid w:val="00224248"/>
    <w:rsid w:val="0023160B"/>
    <w:rsid w:val="002323CD"/>
    <w:rsid w:val="00251749"/>
    <w:rsid w:val="00260C3B"/>
    <w:rsid w:val="00261451"/>
    <w:rsid w:val="00267DA8"/>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30A7D"/>
    <w:rsid w:val="003501E1"/>
    <w:rsid w:val="003553DB"/>
    <w:rsid w:val="0038322E"/>
    <w:rsid w:val="003843ED"/>
    <w:rsid w:val="00386BD3"/>
    <w:rsid w:val="00386CAA"/>
    <w:rsid w:val="00390CD8"/>
    <w:rsid w:val="00392023"/>
    <w:rsid w:val="003923ED"/>
    <w:rsid w:val="00392BF1"/>
    <w:rsid w:val="00397363"/>
    <w:rsid w:val="003B507C"/>
    <w:rsid w:val="003B68FE"/>
    <w:rsid w:val="003C6240"/>
    <w:rsid w:val="003D355A"/>
    <w:rsid w:val="003D7C08"/>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05DBC"/>
    <w:rsid w:val="00516B35"/>
    <w:rsid w:val="00522932"/>
    <w:rsid w:val="005234DB"/>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D5D6E"/>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5C3F"/>
    <w:rsid w:val="006A7E4F"/>
    <w:rsid w:val="006B54B1"/>
    <w:rsid w:val="006C560D"/>
    <w:rsid w:val="006C7B6F"/>
    <w:rsid w:val="006D3972"/>
    <w:rsid w:val="006E4BE0"/>
    <w:rsid w:val="006F036C"/>
    <w:rsid w:val="00701816"/>
    <w:rsid w:val="00706852"/>
    <w:rsid w:val="00712158"/>
    <w:rsid w:val="00717747"/>
    <w:rsid w:val="007226C6"/>
    <w:rsid w:val="0073400D"/>
    <w:rsid w:val="007453FE"/>
    <w:rsid w:val="0075117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500FB"/>
    <w:rsid w:val="00852F12"/>
    <w:rsid w:val="00873A40"/>
    <w:rsid w:val="00887CE8"/>
    <w:rsid w:val="0089216B"/>
    <w:rsid w:val="00892A8F"/>
    <w:rsid w:val="0089620E"/>
    <w:rsid w:val="008A5EBB"/>
    <w:rsid w:val="008A6A43"/>
    <w:rsid w:val="008B1BBE"/>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528D"/>
    <w:rsid w:val="00A0029B"/>
    <w:rsid w:val="00A108BD"/>
    <w:rsid w:val="00A16767"/>
    <w:rsid w:val="00A22BAB"/>
    <w:rsid w:val="00A26E11"/>
    <w:rsid w:val="00A34C1A"/>
    <w:rsid w:val="00A50563"/>
    <w:rsid w:val="00A579D1"/>
    <w:rsid w:val="00A72550"/>
    <w:rsid w:val="00A76B59"/>
    <w:rsid w:val="00A80B37"/>
    <w:rsid w:val="00A85E58"/>
    <w:rsid w:val="00A87A85"/>
    <w:rsid w:val="00A969A0"/>
    <w:rsid w:val="00AA683A"/>
    <w:rsid w:val="00AB1E5D"/>
    <w:rsid w:val="00AB4A4E"/>
    <w:rsid w:val="00AB5497"/>
    <w:rsid w:val="00AB7674"/>
    <w:rsid w:val="00AD6BA5"/>
    <w:rsid w:val="00AE4729"/>
    <w:rsid w:val="00AF0DF6"/>
    <w:rsid w:val="00B00CA0"/>
    <w:rsid w:val="00B161CD"/>
    <w:rsid w:val="00B179A4"/>
    <w:rsid w:val="00B316C1"/>
    <w:rsid w:val="00B602AD"/>
    <w:rsid w:val="00B75F7D"/>
    <w:rsid w:val="00B77EDA"/>
    <w:rsid w:val="00B83776"/>
    <w:rsid w:val="00B85578"/>
    <w:rsid w:val="00B86C1A"/>
    <w:rsid w:val="00B87B65"/>
    <w:rsid w:val="00B97A52"/>
    <w:rsid w:val="00BA25F3"/>
    <w:rsid w:val="00BA66F1"/>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D0E30"/>
    <w:rsid w:val="00DE40A0"/>
    <w:rsid w:val="00DE4F98"/>
    <w:rsid w:val="00DE565E"/>
    <w:rsid w:val="00DE796A"/>
    <w:rsid w:val="00DF05BB"/>
    <w:rsid w:val="00E015AC"/>
    <w:rsid w:val="00E14F28"/>
    <w:rsid w:val="00E24E25"/>
    <w:rsid w:val="00E31210"/>
    <w:rsid w:val="00E369DB"/>
    <w:rsid w:val="00E36EB2"/>
    <w:rsid w:val="00E43707"/>
    <w:rsid w:val="00E63CFD"/>
    <w:rsid w:val="00E6563F"/>
    <w:rsid w:val="00E760C7"/>
    <w:rsid w:val="00E857F4"/>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5777E"/>
    <w:rsid w:val="00F61AB5"/>
    <w:rsid w:val="00F64BB3"/>
    <w:rsid w:val="00F7639B"/>
    <w:rsid w:val="00F87E04"/>
    <w:rsid w:val="00F932A0"/>
    <w:rsid w:val="00FA2101"/>
    <w:rsid w:val="00FB4F87"/>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42D7B-99E0-49F1-A656-DDDB9A7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A0DF-FCDD-40A2-BB6D-B9448118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2017-01-18T10:01:00Z</cp:lastPrinted>
  <dcterms:created xsi:type="dcterms:W3CDTF">2017-01-23T12:16:00Z</dcterms:created>
  <dcterms:modified xsi:type="dcterms:W3CDTF">2017-01-23T12:16:00Z</dcterms:modified>
</cp:coreProperties>
</file>