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668"/>
        <w:gridCol w:w="5387"/>
        <w:gridCol w:w="2833"/>
      </w:tblGrid>
      <w:tr w:rsidR="000A7562" w:rsidRPr="00F019E4" w:rsidTr="00132CA9">
        <w:trPr>
          <w:cantSplit/>
          <w:trHeight w:val="850"/>
        </w:trPr>
        <w:tc>
          <w:tcPr>
            <w:tcW w:w="1668" w:type="dxa"/>
          </w:tcPr>
          <w:p w:rsidR="000A7562" w:rsidRPr="00F019E4" w:rsidRDefault="00132CA9" w:rsidP="009B4415">
            <w:pPr>
              <w:rPr>
                <w:rFonts w:ascii="Arial" w:hAnsi="Arial" w:cs="Arial"/>
                <w:b/>
                <w:noProof/>
                <w:sz w:val="27"/>
                <w:szCs w:val="27"/>
                <w:lang w:val="es-ES"/>
              </w:rPr>
            </w:pPr>
            <w:bookmarkStart w:id="0" w:name="_GoBack"/>
            <w:bookmarkEnd w:id="0"/>
            <w:r>
              <w:rPr>
                <w:rFonts w:ascii="Arial" w:hAnsi="Arial" w:cs="Arial"/>
                <w:b/>
                <w:noProof/>
                <w:sz w:val="27"/>
                <w:szCs w:val="27"/>
                <w:lang w:val="es-ES"/>
              </w:rPr>
              <w:t>NACIONES UNIDAS</w:t>
            </w:r>
          </w:p>
        </w:tc>
        <w:tc>
          <w:tcPr>
            <w:tcW w:w="5387" w:type="dxa"/>
          </w:tcPr>
          <w:p w:rsidR="000A7562" w:rsidRPr="00F019E4" w:rsidRDefault="000A7562" w:rsidP="009B4415">
            <w:pPr>
              <w:rPr>
                <w:rFonts w:ascii="Univers" w:hAnsi="Univers"/>
                <w:b/>
                <w:sz w:val="27"/>
                <w:szCs w:val="27"/>
                <w:lang w:val="es-ES"/>
              </w:rPr>
            </w:pPr>
          </w:p>
        </w:tc>
        <w:tc>
          <w:tcPr>
            <w:tcW w:w="2833" w:type="dxa"/>
          </w:tcPr>
          <w:p w:rsidR="000A7562" w:rsidRPr="00F019E4" w:rsidRDefault="000A7562" w:rsidP="009B4415">
            <w:pPr>
              <w:jc w:val="right"/>
              <w:rPr>
                <w:rFonts w:ascii="Univers" w:hAnsi="Univers"/>
                <w:b/>
                <w:sz w:val="72"/>
                <w:szCs w:val="72"/>
                <w:lang w:val="es-ES"/>
              </w:rPr>
            </w:pPr>
            <w:r w:rsidRPr="00F019E4">
              <w:rPr>
                <w:rFonts w:ascii="Univers" w:hAnsi="Univers"/>
                <w:b/>
                <w:sz w:val="72"/>
                <w:szCs w:val="72"/>
                <w:lang w:val="es-ES"/>
              </w:rPr>
              <w:t>EP</w:t>
            </w:r>
          </w:p>
        </w:tc>
      </w:tr>
      <w:tr w:rsidR="000A7562" w:rsidRPr="00F019E4" w:rsidTr="00132CA9">
        <w:trPr>
          <w:cantSplit/>
          <w:trHeight w:val="281"/>
        </w:trPr>
        <w:tc>
          <w:tcPr>
            <w:tcW w:w="1668" w:type="dxa"/>
            <w:tcBorders>
              <w:bottom w:val="single" w:sz="4" w:space="0" w:color="auto"/>
            </w:tcBorders>
          </w:tcPr>
          <w:p w:rsidR="000A7562" w:rsidRPr="00F019E4" w:rsidRDefault="000A7562" w:rsidP="009B4415">
            <w:pPr>
              <w:rPr>
                <w:noProof/>
                <w:sz w:val="18"/>
                <w:szCs w:val="18"/>
                <w:lang w:val="es-ES"/>
              </w:rPr>
            </w:pPr>
          </w:p>
        </w:tc>
        <w:tc>
          <w:tcPr>
            <w:tcW w:w="5387" w:type="dxa"/>
            <w:tcBorders>
              <w:bottom w:val="single" w:sz="4" w:space="0" w:color="auto"/>
            </w:tcBorders>
          </w:tcPr>
          <w:p w:rsidR="000A7562" w:rsidRPr="00F019E4" w:rsidRDefault="000A7562" w:rsidP="009B4415">
            <w:pPr>
              <w:rPr>
                <w:rFonts w:ascii="Univers" w:hAnsi="Univers"/>
                <w:b/>
                <w:sz w:val="18"/>
                <w:szCs w:val="18"/>
                <w:lang w:val="es-ES"/>
              </w:rPr>
            </w:pPr>
          </w:p>
        </w:tc>
        <w:tc>
          <w:tcPr>
            <w:tcW w:w="2833" w:type="dxa"/>
            <w:tcBorders>
              <w:bottom w:val="single" w:sz="4" w:space="0" w:color="auto"/>
            </w:tcBorders>
          </w:tcPr>
          <w:p w:rsidR="000A7562" w:rsidRPr="00F019E4" w:rsidRDefault="000A7562" w:rsidP="007E7872">
            <w:pPr>
              <w:rPr>
                <w:noProof/>
                <w:sz w:val="18"/>
                <w:szCs w:val="18"/>
                <w:lang w:val="es-ES" w:eastAsia="ja-JP"/>
              </w:rPr>
            </w:pPr>
            <w:r w:rsidRPr="00F019E4">
              <w:rPr>
                <w:b/>
                <w:sz w:val="24"/>
                <w:szCs w:val="24"/>
                <w:lang w:val="es-ES"/>
              </w:rPr>
              <w:t>IPBES</w:t>
            </w:r>
            <w:r w:rsidRPr="00F019E4">
              <w:rPr>
                <w:lang w:val="es-ES" w:eastAsia="ja-JP"/>
              </w:rPr>
              <w:t>/2/8</w:t>
            </w:r>
            <w:r w:rsidR="007E7872" w:rsidRPr="007E7872">
              <w:rPr>
                <w:rStyle w:val="FootnoteReference"/>
                <w:lang w:val="es-ES" w:eastAsia="ja-JP"/>
              </w:rPr>
              <w:footnoteReference w:customMarkFollows="1" w:id="1"/>
              <w:sym w:font="Symbol" w:char="F02A"/>
            </w:r>
          </w:p>
        </w:tc>
      </w:tr>
      <w:tr w:rsidR="000A7562" w:rsidRPr="00F019E4" w:rsidTr="00132CA9">
        <w:trPr>
          <w:cantSplit/>
          <w:trHeight w:val="2549"/>
        </w:trPr>
        <w:tc>
          <w:tcPr>
            <w:tcW w:w="1668" w:type="dxa"/>
            <w:tcBorders>
              <w:top w:val="single" w:sz="4" w:space="0" w:color="auto"/>
              <w:bottom w:val="single" w:sz="24" w:space="0" w:color="auto"/>
            </w:tcBorders>
          </w:tcPr>
          <w:p w:rsidR="000A7562" w:rsidRPr="00F019E4" w:rsidRDefault="00CD4680" w:rsidP="009B4415">
            <w:pPr>
              <w:rPr>
                <w:noProof/>
                <w:lang w:val="es-ES"/>
              </w:rPr>
            </w:pPr>
            <w:r w:rsidRPr="00F019E4">
              <w:rPr>
                <w:noProof/>
                <w:lang w:val="en-US"/>
              </w:rPr>
              <w:drawing>
                <wp:inline distT="0" distB="0" distL="0" distR="0">
                  <wp:extent cx="83058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784860"/>
                          </a:xfrm>
                          <a:prstGeom prst="rect">
                            <a:avLst/>
                          </a:prstGeom>
                          <a:noFill/>
                          <a:ln>
                            <a:noFill/>
                          </a:ln>
                        </pic:spPr>
                      </pic:pic>
                    </a:graphicData>
                  </a:graphic>
                </wp:inline>
              </w:drawing>
            </w:r>
            <w:r w:rsidRPr="00F019E4">
              <w:rPr>
                <w:noProof/>
                <w:lang w:val="en-US"/>
              </w:rPr>
              <w:drawing>
                <wp:inline distT="0" distB="0" distL="0" distR="0">
                  <wp:extent cx="723900" cy="762000"/>
                  <wp:effectExtent l="0" t="0" r="0"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0A7562" w:rsidRPr="00F019E4" w:rsidRDefault="00132CA9" w:rsidP="00D15042">
            <w:pPr>
              <w:spacing w:before="1200"/>
              <w:rPr>
                <w:rFonts w:ascii="Arial" w:hAnsi="Arial" w:cs="Arial"/>
                <w:b/>
                <w:sz w:val="28"/>
                <w:lang w:val="es-ES"/>
              </w:rPr>
            </w:pPr>
            <w:r>
              <w:rPr>
                <w:rFonts w:ascii="Arial" w:hAnsi="Arial" w:cs="Arial"/>
                <w:b/>
                <w:sz w:val="32"/>
                <w:szCs w:val="32"/>
                <w:lang w:val="es-ES"/>
              </w:rPr>
              <w:t xml:space="preserve">Programa de las </w:t>
            </w:r>
            <w:r>
              <w:rPr>
                <w:rFonts w:ascii="Arial" w:hAnsi="Arial" w:cs="Arial"/>
                <w:b/>
                <w:sz w:val="32"/>
                <w:szCs w:val="32"/>
                <w:lang w:val="es-ES"/>
              </w:rPr>
              <w:br/>
              <w:t xml:space="preserve">Naciones Unidas </w:t>
            </w:r>
            <w:r>
              <w:rPr>
                <w:rFonts w:ascii="Arial" w:hAnsi="Arial" w:cs="Arial"/>
                <w:b/>
                <w:sz w:val="32"/>
                <w:szCs w:val="32"/>
                <w:lang w:val="es-ES"/>
              </w:rPr>
              <w:br/>
              <w:t>para el Medio Ambiente</w:t>
            </w:r>
          </w:p>
        </w:tc>
        <w:tc>
          <w:tcPr>
            <w:tcW w:w="2833" w:type="dxa"/>
            <w:tcBorders>
              <w:top w:val="single" w:sz="4" w:space="0" w:color="auto"/>
              <w:bottom w:val="single" w:sz="24" w:space="0" w:color="auto"/>
            </w:tcBorders>
          </w:tcPr>
          <w:p w:rsidR="000A7562" w:rsidRPr="00F019E4" w:rsidRDefault="000A7562" w:rsidP="009B4415">
            <w:pPr>
              <w:spacing w:before="120"/>
              <w:rPr>
                <w:lang w:val="es-ES"/>
              </w:rPr>
            </w:pPr>
            <w:r w:rsidRPr="00F019E4">
              <w:rPr>
                <w:lang w:val="es-ES"/>
              </w:rPr>
              <w:t>Distr.</w:t>
            </w:r>
            <w:r w:rsidR="00132CA9">
              <w:rPr>
                <w:lang w:val="es-ES"/>
              </w:rPr>
              <w:t xml:space="preserve"> g</w:t>
            </w:r>
            <w:r w:rsidRPr="00F019E4">
              <w:rPr>
                <w:lang w:val="es-ES"/>
              </w:rPr>
              <w:t>eneral</w:t>
            </w:r>
            <w:r w:rsidR="00DB10E7" w:rsidRPr="00F019E4">
              <w:rPr>
                <w:lang w:val="es-ES"/>
              </w:rPr>
              <w:br/>
            </w:r>
            <w:r w:rsidR="00E8702C">
              <w:rPr>
                <w:lang w:val="es-ES"/>
              </w:rPr>
              <w:t>10</w:t>
            </w:r>
            <w:r w:rsidRPr="00F019E4">
              <w:rPr>
                <w:lang w:val="es-ES"/>
              </w:rPr>
              <w:t xml:space="preserve"> </w:t>
            </w:r>
            <w:r w:rsidR="00132CA9">
              <w:rPr>
                <w:lang w:val="es-ES"/>
              </w:rPr>
              <w:t>de septiembre de</w:t>
            </w:r>
            <w:r w:rsidRPr="00F019E4">
              <w:rPr>
                <w:lang w:val="es-ES"/>
              </w:rPr>
              <w:t xml:space="preserve"> 2013</w:t>
            </w:r>
          </w:p>
          <w:p w:rsidR="000A7562" w:rsidRPr="00F019E4" w:rsidRDefault="00132CA9" w:rsidP="00132CA9">
            <w:pPr>
              <w:spacing w:before="120"/>
              <w:rPr>
                <w:lang w:val="es-ES"/>
              </w:rPr>
            </w:pPr>
            <w:r>
              <w:rPr>
                <w:lang w:val="es-ES"/>
              </w:rPr>
              <w:t>Español</w:t>
            </w:r>
            <w:r>
              <w:rPr>
                <w:lang w:val="es-ES"/>
              </w:rPr>
              <w:br/>
            </w:r>
            <w:r w:rsidR="000A7562" w:rsidRPr="00F019E4">
              <w:rPr>
                <w:lang w:val="es-ES"/>
              </w:rPr>
              <w:t xml:space="preserve">Original: </w:t>
            </w:r>
            <w:r>
              <w:rPr>
                <w:lang w:val="es-ES"/>
              </w:rPr>
              <w:t>inglés</w:t>
            </w:r>
          </w:p>
        </w:tc>
      </w:tr>
    </w:tbl>
    <w:p w:rsidR="00F5181A" w:rsidRPr="00F019E4" w:rsidRDefault="00F5181A" w:rsidP="009B4415">
      <w:pPr>
        <w:pStyle w:val="AATitle"/>
        <w:rPr>
          <w:lang w:val="es-ES"/>
        </w:rPr>
      </w:pPr>
      <w:r w:rsidRPr="00F019E4">
        <w:rPr>
          <w:lang w:val="es-ES"/>
        </w:rPr>
        <w:t>Plenario de la Plataforma Intergubernamental Científico</w:t>
      </w:r>
      <w:r w:rsidR="005847AD">
        <w:rPr>
          <w:lang w:val="es-ES"/>
        </w:rPr>
        <w:noBreakHyphen/>
      </w:r>
      <w:r w:rsidRPr="00F019E4">
        <w:rPr>
          <w:lang w:val="es-ES"/>
        </w:rPr>
        <w:t>normativa sobre Diversidad Biológica y Servicios de los Ecosistemas</w:t>
      </w:r>
    </w:p>
    <w:p w:rsidR="00F5181A" w:rsidRPr="00F019E4" w:rsidRDefault="00F5181A" w:rsidP="009B4415">
      <w:pPr>
        <w:pStyle w:val="AATitle"/>
        <w:rPr>
          <w:lang w:val="es-ES"/>
        </w:rPr>
      </w:pPr>
      <w:r w:rsidRPr="00F019E4">
        <w:rPr>
          <w:lang w:val="es-ES"/>
        </w:rPr>
        <w:t>Segundo período de sesiones</w:t>
      </w:r>
    </w:p>
    <w:p w:rsidR="00F5181A" w:rsidRPr="00F019E4" w:rsidRDefault="00F5181A" w:rsidP="009B4415">
      <w:pPr>
        <w:pStyle w:val="AATitle"/>
        <w:keepNext w:val="0"/>
        <w:keepLines w:val="0"/>
        <w:rPr>
          <w:b w:val="0"/>
          <w:lang w:val="es-ES"/>
        </w:rPr>
      </w:pPr>
      <w:r w:rsidRPr="00F019E4">
        <w:rPr>
          <w:b w:val="0"/>
          <w:lang w:val="es-ES"/>
        </w:rPr>
        <w:t>Antalya (Turquía), 9 a 14 de diciembre de 2013</w:t>
      </w:r>
    </w:p>
    <w:p w:rsidR="000A7562" w:rsidRPr="00F019E4" w:rsidRDefault="00F5181A" w:rsidP="009B4415">
      <w:pPr>
        <w:pStyle w:val="AATitle"/>
        <w:keepNext w:val="0"/>
        <w:keepLines w:val="0"/>
        <w:rPr>
          <w:b w:val="0"/>
          <w:lang w:val="es-ES" w:eastAsia="ja-JP"/>
        </w:rPr>
      </w:pPr>
      <w:r w:rsidRPr="00F019E4">
        <w:rPr>
          <w:b w:val="0"/>
          <w:lang w:val="es-ES"/>
        </w:rPr>
        <w:t>Tema</w:t>
      </w:r>
      <w:r w:rsidR="006765E4">
        <w:rPr>
          <w:b w:val="0"/>
          <w:lang w:val="es-ES"/>
        </w:rPr>
        <w:t>s</w:t>
      </w:r>
      <w:r w:rsidRPr="00F019E4">
        <w:rPr>
          <w:b w:val="0"/>
          <w:lang w:val="es-ES"/>
        </w:rPr>
        <w:t xml:space="preserve"> </w:t>
      </w:r>
      <w:r w:rsidR="00267A16" w:rsidRPr="00F019E4">
        <w:rPr>
          <w:b w:val="0"/>
          <w:lang w:val="es-ES" w:eastAsia="ja-JP"/>
        </w:rPr>
        <w:t>6 a)</w:t>
      </w:r>
      <w:r w:rsidR="000A7562" w:rsidRPr="00F019E4">
        <w:rPr>
          <w:b w:val="0"/>
          <w:lang w:val="es-ES" w:eastAsia="ja-JP"/>
        </w:rPr>
        <w:t xml:space="preserve"> </w:t>
      </w:r>
      <w:r w:rsidR="006765E4">
        <w:rPr>
          <w:b w:val="0"/>
          <w:lang w:val="es-ES" w:eastAsia="ja-JP"/>
        </w:rPr>
        <w:t xml:space="preserve">y b) </w:t>
      </w:r>
      <w:r w:rsidRPr="00F019E4">
        <w:rPr>
          <w:b w:val="0"/>
          <w:lang w:val="es-ES" w:eastAsia="ja-JP"/>
        </w:rPr>
        <w:t>del programa</w:t>
      </w:r>
      <w:r w:rsidR="000A7562" w:rsidRPr="00F019E4">
        <w:rPr>
          <w:b w:val="0"/>
          <w:lang w:val="es-ES" w:eastAsia="ja-JP"/>
        </w:rPr>
        <w:t xml:space="preserve"> provisional</w:t>
      </w:r>
      <w:r w:rsidR="007E7872" w:rsidRPr="007E7872">
        <w:rPr>
          <w:rStyle w:val="FootnoteReference"/>
          <w:b w:val="0"/>
          <w:lang w:val="es-ES" w:eastAsia="ja-JP"/>
        </w:rPr>
        <w:footnoteReference w:customMarkFollows="1" w:id="2"/>
        <w:sym w:font="Symbol" w:char="F02A"/>
      </w:r>
      <w:r w:rsidR="007E7872" w:rsidRPr="007E7872">
        <w:rPr>
          <w:rStyle w:val="FootnoteReference"/>
          <w:b w:val="0"/>
          <w:lang w:val="es-ES" w:eastAsia="ja-JP"/>
        </w:rPr>
        <w:sym w:font="Symbol" w:char="F02A"/>
      </w:r>
    </w:p>
    <w:p w:rsidR="000A7562" w:rsidRPr="00F019E4" w:rsidRDefault="00F5181A" w:rsidP="00132CA9">
      <w:pPr>
        <w:pStyle w:val="AATitle"/>
        <w:keepNext w:val="0"/>
        <w:keepLines w:val="0"/>
        <w:spacing w:before="60"/>
        <w:ind w:right="3969"/>
        <w:rPr>
          <w:lang w:val="es-ES"/>
        </w:rPr>
      </w:pPr>
      <w:r w:rsidRPr="00F019E4">
        <w:rPr>
          <w:lang w:val="es-ES"/>
        </w:rPr>
        <w:t>Normas y procedimientos para el funcionamiento de la Plataforma</w:t>
      </w:r>
      <w:r w:rsidR="00267A16" w:rsidRPr="00F019E4">
        <w:rPr>
          <w:lang w:val="es-ES"/>
        </w:rPr>
        <w:t xml:space="preserve">: </w:t>
      </w:r>
      <w:r w:rsidRPr="00F019E4">
        <w:rPr>
          <w:lang w:val="es-ES"/>
        </w:rPr>
        <w:t>estructura regional del Grupo multidisciplinario de expertos</w:t>
      </w:r>
      <w:r w:rsidR="006765E4">
        <w:rPr>
          <w:lang w:val="es-ES"/>
        </w:rPr>
        <w:t>; e</w:t>
      </w:r>
      <w:r w:rsidR="006765E4" w:rsidRPr="006765E4">
        <w:rPr>
          <w:lang w:val="es-ES"/>
        </w:rPr>
        <w:t>xamen de los procedimientos administrativos para la selección de los miembros del Grupo multidisciplinario de expertos</w:t>
      </w:r>
    </w:p>
    <w:p w:rsidR="000A7562" w:rsidRPr="00F019E4" w:rsidRDefault="000A7562" w:rsidP="009B4415">
      <w:pPr>
        <w:pStyle w:val="BBTitle"/>
        <w:rPr>
          <w:rFonts w:eastAsia="MS Mincho"/>
          <w:lang w:val="es-ES"/>
        </w:rPr>
      </w:pPr>
      <w:r w:rsidRPr="00F019E4">
        <w:rPr>
          <w:rFonts w:eastAsia="MS Mincho"/>
          <w:lang w:val="es-ES"/>
        </w:rPr>
        <w:t>Po</w:t>
      </w:r>
      <w:r w:rsidR="00F5181A" w:rsidRPr="00F019E4">
        <w:rPr>
          <w:rFonts w:eastAsia="MS Mincho"/>
          <w:lang w:val="es-ES"/>
        </w:rPr>
        <w:t xml:space="preserve">sible estructura y composición regionales </w:t>
      </w:r>
      <w:r w:rsidR="00063327">
        <w:rPr>
          <w:rFonts w:eastAsia="MS Mincho"/>
          <w:lang w:val="es-ES"/>
        </w:rPr>
        <w:t xml:space="preserve">futuras del </w:t>
      </w:r>
      <w:r w:rsidR="00F5181A" w:rsidRPr="00F019E4">
        <w:rPr>
          <w:rFonts w:eastAsia="MS Mincho"/>
          <w:lang w:val="es-ES"/>
        </w:rPr>
        <w:t>Grupo multidisciplinario de expertos</w:t>
      </w:r>
    </w:p>
    <w:p w:rsidR="000A7562" w:rsidRDefault="000A7562" w:rsidP="009B4415">
      <w:pPr>
        <w:pStyle w:val="CH2"/>
        <w:rPr>
          <w:lang w:val="es-ES"/>
        </w:rPr>
      </w:pPr>
      <w:r w:rsidRPr="00F019E4">
        <w:rPr>
          <w:lang w:val="es-ES"/>
        </w:rPr>
        <w:tab/>
      </w:r>
      <w:r w:rsidRPr="00F019E4">
        <w:rPr>
          <w:lang w:val="es-ES"/>
        </w:rPr>
        <w:tab/>
      </w:r>
      <w:r w:rsidR="00F5181A" w:rsidRPr="00F019E4">
        <w:rPr>
          <w:lang w:val="es-ES"/>
        </w:rPr>
        <w:t>Nota de la s</w:t>
      </w:r>
      <w:r w:rsidRPr="00F019E4">
        <w:rPr>
          <w:lang w:val="es-ES"/>
        </w:rPr>
        <w:t>ecretar</w:t>
      </w:r>
      <w:r w:rsidR="00F5181A" w:rsidRPr="00F019E4">
        <w:rPr>
          <w:lang w:val="es-ES"/>
        </w:rPr>
        <w:t>ía</w:t>
      </w:r>
    </w:p>
    <w:p w:rsidR="00E8702C" w:rsidRPr="00E8702C" w:rsidRDefault="00E8702C" w:rsidP="00EB1857">
      <w:pPr>
        <w:pStyle w:val="Normalnumber"/>
        <w:numPr>
          <w:ilvl w:val="0"/>
          <w:numId w:val="11"/>
        </w:numPr>
        <w:ind w:left="1344"/>
        <w:rPr>
          <w:b/>
          <w:sz w:val="28"/>
          <w:szCs w:val="28"/>
          <w:lang w:val="es-ES"/>
        </w:rPr>
      </w:pPr>
      <w:r w:rsidRPr="00E8702C">
        <w:rPr>
          <w:b/>
          <w:sz w:val="28"/>
          <w:szCs w:val="28"/>
          <w:lang w:val="es-ES"/>
        </w:rPr>
        <w:t>Introducción</w:t>
      </w:r>
    </w:p>
    <w:p w:rsidR="000A7562" w:rsidRPr="00F019E4" w:rsidRDefault="00F5181A" w:rsidP="009B4415">
      <w:pPr>
        <w:pStyle w:val="Normalnumber"/>
        <w:numPr>
          <w:ilvl w:val="0"/>
          <w:numId w:val="8"/>
        </w:numPr>
        <w:tabs>
          <w:tab w:val="clear" w:pos="567"/>
          <w:tab w:val="num" w:pos="1134"/>
          <w:tab w:val="left" w:pos="1247"/>
          <w:tab w:val="left" w:pos="1814"/>
          <w:tab w:val="left" w:pos="2381"/>
          <w:tab w:val="left" w:pos="2948"/>
          <w:tab w:val="left" w:pos="3515"/>
          <w:tab w:val="left" w:pos="4082"/>
        </w:tabs>
        <w:rPr>
          <w:lang w:val="es-ES"/>
        </w:rPr>
      </w:pPr>
      <w:r w:rsidRPr="00F019E4">
        <w:rPr>
          <w:lang w:val="es-ES"/>
        </w:rPr>
        <w:t>En la decisión</w:t>
      </w:r>
      <w:r w:rsidR="000A7562" w:rsidRPr="00F019E4">
        <w:rPr>
          <w:lang w:val="es-ES"/>
        </w:rPr>
        <w:t xml:space="preserve"> IPBES/1/2</w:t>
      </w:r>
      <w:r w:rsidR="0031744A" w:rsidRPr="00F019E4">
        <w:rPr>
          <w:lang w:val="es-ES"/>
        </w:rPr>
        <w:t>,</w:t>
      </w:r>
      <w:r w:rsidR="000A7562" w:rsidRPr="00F019E4">
        <w:rPr>
          <w:lang w:val="es-ES"/>
        </w:rPr>
        <w:t xml:space="preserve"> </w:t>
      </w:r>
      <w:r w:rsidR="002F165E" w:rsidRPr="00F019E4">
        <w:rPr>
          <w:lang w:val="es-ES"/>
        </w:rPr>
        <w:t>el Plenario de la Plataforma Intergubernamental Científico</w:t>
      </w:r>
      <w:r w:rsidR="005847AD">
        <w:rPr>
          <w:lang w:val="es-ES"/>
        </w:rPr>
        <w:noBreakHyphen/>
      </w:r>
      <w:r w:rsidR="002F165E" w:rsidRPr="00F019E4">
        <w:rPr>
          <w:lang w:val="es-ES"/>
        </w:rPr>
        <w:t>normativa sobre Diversidad Biológica y Servicios de los Ecosistemas solicitó al Grupo multidisciplinario de expertos que, en colaboración con la Mesa, formulase una recomendación para su examen por el Plenario en su segundo período de sesiones, en relación con la estructura y la composición regionales del futuro Grupo multidisciplinario de expertos</w:t>
      </w:r>
      <w:r w:rsidR="000A7562" w:rsidRPr="00F019E4">
        <w:rPr>
          <w:lang w:val="es-ES"/>
        </w:rPr>
        <w:t xml:space="preserve">, </w:t>
      </w:r>
      <w:r w:rsidR="002F165E" w:rsidRPr="00F019E4">
        <w:rPr>
          <w:lang w:val="es-ES"/>
        </w:rPr>
        <w:t xml:space="preserve">sobre la base de las opiniones y observaciones recibidas de gobiernos y otros interesados </w:t>
      </w:r>
      <w:r w:rsidR="00132CA9">
        <w:rPr>
          <w:lang w:val="es-ES"/>
        </w:rPr>
        <w:t xml:space="preserve">en relación con </w:t>
      </w:r>
      <w:r w:rsidR="002F165E" w:rsidRPr="00F019E4">
        <w:rPr>
          <w:lang w:val="es-ES"/>
        </w:rPr>
        <w:t>el documento de información sobre la estructura y composición regionales del Grupo</w:t>
      </w:r>
      <w:r w:rsidR="000368B6" w:rsidRPr="00F019E4">
        <w:rPr>
          <w:lang w:val="es-ES"/>
        </w:rPr>
        <w:t xml:space="preserve"> (</w:t>
      </w:r>
      <w:r w:rsidR="000A7562" w:rsidRPr="00F019E4">
        <w:rPr>
          <w:lang w:val="es-ES"/>
        </w:rPr>
        <w:t>IPBES/1/INF/7</w:t>
      </w:r>
      <w:r w:rsidR="000368B6" w:rsidRPr="00F019E4">
        <w:rPr>
          <w:lang w:val="es-ES"/>
        </w:rPr>
        <w:t>)</w:t>
      </w:r>
      <w:r w:rsidR="000A7562" w:rsidRPr="00F019E4">
        <w:rPr>
          <w:lang w:val="es-ES"/>
        </w:rPr>
        <w:t xml:space="preserve">. </w:t>
      </w:r>
      <w:r w:rsidR="002F165E" w:rsidRPr="00F019E4">
        <w:rPr>
          <w:lang w:val="es-ES"/>
        </w:rPr>
        <w:t>Además, se solicitó también a la Mesa que examinase el procedimiento administrativo utilizado para seleccionar al Grupo multidisciplinario de expertos provisional, prestando particular atención a la celebración de consultas eficaces a fin de asegurar un equilibrio general en relación con el progra</w:t>
      </w:r>
      <w:r w:rsidR="00132CA9">
        <w:rPr>
          <w:lang w:val="es-ES"/>
        </w:rPr>
        <w:t>ma de trabajo, y que preparase</w:t>
      </w:r>
      <w:r w:rsidR="002F165E" w:rsidRPr="00F019E4">
        <w:rPr>
          <w:lang w:val="es-ES"/>
        </w:rPr>
        <w:t xml:space="preserve"> recomendaciones sobre el procedimiento para el proceso de selección de los futuros miembros del Grupo</w:t>
      </w:r>
      <w:r w:rsidR="000A7562" w:rsidRPr="00F019E4">
        <w:rPr>
          <w:lang w:val="es-ES"/>
        </w:rPr>
        <w:t xml:space="preserve">. </w:t>
      </w:r>
      <w:r w:rsidR="002F165E" w:rsidRPr="00F019E4">
        <w:rPr>
          <w:lang w:val="es-ES"/>
        </w:rPr>
        <w:t>La presente nota responde a esas solicitudes formuladas por el Plenario en su primer período de sesiones</w:t>
      </w:r>
      <w:r w:rsidR="000A7562" w:rsidRPr="00F019E4">
        <w:rPr>
          <w:lang w:val="es-ES"/>
        </w:rPr>
        <w:t>.</w:t>
      </w:r>
    </w:p>
    <w:p w:rsidR="000A7562" w:rsidRPr="00F019E4" w:rsidRDefault="00E863CA" w:rsidP="009B4415">
      <w:pPr>
        <w:pStyle w:val="CH1"/>
        <w:rPr>
          <w:lang w:val="es-ES"/>
        </w:rPr>
      </w:pPr>
      <w:r w:rsidRPr="00F019E4">
        <w:rPr>
          <w:lang w:val="es-ES"/>
        </w:rPr>
        <w:lastRenderedPageBreak/>
        <w:tab/>
      </w:r>
      <w:r w:rsidR="00E8702C">
        <w:rPr>
          <w:lang w:val="es-ES"/>
        </w:rPr>
        <w:t>I</w:t>
      </w:r>
      <w:r w:rsidRPr="00F019E4">
        <w:rPr>
          <w:lang w:val="es-ES"/>
        </w:rPr>
        <w:t>I</w:t>
      </w:r>
      <w:r w:rsidR="00D15042">
        <w:rPr>
          <w:lang w:val="es-ES"/>
        </w:rPr>
        <w:t>.</w:t>
      </w:r>
      <w:r w:rsidRPr="00F019E4">
        <w:rPr>
          <w:lang w:val="es-ES"/>
        </w:rPr>
        <w:tab/>
      </w:r>
      <w:r w:rsidR="002F165E" w:rsidRPr="00F019E4">
        <w:rPr>
          <w:lang w:val="es-ES"/>
        </w:rPr>
        <w:t>Antecedentes y examen del procedimiento administrativo utilizado para seleccionar a</w:t>
      </w:r>
      <w:r w:rsidR="00600A77">
        <w:rPr>
          <w:lang w:val="es-ES"/>
        </w:rPr>
        <w:t xml:space="preserve"> los integrantes de</w:t>
      </w:r>
      <w:r w:rsidR="002F165E" w:rsidRPr="00F019E4">
        <w:rPr>
          <w:lang w:val="es-ES"/>
        </w:rPr>
        <w:t>l Grupo multidisciplinario de expertos provisional</w:t>
      </w:r>
    </w:p>
    <w:p w:rsidR="000A7562" w:rsidRPr="00F019E4" w:rsidRDefault="00026A85" w:rsidP="009B4415">
      <w:pPr>
        <w:pStyle w:val="Normalnumber"/>
        <w:numPr>
          <w:ilvl w:val="0"/>
          <w:numId w:val="8"/>
        </w:numPr>
        <w:tabs>
          <w:tab w:val="clear" w:pos="567"/>
          <w:tab w:val="num" w:pos="1134"/>
          <w:tab w:val="left" w:pos="1247"/>
          <w:tab w:val="left" w:pos="1814"/>
          <w:tab w:val="left" w:pos="2381"/>
          <w:tab w:val="left" w:pos="2948"/>
          <w:tab w:val="left" w:pos="3515"/>
          <w:tab w:val="left" w:pos="4082"/>
        </w:tabs>
        <w:rPr>
          <w:lang w:val="es-ES"/>
        </w:rPr>
      </w:pPr>
      <w:r w:rsidRPr="00F019E4">
        <w:rPr>
          <w:lang w:val="es-ES"/>
        </w:rPr>
        <w:t xml:space="preserve">De conformidad con el artículo </w:t>
      </w:r>
      <w:r w:rsidR="000A7562" w:rsidRPr="00F019E4">
        <w:rPr>
          <w:lang w:val="es-ES"/>
        </w:rPr>
        <w:t xml:space="preserve">25 </w:t>
      </w:r>
      <w:r w:rsidRPr="00F019E4">
        <w:rPr>
          <w:lang w:val="es-ES"/>
        </w:rPr>
        <w:t xml:space="preserve">del reglamento, la composición provisional del Grupo multidisciplinario de expertos por un período </w:t>
      </w:r>
      <w:r w:rsidR="00600A77">
        <w:rPr>
          <w:lang w:val="es-ES"/>
        </w:rPr>
        <w:t>de</w:t>
      </w:r>
      <w:r w:rsidRPr="00F019E4">
        <w:rPr>
          <w:lang w:val="es-ES"/>
        </w:rPr>
        <w:t xml:space="preserve"> dos años se basará en una representación de cinco miembros por cada una de las </w:t>
      </w:r>
      <w:r w:rsidR="00E8702C">
        <w:rPr>
          <w:lang w:val="es-ES"/>
        </w:rPr>
        <w:t xml:space="preserve">cinco </w:t>
      </w:r>
      <w:r w:rsidRPr="00F019E4">
        <w:rPr>
          <w:lang w:val="es-ES"/>
        </w:rPr>
        <w:t>regiones de las Naciones Unidas</w:t>
      </w:r>
      <w:r w:rsidR="000A7562" w:rsidRPr="00F019E4">
        <w:rPr>
          <w:lang w:val="es-ES"/>
        </w:rPr>
        <w:t xml:space="preserve">. </w:t>
      </w:r>
      <w:r w:rsidRPr="00F019E4">
        <w:rPr>
          <w:lang w:val="es-ES"/>
        </w:rPr>
        <w:t xml:space="preserve">Con objeto de seleccionar </w:t>
      </w:r>
      <w:r w:rsidR="00600A77">
        <w:rPr>
          <w:lang w:val="es-ES"/>
        </w:rPr>
        <w:t xml:space="preserve">a los integrantes que componen actual y </w:t>
      </w:r>
      <w:r w:rsidRPr="00F019E4">
        <w:rPr>
          <w:lang w:val="es-ES"/>
        </w:rPr>
        <w:t>provisional</w:t>
      </w:r>
      <w:r w:rsidR="00600A77">
        <w:rPr>
          <w:lang w:val="es-ES"/>
        </w:rPr>
        <w:t>mente</w:t>
      </w:r>
      <w:r w:rsidRPr="00F019E4">
        <w:rPr>
          <w:lang w:val="es-ES"/>
        </w:rPr>
        <w:t xml:space="preserve"> el Grupo, en el primer período de sesiones del Plenario, celebrado en Bonn (Alemania)</w:t>
      </w:r>
      <w:r w:rsidR="00132CA9">
        <w:rPr>
          <w:lang w:val="es-ES"/>
        </w:rPr>
        <w:t>,</w:t>
      </w:r>
      <w:r w:rsidRPr="00F019E4">
        <w:rPr>
          <w:lang w:val="es-ES"/>
        </w:rPr>
        <w:t xml:space="preserve"> se presentó una lista de posibles candidatos por cada una de las regiones</w:t>
      </w:r>
      <w:r w:rsidR="000A7562" w:rsidRPr="00F019E4">
        <w:rPr>
          <w:lang w:val="es-ES"/>
        </w:rPr>
        <w:t xml:space="preserve">, </w:t>
      </w:r>
      <w:r w:rsidRPr="00F019E4">
        <w:rPr>
          <w:lang w:val="es-ES"/>
        </w:rPr>
        <w:t>sobre la base de las candidaturas recibidas de miembros de la P</w:t>
      </w:r>
      <w:r w:rsidR="000A7562" w:rsidRPr="00F019E4">
        <w:rPr>
          <w:lang w:val="es-ES"/>
        </w:rPr>
        <w:t>lat</w:t>
      </w:r>
      <w:r w:rsidRPr="00F019E4">
        <w:rPr>
          <w:lang w:val="es-ES"/>
        </w:rPr>
        <w:t>a</w:t>
      </w:r>
      <w:r w:rsidR="000A7562" w:rsidRPr="00F019E4">
        <w:rPr>
          <w:lang w:val="es-ES"/>
        </w:rPr>
        <w:t>form</w:t>
      </w:r>
      <w:r w:rsidRPr="00F019E4">
        <w:rPr>
          <w:lang w:val="es-ES"/>
        </w:rPr>
        <w:t xml:space="preserve">a </w:t>
      </w:r>
      <w:r w:rsidR="00600A77">
        <w:rPr>
          <w:lang w:val="es-ES"/>
        </w:rPr>
        <w:t>para</w:t>
      </w:r>
      <w:r w:rsidR="00600A77" w:rsidRPr="00F019E4">
        <w:rPr>
          <w:lang w:val="es-ES"/>
        </w:rPr>
        <w:t xml:space="preserve"> </w:t>
      </w:r>
      <w:r w:rsidRPr="00F019E4">
        <w:rPr>
          <w:lang w:val="es-ES"/>
        </w:rPr>
        <w:t>cada región</w:t>
      </w:r>
      <w:r w:rsidR="000A7562" w:rsidRPr="00F019E4">
        <w:rPr>
          <w:lang w:val="es-ES"/>
        </w:rPr>
        <w:t xml:space="preserve">. </w:t>
      </w:r>
      <w:r w:rsidRPr="00F019E4">
        <w:rPr>
          <w:lang w:val="es-ES"/>
        </w:rPr>
        <w:t xml:space="preserve">Con antelación al período de sesiones se </w:t>
      </w:r>
      <w:r w:rsidR="00EF73E8" w:rsidRPr="00F019E4">
        <w:rPr>
          <w:lang w:val="es-ES"/>
        </w:rPr>
        <w:t>celebr</w:t>
      </w:r>
      <w:r w:rsidR="00600A77">
        <w:rPr>
          <w:lang w:val="es-ES"/>
        </w:rPr>
        <w:t xml:space="preserve">ó </w:t>
      </w:r>
      <w:r w:rsidR="00EF73E8" w:rsidRPr="00F019E4">
        <w:rPr>
          <w:lang w:val="es-ES"/>
        </w:rPr>
        <w:t>una reunión de un día de duración para brindar la oportunidad de celebrar consultas regionales sobre la lista de candidatos y debates entre las regiones acerca de la composición general del Grupo</w:t>
      </w:r>
      <w:r w:rsidR="000A7562" w:rsidRPr="00F019E4">
        <w:rPr>
          <w:lang w:val="es-ES"/>
        </w:rPr>
        <w:t xml:space="preserve">.  </w:t>
      </w:r>
    </w:p>
    <w:p w:rsidR="00E863CA" w:rsidRPr="00F019E4" w:rsidRDefault="00844C30" w:rsidP="009B4415">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s-ES"/>
        </w:rPr>
      </w:pPr>
      <w:r w:rsidRPr="00F019E4">
        <w:rPr>
          <w:lang w:val="es-ES"/>
        </w:rPr>
        <w:t>Aunque ese proceso alentó y facilitó los debates entre las regiones, el proceso regional se basó fundamentalmente en intereses y asignaciones subregionales</w:t>
      </w:r>
      <w:r w:rsidR="00240259" w:rsidRPr="00F019E4">
        <w:rPr>
          <w:lang w:val="es-ES"/>
        </w:rPr>
        <w:t xml:space="preserve"> (</w:t>
      </w:r>
      <w:r w:rsidRPr="00F019E4">
        <w:rPr>
          <w:lang w:val="es-ES"/>
        </w:rPr>
        <w:t>de cinco miembros por región</w:t>
      </w:r>
      <w:r w:rsidR="00240259" w:rsidRPr="00F019E4">
        <w:rPr>
          <w:lang w:val="es-ES"/>
        </w:rPr>
        <w:t>)</w:t>
      </w:r>
      <w:r w:rsidR="000A7562" w:rsidRPr="00F019E4">
        <w:rPr>
          <w:b/>
          <w:lang w:val="es-ES"/>
        </w:rPr>
        <w:t>.</w:t>
      </w:r>
      <w:r w:rsidR="000A7562" w:rsidRPr="00F019E4">
        <w:rPr>
          <w:lang w:val="es-ES"/>
        </w:rPr>
        <w:t xml:space="preserve"> </w:t>
      </w:r>
      <w:r w:rsidR="00F019E4" w:rsidRPr="00F019E4">
        <w:rPr>
          <w:lang w:val="es-ES"/>
        </w:rPr>
        <w:t>Además de que en las candidaturas originales recibidas de los miembros de la Plataforma se observ</w:t>
      </w:r>
      <w:r w:rsidR="00132CA9">
        <w:rPr>
          <w:lang w:val="es-ES"/>
        </w:rPr>
        <w:t>ó</w:t>
      </w:r>
      <w:r w:rsidR="00F019E4" w:rsidRPr="00F019E4">
        <w:rPr>
          <w:lang w:val="es-ES"/>
        </w:rPr>
        <w:t xml:space="preserve"> un desequilibrio importante en lo que a las disciplinas y el g</w:t>
      </w:r>
      <w:r w:rsidR="00F019E4">
        <w:rPr>
          <w:lang w:val="es-ES"/>
        </w:rPr>
        <w:t xml:space="preserve">énero se refiere, en la mayor parte de las candidaturas regionales presentadas en el primer período de sesiones no se logró el equilibrio necesario desde el punto de vista de género, </w:t>
      </w:r>
      <w:r w:rsidR="00E8702C">
        <w:rPr>
          <w:lang w:val="es-ES"/>
        </w:rPr>
        <w:t xml:space="preserve">temático, </w:t>
      </w:r>
      <w:r w:rsidR="00F019E4">
        <w:rPr>
          <w:lang w:val="es-ES"/>
        </w:rPr>
        <w:t>intelectual y disciplinario</w:t>
      </w:r>
      <w:r w:rsidR="000A7562" w:rsidRPr="00F019E4">
        <w:rPr>
          <w:lang w:val="es-ES"/>
        </w:rPr>
        <w:t xml:space="preserve">. </w:t>
      </w:r>
      <w:r w:rsidR="00F019E4" w:rsidRPr="00F019E4">
        <w:rPr>
          <w:lang w:val="es-ES"/>
        </w:rPr>
        <w:t xml:space="preserve">Si bien el Grupo provisional cuenta con considerable competencia pertinente, el proceso de selección de miembros no logró el equilibrio adecuado en su composición general como </w:t>
      </w:r>
      <w:r w:rsidR="00F019E4">
        <w:rPr>
          <w:lang w:val="es-ES"/>
        </w:rPr>
        <w:t xml:space="preserve">señalaron varios miembros de la Plataforma </w:t>
      </w:r>
      <w:r w:rsidR="00600A77">
        <w:rPr>
          <w:lang w:val="es-ES"/>
        </w:rPr>
        <w:t xml:space="preserve">en el </w:t>
      </w:r>
      <w:r w:rsidR="00F019E4">
        <w:rPr>
          <w:lang w:val="es-ES"/>
        </w:rPr>
        <w:t>primer período de sesiones del Plenario</w:t>
      </w:r>
      <w:r w:rsidR="000A7562" w:rsidRPr="00F019E4">
        <w:rPr>
          <w:lang w:val="es-ES"/>
        </w:rPr>
        <w:t>.</w:t>
      </w:r>
    </w:p>
    <w:p w:rsidR="00E863CA" w:rsidRPr="00F019E4" w:rsidRDefault="00EF73E8" w:rsidP="009B4415">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s-ES"/>
        </w:rPr>
      </w:pPr>
      <w:r w:rsidRPr="00F019E4">
        <w:rPr>
          <w:rFonts w:cs="Calibri"/>
          <w:lang w:val="es-ES"/>
        </w:rPr>
        <w:t>E</w:t>
      </w:r>
      <w:r w:rsidR="000A7562" w:rsidRPr="00F019E4">
        <w:rPr>
          <w:rFonts w:cs="Calibri"/>
          <w:lang w:val="es-ES"/>
        </w:rPr>
        <w:t>n reco</w:t>
      </w:r>
      <w:r w:rsidRPr="00F019E4">
        <w:rPr>
          <w:rFonts w:cs="Calibri"/>
          <w:lang w:val="es-ES"/>
        </w:rPr>
        <w:t xml:space="preserve">nocimiento de esta situación, el Plenario, en el párrafo </w:t>
      </w:r>
      <w:r w:rsidR="00253717" w:rsidRPr="00F019E4">
        <w:rPr>
          <w:rFonts w:cs="Calibri"/>
          <w:lang w:val="es-ES"/>
        </w:rPr>
        <w:t xml:space="preserve">23 </w:t>
      </w:r>
      <w:r w:rsidRPr="00F019E4">
        <w:rPr>
          <w:rFonts w:cs="Calibri"/>
          <w:lang w:val="es-ES"/>
        </w:rPr>
        <w:t>de la decisión</w:t>
      </w:r>
      <w:r w:rsidR="00253717" w:rsidRPr="00F019E4">
        <w:rPr>
          <w:rFonts w:cs="Calibri"/>
          <w:lang w:val="es-ES"/>
        </w:rPr>
        <w:t xml:space="preserve"> IPBES/1/2, </w:t>
      </w:r>
      <w:r w:rsidRPr="00F019E4">
        <w:rPr>
          <w:rFonts w:cs="Calibri"/>
          <w:lang w:val="es-ES"/>
        </w:rPr>
        <w:t>solicitó a la Mesa que examinase el procedimiento administrativo utilizado para seleccionar al Grupo multidisciplinario de expertos provisional, prestando particular atención a la celebración de consultas eficaces a fin de asegurar un equilibrio general en relación con el programa de trabajo, y que preparase recomendaciones sobre el procedimiento para el proceso de selección de los futuros miembros del Grupo</w:t>
      </w:r>
      <w:r w:rsidR="000A7562" w:rsidRPr="00F019E4">
        <w:rPr>
          <w:rFonts w:cs="Calibri"/>
          <w:lang w:val="es-ES"/>
        </w:rPr>
        <w:t xml:space="preserve">. </w:t>
      </w:r>
      <w:r w:rsidRPr="00F019E4">
        <w:rPr>
          <w:rFonts w:cs="Calibri"/>
          <w:lang w:val="es-ES"/>
        </w:rPr>
        <w:t>Tomando como base este examen y recomendación, se pudo finalizar la sección correspondiente del reglamento</w:t>
      </w:r>
      <w:r w:rsidR="000A7562" w:rsidRPr="00F019E4">
        <w:rPr>
          <w:rFonts w:cs="Calibri"/>
          <w:lang w:val="es-ES"/>
        </w:rPr>
        <w:t xml:space="preserve"> (</w:t>
      </w:r>
      <w:r w:rsidRPr="00F019E4">
        <w:rPr>
          <w:rFonts w:cs="Calibri"/>
          <w:lang w:val="es-ES"/>
        </w:rPr>
        <w:t xml:space="preserve">artículos </w:t>
      </w:r>
      <w:r w:rsidR="000A7562" w:rsidRPr="00F019E4">
        <w:rPr>
          <w:rFonts w:cs="Calibri"/>
          <w:lang w:val="es-ES"/>
        </w:rPr>
        <w:t>26</w:t>
      </w:r>
      <w:r w:rsidRPr="00F019E4">
        <w:rPr>
          <w:rFonts w:cs="Calibri"/>
          <w:lang w:val="es-ES"/>
        </w:rPr>
        <w:t xml:space="preserve"> a </w:t>
      </w:r>
      <w:r w:rsidR="000A7562" w:rsidRPr="00F019E4">
        <w:rPr>
          <w:rFonts w:cs="Calibri"/>
          <w:lang w:val="es-ES"/>
        </w:rPr>
        <w:t xml:space="preserve">28 </w:t>
      </w:r>
      <w:r w:rsidRPr="00F019E4">
        <w:rPr>
          <w:rFonts w:cs="Calibri"/>
          <w:lang w:val="es-ES"/>
        </w:rPr>
        <w:t>sobre la presentación de candidaturas y la selección de los miembros del Grupo)</w:t>
      </w:r>
      <w:r w:rsidR="000A7562" w:rsidRPr="00F019E4">
        <w:rPr>
          <w:rFonts w:cs="Calibri"/>
          <w:lang w:val="es-ES"/>
        </w:rPr>
        <w:t xml:space="preserve">. </w:t>
      </w:r>
    </w:p>
    <w:p w:rsidR="000A7562" w:rsidRPr="00F019E4" w:rsidRDefault="00610953" w:rsidP="009B4415">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s-ES"/>
        </w:rPr>
      </w:pPr>
      <w:r w:rsidRPr="00F019E4">
        <w:rPr>
          <w:rFonts w:cs="Calibri"/>
          <w:lang w:val="es-ES"/>
        </w:rPr>
        <w:t xml:space="preserve">Además del examen </w:t>
      </w:r>
      <w:r w:rsidR="00B37E97">
        <w:rPr>
          <w:rFonts w:cs="Calibri"/>
          <w:lang w:val="es-ES"/>
        </w:rPr>
        <w:t xml:space="preserve">que hizo </w:t>
      </w:r>
      <w:r w:rsidRPr="00F019E4">
        <w:rPr>
          <w:rFonts w:cs="Calibri"/>
          <w:lang w:val="es-ES"/>
        </w:rPr>
        <w:t xml:space="preserve">la Mesa del procedimiento para la selección del Grupo, el Plenario, en el párrafo 20 de la decisión </w:t>
      </w:r>
      <w:r w:rsidR="00253717" w:rsidRPr="00F019E4">
        <w:rPr>
          <w:rFonts w:cs="Calibri"/>
          <w:lang w:val="es-ES"/>
        </w:rPr>
        <w:t xml:space="preserve">IPBES/1/2, </w:t>
      </w:r>
      <w:r w:rsidRPr="00F019E4">
        <w:rPr>
          <w:rFonts w:cs="Calibri"/>
          <w:lang w:val="es-ES"/>
        </w:rPr>
        <w:t>solicitó al Grupo que, en colaboración con la Mesa, examinase el documento sobre la estructura y la composición regionales del Grupo</w:t>
      </w:r>
      <w:r w:rsidR="00253717" w:rsidRPr="00F019E4">
        <w:rPr>
          <w:rFonts w:cs="Calibri"/>
          <w:lang w:val="es-ES"/>
        </w:rPr>
        <w:t xml:space="preserve"> (IPBES/1/INF/7)</w:t>
      </w:r>
      <w:r w:rsidR="000A7562" w:rsidRPr="00F019E4">
        <w:rPr>
          <w:rFonts w:cs="Calibri"/>
          <w:lang w:val="es-ES"/>
        </w:rPr>
        <w:t xml:space="preserve"> </w:t>
      </w:r>
      <w:r w:rsidRPr="00F019E4">
        <w:rPr>
          <w:rFonts w:cs="Calibri"/>
          <w:lang w:val="es-ES"/>
        </w:rPr>
        <w:t>y formulase una recomendación para su examen por el Plenario en su segundo período de sesiones, en relación con la estructura y</w:t>
      </w:r>
      <w:r w:rsidR="00D15042">
        <w:rPr>
          <w:rFonts w:cs="Calibri"/>
          <w:lang w:val="es-ES"/>
        </w:rPr>
        <w:t xml:space="preserve"> la composición regionales del </w:t>
      </w:r>
      <w:r w:rsidRPr="00F019E4">
        <w:rPr>
          <w:rFonts w:cs="Calibri"/>
          <w:lang w:val="es-ES"/>
        </w:rPr>
        <w:t>futuro Grupo</w:t>
      </w:r>
      <w:r w:rsidR="000A7562" w:rsidRPr="00F019E4">
        <w:rPr>
          <w:rFonts w:cs="Calibri"/>
          <w:lang w:val="es-ES"/>
        </w:rPr>
        <w:t xml:space="preserve">. </w:t>
      </w:r>
      <w:r w:rsidRPr="00F019E4">
        <w:rPr>
          <w:rFonts w:cs="Calibri"/>
          <w:lang w:val="es-ES"/>
        </w:rPr>
        <w:t>La s</w:t>
      </w:r>
      <w:r w:rsidR="000A7562" w:rsidRPr="00F019E4">
        <w:rPr>
          <w:rFonts w:cs="Calibri"/>
          <w:lang w:val="es-ES"/>
        </w:rPr>
        <w:t>ecretar</w:t>
      </w:r>
      <w:r w:rsidRPr="00F019E4">
        <w:rPr>
          <w:rFonts w:cs="Calibri"/>
          <w:lang w:val="es-ES"/>
        </w:rPr>
        <w:t xml:space="preserve">ía </w:t>
      </w:r>
      <w:r w:rsidR="00B37E97">
        <w:rPr>
          <w:rFonts w:cs="Calibri"/>
          <w:lang w:val="es-ES"/>
        </w:rPr>
        <w:t xml:space="preserve">presentó una versión actualizada del </w:t>
      </w:r>
      <w:r w:rsidRPr="00F019E4">
        <w:rPr>
          <w:rFonts w:cs="Calibri"/>
          <w:lang w:val="es-ES"/>
        </w:rPr>
        <w:t>documento en la primera reunión concurrente del Grupo y la Mesa</w:t>
      </w:r>
      <w:r w:rsidR="00B37E97">
        <w:rPr>
          <w:rFonts w:cs="Calibri"/>
          <w:lang w:val="es-ES"/>
        </w:rPr>
        <w:t xml:space="preserve">. En esa versión se delinearon distintas modalidades que podrían aplicarse </w:t>
      </w:r>
      <w:r w:rsidRPr="00F019E4">
        <w:rPr>
          <w:rFonts w:cs="Calibri"/>
          <w:lang w:val="es-ES"/>
        </w:rPr>
        <w:t xml:space="preserve">a la composición regional del Grupo y </w:t>
      </w:r>
      <w:r w:rsidR="00B37E97">
        <w:rPr>
          <w:rFonts w:cs="Calibri"/>
          <w:lang w:val="es-ES"/>
        </w:rPr>
        <w:t xml:space="preserve">se tuvieron </w:t>
      </w:r>
      <w:r w:rsidRPr="00F019E4">
        <w:rPr>
          <w:rFonts w:cs="Calibri"/>
          <w:lang w:val="es-ES"/>
        </w:rPr>
        <w:t xml:space="preserve">en cuenta las observaciones recibidas durante el proceso </w:t>
      </w:r>
      <w:r w:rsidR="00132CA9">
        <w:rPr>
          <w:rFonts w:cs="Calibri"/>
          <w:lang w:val="es-ES"/>
        </w:rPr>
        <w:t xml:space="preserve">de examen </w:t>
      </w:r>
      <w:r w:rsidRPr="00F019E4">
        <w:rPr>
          <w:rFonts w:cs="Calibri"/>
          <w:lang w:val="es-ES"/>
        </w:rPr>
        <w:t xml:space="preserve">anterior </w:t>
      </w:r>
      <w:r w:rsidR="009035A6">
        <w:rPr>
          <w:rFonts w:cs="Calibri"/>
          <w:lang w:val="es-ES"/>
        </w:rPr>
        <w:t xml:space="preserve">que se realizó </w:t>
      </w:r>
      <w:r w:rsidRPr="00F019E4">
        <w:rPr>
          <w:rFonts w:cs="Calibri"/>
          <w:lang w:val="es-ES"/>
        </w:rPr>
        <w:t>entre el segundo período de sesiones de la reunión plenaria encargada de determinar las modalidades y arreglos institucionales para una plataforma intergubernamental científico</w:t>
      </w:r>
      <w:r w:rsidR="005847AD">
        <w:rPr>
          <w:rFonts w:cs="Calibri"/>
          <w:lang w:val="es-ES"/>
        </w:rPr>
        <w:noBreakHyphen/>
      </w:r>
      <w:r w:rsidRPr="00F019E4">
        <w:rPr>
          <w:rFonts w:cs="Calibri"/>
          <w:lang w:val="es-ES"/>
        </w:rPr>
        <w:t xml:space="preserve">normativa sobre diversidad biológica y servicios de los ecosistemas, celebrada en la Ciudad de Panamá en abril de </w:t>
      </w:r>
      <w:r w:rsidR="00240259" w:rsidRPr="00F019E4">
        <w:rPr>
          <w:rFonts w:cs="Calibri"/>
          <w:lang w:val="es-ES"/>
        </w:rPr>
        <w:t xml:space="preserve">2012, </w:t>
      </w:r>
      <w:r w:rsidRPr="00F019E4">
        <w:rPr>
          <w:rFonts w:cs="Calibri"/>
          <w:lang w:val="es-ES"/>
        </w:rPr>
        <w:t xml:space="preserve">y el primer período de sesiones del Plenario de la </w:t>
      </w:r>
      <w:r w:rsidR="006539EC" w:rsidRPr="00F019E4">
        <w:rPr>
          <w:rFonts w:cs="Calibri"/>
          <w:lang w:val="es-ES"/>
        </w:rPr>
        <w:t>Plat</w:t>
      </w:r>
      <w:r w:rsidRPr="00F019E4">
        <w:rPr>
          <w:rFonts w:cs="Calibri"/>
          <w:lang w:val="es-ES"/>
        </w:rPr>
        <w:t>a</w:t>
      </w:r>
      <w:r w:rsidR="006539EC" w:rsidRPr="00F019E4">
        <w:rPr>
          <w:rFonts w:cs="Calibri"/>
          <w:lang w:val="es-ES"/>
        </w:rPr>
        <w:t>form</w:t>
      </w:r>
      <w:r w:rsidRPr="00F019E4">
        <w:rPr>
          <w:rFonts w:cs="Calibri"/>
          <w:lang w:val="es-ES"/>
        </w:rPr>
        <w:t xml:space="preserve">a, celebrado en </w:t>
      </w:r>
      <w:r w:rsidR="00240259" w:rsidRPr="00F019E4">
        <w:rPr>
          <w:rFonts w:cs="Calibri"/>
          <w:lang w:val="es-ES"/>
        </w:rPr>
        <w:t>Bonn</w:t>
      </w:r>
      <w:r w:rsidRPr="00F019E4">
        <w:rPr>
          <w:rFonts w:cs="Calibri"/>
          <w:lang w:val="es-ES"/>
        </w:rPr>
        <w:t xml:space="preserve"> (Alemania) en enero de </w:t>
      </w:r>
      <w:r w:rsidR="00240259" w:rsidRPr="00F019E4">
        <w:rPr>
          <w:rFonts w:cs="Calibri"/>
          <w:lang w:val="es-ES"/>
        </w:rPr>
        <w:t>2013</w:t>
      </w:r>
      <w:r w:rsidR="000A7562" w:rsidRPr="00F019E4">
        <w:rPr>
          <w:rFonts w:cs="Calibri"/>
          <w:lang w:val="es-ES"/>
        </w:rPr>
        <w:t xml:space="preserve">. </w:t>
      </w:r>
      <w:r w:rsidR="009035A6">
        <w:rPr>
          <w:rFonts w:cs="Calibri"/>
          <w:lang w:val="es-ES"/>
        </w:rPr>
        <w:t>También s</w:t>
      </w:r>
      <w:r w:rsidRPr="00F019E4">
        <w:rPr>
          <w:rFonts w:cs="Calibri"/>
          <w:lang w:val="es-ES"/>
        </w:rPr>
        <w:t xml:space="preserve">e presentó un documento de antecedentes </w:t>
      </w:r>
      <w:r w:rsidR="009035A6">
        <w:rPr>
          <w:rFonts w:cs="Calibri"/>
          <w:lang w:val="es-ES"/>
        </w:rPr>
        <w:t xml:space="preserve">con una reseña de los </w:t>
      </w:r>
      <w:r w:rsidRPr="00F019E4">
        <w:rPr>
          <w:rFonts w:cs="Calibri"/>
          <w:lang w:val="es-ES"/>
        </w:rPr>
        <w:t>distintos enfoques utiliza</w:t>
      </w:r>
      <w:r w:rsidR="009035A6">
        <w:rPr>
          <w:rFonts w:cs="Calibri"/>
          <w:lang w:val="es-ES"/>
        </w:rPr>
        <w:t xml:space="preserve">dos </w:t>
      </w:r>
      <w:r w:rsidRPr="00F019E4">
        <w:rPr>
          <w:rFonts w:cs="Calibri"/>
          <w:lang w:val="es-ES"/>
        </w:rPr>
        <w:t>para las clasificaciones regionales biogeográficas</w:t>
      </w:r>
      <w:r w:rsidR="000A7562" w:rsidRPr="00F019E4">
        <w:rPr>
          <w:rFonts w:cs="Calibri"/>
          <w:lang w:val="es-ES"/>
        </w:rPr>
        <w:t>.</w:t>
      </w:r>
    </w:p>
    <w:p w:rsidR="000A7562" w:rsidRPr="00F019E4" w:rsidRDefault="00E863CA" w:rsidP="00EB1857">
      <w:pPr>
        <w:pStyle w:val="CH1"/>
        <w:tabs>
          <w:tab w:val="clear" w:pos="851"/>
          <w:tab w:val="clear" w:pos="1247"/>
          <w:tab w:val="clear" w:pos="1814"/>
          <w:tab w:val="clear" w:pos="2381"/>
          <w:tab w:val="clear" w:pos="2948"/>
          <w:tab w:val="clear" w:pos="3515"/>
          <w:tab w:val="clear" w:pos="4082"/>
        </w:tabs>
        <w:ind w:hanging="623"/>
        <w:rPr>
          <w:lang w:val="es-ES"/>
        </w:rPr>
      </w:pPr>
      <w:r w:rsidRPr="00F019E4">
        <w:rPr>
          <w:lang w:val="es-ES"/>
        </w:rPr>
        <w:t>I</w:t>
      </w:r>
      <w:r w:rsidR="00EB1857">
        <w:rPr>
          <w:lang w:val="es-ES"/>
        </w:rPr>
        <w:t>II</w:t>
      </w:r>
      <w:r w:rsidRPr="00F019E4">
        <w:rPr>
          <w:lang w:val="es-ES"/>
        </w:rPr>
        <w:t>.</w:t>
      </w:r>
      <w:r w:rsidRPr="00F019E4">
        <w:rPr>
          <w:lang w:val="es-ES"/>
        </w:rPr>
        <w:tab/>
      </w:r>
      <w:r w:rsidR="000A7562" w:rsidRPr="00F019E4">
        <w:rPr>
          <w:lang w:val="es-ES"/>
        </w:rPr>
        <w:t>Recomenda</w:t>
      </w:r>
      <w:r w:rsidR="002F165E" w:rsidRPr="00F019E4">
        <w:rPr>
          <w:lang w:val="es-ES"/>
        </w:rPr>
        <w:t>c</w:t>
      </w:r>
      <w:r w:rsidR="000A7562" w:rsidRPr="00F019E4">
        <w:rPr>
          <w:lang w:val="es-ES"/>
        </w:rPr>
        <w:t>i</w:t>
      </w:r>
      <w:r w:rsidR="002F165E" w:rsidRPr="00F019E4">
        <w:rPr>
          <w:lang w:val="es-ES"/>
        </w:rPr>
        <w:t>ó</w:t>
      </w:r>
      <w:r w:rsidR="000A7562" w:rsidRPr="00F019E4">
        <w:rPr>
          <w:lang w:val="es-ES"/>
        </w:rPr>
        <w:t xml:space="preserve">n </w:t>
      </w:r>
      <w:r w:rsidR="002F165E" w:rsidRPr="00F019E4">
        <w:rPr>
          <w:lang w:val="es-ES"/>
        </w:rPr>
        <w:t xml:space="preserve">del Grupo multidisciplinario de expertos y de la Mesa </w:t>
      </w:r>
      <w:r w:rsidR="009035A6">
        <w:rPr>
          <w:lang w:val="es-ES"/>
        </w:rPr>
        <w:t xml:space="preserve">sobre </w:t>
      </w:r>
      <w:r w:rsidR="002F165E" w:rsidRPr="00F019E4">
        <w:rPr>
          <w:lang w:val="es-ES"/>
        </w:rPr>
        <w:t xml:space="preserve">la estructura y la composición regionales del futuro Grupo </w:t>
      </w:r>
    </w:p>
    <w:p w:rsidR="000A7562" w:rsidRPr="00F019E4" w:rsidRDefault="002F5683" w:rsidP="009B4415">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s-ES"/>
        </w:rPr>
      </w:pPr>
      <w:r w:rsidRPr="00F019E4">
        <w:rPr>
          <w:rFonts w:cs="Calibri"/>
          <w:lang w:val="es-ES"/>
        </w:rPr>
        <w:t xml:space="preserve">El Grupo multidisciplinario de expertos y la Mesa, durante las deliberaciones acerca de las opciones para la estructura y </w:t>
      </w:r>
      <w:r w:rsidR="00132CA9">
        <w:rPr>
          <w:rFonts w:cs="Calibri"/>
          <w:lang w:val="es-ES"/>
        </w:rPr>
        <w:t xml:space="preserve">la </w:t>
      </w:r>
      <w:r w:rsidRPr="00F019E4">
        <w:rPr>
          <w:rFonts w:cs="Calibri"/>
          <w:lang w:val="es-ES"/>
        </w:rPr>
        <w:t xml:space="preserve">composición regionales del futuro Grupo, </w:t>
      </w:r>
      <w:r w:rsidR="00132CA9">
        <w:rPr>
          <w:rFonts w:cs="Calibri"/>
          <w:lang w:val="es-ES"/>
        </w:rPr>
        <w:t>determina</w:t>
      </w:r>
      <w:r w:rsidRPr="00F019E4">
        <w:rPr>
          <w:rFonts w:cs="Calibri"/>
          <w:lang w:val="es-ES"/>
        </w:rPr>
        <w:t xml:space="preserve">ron diversos desafíos </w:t>
      </w:r>
      <w:r w:rsidR="009035A6">
        <w:rPr>
          <w:rFonts w:cs="Calibri"/>
          <w:lang w:val="es-ES"/>
        </w:rPr>
        <w:t>como, po</w:t>
      </w:r>
      <w:r w:rsidR="00057E9A">
        <w:rPr>
          <w:rFonts w:cs="Calibri"/>
          <w:lang w:val="es-ES"/>
        </w:rPr>
        <w:t>r ejemplo, que</w:t>
      </w:r>
      <w:r w:rsidRPr="00F019E4">
        <w:rPr>
          <w:rFonts w:cs="Calibri"/>
          <w:lang w:val="es-ES"/>
        </w:rPr>
        <w:t>:</w:t>
      </w:r>
    </w:p>
    <w:p w:rsidR="000A7562" w:rsidRPr="00F019E4" w:rsidRDefault="00D21E54" w:rsidP="009B4415">
      <w:pPr>
        <w:pStyle w:val="NormalNonumber"/>
        <w:numPr>
          <w:ilvl w:val="1"/>
          <w:numId w:val="8"/>
        </w:numPr>
        <w:tabs>
          <w:tab w:val="clear" w:pos="1247"/>
          <w:tab w:val="clear" w:pos="1814"/>
          <w:tab w:val="clear" w:pos="2381"/>
          <w:tab w:val="clear" w:pos="2948"/>
          <w:tab w:val="clear" w:pos="3515"/>
          <w:tab w:val="clear" w:pos="4082"/>
          <w:tab w:val="left" w:pos="624"/>
          <w:tab w:val="left" w:pos="2410"/>
        </w:tabs>
        <w:rPr>
          <w:lang w:val="es-ES"/>
        </w:rPr>
      </w:pPr>
      <w:r w:rsidRPr="00F019E4">
        <w:rPr>
          <w:lang w:val="es-ES"/>
        </w:rPr>
        <w:t>No existe una definición universalmente aceptada o lista de distribución regional biogeográfica</w:t>
      </w:r>
      <w:r w:rsidR="00206AB4">
        <w:rPr>
          <w:lang w:val="es-ES"/>
        </w:rPr>
        <w:t xml:space="preserve">. En la actualidad se utilizan </w:t>
      </w:r>
      <w:r w:rsidRPr="00F019E4">
        <w:rPr>
          <w:lang w:val="es-ES"/>
        </w:rPr>
        <w:t>diferentes enfoques en diversos foros sobre la base de diferentes taxones y otros parámetros</w:t>
      </w:r>
      <w:r w:rsidR="000F30FD" w:rsidRPr="00F019E4">
        <w:rPr>
          <w:lang w:val="es-ES"/>
        </w:rPr>
        <w:t>;</w:t>
      </w:r>
      <w:r w:rsidR="000A7562" w:rsidRPr="00F019E4">
        <w:rPr>
          <w:lang w:val="es-ES"/>
        </w:rPr>
        <w:t xml:space="preserve"> </w:t>
      </w:r>
    </w:p>
    <w:p w:rsidR="000A7562" w:rsidRPr="00F019E4" w:rsidRDefault="00D21E54" w:rsidP="009B4415">
      <w:pPr>
        <w:pStyle w:val="NormalNonumber"/>
        <w:numPr>
          <w:ilvl w:val="1"/>
          <w:numId w:val="8"/>
        </w:numPr>
        <w:tabs>
          <w:tab w:val="clear" w:pos="1247"/>
          <w:tab w:val="clear" w:pos="1814"/>
          <w:tab w:val="clear" w:pos="2381"/>
          <w:tab w:val="clear" w:pos="2948"/>
          <w:tab w:val="clear" w:pos="3515"/>
          <w:tab w:val="clear" w:pos="4082"/>
          <w:tab w:val="left" w:pos="624"/>
          <w:tab w:val="left" w:pos="2410"/>
        </w:tabs>
        <w:rPr>
          <w:lang w:val="es-ES"/>
        </w:rPr>
      </w:pPr>
      <w:r w:rsidRPr="00F019E4">
        <w:rPr>
          <w:lang w:val="es-ES"/>
        </w:rPr>
        <w:lastRenderedPageBreak/>
        <w:t>No existe un</w:t>
      </w:r>
      <w:r w:rsidR="00332BA7">
        <w:rPr>
          <w:lang w:val="es-ES"/>
        </w:rPr>
        <w:t xml:space="preserve">a noción común o un </w:t>
      </w:r>
      <w:r w:rsidRPr="00F019E4">
        <w:rPr>
          <w:lang w:val="es-ES"/>
        </w:rPr>
        <w:t xml:space="preserve">acuerdo sobre los factores, como la biogeografía, la distribución de los servicios de los ecosistemas, la economía, la demografía, </w:t>
      </w:r>
      <w:r w:rsidR="00332BA7">
        <w:rPr>
          <w:lang w:val="es-ES"/>
        </w:rPr>
        <w:t xml:space="preserve">el área </w:t>
      </w:r>
      <w:r w:rsidRPr="00F019E4">
        <w:rPr>
          <w:lang w:val="es-ES"/>
        </w:rPr>
        <w:t xml:space="preserve">y el número de países y las necesidades de capacitación de las diferentes regiones, que deben </w:t>
      </w:r>
      <w:r w:rsidR="00132CA9">
        <w:rPr>
          <w:lang w:val="es-ES"/>
        </w:rPr>
        <w:t xml:space="preserve">ser </w:t>
      </w:r>
      <w:r w:rsidRPr="00F019E4">
        <w:rPr>
          <w:lang w:val="es-ES"/>
        </w:rPr>
        <w:t>tomados en consideración al adoptar decisiones sobre la estructura y la composición regionales del Grupo</w:t>
      </w:r>
      <w:r w:rsidR="006D7D2F" w:rsidRPr="00F019E4">
        <w:rPr>
          <w:lang w:val="es-ES"/>
        </w:rPr>
        <w:t>;</w:t>
      </w:r>
    </w:p>
    <w:p w:rsidR="000A7562" w:rsidRPr="00F019E4" w:rsidRDefault="00986C7E" w:rsidP="009B4415">
      <w:pPr>
        <w:pStyle w:val="NormalNonumber"/>
        <w:numPr>
          <w:ilvl w:val="1"/>
          <w:numId w:val="8"/>
        </w:numPr>
        <w:tabs>
          <w:tab w:val="clear" w:pos="567"/>
          <w:tab w:val="clear" w:pos="1247"/>
          <w:tab w:val="clear" w:pos="1814"/>
          <w:tab w:val="clear" w:pos="2381"/>
          <w:tab w:val="clear" w:pos="2948"/>
          <w:tab w:val="clear" w:pos="3515"/>
          <w:tab w:val="clear" w:pos="4082"/>
          <w:tab w:val="left" w:pos="624"/>
          <w:tab w:val="left" w:pos="2410"/>
        </w:tabs>
        <w:ind w:firstLine="624"/>
        <w:rPr>
          <w:lang w:val="es-ES"/>
        </w:rPr>
      </w:pPr>
      <w:r w:rsidRPr="00F019E4">
        <w:rPr>
          <w:lang w:val="es-ES"/>
        </w:rPr>
        <w:t>Los desafíos generales que plantea la tarea de garantizar un equilibrio disciplinario, de género y temático en la composición del Grupo</w:t>
      </w:r>
      <w:r w:rsidR="0027208A" w:rsidRPr="00F019E4">
        <w:rPr>
          <w:lang w:val="es-ES"/>
        </w:rPr>
        <w:t xml:space="preserve"> </w:t>
      </w:r>
      <w:r w:rsidR="000A7562" w:rsidRPr="00F019E4">
        <w:rPr>
          <w:lang w:val="es-ES"/>
        </w:rPr>
        <w:t>(</w:t>
      </w:r>
      <w:r w:rsidRPr="00F019E4">
        <w:rPr>
          <w:lang w:val="es-ES"/>
        </w:rPr>
        <w:t>además de un equilibrio regional</w:t>
      </w:r>
      <w:r w:rsidR="000A7562" w:rsidRPr="00F019E4">
        <w:rPr>
          <w:lang w:val="es-ES"/>
        </w:rPr>
        <w:t xml:space="preserve">) </w:t>
      </w:r>
      <w:r w:rsidRPr="00F019E4">
        <w:rPr>
          <w:lang w:val="es-ES"/>
        </w:rPr>
        <w:t>no se solucionan apartándose de</w:t>
      </w:r>
      <w:r w:rsidR="00332BA7">
        <w:rPr>
          <w:lang w:val="es-ES"/>
        </w:rPr>
        <w:t>l concepto establecido de</w:t>
      </w:r>
      <w:r w:rsidRPr="00F019E4">
        <w:rPr>
          <w:lang w:val="es-ES"/>
        </w:rPr>
        <w:t xml:space="preserve"> grupos regionales de las Naciones Unidas, y una nueva estructura regional podría hacer más precario el equilibrio disciplinario y de género en general</w:t>
      </w:r>
      <w:r w:rsidR="000A7562" w:rsidRPr="00F019E4">
        <w:rPr>
          <w:lang w:val="es-ES"/>
        </w:rPr>
        <w:t xml:space="preserve">. </w:t>
      </w:r>
      <w:r w:rsidRPr="00F019E4">
        <w:rPr>
          <w:lang w:val="es-ES"/>
        </w:rPr>
        <w:t xml:space="preserve">Estas son las cuestiones en las que se centran las recomendaciones de la Mesa </w:t>
      </w:r>
      <w:r w:rsidR="00137472" w:rsidRPr="00F019E4">
        <w:rPr>
          <w:lang w:val="es-ES"/>
        </w:rPr>
        <w:t xml:space="preserve">sobre el procedimiento administrativo para el proceso de selección </w:t>
      </w:r>
      <w:r w:rsidR="00332BA7">
        <w:rPr>
          <w:lang w:val="es-ES"/>
        </w:rPr>
        <w:t xml:space="preserve">con la idea de lograr un equilibrio en la composición </w:t>
      </w:r>
      <w:r w:rsidR="00137472" w:rsidRPr="00F019E4">
        <w:rPr>
          <w:lang w:val="es-ES"/>
        </w:rPr>
        <w:t>futur</w:t>
      </w:r>
      <w:r w:rsidR="00332BA7">
        <w:rPr>
          <w:lang w:val="es-ES"/>
        </w:rPr>
        <w:t xml:space="preserve">a </w:t>
      </w:r>
      <w:r w:rsidR="00137472" w:rsidRPr="00F019E4">
        <w:rPr>
          <w:lang w:val="es-ES"/>
        </w:rPr>
        <w:t>del Grupo multidisciplinario de expertos</w:t>
      </w:r>
      <w:r w:rsidR="000A7562" w:rsidRPr="00F019E4">
        <w:rPr>
          <w:lang w:val="es-ES"/>
        </w:rPr>
        <w:t xml:space="preserve"> (</w:t>
      </w:r>
      <w:r w:rsidR="00137472" w:rsidRPr="00F019E4">
        <w:rPr>
          <w:lang w:val="es-ES"/>
        </w:rPr>
        <w:t xml:space="preserve">véase </w:t>
      </w:r>
      <w:r w:rsidR="00332BA7">
        <w:rPr>
          <w:lang w:val="es-ES"/>
        </w:rPr>
        <w:t xml:space="preserve">la </w:t>
      </w:r>
      <w:r w:rsidR="00137472" w:rsidRPr="00F019E4">
        <w:rPr>
          <w:lang w:val="es-ES"/>
        </w:rPr>
        <w:t>sección</w:t>
      </w:r>
      <w:r w:rsidR="000A7562" w:rsidRPr="00F019E4">
        <w:rPr>
          <w:lang w:val="es-ES"/>
        </w:rPr>
        <w:t xml:space="preserve"> </w:t>
      </w:r>
      <w:r w:rsidR="00E8702C">
        <w:rPr>
          <w:lang w:val="es-ES"/>
        </w:rPr>
        <w:t>IV</w:t>
      </w:r>
      <w:r w:rsidR="000A7562" w:rsidRPr="00F019E4">
        <w:rPr>
          <w:lang w:val="es-ES"/>
        </w:rPr>
        <w:t>)</w:t>
      </w:r>
      <w:r w:rsidR="0027208A" w:rsidRPr="00F019E4">
        <w:rPr>
          <w:lang w:val="es-ES"/>
        </w:rPr>
        <w:t>;</w:t>
      </w:r>
    </w:p>
    <w:p w:rsidR="000A7562" w:rsidRPr="00F019E4" w:rsidRDefault="00137472" w:rsidP="009B4415">
      <w:pPr>
        <w:pStyle w:val="NormalNonumber"/>
        <w:numPr>
          <w:ilvl w:val="1"/>
          <w:numId w:val="8"/>
        </w:numPr>
        <w:tabs>
          <w:tab w:val="clear" w:pos="567"/>
          <w:tab w:val="clear" w:pos="1247"/>
          <w:tab w:val="clear" w:pos="1814"/>
          <w:tab w:val="clear" w:pos="2381"/>
          <w:tab w:val="clear" w:pos="2948"/>
          <w:tab w:val="clear" w:pos="3515"/>
          <w:tab w:val="clear" w:pos="4082"/>
          <w:tab w:val="left" w:pos="624"/>
          <w:tab w:val="left" w:pos="2410"/>
        </w:tabs>
        <w:ind w:firstLine="624"/>
        <w:rPr>
          <w:rFonts w:cs="Calibri"/>
          <w:lang w:val="es-ES"/>
        </w:rPr>
      </w:pPr>
      <w:r w:rsidRPr="00F019E4">
        <w:rPr>
          <w:lang w:val="es-ES"/>
        </w:rPr>
        <w:t xml:space="preserve">Es probable que </w:t>
      </w:r>
      <w:r w:rsidR="0055384A">
        <w:rPr>
          <w:lang w:val="es-ES"/>
        </w:rPr>
        <w:t xml:space="preserve">para lograr los resultados previstos </w:t>
      </w:r>
      <w:r w:rsidRPr="00F019E4">
        <w:rPr>
          <w:lang w:val="es-ES"/>
        </w:rPr>
        <w:t xml:space="preserve">de la Plataforma haya que </w:t>
      </w:r>
      <w:r w:rsidR="0055384A">
        <w:rPr>
          <w:lang w:val="es-ES"/>
        </w:rPr>
        <w:t xml:space="preserve">ejecutar actividades sin tener en cuenta </w:t>
      </w:r>
      <w:r w:rsidRPr="00F019E4">
        <w:rPr>
          <w:lang w:val="es-ES"/>
        </w:rPr>
        <w:t>las fronteras regionales</w:t>
      </w:r>
      <w:r w:rsidR="0055384A">
        <w:rPr>
          <w:lang w:val="es-ES"/>
        </w:rPr>
        <w:t>, independientemente de cuáles sean esas fronteras.</w:t>
      </w:r>
      <w:r w:rsidRPr="00F019E4">
        <w:rPr>
          <w:lang w:val="es-ES"/>
        </w:rPr>
        <w:t xml:space="preserve"> </w:t>
      </w:r>
      <w:r w:rsidR="0027208A" w:rsidRPr="00F019E4">
        <w:rPr>
          <w:rFonts w:cs="Calibri"/>
          <w:lang w:val="es-ES"/>
        </w:rPr>
        <w:t xml:space="preserve"> </w:t>
      </w:r>
      <w:r w:rsidR="0055384A">
        <w:rPr>
          <w:rFonts w:cs="Calibri"/>
          <w:lang w:val="es-ES"/>
        </w:rPr>
        <w:t xml:space="preserve">Los productos </w:t>
      </w:r>
      <w:r w:rsidR="00B93A1A" w:rsidRPr="00F019E4">
        <w:rPr>
          <w:rFonts w:cs="Calibri"/>
          <w:lang w:val="es-ES"/>
        </w:rPr>
        <w:t>relaci</w:t>
      </w:r>
      <w:r w:rsidR="0055384A">
        <w:rPr>
          <w:rFonts w:cs="Calibri"/>
          <w:lang w:val="es-ES"/>
        </w:rPr>
        <w:t xml:space="preserve">onados </w:t>
      </w:r>
      <w:r w:rsidR="00B93A1A" w:rsidRPr="00F019E4">
        <w:rPr>
          <w:rFonts w:cs="Calibri"/>
          <w:lang w:val="es-ES"/>
        </w:rPr>
        <w:t>en particular con el apoyo normativ</w:t>
      </w:r>
      <w:r w:rsidR="00132CA9">
        <w:rPr>
          <w:rFonts w:cs="Calibri"/>
          <w:lang w:val="es-ES"/>
        </w:rPr>
        <w:t>o</w:t>
      </w:r>
      <w:r w:rsidR="00B93A1A" w:rsidRPr="00F019E4">
        <w:rPr>
          <w:rFonts w:cs="Calibri"/>
          <w:lang w:val="es-ES"/>
        </w:rPr>
        <w:t xml:space="preserve"> y la creación de capacidad </w:t>
      </w:r>
      <w:r w:rsidR="00024C7F">
        <w:rPr>
          <w:rFonts w:cs="Calibri"/>
          <w:lang w:val="es-ES"/>
        </w:rPr>
        <w:t xml:space="preserve">suelen estar concebidos </w:t>
      </w:r>
      <w:r w:rsidR="0013275C">
        <w:rPr>
          <w:rFonts w:cs="Calibri"/>
          <w:lang w:val="es-ES"/>
        </w:rPr>
        <w:t xml:space="preserve">sobre todo </w:t>
      </w:r>
      <w:r w:rsidR="00024C7F">
        <w:rPr>
          <w:rFonts w:cs="Calibri"/>
          <w:lang w:val="es-ES"/>
        </w:rPr>
        <w:t xml:space="preserve">para </w:t>
      </w:r>
      <w:r w:rsidR="00B93A1A" w:rsidRPr="00F019E4">
        <w:rPr>
          <w:rFonts w:cs="Calibri"/>
          <w:lang w:val="es-ES"/>
        </w:rPr>
        <w:t>las regiones no biogeográficas, por ejemplo.</w:t>
      </w:r>
    </w:p>
    <w:p w:rsidR="000A7562" w:rsidRPr="00F019E4" w:rsidRDefault="00B93A1A" w:rsidP="009B4415">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s-ES"/>
        </w:rPr>
      </w:pPr>
      <w:r w:rsidRPr="00F019E4">
        <w:rPr>
          <w:rFonts w:cs="Calibri"/>
          <w:lang w:val="es-ES"/>
        </w:rPr>
        <w:t>Sobre la base de estas consideraciones, el Grupo y la Mesa recom</w:t>
      </w:r>
      <w:r w:rsidR="0013275C">
        <w:rPr>
          <w:rFonts w:cs="Calibri"/>
          <w:lang w:val="es-ES"/>
        </w:rPr>
        <w:t xml:space="preserve">iendan </w:t>
      </w:r>
      <w:r w:rsidRPr="00F019E4">
        <w:rPr>
          <w:rFonts w:cs="Calibri"/>
          <w:lang w:val="es-ES"/>
        </w:rPr>
        <w:t xml:space="preserve">mantener los grupos regionales de las Naciones Unidas en la selección de la próxima composición del Grupo, y seguir examinando la cuestión de la estructura regional del Grupo en función de las experiencias derivadas de la ejecución del programa de trabajo inicial para el período de </w:t>
      </w:r>
      <w:r w:rsidR="000A7562" w:rsidRPr="00F019E4">
        <w:rPr>
          <w:rFonts w:cs="Calibri"/>
          <w:lang w:val="es-ES"/>
        </w:rPr>
        <w:t>2014</w:t>
      </w:r>
      <w:r w:rsidR="005847AD">
        <w:rPr>
          <w:rFonts w:cs="Calibri"/>
          <w:lang w:val="es-ES"/>
        </w:rPr>
        <w:noBreakHyphen/>
      </w:r>
      <w:r w:rsidR="000A7562" w:rsidRPr="00F019E4">
        <w:rPr>
          <w:rFonts w:cs="Calibri"/>
          <w:lang w:val="es-ES"/>
        </w:rPr>
        <w:t xml:space="preserve">2018. </w:t>
      </w:r>
      <w:r w:rsidRPr="00F019E4">
        <w:rPr>
          <w:rFonts w:cs="Calibri"/>
          <w:lang w:val="es-ES"/>
        </w:rPr>
        <w:t>Además, el Grupo y la Mesa consideran que trabajar</w:t>
      </w:r>
      <w:r w:rsidR="0013275C">
        <w:rPr>
          <w:rFonts w:cs="Calibri"/>
          <w:lang w:val="es-ES"/>
        </w:rPr>
        <w:t xml:space="preserve"> respetando </w:t>
      </w:r>
      <w:r w:rsidRPr="00F019E4">
        <w:rPr>
          <w:rFonts w:cs="Calibri"/>
          <w:lang w:val="es-ES"/>
        </w:rPr>
        <w:t xml:space="preserve">los grupos </w:t>
      </w:r>
      <w:r w:rsidR="00E06B83" w:rsidRPr="00F019E4">
        <w:rPr>
          <w:rFonts w:cs="Calibri"/>
          <w:lang w:val="es-ES"/>
        </w:rPr>
        <w:t>regionales</w:t>
      </w:r>
      <w:r w:rsidRPr="00F019E4">
        <w:rPr>
          <w:rFonts w:cs="Calibri"/>
          <w:lang w:val="es-ES"/>
        </w:rPr>
        <w:t xml:space="preserve"> de las Naciones Unidas </w:t>
      </w:r>
      <w:r w:rsidR="00D30873">
        <w:rPr>
          <w:rFonts w:cs="Calibri"/>
          <w:lang w:val="es-ES"/>
        </w:rPr>
        <w:t>o agrup</w:t>
      </w:r>
      <w:r w:rsidR="0013275C">
        <w:rPr>
          <w:rFonts w:cs="Calibri"/>
          <w:lang w:val="es-ES"/>
        </w:rPr>
        <w:t>ando los países según otro criterio</w:t>
      </w:r>
      <w:r w:rsidRPr="00F019E4">
        <w:rPr>
          <w:rFonts w:cs="Calibri"/>
          <w:lang w:val="es-ES"/>
        </w:rPr>
        <w:t xml:space="preserve">, </w:t>
      </w:r>
      <w:r w:rsidR="00D30873">
        <w:rPr>
          <w:rFonts w:cs="Calibri"/>
          <w:lang w:val="es-ES"/>
        </w:rPr>
        <w:t>de acuerdo a lo que se necesite</w:t>
      </w:r>
      <w:r w:rsidRPr="00F019E4">
        <w:rPr>
          <w:rFonts w:cs="Calibri"/>
          <w:lang w:val="es-ES"/>
        </w:rPr>
        <w:t xml:space="preserve">, garantizaría una evaluación regional y subregional </w:t>
      </w:r>
      <w:r w:rsidR="00E06B83" w:rsidRPr="00F019E4">
        <w:rPr>
          <w:rFonts w:cs="Calibri"/>
          <w:lang w:val="es-ES"/>
        </w:rPr>
        <w:t xml:space="preserve">coherente desde el punto de vista </w:t>
      </w:r>
      <w:r w:rsidRPr="00F019E4">
        <w:rPr>
          <w:rFonts w:cs="Calibri"/>
          <w:lang w:val="es-ES"/>
        </w:rPr>
        <w:t>intelectual y biogeográfic</w:t>
      </w:r>
      <w:r w:rsidR="00132CA9">
        <w:rPr>
          <w:rFonts w:cs="Calibri"/>
          <w:lang w:val="es-ES"/>
        </w:rPr>
        <w:t>o</w:t>
      </w:r>
      <w:r w:rsidRPr="00F019E4">
        <w:rPr>
          <w:rFonts w:cs="Calibri"/>
          <w:lang w:val="es-ES"/>
        </w:rPr>
        <w:t xml:space="preserve"> y facilitaría la realización de otras actividades </w:t>
      </w:r>
      <w:r w:rsidR="00D30873">
        <w:rPr>
          <w:rFonts w:cs="Calibri"/>
          <w:lang w:val="es-ES"/>
        </w:rPr>
        <w:t xml:space="preserve">que ayudarían </w:t>
      </w:r>
      <w:r w:rsidRPr="00F019E4">
        <w:rPr>
          <w:rFonts w:cs="Calibri"/>
          <w:lang w:val="es-ES"/>
        </w:rPr>
        <w:t>en la ejecución del programa de trabajo</w:t>
      </w:r>
      <w:r w:rsidR="000A7562" w:rsidRPr="00F019E4">
        <w:rPr>
          <w:rFonts w:cs="Calibri"/>
          <w:lang w:val="es-ES"/>
        </w:rPr>
        <w:t xml:space="preserve">. </w:t>
      </w:r>
      <w:r w:rsidRPr="00F019E4">
        <w:rPr>
          <w:rFonts w:cs="Calibri"/>
          <w:lang w:val="es-ES"/>
        </w:rPr>
        <w:t xml:space="preserve">Por ejemplo, una evaluación </w:t>
      </w:r>
      <w:r w:rsidR="000A7562" w:rsidRPr="00F019E4">
        <w:rPr>
          <w:rFonts w:cs="Calibri"/>
          <w:lang w:val="es-ES"/>
        </w:rPr>
        <w:t xml:space="preserve">regional </w:t>
      </w:r>
      <w:r w:rsidRPr="00F019E4">
        <w:rPr>
          <w:rFonts w:cs="Calibri"/>
          <w:lang w:val="es-ES"/>
        </w:rPr>
        <w:t>que se realice en Á</w:t>
      </w:r>
      <w:r w:rsidR="000A7562" w:rsidRPr="00F019E4">
        <w:rPr>
          <w:rFonts w:cs="Calibri"/>
          <w:lang w:val="es-ES"/>
        </w:rPr>
        <w:t>frica o</w:t>
      </w:r>
      <w:r w:rsidRPr="00F019E4">
        <w:rPr>
          <w:rFonts w:cs="Calibri"/>
          <w:lang w:val="es-ES"/>
        </w:rPr>
        <w:t xml:space="preserve"> América</w:t>
      </w:r>
      <w:r w:rsidR="000A7562" w:rsidRPr="00F019E4">
        <w:rPr>
          <w:rFonts w:cs="Calibri"/>
          <w:lang w:val="es-ES"/>
        </w:rPr>
        <w:t xml:space="preserve"> Latin</w:t>
      </w:r>
      <w:r w:rsidRPr="00F019E4">
        <w:rPr>
          <w:rFonts w:cs="Calibri"/>
          <w:lang w:val="es-ES"/>
        </w:rPr>
        <w:t xml:space="preserve">a y el </w:t>
      </w:r>
      <w:r w:rsidR="000A7562" w:rsidRPr="00F019E4">
        <w:rPr>
          <w:rFonts w:cs="Calibri"/>
          <w:lang w:val="es-ES"/>
        </w:rPr>
        <w:t xml:space="preserve">Caribe </w:t>
      </w:r>
      <w:r w:rsidRPr="00F019E4">
        <w:rPr>
          <w:rFonts w:cs="Calibri"/>
          <w:lang w:val="es-ES"/>
        </w:rPr>
        <w:t xml:space="preserve">puede abarcar de </w:t>
      </w:r>
      <w:r w:rsidR="000A7562" w:rsidRPr="00F019E4">
        <w:rPr>
          <w:rFonts w:cs="Calibri"/>
          <w:lang w:val="es-ES"/>
        </w:rPr>
        <w:t>3</w:t>
      </w:r>
      <w:r w:rsidRPr="00F019E4">
        <w:rPr>
          <w:rFonts w:cs="Calibri"/>
          <w:lang w:val="es-ES"/>
        </w:rPr>
        <w:t xml:space="preserve"> a </w:t>
      </w:r>
      <w:r w:rsidR="000A7562" w:rsidRPr="00F019E4">
        <w:rPr>
          <w:rFonts w:cs="Calibri"/>
          <w:lang w:val="es-ES"/>
        </w:rPr>
        <w:t xml:space="preserve">6 </w:t>
      </w:r>
      <w:r w:rsidRPr="00F019E4">
        <w:rPr>
          <w:rFonts w:cs="Calibri"/>
          <w:lang w:val="es-ES"/>
        </w:rPr>
        <w:t xml:space="preserve">evaluaciones </w:t>
      </w:r>
      <w:r w:rsidR="000A7562" w:rsidRPr="00F019E4">
        <w:rPr>
          <w:rFonts w:cs="Calibri"/>
          <w:lang w:val="es-ES"/>
        </w:rPr>
        <w:t>subregional</w:t>
      </w:r>
      <w:r w:rsidRPr="00F019E4">
        <w:rPr>
          <w:rFonts w:cs="Calibri"/>
          <w:lang w:val="es-ES"/>
        </w:rPr>
        <w:t>es y</w:t>
      </w:r>
      <w:r w:rsidR="000A7562" w:rsidRPr="00F019E4">
        <w:rPr>
          <w:rFonts w:cs="Calibri"/>
          <w:lang w:val="es-ES"/>
        </w:rPr>
        <w:t xml:space="preserve"> eco</w:t>
      </w:r>
      <w:r w:rsidR="00D30873">
        <w:rPr>
          <w:rFonts w:cs="Calibri"/>
          <w:lang w:val="es-ES"/>
        </w:rPr>
        <w:t>r</w:t>
      </w:r>
      <w:r w:rsidR="000A7562" w:rsidRPr="00F019E4">
        <w:rPr>
          <w:rFonts w:cs="Calibri"/>
          <w:lang w:val="es-ES"/>
        </w:rPr>
        <w:t>regional</w:t>
      </w:r>
      <w:r w:rsidR="000D1B0C" w:rsidRPr="00F019E4">
        <w:rPr>
          <w:rFonts w:cs="Calibri"/>
          <w:lang w:val="es-ES"/>
        </w:rPr>
        <w:t>es dentro de la regió</w:t>
      </w:r>
      <w:r w:rsidRPr="00F019E4">
        <w:rPr>
          <w:rFonts w:cs="Calibri"/>
          <w:lang w:val="es-ES"/>
        </w:rPr>
        <w:t xml:space="preserve">n, mientras que una evaluación </w:t>
      </w:r>
      <w:r w:rsidR="000A7562" w:rsidRPr="00F019E4">
        <w:rPr>
          <w:rFonts w:cs="Calibri"/>
          <w:lang w:val="es-ES"/>
        </w:rPr>
        <w:t>regional o subregional</w:t>
      </w:r>
      <w:r w:rsidR="000D1B0C" w:rsidRPr="00F019E4">
        <w:rPr>
          <w:rFonts w:cs="Calibri"/>
          <w:lang w:val="es-ES"/>
        </w:rPr>
        <w:t xml:space="preserve"> centrada en Asia sudoriental y Oceanía </w:t>
      </w:r>
      <w:r w:rsidR="00D30873">
        <w:rPr>
          <w:rFonts w:cs="Calibri"/>
          <w:lang w:val="es-ES"/>
        </w:rPr>
        <w:t xml:space="preserve">podría </w:t>
      </w:r>
      <w:r w:rsidR="000D1B0C" w:rsidRPr="00F019E4">
        <w:rPr>
          <w:rFonts w:cs="Calibri"/>
          <w:lang w:val="es-ES"/>
        </w:rPr>
        <w:t>incluir</w:t>
      </w:r>
      <w:r w:rsidR="00D30873">
        <w:rPr>
          <w:rFonts w:cs="Calibri"/>
          <w:lang w:val="es-ES"/>
        </w:rPr>
        <w:t xml:space="preserve"> </w:t>
      </w:r>
      <w:r w:rsidR="00E8702C">
        <w:rPr>
          <w:rFonts w:cs="Calibri"/>
          <w:lang w:val="es-ES"/>
        </w:rPr>
        <w:t xml:space="preserve">Australia y </w:t>
      </w:r>
      <w:r w:rsidR="000D1B0C" w:rsidRPr="00F019E4">
        <w:rPr>
          <w:rFonts w:cs="Calibri"/>
          <w:lang w:val="es-ES"/>
        </w:rPr>
        <w:t xml:space="preserve">Nueva Zelandia, aunque estos países formarían parte del Grupo de </w:t>
      </w:r>
      <w:r w:rsidR="00D30873">
        <w:rPr>
          <w:rFonts w:cs="Calibri"/>
          <w:lang w:val="es-ES"/>
        </w:rPr>
        <w:t xml:space="preserve">Estados de </w:t>
      </w:r>
      <w:r w:rsidR="00E06B83" w:rsidRPr="00F019E4">
        <w:rPr>
          <w:rFonts w:cs="Calibri"/>
          <w:lang w:val="es-ES"/>
        </w:rPr>
        <w:t xml:space="preserve">Europa Occidental y otros Estados a los fines de la selección </w:t>
      </w:r>
      <w:r w:rsidR="00D30873">
        <w:rPr>
          <w:rFonts w:cs="Calibri"/>
          <w:lang w:val="es-ES"/>
        </w:rPr>
        <w:t xml:space="preserve">de los miembros del </w:t>
      </w:r>
      <w:r w:rsidR="00E06B83" w:rsidRPr="00F019E4">
        <w:rPr>
          <w:rFonts w:cs="Calibri"/>
          <w:lang w:val="es-ES"/>
        </w:rPr>
        <w:t>Grupo.</w:t>
      </w:r>
      <w:r w:rsidR="000A7562" w:rsidRPr="00F019E4">
        <w:rPr>
          <w:rFonts w:cs="Calibri"/>
          <w:lang w:val="es-ES"/>
        </w:rPr>
        <w:t xml:space="preserve"> </w:t>
      </w:r>
      <w:r w:rsidR="00E06B83" w:rsidRPr="00F019E4">
        <w:rPr>
          <w:rFonts w:cs="Calibri"/>
          <w:lang w:val="es-ES"/>
        </w:rPr>
        <w:t>Asimismo, las evaluaciones regionales y otras actividades en Europa podrían abarcar Europa Oriental y Occidental en lo que se refiere a la ejecución de las actividades del programa de trabajo, a pesar de que no tienen la misma representación en el Grupo</w:t>
      </w:r>
      <w:r w:rsidR="000A7562" w:rsidRPr="00F019E4">
        <w:rPr>
          <w:rFonts w:cs="Calibri"/>
          <w:lang w:val="es-ES"/>
        </w:rPr>
        <w:t>.</w:t>
      </w:r>
    </w:p>
    <w:p w:rsidR="000A7562" w:rsidRPr="00F019E4" w:rsidRDefault="00EB1857" w:rsidP="009B4415">
      <w:pPr>
        <w:pStyle w:val="CH1"/>
        <w:rPr>
          <w:lang w:val="es-ES"/>
        </w:rPr>
      </w:pPr>
      <w:r>
        <w:rPr>
          <w:lang w:val="es-ES"/>
        </w:rPr>
        <w:tab/>
        <w:t>IV</w:t>
      </w:r>
      <w:r w:rsidR="00901758" w:rsidRPr="00F019E4">
        <w:rPr>
          <w:lang w:val="es-ES"/>
        </w:rPr>
        <w:t>.</w:t>
      </w:r>
      <w:r w:rsidR="00901758" w:rsidRPr="00F019E4">
        <w:rPr>
          <w:lang w:val="es-ES"/>
        </w:rPr>
        <w:tab/>
      </w:r>
      <w:r w:rsidR="000A7562" w:rsidRPr="00F019E4">
        <w:rPr>
          <w:lang w:val="es-ES"/>
        </w:rPr>
        <w:t>Recom</w:t>
      </w:r>
      <w:r w:rsidR="00026A85" w:rsidRPr="00F019E4">
        <w:rPr>
          <w:lang w:val="es-ES"/>
        </w:rPr>
        <w:t>endación de la Mesa sobre el procedimiento para el proceso de selección de los futuros miembros del Grupo multidisciplinario de expertos</w:t>
      </w:r>
      <w:r w:rsidR="000A7562" w:rsidRPr="00F019E4">
        <w:rPr>
          <w:lang w:val="es-ES"/>
        </w:rPr>
        <w:t xml:space="preserve"> </w:t>
      </w:r>
    </w:p>
    <w:p w:rsidR="000A7562" w:rsidRPr="00F019E4" w:rsidRDefault="00E06B83" w:rsidP="009B4415">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s-ES"/>
        </w:rPr>
      </w:pPr>
      <w:r w:rsidRPr="00F019E4">
        <w:rPr>
          <w:rFonts w:cs="Calibri"/>
          <w:lang w:val="es-ES"/>
        </w:rPr>
        <w:t>El objetivo del proceso de selección para integrar el Grupo debería ser garantizar un equilibrio general en lo que respecta a la representación geográfica, de género, intelectual y disciplinaria</w:t>
      </w:r>
      <w:r w:rsidR="000A7562" w:rsidRPr="00F019E4">
        <w:rPr>
          <w:rFonts w:cs="Calibri"/>
          <w:lang w:val="es-ES"/>
        </w:rPr>
        <w:t xml:space="preserve"> (</w:t>
      </w:r>
      <w:r w:rsidRPr="00F019E4">
        <w:rPr>
          <w:rFonts w:cs="Calibri"/>
          <w:lang w:val="es-ES"/>
        </w:rPr>
        <w:t>por ejemplo, ciencias naturales y sociales, economía, conocimientos indígenas y locales</w:t>
      </w:r>
      <w:r w:rsidR="000A7562" w:rsidRPr="00F019E4">
        <w:rPr>
          <w:rFonts w:cs="Calibri"/>
          <w:lang w:val="es-ES"/>
        </w:rPr>
        <w:t>),</w:t>
      </w:r>
      <w:r w:rsidRPr="00F019E4">
        <w:rPr>
          <w:rFonts w:cs="Calibri"/>
          <w:lang w:val="es-ES"/>
        </w:rPr>
        <w:t xml:space="preserve"> y otras consideraciones multidisciplinarias y relacionadas con la experiencia</w:t>
      </w:r>
      <w:r w:rsidR="000A7562" w:rsidRPr="00F019E4">
        <w:rPr>
          <w:rFonts w:cs="Calibri"/>
          <w:lang w:val="es-ES"/>
        </w:rPr>
        <w:t xml:space="preserve"> (</w:t>
      </w:r>
      <w:r w:rsidRPr="00F019E4">
        <w:rPr>
          <w:rFonts w:cs="Calibri"/>
          <w:lang w:val="es-ES"/>
        </w:rPr>
        <w:t>por ejemplo, respecto de las cuatro funciones de la Plataforma)</w:t>
      </w:r>
      <w:r w:rsidR="000A7562" w:rsidRPr="00F019E4">
        <w:rPr>
          <w:rFonts w:cs="Calibri"/>
          <w:lang w:val="es-ES"/>
        </w:rPr>
        <w:t xml:space="preserve">. </w:t>
      </w:r>
      <w:r w:rsidR="00236167" w:rsidRPr="00F019E4">
        <w:rPr>
          <w:rFonts w:cs="Calibri"/>
          <w:lang w:val="es-ES"/>
        </w:rPr>
        <w:t>Las recomendaciones siguientes se proponen alcanzar ese objetivo y s</w:t>
      </w:r>
      <w:r w:rsidR="008A6F7D">
        <w:rPr>
          <w:rFonts w:cs="Calibri"/>
          <w:lang w:val="es-ES"/>
        </w:rPr>
        <w:t xml:space="preserve">e ajustan a </w:t>
      </w:r>
      <w:r w:rsidR="00236167" w:rsidRPr="00F019E4">
        <w:rPr>
          <w:rFonts w:cs="Calibri"/>
          <w:lang w:val="es-ES"/>
        </w:rPr>
        <w:t xml:space="preserve">la recomendación de la Mesa y el Grupo </w:t>
      </w:r>
      <w:r w:rsidR="008A6F7D">
        <w:rPr>
          <w:rFonts w:cs="Calibri"/>
          <w:lang w:val="es-ES"/>
        </w:rPr>
        <w:t>de</w:t>
      </w:r>
      <w:r w:rsidR="00236167" w:rsidRPr="00F019E4">
        <w:rPr>
          <w:rFonts w:cs="Calibri"/>
          <w:lang w:val="es-ES"/>
        </w:rPr>
        <w:t xml:space="preserve"> mantener la composición regional actual </w:t>
      </w:r>
      <w:r w:rsidR="008A6F7D">
        <w:rPr>
          <w:rFonts w:cs="Calibri"/>
          <w:lang w:val="es-ES"/>
        </w:rPr>
        <w:t xml:space="preserve">del Grupo </w:t>
      </w:r>
      <w:r w:rsidR="00CD639A" w:rsidRPr="00F019E4">
        <w:rPr>
          <w:rFonts w:cs="Calibri"/>
          <w:lang w:val="es-ES"/>
        </w:rPr>
        <w:t>(</w:t>
      </w:r>
      <w:r w:rsidR="000A7562" w:rsidRPr="00F019E4">
        <w:rPr>
          <w:rFonts w:cs="Calibri"/>
          <w:lang w:val="es-ES"/>
        </w:rPr>
        <w:t>5 m</w:t>
      </w:r>
      <w:r w:rsidR="00236167" w:rsidRPr="00F019E4">
        <w:rPr>
          <w:rFonts w:cs="Calibri"/>
          <w:lang w:val="es-ES"/>
        </w:rPr>
        <w:t>iembros por región de las Naciones Unidas para un total de 25 miembros</w:t>
      </w:r>
      <w:r w:rsidR="00CD639A" w:rsidRPr="00F019E4">
        <w:rPr>
          <w:rFonts w:cs="Calibri"/>
          <w:lang w:val="es-ES"/>
        </w:rPr>
        <w:t xml:space="preserve">) </w:t>
      </w:r>
      <w:r w:rsidR="00236167" w:rsidRPr="00F019E4">
        <w:rPr>
          <w:rFonts w:cs="Calibri"/>
          <w:lang w:val="es-ES"/>
        </w:rPr>
        <w:t>en reconocimiento de los ingentes desafíos que plantea la restructuración de la composición del Grupo y la falta de un</w:t>
      </w:r>
      <w:r w:rsidR="008A6F7D">
        <w:rPr>
          <w:rFonts w:cs="Calibri"/>
          <w:lang w:val="es-ES"/>
        </w:rPr>
        <w:t xml:space="preserve"> argumento </w:t>
      </w:r>
      <w:r w:rsidR="00236167" w:rsidRPr="00F019E4">
        <w:rPr>
          <w:rFonts w:cs="Calibri"/>
          <w:lang w:val="es-ES"/>
        </w:rPr>
        <w:t>científic</w:t>
      </w:r>
      <w:r w:rsidR="008A6F7D">
        <w:rPr>
          <w:rFonts w:cs="Calibri"/>
          <w:lang w:val="es-ES"/>
        </w:rPr>
        <w:t>o</w:t>
      </w:r>
      <w:r w:rsidR="00236167" w:rsidRPr="00F019E4">
        <w:rPr>
          <w:rFonts w:cs="Calibri"/>
          <w:lang w:val="es-ES"/>
        </w:rPr>
        <w:t xml:space="preserve"> o programátic</w:t>
      </w:r>
      <w:r w:rsidR="008A6F7D">
        <w:rPr>
          <w:rFonts w:cs="Calibri"/>
          <w:lang w:val="es-ES"/>
        </w:rPr>
        <w:t>o</w:t>
      </w:r>
      <w:r w:rsidR="00236167" w:rsidRPr="00F019E4">
        <w:rPr>
          <w:rFonts w:cs="Calibri"/>
          <w:lang w:val="es-ES"/>
        </w:rPr>
        <w:t xml:space="preserve"> sólida</w:t>
      </w:r>
      <w:r w:rsidR="008A6F7D">
        <w:rPr>
          <w:rFonts w:cs="Calibri"/>
          <w:lang w:val="es-ES"/>
        </w:rPr>
        <w:t xml:space="preserve"> que lo justifique</w:t>
      </w:r>
      <w:r w:rsidR="000A7562" w:rsidRPr="00F019E4">
        <w:rPr>
          <w:rFonts w:cs="Calibri"/>
          <w:lang w:val="es-ES"/>
        </w:rPr>
        <w:t>.</w:t>
      </w:r>
      <w:r w:rsidR="000A7562" w:rsidRPr="00F019E4">
        <w:rPr>
          <w:lang w:val="es-ES"/>
        </w:rPr>
        <w:t xml:space="preserve"> </w:t>
      </w:r>
    </w:p>
    <w:p w:rsidR="00A942CC" w:rsidRPr="00F019E4" w:rsidRDefault="00236167" w:rsidP="009B4415">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s-ES"/>
        </w:rPr>
      </w:pPr>
      <w:r w:rsidRPr="00F019E4">
        <w:rPr>
          <w:rFonts w:cs="Calibri"/>
          <w:lang w:val="es-ES"/>
        </w:rPr>
        <w:t xml:space="preserve">A fin de garantizar una composición equilibrada del </w:t>
      </w:r>
      <w:r w:rsidR="00F019E4" w:rsidRPr="00F019E4">
        <w:rPr>
          <w:rFonts w:cs="Calibri"/>
          <w:lang w:val="es-ES"/>
        </w:rPr>
        <w:t>futuro</w:t>
      </w:r>
      <w:r w:rsidRPr="00F019E4">
        <w:rPr>
          <w:rFonts w:cs="Calibri"/>
          <w:lang w:val="es-ES"/>
        </w:rPr>
        <w:t xml:space="preserve"> Grupo, se propone que los miembros de la Mesa representen a cada una de las regiones de las Naciones Unidas al seleccionar una lista equilibrada de posibles </w:t>
      </w:r>
      <w:r w:rsidR="00F019E4" w:rsidRPr="00F019E4">
        <w:rPr>
          <w:rFonts w:cs="Calibri"/>
          <w:lang w:val="es-ES"/>
        </w:rPr>
        <w:t>miembros</w:t>
      </w:r>
      <w:r w:rsidRPr="00F019E4">
        <w:rPr>
          <w:rFonts w:cs="Calibri"/>
          <w:lang w:val="es-ES"/>
        </w:rPr>
        <w:t xml:space="preserve"> del Grupo para que sea examinada por el Plenario</w:t>
      </w:r>
      <w:r w:rsidR="008A6F7D">
        <w:rPr>
          <w:rFonts w:cs="Calibri"/>
          <w:lang w:val="es-ES"/>
        </w:rPr>
        <w:t xml:space="preserve">, quien hará </w:t>
      </w:r>
      <w:r w:rsidRPr="00F019E4">
        <w:rPr>
          <w:rFonts w:cs="Calibri"/>
          <w:lang w:val="es-ES"/>
        </w:rPr>
        <w:t>la selección final.</w:t>
      </w:r>
      <w:r w:rsidR="000A7562" w:rsidRPr="00F019E4">
        <w:rPr>
          <w:rFonts w:cs="Calibri"/>
          <w:lang w:val="es-ES"/>
        </w:rPr>
        <w:t xml:space="preserve"> </w:t>
      </w:r>
      <w:r w:rsidRPr="00F019E4">
        <w:rPr>
          <w:rFonts w:cs="Calibri"/>
          <w:lang w:val="es-ES"/>
        </w:rPr>
        <w:t>Los miembros y observadores de la Plataforma deberán presentar sus listas respectivas de candidaturas regionales de posibles miembros del Grupo con tiempo suficiente para que los miembros de la Mesa la</w:t>
      </w:r>
      <w:r w:rsidR="008A6F7D">
        <w:rPr>
          <w:rFonts w:cs="Calibri"/>
          <w:lang w:val="es-ES"/>
        </w:rPr>
        <w:t>s</w:t>
      </w:r>
      <w:r w:rsidRPr="00F019E4">
        <w:rPr>
          <w:rFonts w:cs="Calibri"/>
          <w:lang w:val="es-ES"/>
        </w:rPr>
        <w:t xml:space="preserve"> </w:t>
      </w:r>
      <w:r w:rsidR="008A6F7D">
        <w:rPr>
          <w:rFonts w:cs="Calibri"/>
          <w:lang w:val="es-ES"/>
        </w:rPr>
        <w:t xml:space="preserve">puedan </w:t>
      </w:r>
      <w:r w:rsidRPr="00F019E4">
        <w:rPr>
          <w:rFonts w:cs="Calibri"/>
          <w:lang w:val="es-ES"/>
        </w:rPr>
        <w:t>examin</w:t>
      </w:r>
      <w:r w:rsidR="008A6F7D">
        <w:rPr>
          <w:rFonts w:cs="Calibri"/>
          <w:lang w:val="es-ES"/>
        </w:rPr>
        <w:t>ar</w:t>
      </w:r>
      <w:r w:rsidRPr="00F019E4">
        <w:rPr>
          <w:rFonts w:cs="Calibri"/>
          <w:lang w:val="es-ES"/>
        </w:rPr>
        <w:t xml:space="preserve"> adecuadamente.</w:t>
      </w:r>
      <w:r w:rsidR="008A3671" w:rsidRPr="00F019E4">
        <w:rPr>
          <w:rFonts w:cs="Calibri"/>
          <w:lang w:val="es-ES"/>
        </w:rPr>
        <w:t xml:space="preserve"> </w:t>
      </w:r>
    </w:p>
    <w:p w:rsidR="00901758" w:rsidRPr="00F019E4" w:rsidRDefault="00236167" w:rsidP="009B4415">
      <w:pPr>
        <w:pStyle w:val="Normalnumber"/>
        <w:numPr>
          <w:ilvl w:val="0"/>
          <w:numId w:val="8"/>
        </w:numPr>
        <w:tabs>
          <w:tab w:val="left" w:pos="1247"/>
          <w:tab w:val="left" w:pos="1814"/>
          <w:tab w:val="left" w:pos="2381"/>
          <w:tab w:val="left" w:pos="2948"/>
          <w:tab w:val="left" w:pos="3515"/>
          <w:tab w:val="left" w:pos="4082"/>
        </w:tabs>
        <w:rPr>
          <w:rFonts w:cs="Calibri"/>
          <w:lang w:val="es-ES"/>
        </w:rPr>
      </w:pPr>
      <w:r w:rsidRPr="00F019E4">
        <w:rPr>
          <w:rFonts w:cs="Calibri"/>
          <w:lang w:val="es-ES"/>
        </w:rPr>
        <w:t>Como paso inicial, cada región designará a ocho posibles miembros del Grupo, manteniendo un equilibrio adecuado en términos de consideraciones intelectuales, disciplinarias y temáticas, sistemas de conocimiento</w:t>
      </w:r>
      <w:r w:rsidR="00132CA9">
        <w:rPr>
          <w:rFonts w:cs="Calibri"/>
          <w:lang w:val="es-ES"/>
        </w:rPr>
        <w:t>s</w:t>
      </w:r>
      <w:r w:rsidRPr="00F019E4">
        <w:rPr>
          <w:rFonts w:cs="Calibri"/>
          <w:lang w:val="es-ES"/>
        </w:rPr>
        <w:t xml:space="preserve"> y género. Las candidaturas de las cinco regiones conformarían una lista preliminar de </w:t>
      </w:r>
      <w:r w:rsidR="00802301" w:rsidRPr="00F019E4">
        <w:rPr>
          <w:rFonts w:cs="Calibri"/>
          <w:lang w:val="es-ES"/>
        </w:rPr>
        <w:t>candidatos</w:t>
      </w:r>
      <w:r w:rsidRPr="00F019E4">
        <w:rPr>
          <w:rFonts w:cs="Calibri"/>
          <w:lang w:val="es-ES"/>
        </w:rPr>
        <w:t xml:space="preserve"> de 40 posibles miembros. Cada región </w:t>
      </w:r>
      <w:r w:rsidR="00802301" w:rsidRPr="00F019E4">
        <w:rPr>
          <w:rFonts w:cs="Calibri"/>
          <w:lang w:val="es-ES"/>
        </w:rPr>
        <w:t>indicar</w:t>
      </w:r>
      <w:r w:rsidR="00132CA9">
        <w:rPr>
          <w:rFonts w:cs="Calibri"/>
          <w:lang w:val="es-ES"/>
        </w:rPr>
        <w:t>ía</w:t>
      </w:r>
      <w:r w:rsidR="00802301" w:rsidRPr="00F019E4">
        <w:rPr>
          <w:rFonts w:cs="Calibri"/>
          <w:lang w:val="es-ES"/>
        </w:rPr>
        <w:t xml:space="preserve"> sus tres candidatos favoritos</w:t>
      </w:r>
      <w:r w:rsidRPr="00F019E4">
        <w:rPr>
          <w:rFonts w:cs="Calibri"/>
          <w:lang w:val="es-ES"/>
        </w:rPr>
        <w:t xml:space="preserve"> de la lista de ocho. Estos tres candidatos se incluir</w:t>
      </w:r>
      <w:r w:rsidR="00802301" w:rsidRPr="00F019E4">
        <w:rPr>
          <w:rFonts w:cs="Calibri"/>
          <w:lang w:val="es-ES"/>
        </w:rPr>
        <w:t>ían</w:t>
      </w:r>
      <w:r w:rsidRPr="00F019E4">
        <w:rPr>
          <w:rFonts w:cs="Calibri"/>
          <w:lang w:val="es-ES"/>
        </w:rPr>
        <w:t xml:space="preserve"> automáticamente en la</w:t>
      </w:r>
      <w:r w:rsidR="00802301" w:rsidRPr="00F019E4">
        <w:rPr>
          <w:rFonts w:cs="Calibri"/>
          <w:lang w:val="es-ES"/>
        </w:rPr>
        <w:t xml:space="preserve"> propuesta de</w:t>
      </w:r>
      <w:r w:rsidRPr="00F019E4">
        <w:rPr>
          <w:rFonts w:cs="Calibri"/>
          <w:lang w:val="es-ES"/>
        </w:rPr>
        <w:t xml:space="preserve"> lista </w:t>
      </w:r>
      <w:r w:rsidR="00802301" w:rsidRPr="00F019E4">
        <w:rPr>
          <w:rFonts w:cs="Calibri"/>
          <w:lang w:val="es-ES"/>
        </w:rPr>
        <w:t xml:space="preserve">definitiva de </w:t>
      </w:r>
      <w:r w:rsidRPr="00F019E4">
        <w:rPr>
          <w:rFonts w:cs="Calibri"/>
          <w:lang w:val="es-ES"/>
        </w:rPr>
        <w:t xml:space="preserve">candidatos </w:t>
      </w:r>
      <w:r w:rsidR="008A6F7D">
        <w:rPr>
          <w:rFonts w:cs="Calibri"/>
          <w:lang w:val="es-ES"/>
        </w:rPr>
        <w:t xml:space="preserve">con </w:t>
      </w:r>
      <w:r w:rsidR="008A6F7D">
        <w:rPr>
          <w:rFonts w:cs="Calibri"/>
          <w:lang w:val="es-ES"/>
        </w:rPr>
        <w:lastRenderedPageBreak/>
        <w:t xml:space="preserve">arreglo al </w:t>
      </w:r>
      <w:r w:rsidRPr="00F019E4">
        <w:rPr>
          <w:rFonts w:cs="Calibri"/>
          <w:lang w:val="es-ES"/>
        </w:rPr>
        <w:t>procedimiento de no objeción e</w:t>
      </w:r>
      <w:r w:rsidR="00802301" w:rsidRPr="00F019E4">
        <w:rPr>
          <w:rFonts w:cs="Calibri"/>
          <w:lang w:val="es-ES"/>
        </w:rPr>
        <w:t>n e</w:t>
      </w:r>
      <w:r w:rsidRPr="00F019E4">
        <w:rPr>
          <w:rFonts w:cs="Calibri"/>
          <w:lang w:val="es-ES"/>
        </w:rPr>
        <w:t xml:space="preserve">l supuesto de que las </w:t>
      </w:r>
      <w:r w:rsidR="00802301" w:rsidRPr="00F019E4">
        <w:rPr>
          <w:rFonts w:cs="Calibri"/>
          <w:lang w:val="es-ES"/>
        </w:rPr>
        <w:t xml:space="preserve">candidaturas </w:t>
      </w:r>
      <w:r w:rsidRPr="00F019E4">
        <w:rPr>
          <w:rFonts w:cs="Calibri"/>
          <w:lang w:val="es-ES"/>
        </w:rPr>
        <w:t xml:space="preserve">contribuyen al equilibrio antes mencionado y que cada candidato cumple los criterios establecidos en el reglamento </w:t>
      </w:r>
      <w:r w:rsidR="00D15042">
        <w:rPr>
          <w:rFonts w:cs="Calibri"/>
          <w:lang w:val="es-ES"/>
        </w:rPr>
        <w:t>que </w:t>
      </w:r>
      <w:r w:rsidR="00802301" w:rsidRPr="00F019E4">
        <w:rPr>
          <w:rFonts w:cs="Calibri"/>
          <w:lang w:val="es-ES"/>
        </w:rPr>
        <w:t xml:space="preserve">rige la composición del </w:t>
      </w:r>
      <w:r w:rsidRPr="00F019E4">
        <w:rPr>
          <w:rFonts w:cs="Calibri"/>
          <w:lang w:val="es-ES"/>
        </w:rPr>
        <w:t xml:space="preserve">Grupo, </w:t>
      </w:r>
      <w:r w:rsidR="00802301" w:rsidRPr="00F019E4">
        <w:rPr>
          <w:rFonts w:cs="Calibri"/>
          <w:lang w:val="es-ES"/>
        </w:rPr>
        <w:t xml:space="preserve">entre otros, </w:t>
      </w:r>
      <w:r w:rsidRPr="00F019E4">
        <w:rPr>
          <w:rFonts w:cs="Calibri"/>
          <w:lang w:val="es-ES"/>
        </w:rPr>
        <w:t xml:space="preserve">los criterios </w:t>
      </w:r>
      <w:r w:rsidR="00802301" w:rsidRPr="00F019E4">
        <w:rPr>
          <w:rFonts w:cs="Calibri"/>
          <w:lang w:val="es-ES"/>
        </w:rPr>
        <w:t xml:space="preserve">de comprensión de los </w:t>
      </w:r>
      <w:r w:rsidRPr="00F019E4">
        <w:rPr>
          <w:rFonts w:cs="Calibri"/>
          <w:lang w:val="es-ES"/>
        </w:rPr>
        <w:t xml:space="preserve">procesos </w:t>
      </w:r>
      <w:r w:rsidR="00802301" w:rsidRPr="00F019E4">
        <w:rPr>
          <w:rFonts w:cs="Calibri"/>
          <w:lang w:val="es-ES"/>
        </w:rPr>
        <w:t>científico</w:t>
      </w:r>
      <w:r w:rsidR="005847AD">
        <w:rPr>
          <w:rFonts w:cs="Calibri"/>
          <w:lang w:val="es-ES"/>
        </w:rPr>
        <w:noBreakHyphen/>
      </w:r>
      <w:r w:rsidR="00802301" w:rsidRPr="00F019E4">
        <w:rPr>
          <w:rFonts w:cs="Calibri"/>
          <w:lang w:val="es-ES"/>
        </w:rPr>
        <w:t>normativos</w:t>
      </w:r>
      <w:r w:rsidRPr="00F019E4">
        <w:rPr>
          <w:rFonts w:cs="Calibri"/>
          <w:lang w:val="es-ES"/>
        </w:rPr>
        <w:t xml:space="preserve">. </w:t>
      </w:r>
      <w:r w:rsidR="00802301" w:rsidRPr="00F019E4">
        <w:rPr>
          <w:rFonts w:cs="Calibri"/>
          <w:lang w:val="es-ES"/>
        </w:rPr>
        <w:t>Si bien</w:t>
      </w:r>
      <w:r w:rsidRPr="00F019E4">
        <w:rPr>
          <w:rFonts w:cs="Calibri"/>
          <w:lang w:val="es-ES"/>
        </w:rPr>
        <w:t xml:space="preserve"> cada región puede determinar su propio proceso de selección </w:t>
      </w:r>
      <w:r w:rsidR="00D15042">
        <w:rPr>
          <w:rFonts w:cs="Calibri"/>
          <w:lang w:val="es-ES"/>
        </w:rPr>
        <w:t>preliminar de </w:t>
      </w:r>
      <w:r w:rsidRPr="00F019E4">
        <w:rPr>
          <w:rFonts w:cs="Calibri"/>
          <w:lang w:val="es-ES"/>
        </w:rPr>
        <w:t xml:space="preserve">candidatos, tal proceso podría incluir </w:t>
      </w:r>
      <w:r w:rsidR="00802301" w:rsidRPr="00F019E4">
        <w:rPr>
          <w:rFonts w:cs="Calibri"/>
          <w:lang w:val="es-ES"/>
        </w:rPr>
        <w:t>la consulta a interesados para que recomienden candidaturas y se</w:t>
      </w:r>
      <w:r w:rsidR="00D15042">
        <w:rPr>
          <w:rFonts w:cs="Calibri"/>
          <w:lang w:val="es-ES"/>
        </w:rPr>
        <w:t> </w:t>
      </w:r>
      <w:r w:rsidRPr="00F019E4">
        <w:rPr>
          <w:rFonts w:cs="Calibri"/>
          <w:lang w:val="es-ES"/>
        </w:rPr>
        <w:t>podría completa</w:t>
      </w:r>
      <w:r w:rsidR="00132CA9">
        <w:rPr>
          <w:rFonts w:cs="Calibri"/>
          <w:lang w:val="es-ES"/>
        </w:rPr>
        <w:t>r</w:t>
      </w:r>
      <w:r w:rsidRPr="00F019E4">
        <w:rPr>
          <w:rFonts w:cs="Calibri"/>
          <w:lang w:val="es-ES"/>
        </w:rPr>
        <w:t xml:space="preserve"> en una consulta regional de un día</w:t>
      </w:r>
      <w:r w:rsidR="00802301" w:rsidRPr="00F019E4">
        <w:rPr>
          <w:rFonts w:cs="Calibri"/>
          <w:lang w:val="es-ES"/>
        </w:rPr>
        <w:t xml:space="preserve"> de duración que se celebraría </w:t>
      </w:r>
      <w:r w:rsidR="00D15042">
        <w:rPr>
          <w:rFonts w:cs="Calibri"/>
          <w:lang w:val="es-ES"/>
        </w:rPr>
        <w:t>inmediatamente antes de </w:t>
      </w:r>
      <w:r w:rsidRPr="00F019E4">
        <w:rPr>
          <w:rFonts w:cs="Calibri"/>
          <w:lang w:val="es-ES"/>
        </w:rPr>
        <w:t>un</w:t>
      </w:r>
      <w:r w:rsidR="00132CA9">
        <w:rPr>
          <w:rFonts w:cs="Calibri"/>
          <w:lang w:val="es-ES"/>
        </w:rPr>
        <w:t xml:space="preserve"> período de sesiones</w:t>
      </w:r>
      <w:r w:rsidRPr="00F019E4">
        <w:rPr>
          <w:rFonts w:cs="Calibri"/>
          <w:lang w:val="es-ES"/>
        </w:rPr>
        <w:t xml:space="preserve"> del Plen</w:t>
      </w:r>
      <w:r w:rsidR="00802301" w:rsidRPr="00F019E4">
        <w:rPr>
          <w:rFonts w:cs="Calibri"/>
          <w:lang w:val="es-ES"/>
        </w:rPr>
        <w:t>ario</w:t>
      </w:r>
      <w:r w:rsidR="000A7562" w:rsidRPr="00F019E4">
        <w:rPr>
          <w:rFonts w:cs="Calibri"/>
          <w:lang w:val="es-ES"/>
        </w:rPr>
        <w:t>.</w:t>
      </w:r>
    </w:p>
    <w:p w:rsidR="000A7562" w:rsidRPr="00F019E4" w:rsidRDefault="00802301" w:rsidP="009B4415">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s-ES"/>
        </w:rPr>
      </w:pPr>
      <w:r w:rsidRPr="00F019E4">
        <w:rPr>
          <w:rFonts w:cs="Calibri"/>
          <w:lang w:val="es-ES"/>
        </w:rPr>
        <w:t xml:space="preserve">A continuación, la Mesa, </w:t>
      </w:r>
      <w:r w:rsidR="008A6F7D">
        <w:rPr>
          <w:rFonts w:cs="Calibri"/>
          <w:lang w:val="es-ES"/>
        </w:rPr>
        <w:t xml:space="preserve">con el </w:t>
      </w:r>
      <w:r w:rsidRPr="00F019E4">
        <w:rPr>
          <w:rFonts w:cs="Calibri"/>
          <w:lang w:val="es-ES"/>
        </w:rPr>
        <w:t>asesoramiento</w:t>
      </w:r>
      <w:r w:rsidR="008A6F7D">
        <w:rPr>
          <w:rFonts w:cs="Calibri"/>
          <w:lang w:val="es-ES"/>
        </w:rPr>
        <w:t>,</w:t>
      </w:r>
      <w:r w:rsidRPr="00F019E4">
        <w:rPr>
          <w:rFonts w:cs="Calibri"/>
          <w:lang w:val="es-ES"/>
        </w:rPr>
        <w:t xml:space="preserve"> en caso necesario</w:t>
      </w:r>
      <w:r w:rsidR="008A6F7D">
        <w:rPr>
          <w:rFonts w:cs="Calibri"/>
          <w:lang w:val="es-ES"/>
        </w:rPr>
        <w:t>,</w:t>
      </w:r>
      <w:r w:rsidRPr="00F019E4">
        <w:rPr>
          <w:rFonts w:cs="Calibri"/>
          <w:lang w:val="es-ES"/>
        </w:rPr>
        <w:t xml:space="preserve"> de miembros del Grupo actual, evaluar</w:t>
      </w:r>
      <w:r w:rsidR="008A6F7D">
        <w:rPr>
          <w:rFonts w:cs="Calibri"/>
          <w:lang w:val="es-ES"/>
        </w:rPr>
        <w:t xml:space="preserve">ía </w:t>
      </w:r>
      <w:r w:rsidRPr="00F019E4">
        <w:rPr>
          <w:rFonts w:cs="Calibri"/>
          <w:lang w:val="es-ES"/>
        </w:rPr>
        <w:t>el equilibrio general de los 15 candidatos</w:t>
      </w:r>
      <w:r w:rsidR="000A7562" w:rsidRPr="00F019E4">
        <w:rPr>
          <w:rFonts w:cs="Calibri"/>
          <w:lang w:val="es-ES"/>
        </w:rPr>
        <w:t xml:space="preserve"> </w:t>
      </w:r>
      <w:r w:rsidR="00EE663C" w:rsidRPr="00F019E4">
        <w:rPr>
          <w:rFonts w:cs="Calibri"/>
          <w:lang w:val="es-ES"/>
        </w:rPr>
        <w:t>(</w:t>
      </w:r>
      <w:r w:rsidRPr="00F019E4">
        <w:rPr>
          <w:rFonts w:cs="Calibri"/>
          <w:lang w:val="es-ES"/>
        </w:rPr>
        <w:t xml:space="preserve">la suma de los tres candidatos principales de </w:t>
      </w:r>
      <w:r w:rsidR="00E8702C">
        <w:rPr>
          <w:rFonts w:cs="Calibri"/>
          <w:lang w:val="es-ES"/>
        </w:rPr>
        <w:t xml:space="preserve">cada uno de </w:t>
      </w:r>
      <w:r w:rsidRPr="00F019E4">
        <w:rPr>
          <w:rFonts w:cs="Calibri"/>
          <w:lang w:val="es-ES"/>
        </w:rPr>
        <w:t>los cinco grupos regionales de las Naciones Unidas</w:t>
      </w:r>
      <w:r w:rsidR="000A7562" w:rsidRPr="00F019E4">
        <w:rPr>
          <w:rFonts w:cs="Calibri"/>
          <w:lang w:val="es-ES"/>
        </w:rPr>
        <w:t>)</w:t>
      </w:r>
      <w:r w:rsidR="00EE663C" w:rsidRPr="00F019E4">
        <w:rPr>
          <w:rFonts w:cs="Calibri"/>
          <w:lang w:val="es-ES"/>
        </w:rPr>
        <w:t xml:space="preserve">, </w:t>
      </w:r>
      <w:r w:rsidR="00EE33A6" w:rsidRPr="00F019E4">
        <w:rPr>
          <w:rFonts w:cs="Calibri"/>
          <w:lang w:val="es-ES"/>
        </w:rPr>
        <w:t>ponderando sus puntos fuertes y débiles, así como el equilibrio general dentro del grupo propuesto</w:t>
      </w:r>
      <w:r w:rsidR="000A7562" w:rsidRPr="00F019E4">
        <w:rPr>
          <w:rFonts w:cs="Calibri"/>
          <w:lang w:val="es-ES"/>
        </w:rPr>
        <w:t xml:space="preserve">. </w:t>
      </w:r>
      <w:r w:rsidR="00EE33A6" w:rsidRPr="00F019E4">
        <w:rPr>
          <w:rFonts w:cs="Calibri"/>
          <w:lang w:val="es-ES"/>
        </w:rPr>
        <w:t xml:space="preserve">La Mesa </w:t>
      </w:r>
      <w:r w:rsidR="00B75D0B">
        <w:rPr>
          <w:rFonts w:cs="Calibri"/>
          <w:lang w:val="es-ES"/>
        </w:rPr>
        <w:t>evaluaría también</w:t>
      </w:r>
      <w:r w:rsidR="00B75D0B" w:rsidRPr="00F019E4">
        <w:rPr>
          <w:rFonts w:cs="Calibri"/>
          <w:lang w:val="es-ES"/>
        </w:rPr>
        <w:t xml:space="preserve"> </w:t>
      </w:r>
      <w:r w:rsidR="00EE33A6" w:rsidRPr="00F019E4">
        <w:rPr>
          <w:rFonts w:cs="Calibri"/>
          <w:lang w:val="es-ES"/>
        </w:rPr>
        <w:t>los conocimientos especializados adicionales y otras consideraciones pertinentes necesarias para garantizar el equilibrio adecuado desde el punto de vista intelectual y disciplinario, de género, temático y relacionado con la experiencia, y decidir</w:t>
      </w:r>
      <w:r w:rsidR="00B75D0B">
        <w:rPr>
          <w:rFonts w:cs="Calibri"/>
          <w:lang w:val="es-ES"/>
        </w:rPr>
        <w:t xml:space="preserve">ía </w:t>
      </w:r>
      <w:r w:rsidR="00EE33A6" w:rsidRPr="00F019E4">
        <w:rPr>
          <w:rFonts w:cs="Calibri"/>
          <w:lang w:val="es-ES"/>
        </w:rPr>
        <w:t xml:space="preserve">a </w:t>
      </w:r>
      <w:r w:rsidR="00B75D0B">
        <w:rPr>
          <w:rFonts w:cs="Calibri"/>
          <w:lang w:val="es-ES"/>
        </w:rPr>
        <w:t xml:space="preserve">cuáles </w:t>
      </w:r>
      <w:r w:rsidR="00EE33A6" w:rsidRPr="00F019E4">
        <w:rPr>
          <w:rFonts w:cs="Calibri"/>
          <w:lang w:val="es-ES"/>
        </w:rPr>
        <w:t xml:space="preserve">de los candidatos regionales que queden después de ese proceso recomendaría al Plenario para que integren el Grupo </w:t>
      </w:r>
      <w:r w:rsidR="00132CA9">
        <w:rPr>
          <w:rFonts w:cs="Calibri"/>
          <w:lang w:val="es-ES"/>
        </w:rPr>
        <w:t xml:space="preserve">a fin de </w:t>
      </w:r>
      <w:r w:rsidR="00EE33A6" w:rsidRPr="00F019E4">
        <w:rPr>
          <w:rFonts w:cs="Calibri"/>
          <w:lang w:val="es-ES"/>
        </w:rPr>
        <w:t>satisfacer en la mejor medida posible sus necesidades.</w:t>
      </w:r>
      <w:r w:rsidR="000A7562" w:rsidRPr="00F019E4">
        <w:rPr>
          <w:rFonts w:cs="Calibri"/>
          <w:lang w:val="es-ES"/>
        </w:rPr>
        <w:t xml:space="preserve"> </w:t>
      </w:r>
      <w:r w:rsidR="00EE33A6" w:rsidRPr="00F019E4">
        <w:rPr>
          <w:rFonts w:cs="Calibri"/>
          <w:lang w:val="es-ES"/>
        </w:rPr>
        <w:t xml:space="preserve">En el caso de que quede demostrado claramente que las candidaturas no satisfacen el requisito de equilibrio en la composición del Grupo, la Mesa </w:t>
      </w:r>
      <w:r w:rsidR="00B75D0B">
        <w:rPr>
          <w:rFonts w:cs="Calibri"/>
          <w:lang w:val="es-ES"/>
        </w:rPr>
        <w:t xml:space="preserve">podrá </w:t>
      </w:r>
      <w:r w:rsidR="00EE33A6" w:rsidRPr="00F019E4">
        <w:rPr>
          <w:rFonts w:cs="Calibri"/>
          <w:lang w:val="es-ES"/>
        </w:rPr>
        <w:t>solicitar a miembros y observadores que identifiquen candidatos con la competencia específica requerida</w:t>
      </w:r>
      <w:r w:rsidR="000A7562" w:rsidRPr="00F019E4">
        <w:rPr>
          <w:rFonts w:cs="Calibri"/>
          <w:lang w:val="es-ES"/>
        </w:rPr>
        <w:t>.</w:t>
      </w:r>
    </w:p>
    <w:p w:rsidR="000A7562" w:rsidRPr="00F019E4" w:rsidRDefault="00EE33A6" w:rsidP="009B4415">
      <w:pPr>
        <w:pStyle w:val="Normalnumber"/>
        <w:numPr>
          <w:ilvl w:val="0"/>
          <w:numId w:val="8"/>
        </w:numPr>
        <w:tabs>
          <w:tab w:val="clear" w:pos="567"/>
          <w:tab w:val="num" w:pos="1134"/>
          <w:tab w:val="left" w:pos="1247"/>
          <w:tab w:val="left" w:pos="1814"/>
          <w:tab w:val="left" w:pos="2381"/>
          <w:tab w:val="left" w:pos="2948"/>
          <w:tab w:val="left" w:pos="3515"/>
          <w:tab w:val="left" w:pos="4082"/>
        </w:tabs>
        <w:rPr>
          <w:rFonts w:cs="Calibri"/>
          <w:lang w:val="es-ES"/>
        </w:rPr>
      </w:pPr>
      <w:r w:rsidRPr="00F019E4">
        <w:rPr>
          <w:rFonts w:cs="Calibri"/>
          <w:lang w:val="es-ES"/>
        </w:rPr>
        <w:t xml:space="preserve">Una vez que la Mesa haya </w:t>
      </w:r>
      <w:r w:rsidR="00132CA9">
        <w:rPr>
          <w:rFonts w:cs="Calibri"/>
          <w:lang w:val="es-ES"/>
        </w:rPr>
        <w:t>acorda</w:t>
      </w:r>
      <w:r w:rsidRPr="00F019E4">
        <w:rPr>
          <w:rFonts w:cs="Calibri"/>
          <w:lang w:val="es-ES"/>
        </w:rPr>
        <w:t>do una lista adecuadamente equilibrada de candidatos seleccionados de las candidaturas regionales, se presentará al Plenario una lista definitiva para que este la examine de consuno con un breve informe de la Mesa sobre el proceso de selección</w:t>
      </w:r>
      <w:r w:rsidR="000A7562" w:rsidRPr="00F019E4">
        <w:rPr>
          <w:rFonts w:cs="Calibri"/>
          <w:lang w:val="es-ES"/>
        </w:rPr>
        <w:t xml:space="preserve">. </w:t>
      </w:r>
      <w:r w:rsidR="00850113" w:rsidRPr="00F019E4">
        <w:rPr>
          <w:rFonts w:cs="Calibri"/>
          <w:lang w:val="es-ES"/>
        </w:rPr>
        <w:t>Se prevé que el proceso de selección de la lista definitiva de candidatos por la Mesa tenga lugar durante los primeros tres días del período de sesiones del Plenario, de manera que se haya decidido la nueva composición del Grupo antes de que finalice el período de sesiones</w:t>
      </w:r>
      <w:r w:rsidR="000A7562" w:rsidRPr="00F019E4">
        <w:rPr>
          <w:rFonts w:cs="Calibri"/>
          <w:lang w:val="es-ES"/>
        </w:rPr>
        <w:t>.</w:t>
      </w:r>
    </w:p>
    <w:p w:rsidR="000A7562" w:rsidRPr="00F019E4" w:rsidRDefault="000A7562" w:rsidP="009B4415">
      <w:pPr>
        <w:pStyle w:val="Normal-pool"/>
        <w:rPr>
          <w:lang w:val="es-ES"/>
        </w:rPr>
      </w:pPr>
    </w:p>
    <w:tbl>
      <w:tblPr>
        <w:tblW w:w="0" w:type="auto"/>
        <w:tblLook w:val="01E0" w:firstRow="1" w:lastRow="1" w:firstColumn="1" w:lastColumn="1" w:noHBand="0" w:noVBand="0"/>
      </w:tblPr>
      <w:tblGrid>
        <w:gridCol w:w="3237"/>
        <w:gridCol w:w="3237"/>
        <w:gridCol w:w="3238"/>
      </w:tblGrid>
      <w:tr w:rsidR="000A7562" w:rsidRPr="00F019E4" w:rsidTr="00E863CA">
        <w:tc>
          <w:tcPr>
            <w:tcW w:w="3237" w:type="dxa"/>
          </w:tcPr>
          <w:p w:rsidR="000A7562" w:rsidRPr="00F019E4" w:rsidRDefault="000A7562" w:rsidP="009B4415">
            <w:pPr>
              <w:pStyle w:val="Normal-pool"/>
              <w:rPr>
                <w:lang w:val="es-ES"/>
              </w:rPr>
            </w:pPr>
          </w:p>
        </w:tc>
        <w:tc>
          <w:tcPr>
            <w:tcW w:w="3237" w:type="dxa"/>
            <w:tcBorders>
              <w:bottom w:val="single" w:sz="4" w:space="0" w:color="auto"/>
            </w:tcBorders>
          </w:tcPr>
          <w:p w:rsidR="000A7562" w:rsidRPr="00F019E4" w:rsidRDefault="000A7562" w:rsidP="009B4415">
            <w:pPr>
              <w:pStyle w:val="Normal-pool"/>
              <w:rPr>
                <w:lang w:val="es-ES"/>
              </w:rPr>
            </w:pPr>
          </w:p>
        </w:tc>
        <w:tc>
          <w:tcPr>
            <w:tcW w:w="3238" w:type="dxa"/>
          </w:tcPr>
          <w:p w:rsidR="000A7562" w:rsidRPr="00F019E4" w:rsidRDefault="000A7562" w:rsidP="009B4415">
            <w:pPr>
              <w:pStyle w:val="Normal-pool"/>
              <w:rPr>
                <w:lang w:val="es-ES"/>
              </w:rPr>
            </w:pPr>
          </w:p>
        </w:tc>
      </w:tr>
    </w:tbl>
    <w:p w:rsidR="000A7562" w:rsidRPr="00F019E4" w:rsidRDefault="000A7562" w:rsidP="009B4415">
      <w:pPr>
        <w:pStyle w:val="Normal-pool"/>
        <w:rPr>
          <w:lang w:val="es-ES"/>
        </w:rPr>
      </w:pPr>
    </w:p>
    <w:sectPr w:rsidR="000A7562" w:rsidRPr="00F019E4" w:rsidSect="00896512">
      <w:headerReference w:type="even" r:id="rId10"/>
      <w:headerReference w:type="default" r:id="rId11"/>
      <w:footerReference w:type="even" r:id="rId12"/>
      <w:footerReference w:type="default" r:id="rId13"/>
      <w:headerReference w:type="first" r:id="rId14"/>
      <w:footerReference w:type="first" r:id="rId15"/>
      <w:pgSz w:w="12240" w:h="15840" w:code="1"/>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EE" w:rsidRDefault="00E544EE" w:rsidP="000A7562">
      <w:r>
        <w:separator/>
      </w:r>
    </w:p>
  </w:endnote>
  <w:endnote w:type="continuationSeparator" w:id="0">
    <w:p w:rsidR="00E544EE" w:rsidRDefault="00E544EE" w:rsidP="000A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72" w:rsidRPr="00896512" w:rsidRDefault="007E7872">
    <w:pPr>
      <w:pStyle w:val="Footer"/>
      <w:rPr>
        <w:b/>
        <w:szCs w:val="18"/>
      </w:rPr>
    </w:pPr>
    <w:r w:rsidRPr="00896512">
      <w:rPr>
        <w:b/>
        <w:szCs w:val="18"/>
      </w:rPr>
      <w:fldChar w:fldCharType="begin"/>
    </w:r>
    <w:r w:rsidRPr="00896512">
      <w:rPr>
        <w:b/>
        <w:szCs w:val="18"/>
      </w:rPr>
      <w:instrText xml:space="preserve"> PAGE   \* MERGEFORMAT </w:instrText>
    </w:r>
    <w:r w:rsidRPr="00896512">
      <w:rPr>
        <w:b/>
        <w:szCs w:val="18"/>
      </w:rPr>
      <w:fldChar w:fldCharType="separate"/>
    </w:r>
    <w:r w:rsidR="00CD4680">
      <w:rPr>
        <w:b/>
        <w:noProof/>
        <w:szCs w:val="18"/>
      </w:rPr>
      <w:t>4</w:t>
    </w:r>
    <w:r w:rsidRPr="00896512">
      <w:rPr>
        <w:b/>
        <w:noProof/>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72" w:rsidRPr="00896512" w:rsidRDefault="007E7872" w:rsidP="00896512">
    <w:pPr>
      <w:pStyle w:val="Footer"/>
      <w:jc w:val="right"/>
      <w:rPr>
        <w:b/>
      </w:rPr>
    </w:pPr>
    <w:r w:rsidRPr="00896512">
      <w:rPr>
        <w:b/>
      </w:rPr>
      <w:fldChar w:fldCharType="begin"/>
    </w:r>
    <w:r w:rsidRPr="00896512">
      <w:rPr>
        <w:b/>
      </w:rPr>
      <w:instrText xml:space="preserve"> PAGE   \* MERGEFORMAT </w:instrText>
    </w:r>
    <w:r w:rsidRPr="00896512">
      <w:rPr>
        <w:b/>
      </w:rPr>
      <w:fldChar w:fldCharType="separate"/>
    </w:r>
    <w:r w:rsidR="00CD4680">
      <w:rPr>
        <w:b/>
        <w:noProof/>
      </w:rPr>
      <w:t>3</w:t>
    </w:r>
    <w:r w:rsidRPr="00896512">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72" w:rsidRDefault="007E7872" w:rsidP="00901758">
    <w:pPr>
      <w:pStyle w:val="Footer"/>
      <w:tabs>
        <w:tab w:val="clear" w:pos="4320"/>
        <w:tab w:val="clear" w:pos="8640"/>
        <w:tab w:val="left" w:pos="624"/>
      </w:tabs>
    </w:pPr>
    <w:r>
      <w:t>K1353140</w:t>
    </w:r>
    <w:r>
      <w:tab/>
      <w:t>021213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EE" w:rsidRDefault="00E544EE" w:rsidP="00D650CD">
      <w:pPr>
        <w:spacing w:after="120"/>
        <w:ind w:left="624"/>
      </w:pPr>
      <w:r>
        <w:separator/>
      </w:r>
    </w:p>
  </w:footnote>
  <w:footnote w:type="continuationSeparator" w:id="0">
    <w:p w:rsidR="00E544EE" w:rsidRDefault="00E544EE" w:rsidP="000A7562">
      <w:r>
        <w:continuationSeparator/>
      </w:r>
    </w:p>
  </w:footnote>
  <w:footnote w:id="1">
    <w:p w:rsidR="007E7872" w:rsidRPr="007E7872" w:rsidRDefault="007E7872">
      <w:pPr>
        <w:pStyle w:val="FootnoteText"/>
        <w:rPr>
          <w:lang w:val="es-ES"/>
        </w:rPr>
      </w:pPr>
      <w:r w:rsidRPr="007E7872">
        <w:rPr>
          <w:rStyle w:val="FootnoteReference"/>
        </w:rPr>
        <w:sym w:font="Symbol" w:char="F02A"/>
      </w:r>
      <w:r>
        <w:t xml:space="preserve"> Publicado nuevamente por razones técnicas el 29 de noviembre de 2013.</w:t>
      </w:r>
    </w:p>
  </w:footnote>
  <w:footnote w:id="2">
    <w:p w:rsidR="007E7872" w:rsidRPr="007E7872" w:rsidRDefault="007E7872">
      <w:pPr>
        <w:pStyle w:val="FootnoteText"/>
        <w:rPr>
          <w:lang w:val="es-ES"/>
        </w:rPr>
      </w:pPr>
      <w:r w:rsidRPr="007E7872">
        <w:rPr>
          <w:rStyle w:val="FootnoteReference"/>
        </w:rPr>
        <w:sym w:font="Symbol" w:char="F02A"/>
      </w:r>
      <w:r w:rsidRPr="007E7872">
        <w:rPr>
          <w:rStyle w:val="FootnoteReference"/>
        </w:rPr>
        <w:sym w:font="Symbol" w:char="F02A"/>
      </w:r>
      <w:r>
        <w:t xml:space="preserve"> </w:t>
      </w:r>
      <w:r w:rsidRPr="00D650CD">
        <w:rPr>
          <w:szCs w:val="18"/>
        </w:rPr>
        <w:t>IPBES/</w:t>
      </w:r>
      <w:r w:rsidRPr="00D650CD">
        <w:rPr>
          <w:szCs w:val="18"/>
          <w:lang w:eastAsia="ja-JP"/>
        </w:rPr>
        <w:t>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72" w:rsidRPr="000A7562" w:rsidRDefault="007E7872">
    <w:pPr>
      <w:pStyle w:val="Header"/>
      <w:rPr>
        <w:szCs w:val="18"/>
      </w:rPr>
    </w:pPr>
    <w:r w:rsidRPr="000A7562">
      <w:rPr>
        <w:szCs w:val="18"/>
      </w:rPr>
      <w:t>IPBES</w:t>
    </w:r>
    <w:r w:rsidRPr="000A7562">
      <w:rPr>
        <w:szCs w:val="18"/>
        <w:lang w:eastAsia="ja-JP"/>
      </w:rPr>
      <w:t>/2/8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72" w:rsidRPr="00901758" w:rsidRDefault="007E7872" w:rsidP="00901758">
    <w:pPr>
      <w:pStyle w:val="Header"/>
      <w:jc w:val="right"/>
      <w:rPr>
        <w:szCs w:val="18"/>
      </w:rPr>
    </w:pPr>
    <w:r w:rsidRPr="000A7562">
      <w:rPr>
        <w:szCs w:val="18"/>
      </w:rPr>
      <w:t>IPBES</w:t>
    </w:r>
    <w:r w:rsidRPr="000A7562">
      <w:rPr>
        <w:szCs w:val="18"/>
        <w:lang w:eastAsia="ja-JP"/>
      </w:rPr>
      <w:t>/2/8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72" w:rsidRDefault="007E7872" w:rsidP="0089651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63EB"/>
    <w:multiLevelType w:val="hybridMultilevel"/>
    <w:tmpl w:val="F022EF46"/>
    <w:lvl w:ilvl="0" w:tplc="DDE89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13C5C"/>
    <w:multiLevelType w:val="hybridMultilevel"/>
    <w:tmpl w:val="B570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90EE5"/>
    <w:multiLevelType w:val="hybridMultilevel"/>
    <w:tmpl w:val="2864F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2291BF8"/>
    <w:multiLevelType w:val="multilevel"/>
    <w:tmpl w:val="F4ACF36E"/>
    <w:numStyleLink w:val="Normallist"/>
  </w:abstractNum>
  <w:num w:numId="1">
    <w:abstractNumId w:val="3"/>
  </w:num>
  <w:num w:numId="2">
    <w:abstractNumId w:val="4"/>
  </w:num>
  <w:num w:numId="3">
    <w:abstractNumId w:val="5"/>
  </w:num>
  <w:num w:numId="4">
    <w:abstractNumId w:val="6"/>
  </w:num>
  <w:num w:numId="5">
    <w:abstractNumId w:val="3"/>
  </w:num>
  <w:num w:numId="6">
    <w:abstractNumId w:val="4"/>
  </w:num>
  <w:num w:numId="7">
    <w:abstractNumId w:val="5"/>
  </w:num>
  <w:num w:numId="8">
    <w:abstractNumId w:val="6"/>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62"/>
    <w:rsid w:val="00004A21"/>
    <w:rsid w:val="00005783"/>
    <w:rsid w:val="00011C9F"/>
    <w:rsid w:val="00024C7F"/>
    <w:rsid w:val="00026A85"/>
    <w:rsid w:val="000351E3"/>
    <w:rsid w:val="000368B6"/>
    <w:rsid w:val="00057E9A"/>
    <w:rsid w:val="00063327"/>
    <w:rsid w:val="00065810"/>
    <w:rsid w:val="00070C08"/>
    <w:rsid w:val="00071A6D"/>
    <w:rsid w:val="00072838"/>
    <w:rsid w:val="000A7562"/>
    <w:rsid w:val="000B3CFE"/>
    <w:rsid w:val="000D1B0C"/>
    <w:rsid w:val="000D1DD7"/>
    <w:rsid w:val="000F0A04"/>
    <w:rsid w:val="000F30FD"/>
    <w:rsid w:val="0013275C"/>
    <w:rsid w:val="00132CA9"/>
    <w:rsid w:val="00137472"/>
    <w:rsid w:val="00157639"/>
    <w:rsid w:val="00206AB4"/>
    <w:rsid w:val="00217319"/>
    <w:rsid w:val="00236167"/>
    <w:rsid w:val="002376EB"/>
    <w:rsid w:val="00240259"/>
    <w:rsid w:val="00253717"/>
    <w:rsid w:val="00267A16"/>
    <w:rsid w:val="0027208A"/>
    <w:rsid w:val="002F165E"/>
    <w:rsid w:val="002F5683"/>
    <w:rsid w:val="0031744A"/>
    <w:rsid w:val="00332BA7"/>
    <w:rsid w:val="00344C15"/>
    <w:rsid w:val="00347CA1"/>
    <w:rsid w:val="003A5C84"/>
    <w:rsid w:val="003E76F0"/>
    <w:rsid w:val="00473B66"/>
    <w:rsid w:val="004C5FE6"/>
    <w:rsid w:val="004D5371"/>
    <w:rsid w:val="004F0BA2"/>
    <w:rsid w:val="00506EC3"/>
    <w:rsid w:val="005509A1"/>
    <w:rsid w:val="0055232E"/>
    <w:rsid w:val="0055384A"/>
    <w:rsid w:val="00556D16"/>
    <w:rsid w:val="005847AD"/>
    <w:rsid w:val="005A66F6"/>
    <w:rsid w:val="005B24A5"/>
    <w:rsid w:val="005B3257"/>
    <w:rsid w:val="00600A77"/>
    <w:rsid w:val="00610953"/>
    <w:rsid w:val="00626212"/>
    <w:rsid w:val="006539EC"/>
    <w:rsid w:val="0065728B"/>
    <w:rsid w:val="006765E4"/>
    <w:rsid w:val="00682FE8"/>
    <w:rsid w:val="006853BF"/>
    <w:rsid w:val="006A06A1"/>
    <w:rsid w:val="006D7D2F"/>
    <w:rsid w:val="006E7930"/>
    <w:rsid w:val="00773C5E"/>
    <w:rsid w:val="007873F6"/>
    <w:rsid w:val="007A2C8F"/>
    <w:rsid w:val="007E7872"/>
    <w:rsid w:val="007F1F4B"/>
    <w:rsid w:val="00802301"/>
    <w:rsid w:val="008334EC"/>
    <w:rsid w:val="00844228"/>
    <w:rsid w:val="00844C30"/>
    <w:rsid w:val="00850113"/>
    <w:rsid w:val="008571E3"/>
    <w:rsid w:val="00881CFA"/>
    <w:rsid w:val="00896001"/>
    <w:rsid w:val="00896512"/>
    <w:rsid w:val="008A3616"/>
    <w:rsid w:val="008A3671"/>
    <w:rsid w:val="008A6F7D"/>
    <w:rsid w:val="008B0C31"/>
    <w:rsid w:val="00901758"/>
    <w:rsid w:val="009035A6"/>
    <w:rsid w:val="0098191C"/>
    <w:rsid w:val="00986C7E"/>
    <w:rsid w:val="009A289F"/>
    <w:rsid w:val="009B0D9B"/>
    <w:rsid w:val="009B4415"/>
    <w:rsid w:val="009C251F"/>
    <w:rsid w:val="00A33170"/>
    <w:rsid w:val="00A942CC"/>
    <w:rsid w:val="00AF5749"/>
    <w:rsid w:val="00B1732F"/>
    <w:rsid w:val="00B37E97"/>
    <w:rsid w:val="00B75D0B"/>
    <w:rsid w:val="00B8058B"/>
    <w:rsid w:val="00B93A1A"/>
    <w:rsid w:val="00BA39B4"/>
    <w:rsid w:val="00CA5FC2"/>
    <w:rsid w:val="00CD4680"/>
    <w:rsid w:val="00CD639A"/>
    <w:rsid w:val="00D15042"/>
    <w:rsid w:val="00D21E54"/>
    <w:rsid w:val="00D2794D"/>
    <w:rsid w:val="00D30873"/>
    <w:rsid w:val="00D650CD"/>
    <w:rsid w:val="00D70E44"/>
    <w:rsid w:val="00D712AD"/>
    <w:rsid w:val="00DB10E7"/>
    <w:rsid w:val="00DD5A03"/>
    <w:rsid w:val="00E06B83"/>
    <w:rsid w:val="00E128C5"/>
    <w:rsid w:val="00E522E1"/>
    <w:rsid w:val="00E544EE"/>
    <w:rsid w:val="00E863CA"/>
    <w:rsid w:val="00E8702C"/>
    <w:rsid w:val="00EB1857"/>
    <w:rsid w:val="00EC4FC0"/>
    <w:rsid w:val="00ED2317"/>
    <w:rsid w:val="00EE33A6"/>
    <w:rsid w:val="00EE663C"/>
    <w:rsid w:val="00EF73E8"/>
    <w:rsid w:val="00F019E4"/>
    <w:rsid w:val="00F0553B"/>
    <w:rsid w:val="00F5181A"/>
    <w:rsid w:val="00FB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028C369-2C49-402F-83B3-E11BFBEA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header" w:semiHidden="1"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annotation reference" w:uiPriority="99"/>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62"/>
    <w:rPr>
      <w:rFonts w:eastAsia="MS Mincho"/>
      <w:lang w:val="en-GB"/>
    </w:rPr>
  </w:style>
  <w:style w:type="paragraph" w:styleId="Heading1">
    <w:name w:val="heading 1"/>
    <w:basedOn w:val="Normal"/>
    <w:next w:val="Normalnumber"/>
    <w:link w:val="Heading1Char"/>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5"/>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6"/>
      </w:numPr>
      <w:suppressAutoHyphens/>
      <w:jc w:val="center"/>
      <w:outlineLvl w:val="8"/>
    </w:pPr>
    <w:rPr>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semiHidden/>
    <w:rsid w:val="00FB3A9B"/>
    <w:rPr>
      <w:rFonts w:ascii="Times New Roman" w:hAnsi="Times New Roman"/>
      <w:color w:val="auto"/>
      <w:sz w:val="20"/>
      <w:szCs w:val="18"/>
      <w:vertAlign w:val="superscript"/>
    </w:rPr>
  </w:style>
  <w:style w:type="paragraph" w:styleId="FootnoteText">
    <w:name w:val="footnote text"/>
    <w:basedOn w:val="Normalpool"/>
    <w:link w:val="FootnoteTextChar"/>
    <w:semiHidden/>
    <w:rsid w:val="00FB3A9B"/>
    <w:pPr>
      <w:spacing w:before="20" w:after="40"/>
      <w:ind w:left="1247"/>
    </w:pPr>
    <w:rPr>
      <w:sz w:val="18"/>
    </w:rPr>
  </w:style>
  <w:style w:type="character" w:customStyle="1" w:styleId="FootnoteTextChar">
    <w:name w:val="Footnote Text Char"/>
    <w:link w:val="FootnoteText"/>
    <w:semiHidden/>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val="0"/>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val="0"/>
      <w:sz w:val="20"/>
      <w:szCs w:val="20"/>
      <w:u w:val="single"/>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E863CA"/>
    <w:p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character" w:customStyle="1" w:styleId="Normal-poolChar">
    <w:name w:val="Normal-pool Char"/>
    <w:link w:val="Normal-pool"/>
    <w:rsid w:val="000A7562"/>
    <w:rPr>
      <w:rFonts w:eastAsia="Times New Roman"/>
      <w:lang w:val="en-GB"/>
    </w:rPr>
  </w:style>
  <w:style w:type="paragraph" w:styleId="ListParagraph">
    <w:name w:val="List Paragraph"/>
    <w:basedOn w:val="Normal"/>
    <w:uiPriority w:val="34"/>
    <w:qFormat/>
    <w:rsid w:val="000A7562"/>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0A7562"/>
    <w:rPr>
      <w:sz w:val="16"/>
      <w:szCs w:val="16"/>
    </w:rPr>
  </w:style>
  <w:style w:type="character" w:customStyle="1" w:styleId="NormalnumberChar">
    <w:name w:val="Normal_number Char"/>
    <w:link w:val="Normalnumber"/>
    <w:locked/>
    <w:rsid w:val="00E863CA"/>
    <w:rPr>
      <w:rFonts w:eastAsia="Times New Roman"/>
      <w:lang w:val="fr-CA"/>
    </w:rPr>
  </w:style>
  <w:style w:type="paragraph" w:styleId="CommentText">
    <w:name w:val="annotation text"/>
    <w:basedOn w:val="Normal"/>
    <w:link w:val="CommentTextChar"/>
    <w:rsid w:val="00F5181A"/>
  </w:style>
  <w:style w:type="character" w:customStyle="1" w:styleId="CommentTextChar">
    <w:name w:val="Comment Text Char"/>
    <w:link w:val="CommentText"/>
    <w:rsid w:val="00F5181A"/>
    <w:rPr>
      <w:rFonts w:eastAsia="MS Mincho"/>
      <w:lang w:val="en-GB"/>
    </w:rPr>
  </w:style>
  <w:style w:type="paragraph" w:styleId="CommentSubject">
    <w:name w:val="annotation subject"/>
    <w:basedOn w:val="CommentText"/>
    <w:next w:val="CommentText"/>
    <w:link w:val="CommentSubjectChar"/>
    <w:rsid w:val="00F5181A"/>
    <w:rPr>
      <w:b/>
      <w:bCs/>
    </w:rPr>
  </w:style>
  <w:style w:type="character" w:customStyle="1" w:styleId="CommentSubjectChar">
    <w:name w:val="Comment Subject Char"/>
    <w:link w:val="CommentSubject"/>
    <w:rsid w:val="00F5181A"/>
    <w:rPr>
      <w:rFonts w:eastAsia="MS Mincho"/>
      <w:b/>
      <w:bCs/>
      <w:lang w:val="en-GB"/>
    </w:rPr>
  </w:style>
  <w:style w:type="paragraph" w:styleId="Revision">
    <w:name w:val="Revision"/>
    <w:hidden/>
    <w:uiPriority w:val="99"/>
    <w:semiHidden/>
    <w:rsid w:val="005B24A5"/>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01BF-1FCC-425E-BC96-12451769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Mwanza</dc:creator>
  <cp:keywords/>
  <cp:lastModifiedBy>Rohan Shanbhag</cp:lastModifiedBy>
  <cp:revision>2</cp:revision>
  <cp:lastPrinted>2013-10-07T14:29:00Z</cp:lastPrinted>
  <dcterms:created xsi:type="dcterms:W3CDTF">2013-12-07T08:21:00Z</dcterms:created>
  <dcterms:modified xsi:type="dcterms:W3CDTF">2013-12-07T08:21:00Z</dcterms:modified>
</cp:coreProperties>
</file>