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108" w:type="dxa"/>
        <w:tblLayout w:type="fixed"/>
        <w:tblLook w:val="0000"/>
      </w:tblPr>
      <w:tblGrid>
        <w:gridCol w:w="1650"/>
        <w:gridCol w:w="4950"/>
        <w:gridCol w:w="1649"/>
        <w:gridCol w:w="1321"/>
      </w:tblGrid>
      <w:tr w:rsidR="003C748F" w:rsidTr="002B71C3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8249" w:type="dxa"/>
            <w:gridSpan w:val="3"/>
          </w:tcPr>
          <w:p w:rsidR="003C748F" w:rsidRPr="003508D2" w:rsidRDefault="003C74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3636B5" w:rsidRDefault="0002592C" w:rsidP="00F550EE">
            <w:pPr>
              <w:rPr>
                <w:sz w:val="22"/>
                <w:lang w:val="ru-RU"/>
              </w:rPr>
            </w:pPr>
            <w:r w:rsidRPr="005F529B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3636B5">
              <w:rPr>
                <w:sz w:val="20"/>
                <w:lang w:val="en-US"/>
              </w:rPr>
              <w:t>1</w:t>
            </w:r>
          </w:p>
        </w:tc>
      </w:tr>
      <w:bookmarkStart w:id="0" w:name="_MON_1021710482"/>
      <w:bookmarkStart w:id="1" w:name="_MON_1021710510"/>
      <w:bookmarkStart w:id="2" w:name="_MON_1026544529"/>
      <w:bookmarkEnd w:id="0"/>
      <w:bookmarkEnd w:id="1"/>
      <w:bookmarkEnd w:id="2"/>
      <w:tr w:rsidR="003C748F" w:rsidTr="002B71C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1.85pt" o:ole="" fillcolor="window">
                  <v:imagedata r:id="rId7" o:title=""/>
                </v:shape>
                <o:OLEObject Type="Embed" ProgID="Word.Picture.8" ShapeID="_x0000_i1025" DrawAspect="Content" ObjectID="_1442168603" r:id="rId8"/>
              </w:object>
            </w:r>
            <w:r w:rsidR="0013420F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6915" cy="746125"/>
                  <wp:effectExtent l="19050" t="0" r="698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 w:rsidP="003508D2">
            <w:pPr>
              <w:rPr>
                <w:sz w:val="22"/>
                <w:lang w:val="ru-RU"/>
              </w:rPr>
            </w:pPr>
          </w:p>
          <w:p w:rsidR="003C748F" w:rsidRDefault="003C748F" w:rsidP="003508D2">
            <w:pPr>
              <w:rPr>
                <w:sz w:val="22"/>
                <w:lang w:val="ru-RU"/>
              </w:rPr>
            </w:pPr>
          </w:p>
          <w:p w:rsidR="003C748F" w:rsidRDefault="003C748F" w:rsidP="003508D2">
            <w:pPr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0F799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General</w:t>
            </w:r>
          </w:p>
          <w:p w:rsidR="003C748F" w:rsidRDefault="005F529B" w:rsidP="003508D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F550EE">
              <w:rPr>
                <w:sz w:val="20"/>
                <w:lang w:val="en-US"/>
              </w:rPr>
              <w:t xml:space="preserve"> September</w:t>
            </w:r>
            <w:r w:rsidR="003C748F">
              <w:rPr>
                <w:sz w:val="20"/>
              </w:rPr>
              <w:t xml:space="preserve"> 20</w:t>
            </w:r>
            <w:r w:rsidR="003636B5">
              <w:rPr>
                <w:sz w:val="20"/>
              </w:rPr>
              <w:t>1</w:t>
            </w:r>
            <w:r w:rsidR="00F550EE">
              <w:rPr>
                <w:sz w:val="20"/>
              </w:rPr>
              <w:t>3</w:t>
            </w:r>
          </w:p>
          <w:p w:rsidR="003C748F" w:rsidRDefault="003C748F" w:rsidP="003508D2">
            <w:pPr>
              <w:rPr>
                <w:sz w:val="20"/>
              </w:rPr>
            </w:pPr>
          </w:p>
          <w:p w:rsidR="003C748F" w:rsidRDefault="003C748F" w:rsidP="003508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>
              <w:rPr>
                <w:sz w:val="20"/>
              </w:rPr>
              <w:t xml:space="preserve">Original: </w:t>
            </w:r>
            <w:r w:rsidR="001957C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</w:tr>
    </w:tbl>
    <w:p w:rsidR="00F550EE" w:rsidRPr="008C70C3" w:rsidRDefault="005F529B" w:rsidP="00F55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0"/>
          <w:lang w:val="ru-RU"/>
        </w:rPr>
      </w:pPr>
      <w:r>
        <w:rPr>
          <w:b/>
          <w:sz w:val="20"/>
          <w:lang w:val="ru-RU"/>
        </w:rPr>
        <w:t>Пленум М</w:t>
      </w:r>
      <w:r w:rsidR="00F550EE" w:rsidRPr="008C70C3">
        <w:rPr>
          <w:b/>
          <w:sz w:val="20"/>
          <w:lang w:val="ru-RU"/>
        </w:rPr>
        <w:t>ежправительственной научно-политической</w:t>
      </w:r>
      <w:r w:rsidR="00F550EE" w:rsidRPr="008C70C3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8C70C3" w:rsidRDefault="00F550EE" w:rsidP="00F55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0"/>
          <w:lang w:val="ru-RU"/>
        </w:rPr>
      </w:pPr>
      <w:r w:rsidRPr="008C70C3">
        <w:rPr>
          <w:b/>
          <w:sz w:val="20"/>
          <w:lang w:val="ru-RU"/>
        </w:rPr>
        <w:t>Вторая сессия</w:t>
      </w:r>
    </w:p>
    <w:p w:rsidR="00F550EE" w:rsidRPr="008C70C3" w:rsidRDefault="00F550EE" w:rsidP="00F55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240"/>
        <w:rPr>
          <w:sz w:val="20"/>
          <w:lang w:val="ru-RU"/>
        </w:rPr>
      </w:pPr>
      <w:r w:rsidRPr="008C70C3">
        <w:rPr>
          <w:sz w:val="20"/>
          <w:lang w:val="ru-RU"/>
        </w:rPr>
        <w:t>Анталия, Турция, 9–14</w:t>
      </w:r>
      <w:r w:rsidRPr="008C70C3">
        <w:rPr>
          <w:sz w:val="20"/>
        </w:rPr>
        <w:t> </w:t>
      </w:r>
      <w:r w:rsidRPr="008C70C3">
        <w:rPr>
          <w:sz w:val="20"/>
          <w:lang w:val="ru-RU"/>
        </w:rPr>
        <w:t>декабря 2013</w:t>
      </w:r>
      <w:r w:rsidRPr="008C70C3">
        <w:rPr>
          <w:sz w:val="20"/>
        </w:rPr>
        <w:t> </w:t>
      </w:r>
      <w:r w:rsidRPr="008C70C3">
        <w:rPr>
          <w:sz w:val="20"/>
          <w:lang w:val="ru-RU"/>
        </w:rPr>
        <w:t>года</w:t>
      </w:r>
    </w:p>
    <w:p w:rsidR="003C748F" w:rsidRPr="008C70C3" w:rsidRDefault="00F26540" w:rsidP="007519BF">
      <w:pPr>
        <w:spacing w:before="360" w:after="240"/>
        <w:ind w:left="1247" w:right="567"/>
        <w:rPr>
          <w:b/>
          <w:sz w:val="28"/>
          <w:szCs w:val="28"/>
          <w:lang w:val="ru-RU"/>
        </w:rPr>
      </w:pPr>
      <w:r w:rsidRPr="008C70C3">
        <w:rPr>
          <w:b/>
          <w:sz w:val="28"/>
          <w:szCs w:val="28"/>
          <w:lang w:val="ru-RU"/>
        </w:rPr>
        <w:t>Предварительная повестка дня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1.</w:t>
      </w:r>
      <w:r w:rsidRPr="008C70C3">
        <w:rPr>
          <w:w w:val="100"/>
        </w:rPr>
        <w:tab/>
        <w:t>Открытие сессии.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2.</w:t>
      </w:r>
      <w:r w:rsidRPr="008C70C3">
        <w:rPr>
          <w:w w:val="100"/>
        </w:rPr>
        <w:tab/>
        <w:t>Организационные вопросы: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</w:rPr>
        <w:t>а)</w:t>
      </w:r>
      <w:r w:rsidRPr="008C70C3">
        <w:rPr>
          <w:w w:val="100"/>
        </w:rPr>
        <w:tab/>
        <w:t>утверждение повестки дня и организация работы;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b</w:t>
      </w:r>
      <w:r w:rsidRPr="008C70C3">
        <w:rPr>
          <w:w w:val="100"/>
        </w:rPr>
        <w:t>)</w:t>
      </w:r>
      <w:r w:rsidRPr="008C70C3">
        <w:rPr>
          <w:w w:val="100"/>
        </w:rPr>
        <w:tab/>
        <w:t>положение дел с членским составом Платформы;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c</w:t>
      </w:r>
      <w:r w:rsidRPr="008C70C3">
        <w:rPr>
          <w:w w:val="100"/>
        </w:rPr>
        <w:t>)</w:t>
      </w:r>
      <w:r w:rsidRPr="008C70C3">
        <w:rPr>
          <w:w w:val="100"/>
        </w:rPr>
        <w:tab/>
        <w:t>допуск наблюдателей на вторую сессию Пленума Платформы.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3.</w:t>
      </w:r>
      <w:r w:rsidRPr="008C70C3">
        <w:rPr>
          <w:w w:val="100"/>
        </w:rPr>
        <w:tab/>
        <w:t>Полномочия представителей.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4.</w:t>
      </w:r>
      <w:r w:rsidRPr="008C70C3">
        <w:rPr>
          <w:w w:val="100"/>
        </w:rPr>
        <w:tab/>
        <w:t>Первоначальная программа работы Платформы: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</w:rPr>
        <w:t>а)</w:t>
      </w:r>
      <w:r w:rsidRPr="008C70C3">
        <w:rPr>
          <w:w w:val="100"/>
        </w:rPr>
        <w:tab/>
        <w:t>программа работы на 2014-2018 годы;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b</w:t>
      </w:r>
      <w:r w:rsidRPr="008C70C3">
        <w:rPr>
          <w:w w:val="100"/>
        </w:rPr>
        <w:t>)</w:t>
      </w:r>
      <w:r w:rsidRPr="008C70C3">
        <w:rPr>
          <w:w w:val="100"/>
        </w:rPr>
        <w:tab/>
        <w:t>концептуальные рамки.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5.</w:t>
      </w:r>
      <w:r w:rsidRPr="008C70C3">
        <w:rPr>
          <w:w w:val="100"/>
        </w:rPr>
        <w:tab/>
        <w:t xml:space="preserve">Финансовая и бюджетная </w:t>
      </w:r>
      <w:r w:rsidR="00626DBE">
        <w:rPr>
          <w:w w:val="100"/>
        </w:rPr>
        <w:t>основа</w:t>
      </w:r>
      <w:r w:rsidR="00626DBE" w:rsidRPr="008C70C3">
        <w:rPr>
          <w:w w:val="100"/>
        </w:rPr>
        <w:t xml:space="preserve"> </w:t>
      </w:r>
      <w:r w:rsidRPr="008C70C3">
        <w:rPr>
          <w:w w:val="100"/>
        </w:rPr>
        <w:t>Платформы: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</w:rPr>
        <w:t>а)</w:t>
      </w:r>
      <w:r w:rsidRPr="008C70C3">
        <w:rPr>
          <w:w w:val="100"/>
        </w:rPr>
        <w:tab/>
        <w:t>бюджет на 2014-2018 годы;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b</w:t>
      </w:r>
      <w:r w:rsidRPr="008C70C3">
        <w:rPr>
          <w:w w:val="100"/>
        </w:rPr>
        <w:t>)</w:t>
      </w:r>
      <w:r w:rsidRPr="008C70C3">
        <w:rPr>
          <w:w w:val="100"/>
        </w:rPr>
        <w:tab/>
        <w:t>варианты для Целевого фонда;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c</w:t>
      </w:r>
      <w:r w:rsidRPr="008C70C3">
        <w:rPr>
          <w:w w:val="100"/>
        </w:rPr>
        <w:t>)</w:t>
      </w:r>
      <w:r w:rsidRPr="008C70C3">
        <w:rPr>
          <w:w w:val="100"/>
        </w:rPr>
        <w:tab/>
        <w:t>финансовые процедуры.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6.</w:t>
      </w:r>
      <w:r w:rsidRPr="008C70C3">
        <w:rPr>
          <w:w w:val="100"/>
        </w:rPr>
        <w:tab/>
        <w:t>Правила и процедуры деятельности Платформы: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</w:rPr>
        <w:t>а)</w:t>
      </w:r>
      <w:r w:rsidRPr="008C70C3">
        <w:rPr>
          <w:w w:val="100"/>
        </w:rPr>
        <w:tab/>
        <w:t>региональная структура Многодисциплинарной группы экспертов;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b</w:t>
      </w:r>
      <w:r w:rsidRPr="008C70C3">
        <w:rPr>
          <w:w w:val="100"/>
        </w:rPr>
        <w:t>)</w:t>
      </w:r>
      <w:r w:rsidRPr="008C70C3">
        <w:rPr>
          <w:w w:val="100"/>
        </w:rPr>
        <w:tab/>
        <w:t>обзор административных процедур для отбора членов Многодисциплинарной группы экспертов;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c</w:t>
      </w:r>
      <w:r w:rsidRPr="008C70C3">
        <w:rPr>
          <w:w w:val="100"/>
        </w:rPr>
        <w:t>)</w:t>
      </w:r>
      <w:r w:rsidRPr="008C70C3">
        <w:rPr>
          <w:w w:val="100"/>
        </w:rPr>
        <w:tab/>
        <w:t xml:space="preserve">процедуры подготовки, рецензирования, согласования, утверждения, одобрения и </w:t>
      </w:r>
      <w:r w:rsidR="00626DBE">
        <w:rPr>
          <w:w w:val="100"/>
        </w:rPr>
        <w:t>о</w:t>
      </w:r>
      <w:r w:rsidRPr="008C70C3">
        <w:rPr>
          <w:w w:val="100"/>
        </w:rPr>
        <w:t>публик</w:t>
      </w:r>
      <w:r w:rsidR="00626DBE">
        <w:rPr>
          <w:w w:val="100"/>
        </w:rPr>
        <w:t>ования</w:t>
      </w:r>
      <w:r w:rsidRPr="008C70C3">
        <w:rPr>
          <w:w w:val="100"/>
        </w:rPr>
        <w:t xml:space="preserve"> докладов об оценке и других </w:t>
      </w:r>
      <w:r w:rsidRPr="002868D1">
        <w:rPr>
          <w:w w:val="100"/>
        </w:rPr>
        <w:t>материалов</w:t>
      </w:r>
      <w:r w:rsidRPr="008C70C3">
        <w:rPr>
          <w:w w:val="100"/>
        </w:rPr>
        <w:t xml:space="preserve"> Платформы;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d</w:t>
      </w:r>
      <w:r w:rsidRPr="008C70C3">
        <w:rPr>
          <w:w w:val="100"/>
        </w:rPr>
        <w:t>)</w:t>
      </w:r>
      <w:r w:rsidRPr="008C70C3">
        <w:rPr>
          <w:w w:val="100"/>
        </w:rPr>
        <w:tab/>
        <w:t xml:space="preserve">политика и процедуры </w:t>
      </w:r>
      <w:r w:rsidR="00626DBE">
        <w:rPr>
          <w:w w:val="100"/>
        </w:rPr>
        <w:t xml:space="preserve">в отношении </w:t>
      </w:r>
      <w:r w:rsidRPr="008C70C3">
        <w:rPr>
          <w:w w:val="100"/>
        </w:rPr>
        <w:t>допуска наблюдателей;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e</w:t>
      </w:r>
      <w:r w:rsidRPr="008C70C3">
        <w:rPr>
          <w:w w:val="100"/>
        </w:rPr>
        <w:t>)</w:t>
      </w:r>
      <w:r w:rsidRPr="008C70C3">
        <w:rPr>
          <w:w w:val="100"/>
        </w:rPr>
        <w:tab/>
        <w:t xml:space="preserve">политика в отношении </w:t>
      </w:r>
      <w:r w:rsidRPr="002868D1">
        <w:rPr>
          <w:w w:val="100"/>
        </w:rPr>
        <w:t>коллизии</w:t>
      </w:r>
      <w:r w:rsidRPr="008C70C3">
        <w:rPr>
          <w:w w:val="100"/>
        </w:rPr>
        <w:t xml:space="preserve"> интересов.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7.</w:t>
      </w:r>
      <w:r w:rsidRPr="008C70C3">
        <w:rPr>
          <w:w w:val="100"/>
        </w:rPr>
        <w:tab/>
        <w:t>Информационное обеспечение и привлечение заинтересованных сторон: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</w:rPr>
        <w:t>а)</w:t>
      </w:r>
      <w:r w:rsidRPr="008C70C3">
        <w:rPr>
          <w:w w:val="100"/>
        </w:rPr>
        <w:tab/>
        <w:t xml:space="preserve">стратегия </w:t>
      </w:r>
      <w:r w:rsidR="00626DBE">
        <w:rPr>
          <w:w w:val="100"/>
        </w:rPr>
        <w:t xml:space="preserve">в сфере </w:t>
      </w:r>
      <w:r w:rsidRPr="008C70C3">
        <w:rPr>
          <w:w w:val="100"/>
        </w:rPr>
        <w:t>информационно-пропагандистской деятельности;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b</w:t>
      </w:r>
      <w:r w:rsidRPr="008C70C3">
        <w:rPr>
          <w:w w:val="100"/>
        </w:rPr>
        <w:t>)</w:t>
      </w:r>
      <w:r w:rsidRPr="008C70C3">
        <w:rPr>
          <w:w w:val="100"/>
        </w:rPr>
        <w:tab/>
        <w:t>стратегия привлечения заинтересованных сторон;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2495" w:right="0" w:hanging="624"/>
        <w:jc w:val="left"/>
        <w:rPr>
          <w:w w:val="100"/>
        </w:rPr>
      </w:pPr>
      <w:r w:rsidRPr="008C70C3">
        <w:rPr>
          <w:w w:val="100"/>
          <w:lang w:val="en-US"/>
        </w:rPr>
        <w:t>c</w:t>
      </w:r>
      <w:r w:rsidRPr="008C70C3">
        <w:rPr>
          <w:w w:val="100"/>
        </w:rPr>
        <w:t>)</w:t>
      </w:r>
      <w:r w:rsidRPr="008C70C3">
        <w:rPr>
          <w:w w:val="100"/>
        </w:rPr>
        <w:tab/>
        <w:t>руководящие указания в отношении стратегических партнерств.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lastRenderedPageBreak/>
        <w:t>8.</w:t>
      </w:r>
      <w:r w:rsidRPr="008C70C3">
        <w:rPr>
          <w:w w:val="100"/>
        </w:rPr>
        <w:tab/>
        <w:t xml:space="preserve">Организационные меры: </w:t>
      </w:r>
      <w:r w:rsidR="00626DBE">
        <w:rPr>
          <w:w w:val="100"/>
        </w:rPr>
        <w:t>механизмы развития совместных партнерств</w:t>
      </w:r>
      <w:r w:rsidRPr="008C70C3">
        <w:rPr>
          <w:w w:val="100"/>
        </w:rPr>
        <w:t xml:space="preserve"> </w:t>
      </w:r>
      <w:r w:rsidR="00626DBE" w:rsidRPr="008C70C3">
        <w:rPr>
          <w:w w:val="100"/>
        </w:rPr>
        <w:t xml:space="preserve">Организации Объединенных Наций </w:t>
      </w:r>
      <w:r w:rsidR="00626DBE">
        <w:rPr>
          <w:w w:val="100"/>
        </w:rPr>
        <w:t xml:space="preserve">в интересах </w:t>
      </w:r>
      <w:r w:rsidRPr="008C70C3">
        <w:rPr>
          <w:w w:val="100"/>
        </w:rPr>
        <w:t>работы Платформы и ее секретариата.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9.</w:t>
      </w:r>
      <w:r w:rsidRPr="008C70C3">
        <w:rPr>
          <w:w w:val="100"/>
        </w:rPr>
        <w:tab/>
        <w:t>Предварительная повестка дня, сроки и место проведения будущих сессий Пленума.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10.</w:t>
      </w:r>
      <w:r w:rsidRPr="008C70C3">
        <w:rPr>
          <w:w w:val="100"/>
        </w:rPr>
        <w:tab/>
        <w:t>Принятие решений и доклада о работе сессии.</w:t>
      </w:r>
    </w:p>
    <w:p w:rsidR="00F26540" w:rsidRPr="008C70C3" w:rsidRDefault="00F26540" w:rsidP="00F2654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1871" w:right="0" w:hanging="624"/>
        <w:jc w:val="left"/>
        <w:rPr>
          <w:w w:val="100"/>
        </w:rPr>
      </w:pPr>
      <w:r w:rsidRPr="008C70C3">
        <w:rPr>
          <w:w w:val="100"/>
        </w:rPr>
        <w:t>11.</w:t>
      </w:r>
      <w:r w:rsidRPr="008C70C3">
        <w:rPr>
          <w:w w:val="100"/>
        </w:rPr>
        <w:tab/>
        <w:t>Закрытие сессии.</w:t>
      </w:r>
    </w:p>
    <w:p w:rsidR="00447224" w:rsidRPr="008C70C3" w:rsidRDefault="00447224">
      <w:pPr>
        <w:spacing w:after="120"/>
        <w:ind w:left="1871" w:hanging="624"/>
        <w:rPr>
          <w:sz w:val="20"/>
          <w:lang w:val="ru-RU"/>
        </w:rPr>
      </w:pPr>
    </w:p>
    <w:p w:rsidR="00447224" w:rsidRPr="008C70C3" w:rsidRDefault="00776360" w:rsidP="00776360">
      <w:pPr>
        <w:spacing w:after="120"/>
        <w:ind w:left="624" w:hanging="624"/>
        <w:jc w:val="center"/>
        <w:rPr>
          <w:sz w:val="20"/>
          <w:lang w:val="ru-RU"/>
        </w:rPr>
      </w:pPr>
      <w:r w:rsidRPr="008C70C3">
        <w:rPr>
          <w:sz w:val="20"/>
          <w:lang w:val="en-US"/>
        </w:rPr>
        <w:t>___________________</w:t>
      </w:r>
    </w:p>
    <w:sectPr w:rsidR="00447224" w:rsidRPr="008C70C3" w:rsidSect="00F55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22" w:rsidRDefault="008B4422">
      <w:r>
        <w:separator/>
      </w:r>
    </w:p>
  </w:endnote>
  <w:endnote w:type="continuationSeparator" w:id="0">
    <w:p w:rsidR="008B4422" w:rsidRDefault="008B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62380B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13420F">
      <w:rPr>
        <w:rStyle w:val="PageNumber"/>
        <w:noProof/>
        <w:sz w:val="18"/>
        <w:szCs w:val="18"/>
      </w:rPr>
      <w:t>2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776360">
      <w:rPr>
        <w:rStyle w:val="PageNumber"/>
        <w:noProof/>
        <w:sz w:val="18"/>
        <w:szCs w:val="18"/>
      </w:rPr>
      <w:t>3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62380B">
    <w:pPr>
      <w:pStyle w:val="Footer"/>
      <w:tabs>
        <w:tab w:val="clear" w:pos="4320"/>
        <w:tab w:val="clear" w:pos="8640"/>
      </w:tabs>
      <w:spacing w:after="240"/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 w:rsidR="00F550EE">
      <w:rPr>
        <w:sz w:val="20"/>
        <w:szCs w:val="20"/>
      </w:rPr>
      <w:t>353031</w:t>
    </w:r>
    <w:r w:rsidRPr="0062380B">
      <w:rPr>
        <w:sz w:val="20"/>
        <w:szCs w:val="20"/>
        <w:lang w:val="en-US"/>
      </w:rPr>
      <w:t xml:space="preserve">      1</w:t>
    </w:r>
    <w:r w:rsidR="00F550EE">
      <w:rPr>
        <w:sz w:val="20"/>
        <w:szCs w:val="20"/>
        <w:lang w:val="en-US"/>
      </w:rPr>
      <w:t>3</w:t>
    </w:r>
    <w:r w:rsidRPr="0062380B">
      <w:rPr>
        <w:sz w:val="20"/>
        <w:szCs w:val="20"/>
        <w:lang w:val="ru-RU"/>
      </w:rPr>
      <w:t>0</w:t>
    </w:r>
    <w:r w:rsidR="00F550EE">
      <w:rPr>
        <w:sz w:val="20"/>
        <w:szCs w:val="20"/>
        <w:lang w:val="en-US"/>
      </w:rPr>
      <w:t>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22" w:rsidRDefault="008B4422">
      <w:pPr>
        <w:spacing w:before="120" w:after="60"/>
        <w:ind w:left="624"/>
      </w:pPr>
      <w:r>
        <w:separator/>
      </w:r>
    </w:p>
  </w:footnote>
  <w:footnote w:type="continuationSeparator" w:id="0">
    <w:p w:rsidR="008B4422" w:rsidRDefault="008B4422">
      <w:pPr>
        <w:spacing w:before="120" w:after="60"/>
        <w:ind w:left="624"/>
      </w:pPr>
      <w:r>
        <w:continuationSeparator/>
      </w:r>
    </w:p>
  </w:footnote>
  <w:footnote w:type="continuationNotice" w:id="1">
    <w:p w:rsidR="008B4422" w:rsidRDefault="008B4422">
      <w:pPr>
        <w:spacing w:before="120" w:after="60"/>
        <w:ind w:left="62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8B5641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</w:rPr>
      <w:t>UNEP/</w:t>
    </w: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</w:t>
    </w:r>
    <w:r w:rsidRPr="0062380B">
      <w:rPr>
        <w:sz w:val="18"/>
        <w:szCs w:val="18"/>
        <w:lang w:val="en-US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BF5EDC" w:rsidRDefault="004E180E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C5192F"/>
    <w:rsid w:val="000050A4"/>
    <w:rsid w:val="00014DD8"/>
    <w:rsid w:val="0002592C"/>
    <w:rsid w:val="00071F60"/>
    <w:rsid w:val="000A73E9"/>
    <w:rsid w:val="000B4059"/>
    <w:rsid w:val="000F799F"/>
    <w:rsid w:val="00123E59"/>
    <w:rsid w:val="0013420F"/>
    <w:rsid w:val="00186FAA"/>
    <w:rsid w:val="001957CE"/>
    <w:rsid w:val="001F1892"/>
    <w:rsid w:val="0020102D"/>
    <w:rsid w:val="002012E7"/>
    <w:rsid w:val="002058FE"/>
    <w:rsid w:val="00280A2D"/>
    <w:rsid w:val="002868D1"/>
    <w:rsid w:val="002B71C3"/>
    <w:rsid w:val="00325F9B"/>
    <w:rsid w:val="003307C8"/>
    <w:rsid w:val="003319F8"/>
    <w:rsid w:val="003508D2"/>
    <w:rsid w:val="003636B5"/>
    <w:rsid w:val="00364904"/>
    <w:rsid w:val="003C748F"/>
    <w:rsid w:val="00447224"/>
    <w:rsid w:val="004E180E"/>
    <w:rsid w:val="004F44B7"/>
    <w:rsid w:val="00554DE5"/>
    <w:rsid w:val="00567FBB"/>
    <w:rsid w:val="005945E6"/>
    <w:rsid w:val="005B52D5"/>
    <w:rsid w:val="005C56A7"/>
    <w:rsid w:val="005F529B"/>
    <w:rsid w:val="005F63F1"/>
    <w:rsid w:val="00600A21"/>
    <w:rsid w:val="0062380B"/>
    <w:rsid w:val="00626DBE"/>
    <w:rsid w:val="006C04AA"/>
    <w:rsid w:val="00727303"/>
    <w:rsid w:val="007519BF"/>
    <w:rsid w:val="00776360"/>
    <w:rsid w:val="007B0840"/>
    <w:rsid w:val="007B16F5"/>
    <w:rsid w:val="007D0EAE"/>
    <w:rsid w:val="007F7DB1"/>
    <w:rsid w:val="008A352A"/>
    <w:rsid w:val="008B4422"/>
    <w:rsid w:val="008B5641"/>
    <w:rsid w:val="008C70C3"/>
    <w:rsid w:val="008E35C8"/>
    <w:rsid w:val="008F2DD2"/>
    <w:rsid w:val="009107EC"/>
    <w:rsid w:val="009361ED"/>
    <w:rsid w:val="00940AD5"/>
    <w:rsid w:val="00A4755A"/>
    <w:rsid w:val="00A60904"/>
    <w:rsid w:val="00A634D5"/>
    <w:rsid w:val="00B513F1"/>
    <w:rsid w:val="00B54E4C"/>
    <w:rsid w:val="00B73E6C"/>
    <w:rsid w:val="00B76EFD"/>
    <w:rsid w:val="00B84389"/>
    <w:rsid w:val="00B95F44"/>
    <w:rsid w:val="00BF5EDC"/>
    <w:rsid w:val="00C333E2"/>
    <w:rsid w:val="00C44B44"/>
    <w:rsid w:val="00C5192F"/>
    <w:rsid w:val="00C60ACA"/>
    <w:rsid w:val="00C93C9A"/>
    <w:rsid w:val="00E524A3"/>
    <w:rsid w:val="00E9094C"/>
    <w:rsid w:val="00ED65C1"/>
    <w:rsid w:val="00EE71A1"/>
    <w:rsid w:val="00EF5623"/>
    <w:rsid w:val="00F26540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customStyle="1" w:styleId="SingleTxt">
    <w:name w:val="__Single Txt"/>
    <w:basedOn w:val="Normal"/>
    <w:rsid w:val="00F2654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spacing w:val="4"/>
      <w:w w:val="103"/>
      <w:kern w:val="14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UNEP/IPBES/3/</vt:lpstr>
    </vt:vector>
  </TitlesOfParts>
  <Manager>RLU</Manager>
  <Company>UNON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UNEP/IPBES/3/</dc:title>
  <dc:creator>RLU</dc:creator>
  <cp:lastModifiedBy>Rohan</cp:lastModifiedBy>
  <cp:revision>2</cp:revision>
  <cp:lastPrinted>2013-09-13T08:17:00Z</cp:lastPrinted>
  <dcterms:created xsi:type="dcterms:W3CDTF">2013-10-01T18:37:00Z</dcterms:created>
  <dcterms:modified xsi:type="dcterms:W3CDTF">2013-10-01T18:37:00Z</dcterms:modified>
</cp:coreProperties>
</file>