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B86C1A" w:rsidRPr="00B86C1A" w:rsidRDefault="00B86C1A" w:rsidP="00B86C1A">
            <w:pPr>
              <w:spacing w:line="480" w:lineRule="exact"/>
              <w:jc w:val="both"/>
              <w:rPr>
                <w:rFonts w:cs="Traditional Arabic" w:hint="cs"/>
                <w:b/>
                <w:bCs/>
                <w:sz w:val="48"/>
                <w:szCs w:val="48"/>
                <w:rtl/>
              </w:rPr>
            </w:pPr>
            <w:r w:rsidRPr="00B86C1A">
              <w:rPr>
                <w:rFonts w:cs="Traditional Arabic" w:hint="cs"/>
                <w:b/>
                <w:bCs/>
                <w:sz w:val="48"/>
                <w:szCs w:val="48"/>
                <w:rtl/>
              </w:rPr>
              <w:t>الأمم</w:t>
            </w:r>
          </w:p>
          <w:p w:rsidR="00DE796A" w:rsidRPr="000844F9" w:rsidRDefault="00DE796A" w:rsidP="00B86C1A">
            <w:pPr>
              <w:spacing w:line="480" w:lineRule="exact"/>
              <w:jc w:val="both"/>
              <w:rPr>
                <w:rFonts w:cs="Traditional Arabic" w:hint="cs"/>
                <w:b/>
                <w:bCs/>
                <w:sz w:val="44"/>
                <w:szCs w:val="44"/>
              </w:rPr>
            </w:pPr>
            <w:r w:rsidRPr="00B86C1A">
              <w:rPr>
                <w:rFonts w:cs="Traditional Arabic" w:hint="cs"/>
                <w:b/>
                <w:bCs/>
                <w:sz w:val="48"/>
                <w:szCs w:val="48"/>
                <w:rtl/>
              </w:rPr>
              <w:t>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9C120D">
            <w:pPr>
              <w:bidi w:val="0"/>
              <w:spacing w:before="120"/>
              <w:rPr>
                <w:rFonts w:cs="Times New Roman"/>
                <w:b/>
                <w:bCs/>
                <w:sz w:val="20"/>
                <w:szCs w:val="20"/>
              </w:rPr>
            </w:pPr>
            <w:r w:rsidRPr="00B86C1A">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9C120D">
              <w:rPr>
                <w:rFonts w:cs="Times New Roman"/>
                <w:sz w:val="20"/>
                <w:szCs w:val="20"/>
              </w:rPr>
              <w:t>16/Add.6</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B86C1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B86C1A">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9C120D" w:rsidP="009C120D">
            <w:pPr>
              <w:bidi w:val="0"/>
              <w:jc w:val="both"/>
              <w:rPr>
                <w:rFonts w:cs="Times New Roman"/>
                <w:sz w:val="20"/>
                <w:szCs w:val="20"/>
              </w:rPr>
            </w:pPr>
            <w:r>
              <w:rPr>
                <w:rFonts w:cs="Times New Roman"/>
                <w:sz w:val="20"/>
                <w:szCs w:val="20"/>
              </w:rPr>
              <w:t>2 October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hint="cs"/>
                <w:b/>
                <w:bCs/>
                <w:sz w:val="52"/>
                <w:szCs w:val="52"/>
                <w:rtl/>
              </w:rPr>
            </w:pPr>
            <w:r w:rsidRPr="00E760C7">
              <w:rPr>
                <w:rFonts w:cs="Traditional Arabic" w:hint="cs"/>
                <w:b/>
                <w:bCs/>
                <w:sz w:val="52"/>
                <w:szCs w:val="52"/>
                <w:rtl/>
              </w:rPr>
              <w:t>برنامج الأمم</w:t>
            </w:r>
          </w:p>
          <w:p w:rsidR="00DE796A" w:rsidRDefault="00DE796A" w:rsidP="00B86C1A">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1840E6"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1840E6"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6C1A" w:rsidRPr="00B86C1A" w:rsidRDefault="00B86C1A" w:rsidP="007231CD">
      <w:pPr>
        <w:spacing w:before="40" w:line="340" w:lineRule="exact"/>
        <w:ind w:left="176"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7231CD">
      <w:pPr>
        <w:spacing w:line="340" w:lineRule="exact"/>
        <w:ind w:left="176"/>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B86C1A" w:rsidRPr="00B86C1A" w:rsidRDefault="00B86C1A" w:rsidP="007231CD">
      <w:pPr>
        <w:spacing w:line="340" w:lineRule="exact"/>
        <w:ind w:left="176"/>
        <w:jc w:val="both"/>
        <w:rPr>
          <w:rFonts w:cs="Traditional Arabic" w:hint="cs"/>
          <w:sz w:val="28"/>
          <w:rtl/>
        </w:rPr>
      </w:pPr>
      <w:r w:rsidRPr="00B86C1A">
        <w:rPr>
          <w:rFonts w:cs="Traditional Arabic" w:hint="cs"/>
          <w:sz w:val="28"/>
          <w:rtl/>
        </w:rPr>
        <w:t>أنطاليا، تركيا، 9-14 كانون الأول/ديسمبر 2013</w:t>
      </w:r>
    </w:p>
    <w:p w:rsidR="002323CD" w:rsidRPr="009C120D" w:rsidRDefault="00B86C1A" w:rsidP="00420ACB">
      <w:pPr>
        <w:spacing w:after="40" w:line="340" w:lineRule="exact"/>
        <w:ind w:left="176" w:right="5812"/>
        <w:rPr>
          <w:rFonts w:cs="Traditional Arabic" w:hint="cs"/>
          <w:b/>
          <w:bCs/>
          <w:sz w:val="28"/>
          <w:rtl/>
        </w:rPr>
      </w:pPr>
      <w:r w:rsidRPr="00B86C1A">
        <w:rPr>
          <w:rFonts w:cs="Traditional Arabic" w:hint="cs"/>
          <w:sz w:val="28"/>
          <w:rtl/>
        </w:rPr>
        <w:t xml:space="preserve">البند </w:t>
      </w:r>
      <w:r w:rsidR="009C120D">
        <w:rPr>
          <w:rFonts w:cs="Traditional Arabic" w:hint="cs"/>
          <w:sz w:val="28"/>
          <w:rtl/>
        </w:rPr>
        <w:t>4 (أ)</w:t>
      </w:r>
      <w:r w:rsidRPr="00B86C1A">
        <w:rPr>
          <w:rFonts w:cs="Traditional Arabic" w:hint="cs"/>
          <w:sz w:val="28"/>
          <w:rtl/>
        </w:rPr>
        <w:t xml:space="preserve"> من جدول الأعمال المؤقت</w:t>
      </w:r>
      <w:r w:rsidRPr="00420ACB">
        <w:rPr>
          <w:rStyle w:val="FootnoteReference"/>
          <w:rFonts w:cs="Times New Roman"/>
          <w:sz w:val="20"/>
          <w:szCs w:val="20"/>
          <w:rtl/>
        </w:rPr>
        <w:footnoteReference w:customMarkFollows="1" w:id="1"/>
        <w:t>*</w:t>
      </w:r>
      <w:r w:rsidR="00420ACB">
        <w:rPr>
          <w:rStyle w:val="FootnoteReference"/>
          <w:rFonts w:cs="Times New Roman"/>
          <w:sz w:val="20"/>
          <w:szCs w:val="20"/>
          <w:rtl/>
        </w:rPr>
        <w:br w:type="textWrapping" w:clear="all"/>
      </w:r>
      <w:r w:rsidR="009C120D" w:rsidRPr="009C120D">
        <w:rPr>
          <w:rFonts w:cs="Traditional Arabic" w:hint="cs"/>
          <w:b/>
          <w:bCs/>
          <w:sz w:val="28"/>
          <w:rtl/>
        </w:rPr>
        <w:t>برنامج العمل الأولي للمنبر: برنامج العمل للفترة 2014-2018</w:t>
      </w:r>
    </w:p>
    <w:p w:rsidR="009C120D" w:rsidRDefault="009C120D" w:rsidP="009C120D">
      <w:pPr>
        <w:spacing w:before="360" w:after="360" w:line="400" w:lineRule="exact"/>
        <w:ind w:left="1134"/>
        <w:jc w:val="both"/>
        <w:rPr>
          <w:rFonts w:cs="Traditional Arabic" w:hint="cs"/>
          <w:b/>
          <w:bCs/>
          <w:sz w:val="34"/>
          <w:szCs w:val="34"/>
          <w:rtl/>
        </w:rPr>
      </w:pPr>
      <w:r>
        <w:rPr>
          <w:rFonts w:cs="Traditional Arabic" w:hint="cs"/>
          <w:b/>
          <w:bCs/>
          <w:sz w:val="34"/>
          <w:szCs w:val="34"/>
          <w:rtl/>
        </w:rPr>
        <w:t>تحديد النطاق الأولي للتقييم المواضيعي للاستخدام المستدام للتنوع البيولوجي وحفظه وتدعيم القدرات والأدوات</w:t>
      </w:r>
    </w:p>
    <w:p w:rsidR="009C120D" w:rsidRDefault="009C120D" w:rsidP="009C120D">
      <w:pPr>
        <w:spacing w:after="240" w:line="400" w:lineRule="exact"/>
        <w:ind w:left="1134"/>
        <w:jc w:val="both"/>
        <w:rPr>
          <w:rFonts w:cs="Traditional Arabic" w:hint="cs"/>
          <w:b/>
          <w:bCs/>
          <w:sz w:val="34"/>
          <w:szCs w:val="34"/>
          <w:rtl/>
          <w:lang w:bidi="ar-EG"/>
        </w:rPr>
      </w:pPr>
      <w:r>
        <w:rPr>
          <w:rFonts w:cs="Traditional Arabic" w:hint="cs"/>
          <w:b/>
          <w:bCs/>
          <w:sz w:val="34"/>
          <w:szCs w:val="34"/>
          <w:rtl/>
          <w:lang w:bidi="ar-EG"/>
        </w:rPr>
        <w:t>مذكرة من الأمانة</w:t>
      </w:r>
    </w:p>
    <w:p w:rsidR="009C120D" w:rsidRPr="008C0F2F" w:rsidRDefault="009C120D" w:rsidP="008C0F2F">
      <w:pPr>
        <w:spacing w:after="120" w:line="400" w:lineRule="exact"/>
        <w:ind w:left="1132" w:hanging="708"/>
        <w:jc w:val="both"/>
        <w:rPr>
          <w:rFonts w:cs="Traditional Arabic" w:hint="cs"/>
          <w:b/>
          <w:bCs/>
          <w:sz w:val="32"/>
          <w:szCs w:val="32"/>
          <w:rtl/>
        </w:rPr>
      </w:pPr>
      <w:r w:rsidRPr="008C0F2F">
        <w:rPr>
          <w:rFonts w:cs="Traditional Arabic" w:hint="cs"/>
          <w:b/>
          <w:bCs/>
          <w:sz w:val="32"/>
          <w:szCs w:val="32"/>
          <w:rtl/>
          <w:lang w:bidi="ar-EG"/>
        </w:rPr>
        <w:t>أولاً -</w:t>
      </w:r>
      <w:r w:rsidRPr="008C0F2F">
        <w:rPr>
          <w:rFonts w:cs="Traditional Arabic" w:hint="cs"/>
          <w:b/>
          <w:bCs/>
          <w:sz w:val="32"/>
          <w:szCs w:val="32"/>
          <w:rtl/>
          <w:lang w:bidi="ar-EG"/>
        </w:rPr>
        <w:tab/>
        <w:t>مقدمة</w:t>
      </w:r>
    </w:p>
    <w:p w:rsidR="009C120D" w:rsidRDefault="009C120D" w:rsidP="00D20590">
      <w:pPr>
        <w:spacing w:after="120" w:line="400" w:lineRule="exact"/>
        <w:ind w:left="1134"/>
        <w:jc w:val="both"/>
        <w:rPr>
          <w:rFonts w:cs="Traditional Arabic" w:hint="cs"/>
          <w:sz w:val="30"/>
          <w:szCs w:val="30"/>
          <w:rtl/>
          <w:lang w:bidi="ar-EG"/>
        </w:rPr>
      </w:pPr>
      <w:r>
        <w:rPr>
          <w:rFonts w:cs="Traditional Arabic" w:hint="cs"/>
          <w:sz w:val="30"/>
          <w:szCs w:val="30"/>
          <w:rtl/>
          <w:lang w:bidi="ar-EG"/>
        </w:rPr>
        <w:t>1</w:t>
      </w:r>
      <w:r w:rsidR="00233B53">
        <w:rPr>
          <w:rFonts w:cs="Traditional Arabic" w:hint="cs"/>
          <w:sz w:val="30"/>
          <w:szCs w:val="30"/>
          <w:rtl/>
          <w:lang w:bidi="ar-EG"/>
        </w:rPr>
        <w:t xml:space="preserve"> </w:t>
      </w:r>
      <w:r>
        <w:rPr>
          <w:rFonts w:cs="Traditional Arabic" w:hint="cs"/>
          <w:sz w:val="30"/>
          <w:szCs w:val="30"/>
          <w:rtl/>
          <w:lang w:bidi="ar-EG"/>
        </w:rPr>
        <w:t>-</w:t>
      </w:r>
      <w:r>
        <w:rPr>
          <w:rFonts w:cs="Traditional Arabic" w:hint="cs"/>
          <w:sz w:val="30"/>
          <w:szCs w:val="30"/>
          <w:rtl/>
          <w:lang w:bidi="ar-EG"/>
        </w:rPr>
        <w:tab/>
      </w:r>
      <w:r>
        <w:rPr>
          <w:rFonts w:cs="Traditional Arabic" w:hint="cs"/>
          <w:sz w:val="30"/>
          <w:szCs w:val="30"/>
          <w:rtl/>
        </w:rPr>
        <w:t>إدراكا</w:t>
      </w:r>
      <w:r w:rsidR="001336CA">
        <w:rPr>
          <w:rFonts w:cs="Traditional Arabic" w:hint="cs"/>
          <w:sz w:val="30"/>
          <w:szCs w:val="30"/>
          <w:rtl/>
        </w:rPr>
        <w:t>ً</w:t>
      </w:r>
      <w:r>
        <w:rPr>
          <w:rFonts w:cs="Traditional Arabic" w:hint="cs"/>
          <w:sz w:val="30"/>
          <w:szCs w:val="30"/>
          <w:rtl/>
        </w:rPr>
        <w:t xml:space="preserve"> </w:t>
      </w:r>
      <w:r>
        <w:rPr>
          <w:rFonts w:cs="Traditional Arabic" w:hint="cs"/>
          <w:sz w:val="30"/>
          <w:szCs w:val="30"/>
          <w:rtl/>
          <w:lang w:bidi="ar-EG"/>
        </w:rPr>
        <w:t>لأنه سيكون من الضروري المضي قدما</w:t>
      </w:r>
      <w:r w:rsidR="001336CA">
        <w:rPr>
          <w:rFonts w:cs="Traditional Arabic" w:hint="cs"/>
          <w:sz w:val="30"/>
          <w:szCs w:val="30"/>
          <w:rtl/>
          <w:lang w:bidi="ar-EG"/>
        </w:rPr>
        <w:t>ً</w:t>
      </w:r>
      <w:r>
        <w:rPr>
          <w:rFonts w:cs="Traditional Arabic" w:hint="cs"/>
          <w:sz w:val="30"/>
          <w:szCs w:val="30"/>
          <w:rtl/>
          <w:lang w:bidi="ar-EG"/>
        </w:rPr>
        <w:t xml:space="preserve"> في برنامج العمل للفترة 2014-2018 بعد أن </w:t>
      </w:r>
      <w:r w:rsidR="00C035DC">
        <w:rPr>
          <w:rFonts w:cs="Traditional Arabic" w:hint="cs"/>
          <w:sz w:val="30"/>
          <w:szCs w:val="30"/>
          <w:rtl/>
          <w:lang w:bidi="ar-EG"/>
        </w:rPr>
        <w:t xml:space="preserve">يعتمده </w:t>
      </w:r>
      <w:r>
        <w:rPr>
          <w:rFonts w:cs="Traditional Arabic" w:hint="cs"/>
          <w:sz w:val="30"/>
          <w:szCs w:val="30"/>
          <w:rtl/>
          <w:lang w:bidi="ar-EG"/>
        </w:rPr>
        <w:t>الاجتماع العام للمنبر الحكومي الدولي للعلوم والسياسات في مجال التنوع البيولوجي وخدمات النظم الإيكولوجية في دورته الثانية، اتفق المكتب وفريق الخبراء المتعدد التخصصات على إعداد عدد من وثائق تحديد النطاق الأولي استنادا</w:t>
      </w:r>
      <w:r w:rsidR="001336CA">
        <w:rPr>
          <w:rFonts w:cs="Traditional Arabic" w:hint="cs"/>
          <w:sz w:val="30"/>
          <w:szCs w:val="30"/>
          <w:rtl/>
          <w:lang w:bidi="ar-EG"/>
        </w:rPr>
        <w:t>ً</w:t>
      </w:r>
      <w:r>
        <w:rPr>
          <w:rFonts w:cs="Traditional Arabic" w:hint="cs"/>
          <w:sz w:val="30"/>
          <w:szCs w:val="30"/>
          <w:rtl/>
          <w:lang w:bidi="ar-EG"/>
        </w:rPr>
        <w:t xml:space="preserve"> إلى ترتيب أولويات الطلبات والاقتراحات </w:t>
      </w:r>
      <w:r w:rsidR="00C035DC">
        <w:rPr>
          <w:rFonts w:cs="Traditional Arabic" w:hint="cs"/>
          <w:sz w:val="30"/>
          <w:szCs w:val="30"/>
          <w:rtl/>
          <w:lang w:bidi="ar-EG"/>
        </w:rPr>
        <w:t>و</w:t>
      </w:r>
      <w:r w:rsidR="006D02A7">
        <w:rPr>
          <w:rFonts w:cs="Traditional Arabic" w:hint="cs"/>
          <w:sz w:val="30"/>
          <w:szCs w:val="30"/>
          <w:rtl/>
          <w:lang w:bidi="ar-EG"/>
        </w:rPr>
        <w:t>المدخلات</w:t>
      </w:r>
      <w:r>
        <w:rPr>
          <w:rFonts w:cs="Traditional Arabic" w:hint="cs"/>
          <w:sz w:val="30"/>
          <w:szCs w:val="30"/>
          <w:rtl/>
          <w:lang w:bidi="ar-EG"/>
        </w:rPr>
        <w:t xml:space="preserve"> المقدمة إلى المنبر والنواتج الواردة في مشروع برنامج العمل (</w:t>
      </w:r>
      <w:r w:rsidRPr="009E369D">
        <w:rPr>
          <w:rFonts w:cs="Traditional Arabic"/>
          <w:szCs w:val="22"/>
          <w:lang w:bidi="ar-EG"/>
        </w:rPr>
        <w:t>IPBES/2/2</w:t>
      </w:r>
      <w:r>
        <w:rPr>
          <w:rFonts w:cs="Traditional Arabic" w:hint="cs"/>
          <w:sz w:val="30"/>
          <w:szCs w:val="30"/>
          <w:rtl/>
          <w:lang w:bidi="ar-EG"/>
        </w:rPr>
        <w:t>)، وتورد هذه المذكرة تحديد النطاق الأولي لتقييم مواضيعي مقترح للاستخدام المستدام للتنوع البيولوجي وحفظه وتدعيم القدرات والأدوات. وقد وضعت وفقا</w:t>
      </w:r>
      <w:r w:rsidR="001336CA">
        <w:rPr>
          <w:rFonts w:cs="Traditional Arabic" w:hint="cs"/>
          <w:sz w:val="30"/>
          <w:szCs w:val="30"/>
          <w:rtl/>
          <w:lang w:bidi="ar-EG"/>
        </w:rPr>
        <w:t>ً</w:t>
      </w:r>
      <w:r>
        <w:rPr>
          <w:rFonts w:cs="Traditional Arabic" w:hint="cs"/>
          <w:sz w:val="30"/>
          <w:szCs w:val="30"/>
          <w:rtl/>
          <w:lang w:bidi="ar-EG"/>
        </w:rPr>
        <w:t xml:space="preserve"> لمشاريع الإجراءات الخاصة بإعداد نواتج المنبر</w:t>
      </w:r>
      <w:r w:rsidR="00C035DC">
        <w:rPr>
          <w:rFonts w:cs="Traditional Arabic" w:hint="cs"/>
          <w:sz w:val="30"/>
          <w:szCs w:val="30"/>
          <w:rtl/>
          <w:lang w:bidi="ar-EG"/>
        </w:rPr>
        <w:t>(</w:t>
      </w:r>
      <w:r w:rsidR="00C035DC" w:rsidRPr="00C062F0">
        <w:rPr>
          <w:lang w:val="en-GB"/>
        </w:rPr>
        <w:t>IPBES/2/9</w:t>
      </w:r>
      <w:r w:rsidR="00C035DC">
        <w:rPr>
          <w:rFonts w:cs="Traditional Arabic" w:hint="cs"/>
          <w:sz w:val="30"/>
          <w:szCs w:val="30"/>
          <w:rtl/>
          <w:lang w:bidi="ar-EG"/>
        </w:rPr>
        <w:t>)</w:t>
      </w:r>
      <w:r>
        <w:rPr>
          <w:rFonts w:cs="Traditional Arabic" w:hint="cs"/>
          <w:sz w:val="30"/>
          <w:szCs w:val="30"/>
          <w:rtl/>
          <w:lang w:bidi="ar-EG"/>
        </w:rPr>
        <w:t>.</w:t>
      </w:r>
    </w:p>
    <w:p w:rsidR="009C120D" w:rsidRPr="007D099F" w:rsidRDefault="008C0F2F" w:rsidP="00BA65F0">
      <w:pPr>
        <w:spacing w:after="120" w:line="400" w:lineRule="exact"/>
        <w:ind w:left="1132" w:hanging="708"/>
        <w:jc w:val="both"/>
        <w:rPr>
          <w:rFonts w:cs="Traditional Arabic" w:hint="cs"/>
          <w:b/>
          <w:bCs/>
          <w:sz w:val="32"/>
          <w:szCs w:val="32"/>
          <w:rtl/>
          <w:lang w:bidi="ar-EG"/>
        </w:rPr>
      </w:pPr>
      <w:r>
        <w:rPr>
          <w:rFonts w:cs="Traditional Arabic"/>
          <w:b/>
          <w:bCs/>
          <w:sz w:val="32"/>
          <w:szCs w:val="32"/>
          <w:rtl/>
          <w:lang w:bidi="ar-EG"/>
        </w:rPr>
        <w:br w:type="page"/>
      </w:r>
      <w:r w:rsidR="009C120D">
        <w:rPr>
          <w:rFonts w:cs="Traditional Arabic" w:hint="cs"/>
          <w:b/>
          <w:bCs/>
          <w:sz w:val="32"/>
          <w:szCs w:val="32"/>
          <w:rtl/>
          <w:lang w:bidi="ar-EG"/>
        </w:rPr>
        <w:lastRenderedPageBreak/>
        <w:t>ثانيا</w:t>
      </w:r>
      <w:r>
        <w:rPr>
          <w:rFonts w:cs="Traditional Arabic" w:hint="cs"/>
          <w:b/>
          <w:bCs/>
          <w:sz w:val="32"/>
          <w:szCs w:val="32"/>
          <w:rtl/>
          <w:lang w:bidi="ar-EG"/>
        </w:rPr>
        <w:t xml:space="preserve">ً </w:t>
      </w:r>
      <w:r w:rsidR="009C120D" w:rsidRPr="007D099F">
        <w:rPr>
          <w:rFonts w:cs="Traditional Arabic" w:hint="cs"/>
          <w:b/>
          <w:bCs/>
          <w:sz w:val="32"/>
          <w:szCs w:val="32"/>
          <w:rtl/>
          <w:lang w:bidi="ar-EG"/>
        </w:rPr>
        <w:t>-</w:t>
      </w:r>
      <w:r w:rsidR="009C120D" w:rsidRPr="007D099F">
        <w:rPr>
          <w:rFonts w:cs="Traditional Arabic" w:hint="cs"/>
          <w:b/>
          <w:bCs/>
          <w:sz w:val="32"/>
          <w:szCs w:val="32"/>
          <w:rtl/>
          <w:lang w:bidi="ar-EG"/>
        </w:rPr>
        <w:tab/>
      </w:r>
      <w:r w:rsidR="009C120D">
        <w:rPr>
          <w:rFonts w:cs="Traditional Arabic" w:hint="cs"/>
          <w:b/>
          <w:bCs/>
          <w:sz w:val="32"/>
          <w:szCs w:val="32"/>
          <w:rtl/>
          <w:lang w:bidi="ar-EG"/>
        </w:rPr>
        <w:t>ال</w:t>
      </w:r>
      <w:r w:rsidR="009C120D" w:rsidRPr="007D099F">
        <w:rPr>
          <w:rFonts w:cs="Traditional Arabic" w:hint="cs"/>
          <w:b/>
          <w:bCs/>
          <w:sz w:val="32"/>
          <w:szCs w:val="32"/>
          <w:rtl/>
          <w:lang w:bidi="ar-EG"/>
        </w:rPr>
        <w:t xml:space="preserve">نطاق </w:t>
      </w:r>
      <w:r w:rsidR="00BA65F0">
        <w:rPr>
          <w:rFonts w:cs="Traditional Arabic" w:hint="cs"/>
          <w:b/>
          <w:bCs/>
          <w:sz w:val="32"/>
          <w:szCs w:val="32"/>
          <w:rtl/>
          <w:lang w:bidi="ar-EG"/>
        </w:rPr>
        <w:t>والأساس المنطقي والفوائد</w:t>
      </w:r>
      <w:r w:rsidR="009C120D">
        <w:rPr>
          <w:rFonts w:cs="Traditional Arabic" w:hint="cs"/>
          <w:b/>
          <w:bCs/>
          <w:sz w:val="32"/>
          <w:szCs w:val="32"/>
          <w:rtl/>
          <w:lang w:bidi="ar-EG"/>
        </w:rPr>
        <w:t xml:space="preserve"> والافتراضات</w:t>
      </w:r>
    </w:p>
    <w:p w:rsidR="009C120D" w:rsidRPr="007D099F" w:rsidRDefault="009C120D" w:rsidP="008C0F2F">
      <w:pPr>
        <w:spacing w:after="120" w:line="400" w:lineRule="exact"/>
        <w:ind w:left="1132" w:hanging="708"/>
        <w:jc w:val="both"/>
        <w:rPr>
          <w:rFonts w:cs="Traditional Arabic" w:hint="cs"/>
          <w:b/>
          <w:bCs/>
          <w:sz w:val="30"/>
          <w:szCs w:val="30"/>
          <w:rtl/>
          <w:lang w:bidi="ar-EG"/>
        </w:rPr>
      </w:pPr>
      <w:r w:rsidRPr="007D099F">
        <w:rPr>
          <w:rFonts w:cs="Traditional Arabic" w:hint="cs"/>
          <w:b/>
          <w:bCs/>
          <w:sz w:val="30"/>
          <w:szCs w:val="30"/>
          <w:rtl/>
          <w:lang w:bidi="ar-EG"/>
        </w:rPr>
        <w:t>ألف</w:t>
      </w:r>
      <w:r w:rsidR="008C0F2F">
        <w:rPr>
          <w:rFonts w:cs="Traditional Arabic" w:hint="cs"/>
          <w:b/>
          <w:bCs/>
          <w:sz w:val="30"/>
          <w:szCs w:val="30"/>
          <w:rtl/>
          <w:lang w:bidi="ar-EG"/>
        </w:rPr>
        <w:t xml:space="preserve"> </w:t>
      </w:r>
      <w:r w:rsidRPr="007D099F">
        <w:rPr>
          <w:rFonts w:cs="Traditional Arabic" w:hint="cs"/>
          <w:b/>
          <w:bCs/>
          <w:sz w:val="30"/>
          <w:szCs w:val="30"/>
          <w:rtl/>
          <w:lang w:bidi="ar-EG"/>
        </w:rPr>
        <w:t>-</w:t>
      </w:r>
      <w:r w:rsidRPr="007D099F">
        <w:rPr>
          <w:rFonts w:cs="Traditional Arabic" w:hint="cs"/>
          <w:b/>
          <w:bCs/>
          <w:sz w:val="30"/>
          <w:szCs w:val="30"/>
          <w:rtl/>
          <w:lang w:bidi="ar-EG"/>
        </w:rPr>
        <w:tab/>
        <w:t>النطاق</w:t>
      </w:r>
    </w:p>
    <w:p w:rsidR="009C120D" w:rsidRDefault="009C120D" w:rsidP="009C120D">
      <w:pPr>
        <w:spacing w:after="120" w:line="400" w:lineRule="exact"/>
        <w:ind w:left="1134"/>
        <w:jc w:val="both"/>
        <w:rPr>
          <w:rFonts w:cs="Traditional Arabic" w:hint="cs"/>
          <w:sz w:val="30"/>
          <w:szCs w:val="30"/>
          <w:rtl/>
          <w:lang w:bidi="ar-EG"/>
        </w:rPr>
      </w:pPr>
      <w:r>
        <w:rPr>
          <w:rFonts w:cs="Traditional Arabic" w:hint="cs"/>
          <w:sz w:val="30"/>
          <w:szCs w:val="30"/>
          <w:rtl/>
          <w:lang w:bidi="ar-EG"/>
        </w:rPr>
        <w:t>2</w:t>
      </w:r>
      <w:r w:rsidR="00233B53">
        <w:rPr>
          <w:rFonts w:cs="Traditional Arabic" w:hint="cs"/>
          <w:sz w:val="30"/>
          <w:szCs w:val="30"/>
          <w:rtl/>
          <w:lang w:bidi="ar-EG"/>
        </w:rPr>
        <w:t xml:space="preserve"> </w:t>
      </w:r>
      <w:r>
        <w:rPr>
          <w:rFonts w:cs="Traditional Arabic" w:hint="cs"/>
          <w:sz w:val="30"/>
          <w:szCs w:val="30"/>
          <w:rtl/>
          <w:lang w:bidi="ar-EG"/>
        </w:rPr>
        <w:t>-</w:t>
      </w:r>
      <w:r>
        <w:rPr>
          <w:rFonts w:cs="Traditional Arabic" w:hint="cs"/>
          <w:sz w:val="30"/>
          <w:szCs w:val="30"/>
          <w:rtl/>
          <w:lang w:bidi="ar-EG"/>
        </w:rPr>
        <w:tab/>
        <w:t>يتمثل الهدف من التقييم المواضيعي المقترح في تقييم الأهمية الإيكولوجية والاقتصادية والاجتماعية والثقافية للأنواع البرية المحصودة والمتجر فيها بالدرجة الأولى، وحالة حفظها، ومحركات التغيير فيها، ومصادر الرزق المتصلة بها وأهميتها للمجتمعات المحلية والشعوب الأصلية، من أجل تحديد وترويج أفضل الممارسات والأدوات، بما في ذلك كل من التكنولوجيات الحديثة والأصلية والمعارف والطرائق المحلية بشأن الإدارة والحصاد المستدامين.</w:t>
      </w:r>
    </w:p>
    <w:p w:rsidR="009C120D" w:rsidRPr="008C0F2F" w:rsidRDefault="009C120D" w:rsidP="008C0F2F">
      <w:pPr>
        <w:spacing w:after="120" w:line="400" w:lineRule="exact"/>
        <w:ind w:left="1132" w:hanging="708"/>
        <w:jc w:val="both"/>
        <w:rPr>
          <w:rFonts w:cs="Traditional Arabic" w:hint="cs"/>
          <w:b/>
          <w:bCs/>
          <w:sz w:val="30"/>
          <w:szCs w:val="30"/>
          <w:rtl/>
          <w:lang w:bidi="ar-EG"/>
        </w:rPr>
      </w:pPr>
      <w:r w:rsidRPr="008C0F2F">
        <w:rPr>
          <w:rFonts w:cs="Traditional Arabic" w:hint="cs"/>
          <w:b/>
          <w:bCs/>
          <w:sz w:val="30"/>
          <w:szCs w:val="30"/>
          <w:rtl/>
          <w:lang w:bidi="ar-EG"/>
        </w:rPr>
        <w:t>باء</w:t>
      </w:r>
      <w:r w:rsidR="008C0F2F" w:rsidRPr="008C0F2F">
        <w:rPr>
          <w:rFonts w:cs="Traditional Arabic" w:hint="cs"/>
          <w:b/>
          <w:bCs/>
          <w:sz w:val="30"/>
          <w:szCs w:val="30"/>
          <w:rtl/>
          <w:lang w:bidi="ar-EG"/>
        </w:rPr>
        <w:t xml:space="preserve"> </w:t>
      </w:r>
      <w:r w:rsidRPr="008C0F2F">
        <w:rPr>
          <w:rFonts w:cs="Traditional Arabic" w:hint="cs"/>
          <w:b/>
          <w:bCs/>
          <w:sz w:val="30"/>
          <w:szCs w:val="30"/>
          <w:rtl/>
          <w:lang w:bidi="ar-EG"/>
        </w:rPr>
        <w:t>-</w:t>
      </w:r>
      <w:r w:rsidRPr="008C0F2F">
        <w:rPr>
          <w:rFonts w:cs="Traditional Arabic" w:hint="cs"/>
          <w:b/>
          <w:bCs/>
          <w:sz w:val="30"/>
          <w:szCs w:val="30"/>
          <w:rtl/>
          <w:lang w:bidi="ar-EG"/>
        </w:rPr>
        <w:tab/>
        <w:t>الأساس المنطقي</w:t>
      </w:r>
    </w:p>
    <w:p w:rsidR="009C120D" w:rsidRDefault="009C120D" w:rsidP="003A5FE1">
      <w:pPr>
        <w:spacing w:after="120" w:line="400" w:lineRule="exact"/>
        <w:ind w:left="1134"/>
        <w:jc w:val="both"/>
        <w:rPr>
          <w:rFonts w:cs="Traditional Arabic" w:hint="cs"/>
          <w:sz w:val="30"/>
          <w:szCs w:val="30"/>
          <w:rtl/>
          <w:lang w:bidi="ar-EG"/>
        </w:rPr>
      </w:pPr>
      <w:r>
        <w:rPr>
          <w:rFonts w:cs="Traditional Arabic" w:hint="cs"/>
          <w:sz w:val="30"/>
          <w:szCs w:val="30"/>
          <w:rtl/>
          <w:lang w:bidi="ar-EG"/>
        </w:rPr>
        <w:t>3</w:t>
      </w:r>
      <w:r w:rsidR="00233B53">
        <w:rPr>
          <w:rFonts w:cs="Traditional Arabic" w:hint="cs"/>
          <w:sz w:val="30"/>
          <w:szCs w:val="30"/>
          <w:rtl/>
          <w:lang w:bidi="ar-EG"/>
        </w:rPr>
        <w:t xml:space="preserve"> </w:t>
      </w:r>
      <w:r>
        <w:rPr>
          <w:rFonts w:cs="Traditional Arabic" w:hint="cs"/>
          <w:sz w:val="30"/>
          <w:szCs w:val="30"/>
          <w:rtl/>
          <w:lang w:bidi="ar-EG"/>
        </w:rPr>
        <w:t>-</w:t>
      </w:r>
      <w:r>
        <w:rPr>
          <w:rFonts w:cs="Traditional Arabic" w:hint="cs"/>
          <w:sz w:val="30"/>
          <w:szCs w:val="30"/>
          <w:rtl/>
          <w:lang w:bidi="ar-EG"/>
        </w:rPr>
        <w:tab/>
        <w:t xml:space="preserve">يمثل الاستخدام المستدام للتنوع البيولوجي طريقة للنهوض بالتنوع البيولوجي وحفظه، وصيانة خدمات النظم الإيكولوجية، والتنمية الاقتصادية والاجتماعية البشرية، علاوة على كونه طريقة لمعالجة تهديدات من قبيل الاستغلال المفرط </w:t>
      </w:r>
      <w:r w:rsidR="003A5FE1">
        <w:rPr>
          <w:rFonts w:cs="Traditional Arabic" w:hint="cs"/>
          <w:sz w:val="30"/>
          <w:szCs w:val="30"/>
          <w:rtl/>
          <w:lang w:bidi="ar-EG"/>
        </w:rPr>
        <w:t xml:space="preserve">وفقدان </w:t>
      </w:r>
      <w:r>
        <w:rPr>
          <w:rFonts w:cs="Traditional Arabic" w:hint="cs"/>
          <w:sz w:val="30"/>
          <w:szCs w:val="30"/>
          <w:rtl/>
          <w:lang w:bidi="ar-EG"/>
        </w:rPr>
        <w:t>الموائل من جملة محركات مباشرة وغير مباشرة أخرى للتنوع البيولوجي والخسائر الثقافية على نطاق العالم. وتسري فوائده على الصعد المحلية والوطنية والإقليمية والدولية.</w:t>
      </w:r>
    </w:p>
    <w:p w:rsidR="009C120D" w:rsidRDefault="009C120D" w:rsidP="009C120D">
      <w:pPr>
        <w:spacing w:after="120" w:line="400" w:lineRule="exact"/>
        <w:ind w:left="1134"/>
        <w:jc w:val="both"/>
        <w:rPr>
          <w:rFonts w:cs="Traditional Arabic" w:hint="cs"/>
          <w:sz w:val="30"/>
          <w:szCs w:val="30"/>
          <w:rtl/>
          <w:lang w:bidi="ar-EG"/>
        </w:rPr>
      </w:pPr>
      <w:r>
        <w:rPr>
          <w:rFonts w:cs="Traditional Arabic" w:hint="cs"/>
          <w:sz w:val="30"/>
          <w:szCs w:val="30"/>
          <w:rtl/>
          <w:lang w:bidi="ar-EG"/>
        </w:rPr>
        <w:t>4</w:t>
      </w:r>
      <w:r w:rsidR="00233B53">
        <w:rPr>
          <w:rFonts w:cs="Traditional Arabic" w:hint="cs"/>
          <w:sz w:val="30"/>
          <w:szCs w:val="30"/>
          <w:rtl/>
          <w:lang w:bidi="ar-EG"/>
        </w:rPr>
        <w:t xml:space="preserve"> </w:t>
      </w:r>
      <w:r>
        <w:rPr>
          <w:rFonts w:cs="Traditional Arabic" w:hint="cs"/>
          <w:sz w:val="30"/>
          <w:szCs w:val="30"/>
          <w:rtl/>
          <w:lang w:bidi="ar-EG"/>
        </w:rPr>
        <w:t>-</w:t>
      </w:r>
      <w:r>
        <w:rPr>
          <w:rFonts w:cs="Traditional Arabic" w:hint="cs"/>
          <w:sz w:val="30"/>
          <w:szCs w:val="30"/>
          <w:rtl/>
          <w:lang w:bidi="ar-EG"/>
        </w:rPr>
        <w:tab/>
        <w:t>وبغية المعاونة على الاستخدام المستدام للتنوع البيولوجي، فإن ثمة حاجة إلى معلومات بيولوجية واجتماعية- اقتصادية أساسية عن الأنواع (مثلا</w:t>
      </w:r>
      <w:r w:rsidR="00CC67EF">
        <w:rPr>
          <w:rFonts w:cs="Traditional Arabic" w:hint="cs"/>
          <w:sz w:val="30"/>
          <w:szCs w:val="30"/>
          <w:rtl/>
          <w:lang w:bidi="ar-EG"/>
        </w:rPr>
        <w:t>ً</w:t>
      </w:r>
      <w:r>
        <w:rPr>
          <w:rFonts w:cs="Traditional Arabic" w:hint="cs"/>
          <w:sz w:val="30"/>
          <w:szCs w:val="30"/>
          <w:rtl/>
          <w:lang w:bidi="ar-EG"/>
        </w:rPr>
        <w:t>، السكان، وحالة الحفظ والحالة الإيكولوجية، والأسواق، والأسعار، والطلب، وسلسلة القيمة)، وأدوات لتقييم المستويات المستدامة للحصاد، والتكنولوجيات الملائمة، والمعارف الأصلية والمحلية، والعمليات التنظيمية، وقدرات المستخدمين والسلطات على كفالة الإدارة الملائمة للموارد.</w:t>
      </w:r>
    </w:p>
    <w:p w:rsidR="009C120D" w:rsidRPr="008C0F2F" w:rsidRDefault="009C120D" w:rsidP="00BA65F0">
      <w:pPr>
        <w:spacing w:after="120" w:line="400" w:lineRule="exact"/>
        <w:ind w:left="1132" w:hanging="708"/>
        <w:jc w:val="both"/>
        <w:rPr>
          <w:rFonts w:cs="Traditional Arabic" w:hint="cs"/>
          <w:b/>
          <w:bCs/>
          <w:sz w:val="30"/>
          <w:szCs w:val="30"/>
          <w:rtl/>
          <w:lang w:bidi="ar-EG"/>
        </w:rPr>
      </w:pPr>
      <w:r w:rsidRPr="008C0F2F">
        <w:rPr>
          <w:rFonts w:cs="Traditional Arabic" w:hint="cs"/>
          <w:b/>
          <w:bCs/>
          <w:sz w:val="30"/>
          <w:szCs w:val="30"/>
          <w:rtl/>
          <w:lang w:bidi="ar-EG"/>
        </w:rPr>
        <w:t>جيم</w:t>
      </w:r>
      <w:r w:rsidR="008C0F2F" w:rsidRPr="008C0F2F">
        <w:rPr>
          <w:rFonts w:cs="Traditional Arabic" w:hint="cs"/>
          <w:b/>
          <w:bCs/>
          <w:sz w:val="30"/>
          <w:szCs w:val="30"/>
          <w:rtl/>
          <w:lang w:bidi="ar-EG"/>
        </w:rPr>
        <w:t xml:space="preserve"> </w:t>
      </w:r>
      <w:r w:rsidRPr="008C0F2F">
        <w:rPr>
          <w:rFonts w:cs="Traditional Arabic" w:hint="cs"/>
          <w:b/>
          <w:bCs/>
          <w:sz w:val="30"/>
          <w:szCs w:val="30"/>
          <w:rtl/>
          <w:lang w:bidi="ar-EG"/>
        </w:rPr>
        <w:t>-</w:t>
      </w:r>
      <w:r w:rsidRPr="008C0F2F">
        <w:rPr>
          <w:rFonts w:cs="Traditional Arabic" w:hint="cs"/>
          <w:b/>
          <w:bCs/>
          <w:sz w:val="30"/>
          <w:szCs w:val="30"/>
          <w:rtl/>
          <w:lang w:bidi="ar-EG"/>
        </w:rPr>
        <w:tab/>
      </w:r>
      <w:r w:rsidR="00BA65F0">
        <w:rPr>
          <w:rFonts w:cs="Traditional Arabic" w:hint="cs"/>
          <w:b/>
          <w:bCs/>
          <w:sz w:val="30"/>
          <w:szCs w:val="30"/>
          <w:rtl/>
          <w:lang w:bidi="ar-EG"/>
        </w:rPr>
        <w:t>الفوائد</w:t>
      </w:r>
    </w:p>
    <w:p w:rsidR="009C120D" w:rsidRDefault="009C120D" w:rsidP="006F5D57">
      <w:pPr>
        <w:spacing w:after="120" w:line="400" w:lineRule="exact"/>
        <w:ind w:left="1134"/>
        <w:jc w:val="both"/>
        <w:rPr>
          <w:rFonts w:cs="Traditional Arabic" w:hint="cs"/>
          <w:sz w:val="30"/>
          <w:szCs w:val="30"/>
          <w:rtl/>
          <w:lang w:bidi="ar-EG"/>
        </w:rPr>
      </w:pPr>
      <w:r>
        <w:rPr>
          <w:rFonts w:cs="Traditional Arabic" w:hint="cs"/>
          <w:sz w:val="30"/>
          <w:szCs w:val="30"/>
          <w:rtl/>
          <w:lang w:bidi="ar-EG"/>
        </w:rPr>
        <w:t>5</w:t>
      </w:r>
      <w:r w:rsidR="00233B53">
        <w:rPr>
          <w:rFonts w:cs="Traditional Arabic" w:hint="cs"/>
          <w:sz w:val="30"/>
          <w:szCs w:val="30"/>
          <w:rtl/>
          <w:lang w:bidi="ar-EG"/>
        </w:rPr>
        <w:t xml:space="preserve"> </w:t>
      </w:r>
      <w:r>
        <w:rPr>
          <w:rFonts w:cs="Traditional Arabic" w:hint="cs"/>
          <w:sz w:val="30"/>
          <w:szCs w:val="30"/>
          <w:rtl/>
          <w:lang w:bidi="ar-EG"/>
        </w:rPr>
        <w:t>-</w:t>
      </w:r>
      <w:r>
        <w:rPr>
          <w:rFonts w:cs="Traditional Arabic" w:hint="cs"/>
          <w:sz w:val="30"/>
          <w:szCs w:val="30"/>
          <w:rtl/>
          <w:lang w:bidi="ar-EG"/>
        </w:rPr>
        <w:tab/>
        <w:t xml:space="preserve">سيساهم التقييم في الحصاد والتجارة المستدامين في الأنواع البرية وزيادة تحديد فجوات المعارف ذات الصلة والتكنولوجيات الأفضل، بما في ذلك ما يتعلق بالمعارف الأصلية والمحلية. كما سيساهم في استحداث أدوات ومنهجيات لدعم السياسات، وفي تعزيز خطط الإدارة المستدامة (بما في ذلك إنشاء وإدارة </w:t>
      </w:r>
      <w:r w:rsidR="00804E82">
        <w:rPr>
          <w:rFonts w:cs="Traditional Arabic" w:hint="cs"/>
          <w:sz w:val="30"/>
          <w:szCs w:val="30"/>
          <w:rtl/>
          <w:lang w:bidi="ar-EG"/>
        </w:rPr>
        <w:t xml:space="preserve">أنصبة في </w:t>
      </w:r>
      <w:r w:rsidR="006F5D57">
        <w:rPr>
          <w:rFonts w:cs="Traditional Arabic" w:hint="cs"/>
          <w:sz w:val="30"/>
          <w:szCs w:val="30"/>
          <w:rtl/>
          <w:lang w:bidi="ar-EG"/>
        </w:rPr>
        <w:t>الحصاد</w:t>
      </w:r>
      <w:r>
        <w:rPr>
          <w:rFonts w:cs="Traditional Arabic" w:hint="cs"/>
          <w:sz w:val="30"/>
          <w:szCs w:val="30"/>
          <w:rtl/>
          <w:lang w:bidi="ar-EG"/>
        </w:rPr>
        <w:t>)، والمساعدة على الامتثال لتدابير الإنفاذ، ومعالجة حاجات بناء القدرات في بلدان المنشأ.</w:t>
      </w:r>
    </w:p>
    <w:p w:rsidR="009C120D" w:rsidRPr="008C0F2F" w:rsidRDefault="009C120D" w:rsidP="008C0F2F">
      <w:pPr>
        <w:spacing w:after="120" w:line="400" w:lineRule="exact"/>
        <w:ind w:left="1132" w:hanging="708"/>
        <w:jc w:val="both"/>
        <w:rPr>
          <w:rFonts w:cs="Traditional Arabic" w:hint="cs"/>
          <w:b/>
          <w:bCs/>
          <w:sz w:val="30"/>
          <w:szCs w:val="30"/>
          <w:rtl/>
          <w:lang w:bidi="ar-EG"/>
        </w:rPr>
      </w:pPr>
      <w:r w:rsidRPr="008C0F2F">
        <w:rPr>
          <w:rFonts w:cs="Traditional Arabic" w:hint="cs"/>
          <w:b/>
          <w:bCs/>
          <w:sz w:val="30"/>
          <w:szCs w:val="30"/>
          <w:rtl/>
          <w:lang w:bidi="ar-EG"/>
        </w:rPr>
        <w:t>دال</w:t>
      </w:r>
      <w:r w:rsidR="008C0F2F" w:rsidRPr="008C0F2F">
        <w:rPr>
          <w:rFonts w:cs="Traditional Arabic" w:hint="cs"/>
          <w:b/>
          <w:bCs/>
          <w:sz w:val="30"/>
          <w:szCs w:val="30"/>
          <w:rtl/>
          <w:lang w:bidi="ar-EG"/>
        </w:rPr>
        <w:t xml:space="preserve"> </w:t>
      </w:r>
      <w:r w:rsidRPr="008C0F2F">
        <w:rPr>
          <w:rFonts w:cs="Traditional Arabic" w:hint="cs"/>
          <w:b/>
          <w:bCs/>
          <w:sz w:val="30"/>
          <w:szCs w:val="30"/>
          <w:rtl/>
          <w:lang w:bidi="ar-EG"/>
        </w:rPr>
        <w:t>-</w:t>
      </w:r>
      <w:r w:rsidRPr="008C0F2F">
        <w:rPr>
          <w:rFonts w:cs="Traditional Arabic" w:hint="cs"/>
          <w:b/>
          <w:bCs/>
          <w:sz w:val="30"/>
          <w:szCs w:val="30"/>
          <w:rtl/>
          <w:lang w:bidi="ar-EG"/>
        </w:rPr>
        <w:tab/>
        <w:t>الافتراضات</w:t>
      </w:r>
    </w:p>
    <w:p w:rsidR="009C120D" w:rsidRDefault="009C120D" w:rsidP="00233B53">
      <w:pPr>
        <w:spacing w:after="120" w:line="400" w:lineRule="exact"/>
        <w:ind w:left="1134"/>
        <w:jc w:val="both"/>
        <w:rPr>
          <w:rFonts w:cs="Traditional Arabic" w:hint="cs"/>
          <w:sz w:val="30"/>
          <w:szCs w:val="30"/>
          <w:rtl/>
          <w:lang w:bidi="ar-EG"/>
        </w:rPr>
      </w:pPr>
      <w:r>
        <w:rPr>
          <w:rFonts w:cs="Traditional Arabic" w:hint="cs"/>
          <w:sz w:val="30"/>
          <w:szCs w:val="30"/>
          <w:rtl/>
          <w:lang w:bidi="ar-EG"/>
        </w:rPr>
        <w:t>6</w:t>
      </w:r>
      <w:r w:rsidR="00233B53">
        <w:rPr>
          <w:rFonts w:cs="Traditional Arabic" w:hint="cs"/>
          <w:sz w:val="30"/>
          <w:szCs w:val="30"/>
          <w:rtl/>
          <w:lang w:bidi="ar-EG"/>
        </w:rPr>
        <w:t xml:space="preserve"> </w:t>
      </w:r>
      <w:r>
        <w:rPr>
          <w:rFonts w:cs="Traditional Arabic" w:hint="cs"/>
          <w:sz w:val="30"/>
          <w:szCs w:val="30"/>
          <w:rtl/>
          <w:lang w:bidi="ar-EG"/>
        </w:rPr>
        <w:t>-</w:t>
      </w:r>
      <w:r>
        <w:rPr>
          <w:rFonts w:cs="Traditional Arabic" w:hint="cs"/>
          <w:sz w:val="30"/>
          <w:szCs w:val="30"/>
          <w:rtl/>
          <w:lang w:bidi="ar-EG"/>
        </w:rPr>
        <w:tab/>
        <w:t>سيستند التقييم المقترح إلى الأدبيات العلمية الراهنة، ويستفيد من الأعمال المضطلع بها تحت إشراف مؤسسات من قبيل اتفاقية التنوع البيولوجي واتفاقية التجارة الدولية بأنواع الحيوانات والنباتات البرية المهددة بالانقراض، ومنظمة الأمم المتحدة للأغذية والزراعة، والمنظمة الدولية للأخشاب المدارية، و</w:t>
      </w:r>
      <w:r w:rsidRPr="00B833E6">
        <w:rPr>
          <w:rFonts w:ascii="Traditional Arabic" w:hAnsi="Traditional Arabic" w:cs="Traditional Arabic"/>
          <w:sz w:val="30"/>
          <w:szCs w:val="30"/>
          <w:rtl/>
          <w:lang w:bidi="ar-EG"/>
        </w:rPr>
        <w:t>مركز رصد الحفظ العالمي</w:t>
      </w:r>
      <w:r>
        <w:rPr>
          <w:rFonts w:cs="Traditional Arabic" w:hint="cs"/>
          <w:sz w:val="30"/>
          <w:szCs w:val="30"/>
          <w:rtl/>
          <w:lang w:bidi="ar-EG"/>
        </w:rPr>
        <w:t xml:space="preserve"> التابع لبرنامج الأمم المتحدة للبيئة والاتحاد الدولي لحفظ الطبيعة، من جملة مؤسسات أخرى وثيقة الصلة. والعمل الجاري في إطار اتفاقية التجارة الدولية بأنواع الحيوانات والنباتات البرية المهددة بالانقراض واتفاقية التنوع البيولوجي له أهميته على وجه الخصوص بالنظر إلى أن الهدف من هذه الاتفاقية كفالة أن تكون التجارة في الأنواع التي تغطيها الاتفاقية قانونية ويمكن تتبعها ومستدامة، وبالنظر إلى أن الاستخدام المستدام للتنوع البيولوجي هو الهدف الثاني لاتفاقية التنوع البيو</w:t>
      </w:r>
      <w:r w:rsidR="00CC67EF">
        <w:rPr>
          <w:rFonts w:cs="Traditional Arabic" w:hint="cs"/>
          <w:sz w:val="30"/>
          <w:szCs w:val="30"/>
          <w:rtl/>
          <w:lang w:bidi="ar-EG"/>
        </w:rPr>
        <w:t>لوجي ويشار إليه بجلاء في أهداف ا</w:t>
      </w:r>
      <w:r>
        <w:rPr>
          <w:rFonts w:cs="Traditional Arabic" w:hint="cs"/>
          <w:sz w:val="30"/>
          <w:szCs w:val="30"/>
          <w:rtl/>
          <w:lang w:bidi="ar-EG"/>
        </w:rPr>
        <w:t>ي</w:t>
      </w:r>
      <w:r w:rsidR="00CC67EF">
        <w:rPr>
          <w:rFonts w:cs="Traditional Arabic" w:hint="cs"/>
          <w:sz w:val="30"/>
          <w:szCs w:val="30"/>
          <w:rtl/>
          <w:lang w:bidi="ar-EG"/>
        </w:rPr>
        <w:t>تشي</w:t>
      </w:r>
      <w:r>
        <w:rPr>
          <w:rFonts w:cs="Traditional Arabic" w:hint="cs"/>
          <w:sz w:val="30"/>
          <w:szCs w:val="30"/>
          <w:rtl/>
          <w:lang w:bidi="ar-EG"/>
        </w:rPr>
        <w:t xml:space="preserve"> للتنوع البيولوجي أرقام 3 و4 و6 و7 و18.</w:t>
      </w:r>
      <w:r w:rsidR="00233B53">
        <w:rPr>
          <w:rFonts w:cs="Traditional Arabic" w:hint="cs"/>
          <w:sz w:val="30"/>
          <w:szCs w:val="30"/>
          <w:rtl/>
          <w:lang w:bidi="ar-EG"/>
        </w:rPr>
        <w:t xml:space="preserve"> </w:t>
      </w:r>
    </w:p>
    <w:p w:rsidR="009C120D" w:rsidRDefault="009C120D" w:rsidP="00233B53">
      <w:pPr>
        <w:spacing w:after="120" w:line="400" w:lineRule="exact"/>
        <w:ind w:left="1134"/>
        <w:jc w:val="both"/>
        <w:rPr>
          <w:rFonts w:cs="Traditional Arabic" w:hint="cs"/>
          <w:sz w:val="30"/>
          <w:szCs w:val="30"/>
          <w:rtl/>
          <w:lang w:bidi="ar-EG"/>
        </w:rPr>
      </w:pPr>
      <w:r>
        <w:rPr>
          <w:rFonts w:cs="Traditional Arabic" w:hint="cs"/>
          <w:sz w:val="30"/>
          <w:szCs w:val="30"/>
          <w:rtl/>
          <w:lang w:bidi="ar-EG"/>
        </w:rPr>
        <w:lastRenderedPageBreak/>
        <w:t>7</w:t>
      </w:r>
      <w:r w:rsidR="00233B53">
        <w:rPr>
          <w:rFonts w:cs="Traditional Arabic" w:hint="cs"/>
          <w:sz w:val="30"/>
          <w:szCs w:val="30"/>
          <w:rtl/>
          <w:lang w:bidi="ar-EG"/>
        </w:rPr>
        <w:t xml:space="preserve"> </w:t>
      </w:r>
      <w:r>
        <w:rPr>
          <w:rFonts w:cs="Traditional Arabic" w:hint="cs"/>
          <w:sz w:val="30"/>
          <w:szCs w:val="30"/>
          <w:rtl/>
          <w:lang w:bidi="ar-EG"/>
        </w:rPr>
        <w:t>-</w:t>
      </w:r>
      <w:r>
        <w:rPr>
          <w:rFonts w:cs="Traditional Arabic" w:hint="cs"/>
          <w:sz w:val="30"/>
          <w:szCs w:val="30"/>
          <w:rtl/>
          <w:lang w:bidi="ar-EG"/>
        </w:rPr>
        <w:tab/>
        <w:t>وتقييم مجموعات مواضيعية (مثل أنواع الأخشاب الثمينة، والنباتات غير الخشبية، بما في ذلك النباتات الطبية؛ والأنواع البحرية المصيدة بشكل تجاري بما في ذلك أنواع أسمك القرش؛ أو الفقاريات الأرضية، بما في ذلك جلود الزواحف؛ من جميع أقاليم الأمم المتحدة)، والتي توجد بشأنها بيانات جيدة نسبيا</w:t>
      </w:r>
      <w:r w:rsidR="00A464F2">
        <w:rPr>
          <w:rFonts w:cs="Traditional Arabic" w:hint="cs"/>
          <w:sz w:val="30"/>
          <w:szCs w:val="30"/>
          <w:rtl/>
          <w:lang w:bidi="ar-EG"/>
        </w:rPr>
        <w:t>ً</w:t>
      </w:r>
      <w:r>
        <w:rPr>
          <w:rFonts w:cs="Traditional Arabic" w:hint="cs"/>
          <w:sz w:val="30"/>
          <w:szCs w:val="30"/>
          <w:rtl/>
          <w:lang w:bidi="ar-EG"/>
        </w:rPr>
        <w:t>، يمكن أن يوفر بيانا</w:t>
      </w:r>
      <w:r w:rsidR="001336CA">
        <w:rPr>
          <w:rFonts w:cs="Traditional Arabic" w:hint="cs"/>
          <w:sz w:val="30"/>
          <w:szCs w:val="30"/>
          <w:rtl/>
          <w:lang w:bidi="ar-EG"/>
        </w:rPr>
        <w:t>ً</w:t>
      </w:r>
      <w:r>
        <w:rPr>
          <w:rFonts w:cs="Traditional Arabic" w:hint="cs"/>
          <w:sz w:val="30"/>
          <w:szCs w:val="30"/>
          <w:rtl/>
          <w:lang w:bidi="ar-EG"/>
        </w:rPr>
        <w:t xml:space="preserve"> موضوعيا</w:t>
      </w:r>
      <w:r w:rsidR="001336CA">
        <w:rPr>
          <w:rFonts w:cs="Traditional Arabic" w:hint="cs"/>
          <w:sz w:val="30"/>
          <w:szCs w:val="30"/>
          <w:rtl/>
          <w:lang w:bidi="ar-EG"/>
        </w:rPr>
        <w:t>ً</w:t>
      </w:r>
      <w:r>
        <w:rPr>
          <w:rFonts w:cs="Traditional Arabic" w:hint="cs"/>
          <w:sz w:val="30"/>
          <w:szCs w:val="30"/>
          <w:rtl/>
          <w:lang w:bidi="ar-EG"/>
        </w:rPr>
        <w:t xml:space="preserve"> للعوامل الإيكولوجية والتجارية والاجتماعية التي تؤثر على ما إن كان للحصاد والتجارة تأثير إيجابي أو سلبي على جموع الأنواع البرية وخدمات النظم الإيكولوجية وغير ذلك من الأصول الاجتماعية-الاقتصادية والثقافية. ويمكن حينئذ ربط المعارف المتولدة عن هذه التقييمات مع بناء القدرات والأدوات الضرورية.</w:t>
      </w:r>
    </w:p>
    <w:p w:rsidR="009C120D" w:rsidRPr="00233B53" w:rsidRDefault="00233B53" w:rsidP="00233B53">
      <w:pPr>
        <w:spacing w:before="120" w:after="120" w:line="400" w:lineRule="exact"/>
        <w:ind w:left="1134" w:hanging="709"/>
        <w:jc w:val="both"/>
        <w:rPr>
          <w:rFonts w:cs="Traditional Arabic" w:hint="cs"/>
          <w:b/>
          <w:bCs/>
          <w:sz w:val="32"/>
          <w:szCs w:val="32"/>
          <w:rtl/>
          <w:lang w:bidi="ar-EG"/>
        </w:rPr>
      </w:pPr>
      <w:r w:rsidRPr="00233B53">
        <w:rPr>
          <w:rFonts w:cs="Traditional Arabic" w:hint="cs"/>
          <w:b/>
          <w:bCs/>
          <w:sz w:val="32"/>
          <w:szCs w:val="32"/>
          <w:rtl/>
          <w:lang w:bidi="ar-EG"/>
        </w:rPr>
        <w:t>ثالثاً</w:t>
      </w:r>
      <w:r w:rsidR="008C0F2F" w:rsidRPr="00233B53">
        <w:rPr>
          <w:rFonts w:cs="Traditional Arabic" w:hint="cs"/>
          <w:b/>
          <w:bCs/>
          <w:sz w:val="32"/>
          <w:szCs w:val="32"/>
          <w:rtl/>
          <w:lang w:bidi="ar-EG"/>
        </w:rPr>
        <w:t xml:space="preserve"> </w:t>
      </w:r>
      <w:r w:rsidR="009C120D" w:rsidRPr="00233B53">
        <w:rPr>
          <w:rFonts w:cs="Traditional Arabic" w:hint="cs"/>
          <w:b/>
          <w:bCs/>
          <w:sz w:val="32"/>
          <w:szCs w:val="32"/>
          <w:rtl/>
          <w:lang w:bidi="ar-EG"/>
        </w:rPr>
        <w:t>-</w:t>
      </w:r>
      <w:r w:rsidR="009C120D" w:rsidRPr="00233B53">
        <w:rPr>
          <w:rFonts w:cs="Traditional Arabic" w:hint="cs"/>
          <w:b/>
          <w:bCs/>
          <w:sz w:val="32"/>
          <w:szCs w:val="32"/>
          <w:rtl/>
          <w:lang w:bidi="ar-EG"/>
        </w:rPr>
        <w:tab/>
        <w:t>مخطط الفصول</w:t>
      </w:r>
    </w:p>
    <w:p w:rsidR="009C120D" w:rsidRDefault="009C120D" w:rsidP="009C120D">
      <w:pPr>
        <w:spacing w:after="120" w:line="400" w:lineRule="exact"/>
        <w:ind w:left="1134"/>
        <w:jc w:val="both"/>
        <w:rPr>
          <w:rFonts w:cs="Traditional Arabic" w:hint="cs"/>
          <w:sz w:val="30"/>
          <w:szCs w:val="30"/>
          <w:rtl/>
          <w:lang w:bidi="ar-EG"/>
        </w:rPr>
      </w:pPr>
      <w:r>
        <w:rPr>
          <w:rFonts w:cs="Traditional Arabic" w:hint="cs"/>
          <w:sz w:val="30"/>
          <w:szCs w:val="30"/>
          <w:rtl/>
          <w:lang w:bidi="ar-EG"/>
        </w:rPr>
        <w:t>8</w:t>
      </w:r>
      <w:r w:rsidR="00233B53">
        <w:rPr>
          <w:rFonts w:cs="Traditional Arabic" w:hint="cs"/>
          <w:sz w:val="30"/>
          <w:szCs w:val="30"/>
          <w:rtl/>
          <w:lang w:bidi="ar-EG"/>
        </w:rPr>
        <w:t xml:space="preserve"> </w:t>
      </w:r>
      <w:r>
        <w:rPr>
          <w:rFonts w:cs="Traditional Arabic" w:hint="cs"/>
          <w:sz w:val="30"/>
          <w:szCs w:val="30"/>
          <w:rtl/>
          <w:lang w:bidi="ar-EG"/>
        </w:rPr>
        <w:t>-</w:t>
      </w:r>
      <w:r>
        <w:rPr>
          <w:rFonts w:cs="Traditional Arabic" w:hint="cs"/>
          <w:sz w:val="30"/>
          <w:szCs w:val="30"/>
          <w:rtl/>
          <w:lang w:bidi="ar-EG"/>
        </w:rPr>
        <w:tab/>
        <w:t>من المتوخى تقديم التقييم المواضيعي في تقرير يتألف من ستة فصول</w:t>
      </w:r>
      <w:r w:rsidR="00233B53">
        <w:rPr>
          <w:rFonts w:cs="Traditional Arabic" w:hint="cs"/>
          <w:sz w:val="30"/>
          <w:szCs w:val="30"/>
          <w:rtl/>
          <w:lang w:bidi="ar-EG"/>
        </w:rPr>
        <w:t xml:space="preserve"> </w:t>
      </w:r>
      <w:r>
        <w:rPr>
          <w:rFonts w:cs="Traditional Arabic" w:hint="cs"/>
          <w:sz w:val="30"/>
          <w:szCs w:val="30"/>
          <w:rtl/>
          <w:lang w:bidi="ar-EG"/>
        </w:rPr>
        <w:t>على النحو التالي:</w:t>
      </w:r>
    </w:p>
    <w:p w:rsidR="00BA65F0" w:rsidRDefault="009C120D" w:rsidP="003A5FE1">
      <w:pPr>
        <w:spacing w:after="120" w:line="400" w:lineRule="exact"/>
        <w:ind w:left="1134"/>
        <w:jc w:val="both"/>
        <w:rPr>
          <w:rFonts w:cs="Traditional Arabic" w:hint="cs"/>
          <w:sz w:val="30"/>
          <w:szCs w:val="30"/>
          <w:rtl/>
          <w:lang w:bidi="ar-EG"/>
        </w:rPr>
      </w:pPr>
      <w:r>
        <w:rPr>
          <w:rFonts w:cs="Traditional Arabic" w:hint="cs"/>
          <w:sz w:val="30"/>
          <w:szCs w:val="30"/>
          <w:rtl/>
          <w:lang w:bidi="ar-EG"/>
        </w:rPr>
        <w:t>9</w:t>
      </w:r>
      <w:r w:rsidR="00233B53">
        <w:rPr>
          <w:rFonts w:cs="Traditional Arabic" w:hint="cs"/>
          <w:sz w:val="30"/>
          <w:szCs w:val="30"/>
          <w:rtl/>
          <w:lang w:bidi="ar-EG"/>
        </w:rPr>
        <w:t xml:space="preserve"> </w:t>
      </w:r>
      <w:r>
        <w:rPr>
          <w:rFonts w:cs="Traditional Arabic" w:hint="cs"/>
          <w:sz w:val="30"/>
          <w:szCs w:val="30"/>
          <w:rtl/>
          <w:lang w:bidi="ar-EG"/>
        </w:rPr>
        <w:t>-</w:t>
      </w:r>
      <w:r>
        <w:rPr>
          <w:rFonts w:cs="Traditional Arabic" w:hint="cs"/>
          <w:sz w:val="30"/>
          <w:szCs w:val="30"/>
          <w:rtl/>
          <w:lang w:bidi="ar-EG"/>
        </w:rPr>
        <w:tab/>
        <w:t xml:space="preserve">الفصل 1 </w:t>
      </w:r>
      <w:r w:rsidR="003A5FE1">
        <w:rPr>
          <w:rFonts w:cs="Traditional Arabic" w:hint="cs"/>
          <w:sz w:val="30"/>
          <w:szCs w:val="30"/>
          <w:rtl/>
          <w:lang w:bidi="ar-EG"/>
        </w:rPr>
        <w:t xml:space="preserve">يقدم </w:t>
      </w:r>
      <w:r>
        <w:rPr>
          <w:rFonts w:cs="Traditional Arabic" w:hint="cs"/>
          <w:sz w:val="30"/>
          <w:szCs w:val="30"/>
          <w:rtl/>
          <w:lang w:bidi="ar-EG"/>
        </w:rPr>
        <w:t>خلفية بشأن مبادئ الاستخدام المستدام، بما في ذلك المعايير المعترف بها بشأن الاستخدام المستدام للتنوع البيولوجي؛ والنهج التحوطية؛ ونظرية أقصى</w:t>
      </w:r>
      <w:r>
        <w:rPr>
          <w:rFonts w:cs="Traditional Arabic"/>
          <w:sz w:val="30"/>
          <w:szCs w:val="30"/>
          <w:lang w:bidi="ar-EG"/>
        </w:rPr>
        <w:t xml:space="preserve"> </w:t>
      </w:r>
      <w:r>
        <w:rPr>
          <w:rFonts w:cs="Traditional Arabic" w:hint="cs"/>
          <w:sz w:val="30"/>
          <w:szCs w:val="30"/>
          <w:rtl/>
          <w:lang w:bidi="ar-EG"/>
        </w:rPr>
        <w:t>تقييد مستدام؛ وما يمثله حصاد الأنواع البرية من أهمية للمجتمعات المحلية ومصادر الرزق؛ ومساهمة الحصاد المستدام في حفظ الموائل والتنوع البيولوجي؛ والتضافر مع الاتفاقيات المتصلة بالتنوع البيولوجي والوكالات المتخصصة وأصحاب المصلحة الآخرين.</w:t>
      </w:r>
    </w:p>
    <w:p w:rsidR="009C120D" w:rsidRDefault="00BA65F0" w:rsidP="00C501F8">
      <w:pPr>
        <w:spacing w:after="120" w:line="400" w:lineRule="exact"/>
        <w:ind w:left="1134"/>
        <w:jc w:val="both"/>
        <w:rPr>
          <w:rFonts w:cs="Traditional Arabic" w:hint="cs"/>
          <w:sz w:val="30"/>
          <w:szCs w:val="30"/>
          <w:rtl/>
          <w:lang w:bidi="ar-EG"/>
        </w:rPr>
      </w:pPr>
      <w:r>
        <w:rPr>
          <w:rFonts w:cs="Traditional Arabic" w:hint="cs"/>
          <w:sz w:val="30"/>
          <w:szCs w:val="30"/>
          <w:rtl/>
          <w:lang w:bidi="ar-EG"/>
        </w:rPr>
        <w:t>10</w:t>
      </w:r>
      <w:r w:rsidR="00C501F8">
        <w:rPr>
          <w:rFonts w:cs="Traditional Arabic" w:hint="cs"/>
          <w:sz w:val="30"/>
          <w:szCs w:val="30"/>
          <w:rtl/>
          <w:lang w:bidi="ar-EG"/>
        </w:rPr>
        <w:t xml:space="preserve"> </w:t>
      </w:r>
      <w:r>
        <w:rPr>
          <w:rFonts w:cs="Traditional Arabic" w:hint="cs"/>
          <w:sz w:val="30"/>
          <w:szCs w:val="30"/>
          <w:rtl/>
          <w:lang w:bidi="ar-EG"/>
        </w:rPr>
        <w:t>-</w:t>
      </w:r>
      <w:r w:rsidR="00C501F8">
        <w:rPr>
          <w:rFonts w:cs="Traditional Arabic" w:hint="cs"/>
          <w:sz w:val="30"/>
          <w:szCs w:val="30"/>
          <w:rtl/>
          <w:lang w:bidi="ar-EG"/>
        </w:rPr>
        <w:tab/>
      </w:r>
      <w:r w:rsidR="009C120D">
        <w:rPr>
          <w:rFonts w:cs="Traditional Arabic" w:hint="cs"/>
          <w:sz w:val="30"/>
          <w:szCs w:val="30"/>
          <w:rtl/>
          <w:lang w:bidi="ar-EG"/>
        </w:rPr>
        <w:t xml:space="preserve">الفصل 2 </w:t>
      </w:r>
      <w:r w:rsidR="003A5FE1">
        <w:rPr>
          <w:rFonts w:cs="Traditional Arabic" w:hint="cs"/>
          <w:sz w:val="30"/>
          <w:szCs w:val="30"/>
          <w:rtl/>
          <w:lang w:bidi="ar-EG"/>
        </w:rPr>
        <w:t xml:space="preserve">يحدد </w:t>
      </w:r>
      <w:r w:rsidR="009C120D">
        <w:rPr>
          <w:rFonts w:cs="Traditional Arabic" w:hint="cs"/>
          <w:sz w:val="30"/>
          <w:szCs w:val="30"/>
          <w:rtl/>
          <w:lang w:bidi="ar-EG"/>
        </w:rPr>
        <w:t>الفئات المصنفة التي ستجري دراستها، ويفضل أن تكون مجموعات من الأنواع البرية التي يجري حصادها في أكثر الأحوال وذات القيمة التجارية والتي لها مخططات إدارة متماثلة أو أشكال حياة ممثلة لجميع الأقاليم (مثلا</w:t>
      </w:r>
      <w:r w:rsidR="00CC67EF">
        <w:rPr>
          <w:rFonts w:cs="Traditional Arabic" w:hint="cs"/>
          <w:sz w:val="30"/>
          <w:szCs w:val="30"/>
          <w:rtl/>
          <w:lang w:bidi="ar-EG"/>
        </w:rPr>
        <w:t>ً</w:t>
      </w:r>
      <w:r w:rsidR="009C120D">
        <w:rPr>
          <w:rFonts w:cs="Traditional Arabic" w:hint="cs"/>
          <w:sz w:val="30"/>
          <w:szCs w:val="30"/>
          <w:rtl/>
          <w:lang w:bidi="ar-EG"/>
        </w:rPr>
        <w:t>، الأسماك البحرية وأسماك المياه العذبة، والطيور والثدييات والزواحف، والنباتات الخشبية وغير الخشبية)، وسيوجز حالة حفظها.</w:t>
      </w:r>
    </w:p>
    <w:p w:rsidR="009C120D" w:rsidRDefault="00BA65F0" w:rsidP="003A5FE1">
      <w:pPr>
        <w:spacing w:after="120" w:line="400" w:lineRule="exact"/>
        <w:ind w:left="1134"/>
        <w:jc w:val="both"/>
        <w:rPr>
          <w:rFonts w:cs="Traditional Arabic" w:hint="cs"/>
          <w:sz w:val="30"/>
          <w:szCs w:val="30"/>
          <w:rtl/>
          <w:lang w:bidi="ar-EG"/>
        </w:rPr>
      </w:pPr>
      <w:r>
        <w:rPr>
          <w:rFonts w:cs="Traditional Arabic" w:hint="cs"/>
          <w:sz w:val="30"/>
          <w:szCs w:val="30"/>
          <w:rtl/>
          <w:lang w:bidi="ar-EG"/>
        </w:rPr>
        <w:t xml:space="preserve">11 </w:t>
      </w:r>
      <w:r w:rsidR="009C120D">
        <w:rPr>
          <w:rFonts w:cs="Traditional Arabic" w:hint="cs"/>
          <w:sz w:val="30"/>
          <w:szCs w:val="30"/>
          <w:rtl/>
          <w:lang w:bidi="ar-EG"/>
        </w:rPr>
        <w:t>-</w:t>
      </w:r>
      <w:r w:rsidR="009C120D">
        <w:rPr>
          <w:rFonts w:cs="Traditional Arabic" w:hint="cs"/>
          <w:sz w:val="30"/>
          <w:szCs w:val="30"/>
          <w:rtl/>
          <w:lang w:bidi="ar-EG"/>
        </w:rPr>
        <w:tab/>
        <w:t xml:space="preserve">الفصل 3 </w:t>
      </w:r>
      <w:r w:rsidR="003A5FE1">
        <w:rPr>
          <w:rFonts w:cs="Traditional Arabic" w:hint="cs"/>
          <w:sz w:val="30"/>
          <w:szCs w:val="30"/>
          <w:rtl/>
          <w:lang w:bidi="ar-EG"/>
        </w:rPr>
        <w:t xml:space="preserve">يعرض </w:t>
      </w:r>
      <w:r w:rsidR="009C120D">
        <w:rPr>
          <w:rFonts w:cs="Traditional Arabic" w:hint="cs"/>
          <w:sz w:val="30"/>
          <w:szCs w:val="30"/>
          <w:rtl/>
          <w:lang w:bidi="ar-EG"/>
        </w:rPr>
        <w:t>تقييما</w:t>
      </w:r>
      <w:r w:rsidR="001336CA">
        <w:rPr>
          <w:rFonts w:cs="Traditional Arabic" w:hint="cs"/>
          <w:sz w:val="30"/>
          <w:szCs w:val="30"/>
          <w:rtl/>
          <w:lang w:bidi="ar-EG"/>
        </w:rPr>
        <w:t>ً</w:t>
      </w:r>
      <w:r w:rsidR="009C120D">
        <w:rPr>
          <w:rFonts w:cs="Traditional Arabic" w:hint="cs"/>
          <w:sz w:val="30"/>
          <w:szCs w:val="30"/>
          <w:rtl/>
          <w:lang w:bidi="ar-EG"/>
        </w:rPr>
        <w:t xml:space="preserve"> لفئات مصنفة مختارة ذات أهمية إيكولوجية واقتصادية واجتماعية وثقافية.</w:t>
      </w:r>
    </w:p>
    <w:p w:rsidR="009C120D" w:rsidRDefault="00BA65F0" w:rsidP="00E74D45">
      <w:pPr>
        <w:spacing w:after="120" w:line="400" w:lineRule="exact"/>
        <w:ind w:left="1134"/>
        <w:jc w:val="both"/>
        <w:rPr>
          <w:rFonts w:cs="Traditional Arabic" w:hint="cs"/>
          <w:sz w:val="30"/>
          <w:szCs w:val="30"/>
          <w:rtl/>
          <w:lang w:bidi="ar-EG"/>
        </w:rPr>
      </w:pPr>
      <w:r>
        <w:rPr>
          <w:rFonts w:cs="Traditional Arabic" w:hint="cs"/>
          <w:sz w:val="30"/>
          <w:szCs w:val="30"/>
          <w:rtl/>
          <w:lang w:bidi="ar-EG"/>
        </w:rPr>
        <w:t xml:space="preserve">12 </w:t>
      </w:r>
      <w:r w:rsidR="009C120D">
        <w:rPr>
          <w:rFonts w:cs="Traditional Arabic" w:hint="cs"/>
          <w:sz w:val="30"/>
          <w:szCs w:val="30"/>
          <w:rtl/>
          <w:lang w:bidi="ar-EG"/>
        </w:rPr>
        <w:t>-</w:t>
      </w:r>
      <w:r w:rsidR="009C120D">
        <w:rPr>
          <w:rFonts w:cs="Traditional Arabic" w:hint="cs"/>
          <w:sz w:val="30"/>
          <w:szCs w:val="30"/>
          <w:rtl/>
          <w:lang w:bidi="ar-EG"/>
        </w:rPr>
        <w:tab/>
        <w:t xml:space="preserve">الفصل 4 </w:t>
      </w:r>
      <w:r w:rsidR="003A5FE1">
        <w:rPr>
          <w:rFonts w:cs="Traditional Arabic" w:hint="cs"/>
          <w:sz w:val="30"/>
          <w:szCs w:val="30"/>
          <w:rtl/>
          <w:lang w:bidi="ar-EG"/>
        </w:rPr>
        <w:t xml:space="preserve">يقدم </w:t>
      </w:r>
      <w:r w:rsidR="009C120D">
        <w:rPr>
          <w:rFonts w:cs="Traditional Arabic" w:hint="cs"/>
          <w:sz w:val="30"/>
          <w:szCs w:val="30"/>
          <w:rtl/>
          <w:lang w:bidi="ar-EG"/>
        </w:rPr>
        <w:t>تقييما</w:t>
      </w:r>
      <w:r w:rsidR="001336CA">
        <w:rPr>
          <w:rFonts w:cs="Traditional Arabic" w:hint="cs"/>
          <w:sz w:val="30"/>
          <w:szCs w:val="30"/>
          <w:rtl/>
          <w:lang w:bidi="ar-EG"/>
        </w:rPr>
        <w:t>ً</w:t>
      </w:r>
      <w:r w:rsidR="009C120D">
        <w:rPr>
          <w:rFonts w:cs="Traditional Arabic" w:hint="cs"/>
          <w:sz w:val="30"/>
          <w:szCs w:val="30"/>
          <w:rtl/>
          <w:lang w:bidi="ar-EG"/>
        </w:rPr>
        <w:t xml:space="preserve"> لآثار المحركات الاجتماعية- الاقتصادية للفئات المصنفة التي يكثر حصادها في الأسواق والمجتمعات المحلية في ظل أنظمة إدارة مختلفة.</w:t>
      </w:r>
    </w:p>
    <w:p w:rsidR="009C120D" w:rsidRDefault="00BA65F0" w:rsidP="003A5FE1">
      <w:pPr>
        <w:spacing w:after="120" w:line="400" w:lineRule="exact"/>
        <w:ind w:left="1134"/>
        <w:jc w:val="both"/>
        <w:rPr>
          <w:rFonts w:cs="Traditional Arabic" w:hint="cs"/>
          <w:sz w:val="30"/>
          <w:szCs w:val="30"/>
          <w:rtl/>
          <w:lang w:bidi="ar-EG"/>
        </w:rPr>
      </w:pPr>
      <w:r>
        <w:rPr>
          <w:rFonts w:cs="Traditional Arabic" w:hint="cs"/>
          <w:sz w:val="30"/>
          <w:szCs w:val="30"/>
          <w:rtl/>
          <w:lang w:bidi="ar-EG"/>
        </w:rPr>
        <w:t xml:space="preserve">13 </w:t>
      </w:r>
      <w:r w:rsidR="009C120D">
        <w:rPr>
          <w:rFonts w:cs="Traditional Arabic" w:hint="cs"/>
          <w:sz w:val="30"/>
          <w:szCs w:val="30"/>
          <w:rtl/>
          <w:lang w:bidi="ar-EG"/>
        </w:rPr>
        <w:t>-</w:t>
      </w:r>
      <w:r w:rsidR="009C120D">
        <w:rPr>
          <w:rFonts w:cs="Traditional Arabic" w:hint="cs"/>
          <w:sz w:val="30"/>
          <w:szCs w:val="30"/>
          <w:rtl/>
          <w:lang w:bidi="ar-EG"/>
        </w:rPr>
        <w:tab/>
        <w:t xml:space="preserve">الفصل 5 </w:t>
      </w:r>
      <w:r w:rsidR="003A5FE1">
        <w:rPr>
          <w:rFonts w:cs="Traditional Arabic" w:hint="cs"/>
          <w:sz w:val="30"/>
          <w:szCs w:val="30"/>
          <w:rtl/>
          <w:lang w:bidi="ar-EG"/>
        </w:rPr>
        <w:t xml:space="preserve">يقيم </w:t>
      </w:r>
      <w:r w:rsidR="009C120D">
        <w:rPr>
          <w:rFonts w:cs="Traditional Arabic" w:hint="cs"/>
          <w:sz w:val="30"/>
          <w:szCs w:val="30"/>
          <w:rtl/>
          <w:lang w:bidi="ar-EG"/>
        </w:rPr>
        <w:t>تأثير الحصاد أو الاستغلال على حالة حفظ فئات مصنفة مختارة، ونظم إيكولوجية، وخدمات نظم إيكولوجية وغير ذلك من نظم القيمة في ظل نظم إدارة مختلفة.</w:t>
      </w:r>
    </w:p>
    <w:p w:rsidR="009C120D" w:rsidRDefault="00BA65F0" w:rsidP="003A5FE1">
      <w:pPr>
        <w:spacing w:after="120" w:line="400" w:lineRule="exact"/>
        <w:ind w:left="1134"/>
        <w:jc w:val="both"/>
        <w:rPr>
          <w:rFonts w:cs="Traditional Arabic" w:hint="cs"/>
          <w:sz w:val="30"/>
          <w:szCs w:val="30"/>
          <w:rtl/>
          <w:lang w:bidi="ar-EG"/>
        </w:rPr>
      </w:pPr>
      <w:r>
        <w:rPr>
          <w:rFonts w:cs="Traditional Arabic" w:hint="cs"/>
          <w:sz w:val="30"/>
          <w:szCs w:val="30"/>
          <w:rtl/>
          <w:lang w:bidi="ar-EG"/>
        </w:rPr>
        <w:t xml:space="preserve">14 </w:t>
      </w:r>
      <w:r w:rsidR="009C120D">
        <w:rPr>
          <w:rFonts w:cs="Traditional Arabic" w:hint="cs"/>
          <w:sz w:val="30"/>
          <w:szCs w:val="30"/>
          <w:rtl/>
          <w:lang w:bidi="ar-EG"/>
        </w:rPr>
        <w:t>-</w:t>
      </w:r>
      <w:r w:rsidR="009C120D">
        <w:rPr>
          <w:rFonts w:cs="Traditional Arabic" w:hint="cs"/>
          <w:sz w:val="30"/>
          <w:szCs w:val="30"/>
          <w:rtl/>
          <w:lang w:bidi="ar-EG"/>
        </w:rPr>
        <w:tab/>
        <w:t xml:space="preserve">الفصل 6 </w:t>
      </w:r>
      <w:r w:rsidR="003A5FE1">
        <w:rPr>
          <w:rFonts w:cs="Traditional Arabic" w:hint="cs"/>
          <w:sz w:val="30"/>
          <w:szCs w:val="30"/>
          <w:rtl/>
          <w:lang w:bidi="ar-EG"/>
        </w:rPr>
        <w:t xml:space="preserve">يعرض </w:t>
      </w:r>
      <w:r w:rsidR="009C120D">
        <w:rPr>
          <w:rFonts w:cs="Traditional Arabic" w:hint="cs"/>
          <w:sz w:val="30"/>
          <w:szCs w:val="30"/>
          <w:rtl/>
          <w:lang w:bidi="ar-EG"/>
        </w:rPr>
        <w:t>توليفة من المبادئ التوجيهية للإدارة وأدواتها (بما في ذلك أفضل الممارسات، والإجراءات، والدروس المستفادة والتوصيات) بشأن الاستخدام المستدام المستند إلى فئات مصنفة مختارة مع إمكانية التطبيق على أنواع أخرى في إطار نظم إدارة مماثلة.</w:t>
      </w:r>
    </w:p>
    <w:p w:rsidR="009C120D" w:rsidRPr="008C0F2F" w:rsidRDefault="009C120D" w:rsidP="008C0F2F">
      <w:pPr>
        <w:spacing w:after="120" w:line="400" w:lineRule="exact"/>
        <w:ind w:left="1132" w:hanging="850"/>
        <w:jc w:val="both"/>
        <w:rPr>
          <w:rFonts w:cs="Traditional Arabic" w:hint="cs"/>
          <w:b/>
          <w:bCs/>
          <w:sz w:val="32"/>
          <w:szCs w:val="32"/>
          <w:rtl/>
          <w:lang w:bidi="ar-EG"/>
        </w:rPr>
      </w:pPr>
      <w:r w:rsidRPr="008C0F2F">
        <w:rPr>
          <w:rFonts w:cs="Traditional Arabic" w:hint="cs"/>
          <w:b/>
          <w:bCs/>
          <w:sz w:val="32"/>
          <w:szCs w:val="32"/>
          <w:rtl/>
          <w:lang w:bidi="ar-EG"/>
        </w:rPr>
        <w:t>رابعا</w:t>
      </w:r>
      <w:r w:rsidR="008C0F2F">
        <w:rPr>
          <w:rFonts w:cs="Traditional Arabic" w:hint="cs"/>
          <w:b/>
          <w:bCs/>
          <w:sz w:val="32"/>
          <w:szCs w:val="32"/>
          <w:rtl/>
          <w:lang w:bidi="ar-EG"/>
        </w:rPr>
        <w:t xml:space="preserve">ً </w:t>
      </w:r>
      <w:r w:rsidRPr="008C0F2F">
        <w:rPr>
          <w:rFonts w:cs="Traditional Arabic" w:hint="cs"/>
          <w:b/>
          <w:bCs/>
          <w:sz w:val="32"/>
          <w:szCs w:val="32"/>
          <w:rtl/>
          <w:lang w:bidi="ar-EG"/>
        </w:rPr>
        <w:t>-</w:t>
      </w:r>
      <w:r w:rsidRPr="008C0F2F">
        <w:rPr>
          <w:rFonts w:cs="Traditional Arabic" w:hint="cs"/>
          <w:b/>
          <w:bCs/>
          <w:sz w:val="32"/>
          <w:szCs w:val="32"/>
          <w:rtl/>
          <w:lang w:bidi="ar-EG"/>
        </w:rPr>
        <w:tab/>
        <w:t>العملية والجدول الزمني</w:t>
      </w:r>
    </w:p>
    <w:p w:rsidR="009C120D" w:rsidRDefault="00BA65F0" w:rsidP="00BA65F0">
      <w:pPr>
        <w:spacing w:after="120" w:line="400" w:lineRule="exact"/>
        <w:ind w:left="1134"/>
        <w:jc w:val="both"/>
        <w:rPr>
          <w:rFonts w:cs="Traditional Arabic" w:hint="cs"/>
          <w:sz w:val="30"/>
          <w:szCs w:val="30"/>
          <w:rtl/>
          <w:lang w:bidi="ar-EG"/>
        </w:rPr>
      </w:pPr>
      <w:r>
        <w:rPr>
          <w:rFonts w:cs="Traditional Arabic" w:hint="cs"/>
          <w:sz w:val="30"/>
          <w:szCs w:val="30"/>
          <w:rtl/>
          <w:lang w:bidi="ar-EG"/>
        </w:rPr>
        <w:t xml:space="preserve">15 </w:t>
      </w:r>
      <w:r w:rsidR="009C120D">
        <w:rPr>
          <w:rFonts w:cs="Traditional Arabic" w:hint="cs"/>
          <w:sz w:val="30"/>
          <w:szCs w:val="30"/>
          <w:rtl/>
          <w:lang w:bidi="ar-EG"/>
        </w:rPr>
        <w:t>-</w:t>
      </w:r>
      <w:r w:rsidR="009C120D">
        <w:rPr>
          <w:rFonts w:cs="Traditional Arabic" w:hint="cs"/>
          <w:sz w:val="30"/>
          <w:szCs w:val="30"/>
          <w:rtl/>
          <w:lang w:bidi="ar-EG"/>
        </w:rPr>
        <w:tab/>
        <w:t>نوجز في الجدول التالي العملية المقترحة للاضطلاع بالتقييم المواضيعي والجدول الزمني للقيام بذلك.</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215"/>
        <w:gridCol w:w="6486"/>
      </w:tblGrid>
      <w:tr w:rsidR="00B512CD" w:rsidRPr="007231CD" w:rsidTr="00B512CD">
        <w:trPr>
          <w:tblHeader/>
        </w:trPr>
        <w:tc>
          <w:tcPr>
            <w:tcW w:w="1986" w:type="dxa"/>
            <w:gridSpan w:val="2"/>
            <w:shd w:val="clear" w:color="auto" w:fill="auto"/>
          </w:tcPr>
          <w:p w:rsidR="00B512CD" w:rsidRPr="007231CD" w:rsidRDefault="00B512CD" w:rsidP="007231CD">
            <w:pPr>
              <w:spacing w:before="60" w:after="60" w:line="360" w:lineRule="exact"/>
              <w:jc w:val="both"/>
              <w:rPr>
                <w:rFonts w:ascii="Traditional Arabic" w:hAnsi="Traditional Arabic" w:cs="Traditional Arabic"/>
                <w:i/>
                <w:iCs/>
                <w:sz w:val="18"/>
                <w:rtl/>
                <w:lang w:bidi="ar-EG"/>
              </w:rPr>
            </w:pPr>
            <w:r w:rsidRPr="007231CD">
              <w:rPr>
                <w:rFonts w:ascii="Traditional Arabic" w:hAnsi="Traditional Arabic" w:cs="Traditional Arabic"/>
                <w:i/>
                <w:iCs/>
                <w:sz w:val="18"/>
                <w:rtl/>
                <w:lang w:bidi="ar-EG"/>
              </w:rPr>
              <w:t>الإطار الزمني</w:t>
            </w:r>
          </w:p>
        </w:tc>
        <w:tc>
          <w:tcPr>
            <w:tcW w:w="6486" w:type="dxa"/>
            <w:shd w:val="clear" w:color="auto" w:fill="auto"/>
          </w:tcPr>
          <w:p w:rsidR="00B512CD" w:rsidRPr="007231CD" w:rsidRDefault="00B512CD" w:rsidP="007231CD">
            <w:pPr>
              <w:spacing w:before="60" w:after="60" w:line="360" w:lineRule="exact"/>
              <w:jc w:val="both"/>
              <w:rPr>
                <w:rFonts w:ascii="Traditional Arabic" w:hAnsi="Traditional Arabic" w:cs="Traditional Arabic"/>
                <w:i/>
                <w:iCs/>
                <w:sz w:val="18"/>
                <w:rtl/>
                <w:lang w:bidi="ar-EG"/>
              </w:rPr>
            </w:pPr>
            <w:r w:rsidRPr="007231CD">
              <w:rPr>
                <w:rFonts w:ascii="Traditional Arabic" w:hAnsi="Traditional Arabic" w:cs="Traditional Arabic"/>
                <w:i/>
                <w:iCs/>
                <w:sz w:val="18"/>
                <w:rtl/>
                <w:lang w:bidi="ar-EG"/>
              </w:rPr>
              <w:t>الإجراءات</w:t>
            </w:r>
          </w:p>
        </w:tc>
      </w:tr>
      <w:tr w:rsidR="00663933" w:rsidRPr="007231CD" w:rsidTr="00663933">
        <w:tc>
          <w:tcPr>
            <w:tcW w:w="771" w:type="dxa"/>
            <w:vMerge w:val="restart"/>
            <w:shd w:val="clear" w:color="auto" w:fill="auto"/>
          </w:tcPr>
          <w:p w:rsidR="00663933" w:rsidRPr="007231CD" w:rsidRDefault="00663933" w:rsidP="007231CD">
            <w:pPr>
              <w:spacing w:before="60" w:after="60" w:line="36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2013</w:t>
            </w:r>
          </w:p>
        </w:tc>
        <w:tc>
          <w:tcPr>
            <w:tcW w:w="1215" w:type="dxa"/>
            <w:shd w:val="clear" w:color="auto" w:fill="auto"/>
            <w:vAlign w:val="center"/>
          </w:tcPr>
          <w:p w:rsidR="00663933" w:rsidRPr="007231CD" w:rsidRDefault="00663933" w:rsidP="00663933">
            <w:pPr>
              <w:spacing w:before="60" w:after="60" w:line="36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الرابع</w:t>
            </w:r>
          </w:p>
        </w:tc>
        <w:tc>
          <w:tcPr>
            <w:tcW w:w="6486" w:type="dxa"/>
            <w:shd w:val="clear" w:color="auto" w:fill="auto"/>
          </w:tcPr>
          <w:p w:rsidR="00663933" w:rsidRPr="007231CD" w:rsidRDefault="00663933" w:rsidP="007231CD">
            <w:pPr>
              <w:spacing w:before="60" w:after="60" w:line="36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يستعرض الاجتماع العام، ويقر عملية تحديد النطاق الأولي التي أعدها فريق الخبراء المتعدد التخصصات، ويطلب إلى الفريق والمكتب المضي، تبعاً لحجم التكاليف المتفق عليه، في التقييم الكامل بعد دراسة تحديد النطاق التفصيلي (14 كانون الأول/ديسمبر 2013).</w:t>
            </w:r>
          </w:p>
        </w:tc>
      </w:tr>
      <w:tr w:rsidR="00663933" w:rsidRPr="007231CD" w:rsidTr="00663933">
        <w:tc>
          <w:tcPr>
            <w:tcW w:w="771" w:type="dxa"/>
            <w:vMerge/>
            <w:shd w:val="clear" w:color="auto" w:fill="auto"/>
          </w:tcPr>
          <w:p w:rsidR="00663933" w:rsidRPr="007231CD" w:rsidRDefault="00663933" w:rsidP="00A464F2">
            <w:pPr>
              <w:spacing w:before="60" w:after="60" w:line="350" w:lineRule="exact"/>
              <w:jc w:val="both"/>
              <w:rPr>
                <w:rFonts w:ascii="Traditional Arabic" w:hAnsi="Traditional Arabic" w:cs="Traditional Arabic"/>
                <w:sz w:val="18"/>
                <w:rtl/>
                <w:lang w:bidi="ar-EG"/>
              </w:rPr>
            </w:pPr>
          </w:p>
        </w:tc>
        <w:tc>
          <w:tcPr>
            <w:tcW w:w="1215" w:type="dxa"/>
            <w:shd w:val="clear" w:color="auto" w:fill="auto"/>
            <w:vAlign w:val="center"/>
          </w:tcPr>
          <w:p w:rsidR="00663933" w:rsidRPr="007231CD" w:rsidRDefault="00663933"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الرابع</w:t>
            </w:r>
          </w:p>
        </w:tc>
        <w:tc>
          <w:tcPr>
            <w:tcW w:w="6486" w:type="dxa"/>
            <w:shd w:val="clear" w:color="auto" w:fill="auto"/>
          </w:tcPr>
          <w:p w:rsidR="00663933" w:rsidRPr="007231CD" w:rsidRDefault="00663933" w:rsidP="00A464F2">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 xml:space="preserve">يطلب الفريق، من خلال الأمانة، من الحكومات وغيرها من أصحاب المصلحة تعيين </w:t>
            </w:r>
            <w:r w:rsidRPr="007231CD">
              <w:rPr>
                <w:rFonts w:ascii="Traditional Arabic" w:hAnsi="Traditional Arabic" w:cs="Traditional Arabic"/>
                <w:sz w:val="18"/>
                <w:rtl/>
                <w:lang w:bidi="ar-EG"/>
              </w:rPr>
              <w:lastRenderedPageBreak/>
              <w:t>خبراء للمساعدة في عملية تحديد النطاق (16 كانون الأول/ديسمبر 2013 - 31 كانون الثاني/يناير 2014).</w:t>
            </w:r>
          </w:p>
        </w:tc>
      </w:tr>
      <w:tr w:rsidR="009C120D" w:rsidRPr="007231CD" w:rsidTr="00663933">
        <w:tc>
          <w:tcPr>
            <w:tcW w:w="771" w:type="dxa"/>
            <w:vMerge w:val="restart"/>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lastRenderedPageBreak/>
              <w:t>2014</w:t>
            </w: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الأول</w:t>
            </w:r>
          </w:p>
        </w:tc>
        <w:tc>
          <w:tcPr>
            <w:tcW w:w="6486" w:type="dxa"/>
            <w:shd w:val="clear" w:color="auto" w:fill="auto"/>
          </w:tcPr>
          <w:p w:rsidR="009C120D" w:rsidRPr="007231CD" w:rsidRDefault="009C120D" w:rsidP="00704698">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 xml:space="preserve">يختار الفريق، عن طريق البريد الإلكتروني </w:t>
            </w:r>
            <w:r w:rsidR="003A5FE1" w:rsidRPr="007231CD">
              <w:rPr>
                <w:rFonts w:ascii="Traditional Arabic" w:hAnsi="Traditional Arabic" w:cs="Traditional Arabic"/>
                <w:sz w:val="18"/>
                <w:rtl/>
                <w:lang w:bidi="ar-EG"/>
              </w:rPr>
              <w:t>والتحاور من</w:t>
            </w:r>
            <w:r w:rsidRPr="007231CD">
              <w:rPr>
                <w:rFonts w:ascii="Traditional Arabic" w:hAnsi="Traditional Arabic" w:cs="Traditional Arabic"/>
                <w:sz w:val="18"/>
                <w:rtl/>
                <w:lang w:bidi="ar-EG"/>
              </w:rPr>
              <w:t xml:space="preserve"> بعد، خبراء (مؤلفان رئيسيان لكل مجموعة من المجموعات المواضيعية السبع) من أجل تحديد النطاق باستخدام معايير الاختيار المعتمدة</w:t>
            </w:r>
            <w:r w:rsidR="00704698">
              <w:rPr>
                <w:rFonts w:ascii="Traditional Arabic" w:hAnsi="Traditional Arabic" w:cs="Traditional Arabic"/>
                <w:sz w:val="18"/>
                <w:rtl/>
                <w:lang w:bidi="ar-EG"/>
              </w:rPr>
              <w:t xml:space="preserve"> (</w:t>
            </w:r>
            <w:r w:rsidR="00704698">
              <w:rPr>
                <w:rFonts w:ascii="Traditional Arabic" w:hAnsi="Traditional Arabic" w:cs="Traditional Arabic" w:hint="cs"/>
                <w:sz w:val="18"/>
                <w:rtl/>
                <w:lang w:bidi="ar-EG"/>
              </w:rPr>
              <w:t>ا</w:t>
            </w:r>
            <w:r w:rsidR="00BA65F0" w:rsidRPr="007231CD">
              <w:rPr>
                <w:rFonts w:ascii="Traditional Arabic" w:hAnsi="Traditional Arabic" w:cs="Traditional Arabic"/>
                <w:sz w:val="18"/>
                <w:rtl/>
                <w:lang w:bidi="ar-EG"/>
              </w:rPr>
              <w:t>نظر</w:t>
            </w:r>
            <w:r w:rsidR="00704698">
              <w:rPr>
                <w:rFonts w:ascii="Traditional Arabic" w:hAnsi="Traditional Arabic" w:cs="Traditional Arabic" w:hint="cs"/>
                <w:sz w:val="18"/>
                <w:rtl/>
                <w:lang w:bidi="ar-EG"/>
              </w:rPr>
              <w:t xml:space="preserve"> </w:t>
            </w:r>
            <w:r w:rsidR="00FF1D72" w:rsidRPr="007231CD">
              <w:rPr>
                <w:rFonts w:ascii="Traditional Arabic" w:hAnsi="Traditional Arabic" w:cs="Traditional Arabic"/>
                <w:sz w:val="18"/>
                <w:lang w:bidi="ar-EG"/>
              </w:rPr>
              <w:t>IPBES/2/9</w:t>
            </w:r>
            <w:r w:rsidR="00BA65F0"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 xml:space="preserve"> (1- 14 شباط</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فبراير 2014).</w:t>
            </w:r>
          </w:p>
        </w:tc>
      </w:tr>
      <w:tr w:rsidR="009C120D" w:rsidRPr="007231CD" w:rsidTr="00663933">
        <w:tc>
          <w:tcPr>
            <w:tcW w:w="771" w:type="dxa"/>
            <w:vMerge/>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الثاني</w:t>
            </w:r>
          </w:p>
        </w:tc>
        <w:tc>
          <w:tcPr>
            <w:tcW w:w="6486" w:type="dxa"/>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يشرف الفريق والمكتب على عملية تحديد النطاق التفصيلي، بما في ذلك المخطط التمهيدي والتكاليف والجدوى (ثلاثة أشهر). ويعقد اجتماع لتحديد النطاق في</w:t>
            </w:r>
            <w:r w:rsidR="001336CA" w:rsidRPr="007231CD">
              <w:rPr>
                <w:rFonts w:ascii="Traditional Arabic" w:hAnsi="Traditional Arabic" w:cs="Traditional Arabic"/>
                <w:sz w:val="18"/>
                <w:rtl/>
                <w:lang w:bidi="ar-EG"/>
              </w:rPr>
              <w:t xml:space="preserve"> بداية شهر نيسان/أ</w:t>
            </w:r>
            <w:r w:rsidR="00B512CD" w:rsidRPr="007231CD">
              <w:rPr>
                <w:rFonts w:ascii="Traditional Arabic" w:hAnsi="Traditional Arabic" w:cs="Traditional Arabic"/>
                <w:sz w:val="18"/>
                <w:rtl/>
                <w:lang w:bidi="ar-EG"/>
              </w:rPr>
              <w:t xml:space="preserve">بريل 2014. </w:t>
            </w:r>
          </w:p>
        </w:tc>
      </w:tr>
      <w:tr w:rsidR="009C120D" w:rsidRPr="007231CD" w:rsidTr="00663933">
        <w:tc>
          <w:tcPr>
            <w:tcW w:w="771" w:type="dxa"/>
            <w:vMerge/>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الثالث</w:t>
            </w:r>
            <w:r w:rsidR="00C501F8">
              <w:rPr>
                <w:rFonts w:ascii="Traditional Arabic" w:hAnsi="Traditional Arabic" w:cs="Traditional Arabic" w:hint="cs"/>
                <w:sz w:val="18"/>
                <w:rtl/>
              </w:rPr>
              <w:t xml:space="preserve">/ </w:t>
            </w:r>
            <w:r w:rsidRPr="007231CD">
              <w:rPr>
                <w:rFonts w:ascii="Traditional Arabic" w:hAnsi="Traditional Arabic" w:cs="Traditional Arabic"/>
                <w:sz w:val="18"/>
                <w:rtl/>
                <w:lang w:bidi="ar-EG"/>
              </w:rPr>
              <w:t>الثاني</w:t>
            </w:r>
          </w:p>
        </w:tc>
        <w:tc>
          <w:tcPr>
            <w:tcW w:w="6486" w:type="dxa"/>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يرسل تقييم تحديد النطاق التفصيلي إلى أعضاء المنبر وغيرهم من أصحاب المصلحة لاستعراضه والتعليق عليه خلال أسبوعين من النصف الثاني من شهر نيسان</w:t>
            </w:r>
            <w:r w:rsidR="001336CA" w:rsidRPr="007231CD">
              <w:rPr>
                <w:rFonts w:ascii="Traditional Arabic" w:hAnsi="Traditional Arabic" w:cs="Traditional Arabic"/>
                <w:sz w:val="18"/>
                <w:rtl/>
                <w:lang w:bidi="ar-EG"/>
              </w:rPr>
              <w:t>/أ</w:t>
            </w:r>
            <w:r w:rsidRPr="007231CD">
              <w:rPr>
                <w:rFonts w:ascii="Traditional Arabic" w:hAnsi="Traditional Arabic" w:cs="Traditional Arabic"/>
                <w:sz w:val="18"/>
                <w:rtl/>
                <w:lang w:bidi="ar-EG"/>
              </w:rPr>
              <w:t>بريل 2014.</w:t>
            </w:r>
          </w:p>
        </w:tc>
      </w:tr>
      <w:tr w:rsidR="009C120D" w:rsidRPr="007231CD" w:rsidTr="00663933">
        <w:tc>
          <w:tcPr>
            <w:tcW w:w="771" w:type="dxa"/>
            <w:vMerge/>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الثاني</w:t>
            </w:r>
          </w:p>
        </w:tc>
        <w:tc>
          <w:tcPr>
            <w:tcW w:w="6486" w:type="dxa"/>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واستنادا</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 xml:space="preserve"> إلى نتائج ممارسة تحديد النطاق التفصيلي والتعليقات الواردة من أعضاء المنبر وغيرهم من أصحاب المصلحة، يبت الفريق والمكتب فيما إن كانا يواصلان العمل في التقييم، بافتراض أن من الممكن الاضطلاع به خلال </w:t>
            </w:r>
            <w:r w:rsidR="00804E82" w:rsidRPr="007231CD">
              <w:rPr>
                <w:rFonts w:ascii="Traditional Arabic" w:hAnsi="Traditional Arabic" w:cs="Traditional Arabic"/>
                <w:sz w:val="18"/>
                <w:rtl/>
                <w:lang w:bidi="ar-EG"/>
              </w:rPr>
              <w:t>غطاء</w:t>
            </w:r>
            <w:r w:rsidR="00793970" w:rsidRPr="007231CD">
              <w:rPr>
                <w:rFonts w:ascii="Traditional Arabic" w:hAnsi="Traditional Arabic" w:cs="Traditional Arabic"/>
                <w:sz w:val="18"/>
                <w:rtl/>
                <w:lang w:bidi="ar-EG"/>
              </w:rPr>
              <w:t xml:space="preserve"> </w:t>
            </w:r>
            <w:r w:rsidRPr="007231CD">
              <w:rPr>
                <w:rFonts w:ascii="Traditional Arabic" w:hAnsi="Traditional Arabic" w:cs="Traditional Arabic"/>
                <w:sz w:val="18"/>
                <w:rtl/>
                <w:lang w:bidi="ar-EG"/>
              </w:rPr>
              <w:t xml:space="preserve">الميزانية الذي أقره الاجتماع العام في النصف الأول من شهر أيار/مايو 2014. </w:t>
            </w:r>
          </w:p>
        </w:tc>
      </w:tr>
      <w:tr w:rsidR="009C120D" w:rsidRPr="007231CD" w:rsidTr="00663933">
        <w:tc>
          <w:tcPr>
            <w:tcW w:w="771" w:type="dxa"/>
            <w:vMerge/>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الثاني</w:t>
            </w:r>
          </w:p>
        </w:tc>
        <w:tc>
          <w:tcPr>
            <w:tcW w:w="6486" w:type="dxa"/>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يطلب الفريق، من خلال الأمانة، إلى الحكومات وأصحاب المصلحة الآخرين تعيين خبراء لإعداد التقرير. ويتعين تقديم التعيينات قبل نهاية شهر حزيران</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يوني</w:t>
            </w:r>
            <w:r w:rsidR="00A464F2">
              <w:rPr>
                <w:rFonts w:ascii="Traditional Arabic" w:hAnsi="Traditional Arabic" w:cs="Traditional Arabic" w:hint="cs"/>
                <w:sz w:val="18"/>
                <w:rtl/>
                <w:lang w:bidi="ar-EG"/>
              </w:rPr>
              <w:t>ه</w:t>
            </w:r>
            <w:r w:rsidRPr="007231CD">
              <w:rPr>
                <w:rFonts w:ascii="Traditional Arabic" w:hAnsi="Traditional Arabic" w:cs="Traditional Arabic"/>
                <w:sz w:val="18"/>
                <w:rtl/>
                <w:lang w:bidi="ar-EG"/>
              </w:rPr>
              <w:t xml:space="preserve"> 2014 (1,5 شهر).</w:t>
            </w:r>
          </w:p>
        </w:tc>
      </w:tr>
      <w:tr w:rsidR="009C120D" w:rsidRPr="007231CD" w:rsidTr="00663933">
        <w:tc>
          <w:tcPr>
            <w:tcW w:w="771" w:type="dxa"/>
            <w:vMerge/>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الثالث</w:t>
            </w:r>
          </w:p>
        </w:tc>
        <w:tc>
          <w:tcPr>
            <w:tcW w:w="6486" w:type="dxa"/>
            <w:shd w:val="clear" w:color="auto" w:fill="auto"/>
          </w:tcPr>
          <w:p w:rsidR="009C120D" w:rsidRPr="007231CD" w:rsidRDefault="009C120D" w:rsidP="00704698">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 xml:space="preserve">يختار الفريق الرؤساء المشاركين للتقرير، والمؤلفين الرئيسيين المنسقين، والمؤلفين الرئيسيين، والمحررين المراجعين </w:t>
            </w:r>
            <w:r w:rsidR="008C0F2F" w:rsidRPr="007231CD">
              <w:rPr>
                <w:rFonts w:ascii="Traditional Arabic" w:hAnsi="Traditional Arabic" w:cs="Traditional Arabic"/>
                <w:sz w:val="18"/>
                <w:rtl/>
                <w:lang w:bidi="ar-EG"/>
              </w:rPr>
              <w:t>باستخدام</w:t>
            </w:r>
            <w:r w:rsidRPr="007231CD">
              <w:rPr>
                <w:rFonts w:ascii="Traditional Arabic" w:hAnsi="Traditional Arabic" w:cs="Traditional Arabic"/>
                <w:sz w:val="18"/>
                <w:rtl/>
                <w:lang w:bidi="ar-EG"/>
              </w:rPr>
              <w:t xml:space="preserve"> معايير الاختيار المعتمدة</w:t>
            </w:r>
            <w:r w:rsidR="00704698">
              <w:rPr>
                <w:rFonts w:ascii="Traditional Arabic" w:hAnsi="Traditional Arabic" w:cs="Traditional Arabic"/>
                <w:sz w:val="18"/>
                <w:rtl/>
              </w:rPr>
              <w:t xml:space="preserve"> (</w:t>
            </w:r>
            <w:r w:rsidR="00704698">
              <w:rPr>
                <w:rFonts w:ascii="Traditional Arabic" w:hAnsi="Traditional Arabic" w:cs="Traditional Arabic" w:hint="cs"/>
                <w:sz w:val="18"/>
                <w:rtl/>
              </w:rPr>
              <w:t>ا</w:t>
            </w:r>
            <w:r w:rsidR="00FF1D72" w:rsidRPr="007231CD">
              <w:rPr>
                <w:rFonts w:ascii="Traditional Arabic" w:hAnsi="Traditional Arabic" w:cs="Traditional Arabic"/>
                <w:sz w:val="18"/>
                <w:rtl/>
              </w:rPr>
              <w:t>نظر</w:t>
            </w:r>
            <w:r w:rsidR="00704698">
              <w:rPr>
                <w:rFonts w:ascii="Traditional Arabic" w:hAnsi="Traditional Arabic" w:cs="Traditional Arabic" w:hint="cs"/>
                <w:sz w:val="18"/>
                <w:rtl/>
              </w:rPr>
              <w:t xml:space="preserve"> </w:t>
            </w:r>
            <w:r w:rsidR="00FF1D72" w:rsidRPr="007231CD">
              <w:rPr>
                <w:rFonts w:ascii="Traditional Arabic" w:hAnsi="Traditional Arabic" w:cs="Traditional Arabic"/>
                <w:sz w:val="18"/>
                <w:lang w:bidi="ar-EG"/>
              </w:rPr>
              <w:t>IPBES/2/9</w:t>
            </w:r>
            <w:r w:rsidR="00FF1D72" w:rsidRPr="007231CD">
              <w:rPr>
                <w:rFonts w:ascii="Traditional Arabic" w:hAnsi="Traditional Arabic" w:cs="Traditional Arabic"/>
                <w:sz w:val="18"/>
                <w:rtl/>
              </w:rPr>
              <w:t>)</w:t>
            </w:r>
            <w:r w:rsidRPr="007231CD">
              <w:rPr>
                <w:rFonts w:ascii="Traditional Arabic" w:hAnsi="Traditional Arabic" w:cs="Traditional Arabic"/>
                <w:sz w:val="18"/>
                <w:rtl/>
                <w:lang w:bidi="ar-EG"/>
              </w:rPr>
              <w:t xml:space="preserve"> (أول تموز</w:t>
            </w:r>
            <w:r w:rsidR="001336CA" w:rsidRPr="007231CD">
              <w:rPr>
                <w:rFonts w:ascii="Traditional Arabic" w:hAnsi="Traditional Arabic" w:cs="Traditional Arabic"/>
                <w:sz w:val="18"/>
                <w:rtl/>
                <w:lang w:bidi="ar-EG"/>
              </w:rPr>
              <w:t>/</w:t>
            </w:r>
            <w:r w:rsidR="00C035DC" w:rsidRPr="007231CD">
              <w:rPr>
                <w:rFonts w:ascii="Traditional Arabic" w:hAnsi="Traditional Arabic" w:cs="Traditional Arabic"/>
                <w:sz w:val="18"/>
                <w:rtl/>
                <w:lang w:bidi="ar-EG"/>
              </w:rPr>
              <w:t>يوليه</w:t>
            </w:r>
            <w:r w:rsidRPr="007231CD">
              <w:rPr>
                <w:rFonts w:ascii="Traditional Arabic" w:hAnsi="Traditional Arabic" w:cs="Traditional Arabic"/>
                <w:sz w:val="18"/>
                <w:rtl/>
                <w:lang w:bidi="ar-EG"/>
              </w:rPr>
              <w:t>- 15 آب</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أغسطس (1,5 شهر)).</w:t>
            </w:r>
          </w:p>
        </w:tc>
      </w:tr>
      <w:tr w:rsidR="009C120D" w:rsidRPr="007231CD" w:rsidTr="00663933">
        <w:tc>
          <w:tcPr>
            <w:tcW w:w="771" w:type="dxa"/>
            <w:vMerge/>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الثالث</w:t>
            </w:r>
            <w:r w:rsidR="001336CA" w:rsidRPr="007231CD">
              <w:rPr>
                <w:rFonts w:ascii="Traditional Arabic" w:hAnsi="Traditional Arabic" w:cs="Traditional Arabic"/>
                <w:sz w:val="18"/>
                <w:rtl/>
                <w:lang w:bidi="ar-EG"/>
              </w:rPr>
              <w:t>/</w:t>
            </w:r>
            <w:r w:rsidR="00C501F8">
              <w:rPr>
                <w:rFonts w:ascii="Traditional Arabic" w:hAnsi="Traditional Arabic" w:cs="Traditional Arabic" w:hint="cs"/>
                <w:sz w:val="18"/>
                <w:rtl/>
                <w:lang w:bidi="ar-EG"/>
              </w:rPr>
              <w:t xml:space="preserve"> </w:t>
            </w:r>
            <w:r w:rsidRPr="007231CD">
              <w:rPr>
                <w:rFonts w:ascii="Traditional Arabic" w:hAnsi="Traditional Arabic" w:cs="Traditional Arabic"/>
                <w:sz w:val="18"/>
                <w:rtl/>
                <w:lang w:bidi="ar-EG"/>
              </w:rPr>
              <w:t>الرابع</w:t>
            </w:r>
          </w:p>
        </w:tc>
        <w:tc>
          <w:tcPr>
            <w:tcW w:w="6486" w:type="dxa"/>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يعد الرؤساء المشاركون والمؤلفون الرئيسيون المنسقون والمؤلفون الرئيسيون المشروع الأول للتقرير قبل منتصف شهر شباط</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فبراير 2015 (6 أشهر). ويعقد أول اجتماع</w:t>
            </w:r>
            <w:r w:rsidRPr="00A464F2">
              <w:rPr>
                <w:rFonts w:cs="Times New Roman"/>
                <w:sz w:val="18"/>
                <w:vertAlign w:val="superscript"/>
                <w:rtl/>
                <w:lang w:bidi="ar-EG"/>
              </w:rPr>
              <w:t>*</w:t>
            </w:r>
            <w:r w:rsidRPr="007231CD">
              <w:rPr>
                <w:rFonts w:ascii="Traditional Arabic" w:hAnsi="Traditional Arabic" w:cs="Traditional Arabic"/>
                <w:sz w:val="18"/>
                <w:rtl/>
                <w:lang w:bidi="ar-EG"/>
              </w:rPr>
              <w:t xml:space="preserve"> للمؤلفين في أيلول</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سبتمبر 2014.</w:t>
            </w:r>
          </w:p>
        </w:tc>
      </w:tr>
      <w:tr w:rsidR="009C120D" w:rsidRPr="007231CD" w:rsidTr="00663933">
        <w:tc>
          <w:tcPr>
            <w:tcW w:w="771" w:type="dxa"/>
            <w:vMerge w:val="restart"/>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2015</w:t>
            </w: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lang w:bidi="ar-EG"/>
              </w:rPr>
            </w:pPr>
            <w:r w:rsidRPr="007231CD">
              <w:rPr>
                <w:rFonts w:ascii="Traditional Arabic" w:hAnsi="Traditional Arabic" w:cs="Traditional Arabic"/>
                <w:sz w:val="18"/>
                <w:rtl/>
                <w:lang w:bidi="ar-EG"/>
              </w:rPr>
              <w:t>الربع الأول</w:t>
            </w:r>
          </w:p>
        </w:tc>
        <w:tc>
          <w:tcPr>
            <w:tcW w:w="6486" w:type="dxa"/>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يستعرض الخبراء المشروع الأول للتقرير حتى نهاية شهر آذار</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مارس 2015 (1,5- 2 شهر).</w:t>
            </w:r>
          </w:p>
        </w:tc>
      </w:tr>
      <w:tr w:rsidR="009C120D" w:rsidRPr="007231CD" w:rsidTr="00663933">
        <w:tc>
          <w:tcPr>
            <w:tcW w:w="771" w:type="dxa"/>
            <w:vMerge/>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الثاني</w:t>
            </w:r>
          </w:p>
        </w:tc>
        <w:tc>
          <w:tcPr>
            <w:tcW w:w="6486" w:type="dxa"/>
            <w:shd w:val="clear" w:color="auto" w:fill="auto"/>
          </w:tcPr>
          <w:p w:rsidR="009C120D" w:rsidRPr="007231CD" w:rsidRDefault="009C120D" w:rsidP="00301D0E">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 xml:space="preserve">يقوم الرؤساء المشاركون للتقرير والمؤلفون الرئيسيون المنسقون والمؤلفون الرئيسيون بإعداد المشروع الثاني للتقرير ومشروع أول لموجز </w:t>
            </w:r>
            <w:r w:rsidR="00301D0E">
              <w:rPr>
                <w:rFonts w:ascii="Traditional Arabic" w:hAnsi="Traditional Arabic" w:cs="Traditional Arabic" w:hint="cs"/>
                <w:sz w:val="18"/>
                <w:rtl/>
                <w:lang w:bidi="ar-EG"/>
              </w:rPr>
              <w:t>لمقرري</w:t>
            </w:r>
            <w:r w:rsidRPr="007231CD">
              <w:rPr>
                <w:rFonts w:ascii="Traditional Arabic" w:hAnsi="Traditional Arabic" w:cs="Traditional Arabic"/>
                <w:sz w:val="18"/>
                <w:rtl/>
                <w:lang w:bidi="ar-EG"/>
              </w:rPr>
              <w:t xml:space="preserve"> السياسات بتوجيه من المحررين المراجعين والفريق (نيسان</w:t>
            </w:r>
            <w:r w:rsidR="001336CA" w:rsidRPr="007231CD">
              <w:rPr>
                <w:rFonts w:ascii="Traditional Arabic" w:hAnsi="Traditional Arabic" w:cs="Traditional Arabic"/>
                <w:sz w:val="18"/>
                <w:rtl/>
                <w:lang w:bidi="ar-EG"/>
              </w:rPr>
              <w:t>/</w:t>
            </w:r>
            <w:r w:rsidR="00663933">
              <w:rPr>
                <w:rFonts w:ascii="Traditional Arabic" w:hAnsi="Traditional Arabic" w:cs="Traditional Arabic" w:hint="cs"/>
                <w:sz w:val="18"/>
                <w:rtl/>
                <w:lang w:bidi="ar-EG"/>
              </w:rPr>
              <w:t>أ</w:t>
            </w:r>
            <w:r w:rsidRPr="007231CD">
              <w:rPr>
                <w:rFonts w:ascii="Traditional Arabic" w:hAnsi="Traditional Arabic" w:cs="Traditional Arabic"/>
                <w:sz w:val="18"/>
                <w:rtl/>
                <w:lang w:bidi="ar-EG"/>
              </w:rPr>
              <w:t>بريل- حزيران</w:t>
            </w:r>
            <w:r w:rsidR="001336CA" w:rsidRPr="007231CD">
              <w:rPr>
                <w:rFonts w:ascii="Traditional Arabic" w:hAnsi="Traditional Arabic" w:cs="Traditional Arabic"/>
                <w:sz w:val="18"/>
                <w:rtl/>
                <w:lang w:bidi="ar-EG"/>
              </w:rPr>
              <w:t>/</w:t>
            </w:r>
            <w:r w:rsidR="00663933">
              <w:rPr>
                <w:rFonts w:ascii="Traditional Arabic" w:hAnsi="Traditional Arabic" w:cs="Traditional Arabic"/>
                <w:sz w:val="18"/>
                <w:rtl/>
                <w:lang w:bidi="ar-EG"/>
              </w:rPr>
              <w:t>يوني</w:t>
            </w:r>
            <w:r w:rsidR="00663933">
              <w:rPr>
                <w:rFonts w:ascii="Traditional Arabic" w:hAnsi="Traditional Arabic" w:cs="Traditional Arabic" w:hint="cs"/>
                <w:sz w:val="18"/>
                <w:rtl/>
                <w:lang w:bidi="ar-EG"/>
              </w:rPr>
              <w:t>ه</w:t>
            </w:r>
            <w:r w:rsidRPr="007231CD">
              <w:rPr>
                <w:rFonts w:ascii="Traditional Arabic" w:hAnsi="Traditional Arabic" w:cs="Traditional Arabic"/>
                <w:sz w:val="18"/>
                <w:rtl/>
                <w:lang w:bidi="ar-EG"/>
              </w:rPr>
              <w:t xml:space="preserve"> (3 أشهر)). ويعقد اجتماع ثان للمؤلفين في حزيران</w:t>
            </w:r>
            <w:r w:rsidR="001336CA" w:rsidRPr="007231CD">
              <w:rPr>
                <w:rFonts w:ascii="Traditional Arabic" w:hAnsi="Traditional Arabic" w:cs="Traditional Arabic"/>
                <w:sz w:val="18"/>
                <w:rtl/>
                <w:lang w:bidi="ar-EG"/>
              </w:rPr>
              <w:t>/</w:t>
            </w:r>
            <w:r w:rsidR="00663933">
              <w:rPr>
                <w:rFonts w:ascii="Traditional Arabic" w:hAnsi="Traditional Arabic" w:cs="Traditional Arabic"/>
                <w:sz w:val="18"/>
                <w:rtl/>
                <w:lang w:bidi="ar-EG"/>
              </w:rPr>
              <w:t>يوني</w:t>
            </w:r>
            <w:r w:rsidR="00663933">
              <w:rPr>
                <w:rFonts w:ascii="Traditional Arabic" w:hAnsi="Traditional Arabic" w:cs="Traditional Arabic" w:hint="cs"/>
                <w:sz w:val="18"/>
                <w:rtl/>
                <w:lang w:bidi="ar-EG"/>
              </w:rPr>
              <w:t>ه</w:t>
            </w:r>
            <w:r w:rsidRPr="007231CD">
              <w:rPr>
                <w:rFonts w:ascii="Traditional Arabic" w:hAnsi="Traditional Arabic" w:cs="Traditional Arabic"/>
                <w:sz w:val="18"/>
                <w:rtl/>
                <w:lang w:bidi="ar-EG"/>
              </w:rPr>
              <w:t xml:space="preserve"> 2015.</w:t>
            </w:r>
          </w:p>
        </w:tc>
      </w:tr>
      <w:tr w:rsidR="009C120D" w:rsidRPr="007231CD" w:rsidTr="00663933">
        <w:tc>
          <w:tcPr>
            <w:tcW w:w="771" w:type="dxa"/>
            <w:vMerge/>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الثالث</w:t>
            </w:r>
          </w:p>
        </w:tc>
        <w:tc>
          <w:tcPr>
            <w:tcW w:w="6486" w:type="dxa"/>
            <w:shd w:val="clear" w:color="auto" w:fill="auto"/>
          </w:tcPr>
          <w:p w:rsidR="009C120D" w:rsidRPr="007231CD" w:rsidRDefault="009C120D" w:rsidP="00301D0E">
            <w:pPr>
              <w:spacing w:before="60" w:after="60" w:line="35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 xml:space="preserve">يقوم الخبراء والحكومات وأصحاب المصلحة الآخرون باستعراض المشروع الثاني للتقرير وأول موجز </w:t>
            </w:r>
            <w:r w:rsidR="00301D0E">
              <w:rPr>
                <w:rFonts w:ascii="Traditional Arabic" w:hAnsi="Traditional Arabic" w:cs="Traditional Arabic" w:hint="cs"/>
                <w:sz w:val="18"/>
                <w:rtl/>
                <w:lang w:bidi="ar-EG"/>
              </w:rPr>
              <w:t>لمقرري</w:t>
            </w:r>
            <w:r w:rsidRPr="007231CD">
              <w:rPr>
                <w:rFonts w:ascii="Traditional Arabic" w:hAnsi="Traditional Arabic" w:cs="Traditional Arabic"/>
                <w:sz w:val="18"/>
                <w:rtl/>
                <w:lang w:bidi="ar-EG"/>
              </w:rPr>
              <w:t xml:space="preserve"> السياسات خلال شهري تموز</w:t>
            </w:r>
            <w:r w:rsidR="001336CA" w:rsidRPr="007231CD">
              <w:rPr>
                <w:rFonts w:ascii="Traditional Arabic" w:hAnsi="Traditional Arabic" w:cs="Traditional Arabic"/>
                <w:sz w:val="18"/>
                <w:rtl/>
                <w:lang w:bidi="ar-EG"/>
              </w:rPr>
              <w:t>/</w:t>
            </w:r>
            <w:r w:rsidR="00301D0E">
              <w:rPr>
                <w:rFonts w:ascii="Traditional Arabic" w:hAnsi="Traditional Arabic" w:cs="Traditional Arabic"/>
                <w:sz w:val="18"/>
                <w:rtl/>
                <w:lang w:bidi="ar-EG"/>
              </w:rPr>
              <w:t>يولي</w:t>
            </w:r>
            <w:r w:rsidR="00301D0E">
              <w:rPr>
                <w:rFonts w:ascii="Traditional Arabic" w:hAnsi="Traditional Arabic" w:cs="Traditional Arabic" w:hint="cs"/>
                <w:sz w:val="18"/>
                <w:rtl/>
                <w:lang w:bidi="ar-EG"/>
              </w:rPr>
              <w:t>ه</w:t>
            </w:r>
            <w:r w:rsidRPr="007231CD">
              <w:rPr>
                <w:rFonts w:ascii="Traditional Arabic" w:hAnsi="Traditional Arabic" w:cs="Traditional Arabic"/>
                <w:sz w:val="18"/>
                <w:rtl/>
                <w:lang w:bidi="ar-EG"/>
              </w:rPr>
              <w:t xml:space="preserve"> وآب</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أغسطس 2015 (شهران).</w:t>
            </w:r>
          </w:p>
        </w:tc>
      </w:tr>
      <w:tr w:rsidR="009C120D" w:rsidRPr="007231CD" w:rsidTr="00663933">
        <w:tc>
          <w:tcPr>
            <w:tcW w:w="771" w:type="dxa"/>
            <w:vMerge/>
            <w:shd w:val="clear" w:color="auto" w:fill="auto"/>
          </w:tcPr>
          <w:p w:rsidR="009C120D" w:rsidRPr="007231CD" w:rsidRDefault="009C120D" w:rsidP="00A464F2">
            <w:pPr>
              <w:spacing w:before="60" w:after="60" w:line="35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A464F2">
            <w:pPr>
              <w:spacing w:before="60" w:after="60" w:line="35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الثالث</w:t>
            </w:r>
            <w:r w:rsidR="001336CA" w:rsidRPr="007231CD">
              <w:rPr>
                <w:rFonts w:ascii="Traditional Arabic" w:hAnsi="Traditional Arabic" w:cs="Traditional Arabic"/>
                <w:sz w:val="18"/>
                <w:rtl/>
                <w:lang w:bidi="ar-EG"/>
              </w:rPr>
              <w:t>/</w:t>
            </w:r>
            <w:r w:rsidR="003F65A7" w:rsidRPr="007231CD">
              <w:rPr>
                <w:rFonts w:ascii="Traditional Arabic" w:hAnsi="Traditional Arabic" w:cs="Traditional Arabic"/>
                <w:sz w:val="18"/>
                <w:rtl/>
                <w:lang w:bidi="ar-EG"/>
              </w:rPr>
              <w:t xml:space="preserve"> </w:t>
            </w:r>
            <w:r w:rsidRPr="007231CD">
              <w:rPr>
                <w:rFonts w:ascii="Traditional Arabic" w:hAnsi="Traditional Arabic" w:cs="Traditional Arabic"/>
                <w:sz w:val="18"/>
                <w:rtl/>
                <w:lang w:bidi="ar-EG"/>
              </w:rPr>
              <w:t>الرابع</w:t>
            </w:r>
          </w:p>
        </w:tc>
        <w:tc>
          <w:tcPr>
            <w:tcW w:w="6486" w:type="dxa"/>
            <w:shd w:val="clear" w:color="auto" w:fill="auto"/>
          </w:tcPr>
          <w:p w:rsidR="009C120D" w:rsidRPr="007231CD" w:rsidRDefault="009C120D" w:rsidP="00301D0E">
            <w:pPr>
              <w:spacing w:before="60" w:after="60" w:line="350" w:lineRule="exact"/>
              <w:jc w:val="both"/>
              <w:rPr>
                <w:rFonts w:ascii="Traditional Arabic" w:hAnsi="Traditional Arabic" w:cs="Traditional Arabic"/>
                <w:sz w:val="18"/>
                <w:rtl/>
              </w:rPr>
            </w:pPr>
            <w:r w:rsidRPr="007231CD">
              <w:rPr>
                <w:rFonts w:ascii="Traditional Arabic" w:hAnsi="Traditional Arabic" w:cs="Traditional Arabic"/>
                <w:sz w:val="18"/>
                <w:rtl/>
                <w:lang w:bidi="ar-EG"/>
              </w:rPr>
              <w:t xml:space="preserve">يعد الرؤساء المشاركون للتقرير والمؤلفون الرئيسيون المنسقون والمؤلفون الرئيسيون المشروع النهائي للتقرير والمشروع النهائي لموجز </w:t>
            </w:r>
            <w:r w:rsidR="00301D0E">
              <w:rPr>
                <w:rFonts w:ascii="Traditional Arabic" w:hAnsi="Traditional Arabic" w:cs="Traditional Arabic" w:hint="cs"/>
                <w:sz w:val="18"/>
                <w:rtl/>
                <w:lang w:bidi="ar-EG"/>
              </w:rPr>
              <w:t>لمقرري</w:t>
            </w:r>
            <w:r w:rsidRPr="007231CD">
              <w:rPr>
                <w:rFonts w:ascii="Traditional Arabic" w:hAnsi="Traditional Arabic" w:cs="Traditional Arabic"/>
                <w:sz w:val="18"/>
                <w:rtl/>
                <w:lang w:bidi="ar-EG"/>
              </w:rPr>
              <w:t xml:space="preserve"> السياسات بتوجيه من المحررين المراجعين والفريق خلال شهري أيلول</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سبتمبر وتشرين الأول</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 xml:space="preserve">أكتوبر 2015 (شهران). ويعقد </w:t>
            </w:r>
            <w:r w:rsidRPr="007231CD">
              <w:rPr>
                <w:rFonts w:ascii="Traditional Arabic" w:hAnsi="Traditional Arabic" w:cs="Traditional Arabic"/>
                <w:sz w:val="18"/>
                <w:rtl/>
                <w:lang w:bidi="ar-EG"/>
              </w:rPr>
              <w:lastRenderedPageBreak/>
              <w:t>اجتماع ثالث للمؤلفين في تشرين الأول</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أكتوبر 2015.</w:t>
            </w:r>
            <w:r w:rsidR="00355F81">
              <w:rPr>
                <w:rFonts w:ascii="Traditional Arabic" w:hAnsi="Traditional Arabic" w:cs="Traditional Arabic" w:hint="cs"/>
                <w:sz w:val="18"/>
                <w:rtl/>
                <w:lang w:bidi="ar-EG"/>
              </w:rPr>
              <w:t xml:space="preserve"> </w:t>
            </w:r>
          </w:p>
        </w:tc>
      </w:tr>
      <w:tr w:rsidR="009C120D" w:rsidRPr="007231CD" w:rsidTr="00663933">
        <w:tc>
          <w:tcPr>
            <w:tcW w:w="771" w:type="dxa"/>
            <w:vMerge/>
            <w:shd w:val="clear" w:color="auto" w:fill="auto"/>
          </w:tcPr>
          <w:p w:rsidR="009C120D" w:rsidRPr="007231CD" w:rsidRDefault="009C120D" w:rsidP="007231CD">
            <w:pPr>
              <w:spacing w:before="60" w:after="60" w:line="36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663933">
            <w:pPr>
              <w:spacing w:before="60" w:after="60" w:line="36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الرابع</w:t>
            </w:r>
          </w:p>
        </w:tc>
        <w:tc>
          <w:tcPr>
            <w:tcW w:w="6486" w:type="dxa"/>
            <w:shd w:val="clear" w:color="auto" w:fill="auto"/>
          </w:tcPr>
          <w:p w:rsidR="009C120D" w:rsidRPr="007231CD" w:rsidRDefault="00B512CD" w:rsidP="00301D0E">
            <w:pPr>
              <w:spacing w:before="60" w:after="60" w:line="36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 xml:space="preserve">تتم ترجمة موجز </w:t>
            </w:r>
            <w:r w:rsidR="00301D0E">
              <w:rPr>
                <w:rFonts w:ascii="Traditional Arabic" w:hAnsi="Traditional Arabic" w:cs="Traditional Arabic" w:hint="cs"/>
                <w:sz w:val="18"/>
                <w:rtl/>
                <w:lang w:bidi="ar-EG"/>
              </w:rPr>
              <w:t>مقرري</w:t>
            </w:r>
            <w:r w:rsidRPr="007231CD">
              <w:rPr>
                <w:rFonts w:ascii="Traditional Arabic" w:hAnsi="Traditional Arabic" w:cs="Traditional Arabic"/>
                <w:sz w:val="18"/>
                <w:rtl/>
                <w:lang w:bidi="ar-EG"/>
              </w:rPr>
              <w:t xml:space="preserve"> السياسات</w:t>
            </w:r>
            <w:r w:rsidR="009C120D" w:rsidRPr="007231CD">
              <w:rPr>
                <w:rFonts w:ascii="Traditional Arabic" w:hAnsi="Traditional Arabic" w:cs="Traditional Arabic"/>
                <w:sz w:val="18"/>
                <w:rtl/>
                <w:lang w:bidi="ar-EG"/>
              </w:rPr>
              <w:t xml:space="preserve"> إلى جميع لغات الأمم المتحدة الرسمية قبل منتصف كانون الأول</w:t>
            </w:r>
            <w:r w:rsidR="001336CA" w:rsidRPr="007231CD">
              <w:rPr>
                <w:rFonts w:ascii="Traditional Arabic" w:hAnsi="Traditional Arabic" w:cs="Traditional Arabic"/>
                <w:sz w:val="18"/>
                <w:rtl/>
                <w:lang w:bidi="ar-EG"/>
              </w:rPr>
              <w:t>/</w:t>
            </w:r>
            <w:r w:rsidR="009C120D" w:rsidRPr="007231CD">
              <w:rPr>
                <w:rFonts w:ascii="Traditional Arabic" w:hAnsi="Traditional Arabic" w:cs="Traditional Arabic"/>
                <w:sz w:val="18"/>
                <w:rtl/>
                <w:lang w:bidi="ar-EG"/>
              </w:rPr>
              <w:t>ديسمبر 2015 على الأكثر (1,5 شهر).</w:t>
            </w:r>
          </w:p>
        </w:tc>
      </w:tr>
      <w:tr w:rsidR="009C120D" w:rsidRPr="007231CD" w:rsidTr="00663933">
        <w:tc>
          <w:tcPr>
            <w:tcW w:w="771" w:type="dxa"/>
            <w:vMerge w:val="restart"/>
            <w:shd w:val="clear" w:color="auto" w:fill="auto"/>
            <w:vAlign w:val="center"/>
          </w:tcPr>
          <w:p w:rsidR="009C120D" w:rsidRPr="007231CD" w:rsidRDefault="009C120D" w:rsidP="007231CD">
            <w:pPr>
              <w:spacing w:before="60" w:after="60" w:line="36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2016</w:t>
            </w:r>
          </w:p>
        </w:tc>
        <w:tc>
          <w:tcPr>
            <w:tcW w:w="1215" w:type="dxa"/>
            <w:shd w:val="clear" w:color="auto" w:fill="auto"/>
            <w:vAlign w:val="center"/>
          </w:tcPr>
          <w:p w:rsidR="009C120D" w:rsidRPr="007231CD" w:rsidRDefault="009C120D" w:rsidP="00663933">
            <w:pPr>
              <w:spacing w:before="60" w:after="60" w:line="36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الأول</w:t>
            </w:r>
          </w:p>
        </w:tc>
        <w:tc>
          <w:tcPr>
            <w:tcW w:w="6486" w:type="dxa"/>
            <w:shd w:val="clear" w:color="auto" w:fill="auto"/>
          </w:tcPr>
          <w:p w:rsidR="009C120D" w:rsidRPr="007231CD" w:rsidRDefault="009C120D" w:rsidP="00301D0E">
            <w:pPr>
              <w:spacing w:before="60" w:after="60" w:line="36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 xml:space="preserve">يرسل التقرير النهائي وموجز </w:t>
            </w:r>
            <w:r w:rsidR="00301D0E">
              <w:rPr>
                <w:rFonts w:ascii="Traditional Arabic" w:hAnsi="Traditional Arabic" w:cs="Traditional Arabic" w:hint="cs"/>
                <w:sz w:val="18"/>
                <w:rtl/>
                <w:lang w:bidi="ar-EG"/>
              </w:rPr>
              <w:t>لمقرري</w:t>
            </w:r>
            <w:r w:rsidRPr="007231CD">
              <w:rPr>
                <w:rFonts w:ascii="Traditional Arabic" w:hAnsi="Traditional Arabic" w:cs="Traditional Arabic"/>
                <w:sz w:val="18"/>
                <w:rtl/>
                <w:lang w:bidi="ar-EG"/>
              </w:rPr>
              <w:t xml:space="preserve"> السياسات إلى الحكومات وأصحاب المصلحة الآخرين من أجل القيام باستعراض أخير لهما خلال شهري كانون الثاني</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يناير وشباط</w:t>
            </w:r>
            <w:r w:rsidR="001336CA" w:rsidRPr="007231CD">
              <w:rPr>
                <w:rFonts w:ascii="Traditional Arabic" w:hAnsi="Traditional Arabic" w:cs="Traditional Arabic"/>
                <w:sz w:val="18"/>
                <w:rtl/>
                <w:lang w:bidi="ar-EG"/>
              </w:rPr>
              <w:t>/</w:t>
            </w:r>
            <w:r w:rsidRPr="007231CD">
              <w:rPr>
                <w:rFonts w:ascii="Traditional Arabic" w:hAnsi="Traditional Arabic" w:cs="Traditional Arabic"/>
                <w:sz w:val="18"/>
                <w:rtl/>
                <w:lang w:bidi="ar-EG"/>
              </w:rPr>
              <w:t xml:space="preserve">فبراير 2016 (1,5- 2 شهر). ويستحث بقوة على قيام الحكومات بتقديم تعليقات تحريرية على مشروع الموجز </w:t>
            </w:r>
            <w:r w:rsidR="00301D0E">
              <w:rPr>
                <w:rFonts w:ascii="Traditional Arabic" w:hAnsi="Traditional Arabic" w:cs="Traditional Arabic" w:hint="cs"/>
                <w:sz w:val="18"/>
                <w:rtl/>
                <w:lang w:bidi="ar-EG"/>
              </w:rPr>
              <w:t>لمقرري</w:t>
            </w:r>
            <w:r w:rsidRPr="007231CD">
              <w:rPr>
                <w:rFonts w:ascii="Traditional Arabic" w:hAnsi="Traditional Arabic" w:cs="Traditional Arabic"/>
                <w:sz w:val="18"/>
                <w:rtl/>
                <w:lang w:bidi="ar-EG"/>
              </w:rPr>
              <w:t xml:space="preserve"> السياسات. ويجب تقديم تلك التعليقات إلى الأمانة قبل أسبوع من الدورة الرابعة للاجتماع العام.</w:t>
            </w:r>
          </w:p>
        </w:tc>
      </w:tr>
      <w:tr w:rsidR="009C120D" w:rsidRPr="007231CD" w:rsidTr="00663933">
        <w:tc>
          <w:tcPr>
            <w:tcW w:w="771" w:type="dxa"/>
            <w:vMerge/>
            <w:shd w:val="clear" w:color="auto" w:fill="auto"/>
          </w:tcPr>
          <w:p w:rsidR="009C120D" w:rsidRPr="007231CD" w:rsidRDefault="009C120D" w:rsidP="007231CD">
            <w:pPr>
              <w:spacing w:before="60" w:after="60" w:line="360" w:lineRule="exact"/>
              <w:jc w:val="both"/>
              <w:rPr>
                <w:rFonts w:ascii="Traditional Arabic" w:hAnsi="Traditional Arabic" w:cs="Traditional Arabic"/>
                <w:sz w:val="18"/>
                <w:rtl/>
                <w:lang w:bidi="ar-EG"/>
              </w:rPr>
            </w:pPr>
          </w:p>
        </w:tc>
        <w:tc>
          <w:tcPr>
            <w:tcW w:w="1215" w:type="dxa"/>
            <w:shd w:val="clear" w:color="auto" w:fill="auto"/>
            <w:vAlign w:val="center"/>
          </w:tcPr>
          <w:p w:rsidR="009C120D" w:rsidRPr="007231CD" w:rsidRDefault="009C120D" w:rsidP="00663933">
            <w:pPr>
              <w:spacing w:before="60" w:after="60" w:line="360" w:lineRule="exact"/>
              <w:rPr>
                <w:rFonts w:ascii="Traditional Arabic" w:hAnsi="Traditional Arabic" w:cs="Traditional Arabic"/>
                <w:sz w:val="18"/>
                <w:rtl/>
                <w:lang w:bidi="ar-EG"/>
              </w:rPr>
            </w:pPr>
            <w:r w:rsidRPr="007231CD">
              <w:rPr>
                <w:rFonts w:ascii="Traditional Arabic" w:hAnsi="Traditional Arabic" w:cs="Traditional Arabic"/>
                <w:sz w:val="18"/>
                <w:rtl/>
                <w:lang w:bidi="ar-EG"/>
              </w:rPr>
              <w:t>الربع الأول</w:t>
            </w:r>
          </w:p>
        </w:tc>
        <w:tc>
          <w:tcPr>
            <w:tcW w:w="6486" w:type="dxa"/>
            <w:shd w:val="clear" w:color="auto" w:fill="auto"/>
          </w:tcPr>
          <w:p w:rsidR="009C120D" w:rsidRPr="007231CD" w:rsidRDefault="009C120D" w:rsidP="00301D0E">
            <w:pPr>
              <w:spacing w:before="60" w:after="60" w:line="360" w:lineRule="exact"/>
              <w:jc w:val="both"/>
              <w:rPr>
                <w:rFonts w:ascii="Traditional Arabic" w:hAnsi="Traditional Arabic" w:cs="Traditional Arabic"/>
                <w:sz w:val="18"/>
                <w:rtl/>
                <w:lang w:bidi="ar-EG"/>
              </w:rPr>
            </w:pPr>
            <w:r w:rsidRPr="007231CD">
              <w:rPr>
                <w:rFonts w:ascii="Traditional Arabic" w:hAnsi="Traditional Arabic" w:cs="Traditional Arabic"/>
                <w:sz w:val="18"/>
                <w:rtl/>
                <w:lang w:bidi="ar-EG"/>
              </w:rPr>
              <w:t xml:space="preserve">يقوم الاجتماع العام باستعراض كل من تقرير التقييم والموجز </w:t>
            </w:r>
            <w:r w:rsidR="00301D0E">
              <w:rPr>
                <w:rFonts w:ascii="Traditional Arabic" w:hAnsi="Traditional Arabic" w:cs="Traditional Arabic" w:hint="cs"/>
                <w:sz w:val="18"/>
                <w:rtl/>
                <w:lang w:bidi="ar-EG"/>
              </w:rPr>
              <w:t>لمقرري</w:t>
            </w:r>
            <w:r w:rsidRPr="007231CD">
              <w:rPr>
                <w:rFonts w:ascii="Traditional Arabic" w:hAnsi="Traditional Arabic" w:cs="Traditional Arabic"/>
                <w:sz w:val="18"/>
                <w:rtl/>
                <w:lang w:bidi="ar-EG"/>
              </w:rPr>
              <w:t xml:space="preserve"> السياسات وإقرارهما.</w:t>
            </w:r>
          </w:p>
        </w:tc>
      </w:tr>
    </w:tbl>
    <w:p w:rsidR="009C120D" w:rsidRDefault="009C120D" w:rsidP="00233B53">
      <w:pPr>
        <w:spacing w:after="120" w:line="400" w:lineRule="exact"/>
        <w:ind w:left="1134"/>
        <w:jc w:val="both"/>
        <w:rPr>
          <w:rFonts w:cs="Traditional Arabic" w:hint="cs"/>
          <w:sz w:val="30"/>
          <w:szCs w:val="30"/>
          <w:rtl/>
          <w:lang w:bidi="ar-EG"/>
        </w:rPr>
      </w:pPr>
      <w:r w:rsidRPr="00233B53">
        <w:rPr>
          <w:rFonts w:cs="Times New Roman"/>
          <w:sz w:val="18"/>
          <w:szCs w:val="18"/>
          <w:rtl/>
          <w:lang w:bidi="ar-EG"/>
        </w:rPr>
        <w:t>*</w:t>
      </w:r>
      <w:r>
        <w:rPr>
          <w:rFonts w:cs="Traditional Arabic" w:hint="cs"/>
          <w:sz w:val="30"/>
          <w:szCs w:val="30"/>
          <w:rtl/>
          <w:lang w:bidi="ar-EG"/>
        </w:rPr>
        <w:t xml:space="preserve"> </w:t>
      </w:r>
      <w:r w:rsidRPr="00233B53">
        <w:rPr>
          <w:rFonts w:cs="Traditional Arabic" w:hint="cs"/>
          <w:sz w:val="24"/>
          <w:szCs w:val="24"/>
          <w:rtl/>
          <w:lang w:bidi="ar-EG"/>
        </w:rPr>
        <w:t>يتسم كل اجتماع بمشاركة متوازنة من ممثلين من أصحاب المعارف الأصلية والمحلية.</w:t>
      </w:r>
    </w:p>
    <w:p w:rsidR="009C120D" w:rsidRPr="00010B7A" w:rsidRDefault="009C120D" w:rsidP="007231CD">
      <w:pPr>
        <w:spacing w:after="120" w:line="400" w:lineRule="exact"/>
        <w:ind w:left="1132" w:hanging="992"/>
        <w:jc w:val="both"/>
        <w:rPr>
          <w:rFonts w:cs="Traditional Arabic" w:hint="cs"/>
          <w:b/>
          <w:bCs/>
          <w:sz w:val="32"/>
          <w:szCs w:val="32"/>
          <w:rtl/>
          <w:lang w:bidi="ar-EG"/>
        </w:rPr>
      </w:pPr>
      <w:r>
        <w:rPr>
          <w:rFonts w:cs="Traditional Arabic" w:hint="cs"/>
          <w:b/>
          <w:bCs/>
          <w:sz w:val="32"/>
          <w:szCs w:val="32"/>
          <w:rtl/>
          <w:lang w:bidi="ar-EG"/>
        </w:rPr>
        <w:t>خامسا</w:t>
      </w:r>
      <w:r w:rsidR="008C0F2F">
        <w:rPr>
          <w:rFonts w:cs="Traditional Arabic" w:hint="cs"/>
          <w:b/>
          <w:bCs/>
          <w:sz w:val="32"/>
          <w:szCs w:val="32"/>
          <w:rtl/>
          <w:lang w:bidi="ar-EG"/>
        </w:rPr>
        <w:t xml:space="preserve">ً </w:t>
      </w:r>
      <w:r w:rsidRPr="00010B7A">
        <w:rPr>
          <w:rFonts w:cs="Traditional Arabic" w:hint="cs"/>
          <w:b/>
          <w:bCs/>
          <w:sz w:val="32"/>
          <w:szCs w:val="32"/>
          <w:rtl/>
          <w:lang w:bidi="ar-EG"/>
        </w:rPr>
        <w:t>-</w:t>
      </w:r>
      <w:r w:rsidRPr="00010B7A">
        <w:rPr>
          <w:rFonts w:cs="Traditional Arabic" w:hint="cs"/>
          <w:b/>
          <w:bCs/>
          <w:sz w:val="32"/>
          <w:szCs w:val="32"/>
          <w:rtl/>
          <w:lang w:bidi="ar-EG"/>
        </w:rPr>
        <w:tab/>
      </w:r>
      <w:r w:rsidR="00E74D45" w:rsidRPr="00010B7A">
        <w:rPr>
          <w:rFonts w:cs="Traditional Arabic" w:hint="cs"/>
          <w:b/>
          <w:bCs/>
          <w:sz w:val="32"/>
          <w:szCs w:val="32"/>
          <w:rtl/>
          <w:lang w:bidi="ar-EG"/>
        </w:rPr>
        <w:t xml:space="preserve">تقدير </w:t>
      </w:r>
      <w:r w:rsidRPr="00010B7A">
        <w:rPr>
          <w:rFonts w:cs="Traditional Arabic" w:hint="cs"/>
          <w:b/>
          <w:bCs/>
          <w:sz w:val="32"/>
          <w:szCs w:val="32"/>
          <w:rtl/>
          <w:lang w:bidi="ar-EG"/>
        </w:rPr>
        <w:t>التكلفة</w:t>
      </w:r>
    </w:p>
    <w:p w:rsidR="009C120D" w:rsidRDefault="009C120D" w:rsidP="0021731E">
      <w:pPr>
        <w:spacing w:after="120" w:line="400" w:lineRule="exact"/>
        <w:ind w:left="1134"/>
        <w:jc w:val="both"/>
        <w:rPr>
          <w:rFonts w:cs="Traditional Arabic" w:hint="cs"/>
          <w:sz w:val="30"/>
          <w:szCs w:val="30"/>
          <w:rtl/>
          <w:lang w:bidi="ar-EG"/>
        </w:rPr>
      </w:pPr>
      <w:r>
        <w:rPr>
          <w:rFonts w:cs="Traditional Arabic" w:hint="cs"/>
          <w:sz w:val="30"/>
          <w:szCs w:val="30"/>
          <w:rtl/>
          <w:lang w:bidi="ar-EG"/>
        </w:rPr>
        <w:t>1</w:t>
      </w:r>
      <w:r w:rsidR="0021731E">
        <w:rPr>
          <w:rFonts w:cs="Traditional Arabic" w:hint="cs"/>
          <w:sz w:val="30"/>
          <w:szCs w:val="30"/>
          <w:rtl/>
          <w:lang w:bidi="ar-EG"/>
        </w:rPr>
        <w:t>6</w:t>
      </w:r>
      <w:r w:rsidR="00233B53">
        <w:rPr>
          <w:rFonts w:cs="Traditional Arabic" w:hint="cs"/>
          <w:sz w:val="30"/>
          <w:szCs w:val="30"/>
          <w:rtl/>
          <w:lang w:bidi="ar-EG"/>
        </w:rPr>
        <w:t xml:space="preserve"> </w:t>
      </w:r>
      <w:r>
        <w:rPr>
          <w:rFonts w:cs="Traditional Arabic" w:hint="cs"/>
          <w:sz w:val="30"/>
          <w:szCs w:val="30"/>
          <w:rtl/>
          <w:lang w:bidi="ar-EG"/>
        </w:rPr>
        <w:t>-</w:t>
      </w:r>
      <w:r>
        <w:rPr>
          <w:rFonts w:cs="Traditional Arabic" w:hint="cs"/>
          <w:sz w:val="30"/>
          <w:szCs w:val="30"/>
          <w:rtl/>
          <w:lang w:bidi="ar-EG"/>
        </w:rPr>
        <w:tab/>
        <w:t>يبين الجدول التالي التكاليف التقديرية</w:t>
      </w:r>
      <w:r w:rsidR="00233B53">
        <w:rPr>
          <w:rFonts w:cs="Traditional Arabic" w:hint="cs"/>
          <w:sz w:val="30"/>
          <w:szCs w:val="30"/>
          <w:rtl/>
          <w:lang w:bidi="ar-EG"/>
        </w:rPr>
        <w:t xml:space="preserve"> </w:t>
      </w:r>
      <w:r>
        <w:rPr>
          <w:rFonts w:cs="Traditional Arabic" w:hint="cs"/>
          <w:sz w:val="30"/>
          <w:szCs w:val="30"/>
          <w:rtl/>
          <w:lang w:bidi="ar-EG"/>
        </w:rPr>
        <w:t>للاضطلاع بالتقييم المواضيعي وإعداد تقرير التقييم المواضيعي.</w:t>
      </w:r>
    </w:p>
    <w:p w:rsidR="009C120D" w:rsidRDefault="009C120D" w:rsidP="001336CA">
      <w:pPr>
        <w:spacing w:after="120" w:line="400" w:lineRule="exact"/>
        <w:ind w:left="1134"/>
        <w:jc w:val="both"/>
        <w:rPr>
          <w:rFonts w:cs="Traditional Arabic" w:hint="cs"/>
          <w:sz w:val="30"/>
          <w:szCs w:val="30"/>
          <w:rtl/>
          <w:lang w:bidi="ar-EG"/>
        </w:rPr>
      </w:pPr>
      <w:r>
        <w:rPr>
          <w:rFonts w:cs="Traditional Arabic" w:hint="cs"/>
          <w:sz w:val="30"/>
          <w:szCs w:val="30"/>
          <w:rtl/>
          <w:lang w:bidi="ar-EG"/>
        </w:rPr>
        <w:t>(بدولارات الولايات المتحدة الأمريكية)</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402"/>
        <w:gridCol w:w="2835"/>
        <w:gridCol w:w="1242"/>
      </w:tblGrid>
      <w:tr w:rsidR="009C120D" w:rsidRPr="00182EA2" w:rsidTr="0057523E">
        <w:trPr>
          <w:tblHeader/>
        </w:trPr>
        <w:tc>
          <w:tcPr>
            <w:tcW w:w="993" w:type="dxa"/>
            <w:shd w:val="clear" w:color="auto" w:fill="auto"/>
          </w:tcPr>
          <w:p w:rsidR="009C120D" w:rsidRPr="00182EA2" w:rsidRDefault="009C120D" w:rsidP="007231CD">
            <w:pPr>
              <w:spacing w:before="60" w:after="60" w:line="360" w:lineRule="exact"/>
              <w:jc w:val="both"/>
              <w:rPr>
                <w:rFonts w:cs="Traditional Arabic" w:hint="cs"/>
                <w:i/>
                <w:iCs/>
                <w:sz w:val="18"/>
                <w:rtl/>
                <w:lang w:bidi="ar-EG"/>
              </w:rPr>
            </w:pPr>
            <w:r w:rsidRPr="00182EA2">
              <w:rPr>
                <w:rFonts w:cs="Traditional Arabic" w:hint="cs"/>
                <w:i/>
                <w:iCs/>
                <w:sz w:val="18"/>
                <w:rtl/>
                <w:lang w:bidi="ar-EG"/>
              </w:rPr>
              <w:t>السنة</w:t>
            </w:r>
          </w:p>
        </w:tc>
        <w:tc>
          <w:tcPr>
            <w:tcW w:w="3402" w:type="dxa"/>
            <w:shd w:val="clear" w:color="auto" w:fill="auto"/>
          </w:tcPr>
          <w:p w:rsidR="009C120D" w:rsidRPr="00182EA2" w:rsidRDefault="009C120D" w:rsidP="007231CD">
            <w:pPr>
              <w:spacing w:before="60" w:after="60" w:line="360" w:lineRule="exact"/>
              <w:jc w:val="both"/>
              <w:rPr>
                <w:rFonts w:cs="Traditional Arabic" w:hint="cs"/>
                <w:i/>
                <w:iCs/>
                <w:sz w:val="18"/>
                <w:rtl/>
                <w:lang w:bidi="ar-EG"/>
              </w:rPr>
            </w:pPr>
            <w:r w:rsidRPr="00182EA2">
              <w:rPr>
                <w:rFonts w:cs="Traditional Arabic" w:hint="cs"/>
                <w:i/>
                <w:iCs/>
                <w:sz w:val="18"/>
                <w:rtl/>
                <w:lang w:bidi="ar-EG"/>
              </w:rPr>
              <w:t>بند التكلفة</w:t>
            </w:r>
          </w:p>
        </w:tc>
        <w:tc>
          <w:tcPr>
            <w:tcW w:w="2835" w:type="dxa"/>
            <w:shd w:val="clear" w:color="auto" w:fill="auto"/>
          </w:tcPr>
          <w:p w:rsidR="009C120D" w:rsidRPr="00182EA2" w:rsidRDefault="009C120D" w:rsidP="007231CD">
            <w:pPr>
              <w:spacing w:before="60" w:after="60" w:line="360" w:lineRule="exact"/>
              <w:jc w:val="both"/>
              <w:rPr>
                <w:rFonts w:cs="Traditional Arabic" w:hint="cs"/>
                <w:i/>
                <w:iCs/>
                <w:sz w:val="18"/>
                <w:rtl/>
                <w:lang w:bidi="ar-EG"/>
              </w:rPr>
            </w:pPr>
            <w:r w:rsidRPr="00182EA2">
              <w:rPr>
                <w:rFonts w:cs="Traditional Arabic" w:hint="cs"/>
                <w:i/>
                <w:iCs/>
                <w:sz w:val="18"/>
                <w:rtl/>
                <w:lang w:bidi="ar-EG"/>
              </w:rPr>
              <w:t>الافتراضات</w:t>
            </w:r>
          </w:p>
        </w:tc>
        <w:tc>
          <w:tcPr>
            <w:tcW w:w="1242" w:type="dxa"/>
            <w:shd w:val="clear" w:color="auto" w:fill="auto"/>
          </w:tcPr>
          <w:p w:rsidR="009C120D" w:rsidRPr="00182EA2" w:rsidRDefault="009C120D" w:rsidP="007231CD">
            <w:pPr>
              <w:spacing w:before="60" w:after="60" w:line="360" w:lineRule="exact"/>
              <w:jc w:val="both"/>
              <w:rPr>
                <w:rFonts w:cs="Traditional Arabic" w:hint="cs"/>
                <w:i/>
                <w:iCs/>
                <w:sz w:val="18"/>
                <w:rtl/>
                <w:lang w:bidi="ar-EG"/>
              </w:rPr>
            </w:pPr>
            <w:r w:rsidRPr="00182EA2">
              <w:rPr>
                <w:rFonts w:cs="Traditional Arabic" w:hint="cs"/>
                <w:i/>
                <w:iCs/>
                <w:sz w:val="18"/>
                <w:rtl/>
                <w:lang w:bidi="ar-EG"/>
              </w:rPr>
              <w:t>التكلفة</w:t>
            </w:r>
          </w:p>
        </w:tc>
      </w:tr>
      <w:tr w:rsidR="009C120D" w:rsidRPr="007231CD" w:rsidTr="0057523E">
        <w:trPr>
          <w:trHeight w:val="720"/>
        </w:trPr>
        <w:tc>
          <w:tcPr>
            <w:tcW w:w="993" w:type="dxa"/>
            <w:vMerge w:val="restart"/>
            <w:shd w:val="clear" w:color="auto" w:fill="auto"/>
            <w:vAlign w:val="center"/>
          </w:tcPr>
          <w:p w:rsidR="009C120D" w:rsidRPr="007231CD" w:rsidRDefault="009C120D" w:rsidP="007231CD">
            <w:pPr>
              <w:spacing w:before="60" w:after="60" w:line="360" w:lineRule="exact"/>
              <w:rPr>
                <w:rFonts w:cs="Traditional Arabic" w:hint="cs"/>
                <w:sz w:val="18"/>
                <w:rtl/>
                <w:lang w:bidi="ar-EG"/>
              </w:rPr>
            </w:pPr>
            <w:r w:rsidRPr="007231CD">
              <w:rPr>
                <w:rFonts w:cs="Traditional Arabic" w:hint="cs"/>
                <w:sz w:val="18"/>
                <w:rtl/>
                <w:lang w:bidi="ar-EG"/>
              </w:rPr>
              <w:t>2014</w:t>
            </w:r>
          </w:p>
        </w:tc>
        <w:tc>
          <w:tcPr>
            <w:tcW w:w="3402" w:type="dxa"/>
            <w:vMerge w:val="restart"/>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اجتماع لتحديد النطاق (40 مشتركا</w:t>
            </w:r>
            <w:r w:rsidR="00A464F2">
              <w:rPr>
                <w:rFonts w:cs="Traditional Arabic" w:hint="cs"/>
                <w:sz w:val="18"/>
                <w:rtl/>
                <w:lang w:bidi="ar-EG"/>
              </w:rPr>
              <w:t>ً</w:t>
            </w:r>
            <w:r w:rsidRPr="007231CD">
              <w:rPr>
                <w:rFonts w:cs="Traditional Arabic" w:hint="cs"/>
                <w:sz w:val="18"/>
                <w:rtl/>
                <w:lang w:bidi="ar-EG"/>
              </w:rPr>
              <w:t>: أعضاء الاجتماع العام</w:t>
            </w:r>
            <w:r w:rsidR="001336CA" w:rsidRPr="007231CD">
              <w:rPr>
                <w:rFonts w:cs="Traditional Arabic" w:hint="cs"/>
                <w:sz w:val="18"/>
                <w:rtl/>
                <w:lang w:bidi="ar-EG"/>
              </w:rPr>
              <w:t>/</w:t>
            </w:r>
            <w:r w:rsidRPr="007231CD">
              <w:rPr>
                <w:rFonts w:cs="Traditional Arabic" w:hint="cs"/>
                <w:sz w:val="18"/>
                <w:rtl/>
                <w:lang w:bidi="ar-EG"/>
              </w:rPr>
              <w:t>المكتب زائدا</w:t>
            </w:r>
            <w:r w:rsidR="001336CA" w:rsidRPr="007231CD">
              <w:rPr>
                <w:rFonts w:cs="Traditional Arabic" w:hint="cs"/>
                <w:sz w:val="18"/>
                <w:rtl/>
                <w:lang w:bidi="ar-EG"/>
              </w:rPr>
              <w:t>ً</w:t>
            </w:r>
            <w:r w:rsidRPr="007231CD">
              <w:rPr>
                <w:rFonts w:cs="Traditional Arabic" w:hint="cs"/>
                <w:sz w:val="18"/>
                <w:rtl/>
                <w:lang w:bidi="ar-EG"/>
              </w:rPr>
              <w:t xml:space="preserve"> خبراء)</w:t>
            </w:r>
          </w:p>
        </w:tc>
        <w:tc>
          <w:tcPr>
            <w:tcW w:w="2835"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تكاليف الاجتماع (أسبوع، 40 مشتركا</w:t>
            </w:r>
            <w:r w:rsidR="001336CA" w:rsidRPr="007231CD">
              <w:rPr>
                <w:rFonts w:cs="Traditional Arabic" w:hint="cs"/>
                <w:sz w:val="18"/>
                <w:rtl/>
                <w:lang w:bidi="ar-EG"/>
              </w:rPr>
              <w:t>ً</w:t>
            </w:r>
            <w:r w:rsidRPr="007231CD">
              <w:rPr>
                <w:rFonts w:cs="Traditional Arabic" w:hint="cs"/>
                <w:sz w:val="18"/>
                <w:rtl/>
                <w:lang w:bidi="ar-EG"/>
              </w:rPr>
              <w:t xml:space="preserve">) (25 بالمائة </w:t>
            </w:r>
            <w:r w:rsidR="003A5FE1" w:rsidRPr="007231CD">
              <w:rPr>
                <w:rFonts w:cs="Traditional Arabic" w:hint="cs"/>
                <w:sz w:val="18"/>
                <w:rtl/>
                <w:lang w:bidi="ar-EG"/>
              </w:rPr>
              <w:t>عينية</w:t>
            </w:r>
            <w:r w:rsidRPr="007231CD">
              <w:rPr>
                <w:rFonts w:cs="Traditional Arabic" w:hint="cs"/>
                <w:sz w:val="18"/>
                <w:rtl/>
                <w:lang w:bidi="ar-EG"/>
              </w:rPr>
              <w:t>)</w:t>
            </w:r>
          </w:p>
        </w:tc>
        <w:tc>
          <w:tcPr>
            <w:tcW w:w="124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250</w:t>
            </w:r>
            <w:r w:rsidR="00A464F2">
              <w:rPr>
                <w:rFonts w:cs="Traditional Arabic" w:hint="cs"/>
                <w:sz w:val="18"/>
                <w:rtl/>
                <w:lang w:bidi="ar-EG"/>
              </w:rPr>
              <w:t xml:space="preserve"> </w:t>
            </w:r>
            <w:r w:rsidR="00A464F2" w:rsidRPr="007231CD">
              <w:rPr>
                <w:rFonts w:cs="Traditional Arabic" w:hint="cs"/>
                <w:sz w:val="18"/>
                <w:rtl/>
                <w:lang w:bidi="ar-EG"/>
              </w:rPr>
              <w:t>11</w:t>
            </w:r>
          </w:p>
        </w:tc>
      </w:tr>
      <w:tr w:rsidR="009C120D" w:rsidRPr="007231CD" w:rsidTr="0057523E">
        <w:trPr>
          <w:trHeight w:val="720"/>
        </w:trPr>
        <w:tc>
          <w:tcPr>
            <w:tcW w:w="993" w:type="dxa"/>
            <w:vMerge/>
            <w:shd w:val="clear" w:color="auto" w:fill="auto"/>
          </w:tcPr>
          <w:p w:rsidR="009C120D" w:rsidRPr="007231CD" w:rsidRDefault="009C120D" w:rsidP="007231CD">
            <w:pPr>
              <w:spacing w:before="60" w:after="60" w:line="360" w:lineRule="exact"/>
              <w:jc w:val="both"/>
              <w:rPr>
                <w:rFonts w:cs="Traditional Arabic" w:hint="cs"/>
                <w:sz w:val="18"/>
                <w:rtl/>
                <w:lang w:bidi="ar-EG"/>
              </w:rPr>
            </w:pPr>
          </w:p>
        </w:tc>
        <w:tc>
          <w:tcPr>
            <w:tcW w:w="3402" w:type="dxa"/>
            <w:vMerge/>
            <w:shd w:val="clear" w:color="auto" w:fill="auto"/>
          </w:tcPr>
          <w:p w:rsidR="009C120D" w:rsidRPr="007231CD" w:rsidRDefault="009C120D" w:rsidP="007231CD">
            <w:pPr>
              <w:spacing w:before="60" w:after="60" w:line="360" w:lineRule="exact"/>
              <w:jc w:val="both"/>
              <w:rPr>
                <w:rFonts w:cs="Traditional Arabic" w:hint="cs"/>
                <w:sz w:val="18"/>
                <w:rtl/>
                <w:lang w:bidi="ar-EG"/>
              </w:rPr>
            </w:pPr>
          </w:p>
        </w:tc>
        <w:tc>
          <w:tcPr>
            <w:tcW w:w="2835"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السفر وبدل الإق</w:t>
            </w:r>
            <w:r w:rsidR="003A5FE1" w:rsidRPr="007231CD">
              <w:rPr>
                <w:rFonts w:cs="Traditional Arabic" w:hint="cs"/>
                <w:sz w:val="18"/>
                <w:rtl/>
                <w:lang w:bidi="ar-EG"/>
              </w:rPr>
              <w:t>ا</w:t>
            </w:r>
            <w:r w:rsidRPr="007231CD">
              <w:rPr>
                <w:rFonts w:cs="Traditional Arabic" w:hint="cs"/>
                <w:sz w:val="18"/>
                <w:rtl/>
                <w:lang w:bidi="ar-EG"/>
              </w:rPr>
              <w:t>مة اليومي (30 × 3000</w:t>
            </w:r>
            <w:r w:rsidR="001336CA" w:rsidRPr="007231CD">
              <w:rPr>
                <w:rFonts w:cs="Traditional Arabic" w:hint="cs"/>
                <w:sz w:val="18"/>
                <w:rtl/>
                <w:lang w:bidi="ar-EG"/>
              </w:rPr>
              <w:t xml:space="preserve"> دولار</w:t>
            </w:r>
            <w:r w:rsidRPr="007231CD">
              <w:rPr>
                <w:rFonts w:cs="Traditional Arabic" w:hint="cs"/>
                <w:sz w:val="18"/>
                <w:rtl/>
                <w:lang w:bidi="ar-EG"/>
              </w:rPr>
              <w:t>)</w:t>
            </w:r>
          </w:p>
        </w:tc>
        <w:tc>
          <w:tcPr>
            <w:tcW w:w="124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000</w:t>
            </w:r>
            <w:r w:rsidR="00A464F2">
              <w:rPr>
                <w:rFonts w:cs="Traditional Arabic" w:hint="cs"/>
                <w:sz w:val="18"/>
                <w:rtl/>
                <w:lang w:bidi="ar-EG"/>
              </w:rPr>
              <w:t xml:space="preserve"> </w:t>
            </w:r>
            <w:r w:rsidR="00A464F2" w:rsidRPr="007231CD">
              <w:rPr>
                <w:rFonts w:cs="Traditional Arabic" w:hint="cs"/>
                <w:sz w:val="18"/>
                <w:rtl/>
                <w:lang w:bidi="ar-EG"/>
              </w:rPr>
              <w:t>90</w:t>
            </w:r>
          </w:p>
        </w:tc>
      </w:tr>
      <w:tr w:rsidR="009C120D" w:rsidRPr="007231CD" w:rsidTr="0057523E">
        <w:trPr>
          <w:trHeight w:val="1320"/>
        </w:trPr>
        <w:tc>
          <w:tcPr>
            <w:tcW w:w="993" w:type="dxa"/>
            <w:vMerge/>
            <w:shd w:val="clear" w:color="auto" w:fill="auto"/>
          </w:tcPr>
          <w:p w:rsidR="009C120D" w:rsidRPr="007231CD" w:rsidRDefault="009C120D" w:rsidP="007231CD">
            <w:pPr>
              <w:spacing w:before="60" w:after="60" w:line="360" w:lineRule="exact"/>
              <w:jc w:val="both"/>
              <w:rPr>
                <w:rFonts w:cs="Traditional Arabic" w:hint="cs"/>
                <w:sz w:val="18"/>
                <w:rtl/>
                <w:lang w:bidi="ar-EG"/>
              </w:rPr>
            </w:pPr>
          </w:p>
        </w:tc>
        <w:tc>
          <w:tcPr>
            <w:tcW w:w="3402" w:type="dxa"/>
            <w:vMerge w:val="restart"/>
            <w:shd w:val="clear" w:color="auto" w:fill="auto"/>
          </w:tcPr>
          <w:p w:rsidR="009C120D" w:rsidRPr="007231CD" w:rsidRDefault="009C120D" w:rsidP="00301D0E">
            <w:pPr>
              <w:spacing w:before="60" w:after="60" w:line="360" w:lineRule="exact"/>
              <w:jc w:val="both"/>
              <w:rPr>
                <w:rFonts w:cs="Traditional Arabic" w:hint="cs"/>
                <w:sz w:val="18"/>
                <w:rtl/>
                <w:lang w:bidi="ar-EG"/>
              </w:rPr>
            </w:pPr>
            <w:r w:rsidRPr="007231CD">
              <w:rPr>
                <w:rFonts w:cs="Traditional Arabic" w:hint="cs"/>
                <w:sz w:val="18"/>
                <w:rtl/>
                <w:lang w:bidi="ar-EG"/>
              </w:rPr>
              <w:t>أول اجتماع للمؤلفين (70 رئيسا</w:t>
            </w:r>
            <w:r w:rsidR="001336CA" w:rsidRPr="007231CD">
              <w:rPr>
                <w:rFonts w:cs="Traditional Arabic" w:hint="cs"/>
                <w:sz w:val="18"/>
                <w:rtl/>
                <w:lang w:bidi="ar-EG"/>
              </w:rPr>
              <w:t>ً</w:t>
            </w:r>
            <w:r w:rsidRPr="007231CD">
              <w:rPr>
                <w:rFonts w:cs="Traditional Arabic" w:hint="cs"/>
                <w:sz w:val="18"/>
                <w:rtl/>
                <w:lang w:bidi="ar-EG"/>
              </w:rPr>
              <w:t xml:space="preserve"> مشاركا</w:t>
            </w:r>
            <w:r w:rsidR="00A464F2">
              <w:rPr>
                <w:rFonts w:cs="Traditional Arabic" w:hint="cs"/>
                <w:sz w:val="18"/>
                <w:rtl/>
                <w:lang w:bidi="ar-EG"/>
              </w:rPr>
              <w:t>ً</w:t>
            </w:r>
            <w:r w:rsidRPr="007231CD">
              <w:rPr>
                <w:rFonts w:cs="Traditional Arabic" w:hint="cs"/>
                <w:sz w:val="18"/>
                <w:rtl/>
                <w:lang w:bidi="ar-EG"/>
              </w:rPr>
              <w:t>، ومؤلفا</w:t>
            </w:r>
            <w:r w:rsidR="001336CA" w:rsidRPr="007231CD">
              <w:rPr>
                <w:rFonts w:cs="Traditional Arabic" w:hint="cs"/>
                <w:sz w:val="18"/>
                <w:rtl/>
                <w:lang w:bidi="ar-EG"/>
              </w:rPr>
              <w:t>ً</w:t>
            </w:r>
            <w:r w:rsidRPr="007231CD">
              <w:rPr>
                <w:rFonts w:cs="Traditional Arabic" w:hint="cs"/>
                <w:sz w:val="18"/>
                <w:rtl/>
                <w:lang w:bidi="ar-EG"/>
              </w:rPr>
              <w:t xml:space="preserve"> رئيسيا</w:t>
            </w:r>
            <w:r w:rsidR="001336CA" w:rsidRPr="007231CD">
              <w:rPr>
                <w:rFonts w:cs="Traditional Arabic" w:hint="cs"/>
                <w:sz w:val="18"/>
                <w:rtl/>
                <w:lang w:bidi="ar-EG"/>
              </w:rPr>
              <w:t>ً</w:t>
            </w:r>
            <w:r w:rsidRPr="007231CD">
              <w:rPr>
                <w:rFonts w:cs="Traditional Arabic" w:hint="cs"/>
                <w:sz w:val="18"/>
                <w:rtl/>
                <w:lang w:bidi="ar-EG"/>
              </w:rPr>
              <w:t xml:space="preserve"> منسقا</w:t>
            </w:r>
            <w:r w:rsidR="001336CA" w:rsidRPr="007231CD">
              <w:rPr>
                <w:rFonts w:cs="Traditional Arabic" w:hint="cs"/>
                <w:sz w:val="18"/>
                <w:rtl/>
                <w:lang w:bidi="ar-EG"/>
              </w:rPr>
              <w:t>ً</w:t>
            </w:r>
            <w:r w:rsidRPr="007231CD">
              <w:rPr>
                <w:rFonts w:cs="Traditional Arabic" w:hint="cs"/>
                <w:sz w:val="18"/>
                <w:rtl/>
                <w:lang w:bidi="ar-EG"/>
              </w:rPr>
              <w:t>، ومؤلفا</w:t>
            </w:r>
            <w:r w:rsidR="001336CA" w:rsidRPr="007231CD">
              <w:rPr>
                <w:rFonts w:cs="Traditional Arabic" w:hint="cs"/>
                <w:sz w:val="18"/>
                <w:rtl/>
                <w:lang w:bidi="ar-EG"/>
              </w:rPr>
              <w:t>ً</w:t>
            </w:r>
            <w:r w:rsidRPr="007231CD">
              <w:rPr>
                <w:rFonts w:cs="Traditional Arabic" w:hint="cs"/>
                <w:sz w:val="18"/>
                <w:rtl/>
                <w:lang w:bidi="ar-EG"/>
              </w:rPr>
              <w:t xml:space="preserve"> رئيسيا</w:t>
            </w:r>
            <w:r w:rsidR="001336CA" w:rsidRPr="007231CD">
              <w:rPr>
                <w:rFonts w:cs="Traditional Arabic" w:hint="cs"/>
                <w:sz w:val="18"/>
                <w:rtl/>
                <w:lang w:bidi="ar-EG"/>
              </w:rPr>
              <w:t>ً</w:t>
            </w:r>
            <w:r w:rsidRPr="007231CD">
              <w:rPr>
                <w:rFonts w:cs="Traditional Arabic" w:hint="cs"/>
                <w:sz w:val="18"/>
                <w:rtl/>
                <w:lang w:bidi="ar-EG"/>
              </w:rPr>
              <w:t xml:space="preserve"> زائدا</w:t>
            </w:r>
            <w:r w:rsidR="001336CA" w:rsidRPr="007231CD">
              <w:rPr>
                <w:rFonts w:cs="Traditional Arabic" w:hint="cs"/>
                <w:sz w:val="18"/>
                <w:rtl/>
                <w:lang w:bidi="ar-EG"/>
              </w:rPr>
              <w:t>ً</w:t>
            </w:r>
            <w:r w:rsidRPr="007231CD">
              <w:rPr>
                <w:rFonts w:cs="Traditional Arabic" w:hint="cs"/>
                <w:sz w:val="18"/>
                <w:rtl/>
                <w:lang w:bidi="ar-EG"/>
              </w:rPr>
              <w:t xml:space="preserve"> 4</w:t>
            </w:r>
            <w:r w:rsidR="00301D0E">
              <w:rPr>
                <w:rFonts w:cs="Traditional Arabic" w:hint="eastAsia"/>
                <w:sz w:val="18"/>
                <w:rtl/>
                <w:lang w:bidi="ar-EG"/>
              </w:rPr>
              <w:t> </w:t>
            </w:r>
            <w:r w:rsidRPr="007231CD">
              <w:rPr>
                <w:rFonts w:cs="Traditional Arabic" w:hint="cs"/>
                <w:sz w:val="18"/>
                <w:rtl/>
                <w:lang w:bidi="ar-EG"/>
              </w:rPr>
              <w:t>أعضاء في الاجتماع العام</w:t>
            </w:r>
            <w:r w:rsidR="001336CA" w:rsidRPr="007231CD">
              <w:rPr>
                <w:rFonts w:cs="Traditional Arabic" w:hint="cs"/>
                <w:sz w:val="18"/>
                <w:rtl/>
                <w:lang w:bidi="ar-EG"/>
              </w:rPr>
              <w:t>/</w:t>
            </w:r>
            <w:r w:rsidRPr="007231CD">
              <w:rPr>
                <w:rFonts w:cs="Traditional Arabic" w:hint="cs"/>
                <w:sz w:val="18"/>
                <w:rtl/>
                <w:lang w:bidi="ar-EG"/>
              </w:rPr>
              <w:t>المكتب زائدا</w:t>
            </w:r>
            <w:r w:rsidR="001336CA" w:rsidRPr="007231CD">
              <w:rPr>
                <w:rFonts w:cs="Traditional Arabic" w:hint="cs"/>
                <w:sz w:val="18"/>
                <w:rtl/>
                <w:lang w:bidi="ar-EG"/>
              </w:rPr>
              <w:t>ً</w:t>
            </w:r>
            <w:r w:rsidRPr="007231CD">
              <w:rPr>
                <w:rFonts w:cs="Traditional Arabic" w:hint="cs"/>
                <w:sz w:val="18"/>
                <w:rtl/>
                <w:lang w:bidi="ar-EG"/>
              </w:rPr>
              <w:t xml:space="preserve"> موظف دعم تقني)</w:t>
            </w:r>
          </w:p>
        </w:tc>
        <w:tc>
          <w:tcPr>
            <w:tcW w:w="2835"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تكاليف الاجتماع (أسبوع، 75 مشتركا</w:t>
            </w:r>
            <w:r w:rsidR="001336CA" w:rsidRPr="007231CD">
              <w:rPr>
                <w:rFonts w:cs="Traditional Arabic" w:hint="cs"/>
                <w:sz w:val="18"/>
                <w:rtl/>
                <w:lang w:bidi="ar-EG"/>
              </w:rPr>
              <w:t>ً</w:t>
            </w:r>
            <w:r w:rsidRPr="007231CD">
              <w:rPr>
                <w:rFonts w:cs="Traditional Arabic" w:hint="cs"/>
                <w:sz w:val="18"/>
                <w:rtl/>
                <w:lang w:bidi="ar-EG"/>
              </w:rPr>
              <w:t xml:space="preserve">) (25 بالمائة </w:t>
            </w:r>
            <w:r w:rsidR="003A5FE1" w:rsidRPr="007231CD">
              <w:rPr>
                <w:rFonts w:cs="Traditional Arabic" w:hint="cs"/>
                <w:sz w:val="18"/>
                <w:rtl/>
                <w:lang w:bidi="ar-EG"/>
              </w:rPr>
              <w:t>عينية</w:t>
            </w:r>
            <w:r w:rsidRPr="007231CD">
              <w:rPr>
                <w:rFonts w:cs="Traditional Arabic" w:hint="cs"/>
                <w:sz w:val="18"/>
                <w:rtl/>
                <w:lang w:bidi="ar-EG"/>
              </w:rPr>
              <w:t>)</w:t>
            </w:r>
          </w:p>
        </w:tc>
        <w:tc>
          <w:tcPr>
            <w:tcW w:w="124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000</w:t>
            </w:r>
            <w:r w:rsidR="00A464F2">
              <w:rPr>
                <w:rFonts w:cs="Traditional Arabic" w:hint="cs"/>
                <w:sz w:val="18"/>
                <w:rtl/>
                <w:lang w:bidi="ar-EG"/>
              </w:rPr>
              <w:t xml:space="preserve"> </w:t>
            </w:r>
            <w:r w:rsidR="00A464F2" w:rsidRPr="007231CD">
              <w:rPr>
                <w:rFonts w:cs="Traditional Arabic" w:hint="cs"/>
                <w:sz w:val="18"/>
                <w:rtl/>
                <w:lang w:bidi="ar-EG"/>
              </w:rPr>
              <w:t>15</w:t>
            </w:r>
          </w:p>
        </w:tc>
      </w:tr>
      <w:tr w:rsidR="009C120D" w:rsidRPr="007231CD" w:rsidTr="007231CD">
        <w:trPr>
          <w:trHeight w:val="688"/>
        </w:trPr>
        <w:tc>
          <w:tcPr>
            <w:tcW w:w="993" w:type="dxa"/>
            <w:vMerge/>
            <w:shd w:val="clear" w:color="auto" w:fill="auto"/>
          </w:tcPr>
          <w:p w:rsidR="009C120D" w:rsidRPr="007231CD" w:rsidRDefault="009C120D" w:rsidP="007231CD">
            <w:pPr>
              <w:spacing w:before="60" w:after="60" w:line="360" w:lineRule="exact"/>
              <w:jc w:val="both"/>
              <w:rPr>
                <w:rFonts w:cs="Traditional Arabic" w:hint="cs"/>
                <w:sz w:val="18"/>
                <w:rtl/>
                <w:lang w:bidi="ar-EG"/>
              </w:rPr>
            </w:pPr>
          </w:p>
        </w:tc>
        <w:tc>
          <w:tcPr>
            <w:tcW w:w="3402" w:type="dxa"/>
            <w:vMerge/>
            <w:shd w:val="clear" w:color="auto" w:fill="auto"/>
          </w:tcPr>
          <w:p w:rsidR="009C120D" w:rsidRPr="007231CD" w:rsidRDefault="009C120D" w:rsidP="007231CD">
            <w:pPr>
              <w:spacing w:before="60" w:after="60" w:line="360" w:lineRule="exact"/>
              <w:jc w:val="both"/>
              <w:rPr>
                <w:rFonts w:cs="Traditional Arabic" w:hint="cs"/>
                <w:sz w:val="18"/>
                <w:rtl/>
                <w:lang w:bidi="ar-EG"/>
              </w:rPr>
            </w:pPr>
          </w:p>
        </w:tc>
        <w:tc>
          <w:tcPr>
            <w:tcW w:w="2835"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السفر وبدل الإقامة اليومي (56 × 3000</w:t>
            </w:r>
            <w:r w:rsidR="001336CA" w:rsidRPr="007231CD">
              <w:rPr>
                <w:rFonts w:cs="Traditional Arabic" w:hint="cs"/>
                <w:sz w:val="18"/>
                <w:rtl/>
                <w:lang w:bidi="ar-EG"/>
              </w:rPr>
              <w:t xml:space="preserve"> دولار</w:t>
            </w:r>
            <w:r w:rsidRPr="007231CD">
              <w:rPr>
                <w:rFonts w:cs="Traditional Arabic" w:hint="cs"/>
                <w:sz w:val="18"/>
                <w:rtl/>
                <w:lang w:bidi="ar-EG"/>
              </w:rPr>
              <w:t>)</w:t>
            </w:r>
          </w:p>
        </w:tc>
        <w:tc>
          <w:tcPr>
            <w:tcW w:w="124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000</w:t>
            </w:r>
            <w:r w:rsidR="00A464F2">
              <w:rPr>
                <w:rFonts w:cs="Traditional Arabic" w:hint="cs"/>
                <w:sz w:val="18"/>
                <w:rtl/>
                <w:lang w:bidi="ar-EG"/>
              </w:rPr>
              <w:t xml:space="preserve"> </w:t>
            </w:r>
            <w:r w:rsidR="00A464F2" w:rsidRPr="007231CD">
              <w:rPr>
                <w:rFonts w:cs="Traditional Arabic" w:hint="cs"/>
                <w:sz w:val="18"/>
                <w:rtl/>
                <w:lang w:bidi="ar-EG"/>
              </w:rPr>
              <w:t>168</w:t>
            </w:r>
          </w:p>
        </w:tc>
      </w:tr>
      <w:tr w:rsidR="009C120D" w:rsidRPr="007231CD" w:rsidTr="0057523E">
        <w:tc>
          <w:tcPr>
            <w:tcW w:w="993" w:type="dxa"/>
            <w:vMerge/>
            <w:shd w:val="clear" w:color="auto" w:fill="auto"/>
          </w:tcPr>
          <w:p w:rsidR="009C120D" w:rsidRPr="007231CD" w:rsidRDefault="009C120D" w:rsidP="007231CD">
            <w:pPr>
              <w:spacing w:before="60" w:after="60" w:line="360" w:lineRule="exact"/>
              <w:jc w:val="both"/>
              <w:rPr>
                <w:rFonts w:cs="Traditional Arabic" w:hint="cs"/>
                <w:sz w:val="18"/>
                <w:rtl/>
                <w:lang w:bidi="ar-EG"/>
              </w:rPr>
            </w:pPr>
          </w:p>
        </w:tc>
        <w:tc>
          <w:tcPr>
            <w:tcW w:w="340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الدعم التقني</w:t>
            </w:r>
          </w:p>
        </w:tc>
        <w:tc>
          <w:tcPr>
            <w:tcW w:w="2835" w:type="dxa"/>
            <w:shd w:val="clear" w:color="auto" w:fill="auto"/>
          </w:tcPr>
          <w:p w:rsidR="009C120D" w:rsidRPr="007231CD" w:rsidRDefault="00F60E47" w:rsidP="007231CD">
            <w:pPr>
              <w:spacing w:before="60" w:after="60" w:line="360" w:lineRule="exact"/>
              <w:jc w:val="both"/>
              <w:rPr>
                <w:rFonts w:cs="Traditional Arabic" w:hint="cs"/>
                <w:sz w:val="18"/>
                <w:rtl/>
                <w:lang w:bidi="ar-EG"/>
              </w:rPr>
            </w:pPr>
            <w:r w:rsidRPr="007231CD">
              <w:rPr>
                <w:rFonts w:cs="Traditional Arabic" w:hint="cs"/>
                <w:sz w:val="18"/>
                <w:rtl/>
                <w:lang w:bidi="ar-EG"/>
              </w:rPr>
              <w:t xml:space="preserve">ما يعادل وظيفة متفرغ من الفئة الفنية </w:t>
            </w:r>
            <w:r w:rsidR="009C120D" w:rsidRPr="007231CD">
              <w:rPr>
                <w:rFonts w:cs="Traditional Arabic" w:hint="cs"/>
                <w:sz w:val="18"/>
                <w:rtl/>
                <w:lang w:bidi="ar-EG"/>
              </w:rPr>
              <w:t xml:space="preserve">(25 بالمائة </w:t>
            </w:r>
            <w:r w:rsidR="003A5FE1" w:rsidRPr="007231CD">
              <w:rPr>
                <w:rFonts w:cs="Traditional Arabic" w:hint="cs"/>
                <w:sz w:val="18"/>
                <w:rtl/>
                <w:lang w:bidi="ar-EG"/>
              </w:rPr>
              <w:t>عينية</w:t>
            </w:r>
            <w:r w:rsidR="009C120D" w:rsidRPr="007231CD">
              <w:rPr>
                <w:rFonts w:cs="Traditional Arabic" w:hint="cs"/>
                <w:sz w:val="18"/>
                <w:rtl/>
                <w:lang w:bidi="ar-EG"/>
              </w:rPr>
              <w:t>)</w:t>
            </w:r>
          </w:p>
        </w:tc>
        <w:tc>
          <w:tcPr>
            <w:tcW w:w="124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000</w:t>
            </w:r>
            <w:r w:rsidR="00A464F2">
              <w:rPr>
                <w:rFonts w:cs="Traditional Arabic" w:hint="cs"/>
                <w:sz w:val="18"/>
                <w:rtl/>
                <w:lang w:bidi="ar-EG"/>
              </w:rPr>
              <w:t xml:space="preserve"> </w:t>
            </w:r>
            <w:r w:rsidR="00A464F2" w:rsidRPr="007231CD">
              <w:rPr>
                <w:rFonts w:cs="Traditional Arabic" w:hint="cs"/>
                <w:sz w:val="18"/>
                <w:rtl/>
                <w:lang w:bidi="ar-EG"/>
              </w:rPr>
              <w:t>75</w:t>
            </w:r>
          </w:p>
        </w:tc>
      </w:tr>
      <w:tr w:rsidR="009C120D" w:rsidRPr="007231CD" w:rsidTr="0057523E">
        <w:trPr>
          <w:trHeight w:val="1119"/>
        </w:trPr>
        <w:tc>
          <w:tcPr>
            <w:tcW w:w="993" w:type="dxa"/>
            <w:vMerge w:val="restart"/>
            <w:shd w:val="clear" w:color="auto" w:fill="auto"/>
            <w:vAlign w:val="center"/>
          </w:tcPr>
          <w:p w:rsidR="009C120D" w:rsidRPr="007231CD" w:rsidRDefault="009C120D" w:rsidP="007231CD">
            <w:pPr>
              <w:spacing w:before="60" w:after="60" w:line="360" w:lineRule="exact"/>
              <w:rPr>
                <w:rFonts w:cs="Traditional Arabic" w:hint="cs"/>
                <w:sz w:val="18"/>
                <w:rtl/>
                <w:lang w:bidi="ar-EG"/>
              </w:rPr>
            </w:pPr>
            <w:r w:rsidRPr="007231CD">
              <w:rPr>
                <w:rFonts w:cs="Traditional Arabic" w:hint="cs"/>
                <w:sz w:val="18"/>
                <w:rtl/>
                <w:lang w:bidi="ar-EG"/>
              </w:rPr>
              <w:t>2015</w:t>
            </w:r>
          </w:p>
        </w:tc>
        <w:tc>
          <w:tcPr>
            <w:tcW w:w="3402" w:type="dxa"/>
            <w:vMerge w:val="restart"/>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الاجتماع الثاني للمؤلفين (70 رئيسا</w:t>
            </w:r>
            <w:r w:rsidR="001336CA" w:rsidRPr="007231CD">
              <w:rPr>
                <w:rFonts w:cs="Traditional Arabic" w:hint="cs"/>
                <w:sz w:val="18"/>
                <w:rtl/>
                <w:lang w:bidi="ar-EG"/>
              </w:rPr>
              <w:t>ً</w:t>
            </w:r>
            <w:r w:rsidRPr="007231CD">
              <w:rPr>
                <w:rFonts w:cs="Traditional Arabic" w:hint="cs"/>
                <w:sz w:val="18"/>
                <w:rtl/>
                <w:lang w:bidi="ar-EG"/>
              </w:rPr>
              <w:t xml:space="preserve"> مشاركا</w:t>
            </w:r>
            <w:r w:rsidR="001336CA" w:rsidRPr="007231CD">
              <w:rPr>
                <w:rFonts w:cs="Traditional Arabic" w:hint="cs"/>
                <w:sz w:val="18"/>
                <w:rtl/>
                <w:lang w:bidi="ar-EG"/>
              </w:rPr>
              <w:t>ً</w:t>
            </w:r>
            <w:r w:rsidRPr="007231CD">
              <w:rPr>
                <w:rFonts w:cs="Traditional Arabic" w:hint="cs"/>
                <w:sz w:val="18"/>
                <w:rtl/>
                <w:lang w:bidi="ar-EG"/>
              </w:rPr>
              <w:t>، ومؤلفا</w:t>
            </w:r>
            <w:r w:rsidR="001336CA" w:rsidRPr="007231CD">
              <w:rPr>
                <w:rFonts w:cs="Traditional Arabic" w:hint="cs"/>
                <w:sz w:val="18"/>
                <w:rtl/>
                <w:lang w:bidi="ar-EG"/>
              </w:rPr>
              <w:t>ً</w:t>
            </w:r>
            <w:r w:rsidRPr="007231CD">
              <w:rPr>
                <w:rFonts w:cs="Traditional Arabic" w:hint="cs"/>
                <w:sz w:val="18"/>
                <w:rtl/>
                <w:lang w:bidi="ar-EG"/>
              </w:rPr>
              <w:t xml:space="preserve"> رئيسيا</w:t>
            </w:r>
            <w:r w:rsidR="001336CA" w:rsidRPr="007231CD">
              <w:rPr>
                <w:rFonts w:cs="Traditional Arabic" w:hint="cs"/>
                <w:sz w:val="18"/>
                <w:rtl/>
                <w:lang w:bidi="ar-EG"/>
              </w:rPr>
              <w:t>ً</w:t>
            </w:r>
            <w:r w:rsidRPr="007231CD">
              <w:rPr>
                <w:rFonts w:cs="Traditional Arabic" w:hint="cs"/>
                <w:sz w:val="18"/>
                <w:rtl/>
                <w:lang w:bidi="ar-EG"/>
              </w:rPr>
              <w:t xml:space="preserve"> منسقا</w:t>
            </w:r>
            <w:r w:rsidR="001336CA" w:rsidRPr="007231CD">
              <w:rPr>
                <w:rFonts w:cs="Traditional Arabic" w:hint="cs"/>
                <w:sz w:val="18"/>
                <w:rtl/>
                <w:lang w:bidi="ar-EG"/>
              </w:rPr>
              <w:t>ً</w:t>
            </w:r>
            <w:r w:rsidRPr="007231CD">
              <w:rPr>
                <w:rFonts w:cs="Traditional Arabic" w:hint="cs"/>
                <w:sz w:val="18"/>
                <w:rtl/>
                <w:lang w:bidi="ar-EG"/>
              </w:rPr>
              <w:t>، ومؤلفا</w:t>
            </w:r>
            <w:r w:rsidR="001336CA" w:rsidRPr="007231CD">
              <w:rPr>
                <w:rFonts w:cs="Traditional Arabic" w:hint="cs"/>
                <w:sz w:val="18"/>
                <w:rtl/>
                <w:lang w:bidi="ar-EG"/>
              </w:rPr>
              <w:t>ً</w:t>
            </w:r>
            <w:r w:rsidRPr="007231CD">
              <w:rPr>
                <w:rFonts w:cs="Traditional Arabic" w:hint="cs"/>
                <w:sz w:val="18"/>
                <w:rtl/>
                <w:lang w:bidi="ar-EG"/>
              </w:rPr>
              <w:t xml:space="preserve"> رئيسيا</w:t>
            </w:r>
            <w:r w:rsidR="001336CA" w:rsidRPr="007231CD">
              <w:rPr>
                <w:rFonts w:cs="Traditional Arabic" w:hint="cs"/>
                <w:sz w:val="18"/>
                <w:rtl/>
                <w:lang w:bidi="ar-EG"/>
              </w:rPr>
              <w:t>ً</w:t>
            </w:r>
            <w:r w:rsidRPr="007231CD">
              <w:rPr>
                <w:rFonts w:cs="Traditional Arabic" w:hint="cs"/>
                <w:sz w:val="18"/>
                <w:rtl/>
                <w:lang w:bidi="ar-EG"/>
              </w:rPr>
              <w:t xml:space="preserve"> زائدا</w:t>
            </w:r>
            <w:r w:rsidR="001336CA" w:rsidRPr="007231CD">
              <w:rPr>
                <w:rFonts w:cs="Traditional Arabic" w:hint="cs"/>
                <w:sz w:val="18"/>
                <w:rtl/>
                <w:lang w:bidi="ar-EG"/>
              </w:rPr>
              <w:t>ً</w:t>
            </w:r>
            <w:r w:rsidRPr="007231CD">
              <w:rPr>
                <w:rFonts w:cs="Traditional Arabic" w:hint="cs"/>
                <w:sz w:val="18"/>
                <w:rtl/>
                <w:lang w:bidi="ar-EG"/>
              </w:rPr>
              <w:t xml:space="preserve"> 14 محررا</w:t>
            </w:r>
            <w:r w:rsidR="001336CA" w:rsidRPr="007231CD">
              <w:rPr>
                <w:rFonts w:cs="Traditional Arabic" w:hint="cs"/>
                <w:sz w:val="18"/>
                <w:rtl/>
                <w:lang w:bidi="ar-EG"/>
              </w:rPr>
              <w:t>ً</w:t>
            </w:r>
            <w:r w:rsidRPr="007231CD">
              <w:rPr>
                <w:rFonts w:cs="Traditional Arabic" w:hint="cs"/>
                <w:sz w:val="18"/>
                <w:rtl/>
                <w:lang w:bidi="ar-EG"/>
              </w:rPr>
              <w:t xml:space="preserve"> مراجعا</w:t>
            </w:r>
            <w:r w:rsidR="001336CA" w:rsidRPr="007231CD">
              <w:rPr>
                <w:rFonts w:cs="Traditional Arabic" w:hint="cs"/>
                <w:sz w:val="18"/>
                <w:rtl/>
                <w:lang w:bidi="ar-EG"/>
              </w:rPr>
              <w:t>ً</w:t>
            </w:r>
            <w:r w:rsidRPr="007231CD">
              <w:rPr>
                <w:rFonts w:cs="Traditional Arabic" w:hint="cs"/>
                <w:sz w:val="18"/>
                <w:rtl/>
                <w:lang w:bidi="ar-EG"/>
              </w:rPr>
              <w:t xml:space="preserve"> زائدا</w:t>
            </w:r>
            <w:r w:rsidR="001336CA" w:rsidRPr="007231CD">
              <w:rPr>
                <w:rFonts w:cs="Traditional Arabic" w:hint="cs"/>
                <w:sz w:val="18"/>
                <w:rtl/>
                <w:lang w:bidi="ar-EG"/>
              </w:rPr>
              <w:t>ً</w:t>
            </w:r>
            <w:r w:rsidRPr="007231CD">
              <w:rPr>
                <w:rFonts w:cs="Traditional Arabic" w:hint="cs"/>
                <w:sz w:val="18"/>
                <w:rtl/>
                <w:lang w:bidi="ar-EG"/>
              </w:rPr>
              <w:t xml:space="preserve"> 4 أعضاء في الفريق</w:t>
            </w:r>
            <w:r w:rsidR="001336CA" w:rsidRPr="007231CD">
              <w:rPr>
                <w:rFonts w:cs="Traditional Arabic" w:hint="cs"/>
                <w:sz w:val="18"/>
                <w:rtl/>
                <w:lang w:bidi="ar-EG"/>
              </w:rPr>
              <w:t>/</w:t>
            </w:r>
            <w:r w:rsidRPr="007231CD">
              <w:rPr>
                <w:rFonts w:cs="Traditional Arabic" w:hint="cs"/>
                <w:sz w:val="18"/>
                <w:rtl/>
                <w:lang w:bidi="ar-EG"/>
              </w:rPr>
              <w:t>المكتب زائدا</w:t>
            </w:r>
            <w:r w:rsidR="001336CA" w:rsidRPr="007231CD">
              <w:rPr>
                <w:rFonts w:cs="Traditional Arabic" w:hint="cs"/>
                <w:sz w:val="18"/>
                <w:rtl/>
                <w:lang w:bidi="ar-EG"/>
              </w:rPr>
              <w:t>ً</w:t>
            </w:r>
            <w:r w:rsidRPr="007231CD">
              <w:rPr>
                <w:rFonts w:cs="Traditional Arabic" w:hint="cs"/>
                <w:sz w:val="18"/>
                <w:rtl/>
                <w:lang w:bidi="ar-EG"/>
              </w:rPr>
              <w:t xml:space="preserve"> موظف دعم تقني)</w:t>
            </w:r>
          </w:p>
        </w:tc>
        <w:tc>
          <w:tcPr>
            <w:tcW w:w="2835"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تكاليف الاجتماع (أسبوع واحد، 89 مشتركا</w:t>
            </w:r>
            <w:r w:rsidR="00B552E6" w:rsidRPr="007231CD">
              <w:rPr>
                <w:rFonts w:cs="Traditional Arabic" w:hint="cs"/>
                <w:sz w:val="18"/>
                <w:rtl/>
                <w:lang w:bidi="ar-EG"/>
              </w:rPr>
              <w:t>ً</w:t>
            </w:r>
            <w:r w:rsidRPr="007231CD">
              <w:rPr>
                <w:rFonts w:cs="Traditional Arabic" w:hint="cs"/>
                <w:sz w:val="18"/>
                <w:rtl/>
                <w:lang w:bidi="ar-EG"/>
              </w:rPr>
              <w:t xml:space="preserve">) (25 بالمائة </w:t>
            </w:r>
            <w:r w:rsidR="003A5FE1" w:rsidRPr="007231CD">
              <w:rPr>
                <w:rFonts w:cs="Traditional Arabic" w:hint="cs"/>
                <w:sz w:val="18"/>
                <w:rtl/>
                <w:lang w:bidi="ar-EG"/>
              </w:rPr>
              <w:t>عينية</w:t>
            </w:r>
            <w:r w:rsidRPr="007231CD">
              <w:rPr>
                <w:rFonts w:cs="Traditional Arabic" w:hint="cs"/>
                <w:sz w:val="18"/>
                <w:rtl/>
                <w:lang w:bidi="ar-EG"/>
              </w:rPr>
              <w:t>)</w:t>
            </w:r>
          </w:p>
        </w:tc>
        <w:tc>
          <w:tcPr>
            <w:tcW w:w="124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000</w:t>
            </w:r>
            <w:r w:rsidR="00A464F2">
              <w:rPr>
                <w:rFonts w:cs="Traditional Arabic" w:hint="cs"/>
                <w:sz w:val="18"/>
                <w:rtl/>
                <w:lang w:bidi="ar-EG"/>
              </w:rPr>
              <w:t xml:space="preserve"> </w:t>
            </w:r>
            <w:r w:rsidR="00A464F2" w:rsidRPr="007231CD">
              <w:rPr>
                <w:rFonts w:cs="Traditional Arabic" w:hint="cs"/>
                <w:sz w:val="18"/>
                <w:rtl/>
                <w:lang w:bidi="ar-EG"/>
              </w:rPr>
              <w:t>15</w:t>
            </w:r>
          </w:p>
        </w:tc>
      </w:tr>
      <w:tr w:rsidR="009C120D" w:rsidRPr="007231CD" w:rsidTr="007231CD">
        <w:trPr>
          <w:trHeight w:val="629"/>
        </w:trPr>
        <w:tc>
          <w:tcPr>
            <w:tcW w:w="993" w:type="dxa"/>
            <w:vMerge/>
            <w:shd w:val="clear" w:color="auto" w:fill="auto"/>
          </w:tcPr>
          <w:p w:rsidR="009C120D" w:rsidRPr="007231CD" w:rsidRDefault="009C120D" w:rsidP="007231CD">
            <w:pPr>
              <w:spacing w:before="60" w:after="60" w:line="360" w:lineRule="exact"/>
              <w:jc w:val="both"/>
              <w:rPr>
                <w:rFonts w:cs="Traditional Arabic" w:hint="cs"/>
                <w:sz w:val="18"/>
                <w:rtl/>
                <w:lang w:bidi="ar-EG"/>
              </w:rPr>
            </w:pPr>
          </w:p>
        </w:tc>
        <w:tc>
          <w:tcPr>
            <w:tcW w:w="3402" w:type="dxa"/>
            <w:vMerge/>
            <w:shd w:val="clear" w:color="auto" w:fill="auto"/>
          </w:tcPr>
          <w:p w:rsidR="009C120D" w:rsidRPr="007231CD" w:rsidRDefault="009C120D" w:rsidP="007231CD">
            <w:pPr>
              <w:spacing w:before="60" w:after="60" w:line="360" w:lineRule="exact"/>
              <w:jc w:val="both"/>
              <w:rPr>
                <w:rFonts w:cs="Traditional Arabic" w:hint="cs"/>
                <w:sz w:val="18"/>
                <w:rtl/>
                <w:lang w:bidi="ar-EG"/>
              </w:rPr>
            </w:pPr>
          </w:p>
        </w:tc>
        <w:tc>
          <w:tcPr>
            <w:tcW w:w="2835" w:type="dxa"/>
            <w:shd w:val="clear" w:color="auto" w:fill="auto"/>
          </w:tcPr>
          <w:p w:rsidR="009C120D" w:rsidRPr="007231CD" w:rsidRDefault="009C120D" w:rsidP="007231CD">
            <w:pPr>
              <w:spacing w:before="60" w:after="60" w:line="360" w:lineRule="exact"/>
              <w:jc w:val="both"/>
              <w:rPr>
                <w:rFonts w:cs="Traditional Arabic" w:hint="cs"/>
                <w:sz w:val="18"/>
                <w:rtl/>
              </w:rPr>
            </w:pPr>
            <w:r w:rsidRPr="007231CD">
              <w:rPr>
                <w:rFonts w:cs="Traditional Arabic" w:hint="cs"/>
                <w:sz w:val="18"/>
                <w:rtl/>
                <w:lang w:bidi="ar-EG"/>
              </w:rPr>
              <w:t>السفر وبدل الإقامة اليومي (67 × 3000</w:t>
            </w:r>
            <w:r w:rsidR="001336CA" w:rsidRPr="007231CD">
              <w:rPr>
                <w:rFonts w:cs="Traditional Arabic" w:hint="cs"/>
                <w:sz w:val="18"/>
                <w:rtl/>
                <w:lang w:bidi="ar-EG"/>
              </w:rPr>
              <w:t xml:space="preserve"> دولار</w:t>
            </w:r>
            <w:r w:rsidRPr="007231CD">
              <w:rPr>
                <w:rFonts w:cs="Traditional Arabic" w:hint="cs"/>
                <w:sz w:val="18"/>
                <w:rtl/>
                <w:lang w:bidi="ar-EG"/>
              </w:rPr>
              <w:t>)</w:t>
            </w:r>
          </w:p>
        </w:tc>
        <w:tc>
          <w:tcPr>
            <w:tcW w:w="124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000</w:t>
            </w:r>
            <w:r w:rsidR="00A464F2">
              <w:rPr>
                <w:rFonts w:cs="Traditional Arabic" w:hint="cs"/>
                <w:sz w:val="18"/>
                <w:rtl/>
                <w:lang w:bidi="ar-EG"/>
              </w:rPr>
              <w:t xml:space="preserve"> </w:t>
            </w:r>
            <w:r w:rsidR="00A464F2" w:rsidRPr="007231CD">
              <w:rPr>
                <w:rFonts w:cs="Traditional Arabic" w:hint="cs"/>
                <w:sz w:val="18"/>
                <w:rtl/>
                <w:lang w:bidi="ar-EG"/>
              </w:rPr>
              <w:t>201</w:t>
            </w:r>
          </w:p>
        </w:tc>
      </w:tr>
      <w:tr w:rsidR="00A464F2" w:rsidRPr="007231CD" w:rsidTr="0057523E">
        <w:trPr>
          <w:trHeight w:val="1118"/>
        </w:trPr>
        <w:tc>
          <w:tcPr>
            <w:tcW w:w="993" w:type="dxa"/>
            <w:vMerge/>
            <w:shd w:val="clear" w:color="auto" w:fill="auto"/>
          </w:tcPr>
          <w:p w:rsidR="00A464F2" w:rsidRPr="007231CD" w:rsidRDefault="00A464F2" w:rsidP="007231CD">
            <w:pPr>
              <w:spacing w:before="60" w:after="60" w:line="360" w:lineRule="exact"/>
              <w:jc w:val="both"/>
              <w:rPr>
                <w:rFonts w:cs="Traditional Arabic" w:hint="cs"/>
                <w:sz w:val="18"/>
                <w:rtl/>
                <w:lang w:bidi="ar-EG"/>
              </w:rPr>
            </w:pPr>
          </w:p>
        </w:tc>
        <w:tc>
          <w:tcPr>
            <w:tcW w:w="3402" w:type="dxa"/>
            <w:vMerge w:val="restart"/>
            <w:shd w:val="clear" w:color="auto" w:fill="auto"/>
          </w:tcPr>
          <w:p w:rsidR="00A464F2" w:rsidRPr="007231CD" w:rsidRDefault="00A464F2" w:rsidP="007231CD">
            <w:pPr>
              <w:spacing w:before="60" w:after="60" w:line="360" w:lineRule="exact"/>
              <w:jc w:val="both"/>
              <w:rPr>
                <w:rFonts w:cs="Traditional Arabic" w:hint="cs"/>
                <w:sz w:val="18"/>
                <w:rtl/>
                <w:lang w:bidi="ar-EG"/>
              </w:rPr>
            </w:pPr>
            <w:r w:rsidRPr="007231CD">
              <w:rPr>
                <w:rFonts w:cs="Traditional Arabic" w:hint="cs"/>
                <w:sz w:val="18"/>
                <w:rtl/>
                <w:lang w:bidi="ar-EG"/>
              </w:rPr>
              <w:t>الاجتماع الثالث للمؤلفين (70 رئيساً مشاركاً، ومؤلفاً رئيسياً منسقاً، ومؤلفاً رئيسياً زائداً 14 محرراً مراجعاً زائداً 4 أعضاء في الفريق/المكتب زائداً 1 موظف دعم تقني)</w:t>
            </w:r>
          </w:p>
        </w:tc>
        <w:tc>
          <w:tcPr>
            <w:tcW w:w="2835" w:type="dxa"/>
            <w:shd w:val="clear" w:color="auto" w:fill="auto"/>
          </w:tcPr>
          <w:p w:rsidR="00A464F2" w:rsidRPr="007231CD" w:rsidRDefault="00A464F2" w:rsidP="007231CD">
            <w:pPr>
              <w:spacing w:before="60" w:after="60" w:line="360" w:lineRule="exact"/>
              <w:jc w:val="both"/>
              <w:rPr>
                <w:rFonts w:cs="Traditional Arabic" w:hint="cs"/>
                <w:sz w:val="18"/>
                <w:rtl/>
                <w:lang w:bidi="ar-EG"/>
              </w:rPr>
            </w:pPr>
            <w:r w:rsidRPr="007231CD">
              <w:rPr>
                <w:rFonts w:cs="Traditional Arabic" w:hint="cs"/>
                <w:sz w:val="18"/>
                <w:rtl/>
                <w:lang w:bidi="ar-EG"/>
              </w:rPr>
              <w:t>تكاليف الاجتماع (أسبوع واحد، 89 مشتركاً) (25 بالمائة عينية)</w:t>
            </w:r>
          </w:p>
        </w:tc>
        <w:tc>
          <w:tcPr>
            <w:tcW w:w="1242" w:type="dxa"/>
            <w:shd w:val="clear" w:color="auto" w:fill="auto"/>
          </w:tcPr>
          <w:p w:rsidR="00A464F2" w:rsidRPr="007231CD" w:rsidRDefault="00A464F2" w:rsidP="007231CD">
            <w:pPr>
              <w:spacing w:before="60" w:after="60" w:line="360" w:lineRule="exact"/>
              <w:jc w:val="both"/>
              <w:rPr>
                <w:rFonts w:cs="Traditional Arabic" w:hint="cs"/>
                <w:sz w:val="18"/>
                <w:rtl/>
              </w:rPr>
            </w:pPr>
            <w:r>
              <w:rPr>
                <w:rFonts w:cs="Traditional Arabic" w:hint="cs"/>
                <w:sz w:val="18"/>
                <w:rtl/>
                <w:lang w:bidi="ar-EG"/>
              </w:rPr>
              <w:t>000 15</w:t>
            </w:r>
          </w:p>
        </w:tc>
      </w:tr>
      <w:tr w:rsidR="00A464F2" w:rsidRPr="007231CD" w:rsidTr="0057523E">
        <w:trPr>
          <w:trHeight w:val="1118"/>
        </w:trPr>
        <w:tc>
          <w:tcPr>
            <w:tcW w:w="993" w:type="dxa"/>
            <w:vMerge/>
            <w:shd w:val="clear" w:color="auto" w:fill="auto"/>
          </w:tcPr>
          <w:p w:rsidR="00A464F2" w:rsidRPr="007231CD" w:rsidRDefault="00A464F2" w:rsidP="007231CD">
            <w:pPr>
              <w:spacing w:before="60" w:after="60" w:line="360" w:lineRule="exact"/>
              <w:jc w:val="both"/>
              <w:rPr>
                <w:rFonts w:cs="Traditional Arabic" w:hint="cs"/>
                <w:sz w:val="18"/>
                <w:rtl/>
                <w:lang w:bidi="ar-EG"/>
              </w:rPr>
            </w:pPr>
          </w:p>
        </w:tc>
        <w:tc>
          <w:tcPr>
            <w:tcW w:w="3402" w:type="dxa"/>
            <w:vMerge/>
            <w:shd w:val="clear" w:color="auto" w:fill="auto"/>
          </w:tcPr>
          <w:p w:rsidR="00A464F2" w:rsidRPr="007231CD" w:rsidRDefault="00A464F2" w:rsidP="007231CD">
            <w:pPr>
              <w:spacing w:before="60" w:after="60" w:line="360" w:lineRule="exact"/>
              <w:jc w:val="both"/>
              <w:rPr>
                <w:rFonts w:cs="Traditional Arabic" w:hint="cs"/>
                <w:sz w:val="18"/>
                <w:rtl/>
                <w:lang w:bidi="ar-EG"/>
              </w:rPr>
            </w:pPr>
          </w:p>
        </w:tc>
        <w:tc>
          <w:tcPr>
            <w:tcW w:w="2835" w:type="dxa"/>
            <w:shd w:val="clear" w:color="auto" w:fill="auto"/>
          </w:tcPr>
          <w:p w:rsidR="00A464F2" w:rsidRPr="007231CD" w:rsidRDefault="00A464F2" w:rsidP="007231CD">
            <w:pPr>
              <w:spacing w:before="60" w:after="60" w:line="360" w:lineRule="exact"/>
              <w:jc w:val="both"/>
              <w:rPr>
                <w:rFonts w:cs="Traditional Arabic" w:hint="cs"/>
                <w:sz w:val="18"/>
                <w:rtl/>
                <w:lang w:bidi="ar-EG"/>
              </w:rPr>
            </w:pPr>
            <w:r w:rsidRPr="007231CD">
              <w:rPr>
                <w:rFonts w:cs="Traditional Arabic" w:hint="cs"/>
                <w:sz w:val="18"/>
                <w:rtl/>
                <w:lang w:bidi="ar-EG"/>
              </w:rPr>
              <w:t>السفر وبدل الإقامة اليومي (67 × 3000 دولار)</w:t>
            </w:r>
          </w:p>
        </w:tc>
        <w:tc>
          <w:tcPr>
            <w:tcW w:w="1242" w:type="dxa"/>
            <w:shd w:val="clear" w:color="auto" w:fill="auto"/>
          </w:tcPr>
          <w:p w:rsidR="00A464F2" w:rsidRPr="007231CD" w:rsidRDefault="00A464F2" w:rsidP="007231CD">
            <w:pPr>
              <w:spacing w:before="60" w:after="60" w:line="360" w:lineRule="exact"/>
              <w:jc w:val="both"/>
              <w:rPr>
                <w:rFonts w:cs="Traditional Arabic" w:hint="cs"/>
                <w:sz w:val="18"/>
                <w:rtl/>
                <w:lang w:bidi="ar-EG"/>
              </w:rPr>
            </w:pPr>
            <w:r>
              <w:rPr>
                <w:rFonts w:cs="Traditional Arabic" w:hint="cs"/>
                <w:sz w:val="18"/>
                <w:rtl/>
                <w:lang w:bidi="ar-EG"/>
              </w:rPr>
              <w:t>000 201</w:t>
            </w:r>
          </w:p>
        </w:tc>
      </w:tr>
      <w:tr w:rsidR="009C120D" w:rsidRPr="007231CD" w:rsidTr="0057523E">
        <w:tc>
          <w:tcPr>
            <w:tcW w:w="993" w:type="dxa"/>
            <w:vMerge/>
            <w:shd w:val="clear" w:color="auto" w:fill="auto"/>
          </w:tcPr>
          <w:p w:rsidR="009C120D" w:rsidRPr="007231CD" w:rsidRDefault="009C120D" w:rsidP="007231CD">
            <w:pPr>
              <w:spacing w:before="60" w:after="60" w:line="360" w:lineRule="exact"/>
              <w:jc w:val="both"/>
              <w:rPr>
                <w:rFonts w:cs="Traditional Arabic" w:hint="cs"/>
                <w:sz w:val="18"/>
                <w:rtl/>
                <w:lang w:bidi="ar-EG"/>
              </w:rPr>
            </w:pPr>
          </w:p>
        </w:tc>
        <w:tc>
          <w:tcPr>
            <w:tcW w:w="3402" w:type="dxa"/>
            <w:shd w:val="clear" w:color="auto" w:fill="auto"/>
          </w:tcPr>
          <w:p w:rsidR="009C120D" w:rsidRPr="007231CD" w:rsidRDefault="009C120D" w:rsidP="007231CD">
            <w:pPr>
              <w:spacing w:before="60" w:after="60" w:line="360" w:lineRule="exact"/>
              <w:jc w:val="both"/>
              <w:rPr>
                <w:rFonts w:cs="Traditional Arabic" w:hint="cs"/>
                <w:sz w:val="18"/>
                <w:rtl/>
              </w:rPr>
            </w:pPr>
            <w:r w:rsidRPr="007231CD">
              <w:rPr>
                <w:rFonts w:cs="Traditional Arabic" w:hint="cs"/>
                <w:sz w:val="18"/>
                <w:rtl/>
                <w:lang w:bidi="ar-EG"/>
              </w:rPr>
              <w:t>الدعم التقني</w:t>
            </w:r>
          </w:p>
        </w:tc>
        <w:tc>
          <w:tcPr>
            <w:tcW w:w="2835" w:type="dxa"/>
            <w:shd w:val="clear" w:color="auto" w:fill="auto"/>
          </w:tcPr>
          <w:p w:rsidR="009C120D" w:rsidRPr="007231CD" w:rsidRDefault="00F60E47" w:rsidP="007231CD">
            <w:pPr>
              <w:spacing w:before="60" w:after="60" w:line="360" w:lineRule="exact"/>
              <w:jc w:val="both"/>
              <w:rPr>
                <w:rFonts w:cs="Traditional Arabic" w:hint="cs"/>
                <w:sz w:val="18"/>
                <w:rtl/>
                <w:lang w:bidi="ar-EG"/>
              </w:rPr>
            </w:pPr>
            <w:r w:rsidRPr="007231CD">
              <w:rPr>
                <w:rFonts w:cs="Traditional Arabic" w:hint="cs"/>
                <w:sz w:val="18"/>
                <w:rtl/>
                <w:lang w:bidi="ar-EG"/>
              </w:rPr>
              <w:t>ما يعادل وظيفة متفرغ من الفئة الفنية</w:t>
            </w:r>
            <w:r w:rsidR="009C120D" w:rsidRPr="007231CD">
              <w:rPr>
                <w:rFonts w:cs="Traditional Arabic" w:hint="cs"/>
                <w:sz w:val="18"/>
                <w:rtl/>
                <w:lang w:bidi="ar-EG"/>
              </w:rPr>
              <w:t xml:space="preserve"> (25 بالمائة </w:t>
            </w:r>
            <w:r w:rsidR="003A5FE1" w:rsidRPr="007231CD">
              <w:rPr>
                <w:rFonts w:cs="Traditional Arabic" w:hint="cs"/>
                <w:sz w:val="18"/>
                <w:rtl/>
                <w:lang w:bidi="ar-EG"/>
              </w:rPr>
              <w:t>عينية</w:t>
            </w:r>
            <w:r w:rsidR="009C120D" w:rsidRPr="007231CD">
              <w:rPr>
                <w:rFonts w:cs="Traditional Arabic" w:hint="cs"/>
                <w:sz w:val="18"/>
                <w:rtl/>
                <w:lang w:bidi="ar-EG"/>
              </w:rPr>
              <w:t>)</w:t>
            </w:r>
          </w:p>
        </w:tc>
        <w:tc>
          <w:tcPr>
            <w:tcW w:w="124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000</w:t>
            </w:r>
            <w:r w:rsidR="00A464F2">
              <w:rPr>
                <w:rFonts w:cs="Traditional Arabic" w:hint="cs"/>
                <w:sz w:val="18"/>
                <w:rtl/>
                <w:lang w:bidi="ar-EG"/>
              </w:rPr>
              <w:t xml:space="preserve"> </w:t>
            </w:r>
            <w:r w:rsidR="00A464F2" w:rsidRPr="007231CD">
              <w:rPr>
                <w:rFonts w:cs="Traditional Arabic" w:hint="cs"/>
                <w:sz w:val="18"/>
                <w:rtl/>
                <w:lang w:bidi="ar-EG"/>
              </w:rPr>
              <w:t>75</w:t>
            </w:r>
          </w:p>
        </w:tc>
      </w:tr>
      <w:tr w:rsidR="009C120D" w:rsidRPr="007231CD" w:rsidTr="0057523E">
        <w:tc>
          <w:tcPr>
            <w:tcW w:w="993" w:type="dxa"/>
            <w:vMerge w:val="restart"/>
            <w:shd w:val="clear" w:color="auto" w:fill="auto"/>
            <w:vAlign w:val="center"/>
          </w:tcPr>
          <w:p w:rsidR="009C120D" w:rsidRPr="007231CD" w:rsidRDefault="009C120D" w:rsidP="007231CD">
            <w:pPr>
              <w:spacing w:before="60" w:after="60" w:line="360" w:lineRule="exact"/>
              <w:rPr>
                <w:rFonts w:cs="Traditional Arabic" w:hint="cs"/>
                <w:sz w:val="18"/>
                <w:rtl/>
                <w:lang w:bidi="ar-EG"/>
              </w:rPr>
            </w:pPr>
            <w:r w:rsidRPr="007231CD">
              <w:rPr>
                <w:rFonts w:cs="Traditional Arabic" w:hint="cs"/>
                <w:sz w:val="18"/>
                <w:rtl/>
                <w:lang w:bidi="ar-EG"/>
              </w:rPr>
              <w:t>2016</w:t>
            </w:r>
          </w:p>
        </w:tc>
        <w:tc>
          <w:tcPr>
            <w:tcW w:w="340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مشاركة اثن</w:t>
            </w:r>
            <w:r w:rsidR="00C035DC" w:rsidRPr="007231CD">
              <w:rPr>
                <w:rFonts w:cs="Traditional Arabic" w:hint="cs"/>
                <w:sz w:val="18"/>
                <w:rtl/>
                <w:lang w:bidi="ar-EG"/>
              </w:rPr>
              <w:t>ي</w:t>
            </w:r>
            <w:r w:rsidRPr="007231CD">
              <w:rPr>
                <w:rFonts w:cs="Traditional Arabic" w:hint="cs"/>
                <w:sz w:val="18"/>
                <w:rtl/>
                <w:lang w:bidi="ar-EG"/>
              </w:rPr>
              <w:t>ن من الرؤساء المشاركين واثن</w:t>
            </w:r>
            <w:r w:rsidR="00C035DC" w:rsidRPr="007231CD">
              <w:rPr>
                <w:rFonts w:cs="Traditional Arabic" w:hint="cs"/>
                <w:sz w:val="18"/>
                <w:rtl/>
                <w:lang w:bidi="ar-EG"/>
              </w:rPr>
              <w:t>ي</w:t>
            </w:r>
            <w:r w:rsidRPr="007231CD">
              <w:rPr>
                <w:rFonts w:cs="Traditional Arabic" w:hint="cs"/>
                <w:sz w:val="18"/>
                <w:rtl/>
                <w:lang w:bidi="ar-EG"/>
              </w:rPr>
              <w:t>ن من المؤلفين الرئيسيين المنسقين في الدورة الرابعة للاجتماع العام</w:t>
            </w:r>
          </w:p>
        </w:tc>
        <w:tc>
          <w:tcPr>
            <w:tcW w:w="2835" w:type="dxa"/>
            <w:shd w:val="clear" w:color="auto" w:fill="auto"/>
          </w:tcPr>
          <w:p w:rsidR="009C120D" w:rsidRPr="007231CD" w:rsidRDefault="009C120D" w:rsidP="00A464F2">
            <w:pPr>
              <w:spacing w:before="60" w:after="60" w:line="360" w:lineRule="exact"/>
              <w:jc w:val="both"/>
              <w:rPr>
                <w:rFonts w:cs="Traditional Arabic" w:hint="cs"/>
                <w:sz w:val="18"/>
                <w:rtl/>
                <w:lang w:bidi="ar-EG"/>
              </w:rPr>
            </w:pPr>
            <w:r w:rsidRPr="007231CD">
              <w:rPr>
                <w:rFonts w:cs="Traditional Arabic" w:hint="cs"/>
                <w:sz w:val="18"/>
                <w:rtl/>
                <w:lang w:bidi="ar-EG"/>
              </w:rPr>
              <w:t xml:space="preserve">السفر وبدل الإقامة اليومي (3 × 3000 </w:t>
            </w:r>
            <w:r w:rsidR="00B552E6" w:rsidRPr="007231CD">
              <w:rPr>
                <w:rFonts w:cs="Traditional Arabic" w:hint="cs"/>
                <w:sz w:val="18"/>
                <w:rtl/>
                <w:lang w:bidi="ar-EG"/>
              </w:rPr>
              <w:t>دولار</w:t>
            </w:r>
            <w:r w:rsidRPr="007231CD">
              <w:rPr>
                <w:rFonts w:cs="Traditional Arabic" w:hint="cs"/>
                <w:sz w:val="18"/>
                <w:rtl/>
                <w:lang w:bidi="ar-EG"/>
              </w:rPr>
              <w:t>)</w:t>
            </w:r>
          </w:p>
        </w:tc>
        <w:tc>
          <w:tcPr>
            <w:tcW w:w="124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000</w:t>
            </w:r>
            <w:r w:rsidR="00A464F2">
              <w:rPr>
                <w:rFonts w:cs="Traditional Arabic" w:hint="cs"/>
                <w:sz w:val="18"/>
                <w:rtl/>
                <w:lang w:bidi="ar-EG"/>
              </w:rPr>
              <w:t xml:space="preserve"> </w:t>
            </w:r>
            <w:r w:rsidR="00A464F2" w:rsidRPr="007231CD">
              <w:rPr>
                <w:rFonts w:cs="Traditional Arabic" w:hint="cs"/>
                <w:sz w:val="18"/>
                <w:rtl/>
                <w:lang w:bidi="ar-EG"/>
              </w:rPr>
              <w:t>9</w:t>
            </w:r>
          </w:p>
        </w:tc>
      </w:tr>
      <w:tr w:rsidR="009C120D" w:rsidRPr="007231CD" w:rsidTr="0057523E">
        <w:tc>
          <w:tcPr>
            <w:tcW w:w="993" w:type="dxa"/>
            <w:vMerge/>
            <w:shd w:val="clear" w:color="auto" w:fill="auto"/>
          </w:tcPr>
          <w:p w:rsidR="009C120D" w:rsidRPr="007231CD" w:rsidRDefault="009C120D" w:rsidP="007231CD">
            <w:pPr>
              <w:spacing w:before="60" w:after="60" w:line="360" w:lineRule="exact"/>
              <w:jc w:val="both"/>
              <w:rPr>
                <w:rFonts w:cs="Traditional Arabic" w:hint="cs"/>
                <w:sz w:val="18"/>
                <w:rtl/>
                <w:lang w:bidi="ar-EG"/>
              </w:rPr>
            </w:pPr>
          </w:p>
        </w:tc>
        <w:tc>
          <w:tcPr>
            <w:tcW w:w="3402" w:type="dxa"/>
            <w:shd w:val="clear" w:color="auto" w:fill="auto"/>
          </w:tcPr>
          <w:p w:rsidR="009C120D" w:rsidRPr="007231CD" w:rsidRDefault="00C035DC" w:rsidP="00301D0E">
            <w:pPr>
              <w:spacing w:before="60" w:after="60" w:line="360" w:lineRule="exact"/>
              <w:jc w:val="both"/>
              <w:rPr>
                <w:rFonts w:cs="Traditional Arabic" w:hint="cs"/>
                <w:sz w:val="18"/>
                <w:rtl/>
                <w:lang w:bidi="ar-EG"/>
              </w:rPr>
            </w:pPr>
            <w:r w:rsidRPr="007231CD">
              <w:rPr>
                <w:rFonts w:cs="Traditional Arabic" w:hint="cs"/>
                <w:sz w:val="18"/>
                <w:rtl/>
                <w:lang w:bidi="ar-EG"/>
              </w:rPr>
              <w:t xml:space="preserve">التوزيع والتوعية </w:t>
            </w:r>
            <w:r w:rsidR="009C120D" w:rsidRPr="007231CD">
              <w:rPr>
                <w:rFonts w:cs="Traditional Arabic" w:hint="cs"/>
                <w:sz w:val="18"/>
                <w:rtl/>
                <w:lang w:bidi="ar-EG"/>
              </w:rPr>
              <w:t xml:space="preserve">(موجز </w:t>
            </w:r>
            <w:r w:rsidR="00301D0E">
              <w:rPr>
                <w:rFonts w:cs="Traditional Arabic" w:hint="cs"/>
                <w:sz w:val="18"/>
                <w:rtl/>
                <w:lang w:bidi="ar-EG"/>
              </w:rPr>
              <w:t>لمقرري</w:t>
            </w:r>
            <w:r w:rsidR="009C120D" w:rsidRPr="007231CD">
              <w:rPr>
                <w:rFonts w:cs="Traditional Arabic" w:hint="cs"/>
                <w:sz w:val="18"/>
                <w:rtl/>
                <w:lang w:bidi="ar-EG"/>
              </w:rPr>
              <w:t xml:space="preserve"> السياسات) (10 صفحات) + تقرير (200 صفحة)) </w:t>
            </w:r>
          </w:p>
        </w:tc>
        <w:tc>
          <w:tcPr>
            <w:tcW w:w="2835" w:type="dxa"/>
            <w:shd w:val="clear" w:color="auto" w:fill="auto"/>
          </w:tcPr>
          <w:p w:rsidR="009C120D" w:rsidRPr="007231CD" w:rsidRDefault="00C035DC" w:rsidP="00301D0E">
            <w:pPr>
              <w:spacing w:before="60" w:after="60" w:line="360" w:lineRule="exact"/>
              <w:jc w:val="both"/>
              <w:rPr>
                <w:rFonts w:cs="Traditional Arabic" w:hint="cs"/>
                <w:sz w:val="18"/>
                <w:rtl/>
                <w:lang w:bidi="ar-EG"/>
              </w:rPr>
            </w:pPr>
            <w:r w:rsidRPr="007231CD">
              <w:rPr>
                <w:rFonts w:cs="Traditional Arabic" w:hint="cs"/>
                <w:sz w:val="18"/>
                <w:rtl/>
                <w:lang w:bidi="ar-EG"/>
              </w:rPr>
              <w:t xml:space="preserve">ترجمة </w:t>
            </w:r>
            <w:r w:rsidR="009C120D" w:rsidRPr="007231CD">
              <w:rPr>
                <w:rFonts w:cs="Traditional Arabic" w:hint="cs"/>
                <w:sz w:val="18"/>
                <w:rtl/>
                <w:lang w:bidi="ar-EG"/>
              </w:rPr>
              <w:t xml:space="preserve">الموجز </w:t>
            </w:r>
            <w:r w:rsidR="00301D0E">
              <w:rPr>
                <w:rFonts w:cs="Traditional Arabic" w:hint="cs"/>
                <w:sz w:val="18"/>
                <w:rtl/>
                <w:lang w:bidi="ar-EG"/>
              </w:rPr>
              <w:t>لمقرري</w:t>
            </w:r>
            <w:r w:rsidR="009C120D" w:rsidRPr="007231CD">
              <w:rPr>
                <w:rFonts w:cs="Traditional Arabic" w:hint="cs"/>
                <w:sz w:val="18"/>
                <w:rtl/>
                <w:lang w:bidi="ar-EG"/>
              </w:rPr>
              <w:t xml:space="preserve"> السياسات بجميع لغات الأمم المتحدة الرسمية </w:t>
            </w:r>
            <w:r w:rsidR="00E74D45" w:rsidRPr="007231CD">
              <w:rPr>
                <w:rFonts w:cs="Traditional Arabic" w:hint="cs"/>
                <w:sz w:val="18"/>
                <w:rtl/>
                <w:lang w:bidi="ar-EG"/>
              </w:rPr>
              <w:t>النشر</w:t>
            </w:r>
            <w:r w:rsidRPr="007231CD">
              <w:rPr>
                <w:rFonts w:cs="Traditional Arabic" w:hint="cs"/>
                <w:sz w:val="18"/>
                <w:rtl/>
                <w:lang w:bidi="ar-EG"/>
              </w:rPr>
              <w:t xml:space="preserve"> والتوعية</w:t>
            </w:r>
            <w:r w:rsidR="009C120D" w:rsidRPr="007231CD">
              <w:rPr>
                <w:rFonts w:cs="Traditional Arabic" w:hint="cs"/>
                <w:sz w:val="18"/>
                <w:rtl/>
                <w:lang w:bidi="ar-EG"/>
              </w:rPr>
              <w:t>)</w:t>
            </w:r>
          </w:p>
        </w:tc>
        <w:tc>
          <w:tcPr>
            <w:tcW w:w="1242" w:type="dxa"/>
            <w:shd w:val="clear" w:color="auto" w:fill="auto"/>
          </w:tcPr>
          <w:p w:rsidR="009C120D" w:rsidRPr="007231CD" w:rsidRDefault="009C120D" w:rsidP="007231CD">
            <w:pPr>
              <w:spacing w:before="60" w:after="60" w:line="360" w:lineRule="exact"/>
              <w:jc w:val="both"/>
              <w:rPr>
                <w:rFonts w:cs="Traditional Arabic" w:hint="cs"/>
                <w:sz w:val="18"/>
                <w:rtl/>
                <w:lang w:bidi="ar-EG"/>
              </w:rPr>
            </w:pPr>
            <w:r w:rsidRPr="007231CD">
              <w:rPr>
                <w:rFonts w:cs="Traditional Arabic" w:hint="cs"/>
                <w:sz w:val="18"/>
                <w:rtl/>
                <w:lang w:bidi="ar-EG"/>
              </w:rPr>
              <w:t>000</w:t>
            </w:r>
            <w:r w:rsidR="00A464F2">
              <w:rPr>
                <w:rFonts w:cs="Traditional Arabic" w:hint="cs"/>
                <w:sz w:val="18"/>
                <w:rtl/>
                <w:lang w:bidi="ar-EG"/>
              </w:rPr>
              <w:t xml:space="preserve"> </w:t>
            </w:r>
            <w:r w:rsidR="00A464F2" w:rsidRPr="007231CD">
              <w:rPr>
                <w:rFonts w:cs="Traditional Arabic" w:hint="cs"/>
                <w:sz w:val="18"/>
                <w:rtl/>
                <w:lang w:bidi="ar-EG"/>
              </w:rPr>
              <w:t>117</w:t>
            </w:r>
          </w:p>
        </w:tc>
      </w:tr>
      <w:tr w:rsidR="009C120D" w:rsidRPr="007231CD" w:rsidTr="0057523E">
        <w:tc>
          <w:tcPr>
            <w:tcW w:w="993" w:type="dxa"/>
            <w:shd w:val="clear" w:color="auto" w:fill="auto"/>
          </w:tcPr>
          <w:p w:rsidR="009C120D" w:rsidRPr="007231CD" w:rsidRDefault="009C120D" w:rsidP="007231CD">
            <w:pPr>
              <w:spacing w:before="60" w:after="60" w:line="360" w:lineRule="exact"/>
              <w:jc w:val="both"/>
              <w:rPr>
                <w:rFonts w:cs="Traditional Arabic" w:hint="cs"/>
                <w:b/>
                <w:bCs/>
                <w:sz w:val="18"/>
                <w:rtl/>
                <w:lang w:bidi="ar-EG"/>
              </w:rPr>
            </w:pPr>
            <w:r w:rsidRPr="007231CD">
              <w:rPr>
                <w:rFonts w:cs="Traditional Arabic" w:hint="cs"/>
                <w:b/>
                <w:bCs/>
                <w:sz w:val="18"/>
                <w:rtl/>
                <w:lang w:bidi="ar-EG"/>
              </w:rPr>
              <w:t>المجموع</w:t>
            </w:r>
          </w:p>
        </w:tc>
        <w:tc>
          <w:tcPr>
            <w:tcW w:w="3402" w:type="dxa"/>
            <w:shd w:val="clear" w:color="auto" w:fill="auto"/>
          </w:tcPr>
          <w:p w:rsidR="009C120D" w:rsidRPr="007231CD" w:rsidRDefault="009C120D" w:rsidP="007231CD">
            <w:pPr>
              <w:spacing w:before="60" w:after="60" w:line="360" w:lineRule="exact"/>
              <w:jc w:val="both"/>
              <w:rPr>
                <w:rFonts w:cs="Traditional Arabic" w:hint="cs"/>
                <w:b/>
                <w:bCs/>
                <w:sz w:val="18"/>
                <w:rtl/>
                <w:lang w:bidi="ar-EG"/>
              </w:rPr>
            </w:pPr>
          </w:p>
        </w:tc>
        <w:tc>
          <w:tcPr>
            <w:tcW w:w="2835" w:type="dxa"/>
            <w:shd w:val="clear" w:color="auto" w:fill="auto"/>
          </w:tcPr>
          <w:p w:rsidR="009C120D" w:rsidRPr="007231CD" w:rsidRDefault="009C120D" w:rsidP="007231CD">
            <w:pPr>
              <w:spacing w:before="60" w:after="60" w:line="360" w:lineRule="exact"/>
              <w:jc w:val="both"/>
              <w:rPr>
                <w:rFonts w:cs="Traditional Arabic" w:hint="cs"/>
                <w:b/>
                <w:bCs/>
                <w:sz w:val="18"/>
                <w:rtl/>
                <w:lang w:bidi="ar-EG"/>
              </w:rPr>
            </w:pPr>
          </w:p>
        </w:tc>
        <w:tc>
          <w:tcPr>
            <w:tcW w:w="1242" w:type="dxa"/>
            <w:shd w:val="clear" w:color="auto" w:fill="auto"/>
          </w:tcPr>
          <w:p w:rsidR="009C120D" w:rsidRPr="007231CD" w:rsidRDefault="009C120D" w:rsidP="007231CD">
            <w:pPr>
              <w:spacing w:before="60" w:after="60" w:line="360" w:lineRule="exact"/>
              <w:jc w:val="both"/>
              <w:rPr>
                <w:rFonts w:cs="Traditional Arabic" w:hint="cs"/>
                <w:b/>
                <w:bCs/>
                <w:sz w:val="18"/>
                <w:rtl/>
                <w:lang w:bidi="ar-EG"/>
              </w:rPr>
            </w:pPr>
            <w:r w:rsidRPr="007231CD">
              <w:rPr>
                <w:rFonts w:cs="Traditional Arabic" w:hint="cs"/>
                <w:b/>
                <w:bCs/>
                <w:sz w:val="18"/>
                <w:rtl/>
                <w:lang w:bidi="ar-EG"/>
              </w:rPr>
              <w:t>000</w:t>
            </w:r>
            <w:r w:rsidR="00A464F2">
              <w:rPr>
                <w:rFonts w:cs="Traditional Arabic" w:hint="cs"/>
                <w:b/>
                <w:bCs/>
                <w:sz w:val="18"/>
                <w:rtl/>
                <w:lang w:bidi="ar-EG"/>
              </w:rPr>
              <w:t xml:space="preserve"> </w:t>
            </w:r>
            <w:r w:rsidR="00A464F2" w:rsidRPr="007231CD">
              <w:rPr>
                <w:rFonts w:cs="Traditional Arabic" w:hint="cs"/>
                <w:b/>
                <w:bCs/>
                <w:sz w:val="18"/>
                <w:rtl/>
                <w:lang w:bidi="ar-EG"/>
              </w:rPr>
              <w:t>996</w:t>
            </w:r>
          </w:p>
        </w:tc>
      </w:tr>
    </w:tbl>
    <w:p w:rsidR="009C120D" w:rsidRDefault="009C120D" w:rsidP="008C0F2F">
      <w:pPr>
        <w:spacing w:before="120" w:after="120" w:line="400" w:lineRule="exact"/>
        <w:jc w:val="both"/>
        <w:rPr>
          <w:rFonts w:cs="Traditional Arabic" w:hint="cs"/>
          <w:sz w:val="30"/>
          <w:szCs w:val="30"/>
          <w:rtl/>
          <w:lang w:bidi="ar-EG"/>
        </w:rPr>
      </w:pPr>
    </w:p>
    <w:p w:rsidR="007231CD" w:rsidRPr="007231CD" w:rsidRDefault="00B512CD" w:rsidP="007231CD">
      <w:pPr>
        <w:pStyle w:val="NormalNonumber"/>
        <w:bidi/>
        <w:spacing w:before="360"/>
        <w:ind w:left="0"/>
        <w:rPr>
          <w:rFonts w:cs="Traditional Arabic"/>
          <w:b/>
          <w:bCs/>
          <w:sz w:val="32"/>
          <w:szCs w:val="32"/>
          <w:lang w:bidi="ar-EG"/>
        </w:rPr>
      </w:pPr>
      <w:r>
        <w:rPr>
          <w:rFonts w:cs="Traditional Arabic"/>
          <w:b/>
          <w:bCs/>
          <w:sz w:val="32"/>
          <w:szCs w:val="32"/>
          <w:rtl/>
          <w:lang w:bidi="ar-EG"/>
        </w:rPr>
        <w:br w:type="page"/>
      </w:r>
      <w:r w:rsidR="009C120D">
        <w:rPr>
          <w:rFonts w:cs="Traditional Arabic" w:hint="cs"/>
          <w:b/>
          <w:bCs/>
          <w:sz w:val="32"/>
          <w:szCs w:val="32"/>
          <w:rtl/>
          <w:lang w:bidi="ar-EG"/>
        </w:rPr>
        <w:lastRenderedPageBreak/>
        <w:t>المراجع</w:t>
      </w:r>
    </w:p>
    <w:p w:rsidR="007231CD" w:rsidRPr="00C062F0" w:rsidRDefault="007231CD" w:rsidP="007231CD">
      <w:pPr>
        <w:pStyle w:val="NormalNonumber"/>
        <w:spacing w:before="360"/>
        <w:ind w:left="0" w:right="707"/>
        <w:rPr>
          <w:lang w:val="en-GB"/>
        </w:rPr>
      </w:pPr>
      <w:r w:rsidRPr="00C062F0">
        <w:rPr>
          <w:lang w:val="en-GB"/>
        </w:rPr>
        <w:t xml:space="preserve">Liaison Group of Biodiversity-related Conventions. Addis Ababa Principles and Guidelines (AAPG), interactive CD-ROM. Available at: </w:t>
      </w:r>
      <w:hyperlink r:id="rId11" w:history="1">
        <w:r w:rsidRPr="00C062F0">
          <w:rPr>
            <w:lang w:val="en-GB"/>
          </w:rPr>
          <w:t>https://www.cbd.int/doc/programmes/socio-eco/use/aagp/AAGP.zip</w:t>
        </w:r>
      </w:hyperlink>
      <w:r w:rsidRPr="00C062F0">
        <w:rPr>
          <w:lang w:val="en-GB"/>
        </w:rPr>
        <w:t xml:space="preserve">. </w:t>
      </w:r>
    </w:p>
    <w:p w:rsidR="007231CD" w:rsidRPr="00C062F0" w:rsidRDefault="007231CD" w:rsidP="007231CD">
      <w:pPr>
        <w:pStyle w:val="NormalNonumber"/>
        <w:ind w:left="0" w:right="707"/>
        <w:rPr>
          <w:i/>
          <w:iCs/>
          <w:lang w:val="en-GB"/>
        </w:rPr>
      </w:pPr>
      <w:r w:rsidRPr="00C062F0">
        <w:rPr>
          <w:lang w:val="en-GB"/>
        </w:rPr>
        <w:t xml:space="preserve">CITES document CoP16 Doc. 33 (Rev. 1). Draft guidance on the making of non-detriment findings, Annex 3: http://www.cites.org/eng/cop/16/doc/E-CoP16-33.pdf. </w:t>
      </w:r>
    </w:p>
    <w:p w:rsidR="007231CD" w:rsidRPr="00C062F0" w:rsidRDefault="007231CD" w:rsidP="007231CD">
      <w:pPr>
        <w:pStyle w:val="NormalNonumber"/>
        <w:ind w:left="0" w:right="707"/>
        <w:rPr>
          <w:lang w:val="en-GB"/>
        </w:rPr>
      </w:pPr>
      <w:r w:rsidRPr="00C062F0">
        <w:rPr>
          <w:lang w:val="en-GB"/>
        </w:rPr>
        <w:t xml:space="preserve">CITES Appendices: </w:t>
      </w:r>
      <w:hyperlink r:id="rId12" w:history="1">
        <w:r w:rsidRPr="00C062F0">
          <w:rPr>
            <w:lang w:val="en-GB"/>
          </w:rPr>
          <w:t>http://www.cites.org/eng/app/appendices.php</w:t>
        </w:r>
      </w:hyperlink>
      <w:r w:rsidRPr="00C062F0">
        <w:rPr>
          <w:lang w:val="en-GB"/>
        </w:rPr>
        <w:t>.</w:t>
      </w:r>
    </w:p>
    <w:p w:rsidR="007231CD" w:rsidRPr="00C062F0" w:rsidRDefault="007231CD" w:rsidP="007231CD">
      <w:pPr>
        <w:pStyle w:val="NormalNonumber"/>
        <w:ind w:left="0" w:right="707"/>
        <w:rPr>
          <w:lang w:val="en-GB"/>
        </w:rPr>
      </w:pPr>
      <w:r w:rsidRPr="00C062F0">
        <w:rPr>
          <w:lang w:val="en-GB"/>
        </w:rPr>
        <w:t xml:space="preserve">CITES Resolution Conf. 16.6. CITES and livelihoods. </w:t>
      </w:r>
      <w:hyperlink r:id="rId13" w:history="1">
        <w:r w:rsidRPr="00C062F0">
          <w:rPr>
            <w:lang w:val="en-GB"/>
          </w:rPr>
          <w:t>http://www.cites.org/eng/res/16/16-06.php</w:t>
        </w:r>
      </w:hyperlink>
      <w:r w:rsidRPr="00C062F0">
        <w:rPr>
          <w:lang w:val="en-GB"/>
        </w:rPr>
        <w:t>.</w:t>
      </w:r>
    </w:p>
    <w:p w:rsidR="007231CD" w:rsidRPr="00C062F0" w:rsidRDefault="007231CD" w:rsidP="007231CD">
      <w:pPr>
        <w:pStyle w:val="NormalNonumber"/>
        <w:ind w:left="0" w:right="707"/>
        <w:rPr>
          <w:lang w:val="en-GB"/>
        </w:rPr>
      </w:pPr>
      <w:r w:rsidRPr="00C062F0">
        <w:rPr>
          <w:lang w:val="en-GB"/>
        </w:rPr>
        <w:t xml:space="preserve">CITES Resolution Conf. 16.7. Non-detriment findings. </w:t>
      </w:r>
      <w:hyperlink r:id="rId14" w:history="1">
        <w:r w:rsidRPr="00C062F0">
          <w:rPr>
            <w:rStyle w:val="Hyperlink"/>
            <w:lang w:val="en-GB"/>
          </w:rPr>
          <w:t>http://www.cites.org/eng/res/16/16-07.php</w:t>
        </w:r>
      </w:hyperlink>
      <w:r w:rsidRPr="00C062F0">
        <w:rPr>
          <w:rStyle w:val="Hyperlink"/>
          <w:lang w:val="en-GB"/>
        </w:rPr>
        <w:t>.</w:t>
      </w:r>
    </w:p>
    <w:p w:rsidR="007231CD" w:rsidRPr="00C062F0" w:rsidRDefault="007231CD" w:rsidP="007231CD">
      <w:pPr>
        <w:pStyle w:val="NormalNonumber"/>
        <w:ind w:left="0" w:right="707"/>
        <w:rPr>
          <w:i/>
          <w:iCs/>
          <w:lang w:val="en-GB"/>
        </w:rPr>
      </w:pPr>
      <w:r w:rsidRPr="00C062F0">
        <w:rPr>
          <w:lang w:val="en-GB"/>
        </w:rPr>
        <w:t xml:space="preserve">Matthew J. Smith and others, “Assessing the impacts of international trade on CITES-listed species: Current practices and opportunities for scientific research”, </w:t>
      </w:r>
      <w:r w:rsidRPr="00C062F0">
        <w:rPr>
          <w:i/>
          <w:lang w:val="en-GB"/>
        </w:rPr>
        <w:t xml:space="preserve">Biological Conservation, </w:t>
      </w:r>
      <w:r w:rsidRPr="00C062F0">
        <w:rPr>
          <w:lang w:val="en-GB"/>
        </w:rPr>
        <w:t>vol. 144, no.1 (2011), pp. 82–91.</w:t>
      </w:r>
    </w:p>
    <w:p w:rsidR="007231CD" w:rsidRPr="00C062F0" w:rsidRDefault="007231CD" w:rsidP="007231CD">
      <w:pPr>
        <w:pStyle w:val="NormalNonumber"/>
        <w:ind w:left="0" w:right="707"/>
        <w:rPr>
          <w:rStyle w:val="Hyperlink"/>
          <w:lang w:val="en-GB"/>
        </w:rPr>
      </w:pPr>
      <w:r w:rsidRPr="00C062F0">
        <w:rPr>
          <w:lang w:val="en-GB"/>
        </w:rPr>
        <w:t xml:space="preserve">Cancun international expert workshop on CITES non-detriment findings (2008) website: </w:t>
      </w:r>
      <w:hyperlink r:id="rId15" w:history="1">
        <w:r w:rsidRPr="00C062F0">
          <w:rPr>
            <w:rStyle w:val="Hyperlink"/>
            <w:lang w:val="en-GB"/>
          </w:rPr>
          <w:t>http://www.conabio.gob.mx/institucion/cooperacion_internacional/TallerNDF/taller_ndf.html</w:t>
        </w:r>
      </w:hyperlink>
      <w:r w:rsidRPr="00C062F0">
        <w:rPr>
          <w:rStyle w:val="Hyperlink"/>
          <w:lang w:val="en-GB"/>
        </w:rPr>
        <w:t>.</w:t>
      </w:r>
    </w:p>
    <w:p w:rsidR="007231CD" w:rsidRPr="00A464F2" w:rsidRDefault="007231CD" w:rsidP="007231CD">
      <w:pPr>
        <w:pStyle w:val="NormalNonumber"/>
        <w:ind w:left="0" w:right="707"/>
        <w:rPr>
          <w:lang w:val="en-US"/>
        </w:rPr>
      </w:pPr>
      <w:r w:rsidRPr="00C062F0">
        <w:rPr>
          <w:lang w:val="en-GB"/>
        </w:rPr>
        <w:t xml:space="preserve">Updates of “non-detriment findings” section of the CITES website: </w:t>
      </w:r>
      <w:hyperlink r:id="rId16" w:history="1">
        <w:r w:rsidRPr="00C062F0">
          <w:rPr>
            <w:lang w:val="en-GB"/>
          </w:rPr>
          <w:t>http://www.cites.org/eng/prog/ndf/index.php</w:t>
        </w:r>
      </w:hyperlink>
      <w:r w:rsidRPr="00C062F0">
        <w:rPr>
          <w:lang w:val="en-GB"/>
        </w:rPr>
        <w:t xml:space="preserve">. </w:t>
      </w:r>
    </w:p>
    <w:p w:rsidR="007231CD" w:rsidRPr="00C062F0" w:rsidRDefault="007231CD" w:rsidP="007231CD">
      <w:pPr>
        <w:pStyle w:val="NormalNonumber"/>
        <w:ind w:left="0" w:right="707"/>
        <w:rPr>
          <w:lang w:val="en-GB"/>
        </w:rPr>
      </w:pPr>
      <w:r w:rsidRPr="00C062F0">
        <w:rPr>
          <w:lang w:val="en-GB"/>
        </w:rPr>
        <w:t xml:space="preserve">International Consortium on Combating Wildlife Crime (ICCWC), “Wildlife and forest crime analytic toolkit”, available from the CITES website at: </w:t>
      </w:r>
      <w:hyperlink r:id="rId17" w:history="1">
        <w:r w:rsidRPr="00C062F0">
          <w:rPr>
            <w:lang w:val="en-GB"/>
          </w:rPr>
          <w:t>www.cites.org/common/resources/pub/ICCWC_Toolkit_v2_english.pdf</w:t>
        </w:r>
      </w:hyperlink>
      <w:r w:rsidRPr="00C062F0">
        <w:rPr>
          <w:lang w:val="en-GB"/>
        </w:rPr>
        <w:t>.</w:t>
      </w:r>
    </w:p>
    <w:p w:rsidR="002323CD" w:rsidRPr="007231CD" w:rsidRDefault="007231CD" w:rsidP="007231CD">
      <w:pPr>
        <w:pStyle w:val="NormalNonumber"/>
        <w:ind w:left="0" w:right="707"/>
        <w:rPr>
          <w:rFonts w:hint="cs"/>
          <w:rtl/>
          <w:lang w:val="en-GB"/>
        </w:rPr>
      </w:pPr>
      <w:r w:rsidRPr="00C062F0">
        <w:rPr>
          <w:lang w:val="en-GB"/>
        </w:rPr>
        <w:t xml:space="preserve">Rio Declaration on Environment and Development. Rio de Janeiro, </w:t>
      </w:r>
      <w:r w:rsidRPr="007231CD">
        <w:rPr>
          <w:lang w:val="en-GB"/>
        </w:rPr>
        <w:t>Report of the United Nations Conference on Environment and Development, Rio de Janeiro, 3–14 June 1992, vol. I, Resolutions Adopted by the Conference (United Nations publication, Sales No. E.93.I.8 and corrigendum), resolution 1, annex I.</w:t>
      </w:r>
    </w:p>
    <w:p w:rsidR="00451ABD" w:rsidRPr="00A464F2" w:rsidRDefault="00A464F2" w:rsidP="00A464F2">
      <w:pPr>
        <w:spacing w:after="120" w:line="400" w:lineRule="exact"/>
        <w:ind w:left="1440" w:firstLine="432"/>
        <w:jc w:val="center"/>
        <w:rPr>
          <w:rFonts w:cs="Traditional Arabic" w:hint="cs"/>
          <w:sz w:val="30"/>
          <w:szCs w:val="30"/>
          <w:rtl/>
        </w:rPr>
      </w:pPr>
      <w:r>
        <w:rPr>
          <w:rFonts w:cs="Traditional Arabic" w:hint="cs"/>
          <w:sz w:val="30"/>
          <w:szCs w:val="30"/>
          <w:u w:val="single"/>
          <w:rtl/>
        </w:rPr>
        <w:tab/>
      </w:r>
      <w:r>
        <w:rPr>
          <w:rFonts w:cs="Traditional Arabic" w:hint="cs"/>
          <w:sz w:val="30"/>
          <w:szCs w:val="30"/>
          <w:u w:val="single"/>
          <w:rtl/>
        </w:rPr>
        <w:tab/>
      </w:r>
      <w:r>
        <w:rPr>
          <w:rFonts w:cs="Traditional Arabic" w:hint="cs"/>
          <w:sz w:val="30"/>
          <w:szCs w:val="30"/>
          <w:u w:val="single"/>
          <w:rtl/>
        </w:rPr>
        <w:tab/>
      </w:r>
    </w:p>
    <w:sectPr w:rsidR="00451ABD" w:rsidRPr="00A464F2" w:rsidSect="00955980">
      <w:headerReference w:type="even" r:id="rId18"/>
      <w:headerReference w:type="default" r:id="rId19"/>
      <w:footerReference w:type="even" r:id="rId20"/>
      <w:footerReference w:type="default" r:id="rId21"/>
      <w:headerReference w:type="first" r:id="rId22"/>
      <w:footerReference w:type="first" r:id="rId23"/>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47" w:rsidRDefault="00E12747">
      <w:r>
        <w:separator/>
      </w:r>
    </w:p>
  </w:endnote>
  <w:endnote w:type="continuationSeparator" w:id="0">
    <w:p w:rsidR="00E12747" w:rsidRDefault="00E1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01" w:rsidRPr="00B86C1A" w:rsidRDefault="00934201"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1840E6">
      <w:rPr>
        <w:rStyle w:val="PageNumber"/>
        <w:rFonts w:ascii="Times New Roman" w:hAnsi="Times New Roman" w:cs="Times New Roman"/>
        <w:sz w:val="18"/>
        <w:szCs w:val="18"/>
      </w:rPr>
      <w:t>6</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01" w:rsidRPr="00B86C1A" w:rsidRDefault="00934201"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1840E6">
      <w:rPr>
        <w:rStyle w:val="PageNumber"/>
        <w:rFonts w:ascii="Times New Roman" w:hAnsi="Times New Roman" w:cs="Times New Roman"/>
        <w:sz w:val="18"/>
        <w:szCs w:val="18"/>
      </w:rPr>
      <w:t>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01" w:rsidRDefault="00934201" w:rsidP="00D20590">
    <w:pPr>
      <w:pStyle w:val="Footer"/>
      <w:tabs>
        <w:tab w:val="clear" w:pos="4153"/>
        <w:tab w:val="clear" w:pos="8306"/>
      </w:tabs>
      <w:jc w:val="left"/>
    </w:pPr>
    <w:r>
      <w:rPr>
        <w:rStyle w:val="PageNumber"/>
      </w:rPr>
      <w:t>K1353332</w:t>
    </w:r>
    <w:r>
      <w:rPr>
        <w:rStyle w:val="PageNumber"/>
      </w:rPr>
      <w:tab/>
      <w:t>311013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47" w:rsidRDefault="00E12747" w:rsidP="00684243">
      <w:pPr>
        <w:ind w:left="720"/>
      </w:pPr>
      <w:r>
        <w:separator/>
      </w:r>
    </w:p>
  </w:footnote>
  <w:footnote w:type="continuationSeparator" w:id="0">
    <w:p w:rsidR="00E12747" w:rsidRDefault="00E12747">
      <w:r>
        <w:continuationSeparator/>
      </w:r>
    </w:p>
  </w:footnote>
  <w:footnote w:id="1">
    <w:p w:rsidR="00934201" w:rsidRPr="009E46DF" w:rsidRDefault="00934201" w:rsidP="00B86C1A">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01" w:rsidRPr="00B86C1A" w:rsidRDefault="00934201" w:rsidP="008C0F2F">
    <w:pPr>
      <w:pBdr>
        <w:bottom w:val="single" w:sz="4" w:space="0" w:color="auto"/>
      </w:pBdr>
      <w:spacing w:before="20" w:after="40" w:line="180" w:lineRule="exact"/>
      <w:rPr>
        <w:rFonts w:hint="cs"/>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16/Add.6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01" w:rsidRPr="00B86C1A" w:rsidRDefault="00934201" w:rsidP="008C0F2F">
    <w:pPr>
      <w:pBdr>
        <w:bottom w:val="single" w:sz="4" w:space="1" w:color="auto"/>
      </w:pBdr>
      <w:bidi w:val="0"/>
      <w:spacing w:before="20" w:after="40" w:line="180" w:lineRule="exact"/>
      <w:rPr>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16/Add.6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01" w:rsidRDefault="00934201" w:rsidP="00955980">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3131F"/>
    <w:rsid w:val="00033595"/>
    <w:rsid w:val="00033A5C"/>
    <w:rsid w:val="0006021A"/>
    <w:rsid w:val="0008088A"/>
    <w:rsid w:val="000844F9"/>
    <w:rsid w:val="000C6AF1"/>
    <w:rsid w:val="000C72D5"/>
    <w:rsid w:val="000F083C"/>
    <w:rsid w:val="000F39C0"/>
    <w:rsid w:val="000F712A"/>
    <w:rsid w:val="00102A11"/>
    <w:rsid w:val="00111DDA"/>
    <w:rsid w:val="0012040B"/>
    <w:rsid w:val="001223A2"/>
    <w:rsid w:val="00124CC4"/>
    <w:rsid w:val="00131CE1"/>
    <w:rsid w:val="001336CA"/>
    <w:rsid w:val="001367EA"/>
    <w:rsid w:val="001368B8"/>
    <w:rsid w:val="0014278C"/>
    <w:rsid w:val="00153644"/>
    <w:rsid w:val="00154CC2"/>
    <w:rsid w:val="00165BE3"/>
    <w:rsid w:val="0017427B"/>
    <w:rsid w:val="00177C0C"/>
    <w:rsid w:val="00182EA2"/>
    <w:rsid w:val="001840E6"/>
    <w:rsid w:val="001841AD"/>
    <w:rsid w:val="001844E3"/>
    <w:rsid w:val="00186DE2"/>
    <w:rsid w:val="001A0F83"/>
    <w:rsid w:val="001A55A3"/>
    <w:rsid w:val="001B03D9"/>
    <w:rsid w:val="001D3A25"/>
    <w:rsid w:val="001E4795"/>
    <w:rsid w:val="001E6E8E"/>
    <w:rsid w:val="001F0C9C"/>
    <w:rsid w:val="001F171C"/>
    <w:rsid w:val="001F390D"/>
    <w:rsid w:val="002079F8"/>
    <w:rsid w:val="0021731E"/>
    <w:rsid w:val="0023160B"/>
    <w:rsid w:val="002323CD"/>
    <w:rsid w:val="00233B53"/>
    <w:rsid w:val="00260C3B"/>
    <w:rsid w:val="00261451"/>
    <w:rsid w:val="00267DA8"/>
    <w:rsid w:val="00295FE3"/>
    <w:rsid w:val="002B14DB"/>
    <w:rsid w:val="002C60AD"/>
    <w:rsid w:val="002D1E19"/>
    <w:rsid w:val="002E7390"/>
    <w:rsid w:val="002F11C2"/>
    <w:rsid w:val="002F74A0"/>
    <w:rsid w:val="00301D0E"/>
    <w:rsid w:val="00317E61"/>
    <w:rsid w:val="003501E1"/>
    <w:rsid w:val="003553DB"/>
    <w:rsid w:val="00355F81"/>
    <w:rsid w:val="0038322E"/>
    <w:rsid w:val="00386BD3"/>
    <w:rsid w:val="00390CD8"/>
    <w:rsid w:val="003923ED"/>
    <w:rsid w:val="00397363"/>
    <w:rsid w:val="003A5FE1"/>
    <w:rsid w:val="003B507C"/>
    <w:rsid w:val="003D355A"/>
    <w:rsid w:val="003E4E41"/>
    <w:rsid w:val="003F65A7"/>
    <w:rsid w:val="003F77FF"/>
    <w:rsid w:val="0040218B"/>
    <w:rsid w:val="00405211"/>
    <w:rsid w:val="00420ACB"/>
    <w:rsid w:val="00451081"/>
    <w:rsid w:val="00451ABD"/>
    <w:rsid w:val="004606CA"/>
    <w:rsid w:val="00472C66"/>
    <w:rsid w:val="00473634"/>
    <w:rsid w:val="00485260"/>
    <w:rsid w:val="004916B5"/>
    <w:rsid w:val="00495361"/>
    <w:rsid w:val="004B0A17"/>
    <w:rsid w:val="004B5FE3"/>
    <w:rsid w:val="004D2B12"/>
    <w:rsid w:val="004E001B"/>
    <w:rsid w:val="004E1EDE"/>
    <w:rsid w:val="004E5370"/>
    <w:rsid w:val="004E7B30"/>
    <w:rsid w:val="00522932"/>
    <w:rsid w:val="005234DB"/>
    <w:rsid w:val="00530F46"/>
    <w:rsid w:val="00540949"/>
    <w:rsid w:val="005668AB"/>
    <w:rsid w:val="0057523E"/>
    <w:rsid w:val="00591B8E"/>
    <w:rsid w:val="005945AA"/>
    <w:rsid w:val="005A6A53"/>
    <w:rsid w:val="005B198D"/>
    <w:rsid w:val="005B25B0"/>
    <w:rsid w:val="005C55FF"/>
    <w:rsid w:val="005E06C5"/>
    <w:rsid w:val="005E2737"/>
    <w:rsid w:val="005F3809"/>
    <w:rsid w:val="005F5925"/>
    <w:rsid w:val="0060772E"/>
    <w:rsid w:val="00615461"/>
    <w:rsid w:val="006160A4"/>
    <w:rsid w:val="006227F4"/>
    <w:rsid w:val="0063685D"/>
    <w:rsid w:val="00663933"/>
    <w:rsid w:val="00671875"/>
    <w:rsid w:val="00684243"/>
    <w:rsid w:val="00696059"/>
    <w:rsid w:val="006A7E4F"/>
    <w:rsid w:val="006B54B1"/>
    <w:rsid w:val="006C560D"/>
    <w:rsid w:val="006D02A7"/>
    <w:rsid w:val="006E4BE0"/>
    <w:rsid w:val="006F036C"/>
    <w:rsid w:val="006F5D57"/>
    <w:rsid w:val="00704698"/>
    <w:rsid w:val="00706852"/>
    <w:rsid w:val="00712158"/>
    <w:rsid w:val="007231CD"/>
    <w:rsid w:val="0075378C"/>
    <w:rsid w:val="00783165"/>
    <w:rsid w:val="00793970"/>
    <w:rsid w:val="007A671B"/>
    <w:rsid w:val="007B173A"/>
    <w:rsid w:val="007B5F59"/>
    <w:rsid w:val="007B7061"/>
    <w:rsid w:val="007C62EE"/>
    <w:rsid w:val="007E0C9A"/>
    <w:rsid w:val="007F304D"/>
    <w:rsid w:val="00802B63"/>
    <w:rsid w:val="00804E82"/>
    <w:rsid w:val="00805014"/>
    <w:rsid w:val="00822614"/>
    <w:rsid w:val="008500FB"/>
    <w:rsid w:val="00852F12"/>
    <w:rsid w:val="00873A40"/>
    <w:rsid w:val="00887CE8"/>
    <w:rsid w:val="0089216B"/>
    <w:rsid w:val="0089620E"/>
    <w:rsid w:val="008A4EC9"/>
    <w:rsid w:val="008A5EBB"/>
    <w:rsid w:val="008B587E"/>
    <w:rsid w:val="008C0F2F"/>
    <w:rsid w:val="0090002B"/>
    <w:rsid w:val="0092522D"/>
    <w:rsid w:val="00926C1F"/>
    <w:rsid w:val="00931CC7"/>
    <w:rsid w:val="00934201"/>
    <w:rsid w:val="00934EBC"/>
    <w:rsid w:val="00955980"/>
    <w:rsid w:val="00980B82"/>
    <w:rsid w:val="009819E2"/>
    <w:rsid w:val="009A052E"/>
    <w:rsid w:val="009A1FDF"/>
    <w:rsid w:val="009B2A75"/>
    <w:rsid w:val="009C120D"/>
    <w:rsid w:val="009C5B87"/>
    <w:rsid w:val="009D58E8"/>
    <w:rsid w:val="009E2CE5"/>
    <w:rsid w:val="009E46DF"/>
    <w:rsid w:val="009E6EAB"/>
    <w:rsid w:val="009F6772"/>
    <w:rsid w:val="00A108BD"/>
    <w:rsid w:val="00A26E11"/>
    <w:rsid w:val="00A34C1A"/>
    <w:rsid w:val="00A464F2"/>
    <w:rsid w:val="00A579D1"/>
    <w:rsid w:val="00A76B59"/>
    <w:rsid w:val="00A969A0"/>
    <w:rsid w:val="00AB1E5D"/>
    <w:rsid w:val="00AE4729"/>
    <w:rsid w:val="00AF0A83"/>
    <w:rsid w:val="00AF0DF6"/>
    <w:rsid w:val="00B179A4"/>
    <w:rsid w:val="00B512CD"/>
    <w:rsid w:val="00B552E6"/>
    <w:rsid w:val="00B602AD"/>
    <w:rsid w:val="00B72AE8"/>
    <w:rsid w:val="00B77EDA"/>
    <w:rsid w:val="00B83776"/>
    <w:rsid w:val="00B86C1A"/>
    <w:rsid w:val="00B87B65"/>
    <w:rsid w:val="00B97A52"/>
    <w:rsid w:val="00BA25F3"/>
    <w:rsid w:val="00BA65F0"/>
    <w:rsid w:val="00BA66F1"/>
    <w:rsid w:val="00BA6ED1"/>
    <w:rsid w:val="00BB0629"/>
    <w:rsid w:val="00BD1906"/>
    <w:rsid w:val="00BD4A65"/>
    <w:rsid w:val="00BD76BA"/>
    <w:rsid w:val="00BE2FB8"/>
    <w:rsid w:val="00BF64C6"/>
    <w:rsid w:val="00BF7F42"/>
    <w:rsid w:val="00C035DC"/>
    <w:rsid w:val="00C0594F"/>
    <w:rsid w:val="00C1200F"/>
    <w:rsid w:val="00C227E2"/>
    <w:rsid w:val="00C34FDE"/>
    <w:rsid w:val="00C501F8"/>
    <w:rsid w:val="00C56205"/>
    <w:rsid w:val="00C712BF"/>
    <w:rsid w:val="00C85728"/>
    <w:rsid w:val="00C86BDC"/>
    <w:rsid w:val="00CA4F8C"/>
    <w:rsid w:val="00CB79F1"/>
    <w:rsid w:val="00CC67EF"/>
    <w:rsid w:val="00CD25C4"/>
    <w:rsid w:val="00CD399B"/>
    <w:rsid w:val="00D12FDA"/>
    <w:rsid w:val="00D20590"/>
    <w:rsid w:val="00D444E7"/>
    <w:rsid w:val="00D44CE3"/>
    <w:rsid w:val="00D578BF"/>
    <w:rsid w:val="00D63554"/>
    <w:rsid w:val="00D66C66"/>
    <w:rsid w:val="00D70490"/>
    <w:rsid w:val="00D71822"/>
    <w:rsid w:val="00D9173E"/>
    <w:rsid w:val="00D91942"/>
    <w:rsid w:val="00D958DE"/>
    <w:rsid w:val="00DA1588"/>
    <w:rsid w:val="00DA494E"/>
    <w:rsid w:val="00DB6958"/>
    <w:rsid w:val="00DC590D"/>
    <w:rsid w:val="00DE796A"/>
    <w:rsid w:val="00E015AC"/>
    <w:rsid w:val="00E12747"/>
    <w:rsid w:val="00E12D86"/>
    <w:rsid w:val="00E369DB"/>
    <w:rsid w:val="00E36EB2"/>
    <w:rsid w:val="00E63CFD"/>
    <w:rsid w:val="00E74D45"/>
    <w:rsid w:val="00E760C7"/>
    <w:rsid w:val="00E90558"/>
    <w:rsid w:val="00E96DEF"/>
    <w:rsid w:val="00EA0788"/>
    <w:rsid w:val="00EC3A5F"/>
    <w:rsid w:val="00ED77A3"/>
    <w:rsid w:val="00EE026C"/>
    <w:rsid w:val="00F04386"/>
    <w:rsid w:val="00F12DD6"/>
    <w:rsid w:val="00F240DC"/>
    <w:rsid w:val="00F47390"/>
    <w:rsid w:val="00F50135"/>
    <w:rsid w:val="00F60E47"/>
    <w:rsid w:val="00F61AB5"/>
    <w:rsid w:val="00F64BB3"/>
    <w:rsid w:val="00F7639B"/>
    <w:rsid w:val="00FE21C0"/>
    <w:rsid w:val="00FF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styleId="Hyperlink">
    <w:name w:val="Hyperlink"/>
    <w:rsid w:val="009C120D"/>
    <w:rPr>
      <w:rFonts w:ascii="Times New Roman" w:hAnsi="Times New Roman"/>
      <w:color w:val="auto"/>
      <w:sz w:val="20"/>
      <w:szCs w:val="20"/>
      <w:u w:val="none"/>
      <w:lang w:val="fr-FR"/>
    </w:rPr>
  </w:style>
  <w:style w:type="paragraph" w:customStyle="1" w:styleId="NormalNonumber">
    <w:name w:val="Normal_No_number"/>
    <w:basedOn w:val="Normal"/>
    <w:rsid w:val="009C120D"/>
    <w:pPr>
      <w:tabs>
        <w:tab w:val="left" w:pos="1247"/>
        <w:tab w:val="left" w:pos="1814"/>
        <w:tab w:val="left" w:pos="2381"/>
        <w:tab w:val="left" w:pos="2948"/>
        <w:tab w:val="left" w:pos="3515"/>
        <w:tab w:val="left" w:pos="4082"/>
      </w:tabs>
      <w:bidi w:val="0"/>
      <w:spacing w:after="120"/>
      <w:ind w:left="1247"/>
    </w:pPr>
    <w:rPr>
      <w:rFonts w:cs="Times New Roman"/>
      <w:sz w:val="20"/>
      <w:szCs w:val="20"/>
      <w:lang w:val="fr-CA"/>
    </w:rPr>
  </w:style>
  <w:style w:type="paragraph" w:styleId="BalloonText">
    <w:name w:val="Balloon Text"/>
    <w:basedOn w:val="Normal"/>
    <w:link w:val="BalloonTextChar"/>
    <w:rsid w:val="00BA65F0"/>
    <w:rPr>
      <w:rFonts w:ascii="Tahoma" w:hAnsi="Tahoma" w:cs="Tahoma"/>
      <w:sz w:val="16"/>
      <w:szCs w:val="16"/>
    </w:rPr>
  </w:style>
  <w:style w:type="character" w:customStyle="1" w:styleId="BalloonTextChar">
    <w:name w:val="Balloon Text Char"/>
    <w:link w:val="BalloonText"/>
    <w:rsid w:val="00BA65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styleId="Hyperlink">
    <w:name w:val="Hyperlink"/>
    <w:rsid w:val="009C120D"/>
    <w:rPr>
      <w:rFonts w:ascii="Times New Roman" w:hAnsi="Times New Roman"/>
      <w:color w:val="auto"/>
      <w:sz w:val="20"/>
      <w:szCs w:val="20"/>
      <w:u w:val="none"/>
      <w:lang w:val="fr-FR"/>
    </w:rPr>
  </w:style>
  <w:style w:type="paragraph" w:customStyle="1" w:styleId="NormalNonumber">
    <w:name w:val="Normal_No_number"/>
    <w:basedOn w:val="Normal"/>
    <w:rsid w:val="009C120D"/>
    <w:pPr>
      <w:tabs>
        <w:tab w:val="left" w:pos="1247"/>
        <w:tab w:val="left" w:pos="1814"/>
        <w:tab w:val="left" w:pos="2381"/>
        <w:tab w:val="left" w:pos="2948"/>
        <w:tab w:val="left" w:pos="3515"/>
        <w:tab w:val="left" w:pos="4082"/>
      </w:tabs>
      <w:bidi w:val="0"/>
      <w:spacing w:after="120"/>
      <w:ind w:left="1247"/>
    </w:pPr>
    <w:rPr>
      <w:rFonts w:cs="Times New Roman"/>
      <w:sz w:val="20"/>
      <w:szCs w:val="20"/>
      <w:lang w:val="fr-CA"/>
    </w:rPr>
  </w:style>
  <w:style w:type="paragraph" w:styleId="BalloonText">
    <w:name w:val="Balloon Text"/>
    <w:basedOn w:val="Normal"/>
    <w:link w:val="BalloonTextChar"/>
    <w:rsid w:val="00BA65F0"/>
    <w:rPr>
      <w:rFonts w:ascii="Tahoma" w:hAnsi="Tahoma" w:cs="Tahoma"/>
      <w:sz w:val="16"/>
      <w:szCs w:val="16"/>
    </w:rPr>
  </w:style>
  <w:style w:type="character" w:customStyle="1" w:styleId="BalloonTextChar">
    <w:name w:val="Balloon Text Char"/>
    <w:link w:val="BalloonText"/>
    <w:rsid w:val="00BA65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es.org/eng/res/16/16-06.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ites.org/eng/app/appendices.php" TargetMode="External"/><Relationship Id="rId17" Type="http://schemas.openxmlformats.org/officeDocument/2006/relationships/hyperlink" Target="http://www.cites.org/common/resources/pub/ICCWC_Toolkit_v2_english.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tes.org/eng/prog/ndf/index.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d.int/doc/programmes/socio-eco/use/aagp/AAGP.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abio.gob.mx/institucion/cooperacion_internacional/TallerNDF/taller_ndf.html"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tes.org/eng/res/16/16-07.ph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2CB6-A4A6-4C8A-83BD-3AF0323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13284</CharactersWithSpaces>
  <SharedDoc>false</SharedDoc>
  <HLinks>
    <vt:vector size="42" baseType="variant">
      <vt:variant>
        <vt:i4>3670090</vt:i4>
      </vt:variant>
      <vt:variant>
        <vt:i4>18</vt:i4>
      </vt:variant>
      <vt:variant>
        <vt:i4>0</vt:i4>
      </vt:variant>
      <vt:variant>
        <vt:i4>5</vt:i4>
      </vt:variant>
      <vt:variant>
        <vt:lpwstr>http://www.cites.org/common/resources/pub/ICCWC_Toolkit_v2_english.pdf</vt:lpwstr>
      </vt:variant>
      <vt:variant>
        <vt:lpwstr/>
      </vt:variant>
      <vt:variant>
        <vt:i4>7536758</vt:i4>
      </vt:variant>
      <vt:variant>
        <vt:i4>15</vt:i4>
      </vt:variant>
      <vt:variant>
        <vt:i4>0</vt:i4>
      </vt:variant>
      <vt:variant>
        <vt:i4>5</vt:i4>
      </vt:variant>
      <vt:variant>
        <vt:lpwstr>http://www.cites.org/eng/prog/ndf/index.php</vt:lpwstr>
      </vt:variant>
      <vt:variant>
        <vt:lpwstr/>
      </vt:variant>
      <vt:variant>
        <vt:i4>8257570</vt:i4>
      </vt:variant>
      <vt:variant>
        <vt:i4>12</vt:i4>
      </vt:variant>
      <vt:variant>
        <vt:i4>0</vt:i4>
      </vt:variant>
      <vt:variant>
        <vt:i4>5</vt:i4>
      </vt:variant>
      <vt:variant>
        <vt:lpwstr>http://www.conabio.gob.mx/institucion/cooperacion_internacional/TallerNDF/taller_ndf.html</vt:lpwstr>
      </vt:variant>
      <vt:variant>
        <vt:lpwstr/>
      </vt:variant>
      <vt:variant>
        <vt:i4>1704009</vt:i4>
      </vt:variant>
      <vt:variant>
        <vt:i4>9</vt:i4>
      </vt:variant>
      <vt:variant>
        <vt:i4>0</vt:i4>
      </vt:variant>
      <vt:variant>
        <vt:i4>5</vt:i4>
      </vt:variant>
      <vt:variant>
        <vt:lpwstr>http://www.cites.org/eng/res/16/16-07.php</vt:lpwstr>
      </vt:variant>
      <vt:variant>
        <vt:lpwstr/>
      </vt:variant>
      <vt:variant>
        <vt:i4>1704008</vt:i4>
      </vt:variant>
      <vt:variant>
        <vt:i4>6</vt:i4>
      </vt:variant>
      <vt:variant>
        <vt:i4>0</vt:i4>
      </vt:variant>
      <vt:variant>
        <vt:i4>5</vt:i4>
      </vt:variant>
      <vt:variant>
        <vt:lpwstr>http://www.cites.org/eng/res/16/16-06.php</vt:lpwstr>
      </vt:variant>
      <vt:variant>
        <vt:lpwstr/>
      </vt:variant>
      <vt:variant>
        <vt:i4>6357024</vt:i4>
      </vt:variant>
      <vt:variant>
        <vt:i4>3</vt:i4>
      </vt:variant>
      <vt:variant>
        <vt:i4>0</vt:i4>
      </vt:variant>
      <vt:variant>
        <vt:i4>5</vt:i4>
      </vt:variant>
      <vt:variant>
        <vt:lpwstr>http://www.cites.org/eng/app/appendices.php</vt:lpwstr>
      </vt:variant>
      <vt:variant>
        <vt:lpwstr/>
      </vt:variant>
      <vt:variant>
        <vt:i4>3670140</vt:i4>
      </vt:variant>
      <vt:variant>
        <vt:i4>0</vt:i4>
      </vt:variant>
      <vt:variant>
        <vt:i4>0</vt:i4>
      </vt:variant>
      <vt:variant>
        <vt:i4>5</vt:i4>
      </vt:variant>
      <vt:variant>
        <vt:lpwstr>https://www.cbd.int/doc/programmes/socio-eco/use/aagp/AAGP.zip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2013-10-31T07:06:00Z</cp:lastPrinted>
  <dcterms:created xsi:type="dcterms:W3CDTF">2013-11-06T07:54:00Z</dcterms:created>
  <dcterms:modified xsi:type="dcterms:W3CDTF">2013-11-06T07:54:00Z</dcterms:modified>
</cp:coreProperties>
</file>