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B6" w:rsidRPr="00D14F27" w:rsidRDefault="008177B6"/>
    <w:p w:rsidR="008177B6" w:rsidRPr="00D14F27" w:rsidRDefault="008177B6" w:rsidP="008177B6"/>
    <w:tbl>
      <w:tblPr>
        <w:tblW w:w="9780" w:type="dxa"/>
        <w:tblLayout w:type="fixed"/>
        <w:tblLook w:val="0000"/>
      </w:tblPr>
      <w:tblGrid>
        <w:gridCol w:w="1560"/>
        <w:gridCol w:w="5208"/>
        <w:gridCol w:w="3012"/>
      </w:tblGrid>
      <w:tr w:rsidR="008177B6" w:rsidRPr="00D14F27" w:rsidTr="00C16D01">
        <w:trPr>
          <w:cantSplit/>
          <w:trHeight w:val="850"/>
        </w:trPr>
        <w:tc>
          <w:tcPr>
            <w:tcW w:w="1560" w:type="dxa"/>
          </w:tcPr>
          <w:p w:rsidR="008177B6" w:rsidRPr="00D14F27" w:rsidRDefault="008177B6" w:rsidP="00C16D01">
            <w:pPr>
              <w:tabs>
                <w:tab w:val="left" w:pos="624"/>
                <w:tab w:val="left" w:pos="1871"/>
                <w:tab w:val="left" w:pos="2495"/>
                <w:tab w:val="left" w:pos="3119"/>
                <w:tab w:val="left" w:pos="3742"/>
              </w:tabs>
              <w:rPr>
                <w:rFonts w:ascii="Arial" w:hAnsi="Arial" w:cs="Arial"/>
                <w:b/>
                <w:noProof/>
                <w:sz w:val="27"/>
                <w:szCs w:val="27"/>
              </w:rPr>
            </w:pPr>
            <w:r w:rsidRPr="00D14F27">
              <w:rPr>
                <w:rFonts w:ascii="Arial" w:hAnsi="Arial" w:cs="Arial"/>
                <w:b/>
                <w:noProof/>
                <w:sz w:val="27"/>
                <w:szCs w:val="27"/>
              </w:rPr>
              <w:t>UNITED</w:t>
            </w:r>
            <w:r w:rsidRPr="00D14F27">
              <w:rPr>
                <w:rFonts w:ascii="Arial" w:hAnsi="Arial" w:cs="Arial"/>
                <w:b/>
                <w:noProof/>
                <w:sz w:val="27"/>
                <w:szCs w:val="27"/>
              </w:rPr>
              <w:br/>
              <w:t>NATIONS</w:t>
            </w:r>
          </w:p>
        </w:tc>
        <w:tc>
          <w:tcPr>
            <w:tcW w:w="5208" w:type="dxa"/>
          </w:tcPr>
          <w:p w:rsidR="008177B6" w:rsidRPr="00D14F27" w:rsidRDefault="008177B6" w:rsidP="00C16D01">
            <w:pPr>
              <w:tabs>
                <w:tab w:val="left" w:pos="624"/>
                <w:tab w:val="left" w:pos="1871"/>
                <w:tab w:val="left" w:pos="2495"/>
                <w:tab w:val="left" w:pos="3119"/>
                <w:tab w:val="left" w:pos="3742"/>
              </w:tabs>
              <w:rPr>
                <w:rFonts w:ascii="Univers" w:hAnsi="Univers"/>
                <w:b/>
                <w:sz w:val="27"/>
                <w:szCs w:val="27"/>
              </w:rPr>
            </w:pPr>
          </w:p>
        </w:tc>
        <w:tc>
          <w:tcPr>
            <w:tcW w:w="3012" w:type="dxa"/>
          </w:tcPr>
          <w:p w:rsidR="008177B6" w:rsidRPr="00D14F27" w:rsidRDefault="008177B6" w:rsidP="00C16D01">
            <w:pPr>
              <w:tabs>
                <w:tab w:val="left" w:pos="624"/>
                <w:tab w:val="left" w:pos="1871"/>
                <w:tab w:val="left" w:pos="2495"/>
                <w:tab w:val="left" w:pos="3119"/>
                <w:tab w:val="left" w:pos="3742"/>
              </w:tabs>
              <w:jc w:val="right"/>
              <w:rPr>
                <w:rFonts w:ascii="Univers" w:hAnsi="Univers"/>
                <w:b/>
                <w:sz w:val="72"/>
                <w:szCs w:val="72"/>
              </w:rPr>
            </w:pPr>
            <w:r w:rsidRPr="00D14F27">
              <w:rPr>
                <w:rFonts w:ascii="Univers" w:hAnsi="Univers"/>
                <w:b/>
                <w:sz w:val="72"/>
                <w:szCs w:val="72"/>
              </w:rPr>
              <w:t>EP</w:t>
            </w:r>
          </w:p>
        </w:tc>
      </w:tr>
      <w:tr w:rsidR="008177B6" w:rsidRPr="00D14F27" w:rsidTr="00C16D01">
        <w:trPr>
          <w:cantSplit/>
          <w:trHeight w:val="281"/>
        </w:trPr>
        <w:tc>
          <w:tcPr>
            <w:tcW w:w="1560" w:type="dxa"/>
            <w:tcBorders>
              <w:bottom w:val="single" w:sz="4" w:space="0" w:color="auto"/>
            </w:tcBorders>
          </w:tcPr>
          <w:p w:rsidR="008177B6" w:rsidRPr="00D14F27" w:rsidRDefault="008177B6" w:rsidP="00C16D01">
            <w:pPr>
              <w:tabs>
                <w:tab w:val="left" w:pos="624"/>
                <w:tab w:val="left" w:pos="1871"/>
                <w:tab w:val="left" w:pos="2495"/>
                <w:tab w:val="left" w:pos="3119"/>
                <w:tab w:val="left" w:pos="3742"/>
              </w:tabs>
              <w:rPr>
                <w:noProof/>
                <w:sz w:val="18"/>
                <w:szCs w:val="18"/>
              </w:rPr>
            </w:pPr>
          </w:p>
        </w:tc>
        <w:tc>
          <w:tcPr>
            <w:tcW w:w="5208" w:type="dxa"/>
            <w:tcBorders>
              <w:bottom w:val="single" w:sz="4" w:space="0" w:color="auto"/>
            </w:tcBorders>
          </w:tcPr>
          <w:p w:rsidR="008177B6" w:rsidRPr="00D14F27" w:rsidRDefault="008177B6" w:rsidP="00C16D01">
            <w:pPr>
              <w:tabs>
                <w:tab w:val="left" w:pos="624"/>
                <w:tab w:val="left" w:pos="1871"/>
                <w:tab w:val="left" w:pos="2495"/>
                <w:tab w:val="left" w:pos="3119"/>
                <w:tab w:val="left" w:pos="3742"/>
              </w:tabs>
              <w:rPr>
                <w:rFonts w:ascii="Univers" w:hAnsi="Univers"/>
                <w:b/>
                <w:sz w:val="18"/>
                <w:szCs w:val="18"/>
              </w:rPr>
            </w:pPr>
          </w:p>
        </w:tc>
        <w:tc>
          <w:tcPr>
            <w:tcW w:w="3012" w:type="dxa"/>
            <w:tcBorders>
              <w:bottom w:val="single" w:sz="4" w:space="0" w:color="auto"/>
            </w:tcBorders>
          </w:tcPr>
          <w:p w:rsidR="008177B6" w:rsidRPr="00D14F27" w:rsidRDefault="008177B6" w:rsidP="008177B6">
            <w:pPr>
              <w:tabs>
                <w:tab w:val="left" w:pos="624"/>
                <w:tab w:val="left" w:pos="1871"/>
                <w:tab w:val="left" w:pos="2495"/>
                <w:tab w:val="left" w:pos="3119"/>
                <w:tab w:val="left" w:pos="3742"/>
              </w:tabs>
              <w:rPr>
                <w:noProof/>
                <w:sz w:val="18"/>
                <w:szCs w:val="18"/>
                <w:lang w:eastAsia="ja-JP"/>
              </w:rPr>
            </w:pPr>
            <w:r w:rsidRPr="00D14F27">
              <w:rPr>
                <w:b/>
                <w:sz w:val="24"/>
                <w:szCs w:val="24"/>
              </w:rPr>
              <w:t>IPBES</w:t>
            </w:r>
            <w:r w:rsidRPr="00D14F27">
              <w:t>/</w:t>
            </w:r>
            <w:r w:rsidRPr="00D14F27">
              <w:rPr>
                <w:lang w:eastAsia="ja-JP"/>
              </w:rPr>
              <w:t>2/16/Add.5</w:t>
            </w:r>
          </w:p>
        </w:tc>
      </w:tr>
      <w:tr w:rsidR="008177B6" w:rsidRPr="00D14F27" w:rsidTr="00C16D01">
        <w:trPr>
          <w:cantSplit/>
          <w:trHeight w:val="2549"/>
        </w:trPr>
        <w:tc>
          <w:tcPr>
            <w:tcW w:w="1560" w:type="dxa"/>
            <w:tcBorders>
              <w:top w:val="single" w:sz="4" w:space="0" w:color="auto"/>
              <w:bottom w:val="single" w:sz="24" w:space="0" w:color="auto"/>
            </w:tcBorders>
          </w:tcPr>
          <w:p w:rsidR="008177B6" w:rsidRPr="00D14F27" w:rsidRDefault="008177B6" w:rsidP="00C16D01">
            <w:pPr>
              <w:tabs>
                <w:tab w:val="left" w:pos="624"/>
                <w:tab w:val="left" w:pos="1871"/>
                <w:tab w:val="left" w:pos="2495"/>
                <w:tab w:val="left" w:pos="3119"/>
                <w:tab w:val="left" w:pos="3742"/>
              </w:tabs>
              <w:rPr>
                <w:noProof/>
              </w:rPr>
            </w:pPr>
            <w:r w:rsidRPr="00D14F27">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6046896" r:id="rId9"/>
              </w:object>
            </w:r>
            <w:r w:rsidR="002106A9">
              <w:rPr>
                <w:noProof/>
                <w:lang w:val="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8177B6" w:rsidRPr="00D14F27" w:rsidRDefault="008177B6" w:rsidP="00D14F27">
            <w:pPr>
              <w:tabs>
                <w:tab w:val="left" w:pos="624"/>
                <w:tab w:val="left" w:pos="1871"/>
                <w:tab w:val="left" w:pos="2495"/>
                <w:tab w:val="left" w:pos="3119"/>
                <w:tab w:val="left" w:pos="3742"/>
              </w:tabs>
              <w:spacing w:before="1400" w:after="60"/>
              <w:rPr>
                <w:rFonts w:ascii="Univers" w:hAnsi="Univers"/>
                <w:b/>
                <w:sz w:val="28"/>
              </w:rPr>
            </w:pPr>
            <w:r w:rsidRPr="00D14F27">
              <w:rPr>
                <w:rFonts w:ascii="Univers" w:hAnsi="Univers"/>
                <w:b/>
                <w:sz w:val="32"/>
                <w:szCs w:val="32"/>
              </w:rPr>
              <w:t>United Nations</w:t>
            </w:r>
            <w:r w:rsidRPr="00D14F27">
              <w:rPr>
                <w:rFonts w:ascii="Univers" w:hAnsi="Univers"/>
                <w:b/>
                <w:sz w:val="32"/>
                <w:szCs w:val="32"/>
              </w:rPr>
              <w:br/>
              <w:t xml:space="preserve">Environment </w:t>
            </w:r>
            <w:r w:rsidRPr="00D14F27">
              <w:rPr>
                <w:rFonts w:ascii="Univers" w:hAnsi="Univers"/>
                <w:b/>
                <w:sz w:val="32"/>
                <w:szCs w:val="32"/>
              </w:rPr>
              <w:br/>
              <w:t>Programme</w:t>
            </w:r>
          </w:p>
        </w:tc>
        <w:tc>
          <w:tcPr>
            <w:tcW w:w="3012" w:type="dxa"/>
            <w:tcBorders>
              <w:top w:val="single" w:sz="4" w:space="0" w:color="auto"/>
              <w:bottom w:val="single" w:sz="24" w:space="0" w:color="auto"/>
            </w:tcBorders>
          </w:tcPr>
          <w:p w:rsidR="008177B6" w:rsidRPr="00D14F27" w:rsidRDefault="008177B6" w:rsidP="00D14F27">
            <w:pPr>
              <w:spacing w:before="120"/>
            </w:pPr>
            <w:r w:rsidRPr="00D14F27">
              <w:t>Distr.: General</w:t>
            </w:r>
            <w:r w:rsidRPr="00D14F27">
              <w:br/>
            </w:r>
            <w:r w:rsidRPr="00D14F27">
              <w:rPr>
                <w:lang w:eastAsia="ja-JP"/>
              </w:rPr>
              <w:t>26 September 2013</w:t>
            </w:r>
          </w:p>
          <w:p w:rsidR="008177B6" w:rsidRPr="00D14F27" w:rsidRDefault="008177B6" w:rsidP="00D81A4C">
            <w:pPr>
              <w:tabs>
                <w:tab w:val="left" w:pos="624"/>
                <w:tab w:val="left" w:pos="1871"/>
                <w:tab w:val="left" w:pos="2495"/>
                <w:tab w:val="left" w:pos="3119"/>
                <w:tab w:val="left" w:pos="3742"/>
              </w:tabs>
              <w:spacing w:before="120"/>
            </w:pPr>
            <w:r w:rsidRPr="00D14F27">
              <w:t xml:space="preserve">Original: English </w:t>
            </w:r>
          </w:p>
        </w:tc>
      </w:tr>
    </w:tbl>
    <w:p w:rsidR="008177B6" w:rsidRPr="00D14F27" w:rsidRDefault="008177B6" w:rsidP="008177B6">
      <w:pPr>
        <w:pStyle w:val="AATitle"/>
        <w:keepNext w:val="0"/>
        <w:keepLines w:val="0"/>
        <w:tabs>
          <w:tab w:val="clear" w:pos="4082"/>
          <w:tab w:val="left" w:pos="4395"/>
        </w:tabs>
        <w:ind w:right="4631"/>
        <w:rPr>
          <w:lang w:val="en-GB"/>
        </w:rPr>
      </w:pPr>
      <w:r w:rsidRPr="00D14F27">
        <w:rPr>
          <w:lang w:val="en-GB"/>
        </w:rPr>
        <w:t xml:space="preserve">Plenary of the Intergovernmental Science-Policy </w:t>
      </w:r>
      <w:r w:rsidRPr="00D14F27">
        <w:rPr>
          <w:lang w:val="en-GB"/>
        </w:rPr>
        <w:br/>
        <w:t>Platform on Biodiversity and Ecosystem Services</w:t>
      </w:r>
    </w:p>
    <w:p w:rsidR="008177B6" w:rsidRPr="00D14F27" w:rsidRDefault="008177B6" w:rsidP="008177B6">
      <w:pPr>
        <w:pStyle w:val="AATitle"/>
        <w:keepNext w:val="0"/>
        <w:keepLines w:val="0"/>
        <w:rPr>
          <w:lang w:val="en-GB"/>
        </w:rPr>
      </w:pPr>
      <w:r w:rsidRPr="00D14F27">
        <w:rPr>
          <w:lang w:val="en-GB"/>
        </w:rPr>
        <w:t>Second session</w:t>
      </w:r>
    </w:p>
    <w:p w:rsidR="008177B6" w:rsidRPr="00D14F27" w:rsidRDefault="008177B6" w:rsidP="008177B6">
      <w:pPr>
        <w:pStyle w:val="AATitle"/>
        <w:rPr>
          <w:b w:val="0"/>
          <w:lang w:val="en-GB"/>
        </w:rPr>
      </w:pPr>
      <w:r w:rsidRPr="00D14F27">
        <w:rPr>
          <w:b w:val="0"/>
          <w:lang w:val="en-GB"/>
        </w:rPr>
        <w:t>Antalya, Turkey, 9–14 December 2013</w:t>
      </w:r>
    </w:p>
    <w:p w:rsidR="008177B6" w:rsidRPr="00D14F27" w:rsidRDefault="008177B6" w:rsidP="008177B6">
      <w:pPr>
        <w:pStyle w:val="AATitle"/>
        <w:rPr>
          <w:b w:val="0"/>
          <w:lang w:val="en-GB"/>
        </w:rPr>
      </w:pPr>
      <w:r w:rsidRPr="00D14F27">
        <w:rPr>
          <w:b w:val="0"/>
          <w:lang w:val="en-GB"/>
        </w:rPr>
        <w:t xml:space="preserve">Item </w:t>
      </w:r>
      <w:r w:rsidR="00C16D01" w:rsidRPr="00D14F27">
        <w:rPr>
          <w:b w:val="0"/>
          <w:lang w:val="en-GB"/>
        </w:rPr>
        <w:t>4 (a)</w:t>
      </w:r>
      <w:r w:rsidRPr="00D14F27">
        <w:rPr>
          <w:b w:val="0"/>
          <w:lang w:val="en-GB"/>
        </w:rPr>
        <w:t xml:space="preserve"> of the provisional agenda</w:t>
      </w:r>
      <w:r w:rsidRPr="00D14F27">
        <w:rPr>
          <w:rStyle w:val="FootnoteReference"/>
          <w:b w:val="0"/>
          <w:lang w:val="en-GB"/>
        </w:rPr>
        <w:footnoteReference w:customMarkFollows="1" w:id="1"/>
        <w:sym w:font="Symbol" w:char="F02A"/>
      </w:r>
      <w:r w:rsidRPr="00D14F27">
        <w:rPr>
          <w:b w:val="0"/>
          <w:lang w:val="en-GB"/>
        </w:rPr>
        <w:t> </w:t>
      </w:r>
    </w:p>
    <w:p w:rsidR="008177B6" w:rsidRPr="00D14F27" w:rsidRDefault="00E82CEE" w:rsidP="00191BF5">
      <w:pPr>
        <w:pStyle w:val="AATitle2"/>
        <w:spacing w:before="60"/>
        <w:ind w:right="3402"/>
        <w:rPr>
          <w:lang w:val="en-GB"/>
        </w:rPr>
      </w:pPr>
      <w:r w:rsidRPr="00D14F27">
        <w:rPr>
          <w:lang w:val="en-GB" w:eastAsia="ja-JP"/>
        </w:rPr>
        <w:t>Initial work programme of the Platform:</w:t>
      </w:r>
      <w:r w:rsidRPr="00D14F27">
        <w:rPr>
          <w:lang w:val="en-GB"/>
        </w:rPr>
        <w:t xml:space="preserve"> </w:t>
      </w:r>
      <w:r w:rsidRPr="00D14F27">
        <w:rPr>
          <w:lang w:val="en-GB"/>
        </w:rPr>
        <w:br/>
      </w:r>
      <w:r w:rsidR="00A142C8" w:rsidRPr="00D14F27">
        <w:rPr>
          <w:lang w:val="en-GB" w:eastAsia="ja-JP"/>
        </w:rPr>
        <w:t xml:space="preserve">work </w:t>
      </w:r>
      <w:r w:rsidRPr="00D14F27">
        <w:rPr>
          <w:lang w:val="en-GB" w:eastAsia="ja-JP"/>
        </w:rPr>
        <w:t xml:space="preserve">programme </w:t>
      </w:r>
      <w:r w:rsidRPr="00D14F27">
        <w:rPr>
          <w:lang w:val="en-GB"/>
        </w:rPr>
        <w:t>2014</w:t>
      </w:r>
      <w:r w:rsidR="00A142C8" w:rsidRPr="00D14F27">
        <w:rPr>
          <w:lang w:val="en-GB"/>
        </w:rPr>
        <w:t>–</w:t>
      </w:r>
      <w:r w:rsidRPr="00D14F27">
        <w:rPr>
          <w:lang w:val="en-GB"/>
        </w:rPr>
        <w:t>2018</w:t>
      </w:r>
      <w:r w:rsidR="008177B6" w:rsidRPr="00D14F27">
        <w:rPr>
          <w:lang w:val="en-GB" w:eastAsia="ja-JP"/>
        </w:rPr>
        <w:t xml:space="preserve"> </w:t>
      </w:r>
    </w:p>
    <w:p w:rsidR="00BC24B1" w:rsidRPr="00D81A4C" w:rsidRDefault="00BC24B1" w:rsidP="00BC24B1">
      <w:pPr>
        <w:pStyle w:val="BBTitle"/>
        <w:rPr>
          <w:lang w:val="en-GB"/>
        </w:rPr>
      </w:pPr>
      <w:r w:rsidRPr="00D14F27">
        <w:rPr>
          <w:lang w:val="en-GB"/>
        </w:rPr>
        <w:t>Initial scop</w:t>
      </w:r>
      <w:r w:rsidR="00104574" w:rsidRPr="00D14F27">
        <w:rPr>
          <w:lang w:val="en-GB"/>
        </w:rPr>
        <w:t xml:space="preserve">ing </w:t>
      </w:r>
      <w:r w:rsidR="00786E0B" w:rsidRPr="00D14F27">
        <w:rPr>
          <w:lang w:val="en-GB"/>
        </w:rPr>
        <w:t xml:space="preserve">for </w:t>
      </w:r>
      <w:r w:rsidRPr="00D14F27">
        <w:rPr>
          <w:lang w:val="en-GB"/>
        </w:rPr>
        <w:t xml:space="preserve">the </w:t>
      </w:r>
      <w:r w:rsidR="00104574" w:rsidRPr="00D81A4C">
        <w:rPr>
          <w:lang w:val="en-GB"/>
        </w:rPr>
        <w:t>f</w:t>
      </w:r>
      <w:r w:rsidRPr="00D81A4C">
        <w:rPr>
          <w:lang w:val="en-GB"/>
        </w:rPr>
        <w:t>ast</w:t>
      </w:r>
      <w:r w:rsidR="00104574" w:rsidRPr="00D81A4C">
        <w:rPr>
          <w:lang w:val="en-GB"/>
        </w:rPr>
        <w:t>-t</w:t>
      </w:r>
      <w:r w:rsidRPr="00D81A4C">
        <w:rPr>
          <w:lang w:val="en-GB"/>
        </w:rPr>
        <w:t>rack</w:t>
      </w:r>
      <w:r w:rsidR="00A45623" w:rsidRPr="00D81A4C">
        <w:rPr>
          <w:lang w:val="en-GB"/>
        </w:rPr>
        <w:t xml:space="preserve"> methodological</w:t>
      </w:r>
      <w:r w:rsidRPr="00D81A4C">
        <w:rPr>
          <w:lang w:val="en-GB"/>
        </w:rPr>
        <w:t xml:space="preserve"> </w:t>
      </w:r>
      <w:r w:rsidR="00104574" w:rsidRPr="00D81A4C">
        <w:rPr>
          <w:lang w:val="en-GB"/>
        </w:rPr>
        <w:t>a</w:t>
      </w:r>
      <w:r w:rsidRPr="00D81A4C">
        <w:rPr>
          <w:lang w:val="en-GB"/>
        </w:rPr>
        <w:t>ssessment o</w:t>
      </w:r>
      <w:r w:rsidR="00104574" w:rsidRPr="00D81A4C">
        <w:rPr>
          <w:lang w:val="en-GB"/>
        </w:rPr>
        <w:t>f</w:t>
      </w:r>
      <w:r w:rsidRPr="00D81A4C">
        <w:rPr>
          <w:lang w:val="en-GB"/>
        </w:rPr>
        <w:t xml:space="preserve"> the </w:t>
      </w:r>
      <w:r w:rsidR="00104574" w:rsidRPr="00D81A4C">
        <w:rPr>
          <w:lang w:val="en-GB"/>
        </w:rPr>
        <w:t>c</w:t>
      </w:r>
      <w:r w:rsidRPr="00D81A4C">
        <w:rPr>
          <w:lang w:val="en-GB"/>
        </w:rPr>
        <w:t xml:space="preserve">onceptualization of </w:t>
      </w:r>
      <w:r w:rsidR="00104574" w:rsidRPr="00D81A4C">
        <w:rPr>
          <w:lang w:val="en-GB"/>
        </w:rPr>
        <w:t>v</w:t>
      </w:r>
      <w:r w:rsidRPr="00D81A4C">
        <w:rPr>
          <w:lang w:val="en-GB"/>
        </w:rPr>
        <w:t xml:space="preserve">alue, </w:t>
      </w:r>
      <w:r w:rsidR="00104574" w:rsidRPr="00D81A4C">
        <w:rPr>
          <w:lang w:val="en-GB"/>
        </w:rPr>
        <w:t>v</w:t>
      </w:r>
      <w:r w:rsidRPr="00D81A4C">
        <w:rPr>
          <w:lang w:val="en-GB"/>
        </w:rPr>
        <w:t xml:space="preserve">aluation and </w:t>
      </w:r>
      <w:r w:rsidR="00104574" w:rsidRPr="00D81A4C">
        <w:rPr>
          <w:lang w:val="en-GB"/>
        </w:rPr>
        <w:t>a</w:t>
      </w:r>
      <w:r w:rsidRPr="00D81A4C">
        <w:rPr>
          <w:lang w:val="en-GB"/>
        </w:rPr>
        <w:t xml:space="preserve">ccounting of </w:t>
      </w:r>
      <w:r w:rsidR="00104574" w:rsidRPr="00D81A4C">
        <w:rPr>
          <w:lang w:val="en-GB"/>
        </w:rPr>
        <w:t>b</w:t>
      </w:r>
      <w:r w:rsidRPr="00D81A4C">
        <w:rPr>
          <w:lang w:val="en-GB"/>
        </w:rPr>
        <w:t xml:space="preserve">iodiversity and </w:t>
      </w:r>
      <w:r w:rsidR="00104574" w:rsidRPr="00D81A4C">
        <w:rPr>
          <w:lang w:val="en-GB"/>
        </w:rPr>
        <w:t>e</w:t>
      </w:r>
      <w:r w:rsidRPr="00D81A4C">
        <w:rPr>
          <w:lang w:val="en-GB"/>
        </w:rPr>
        <w:t xml:space="preserve">cosystem </w:t>
      </w:r>
      <w:r w:rsidR="00104574" w:rsidRPr="00D81A4C">
        <w:rPr>
          <w:lang w:val="en-GB"/>
        </w:rPr>
        <w:t>s</w:t>
      </w:r>
      <w:r w:rsidRPr="00D81A4C">
        <w:rPr>
          <w:lang w:val="en-GB"/>
        </w:rPr>
        <w:t>ervices</w:t>
      </w:r>
      <w:r w:rsidR="001B0205" w:rsidRPr="00D81A4C">
        <w:rPr>
          <w:lang w:val="en-GB"/>
        </w:rPr>
        <w:t xml:space="preserve"> </w:t>
      </w:r>
    </w:p>
    <w:p w:rsidR="006C42A4" w:rsidRPr="00D81A4C" w:rsidRDefault="00D14F27" w:rsidP="00D14F27">
      <w:pPr>
        <w:pStyle w:val="CH2"/>
        <w:rPr>
          <w:lang w:val="en-GB"/>
        </w:rPr>
      </w:pPr>
      <w:r w:rsidRPr="00D14F27">
        <w:rPr>
          <w:lang w:val="en-GB"/>
        </w:rPr>
        <w:tab/>
      </w:r>
      <w:r w:rsidRPr="00D14F27">
        <w:rPr>
          <w:lang w:val="en-GB"/>
        </w:rPr>
        <w:tab/>
      </w:r>
      <w:r w:rsidR="006C42A4" w:rsidRPr="00D81A4C">
        <w:rPr>
          <w:lang w:val="en-GB"/>
        </w:rPr>
        <w:t>Note by the secretariat</w:t>
      </w:r>
    </w:p>
    <w:p w:rsidR="00A142C8" w:rsidRPr="00D14F27" w:rsidRDefault="00D14F27" w:rsidP="00D81A4C">
      <w:pPr>
        <w:pStyle w:val="CH1"/>
        <w:rPr>
          <w:lang w:val="en-GB"/>
        </w:rPr>
      </w:pPr>
      <w:r w:rsidRPr="00D14F27">
        <w:rPr>
          <w:lang w:val="en-GB"/>
        </w:rPr>
        <w:tab/>
        <w:t>I.</w:t>
      </w:r>
      <w:r w:rsidRPr="00D14F27">
        <w:rPr>
          <w:lang w:val="en-GB"/>
        </w:rPr>
        <w:tab/>
      </w:r>
      <w:r w:rsidR="00A142C8" w:rsidRPr="00D14F27">
        <w:rPr>
          <w:lang w:val="en-GB"/>
        </w:rPr>
        <w:t xml:space="preserve">Introduction </w:t>
      </w:r>
    </w:p>
    <w:p w:rsidR="00BB5A85" w:rsidRPr="00D14F27" w:rsidRDefault="00BB5A85" w:rsidP="00191BF5">
      <w:pPr>
        <w:pStyle w:val="Normalnumber"/>
        <w:rPr>
          <w:lang w:val="en-GB"/>
        </w:rPr>
      </w:pPr>
      <w:r w:rsidRPr="00D14F27">
        <w:rPr>
          <w:lang w:val="en-GB"/>
        </w:rPr>
        <w:t xml:space="preserve">Recognizing that it would be necessary to </w:t>
      </w:r>
      <w:r w:rsidR="006C42A4" w:rsidRPr="00D14F27">
        <w:rPr>
          <w:lang w:val="en-GB"/>
        </w:rPr>
        <w:t>move forward</w:t>
      </w:r>
      <w:r w:rsidRPr="00D14F27">
        <w:rPr>
          <w:lang w:val="en-GB"/>
        </w:rPr>
        <w:t xml:space="preserve"> with the programme</w:t>
      </w:r>
      <w:r w:rsidR="00A142C8" w:rsidRPr="00D14F27">
        <w:rPr>
          <w:lang w:val="en-GB"/>
        </w:rPr>
        <w:t xml:space="preserve"> of work</w:t>
      </w:r>
      <w:r w:rsidRPr="00D14F27">
        <w:rPr>
          <w:lang w:val="en-GB"/>
        </w:rPr>
        <w:t xml:space="preserve"> for 2014–2018 </w:t>
      </w:r>
      <w:r w:rsidR="00A142C8" w:rsidRPr="00D14F27">
        <w:rPr>
          <w:lang w:val="en-GB"/>
        </w:rPr>
        <w:t>following its</w:t>
      </w:r>
      <w:r w:rsidRPr="00D14F27">
        <w:rPr>
          <w:lang w:val="en-GB"/>
        </w:rPr>
        <w:t xml:space="preserve"> approv</w:t>
      </w:r>
      <w:r w:rsidR="00A142C8" w:rsidRPr="00D14F27">
        <w:rPr>
          <w:lang w:val="en-GB"/>
        </w:rPr>
        <w:t>al</w:t>
      </w:r>
      <w:r w:rsidRPr="00D14F27">
        <w:rPr>
          <w:lang w:val="en-GB"/>
        </w:rPr>
        <w:t xml:space="preserve"> by the Plenary of the Intergovernmental Science</w:t>
      </w:r>
      <w:r w:rsidR="00A142C8" w:rsidRPr="00D14F27">
        <w:rPr>
          <w:lang w:val="en-GB"/>
        </w:rPr>
        <w:noBreakHyphen/>
      </w:r>
      <w:r w:rsidRPr="00D14F27">
        <w:rPr>
          <w:lang w:val="en-GB"/>
        </w:rPr>
        <w:t>Policy Platform for Biodiversity and Ecosystem Services at its second session, the Bureau and the Multidisciplinary Expert Panel agreed to prepare</w:t>
      </w:r>
      <w:r w:rsidR="006C42A4" w:rsidRPr="00D14F27">
        <w:rPr>
          <w:lang w:val="en-GB"/>
        </w:rPr>
        <w:t>,</w:t>
      </w:r>
      <w:r w:rsidRPr="00D14F27">
        <w:rPr>
          <w:lang w:val="en-GB"/>
        </w:rPr>
        <w:t xml:space="preserve"> for consideration by the Plenary at that session</w:t>
      </w:r>
      <w:r w:rsidR="006C42A4" w:rsidRPr="00D14F27">
        <w:rPr>
          <w:lang w:val="en-GB"/>
        </w:rPr>
        <w:t>,</w:t>
      </w:r>
      <w:r w:rsidRPr="00D14F27">
        <w:rPr>
          <w:lang w:val="en-GB"/>
        </w:rPr>
        <w:t xml:space="preserve"> a number of initial scoping documents based on the prioritization of requests, suggestions and inputs put to the Platform and the deliverables</w:t>
      </w:r>
      <w:r w:rsidR="00A142C8" w:rsidRPr="00D14F27">
        <w:rPr>
          <w:lang w:val="en-GB"/>
        </w:rPr>
        <w:t xml:space="preserve"> set out</w:t>
      </w:r>
      <w:r w:rsidRPr="00D14F27">
        <w:rPr>
          <w:lang w:val="en-GB"/>
        </w:rPr>
        <w:t xml:space="preserve"> in the draft programme</w:t>
      </w:r>
      <w:r w:rsidR="00A142C8" w:rsidRPr="00D14F27">
        <w:rPr>
          <w:lang w:val="en-GB"/>
        </w:rPr>
        <w:t xml:space="preserve"> of work</w:t>
      </w:r>
      <w:r w:rsidRPr="00D14F27">
        <w:rPr>
          <w:lang w:val="en-GB"/>
        </w:rPr>
        <w:t xml:space="preserve"> (IPBES/2/2). </w:t>
      </w:r>
      <w:r w:rsidR="006C42A4" w:rsidRPr="00D14F27">
        <w:rPr>
          <w:lang w:val="en-GB"/>
        </w:rPr>
        <w:t>T</w:t>
      </w:r>
      <w:r w:rsidRPr="00D14F27">
        <w:rPr>
          <w:lang w:val="en-GB"/>
        </w:rPr>
        <w:t>he present note sets out the initial scoping for a proposed fast-track assessment of the conceptualization of value, valuation and accounting of biodiversity and ecosystem services. It has been developed in accordance with the draft procedures for the preparation of the Platform’s deliverables (IPBES/2/9).</w:t>
      </w:r>
    </w:p>
    <w:p w:rsidR="00BC24B1" w:rsidRPr="00D14F27" w:rsidRDefault="00BC24B1" w:rsidP="0039478F">
      <w:pPr>
        <w:pStyle w:val="CH1"/>
        <w:rPr>
          <w:lang w:val="en-GB"/>
        </w:rPr>
      </w:pPr>
      <w:r w:rsidRPr="00D14F27">
        <w:rPr>
          <w:lang w:val="en-GB"/>
        </w:rPr>
        <w:tab/>
      </w:r>
      <w:r w:rsidR="00072161" w:rsidRPr="00D14F27">
        <w:rPr>
          <w:lang w:val="en-GB"/>
        </w:rPr>
        <w:t>I</w:t>
      </w:r>
      <w:r w:rsidR="0039478F" w:rsidRPr="00D14F27">
        <w:rPr>
          <w:lang w:val="en-GB"/>
        </w:rPr>
        <w:t>I.</w:t>
      </w:r>
      <w:r w:rsidRPr="00D14F27">
        <w:rPr>
          <w:lang w:val="en-GB"/>
        </w:rPr>
        <w:tab/>
      </w:r>
      <w:r w:rsidR="00104574" w:rsidRPr="00D14F27">
        <w:rPr>
          <w:lang w:val="en-GB"/>
        </w:rPr>
        <w:t>S</w:t>
      </w:r>
      <w:r w:rsidRPr="00D14F27">
        <w:rPr>
          <w:lang w:val="en-GB"/>
        </w:rPr>
        <w:t>cope, rationale and utility</w:t>
      </w:r>
    </w:p>
    <w:p w:rsidR="00104574" w:rsidRPr="00D14F27" w:rsidRDefault="00DB5B2A" w:rsidP="00191BF5">
      <w:pPr>
        <w:pStyle w:val="CH2"/>
        <w:rPr>
          <w:lang w:val="en-GB"/>
        </w:rPr>
      </w:pPr>
      <w:r w:rsidRPr="00D14F27">
        <w:rPr>
          <w:lang w:val="en-GB"/>
        </w:rPr>
        <w:tab/>
      </w:r>
      <w:r w:rsidR="00104574" w:rsidRPr="00D14F27">
        <w:rPr>
          <w:lang w:val="en-GB"/>
        </w:rPr>
        <w:t>A.</w:t>
      </w:r>
      <w:r w:rsidR="00104574" w:rsidRPr="00D14F27">
        <w:rPr>
          <w:lang w:val="en-GB"/>
        </w:rPr>
        <w:tab/>
      </w:r>
      <w:r w:rsidR="00BC24B1" w:rsidRPr="00D14F27">
        <w:rPr>
          <w:lang w:val="en-GB"/>
        </w:rPr>
        <w:t>Scope</w:t>
      </w:r>
    </w:p>
    <w:p w:rsidR="00BC24B1" w:rsidRPr="00D14F27" w:rsidRDefault="00012EFF" w:rsidP="00AC06CE">
      <w:pPr>
        <w:pStyle w:val="Normalnumber"/>
        <w:rPr>
          <w:lang w:val="en-GB"/>
        </w:rPr>
      </w:pPr>
      <w:r w:rsidRPr="00D14F27">
        <w:rPr>
          <w:lang w:val="en-GB"/>
        </w:rPr>
        <w:t xml:space="preserve">The objective of the proposed fast-track </w:t>
      </w:r>
      <w:r w:rsidR="006C42A4" w:rsidRPr="00D81A4C">
        <w:rPr>
          <w:lang w:val="en-GB"/>
        </w:rPr>
        <w:t xml:space="preserve">methodological </w:t>
      </w:r>
      <w:r w:rsidRPr="00D14F27">
        <w:rPr>
          <w:lang w:val="en-GB"/>
        </w:rPr>
        <w:t>assessment is t</w:t>
      </w:r>
      <w:r w:rsidR="00BC24B1" w:rsidRPr="00D14F27">
        <w:rPr>
          <w:lang w:val="en-GB"/>
        </w:rPr>
        <w:t>o assess human well</w:t>
      </w:r>
      <w:r w:rsidRPr="00D14F27">
        <w:rPr>
          <w:lang w:val="en-GB"/>
        </w:rPr>
        <w:noBreakHyphen/>
      </w:r>
      <w:r w:rsidR="00BC24B1" w:rsidRPr="00D14F27">
        <w:rPr>
          <w:lang w:val="en-GB"/>
        </w:rPr>
        <w:t>being (</w:t>
      </w:r>
      <w:r w:rsidRPr="00D14F27">
        <w:rPr>
          <w:lang w:val="en-GB"/>
        </w:rPr>
        <w:t xml:space="preserve">viewed both </w:t>
      </w:r>
      <w:r w:rsidR="00BC24B1" w:rsidRPr="00D14F27">
        <w:rPr>
          <w:lang w:val="en-GB"/>
        </w:rPr>
        <w:t>subjective</w:t>
      </w:r>
      <w:r w:rsidRPr="00D14F27">
        <w:rPr>
          <w:lang w:val="en-GB"/>
        </w:rPr>
        <w:t>ly</w:t>
      </w:r>
      <w:r w:rsidR="00BC24B1" w:rsidRPr="00D14F27">
        <w:rPr>
          <w:lang w:val="en-GB"/>
        </w:rPr>
        <w:t xml:space="preserve"> and objective</w:t>
      </w:r>
      <w:r w:rsidRPr="00D14F27">
        <w:rPr>
          <w:lang w:val="en-GB"/>
        </w:rPr>
        <w:t>ly</w:t>
      </w:r>
      <w:r w:rsidR="00BC24B1" w:rsidRPr="00D14F27">
        <w:rPr>
          <w:lang w:val="en-GB"/>
        </w:rPr>
        <w:t>)</w:t>
      </w:r>
      <w:r w:rsidR="006E5CE9" w:rsidRPr="00D14F27">
        <w:rPr>
          <w:lang w:val="en-GB"/>
        </w:rPr>
        <w:t>;</w:t>
      </w:r>
      <w:r w:rsidR="00BC24B1" w:rsidRPr="00D14F27">
        <w:rPr>
          <w:lang w:val="en-GB"/>
        </w:rPr>
        <w:t xml:space="preserve"> how value is conceptualized</w:t>
      </w:r>
      <w:r w:rsidR="006E5CE9" w:rsidRPr="00D14F27">
        <w:rPr>
          <w:lang w:val="en-GB"/>
        </w:rPr>
        <w:t>;</w:t>
      </w:r>
      <w:r w:rsidR="00BC24B1" w:rsidRPr="00D14F27">
        <w:rPr>
          <w:lang w:val="en-GB"/>
        </w:rPr>
        <w:t xml:space="preserve"> </w:t>
      </w:r>
      <w:r w:rsidR="00FD57EE" w:rsidRPr="00D14F27">
        <w:rPr>
          <w:lang w:val="en-GB"/>
        </w:rPr>
        <w:t xml:space="preserve">how </w:t>
      </w:r>
      <w:r w:rsidR="00BC24B1" w:rsidRPr="00D14F27">
        <w:rPr>
          <w:lang w:val="en-GB"/>
        </w:rPr>
        <w:t>values, beliefs and norms</w:t>
      </w:r>
      <w:r w:rsidR="00FD57EE" w:rsidRPr="00D14F27">
        <w:rPr>
          <w:lang w:val="en-GB"/>
        </w:rPr>
        <w:t xml:space="preserve"> guide behaviour and decision</w:t>
      </w:r>
      <w:r w:rsidR="006E5CE9" w:rsidRPr="00D14F27">
        <w:rPr>
          <w:lang w:val="en-GB"/>
        </w:rPr>
        <w:t>-</w:t>
      </w:r>
      <w:r w:rsidR="00FD57EE" w:rsidRPr="00D14F27">
        <w:rPr>
          <w:lang w:val="en-GB"/>
        </w:rPr>
        <w:t>making</w:t>
      </w:r>
      <w:r w:rsidR="006E5CE9" w:rsidRPr="00D14F27">
        <w:rPr>
          <w:lang w:val="en-GB"/>
        </w:rPr>
        <w:t>;</w:t>
      </w:r>
      <w:r w:rsidR="00BC24B1" w:rsidRPr="00D14F27">
        <w:rPr>
          <w:lang w:val="en-GB"/>
        </w:rPr>
        <w:t xml:space="preserve"> value formation; valuation methodologies (</w:t>
      </w:r>
      <w:r w:rsidR="00FD57EE" w:rsidRPr="00D14F27">
        <w:rPr>
          <w:lang w:val="en-GB"/>
        </w:rPr>
        <w:t xml:space="preserve">for </w:t>
      </w:r>
      <w:r w:rsidR="00BC24B1" w:rsidRPr="00D14F27">
        <w:rPr>
          <w:lang w:val="en-GB"/>
        </w:rPr>
        <w:t>market and non-market economic, human health and individual and shared social (economic and non-economic) values)</w:t>
      </w:r>
      <w:r w:rsidR="006E5CE9" w:rsidRPr="00D14F27">
        <w:rPr>
          <w:lang w:val="en-GB"/>
        </w:rPr>
        <w:t>;</w:t>
      </w:r>
      <w:r w:rsidR="00BC24B1" w:rsidRPr="00D14F27">
        <w:rPr>
          <w:lang w:val="en-GB"/>
        </w:rPr>
        <w:t xml:space="preserve"> and accounting methodologies for ecosystems and the provisioning, regulating and cultural services</w:t>
      </w:r>
      <w:r w:rsidR="00CF4405" w:rsidRPr="00D14F27">
        <w:rPr>
          <w:lang w:val="en-GB"/>
        </w:rPr>
        <w:t xml:space="preserve"> that they provide</w:t>
      </w:r>
      <w:r w:rsidR="00AC06CE" w:rsidRPr="00D14F27">
        <w:rPr>
          <w:lang w:val="en-GB"/>
        </w:rPr>
        <w:t>.</w:t>
      </w:r>
    </w:p>
    <w:p w:rsidR="00CA0D8E" w:rsidRPr="00D14F27" w:rsidRDefault="00DB5B2A" w:rsidP="00191BF5">
      <w:pPr>
        <w:pStyle w:val="CH2"/>
        <w:rPr>
          <w:b w:val="0"/>
          <w:lang w:val="en-GB"/>
        </w:rPr>
      </w:pPr>
      <w:r w:rsidRPr="00D14F27">
        <w:rPr>
          <w:lang w:val="en-GB"/>
        </w:rPr>
        <w:lastRenderedPageBreak/>
        <w:tab/>
      </w:r>
      <w:r w:rsidR="00CA0D8E" w:rsidRPr="00D14F27">
        <w:rPr>
          <w:lang w:val="en-GB"/>
        </w:rPr>
        <w:t>B.</w:t>
      </w:r>
      <w:r w:rsidR="00CA0D8E" w:rsidRPr="00D14F27">
        <w:rPr>
          <w:lang w:val="en-GB"/>
        </w:rPr>
        <w:tab/>
      </w:r>
      <w:r w:rsidR="00BC24B1" w:rsidRPr="00D14F27">
        <w:rPr>
          <w:lang w:val="en-GB"/>
        </w:rPr>
        <w:t>Rationale</w:t>
      </w:r>
    </w:p>
    <w:p w:rsidR="00BC24B1" w:rsidRPr="00D14F27" w:rsidRDefault="00CA0D8E" w:rsidP="00C16D01">
      <w:pPr>
        <w:pStyle w:val="Normalnumber"/>
        <w:rPr>
          <w:lang w:val="en-GB"/>
        </w:rPr>
      </w:pPr>
      <w:r w:rsidRPr="00D14F27">
        <w:rPr>
          <w:lang w:val="en-GB"/>
        </w:rPr>
        <w:t xml:space="preserve">The assessment </w:t>
      </w:r>
      <w:r w:rsidR="00E009A1" w:rsidRPr="00D14F27">
        <w:rPr>
          <w:lang w:val="en-GB"/>
        </w:rPr>
        <w:t>is proposed in response to a need for</w:t>
      </w:r>
      <w:r w:rsidRPr="00D14F27">
        <w:rPr>
          <w:lang w:val="en-GB"/>
        </w:rPr>
        <w:t xml:space="preserve"> a baseline </w:t>
      </w:r>
      <w:r w:rsidR="00E009A1" w:rsidRPr="00D14F27">
        <w:rPr>
          <w:lang w:val="en-GB"/>
        </w:rPr>
        <w:t xml:space="preserve">that will facilitate </w:t>
      </w:r>
      <w:r w:rsidR="00B7703C" w:rsidRPr="00D14F27">
        <w:rPr>
          <w:lang w:val="en-GB"/>
        </w:rPr>
        <w:t xml:space="preserve">the </w:t>
      </w:r>
      <w:r w:rsidR="00FD57EE" w:rsidRPr="00D14F27">
        <w:rPr>
          <w:lang w:val="en-GB"/>
        </w:rPr>
        <w:t>undertaking</w:t>
      </w:r>
      <w:r w:rsidR="00BC24B1" w:rsidRPr="00D14F27">
        <w:rPr>
          <w:lang w:val="en-GB"/>
        </w:rPr>
        <w:t xml:space="preserve"> </w:t>
      </w:r>
      <w:r w:rsidR="00B7703C" w:rsidRPr="00D14F27">
        <w:rPr>
          <w:lang w:val="en-GB"/>
        </w:rPr>
        <w:t xml:space="preserve">of </w:t>
      </w:r>
      <w:r w:rsidR="00BC24B1" w:rsidRPr="00D14F27">
        <w:rPr>
          <w:lang w:val="en-GB"/>
        </w:rPr>
        <w:t xml:space="preserve">global, regional, subregional and thematic assessments in a consistent manner </w:t>
      </w:r>
      <w:r w:rsidR="00E009A1" w:rsidRPr="00D14F27">
        <w:rPr>
          <w:lang w:val="en-GB"/>
        </w:rPr>
        <w:t xml:space="preserve">that </w:t>
      </w:r>
      <w:r w:rsidR="00BC24B1" w:rsidRPr="00D14F27">
        <w:rPr>
          <w:lang w:val="en-GB"/>
        </w:rPr>
        <w:t>recogniz</w:t>
      </w:r>
      <w:r w:rsidR="00E009A1" w:rsidRPr="00D14F27">
        <w:rPr>
          <w:lang w:val="en-GB"/>
        </w:rPr>
        <w:t>es</w:t>
      </w:r>
      <w:r w:rsidR="00AC06CE" w:rsidRPr="00D14F27">
        <w:rPr>
          <w:lang w:val="en-GB"/>
        </w:rPr>
        <w:t xml:space="preserve"> data availability limitations.</w:t>
      </w:r>
      <w:r w:rsidR="00072161" w:rsidRPr="00D14F27">
        <w:rPr>
          <w:lang w:val="en-GB"/>
        </w:rPr>
        <w:t xml:space="preserve"> </w:t>
      </w:r>
    </w:p>
    <w:p w:rsidR="00CA0D8E" w:rsidRPr="00D14F27" w:rsidRDefault="00DB5B2A" w:rsidP="00191BF5">
      <w:pPr>
        <w:pStyle w:val="CH2"/>
        <w:rPr>
          <w:lang w:val="en-GB"/>
        </w:rPr>
      </w:pPr>
      <w:r w:rsidRPr="00D14F27">
        <w:rPr>
          <w:lang w:val="en-GB"/>
        </w:rPr>
        <w:tab/>
      </w:r>
      <w:r w:rsidR="00CA0D8E" w:rsidRPr="00D14F27">
        <w:rPr>
          <w:lang w:val="en-GB"/>
        </w:rPr>
        <w:t>C.</w:t>
      </w:r>
      <w:r w:rsidR="00CA0D8E" w:rsidRPr="00D14F27">
        <w:rPr>
          <w:lang w:val="en-GB"/>
        </w:rPr>
        <w:tab/>
      </w:r>
      <w:r w:rsidR="00BC24B1" w:rsidRPr="00D14F27">
        <w:rPr>
          <w:lang w:val="en-GB"/>
        </w:rPr>
        <w:t>Utility</w:t>
      </w:r>
    </w:p>
    <w:p w:rsidR="00BC24B1" w:rsidRPr="00D14F27" w:rsidRDefault="00BC24B1" w:rsidP="00C16D01">
      <w:pPr>
        <w:pStyle w:val="Normalnumber"/>
        <w:rPr>
          <w:lang w:val="en-GB"/>
        </w:rPr>
      </w:pPr>
      <w:r w:rsidRPr="00D14F27">
        <w:rPr>
          <w:lang w:val="en-GB"/>
        </w:rPr>
        <w:t xml:space="preserve">The assessment will result in the </w:t>
      </w:r>
      <w:r w:rsidRPr="00D81A4C">
        <w:rPr>
          <w:sz w:val="22"/>
          <w:lang w:val="en-GB"/>
        </w:rPr>
        <w:t xml:space="preserve">development </w:t>
      </w:r>
      <w:r w:rsidRPr="00D14F27">
        <w:rPr>
          <w:lang w:val="en-GB"/>
        </w:rPr>
        <w:t xml:space="preserve">of guidelines for thematic and regional, subregional </w:t>
      </w:r>
      <w:r w:rsidR="00431485" w:rsidRPr="00D14F27">
        <w:rPr>
          <w:lang w:val="en-GB"/>
        </w:rPr>
        <w:t xml:space="preserve">and </w:t>
      </w:r>
      <w:r w:rsidRPr="00D14F27">
        <w:rPr>
          <w:lang w:val="en-GB"/>
        </w:rPr>
        <w:t xml:space="preserve">global assessments and the development of policy tools for incorporating economic, health and non-economic values into decision-making </w:t>
      </w:r>
      <w:r w:rsidR="00431485" w:rsidRPr="00D14F27">
        <w:rPr>
          <w:lang w:val="en-GB"/>
        </w:rPr>
        <w:t>by</w:t>
      </w:r>
      <w:r w:rsidRPr="00D14F27">
        <w:rPr>
          <w:lang w:val="en-GB"/>
        </w:rPr>
        <w:t xml:space="preserve"> Government</w:t>
      </w:r>
      <w:r w:rsidR="00431485" w:rsidRPr="00D14F27">
        <w:rPr>
          <w:lang w:val="en-GB"/>
        </w:rPr>
        <w:t>s</w:t>
      </w:r>
      <w:r w:rsidRPr="00D14F27">
        <w:rPr>
          <w:lang w:val="en-GB"/>
        </w:rPr>
        <w:t xml:space="preserve">, </w:t>
      </w:r>
      <w:r w:rsidR="00431485" w:rsidRPr="00D14F27">
        <w:rPr>
          <w:lang w:val="en-GB"/>
        </w:rPr>
        <w:t xml:space="preserve">the </w:t>
      </w:r>
      <w:r w:rsidRPr="00D14F27">
        <w:rPr>
          <w:lang w:val="en-GB"/>
        </w:rPr>
        <w:t>private sector and civil society</w:t>
      </w:r>
      <w:r w:rsidR="00072161" w:rsidRPr="00D14F27">
        <w:rPr>
          <w:lang w:val="en-GB"/>
        </w:rPr>
        <w:t>.</w:t>
      </w:r>
      <w:r w:rsidRPr="00D14F27">
        <w:rPr>
          <w:lang w:val="en-GB"/>
        </w:rPr>
        <w:t xml:space="preserve"> </w:t>
      </w:r>
    </w:p>
    <w:p w:rsidR="00BC24B1" w:rsidRPr="00D14F27" w:rsidRDefault="00BC24B1" w:rsidP="0039478F">
      <w:pPr>
        <w:pStyle w:val="CH1"/>
        <w:rPr>
          <w:lang w:val="en-GB"/>
        </w:rPr>
      </w:pPr>
      <w:r w:rsidRPr="00D14F27">
        <w:rPr>
          <w:lang w:val="en-GB"/>
        </w:rPr>
        <w:tab/>
      </w:r>
      <w:r w:rsidR="0039478F" w:rsidRPr="00D14F27">
        <w:rPr>
          <w:lang w:val="en-GB"/>
        </w:rPr>
        <w:t>I</w:t>
      </w:r>
      <w:r w:rsidR="00072161" w:rsidRPr="00D14F27">
        <w:rPr>
          <w:lang w:val="en-GB"/>
        </w:rPr>
        <w:t>I</w:t>
      </w:r>
      <w:r w:rsidR="0039478F" w:rsidRPr="00D14F27">
        <w:rPr>
          <w:lang w:val="en-GB"/>
        </w:rPr>
        <w:t>I</w:t>
      </w:r>
      <w:r w:rsidR="00072161" w:rsidRPr="00D14F27">
        <w:rPr>
          <w:lang w:val="en-GB"/>
        </w:rPr>
        <w:t>.</w:t>
      </w:r>
      <w:r w:rsidRPr="00D14F27">
        <w:rPr>
          <w:lang w:val="en-GB"/>
        </w:rPr>
        <w:tab/>
        <w:t xml:space="preserve">Chapter </w:t>
      </w:r>
      <w:r w:rsidR="00040480" w:rsidRPr="00D14F27">
        <w:rPr>
          <w:lang w:val="en-GB"/>
        </w:rPr>
        <w:t>o</w:t>
      </w:r>
      <w:r w:rsidRPr="00D14F27">
        <w:rPr>
          <w:lang w:val="en-GB"/>
        </w:rPr>
        <w:t>utline</w:t>
      </w:r>
    </w:p>
    <w:p w:rsidR="008A3853" w:rsidRPr="00D14F27" w:rsidRDefault="008A3853" w:rsidP="00C16D01">
      <w:pPr>
        <w:pStyle w:val="Normalnumber"/>
        <w:rPr>
          <w:lang w:val="en-GB"/>
        </w:rPr>
      </w:pPr>
      <w:r w:rsidRPr="00D14F27">
        <w:rPr>
          <w:lang w:val="en-GB"/>
        </w:rPr>
        <w:t>It is contemplated that the fast-track assessment will be presented in a</w:t>
      </w:r>
      <w:r w:rsidR="006C42A4" w:rsidRPr="00D14F27">
        <w:rPr>
          <w:lang w:val="en-GB"/>
        </w:rPr>
        <w:t xml:space="preserve"> nine-chapter</w:t>
      </w:r>
      <w:r w:rsidRPr="00D14F27">
        <w:rPr>
          <w:lang w:val="en-GB"/>
        </w:rPr>
        <w:t xml:space="preserve"> </w:t>
      </w:r>
      <w:r w:rsidR="006C42A4" w:rsidRPr="00D14F27">
        <w:rPr>
          <w:lang w:val="en-GB"/>
        </w:rPr>
        <w:t>report, as set out below:</w:t>
      </w:r>
    </w:p>
    <w:p w:rsidR="00BC24B1" w:rsidRPr="00D14F27" w:rsidRDefault="00BC24B1" w:rsidP="00C16D01">
      <w:pPr>
        <w:pStyle w:val="Normalnumber"/>
        <w:rPr>
          <w:lang w:val="en-GB"/>
        </w:rPr>
      </w:pPr>
      <w:r w:rsidRPr="00D14F27">
        <w:rPr>
          <w:lang w:val="en-GB"/>
        </w:rPr>
        <w:t>Chapter 1</w:t>
      </w:r>
      <w:r w:rsidR="008A3853" w:rsidRPr="00D14F27">
        <w:rPr>
          <w:lang w:val="en-GB"/>
        </w:rPr>
        <w:t xml:space="preserve"> of the assessment report will be an i</w:t>
      </w:r>
      <w:r w:rsidRPr="00D14F27">
        <w:rPr>
          <w:lang w:val="en-GB"/>
        </w:rPr>
        <w:t xml:space="preserve">ntroduction to human well-being and the notion of subjective and objective well-being, constituents and determinants of well-being and the distinction between individual and shared social values.  </w:t>
      </w:r>
    </w:p>
    <w:p w:rsidR="00BC24B1" w:rsidRPr="00D14F27" w:rsidRDefault="00BC24B1" w:rsidP="00C16D01">
      <w:pPr>
        <w:pStyle w:val="Normalnumber"/>
        <w:rPr>
          <w:lang w:val="en-GB"/>
        </w:rPr>
      </w:pPr>
      <w:r w:rsidRPr="00D14F27">
        <w:rPr>
          <w:lang w:val="en-GB"/>
        </w:rPr>
        <w:t>Chapter 2</w:t>
      </w:r>
      <w:r w:rsidR="008A3853" w:rsidRPr="00D14F27">
        <w:rPr>
          <w:lang w:val="en-GB"/>
        </w:rPr>
        <w:t xml:space="preserve"> will </w:t>
      </w:r>
      <w:r w:rsidR="005C47D1" w:rsidRPr="00D14F27">
        <w:rPr>
          <w:lang w:val="en-GB"/>
        </w:rPr>
        <w:t>discuss</w:t>
      </w:r>
      <w:r w:rsidRPr="00D14F27">
        <w:rPr>
          <w:lang w:val="en-GB"/>
        </w:rPr>
        <w:t xml:space="preserve"> how values are conceptualized; how beliefs, values and norms guide behaviour and decision-making; how values have been formed in the past and the factors that contribute to value formation at </w:t>
      </w:r>
      <w:r w:rsidR="00B61C81" w:rsidRPr="00D14F27">
        <w:rPr>
          <w:lang w:val="en-GB"/>
        </w:rPr>
        <w:t xml:space="preserve">the </w:t>
      </w:r>
      <w:r w:rsidRPr="00D14F27">
        <w:rPr>
          <w:lang w:val="en-GB"/>
        </w:rPr>
        <w:t>individual, household, community, subnational, national, regional and global</w:t>
      </w:r>
      <w:r w:rsidR="00B61C81" w:rsidRPr="00D14F27">
        <w:rPr>
          <w:lang w:val="en-GB"/>
        </w:rPr>
        <w:t xml:space="preserve"> levels</w:t>
      </w:r>
      <w:r w:rsidRPr="00D14F27">
        <w:rPr>
          <w:lang w:val="en-GB"/>
        </w:rPr>
        <w:t xml:space="preserve">; and value formation under </w:t>
      </w:r>
      <w:r w:rsidR="00B61C81" w:rsidRPr="00D14F27">
        <w:rPr>
          <w:lang w:val="en-GB"/>
        </w:rPr>
        <w:t xml:space="preserve">various </w:t>
      </w:r>
      <w:r w:rsidRPr="00D14F27">
        <w:rPr>
          <w:lang w:val="en-GB"/>
        </w:rPr>
        <w:t xml:space="preserve">external and internal conditions.  </w:t>
      </w:r>
    </w:p>
    <w:p w:rsidR="00BC24B1" w:rsidRPr="00D14F27" w:rsidRDefault="00BC24B1" w:rsidP="003971A5">
      <w:pPr>
        <w:pStyle w:val="Normalnumber"/>
        <w:rPr>
          <w:lang w:val="en-GB"/>
        </w:rPr>
      </w:pPr>
      <w:r w:rsidRPr="00D14F27">
        <w:rPr>
          <w:lang w:val="en-GB"/>
        </w:rPr>
        <w:t>Chapter 3</w:t>
      </w:r>
      <w:r w:rsidR="009C7D35" w:rsidRPr="00D14F27">
        <w:rPr>
          <w:lang w:val="en-GB"/>
        </w:rPr>
        <w:t xml:space="preserve"> will i</w:t>
      </w:r>
      <w:r w:rsidRPr="00D14F27">
        <w:rPr>
          <w:lang w:val="en-GB"/>
        </w:rPr>
        <w:t>ntroduc</w:t>
      </w:r>
      <w:r w:rsidR="009C7D35" w:rsidRPr="00D14F27">
        <w:rPr>
          <w:lang w:val="en-GB"/>
        </w:rPr>
        <w:t>e</w:t>
      </w:r>
      <w:r w:rsidRPr="00D14F27">
        <w:rPr>
          <w:lang w:val="en-GB"/>
        </w:rPr>
        <w:t xml:space="preserve"> the concepts of valuation and accounting (discussing the application, utility and complementarity of these two different approaches) and the importance and use of economic and non-economic values and accounting systems in conducting assessments, reporting and decision-making</w:t>
      </w:r>
      <w:r w:rsidR="009C7D35" w:rsidRPr="00D14F27">
        <w:rPr>
          <w:lang w:val="en-GB"/>
        </w:rPr>
        <w:t xml:space="preserve">. The chapter will </w:t>
      </w:r>
      <w:r w:rsidRPr="00D14F27">
        <w:rPr>
          <w:lang w:val="en-GB"/>
        </w:rPr>
        <w:t>build on previous work</w:t>
      </w:r>
      <w:r w:rsidR="009C7D35" w:rsidRPr="00D14F27">
        <w:rPr>
          <w:lang w:val="en-GB"/>
        </w:rPr>
        <w:t>, including work on the economics of ecosystems and biodiversity</w:t>
      </w:r>
      <w:r w:rsidR="008433CD" w:rsidRPr="00D14F27">
        <w:rPr>
          <w:lang w:val="en-GB"/>
        </w:rPr>
        <w:t>;</w:t>
      </w:r>
      <w:r w:rsidR="009C7D35" w:rsidRPr="00D14F27">
        <w:rPr>
          <w:lang w:val="en-GB"/>
        </w:rPr>
        <w:t xml:space="preserve"> the </w:t>
      </w:r>
      <w:r w:rsidR="006C42A4" w:rsidRPr="00D14F27">
        <w:rPr>
          <w:lang w:val="en-GB"/>
        </w:rPr>
        <w:t xml:space="preserve">National Ecosystem Assessment of the </w:t>
      </w:r>
      <w:r w:rsidR="009C7D35" w:rsidRPr="00D14F27">
        <w:rPr>
          <w:lang w:val="en-GB"/>
        </w:rPr>
        <w:t>United Kingdom of Great Britain and Northern Ireland</w:t>
      </w:r>
      <w:r w:rsidR="006C42A4" w:rsidRPr="00D14F27">
        <w:rPr>
          <w:lang w:val="en-GB"/>
        </w:rPr>
        <w:t xml:space="preserve"> </w:t>
      </w:r>
      <w:r w:rsidR="008433CD" w:rsidRPr="00D14F27">
        <w:rPr>
          <w:lang w:val="en-GB"/>
        </w:rPr>
        <w:t>;</w:t>
      </w:r>
      <w:r w:rsidR="009C7D35" w:rsidRPr="00D14F27">
        <w:rPr>
          <w:lang w:val="en-GB"/>
        </w:rPr>
        <w:t xml:space="preserve"> the</w:t>
      </w:r>
      <w:r w:rsidR="00661163" w:rsidRPr="00D14F27">
        <w:rPr>
          <w:lang w:val="en-GB"/>
        </w:rPr>
        <w:t xml:space="preserve"> </w:t>
      </w:r>
      <w:r w:rsidR="009C7D35" w:rsidRPr="00D14F27">
        <w:rPr>
          <w:lang w:val="en-GB"/>
        </w:rPr>
        <w:t>Wealth Accounting and the Valuation of Ecosystem Services programme</w:t>
      </w:r>
      <w:r w:rsidR="00661163" w:rsidRPr="00D14F27">
        <w:rPr>
          <w:lang w:val="en-GB"/>
        </w:rPr>
        <w:t xml:space="preserve"> of the World Bank</w:t>
      </w:r>
      <w:r w:rsidR="009C7D35" w:rsidRPr="00D14F27">
        <w:rPr>
          <w:lang w:val="en-GB"/>
        </w:rPr>
        <w:t xml:space="preserve">; </w:t>
      </w:r>
      <w:r w:rsidR="00661163" w:rsidRPr="00D81A4C">
        <w:rPr>
          <w:lang w:val="en-GB"/>
        </w:rPr>
        <w:t xml:space="preserve">the </w:t>
      </w:r>
      <w:r w:rsidR="009C7D35" w:rsidRPr="00D14F27">
        <w:rPr>
          <w:lang w:val="en-GB"/>
        </w:rPr>
        <w:t xml:space="preserve">Turkish </w:t>
      </w:r>
      <w:r w:rsidR="00661163" w:rsidRPr="00D81A4C">
        <w:rPr>
          <w:lang w:val="en-GB"/>
        </w:rPr>
        <w:t>p</w:t>
      </w:r>
      <w:r w:rsidR="009C7D35" w:rsidRPr="00D14F27">
        <w:rPr>
          <w:lang w:val="en-GB"/>
        </w:rPr>
        <w:t xml:space="preserve">roject </w:t>
      </w:r>
      <w:r w:rsidR="00661163" w:rsidRPr="00D81A4C">
        <w:rPr>
          <w:lang w:val="en-GB"/>
        </w:rPr>
        <w:t>to</w:t>
      </w:r>
      <w:r w:rsidR="009C7D35" w:rsidRPr="00D14F27">
        <w:rPr>
          <w:lang w:val="en-GB"/>
        </w:rPr>
        <w:t xml:space="preserve"> </w:t>
      </w:r>
      <w:r w:rsidR="00661163" w:rsidRPr="00D81A4C">
        <w:rPr>
          <w:lang w:val="en-GB"/>
        </w:rPr>
        <w:t>t</w:t>
      </w:r>
      <w:r w:rsidR="009C7D35" w:rsidRPr="00D14F27">
        <w:rPr>
          <w:lang w:val="en-GB"/>
        </w:rPr>
        <w:t xml:space="preserve">rain </w:t>
      </w:r>
      <w:r w:rsidR="00661163" w:rsidRPr="00D81A4C">
        <w:rPr>
          <w:lang w:val="en-GB"/>
        </w:rPr>
        <w:t>i</w:t>
      </w:r>
      <w:r w:rsidR="009C7D35" w:rsidRPr="00D14F27">
        <w:rPr>
          <w:lang w:val="en-GB"/>
        </w:rPr>
        <w:t xml:space="preserve">nterest </w:t>
      </w:r>
      <w:r w:rsidR="00661163" w:rsidRPr="00D81A4C">
        <w:rPr>
          <w:lang w:val="en-GB"/>
        </w:rPr>
        <w:t>g</w:t>
      </w:r>
      <w:r w:rsidR="009C7D35" w:rsidRPr="00D14F27">
        <w:rPr>
          <w:lang w:val="en-GB"/>
        </w:rPr>
        <w:t xml:space="preserve">roups and </w:t>
      </w:r>
      <w:r w:rsidR="00661163" w:rsidRPr="00D81A4C">
        <w:rPr>
          <w:lang w:val="en-GB"/>
        </w:rPr>
        <w:t>prepare g</w:t>
      </w:r>
      <w:r w:rsidR="009C7D35" w:rsidRPr="00D14F27">
        <w:rPr>
          <w:lang w:val="en-GB"/>
        </w:rPr>
        <w:t>uideline</w:t>
      </w:r>
      <w:r w:rsidR="00661163" w:rsidRPr="00D81A4C">
        <w:rPr>
          <w:lang w:val="en-GB"/>
        </w:rPr>
        <w:t>s</w:t>
      </w:r>
      <w:r w:rsidR="009C7D35" w:rsidRPr="00D14F27">
        <w:rPr>
          <w:lang w:val="en-GB"/>
        </w:rPr>
        <w:t xml:space="preserve"> for </w:t>
      </w:r>
      <w:r w:rsidR="00661163" w:rsidRPr="00D81A4C">
        <w:rPr>
          <w:lang w:val="en-GB"/>
        </w:rPr>
        <w:t>the i</w:t>
      </w:r>
      <w:r w:rsidR="009C7D35" w:rsidRPr="00D14F27">
        <w:rPr>
          <w:lang w:val="en-GB"/>
        </w:rPr>
        <w:t xml:space="preserve">ntegration of </w:t>
      </w:r>
      <w:r w:rsidR="00661163" w:rsidRPr="00D81A4C">
        <w:rPr>
          <w:lang w:val="en-GB"/>
        </w:rPr>
        <w:t>n</w:t>
      </w:r>
      <w:r w:rsidR="009C7D35" w:rsidRPr="00D14F27">
        <w:rPr>
          <w:lang w:val="en-GB"/>
        </w:rPr>
        <w:t xml:space="preserve">ature </w:t>
      </w:r>
      <w:r w:rsidR="00661163" w:rsidRPr="00D81A4C">
        <w:rPr>
          <w:lang w:val="en-GB"/>
        </w:rPr>
        <w:t>c</w:t>
      </w:r>
      <w:r w:rsidR="009C7D35" w:rsidRPr="00D14F27">
        <w:rPr>
          <w:lang w:val="en-GB"/>
        </w:rPr>
        <w:t xml:space="preserve">onservation into </w:t>
      </w:r>
      <w:r w:rsidR="00661163" w:rsidRPr="00D81A4C">
        <w:rPr>
          <w:lang w:val="en-GB"/>
        </w:rPr>
        <w:t>the e</w:t>
      </w:r>
      <w:r w:rsidR="009C7D35" w:rsidRPr="00D14F27">
        <w:rPr>
          <w:lang w:val="en-GB"/>
        </w:rPr>
        <w:t xml:space="preserve">conomic </w:t>
      </w:r>
      <w:r w:rsidR="00661163" w:rsidRPr="00D81A4C">
        <w:rPr>
          <w:lang w:val="en-GB"/>
        </w:rPr>
        <w:t>s</w:t>
      </w:r>
      <w:r w:rsidR="009C7D35" w:rsidRPr="00D14F27">
        <w:rPr>
          <w:lang w:val="en-GB"/>
        </w:rPr>
        <w:t>ystem</w:t>
      </w:r>
      <w:r w:rsidR="008433CD" w:rsidRPr="00D14F27">
        <w:rPr>
          <w:lang w:val="en-GB"/>
        </w:rPr>
        <w:t>;</w:t>
      </w:r>
      <w:r w:rsidR="009C7D35" w:rsidRPr="00D14F27">
        <w:rPr>
          <w:lang w:val="en-GB"/>
        </w:rPr>
        <w:t xml:space="preserve"> work by the United</w:t>
      </w:r>
      <w:r w:rsidR="00191BF5" w:rsidRPr="00D14F27">
        <w:rPr>
          <w:lang w:val="en-GB"/>
        </w:rPr>
        <w:t> </w:t>
      </w:r>
      <w:r w:rsidR="009C7D35" w:rsidRPr="00D14F27">
        <w:rPr>
          <w:lang w:val="en-GB"/>
        </w:rPr>
        <w:t>Nations Committee o</w:t>
      </w:r>
      <w:r w:rsidR="008B3C75" w:rsidRPr="00D14F27">
        <w:rPr>
          <w:lang w:val="en-GB"/>
        </w:rPr>
        <w:t>f Experts on Environmental-</w:t>
      </w:r>
      <w:r w:rsidR="009C7D35" w:rsidRPr="00D14F27">
        <w:rPr>
          <w:lang w:val="en-GB"/>
        </w:rPr>
        <w:t>Economic Accounting; the United Nations System of Environment</w:t>
      </w:r>
      <w:r w:rsidR="008433CD" w:rsidRPr="00D14F27">
        <w:rPr>
          <w:lang w:val="en-GB"/>
        </w:rPr>
        <w:t>al</w:t>
      </w:r>
      <w:r w:rsidR="009C7D35" w:rsidRPr="00D14F27">
        <w:rPr>
          <w:lang w:val="en-GB"/>
        </w:rPr>
        <w:t>-Economic Accounting</w:t>
      </w:r>
      <w:r w:rsidR="008433CD" w:rsidRPr="00D14F27">
        <w:rPr>
          <w:lang w:val="en-GB"/>
        </w:rPr>
        <w:t>;</w:t>
      </w:r>
      <w:r w:rsidR="009C7D35" w:rsidRPr="00D14F27">
        <w:rPr>
          <w:lang w:val="en-GB"/>
        </w:rPr>
        <w:t xml:space="preserve"> and the Inclusive Wealth Report</w:t>
      </w:r>
      <w:r w:rsidRPr="00D14F27">
        <w:rPr>
          <w:lang w:val="en-GB"/>
        </w:rPr>
        <w:t xml:space="preserve">. Issues to be </w:t>
      </w:r>
      <w:r w:rsidR="00D24B52" w:rsidRPr="00D14F27">
        <w:rPr>
          <w:lang w:val="en-GB"/>
        </w:rPr>
        <w:t xml:space="preserve">addressed </w:t>
      </w:r>
      <w:r w:rsidRPr="00D14F27">
        <w:rPr>
          <w:lang w:val="en-GB"/>
        </w:rPr>
        <w:t>include:</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(a)</w:t>
      </w:r>
      <w:r w:rsidRPr="00D14F27">
        <w:rPr>
          <w:lang w:val="en-GB"/>
        </w:rPr>
        <w:tab/>
      </w:r>
      <w:r w:rsidR="00BC24B1" w:rsidRPr="00D14F27">
        <w:rPr>
          <w:lang w:val="en-GB"/>
        </w:rPr>
        <w:t>Total and marginal values, discounting, limitations, uncertainties, principles of economic analysis, stocks and flows of ecosystem services, and sectoral and macroeconomic implications</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(b)</w:t>
      </w:r>
      <w:r w:rsidRPr="00D14F27">
        <w:rPr>
          <w:lang w:val="en-GB"/>
        </w:rPr>
        <w:tab/>
      </w:r>
      <w:r w:rsidR="00D24B52" w:rsidRPr="00D14F27">
        <w:rPr>
          <w:lang w:val="en-GB"/>
        </w:rPr>
        <w:t>I</w:t>
      </w:r>
      <w:r w:rsidR="00BC24B1" w:rsidRPr="00D14F27">
        <w:rPr>
          <w:lang w:val="en-GB"/>
        </w:rPr>
        <w:t>nteractions between the economy and the environment, including stocks and changes in stocks of environmental assets</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(c)</w:t>
      </w:r>
      <w:r w:rsidRPr="00D14F27">
        <w:rPr>
          <w:lang w:val="en-GB"/>
        </w:rPr>
        <w:tab/>
      </w:r>
      <w:r w:rsidR="00BC24B1" w:rsidRPr="00D14F27">
        <w:rPr>
          <w:lang w:val="en-GB"/>
        </w:rPr>
        <w:t xml:space="preserve">Theoretical issues concerning </w:t>
      </w:r>
      <w:r w:rsidR="00D24B52" w:rsidRPr="00D14F27">
        <w:rPr>
          <w:lang w:val="en-GB"/>
        </w:rPr>
        <w:t xml:space="preserve">the </w:t>
      </w:r>
      <w:r w:rsidR="00BC24B1" w:rsidRPr="00D14F27">
        <w:rPr>
          <w:lang w:val="en-GB"/>
        </w:rPr>
        <w:t>valuation of biodiversity; existence value, opportunity costs (non-reversible biodiversity loss), shared values</w:t>
      </w:r>
      <w:r w:rsidR="00D24B52" w:rsidRPr="00D14F27">
        <w:rPr>
          <w:lang w:val="en-GB"/>
        </w:rPr>
        <w:t xml:space="preserve"> and</w:t>
      </w:r>
      <w:r w:rsidR="00BC24B1" w:rsidRPr="00D14F27">
        <w:rPr>
          <w:lang w:val="en-GB"/>
        </w:rPr>
        <w:t xml:space="preserve"> use of portfolio theory (bundling)</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(d)</w:t>
      </w:r>
      <w:r w:rsidRPr="00D14F27">
        <w:rPr>
          <w:lang w:val="en-GB"/>
        </w:rPr>
        <w:tab/>
      </w:r>
      <w:r w:rsidR="00BC24B1" w:rsidRPr="00D14F27">
        <w:rPr>
          <w:lang w:val="en-GB"/>
        </w:rPr>
        <w:t>Strong versus weak sustainability</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(e)</w:t>
      </w:r>
      <w:r w:rsidRPr="00D14F27">
        <w:rPr>
          <w:lang w:val="en-GB"/>
        </w:rPr>
        <w:tab/>
      </w:r>
      <w:r w:rsidR="00BC24B1" w:rsidRPr="00D14F27">
        <w:rPr>
          <w:lang w:val="en-GB"/>
        </w:rPr>
        <w:t>First order and second order marginal rates of substitution and marginal rates of transformation</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r>
      <w:r w:rsidRPr="00D81A4C">
        <w:rPr>
          <w:lang w:val="en-GB"/>
        </w:rPr>
        <w:t>(f)</w:t>
      </w:r>
      <w:r w:rsidRPr="00D81A4C">
        <w:rPr>
          <w:lang w:val="en-GB"/>
        </w:rPr>
        <w:tab/>
      </w:r>
      <w:r w:rsidR="00BC24B1" w:rsidRPr="00D81A4C">
        <w:rPr>
          <w:lang w:val="en-GB"/>
        </w:rPr>
        <w:t>Total economic value</w:t>
      </w:r>
      <w:r w:rsidR="00CB09F4" w:rsidRPr="00D81A4C">
        <w:rPr>
          <w:lang w:val="en-GB"/>
        </w:rPr>
        <w:t>:</w:t>
      </w:r>
      <w:r w:rsidR="00BC24B1" w:rsidRPr="00D81A4C">
        <w:rPr>
          <w:lang w:val="en-GB"/>
        </w:rPr>
        <w:t xml:space="preserve"> use value (direct use), non-use value (indirect use), </w:t>
      </w:r>
      <w:hyperlink r:id="rId11" w:tooltip="Option value" w:history="1">
        <w:r w:rsidR="00BC24B1" w:rsidRPr="00D81A4C">
          <w:rPr>
            <w:lang w:val="en-GB"/>
          </w:rPr>
          <w:t>option value</w:t>
        </w:r>
      </w:hyperlink>
      <w:r w:rsidR="00BC24B1" w:rsidRPr="00D81A4C">
        <w:rPr>
          <w:lang w:val="en-GB"/>
        </w:rPr>
        <w:t>, bequest or existence values</w:t>
      </w:r>
      <w:r w:rsidR="00D24B52" w:rsidRPr="00D81A4C">
        <w:rPr>
          <w:lang w:val="en-GB"/>
        </w:rPr>
        <w:t xml:space="preserve"> and</w:t>
      </w:r>
      <w:r w:rsidR="00BC24B1" w:rsidRPr="00D81A4C">
        <w:rPr>
          <w:lang w:val="en-GB"/>
        </w:rPr>
        <w:t xml:space="preserve"> individual</w:t>
      </w:r>
      <w:r w:rsidR="00BC24B1" w:rsidRPr="00D14F27">
        <w:rPr>
          <w:lang w:val="en-GB"/>
        </w:rPr>
        <w:t xml:space="preserve"> and shared social values</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(g)</w:t>
      </w:r>
      <w:r w:rsidRPr="00D14F27">
        <w:rPr>
          <w:lang w:val="en-GB"/>
        </w:rPr>
        <w:tab/>
      </w:r>
      <w:r w:rsidR="0001674E" w:rsidRPr="00D14F27">
        <w:rPr>
          <w:lang w:val="en-GB"/>
        </w:rPr>
        <w:t>V</w:t>
      </w:r>
      <w:r w:rsidR="00BC24B1" w:rsidRPr="00D14F27">
        <w:rPr>
          <w:lang w:val="en-GB"/>
        </w:rPr>
        <w:t>aluation in the long-term view of changes in linked social-ecological systems</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(h)</w:t>
      </w:r>
      <w:r w:rsidRPr="00D14F27">
        <w:rPr>
          <w:lang w:val="en-GB"/>
        </w:rPr>
        <w:tab/>
      </w:r>
      <w:r w:rsidR="00BC24B1" w:rsidRPr="00D14F27">
        <w:rPr>
          <w:lang w:val="en-GB"/>
        </w:rPr>
        <w:t xml:space="preserve">Implications of future flows of ecosystem services, </w:t>
      </w:r>
      <w:r w:rsidR="0001674E" w:rsidRPr="00D14F27">
        <w:rPr>
          <w:lang w:val="en-GB"/>
        </w:rPr>
        <w:t>including</w:t>
      </w:r>
      <w:r w:rsidR="00BC24B1" w:rsidRPr="00D14F27">
        <w:rPr>
          <w:lang w:val="en-GB"/>
        </w:rPr>
        <w:t xml:space="preserve"> implications for intergenerational equity</w:t>
      </w:r>
      <w:r w:rsidR="00AC06CE" w:rsidRPr="00D14F27">
        <w:rPr>
          <w:lang w:val="en-GB"/>
        </w:rPr>
        <w:t>;</w:t>
      </w:r>
    </w:p>
    <w:p w:rsidR="00BC24B1" w:rsidRPr="00D14F27" w:rsidRDefault="00C16D01" w:rsidP="00191BF5">
      <w:pPr>
        <w:pStyle w:val="NormalNonumber"/>
        <w:tabs>
          <w:tab w:val="clear" w:pos="1247"/>
          <w:tab w:val="clear" w:pos="1814"/>
          <w:tab w:val="clear" w:pos="2381"/>
          <w:tab w:val="clear" w:pos="2948"/>
          <w:tab w:val="clear" w:pos="3515"/>
          <w:tab w:val="clear" w:pos="4082"/>
          <w:tab w:val="left" w:pos="624"/>
        </w:tabs>
        <w:ind w:firstLine="624"/>
        <w:rPr>
          <w:lang w:val="en-GB"/>
        </w:rPr>
      </w:pPr>
      <w:r w:rsidRPr="00D14F27">
        <w:rPr>
          <w:lang w:val="en-GB"/>
        </w:rPr>
        <w:tab/>
        <w:t>(i)</w:t>
      </w:r>
      <w:r w:rsidR="003971A5" w:rsidRPr="00D14F27">
        <w:rPr>
          <w:lang w:val="en-GB"/>
        </w:rPr>
        <w:tab/>
      </w:r>
      <w:r w:rsidR="00BC24B1" w:rsidRPr="00D14F27">
        <w:rPr>
          <w:lang w:val="en-GB"/>
        </w:rPr>
        <w:t>Theory and practical applications of national accounting systems</w:t>
      </w:r>
      <w:r w:rsidR="00AC06CE" w:rsidRPr="00D14F27">
        <w:rPr>
          <w:lang w:val="en-GB"/>
        </w:rPr>
        <w:t>.</w:t>
      </w:r>
    </w:p>
    <w:p w:rsidR="00BC24B1" w:rsidRPr="00D14F27" w:rsidRDefault="00BC24B1" w:rsidP="003971A5">
      <w:pPr>
        <w:pStyle w:val="Normalnumber"/>
        <w:rPr>
          <w:lang w:val="en-GB" w:eastAsia="en-GB"/>
        </w:rPr>
      </w:pPr>
      <w:r w:rsidRPr="00D14F27">
        <w:rPr>
          <w:lang w:val="en-GB"/>
        </w:rPr>
        <w:t>Chapter 4</w:t>
      </w:r>
      <w:r w:rsidR="0053561E" w:rsidRPr="00D14F27">
        <w:rPr>
          <w:lang w:val="en-GB"/>
        </w:rPr>
        <w:t xml:space="preserve"> will </w:t>
      </w:r>
      <w:r w:rsidR="005C47D1" w:rsidRPr="00D14F27">
        <w:rPr>
          <w:lang w:val="en-GB"/>
        </w:rPr>
        <w:t xml:space="preserve">discuss </w:t>
      </w:r>
      <w:r w:rsidRPr="00D14F27">
        <w:rPr>
          <w:lang w:val="en-GB"/>
        </w:rPr>
        <w:t xml:space="preserve">economic </w:t>
      </w:r>
      <w:r w:rsidR="00FD57EE" w:rsidRPr="00D14F27">
        <w:rPr>
          <w:lang w:val="en-GB"/>
        </w:rPr>
        <w:t>methodologies and approaches</w:t>
      </w:r>
      <w:r w:rsidR="005C47D1" w:rsidRPr="00D14F27">
        <w:rPr>
          <w:lang w:val="en-GB"/>
        </w:rPr>
        <w:t xml:space="preserve"> relevant to</w:t>
      </w:r>
      <w:r w:rsidRPr="00D14F27">
        <w:rPr>
          <w:lang w:val="en-GB"/>
        </w:rPr>
        <w:t xml:space="preserve"> ecosystem services</w:t>
      </w:r>
      <w:r w:rsidR="005C47D1" w:rsidRPr="00D14F27">
        <w:rPr>
          <w:lang w:val="en-GB"/>
        </w:rPr>
        <w:t>,</w:t>
      </w:r>
      <w:r w:rsidRPr="00D14F27">
        <w:rPr>
          <w:lang w:val="en-GB"/>
        </w:rPr>
        <w:t xml:space="preserve"> such as value via adjusted market prices, contribution to output, avoided costs, production function, observed and experimental behaviour and stated preferences, for a range of ecosystem services, including agricultural food production, water quantity and quality, human health, carbon storage, recreation and tourism, pollination, energy production, pollution removal, waste assimilation</w:t>
      </w:r>
      <w:r w:rsidR="005C47D1" w:rsidRPr="00D14F27">
        <w:rPr>
          <w:lang w:val="en-GB"/>
        </w:rPr>
        <w:t xml:space="preserve"> </w:t>
      </w:r>
      <w:r w:rsidR="005C47D1" w:rsidRPr="00D14F27">
        <w:rPr>
          <w:lang w:val="en-GB"/>
        </w:rPr>
        <w:lastRenderedPageBreak/>
        <w:t>and</w:t>
      </w:r>
      <w:r w:rsidRPr="00D14F27">
        <w:rPr>
          <w:lang w:val="en-GB"/>
        </w:rPr>
        <w:t xml:space="preserve"> biodiversity use and non</w:t>
      </w:r>
      <w:r w:rsidR="005C47D1" w:rsidRPr="00D14F27">
        <w:rPr>
          <w:lang w:val="en-GB"/>
        </w:rPr>
        <w:noBreakHyphen/>
      </w:r>
      <w:r w:rsidRPr="00D14F27">
        <w:rPr>
          <w:lang w:val="en-GB"/>
        </w:rPr>
        <w:t>use values</w:t>
      </w:r>
      <w:r w:rsidR="00C9105D" w:rsidRPr="00D14F27">
        <w:rPr>
          <w:lang w:val="en-GB"/>
        </w:rPr>
        <w:t>, among other things</w:t>
      </w:r>
      <w:r w:rsidRPr="00D14F27">
        <w:rPr>
          <w:lang w:val="en-GB"/>
        </w:rPr>
        <w:t xml:space="preserve">. </w:t>
      </w:r>
      <w:r w:rsidR="00C9105D" w:rsidRPr="00D14F27">
        <w:rPr>
          <w:lang w:val="en-GB"/>
        </w:rPr>
        <w:t>T</w:t>
      </w:r>
      <w:r w:rsidRPr="00D14F27">
        <w:rPr>
          <w:lang w:val="en-GB" w:eastAsia="en-GB"/>
        </w:rPr>
        <w:t>he need to consider risk and uncertainty, and irreducible uncertainty around the risk distribution for some elements of future events</w:t>
      </w:r>
      <w:r w:rsidR="00C9105D" w:rsidRPr="00D14F27">
        <w:rPr>
          <w:lang w:val="en-GB" w:eastAsia="en-GB"/>
        </w:rPr>
        <w:t xml:space="preserve">, will </w:t>
      </w:r>
      <w:r w:rsidR="005C47D1" w:rsidRPr="00D14F27">
        <w:rPr>
          <w:lang w:val="en-GB" w:eastAsia="en-GB"/>
        </w:rPr>
        <w:t xml:space="preserve">also </w:t>
      </w:r>
      <w:r w:rsidR="00C9105D" w:rsidRPr="00D14F27">
        <w:rPr>
          <w:lang w:val="en-GB" w:eastAsia="en-GB"/>
        </w:rPr>
        <w:t>be discussed</w:t>
      </w:r>
      <w:r w:rsidR="00AC06CE" w:rsidRPr="00D14F27">
        <w:rPr>
          <w:lang w:val="en-GB" w:eastAsia="en-GB"/>
        </w:rPr>
        <w:t>.</w:t>
      </w:r>
    </w:p>
    <w:p w:rsidR="00BC24B1" w:rsidRPr="00D14F27" w:rsidRDefault="00BC24B1" w:rsidP="00191BF5">
      <w:pPr>
        <w:pStyle w:val="Normalnumber"/>
        <w:keepNext/>
        <w:keepLines/>
        <w:rPr>
          <w:lang w:val="en-GB"/>
        </w:rPr>
      </w:pPr>
      <w:r w:rsidRPr="00D14F27">
        <w:rPr>
          <w:lang w:val="en-GB"/>
        </w:rPr>
        <w:t>Chapter 5</w:t>
      </w:r>
      <w:r w:rsidR="00734262" w:rsidRPr="00D14F27">
        <w:rPr>
          <w:lang w:val="en-GB"/>
        </w:rPr>
        <w:t xml:space="preserve"> will </w:t>
      </w:r>
      <w:r w:rsidR="00FB1F09" w:rsidRPr="00D14F27">
        <w:rPr>
          <w:lang w:val="en-GB"/>
        </w:rPr>
        <w:t>consider</w:t>
      </w:r>
      <w:r w:rsidRPr="00D14F27">
        <w:rPr>
          <w:lang w:val="en-GB"/>
        </w:rPr>
        <w:t xml:space="preserve"> ecosystem services</w:t>
      </w:r>
      <w:r w:rsidR="00FB1F09" w:rsidRPr="00D14F27">
        <w:rPr>
          <w:lang w:val="en-GB"/>
        </w:rPr>
        <w:t xml:space="preserve"> </w:t>
      </w:r>
      <w:r w:rsidR="00174954" w:rsidRPr="00D14F27">
        <w:rPr>
          <w:lang w:val="en-GB"/>
        </w:rPr>
        <w:t>that contribute</w:t>
      </w:r>
      <w:r w:rsidR="00FB1F09" w:rsidRPr="00D14F27">
        <w:rPr>
          <w:lang w:val="en-GB"/>
        </w:rPr>
        <w:t xml:space="preserve"> to health</w:t>
      </w:r>
      <w:r w:rsidRPr="00D14F27">
        <w:rPr>
          <w:lang w:val="en-GB"/>
        </w:rPr>
        <w:t xml:space="preserve"> </w:t>
      </w:r>
      <w:r w:rsidR="00FB1F09" w:rsidRPr="00D14F27">
        <w:rPr>
          <w:lang w:val="en-GB"/>
        </w:rPr>
        <w:t>(</w:t>
      </w:r>
      <w:r w:rsidR="00FD57EE" w:rsidRPr="00D14F27">
        <w:rPr>
          <w:lang w:val="en-GB"/>
        </w:rPr>
        <w:t xml:space="preserve">taking into account and </w:t>
      </w:r>
      <w:r w:rsidRPr="00D14F27">
        <w:rPr>
          <w:lang w:val="en-GB"/>
        </w:rPr>
        <w:t xml:space="preserve">avoiding double counting </w:t>
      </w:r>
      <w:r w:rsidR="006139DA" w:rsidRPr="00D14F27">
        <w:rPr>
          <w:lang w:val="en-GB"/>
        </w:rPr>
        <w:t xml:space="preserve">of </w:t>
      </w:r>
      <w:r w:rsidRPr="00D14F27">
        <w:rPr>
          <w:lang w:val="en-GB"/>
        </w:rPr>
        <w:t xml:space="preserve">ecosystem services </w:t>
      </w:r>
      <w:r w:rsidR="006139DA" w:rsidRPr="00D14F27">
        <w:rPr>
          <w:lang w:val="en-GB"/>
        </w:rPr>
        <w:t xml:space="preserve">that might be considered not only in connection with health but also in connection with other areas such as nutrition and human health, as </w:t>
      </w:r>
      <w:r w:rsidRPr="00D14F27">
        <w:rPr>
          <w:lang w:val="en-GB"/>
        </w:rPr>
        <w:t>discussed in chapters 4 and 6)</w:t>
      </w:r>
      <w:r w:rsidR="00734262" w:rsidRPr="00D14F27">
        <w:rPr>
          <w:lang w:val="en-GB"/>
        </w:rPr>
        <w:t>.</w:t>
      </w:r>
      <w:r w:rsidR="00734262" w:rsidRPr="00D14F27">
        <w:rPr>
          <w:b/>
          <w:lang w:val="en-GB"/>
        </w:rPr>
        <w:t xml:space="preserve"> </w:t>
      </w:r>
      <w:r w:rsidR="00734262" w:rsidRPr="00D14F27">
        <w:rPr>
          <w:lang w:val="en-GB"/>
        </w:rPr>
        <w:t xml:space="preserve">Issues discussed will include </w:t>
      </w:r>
      <w:r w:rsidRPr="00D14F27">
        <w:rPr>
          <w:lang w:val="en-GB"/>
        </w:rPr>
        <w:t xml:space="preserve">methodologies </w:t>
      </w:r>
      <w:r w:rsidR="00734262" w:rsidRPr="00D14F27">
        <w:rPr>
          <w:lang w:val="en-GB"/>
        </w:rPr>
        <w:t xml:space="preserve">for </w:t>
      </w:r>
      <w:r w:rsidRPr="00D14F27">
        <w:rPr>
          <w:lang w:val="en-GB"/>
        </w:rPr>
        <w:t>assess</w:t>
      </w:r>
      <w:r w:rsidR="00734262" w:rsidRPr="00D14F27">
        <w:rPr>
          <w:lang w:val="en-GB"/>
        </w:rPr>
        <w:t>ing</w:t>
      </w:r>
      <w:r w:rsidRPr="00D14F27">
        <w:rPr>
          <w:lang w:val="en-GB"/>
        </w:rPr>
        <w:t xml:space="preserve"> the value of ecosystem services </w:t>
      </w:r>
      <w:r w:rsidR="00734262" w:rsidRPr="00D14F27">
        <w:rPr>
          <w:lang w:val="en-GB"/>
        </w:rPr>
        <w:t xml:space="preserve">with regard </w:t>
      </w:r>
      <w:r w:rsidRPr="00D14F27">
        <w:rPr>
          <w:lang w:val="en-GB"/>
        </w:rPr>
        <w:t>to mental health (e.g., sense of place), physical health and social engagement</w:t>
      </w:r>
      <w:r w:rsidR="00174954" w:rsidRPr="00D14F27">
        <w:rPr>
          <w:lang w:val="en-GB"/>
        </w:rPr>
        <w:t>.</w:t>
      </w:r>
    </w:p>
    <w:p w:rsidR="00BC24B1" w:rsidRPr="00D14F27" w:rsidRDefault="00BC24B1" w:rsidP="003971A5">
      <w:pPr>
        <w:pStyle w:val="Normalnumber"/>
        <w:rPr>
          <w:lang w:val="en-GB"/>
        </w:rPr>
      </w:pPr>
      <w:r w:rsidRPr="00D14F27">
        <w:rPr>
          <w:lang w:val="en-GB"/>
        </w:rPr>
        <w:t>Chapter 6</w:t>
      </w:r>
      <w:r w:rsidR="00564AD1" w:rsidRPr="00D14F27">
        <w:rPr>
          <w:lang w:val="en-GB"/>
        </w:rPr>
        <w:t xml:space="preserve"> will</w:t>
      </w:r>
      <w:r w:rsidR="00174954" w:rsidRPr="00D14F27">
        <w:rPr>
          <w:lang w:val="en-GB"/>
        </w:rPr>
        <w:t xml:space="preserve"> consider</w:t>
      </w:r>
      <w:r w:rsidRPr="00D14F27">
        <w:rPr>
          <w:lang w:val="en-GB"/>
        </w:rPr>
        <w:t xml:space="preserve"> methodologies for assessing </w:t>
      </w:r>
      <w:r w:rsidR="006414D2" w:rsidRPr="00D14F27">
        <w:rPr>
          <w:lang w:val="en-GB"/>
        </w:rPr>
        <w:t xml:space="preserve">the </w:t>
      </w:r>
      <w:r w:rsidRPr="00D14F27">
        <w:rPr>
          <w:lang w:val="en-GB"/>
        </w:rPr>
        <w:t xml:space="preserve">shared, </w:t>
      </w:r>
      <w:r w:rsidRPr="00D81A4C">
        <w:rPr>
          <w:lang w:val="en-GB"/>
        </w:rPr>
        <w:t>plural and social value of ecosystems (e.g., conceptualization of cultural, social and shared non-economic value</w:t>
      </w:r>
      <w:r w:rsidR="00FD57EE" w:rsidRPr="00D81A4C">
        <w:rPr>
          <w:lang w:val="en-GB"/>
        </w:rPr>
        <w:t>s</w:t>
      </w:r>
      <w:r w:rsidRPr="00D81A4C">
        <w:rPr>
          <w:lang w:val="en-GB"/>
        </w:rPr>
        <w:t xml:space="preserve">, </w:t>
      </w:r>
      <w:r w:rsidR="00DC4DC9" w:rsidRPr="00D14F27">
        <w:rPr>
          <w:lang w:val="en-GB"/>
        </w:rPr>
        <w:t>such as</w:t>
      </w:r>
      <w:r w:rsidRPr="00D81A4C">
        <w:rPr>
          <w:lang w:val="en-GB"/>
        </w:rPr>
        <w:t xml:space="preserve"> cultural ecosystem services and their spiritual and aesthetic benefits; </w:t>
      </w:r>
      <w:r w:rsidR="00DC4DC9" w:rsidRPr="00D14F27">
        <w:rPr>
          <w:lang w:val="en-GB"/>
        </w:rPr>
        <w:t xml:space="preserve">and </w:t>
      </w:r>
      <w:r w:rsidRPr="00D81A4C">
        <w:rPr>
          <w:lang w:val="en-GB"/>
        </w:rPr>
        <w:t>methodologies for</w:t>
      </w:r>
      <w:r w:rsidRPr="00D14F27">
        <w:rPr>
          <w:lang w:val="en-GB"/>
        </w:rPr>
        <w:t xml:space="preserve"> comparing aggregated individual values (monetary and non-monetary) </w:t>
      </w:r>
      <w:r w:rsidR="00DC4DC9" w:rsidRPr="00D14F27">
        <w:rPr>
          <w:lang w:val="en-GB"/>
        </w:rPr>
        <w:t>with</w:t>
      </w:r>
      <w:r w:rsidRPr="00D14F27">
        <w:rPr>
          <w:lang w:val="en-GB"/>
        </w:rPr>
        <w:t xml:space="preserve"> shared values)</w:t>
      </w:r>
      <w:r w:rsidR="00AC06CE" w:rsidRPr="00D14F27">
        <w:rPr>
          <w:lang w:val="en-GB"/>
        </w:rPr>
        <w:t>.</w:t>
      </w:r>
    </w:p>
    <w:p w:rsidR="00BC24B1" w:rsidRPr="00D14F27" w:rsidRDefault="00BC24B1" w:rsidP="003971A5">
      <w:pPr>
        <w:pStyle w:val="Normalnumber"/>
        <w:rPr>
          <w:lang w:val="en-GB"/>
        </w:rPr>
      </w:pPr>
      <w:r w:rsidRPr="00D14F27">
        <w:rPr>
          <w:lang w:val="en-GB"/>
        </w:rPr>
        <w:t>Chapter 7</w:t>
      </w:r>
      <w:r w:rsidR="0047329F" w:rsidRPr="00D14F27">
        <w:rPr>
          <w:lang w:val="en-GB"/>
        </w:rPr>
        <w:t xml:space="preserve"> will feature a discussion of </w:t>
      </w:r>
      <w:r w:rsidRPr="00D14F27">
        <w:rPr>
          <w:lang w:val="en-GB"/>
        </w:rPr>
        <w:t xml:space="preserve">how to </w:t>
      </w:r>
      <w:r w:rsidR="0047329F" w:rsidRPr="00D14F27">
        <w:rPr>
          <w:lang w:val="en-GB"/>
        </w:rPr>
        <w:t xml:space="preserve">achieve a </w:t>
      </w:r>
      <w:r w:rsidRPr="00D14F27">
        <w:rPr>
          <w:lang w:val="en-GB"/>
        </w:rPr>
        <w:t>transition from theory to practice in environmental accounting systems</w:t>
      </w:r>
      <w:r w:rsidR="0047329F" w:rsidRPr="00D14F27">
        <w:rPr>
          <w:lang w:val="en-GB"/>
        </w:rPr>
        <w:t xml:space="preserve"> such as </w:t>
      </w:r>
      <w:r w:rsidRPr="00D14F27">
        <w:rPr>
          <w:lang w:val="en-GB"/>
        </w:rPr>
        <w:t>the System of Environment</w:t>
      </w:r>
      <w:r w:rsidR="00646B47" w:rsidRPr="00D14F27">
        <w:rPr>
          <w:lang w:val="en-GB"/>
        </w:rPr>
        <w:t>al</w:t>
      </w:r>
      <w:r w:rsidRPr="00D14F27">
        <w:rPr>
          <w:lang w:val="en-GB"/>
        </w:rPr>
        <w:t>-Economic Accounting</w:t>
      </w:r>
      <w:r w:rsidR="0047329F" w:rsidRPr="00D14F27">
        <w:rPr>
          <w:lang w:val="en-GB"/>
        </w:rPr>
        <w:t>. Topics will include</w:t>
      </w:r>
      <w:r w:rsidRPr="00D14F27">
        <w:rPr>
          <w:lang w:val="en-GB"/>
        </w:rPr>
        <w:t xml:space="preserve"> linkages with </w:t>
      </w:r>
      <w:r w:rsidR="0047329F" w:rsidRPr="00D14F27">
        <w:rPr>
          <w:lang w:val="en-GB"/>
        </w:rPr>
        <w:t>n</w:t>
      </w:r>
      <w:r w:rsidRPr="00D14F27">
        <w:rPr>
          <w:lang w:val="en-GB"/>
        </w:rPr>
        <w:t xml:space="preserve">ational accounts, concepts, principles and procedures, frameworks, methodologies and learning from case studies that test </w:t>
      </w:r>
      <w:r w:rsidR="0047329F" w:rsidRPr="00D14F27">
        <w:rPr>
          <w:lang w:val="en-GB"/>
        </w:rPr>
        <w:t>whether such systems meet</w:t>
      </w:r>
      <w:r w:rsidRPr="00D14F27">
        <w:rPr>
          <w:lang w:val="en-GB"/>
        </w:rPr>
        <w:t xml:space="preserve"> reporting and policy needs.</w:t>
      </w:r>
    </w:p>
    <w:p w:rsidR="00BC24B1" w:rsidRPr="00D14F27" w:rsidRDefault="00BC24B1" w:rsidP="003971A5">
      <w:pPr>
        <w:pStyle w:val="Normalnumber"/>
        <w:rPr>
          <w:lang w:val="en-GB"/>
        </w:rPr>
      </w:pPr>
      <w:r w:rsidRPr="00D14F27">
        <w:rPr>
          <w:lang w:val="en-GB"/>
        </w:rPr>
        <w:t>Chapter 8</w:t>
      </w:r>
      <w:r w:rsidR="006E4BE8" w:rsidRPr="00D14F27">
        <w:rPr>
          <w:lang w:val="en-GB"/>
        </w:rPr>
        <w:t xml:space="preserve"> </w:t>
      </w:r>
      <w:r w:rsidR="006E4BE8" w:rsidRPr="00D81A4C">
        <w:rPr>
          <w:lang w:val="en-GB"/>
        </w:rPr>
        <w:t xml:space="preserve">will discuss </w:t>
      </w:r>
      <w:r w:rsidRPr="00D81A4C">
        <w:rPr>
          <w:lang w:val="en-GB"/>
        </w:rPr>
        <w:t>existing capacit</w:t>
      </w:r>
      <w:r w:rsidR="006E4BE8" w:rsidRPr="00D81A4C">
        <w:rPr>
          <w:lang w:val="en-GB"/>
        </w:rPr>
        <w:t>y</w:t>
      </w:r>
      <w:r w:rsidRPr="00D81A4C">
        <w:rPr>
          <w:lang w:val="en-GB"/>
        </w:rPr>
        <w:t xml:space="preserve"> to work with </w:t>
      </w:r>
      <w:r w:rsidR="006E4BE8" w:rsidRPr="00D81A4C">
        <w:rPr>
          <w:lang w:val="en-GB"/>
        </w:rPr>
        <w:t xml:space="preserve">the </w:t>
      </w:r>
      <w:r w:rsidRPr="00D81A4C">
        <w:rPr>
          <w:lang w:val="en-GB"/>
        </w:rPr>
        <w:t xml:space="preserve">value, valuation and accounting techniques assessed, identifying lacunae </w:t>
      </w:r>
      <w:r w:rsidR="006E4BE8" w:rsidRPr="00D81A4C">
        <w:rPr>
          <w:lang w:val="en-GB"/>
        </w:rPr>
        <w:t xml:space="preserve">in </w:t>
      </w:r>
      <w:r w:rsidRPr="00D81A4C">
        <w:rPr>
          <w:lang w:val="en-GB"/>
        </w:rPr>
        <w:t>knowledge and expertise</w:t>
      </w:r>
      <w:r w:rsidR="006E4BE8" w:rsidRPr="00D81A4C">
        <w:rPr>
          <w:lang w:val="en-GB"/>
        </w:rPr>
        <w:t xml:space="preserve">. It will consider </w:t>
      </w:r>
      <w:r w:rsidRPr="00D81A4C">
        <w:rPr>
          <w:lang w:val="en-GB"/>
        </w:rPr>
        <w:t>capacity</w:t>
      </w:r>
      <w:r w:rsidR="006E4BE8" w:rsidRPr="00D81A4C">
        <w:rPr>
          <w:lang w:val="en-GB"/>
        </w:rPr>
        <w:t>-</w:t>
      </w:r>
      <w:r w:rsidRPr="00D81A4C">
        <w:rPr>
          <w:lang w:val="en-GB"/>
        </w:rPr>
        <w:t xml:space="preserve">building activities needed to </w:t>
      </w:r>
      <w:r w:rsidR="000E248D" w:rsidRPr="00D81A4C">
        <w:rPr>
          <w:lang w:val="en-GB"/>
        </w:rPr>
        <w:t>enable stakeholders to take</w:t>
      </w:r>
      <w:r w:rsidR="00CB09F4" w:rsidRPr="00D81A4C">
        <w:rPr>
          <w:lang w:val="en-GB"/>
        </w:rPr>
        <w:t xml:space="preserve"> account of</w:t>
      </w:r>
      <w:r w:rsidR="000E248D" w:rsidRPr="00D81A4C">
        <w:rPr>
          <w:lang w:val="en-GB"/>
        </w:rPr>
        <w:t xml:space="preserve"> </w:t>
      </w:r>
      <w:r w:rsidRPr="00D81A4C">
        <w:rPr>
          <w:lang w:val="en-GB"/>
        </w:rPr>
        <w:t xml:space="preserve">value, valuation and accounting </w:t>
      </w:r>
      <w:r w:rsidR="000E248D" w:rsidRPr="00D81A4C">
        <w:rPr>
          <w:lang w:val="en-GB"/>
        </w:rPr>
        <w:t>for</w:t>
      </w:r>
      <w:r w:rsidR="000E248D" w:rsidRPr="00D14F27">
        <w:rPr>
          <w:lang w:val="en-GB"/>
        </w:rPr>
        <w:t xml:space="preserve"> the purposes of </w:t>
      </w:r>
      <w:r w:rsidRPr="00D14F27">
        <w:rPr>
          <w:lang w:val="en-GB"/>
        </w:rPr>
        <w:t>subregional, regional and global assessments</w:t>
      </w:r>
      <w:r w:rsidR="00AC06CE" w:rsidRPr="00D14F27">
        <w:rPr>
          <w:lang w:val="en-GB"/>
        </w:rPr>
        <w:t>.</w:t>
      </w:r>
    </w:p>
    <w:p w:rsidR="00BC24B1" w:rsidRPr="00D14F27" w:rsidRDefault="00BC24B1" w:rsidP="003971A5">
      <w:pPr>
        <w:pStyle w:val="Normalnumber"/>
        <w:rPr>
          <w:lang w:val="en-GB"/>
        </w:rPr>
      </w:pPr>
      <w:r w:rsidRPr="00D14F27">
        <w:rPr>
          <w:lang w:val="en-GB"/>
        </w:rPr>
        <w:t>Chapter 9</w:t>
      </w:r>
      <w:r w:rsidR="000E248D" w:rsidRPr="00D14F27">
        <w:rPr>
          <w:lang w:val="en-GB"/>
        </w:rPr>
        <w:t xml:space="preserve"> will examine the creation of </w:t>
      </w:r>
      <w:r w:rsidRPr="00D14F27">
        <w:rPr>
          <w:lang w:val="en-GB"/>
        </w:rPr>
        <w:t>a framework for embedding the ecosystem approach and ecosystem values into appraisals and policy</w:t>
      </w:r>
      <w:r w:rsidR="000E248D" w:rsidRPr="00D14F27">
        <w:rPr>
          <w:lang w:val="en-GB"/>
        </w:rPr>
        <w:t>making</w:t>
      </w:r>
      <w:r w:rsidRPr="00D14F27">
        <w:rPr>
          <w:lang w:val="en-GB"/>
        </w:rPr>
        <w:t xml:space="preserve"> and decision-making processes</w:t>
      </w:r>
      <w:r w:rsidR="000E248D" w:rsidRPr="00D14F27">
        <w:rPr>
          <w:lang w:val="en-GB"/>
        </w:rPr>
        <w:t>. Topics will include a</w:t>
      </w:r>
      <w:r w:rsidRPr="00D14F27">
        <w:rPr>
          <w:lang w:val="en-GB"/>
        </w:rPr>
        <w:t xml:space="preserve"> conceptual framework, </w:t>
      </w:r>
      <w:r w:rsidR="000E248D" w:rsidRPr="00D14F27">
        <w:rPr>
          <w:lang w:val="en-GB"/>
        </w:rPr>
        <w:t xml:space="preserve">a </w:t>
      </w:r>
      <w:r w:rsidRPr="00D14F27">
        <w:rPr>
          <w:lang w:val="en-GB"/>
        </w:rPr>
        <w:t xml:space="preserve">typology of tools, methodologies and an assessment of barriers and </w:t>
      </w:r>
      <w:r w:rsidR="000E248D" w:rsidRPr="00D14F27">
        <w:rPr>
          <w:lang w:val="en-GB"/>
        </w:rPr>
        <w:t>opportunities</w:t>
      </w:r>
      <w:r w:rsidRPr="00D14F27">
        <w:rPr>
          <w:lang w:val="en-GB"/>
        </w:rPr>
        <w:t>, including the costs associated with implementation</w:t>
      </w:r>
      <w:r w:rsidR="00AC06CE" w:rsidRPr="00D14F27">
        <w:rPr>
          <w:lang w:val="en-GB"/>
        </w:rPr>
        <w:t>.</w:t>
      </w:r>
    </w:p>
    <w:p w:rsidR="00BC24B1" w:rsidRPr="00D14F27" w:rsidRDefault="00BC24B1" w:rsidP="0039478F">
      <w:pPr>
        <w:pStyle w:val="CH1"/>
        <w:rPr>
          <w:lang w:val="en-GB"/>
        </w:rPr>
      </w:pPr>
      <w:r w:rsidRPr="00D14F27">
        <w:rPr>
          <w:lang w:val="en-GB"/>
        </w:rPr>
        <w:tab/>
      </w:r>
      <w:r w:rsidR="00072161" w:rsidRPr="00D14F27">
        <w:rPr>
          <w:lang w:val="en-GB"/>
        </w:rPr>
        <w:t>IV</w:t>
      </w:r>
      <w:r w:rsidR="0039478F" w:rsidRPr="00D14F27">
        <w:rPr>
          <w:lang w:val="en-GB"/>
        </w:rPr>
        <w:t>.</w:t>
      </w:r>
      <w:r w:rsidRPr="00D14F27">
        <w:rPr>
          <w:lang w:val="en-GB"/>
        </w:rPr>
        <w:tab/>
        <w:t xml:space="preserve">Process and </w:t>
      </w:r>
      <w:r w:rsidR="00174759" w:rsidRPr="00D14F27">
        <w:rPr>
          <w:lang w:val="en-GB"/>
        </w:rPr>
        <w:t>t</w:t>
      </w:r>
      <w:r w:rsidRPr="00D14F27">
        <w:rPr>
          <w:lang w:val="en-GB"/>
        </w:rPr>
        <w:t>imetable</w:t>
      </w:r>
    </w:p>
    <w:p w:rsidR="002C09A2" w:rsidRPr="00D14F27" w:rsidRDefault="002C09A2" w:rsidP="00191BF5">
      <w:pPr>
        <w:pStyle w:val="Normalnumber"/>
        <w:rPr>
          <w:lang w:val="en-GB"/>
        </w:rPr>
      </w:pPr>
      <w:r w:rsidRPr="00D81A4C">
        <w:rPr>
          <w:lang w:val="en-GB"/>
        </w:rPr>
        <w:t>The proposed process for undertaking the</w:t>
      </w:r>
      <w:r w:rsidR="00860046" w:rsidRPr="00D81A4C">
        <w:rPr>
          <w:lang w:val="en-GB"/>
        </w:rPr>
        <w:t xml:space="preserve"> </w:t>
      </w:r>
      <w:r w:rsidRPr="00D81A4C">
        <w:rPr>
          <w:lang w:val="en-GB"/>
        </w:rPr>
        <w:t>assessment and the timetable for carrying i</w:t>
      </w:r>
      <w:r w:rsidR="0088065B" w:rsidRPr="00D81A4C">
        <w:rPr>
          <w:lang w:val="en-GB"/>
        </w:rPr>
        <w:t>t</w:t>
      </w:r>
      <w:r w:rsidRPr="00D81A4C">
        <w:rPr>
          <w:lang w:val="en-GB"/>
        </w:rPr>
        <w:t xml:space="preserve"> </w:t>
      </w:r>
      <w:r w:rsidR="0088065B" w:rsidRPr="00D81A4C">
        <w:rPr>
          <w:lang w:val="en-GB"/>
        </w:rPr>
        <w:t>out</w:t>
      </w:r>
      <w:r w:rsidRPr="00D81A4C">
        <w:rPr>
          <w:lang w:val="en-GB"/>
        </w:rPr>
        <w:t xml:space="preserve"> are outlined in the following table.</w:t>
      </w:r>
      <w:r w:rsidR="00ED12BB" w:rsidRPr="00D81A4C">
        <w:rPr>
          <w:lang w:val="en-GB"/>
        </w:rPr>
        <w:t xml:space="preserve"> </w:t>
      </w:r>
      <w:r w:rsidR="00ED12BB" w:rsidRPr="00D14F27">
        <w:rPr>
          <w:lang w:val="en-GB"/>
        </w:rPr>
        <w:t xml:space="preserve"> </w:t>
      </w: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494"/>
        <w:gridCol w:w="6033"/>
      </w:tblGrid>
      <w:tr w:rsidR="00CB09F4" w:rsidRPr="00D14F27" w:rsidTr="00D14F27">
        <w:trPr>
          <w:trHeight w:val="591"/>
        </w:trPr>
        <w:tc>
          <w:tcPr>
            <w:tcW w:w="2189" w:type="dxa"/>
            <w:gridSpan w:val="2"/>
            <w:vAlign w:val="center"/>
          </w:tcPr>
          <w:p w:rsidR="00CB09F4" w:rsidRPr="00D81A4C" w:rsidDel="00914503" w:rsidRDefault="00CB09F4" w:rsidP="00191BF5">
            <w:pPr>
              <w:pStyle w:val="Normal-pool"/>
              <w:spacing w:before="20" w:after="20"/>
              <w:rPr>
                <w:rFonts w:eastAsia="SimSun"/>
                <w:i/>
                <w:lang w:eastAsia="zh-CN"/>
              </w:rPr>
            </w:pPr>
            <w:r w:rsidRPr="00D81A4C">
              <w:rPr>
                <w:rFonts w:eastAsia="SimSun"/>
                <w:i/>
                <w:lang w:eastAsia="zh-CN"/>
              </w:rPr>
              <w:t>Time frame</w:t>
            </w:r>
          </w:p>
        </w:tc>
        <w:tc>
          <w:tcPr>
            <w:tcW w:w="6033" w:type="dxa"/>
            <w:vAlign w:val="center"/>
          </w:tcPr>
          <w:p w:rsidR="00CB09F4" w:rsidRPr="00D81A4C" w:rsidRDefault="00CB09F4" w:rsidP="00661163">
            <w:pPr>
              <w:pStyle w:val="Normal-pool"/>
              <w:spacing w:before="20" w:after="20"/>
              <w:rPr>
                <w:rFonts w:eastAsia="SimSun"/>
                <w:i/>
                <w:lang w:eastAsia="zh-CN"/>
              </w:rPr>
            </w:pPr>
            <w:r w:rsidRPr="00D81A4C">
              <w:rPr>
                <w:rFonts w:eastAsia="SimSun"/>
                <w:i/>
                <w:lang w:eastAsia="zh-CN"/>
              </w:rPr>
              <w:t>Actions</w:t>
            </w:r>
          </w:p>
        </w:tc>
      </w:tr>
      <w:tr w:rsidR="002C09A2" w:rsidRPr="00D14F27" w:rsidTr="00D14F27">
        <w:trPr>
          <w:trHeight w:val="591"/>
        </w:trPr>
        <w:tc>
          <w:tcPr>
            <w:tcW w:w="695" w:type="dxa"/>
            <w:vMerge w:val="restart"/>
            <w:vAlign w:val="center"/>
          </w:tcPr>
          <w:p w:rsidR="002C09A2" w:rsidRPr="00D14F27" w:rsidRDefault="002C09A2" w:rsidP="00191BF5">
            <w:pPr>
              <w:pStyle w:val="Normal-pool"/>
              <w:spacing w:before="20" w:after="20"/>
              <w:rPr>
                <w:rFonts w:eastAsia="SimSun"/>
                <w:lang w:eastAsia="zh-CN"/>
              </w:rPr>
            </w:pPr>
            <w:r w:rsidRPr="00D14F27">
              <w:rPr>
                <w:rFonts w:eastAsia="SimSun"/>
                <w:lang w:eastAsia="zh-CN"/>
              </w:rPr>
              <w:t>2013</w:t>
            </w:r>
          </w:p>
        </w:tc>
        <w:tc>
          <w:tcPr>
            <w:tcW w:w="1494" w:type="dxa"/>
            <w:vAlign w:val="center"/>
          </w:tcPr>
          <w:p w:rsidR="002C09A2" w:rsidRPr="00D14F27" w:rsidRDefault="00914503" w:rsidP="00191BF5">
            <w:pPr>
              <w:pStyle w:val="Normal-pool"/>
              <w:spacing w:before="20" w:after="20"/>
              <w:rPr>
                <w:rFonts w:eastAsia="SimSun"/>
                <w:lang w:eastAsia="zh-CN"/>
              </w:rPr>
            </w:pPr>
            <w:r w:rsidRPr="00D14F27">
              <w:rPr>
                <w:rFonts w:eastAsia="SimSun"/>
                <w:lang w:eastAsia="zh-CN"/>
              </w:rPr>
              <w:t>Fourth quarter</w:t>
            </w:r>
          </w:p>
        </w:tc>
        <w:tc>
          <w:tcPr>
            <w:tcW w:w="6033" w:type="dxa"/>
            <w:vAlign w:val="center"/>
          </w:tcPr>
          <w:p w:rsidR="002C09A2" w:rsidRPr="00D14F27" w:rsidRDefault="002C09A2" w:rsidP="00661163">
            <w:pPr>
              <w:pStyle w:val="Normal-pool"/>
              <w:spacing w:before="20" w:after="20"/>
              <w:rPr>
                <w:rFonts w:eastAsia="SimSun"/>
                <w:lang w:eastAsia="zh-CN"/>
              </w:rPr>
            </w:pPr>
            <w:r w:rsidRPr="00D14F27">
              <w:rPr>
                <w:rFonts w:eastAsia="SimSun"/>
                <w:lang w:eastAsia="zh-CN"/>
              </w:rPr>
              <w:t xml:space="preserve">The Plenary at its second session reviews </w:t>
            </w:r>
            <w:r w:rsidR="008953B8" w:rsidRPr="00D14F27">
              <w:rPr>
                <w:rFonts w:eastAsia="SimSun"/>
                <w:lang w:eastAsia="zh-CN"/>
              </w:rPr>
              <w:t>and approves the initial scoping</w:t>
            </w:r>
            <w:r w:rsidR="003A6A4D" w:rsidRPr="00D14F27">
              <w:rPr>
                <w:rFonts w:eastAsia="SimSun"/>
                <w:lang w:eastAsia="zh-CN"/>
              </w:rPr>
              <w:t xml:space="preserve"> exercise</w:t>
            </w:r>
            <w:r w:rsidR="008953B8" w:rsidRPr="00D14F27">
              <w:rPr>
                <w:rFonts w:eastAsia="SimSun"/>
                <w:lang w:eastAsia="zh-CN"/>
              </w:rPr>
              <w:t xml:space="preserve"> prepared by the Multidisciplinary Expert Panel (14 </w:t>
            </w:r>
            <w:r w:rsidRPr="00D14F27">
              <w:rPr>
                <w:rFonts w:eastAsia="SimSun"/>
                <w:lang w:eastAsia="zh-CN"/>
              </w:rPr>
              <w:t>December 2013)</w:t>
            </w:r>
          </w:p>
        </w:tc>
      </w:tr>
      <w:tr w:rsidR="002C09A2" w:rsidRPr="00D14F27" w:rsidTr="00D14F27">
        <w:trPr>
          <w:trHeight w:val="591"/>
        </w:trPr>
        <w:tc>
          <w:tcPr>
            <w:tcW w:w="695" w:type="dxa"/>
            <w:vMerge/>
            <w:vAlign w:val="center"/>
          </w:tcPr>
          <w:p w:rsidR="002C09A2" w:rsidRPr="00D14F27" w:rsidRDefault="002C09A2" w:rsidP="00191BF5">
            <w:pPr>
              <w:pStyle w:val="Normal-pool"/>
              <w:spacing w:before="20" w:after="20"/>
              <w:rPr>
                <w:rFonts w:eastAsia="SimSun"/>
                <w:lang w:eastAsia="zh-CN"/>
              </w:rPr>
            </w:pPr>
          </w:p>
        </w:tc>
        <w:tc>
          <w:tcPr>
            <w:tcW w:w="1494" w:type="dxa"/>
            <w:vAlign w:val="center"/>
          </w:tcPr>
          <w:p w:rsidR="002C09A2" w:rsidRPr="00D14F27" w:rsidRDefault="00B43573" w:rsidP="00191BF5">
            <w:pPr>
              <w:pStyle w:val="Normal-pool"/>
              <w:spacing w:before="20" w:after="20"/>
              <w:rPr>
                <w:rFonts w:eastAsia="SimSun"/>
                <w:lang w:eastAsia="zh-CN"/>
              </w:rPr>
            </w:pPr>
            <w:r w:rsidRPr="00D14F27">
              <w:rPr>
                <w:rFonts w:eastAsia="SimSun"/>
                <w:lang w:eastAsia="zh-CN"/>
              </w:rPr>
              <w:t>Fourth quarter</w:t>
            </w:r>
          </w:p>
        </w:tc>
        <w:tc>
          <w:tcPr>
            <w:tcW w:w="6033" w:type="dxa"/>
            <w:vAlign w:val="center"/>
          </w:tcPr>
          <w:p w:rsidR="002C09A2" w:rsidRPr="00D14F27" w:rsidRDefault="008953B8" w:rsidP="00661163">
            <w:pPr>
              <w:pStyle w:val="Normal-pool"/>
              <w:spacing w:before="20" w:after="20"/>
              <w:rPr>
                <w:rFonts w:eastAsia="SimSun"/>
                <w:lang w:eastAsia="zh-CN"/>
              </w:rPr>
            </w:pPr>
            <w:r w:rsidRPr="00D14F27">
              <w:rPr>
                <w:rFonts w:eastAsia="SimSun"/>
                <w:lang w:eastAsia="zh-CN"/>
              </w:rPr>
              <w:t xml:space="preserve">The Panel issues a call, through the secretariat, to Governments and other stakeholders for nominations of experts (report co-chairs, coordinating lead authors, </w:t>
            </w:r>
            <w:r w:rsidR="00467CAE" w:rsidRPr="00D14F27">
              <w:rPr>
                <w:rFonts w:eastAsia="SimSun"/>
                <w:lang w:eastAsia="zh-CN"/>
              </w:rPr>
              <w:t>lead authors</w:t>
            </w:r>
            <w:r w:rsidRPr="00D14F27">
              <w:rPr>
                <w:rFonts w:eastAsia="SimSun"/>
                <w:lang w:eastAsia="zh-CN"/>
              </w:rPr>
              <w:t xml:space="preserve"> and review editors</w:t>
            </w:r>
            <w:r w:rsidR="00EF7915" w:rsidRPr="00D14F27">
              <w:rPr>
                <w:rFonts w:eastAsia="SimSun"/>
                <w:lang w:eastAsia="zh-CN"/>
              </w:rPr>
              <w:t>)</w:t>
            </w:r>
            <w:r w:rsidRPr="00D14F27">
              <w:rPr>
                <w:rFonts w:eastAsia="SimSun"/>
                <w:lang w:eastAsia="zh-CN"/>
              </w:rPr>
              <w:t xml:space="preserve"> to conduct the assessment based on the </w:t>
            </w:r>
            <w:r w:rsidR="00EF7915" w:rsidRPr="00D14F27">
              <w:rPr>
                <w:rFonts w:eastAsia="SimSun"/>
                <w:lang w:eastAsia="zh-CN"/>
              </w:rPr>
              <w:t xml:space="preserve">results of the </w:t>
            </w:r>
            <w:r w:rsidR="00EE1216" w:rsidRPr="00D14F27">
              <w:rPr>
                <w:rFonts w:eastAsia="SimSun"/>
                <w:lang w:eastAsia="zh-CN"/>
              </w:rPr>
              <w:t xml:space="preserve">scoping exercise </w:t>
            </w:r>
            <w:r w:rsidRPr="00D14F27">
              <w:rPr>
                <w:rFonts w:eastAsia="SimSun"/>
                <w:lang w:eastAsia="zh-CN"/>
              </w:rPr>
              <w:t>approved by the Plenary (9 December 2013</w:t>
            </w:r>
            <w:r w:rsidR="00EF7915" w:rsidRPr="00D14F27">
              <w:rPr>
                <w:rFonts w:eastAsia="SimSun"/>
                <w:lang w:eastAsia="zh-CN"/>
              </w:rPr>
              <w:t>–</w:t>
            </w:r>
            <w:r w:rsidRPr="00D14F27">
              <w:rPr>
                <w:rFonts w:eastAsia="SimSun"/>
                <w:lang w:eastAsia="zh-CN"/>
              </w:rPr>
              <w:t>10</w:t>
            </w:r>
            <w:r w:rsidR="00191BF5" w:rsidRPr="00D14F27">
              <w:rPr>
                <w:rFonts w:eastAsia="SimSun"/>
                <w:lang w:eastAsia="zh-CN"/>
              </w:rPr>
              <w:t> </w:t>
            </w:r>
            <w:r w:rsidRPr="00D14F27">
              <w:rPr>
                <w:rFonts w:eastAsia="SimSun"/>
                <w:lang w:eastAsia="zh-CN"/>
              </w:rPr>
              <w:t>January 2014)</w:t>
            </w:r>
          </w:p>
        </w:tc>
      </w:tr>
      <w:tr w:rsidR="002C09A2" w:rsidRPr="00D14F27" w:rsidTr="00D14F27">
        <w:trPr>
          <w:trHeight w:val="387"/>
        </w:trPr>
        <w:tc>
          <w:tcPr>
            <w:tcW w:w="695" w:type="dxa"/>
            <w:vMerge w:val="restart"/>
            <w:vAlign w:val="center"/>
          </w:tcPr>
          <w:p w:rsidR="002C09A2" w:rsidRPr="00D14F27" w:rsidRDefault="002C09A2" w:rsidP="00191BF5">
            <w:pPr>
              <w:pStyle w:val="Normal-pool"/>
              <w:spacing w:before="20" w:after="20"/>
              <w:rPr>
                <w:rFonts w:eastAsia="SimSun"/>
                <w:lang w:eastAsia="zh-CN"/>
              </w:rPr>
            </w:pPr>
            <w:r w:rsidRPr="00D14F27">
              <w:rPr>
                <w:rFonts w:eastAsia="SimSun"/>
                <w:lang w:eastAsia="zh-CN"/>
              </w:rPr>
              <w:t>2014</w:t>
            </w:r>
          </w:p>
        </w:tc>
        <w:tc>
          <w:tcPr>
            <w:tcW w:w="1494" w:type="dxa"/>
            <w:vAlign w:val="center"/>
          </w:tcPr>
          <w:p w:rsidR="002C09A2" w:rsidRPr="00D14F27" w:rsidRDefault="00914503" w:rsidP="00661163">
            <w:pPr>
              <w:pStyle w:val="Normal-pool"/>
              <w:spacing w:before="20" w:after="20"/>
              <w:rPr>
                <w:rFonts w:eastAsia="SimSun"/>
                <w:lang w:eastAsia="zh-CN"/>
              </w:rPr>
            </w:pPr>
            <w:r w:rsidRPr="00D14F27">
              <w:rPr>
                <w:rFonts w:eastAsia="SimSun"/>
                <w:lang w:eastAsia="zh-CN"/>
              </w:rPr>
              <w:t>First quarter</w:t>
            </w:r>
          </w:p>
        </w:tc>
        <w:tc>
          <w:tcPr>
            <w:tcW w:w="6033" w:type="dxa"/>
            <w:vAlign w:val="center"/>
          </w:tcPr>
          <w:p w:rsidR="002C09A2" w:rsidRPr="00D14F27" w:rsidRDefault="008953B8" w:rsidP="00D81A4C">
            <w:pPr>
              <w:pStyle w:val="Normal-pool"/>
              <w:spacing w:before="20" w:after="20"/>
              <w:rPr>
                <w:rFonts w:eastAsia="SimSun"/>
                <w:lang w:eastAsia="zh-CN"/>
              </w:rPr>
            </w:pPr>
            <w:r w:rsidRPr="00D14F27">
              <w:t xml:space="preserve">The Panel, via e-mail and teleconferences, selects the co-chairs, </w:t>
            </w:r>
            <w:r w:rsidR="00EF7915" w:rsidRPr="00D14F27">
              <w:rPr>
                <w:rFonts w:eastAsia="SimSun"/>
                <w:lang w:eastAsia="zh-CN"/>
              </w:rPr>
              <w:t>coordinating lead authors, lead authors and review editors</w:t>
            </w:r>
            <w:r w:rsidR="00EF7915" w:rsidRPr="00D14F27" w:rsidDel="00EF7915">
              <w:t xml:space="preserve"> </w:t>
            </w:r>
            <w:r w:rsidRPr="00D14F27">
              <w:t xml:space="preserve">using the approved selection criteria </w:t>
            </w:r>
            <w:r w:rsidR="00DE47A8">
              <w:t>(see</w:t>
            </w:r>
            <w:r w:rsidRPr="00D14F27">
              <w:t xml:space="preserve"> IPBES/2/9</w:t>
            </w:r>
            <w:r w:rsidR="00DE47A8">
              <w:t>)</w:t>
            </w:r>
            <w:r w:rsidRPr="00D14F27">
              <w:t xml:space="preserve"> (11</w:t>
            </w:r>
            <w:r w:rsidR="00EF7915" w:rsidRPr="00D14F27">
              <w:t>–</w:t>
            </w:r>
            <w:r w:rsidRPr="00D14F27">
              <w:t>24</w:t>
            </w:r>
            <w:r w:rsidR="00191BF5" w:rsidRPr="00D14F27">
              <w:t> </w:t>
            </w:r>
            <w:r w:rsidRPr="00D14F27">
              <w:t>January 2014)</w:t>
            </w:r>
          </w:p>
        </w:tc>
      </w:tr>
      <w:tr w:rsidR="002C09A2" w:rsidRPr="00D14F27" w:rsidTr="00D14F27">
        <w:trPr>
          <w:trHeight w:val="279"/>
        </w:trPr>
        <w:tc>
          <w:tcPr>
            <w:tcW w:w="695" w:type="dxa"/>
            <w:vMerge/>
            <w:vAlign w:val="center"/>
          </w:tcPr>
          <w:p w:rsidR="002C09A2" w:rsidRPr="00D14F27" w:rsidRDefault="002C09A2" w:rsidP="00191BF5">
            <w:pPr>
              <w:pStyle w:val="Normal-pool"/>
              <w:spacing w:before="20" w:after="20"/>
              <w:rPr>
                <w:rFonts w:eastAsia="SimSun"/>
                <w:lang w:eastAsia="zh-CN"/>
              </w:rPr>
            </w:pPr>
          </w:p>
        </w:tc>
        <w:tc>
          <w:tcPr>
            <w:tcW w:w="1494" w:type="dxa"/>
            <w:vAlign w:val="center"/>
          </w:tcPr>
          <w:p w:rsidR="002C09A2" w:rsidRPr="00D14F27" w:rsidRDefault="00914503" w:rsidP="00661163">
            <w:pPr>
              <w:pStyle w:val="Normal-pool"/>
              <w:spacing w:before="20" w:after="20"/>
              <w:rPr>
                <w:rFonts w:eastAsia="SimSun"/>
                <w:lang w:eastAsia="zh-CN"/>
              </w:rPr>
            </w:pPr>
            <w:r w:rsidRPr="00D14F27">
              <w:rPr>
                <w:rFonts w:eastAsia="SimSun"/>
                <w:lang w:eastAsia="zh-CN"/>
              </w:rPr>
              <w:t>First</w:t>
            </w:r>
            <w:r w:rsidR="008F3378" w:rsidRPr="00D14F27">
              <w:rPr>
                <w:rFonts w:eastAsia="SimSun"/>
                <w:lang w:eastAsia="zh-CN"/>
              </w:rPr>
              <w:t>/second/</w:t>
            </w:r>
            <w:r w:rsidRPr="00D14F27">
              <w:rPr>
                <w:rFonts w:eastAsia="SimSun"/>
                <w:lang w:eastAsia="zh-CN"/>
              </w:rPr>
              <w:t xml:space="preserve"> third quarters</w:t>
            </w:r>
          </w:p>
        </w:tc>
        <w:tc>
          <w:tcPr>
            <w:tcW w:w="6033" w:type="dxa"/>
            <w:vAlign w:val="center"/>
          </w:tcPr>
          <w:p w:rsidR="002C09A2" w:rsidRPr="00D14F27" w:rsidRDefault="008953B8" w:rsidP="00D81A4C">
            <w:pPr>
              <w:pStyle w:val="Normal-pool"/>
              <w:spacing w:before="20" w:after="20"/>
              <w:rPr>
                <w:rFonts w:eastAsia="SimSun"/>
                <w:lang w:eastAsia="zh-CN"/>
              </w:rPr>
            </w:pPr>
            <w:r w:rsidRPr="00D14F27">
              <w:t xml:space="preserve">The report </w:t>
            </w:r>
            <w:r w:rsidRPr="00D81A4C">
              <w:t xml:space="preserve">co-chairs, </w:t>
            </w:r>
            <w:r w:rsidR="00EF7915" w:rsidRPr="00D81A4C">
              <w:rPr>
                <w:rFonts w:eastAsia="SimSun"/>
                <w:lang w:eastAsia="zh-CN"/>
              </w:rPr>
              <w:t>coordinating lead authors</w:t>
            </w:r>
            <w:r w:rsidRPr="00D81A4C">
              <w:t xml:space="preserve"> and </w:t>
            </w:r>
            <w:r w:rsidR="00EF7915" w:rsidRPr="00D81A4C">
              <w:rPr>
                <w:rFonts w:eastAsia="SimSun"/>
                <w:lang w:eastAsia="zh-CN"/>
              </w:rPr>
              <w:t>lead authors</w:t>
            </w:r>
            <w:r w:rsidRPr="00D81A4C">
              <w:t xml:space="preserve"> prepare </w:t>
            </w:r>
            <w:r w:rsidR="008F3378" w:rsidRPr="00D81A4C">
              <w:t>an initial</w:t>
            </w:r>
            <w:r w:rsidRPr="00D81A4C">
              <w:t xml:space="preserve"> draft report and summary for policymakers (25 January–25 July 2014). The </w:t>
            </w:r>
            <w:r w:rsidR="00EF7915" w:rsidRPr="00D81A4C">
              <w:rPr>
                <w:rFonts w:eastAsia="SimSun"/>
                <w:lang w:eastAsia="zh-CN"/>
              </w:rPr>
              <w:t>authors</w:t>
            </w:r>
            <w:r w:rsidRPr="00D81A4C">
              <w:t xml:space="preserve"> meet in February to further develop the annotated outline and the sections and chapters that have been assigned to them</w:t>
            </w:r>
            <w:r w:rsidR="008F3378" w:rsidRPr="00D81A4C">
              <w:t>,</w:t>
            </w:r>
            <w:r w:rsidRPr="00D81A4C">
              <w:t xml:space="preserve"> and again in early July to finalize the report and prepare the summary for policymakers</w:t>
            </w:r>
            <w:r w:rsidR="00E861C0" w:rsidRPr="00D14F27">
              <w:t xml:space="preserve"> </w:t>
            </w:r>
          </w:p>
        </w:tc>
      </w:tr>
      <w:tr w:rsidR="002C09A2" w:rsidRPr="00D14F27" w:rsidTr="00D14F27">
        <w:trPr>
          <w:trHeight w:val="56"/>
        </w:trPr>
        <w:tc>
          <w:tcPr>
            <w:tcW w:w="695" w:type="dxa"/>
            <w:vMerge/>
          </w:tcPr>
          <w:p w:rsidR="002C09A2" w:rsidRPr="00D14F27" w:rsidRDefault="002C09A2" w:rsidP="00191BF5">
            <w:pPr>
              <w:pStyle w:val="Normal-pool"/>
              <w:spacing w:before="20" w:after="20"/>
              <w:rPr>
                <w:rFonts w:eastAsia="SimSun"/>
                <w:lang w:eastAsia="zh-CN"/>
              </w:rPr>
            </w:pPr>
          </w:p>
        </w:tc>
        <w:tc>
          <w:tcPr>
            <w:tcW w:w="1494" w:type="dxa"/>
            <w:vAlign w:val="center"/>
          </w:tcPr>
          <w:p w:rsidR="002C09A2" w:rsidRPr="00D14F27" w:rsidRDefault="00914503" w:rsidP="00191BF5">
            <w:pPr>
              <w:pStyle w:val="Normal-pool"/>
              <w:spacing w:before="20" w:after="20"/>
              <w:rPr>
                <w:rFonts w:eastAsia="SimSun"/>
                <w:lang w:eastAsia="zh-CN"/>
              </w:rPr>
            </w:pPr>
            <w:r w:rsidRPr="00D14F27">
              <w:rPr>
                <w:rFonts w:eastAsia="SimSun"/>
                <w:lang w:eastAsia="zh-CN"/>
              </w:rPr>
              <w:t>Third quarter</w:t>
            </w:r>
          </w:p>
        </w:tc>
        <w:tc>
          <w:tcPr>
            <w:tcW w:w="6033" w:type="dxa"/>
            <w:vAlign w:val="center"/>
          </w:tcPr>
          <w:p w:rsidR="002C09A2" w:rsidRPr="00D14F27" w:rsidRDefault="008953B8" w:rsidP="00661163">
            <w:pPr>
              <w:pStyle w:val="Normal-pool"/>
              <w:spacing w:before="20" w:after="20"/>
              <w:rPr>
                <w:rFonts w:eastAsia="SimSun"/>
                <w:lang w:eastAsia="zh-CN"/>
              </w:rPr>
            </w:pPr>
            <w:r w:rsidRPr="00D14F27">
              <w:t>The draft report and summary for policymakers are reviewed by experts and Governments and other stakeholders (26 July–12 September 2014)</w:t>
            </w:r>
          </w:p>
        </w:tc>
      </w:tr>
      <w:tr w:rsidR="002C09A2" w:rsidRPr="00D14F27" w:rsidTr="00D14F27">
        <w:trPr>
          <w:trHeight w:val="217"/>
        </w:trPr>
        <w:tc>
          <w:tcPr>
            <w:tcW w:w="695" w:type="dxa"/>
            <w:vMerge/>
            <w:vAlign w:val="center"/>
          </w:tcPr>
          <w:p w:rsidR="002C09A2" w:rsidRPr="00D14F27" w:rsidRDefault="002C09A2" w:rsidP="00191BF5">
            <w:pPr>
              <w:pStyle w:val="Normal-pool"/>
              <w:spacing w:before="20" w:after="20"/>
              <w:rPr>
                <w:rFonts w:eastAsia="SimSun"/>
                <w:lang w:eastAsia="zh-CN"/>
              </w:rPr>
            </w:pPr>
          </w:p>
        </w:tc>
        <w:tc>
          <w:tcPr>
            <w:tcW w:w="1494" w:type="dxa"/>
            <w:vAlign w:val="center"/>
          </w:tcPr>
          <w:p w:rsidR="002C09A2" w:rsidRPr="00D14F27" w:rsidRDefault="00914503" w:rsidP="00D81A4C">
            <w:pPr>
              <w:pStyle w:val="Normal-pool"/>
              <w:spacing w:before="20" w:after="20"/>
              <w:rPr>
                <w:rFonts w:eastAsia="SimSun"/>
                <w:lang w:eastAsia="zh-CN"/>
              </w:rPr>
            </w:pPr>
            <w:r w:rsidRPr="00D14F27">
              <w:rPr>
                <w:rFonts w:eastAsia="SimSun"/>
                <w:lang w:eastAsia="zh-CN"/>
              </w:rPr>
              <w:t>Third/</w:t>
            </w:r>
            <w:r w:rsidR="00690470" w:rsidRPr="00D14F27">
              <w:rPr>
                <w:rFonts w:eastAsia="SimSun"/>
                <w:lang w:eastAsia="zh-CN"/>
              </w:rPr>
              <w:t>fourth</w:t>
            </w:r>
            <w:r w:rsidRPr="00D14F27">
              <w:rPr>
                <w:rFonts w:eastAsia="SimSun"/>
                <w:lang w:eastAsia="zh-CN"/>
              </w:rPr>
              <w:t xml:space="preserve"> quarters</w:t>
            </w:r>
          </w:p>
        </w:tc>
        <w:tc>
          <w:tcPr>
            <w:tcW w:w="6033" w:type="dxa"/>
            <w:vAlign w:val="center"/>
          </w:tcPr>
          <w:p w:rsidR="002C09A2" w:rsidRPr="00D14F27" w:rsidRDefault="008953B8" w:rsidP="00661163">
            <w:pPr>
              <w:pStyle w:val="Normal-pool"/>
              <w:spacing w:before="20" w:after="20"/>
              <w:rPr>
                <w:rFonts w:eastAsia="SimSun"/>
                <w:lang w:eastAsia="zh-CN"/>
              </w:rPr>
            </w:pPr>
            <w:r w:rsidRPr="00D14F27">
              <w:t xml:space="preserve">The report co-chairs, </w:t>
            </w:r>
            <w:r w:rsidR="00EF7915" w:rsidRPr="00D14F27">
              <w:rPr>
                <w:rFonts w:eastAsia="SimSun"/>
                <w:lang w:eastAsia="zh-CN"/>
              </w:rPr>
              <w:t>coordinating lead authors</w:t>
            </w:r>
            <w:r w:rsidRPr="00D14F27">
              <w:t xml:space="preserve"> and </w:t>
            </w:r>
            <w:r w:rsidR="00EF7915" w:rsidRPr="00D14F27">
              <w:rPr>
                <w:rFonts w:eastAsia="SimSun"/>
                <w:lang w:eastAsia="zh-CN"/>
              </w:rPr>
              <w:t>lead authors</w:t>
            </w:r>
            <w:r w:rsidRPr="00D14F27">
              <w:t xml:space="preserve"> revise the draft report and summary for policymakers under the guidance of review editors and the Panel. </w:t>
            </w:r>
            <w:r w:rsidRPr="00D14F27">
              <w:rPr>
                <w:rFonts w:eastAsia="SimSun"/>
                <w:lang w:eastAsia="zh-CN"/>
              </w:rPr>
              <w:t xml:space="preserve">The </w:t>
            </w:r>
            <w:r w:rsidR="008F3378" w:rsidRPr="00D14F27">
              <w:rPr>
                <w:rFonts w:eastAsia="SimSun"/>
                <w:lang w:eastAsia="zh-CN"/>
              </w:rPr>
              <w:t>authors and review editors</w:t>
            </w:r>
            <w:r w:rsidRPr="00D14F27">
              <w:rPr>
                <w:rFonts w:eastAsia="SimSun"/>
                <w:lang w:eastAsia="zh-CN"/>
              </w:rPr>
              <w:t xml:space="preserve">, with a small number of Panel members, meet once to prepare the final draft report and </w:t>
            </w:r>
            <w:r w:rsidR="008F3378" w:rsidRPr="00D14F27">
              <w:rPr>
                <w:rFonts w:eastAsia="SimSun"/>
                <w:lang w:eastAsia="zh-CN"/>
              </w:rPr>
              <w:t xml:space="preserve">the </w:t>
            </w:r>
            <w:r w:rsidRPr="00D14F27">
              <w:rPr>
                <w:rFonts w:eastAsia="SimSun"/>
                <w:lang w:eastAsia="zh-CN"/>
              </w:rPr>
              <w:t>summary for policymaker</w:t>
            </w:r>
            <w:r w:rsidR="00EF7915" w:rsidRPr="00D14F27">
              <w:rPr>
                <w:rFonts w:eastAsia="SimSun"/>
                <w:lang w:eastAsia="zh-CN"/>
              </w:rPr>
              <w:t>s</w:t>
            </w:r>
            <w:r w:rsidRPr="00D14F27">
              <w:t xml:space="preserve"> (13 September–7 November 2014)</w:t>
            </w:r>
          </w:p>
        </w:tc>
      </w:tr>
      <w:tr w:rsidR="002C09A2" w:rsidRPr="00D14F27" w:rsidTr="00D14F27">
        <w:trPr>
          <w:trHeight w:val="56"/>
        </w:trPr>
        <w:tc>
          <w:tcPr>
            <w:tcW w:w="695" w:type="dxa"/>
            <w:vMerge/>
          </w:tcPr>
          <w:p w:rsidR="002C09A2" w:rsidRPr="00D14F27" w:rsidRDefault="002C09A2" w:rsidP="00191BF5">
            <w:pPr>
              <w:pStyle w:val="Normal-pool"/>
              <w:spacing w:before="20" w:after="20"/>
              <w:rPr>
                <w:rFonts w:eastAsia="SimSun"/>
                <w:lang w:eastAsia="zh-CN"/>
              </w:rPr>
            </w:pPr>
          </w:p>
        </w:tc>
        <w:tc>
          <w:tcPr>
            <w:tcW w:w="1494" w:type="dxa"/>
            <w:vAlign w:val="center"/>
          </w:tcPr>
          <w:p w:rsidR="002C09A2" w:rsidRPr="00D14F27" w:rsidRDefault="00914503" w:rsidP="00191BF5">
            <w:pPr>
              <w:pStyle w:val="Normal-pool"/>
              <w:spacing w:before="20" w:after="20"/>
              <w:rPr>
                <w:rFonts w:eastAsia="SimSun"/>
                <w:lang w:eastAsia="zh-CN"/>
              </w:rPr>
            </w:pPr>
            <w:r w:rsidRPr="00D14F27">
              <w:rPr>
                <w:rFonts w:eastAsia="SimSun"/>
                <w:lang w:eastAsia="zh-CN"/>
              </w:rPr>
              <w:t>Fourth quarter</w:t>
            </w:r>
          </w:p>
        </w:tc>
        <w:tc>
          <w:tcPr>
            <w:tcW w:w="6033" w:type="dxa"/>
            <w:vAlign w:val="center"/>
          </w:tcPr>
          <w:p w:rsidR="002C09A2" w:rsidRPr="00D14F27" w:rsidRDefault="008953B8" w:rsidP="00D81A4C">
            <w:pPr>
              <w:pStyle w:val="Normal-pool"/>
              <w:spacing w:before="20" w:after="20"/>
              <w:rPr>
                <w:rFonts w:eastAsia="SimSun"/>
                <w:lang w:eastAsia="zh-CN"/>
              </w:rPr>
            </w:pPr>
            <w:r w:rsidRPr="00D14F27">
              <w:t xml:space="preserve">The summary for policymakers is translated into </w:t>
            </w:r>
            <w:r w:rsidR="005103D8" w:rsidRPr="00D14F27">
              <w:t xml:space="preserve">all </w:t>
            </w:r>
            <w:r w:rsidRPr="00D14F27">
              <w:t xml:space="preserve">the official </w:t>
            </w:r>
            <w:r w:rsidR="008F3378" w:rsidRPr="00D14F27">
              <w:t xml:space="preserve">languages of the </w:t>
            </w:r>
            <w:r w:rsidRPr="00D14F27">
              <w:t>United Nations (8 November–5 December 2014)</w:t>
            </w:r>
          </w:p>
        </w:tc>
      </w:tr>
      <w:tr w:rsidR="002C09A2" w:rsidRPr="00D14F27" w:rsidTr="00D14F27">
        <w:trPr>
          <w:trHeight w:val="155"/>
        </w:trPr>
        <w:tc>
          <w:tcPr>
            <w:tcW w:w="695" w:type="dxa"/>
            <w:vMerge/>
            <w:vAlign w:val="center"/>
          </w:tcPr>
          <w:p w:rsidR="002C09A2" w:rsidRPr="00D14F27" w:rsidRDefault="002C09A2" w:rsidP="00191BF5">
            <w:pPr>
              <w:pStyle w:val="Normal-pool"/>
              <w:spacing w:before="20" w:after="20"/>
              <w:rPr>
                <w:rFonts w:eastAsia="SimSun"/>
                <w:lang w:eastAsia="zh-CN"/>
              </w:rPr>
            </w:pPr>
          </w:p>
        </w:tc>
        <w:tc>
          <w:tcPr>
            <w:tcW w:w="1494" w:type="dxa"/>
            <w:vAlign w:val="center"/>
          </w:tcPr>
          <w:p w:rsidR="002C09A2" w:rsidRPr="00D14F27" w:rsidRDefault="00914503" w:rsidP="00661163">
            <w:pPr>
              <w:pStyle w:val="Normal-pool"/>
              <w:spacing w:before="20" w:after="20"/>
              <w:rPr>
                <w:rFonts w:eastAsia="SimSun"/>
                <w:lang w:eastAsia="zh-CN"/>
              </w:rPr>
            </w:pPr>
            <w:r w:rsidRPr="00D14F27">
              <w:rPr>
                <w:rFonts w:eastAsia="SimSun"/>
                <w:lang w:eastAsia="zh-CN"/>
              </w:rPr>
              <w:t>Fourth quarter</w:t>
            </w:r>
          </w:p>
        </w:tc>
        <w:tc>
          <w:tcPr>
            <w:tcW w:w="6033" w:type="dxa"/>
            <w:vAlign w:val="center"/>
          </w:tcPr>
          <w:p w:rsidR="002C09A2" w:rsidRPr="00D14F27" w:rsidRDefault="008953B8" w:rsidP="00661163">
            <w:pPr>
              <w:pStyle w:val="Normal-pool"/>
              <w:spacing w:before="20" w:after="20"/>
              <w:rPr>
                <w:rFonts w:eastAsia="SimSun"/>
                <w:lang w:eastAsia="zh-CN"/>
              </w:rPr>
            </w:pPr>
            <w:r w:rsidRPr="00D14F27">
              <w:t>The final draft report and summary for policymakers are sent to Governments and other stakeholders for final review (6 December 2014–6 February 2015)</w:t>
            </w:r>
          </w:p>
        </w:tc>
      </w:tr>
      <w:tr w:rsidR="00D14F27" w:rsidRPr="00D14F27" w:rsidTr="00D14F27">
        <w:trPr>
          <w:trHeight w:val="252"/>
        </w:trPr>
        <w:tc>
          <w:tcPr>
            <w:tcW w:w="695" w:type="dxa"/>
            <w:vMerge w:val="restart"/>
            <w:vAlign w:val="center"/>
          </w:tcPr>
          <w:p w:rsidR="00D14F27" w:rsidRPr="00D14F27" w:rsidRDefault="00D14F27" w:rsidP="00191BF5">
            <w:pPr>
              <w:pStyle w:val="Normal-pool"/>
              <w:spacing w:before="20" w:after="20"/>
              <w:rPr>
                <w:rFonts w:eastAsia="SimSun"/>
                <w:lang w:eastAsia="zh-CN"/>
              </w:rPr>
            </w:pPr>
            <w:r w:rsidRPr="00D14F27">
              <w:rPr>
                <w:rFonts w:eastAsia="SimSun"/>
                <w:lang w:eastAsia="zh-CN"/>
              </w:rPr>
              <w:t>2015</w:t>
            </w:r>
          </w:p>
        </w:tc>
        <w:tc>
          <w:tcPr>
            <w:tcW w:w="1494" w:type="dxa"/>
            <w:vAlign w:val="center"/>
          </w:tcPr>
          <w:p w:rsidR="00D14F27" w:rsidRPr="00D81A4C" w:rsidRDefault="00D14F27" w:rsidP="00191BF5">
            <w:pPr>
              <w:pStyle w:val="Normal-pool"/>
              <w:spacing w:before="20" w:after="20"/>
              <w:rPr>
                <w:rFonts w:eastAsia="SimSun"/>
                <w:lang w:eastAsia="zh-CN"/>
              </w:rPr>
            </w:pPr>
            <w:r w:rsidRPr="00D81A4C">
              <w:rPr>
                <w:rFonts w:eastAsia="SimSun"/>
                <w:lang w:eastAsia="zh-CN"/>
              </w:rPr>
              <w:t>First quarter</w:t>
            </w:r>
          </w:p>
        </w:tc>
        <w:tc>
          <w:tcPr>
            <w:tcW w:w="6033" w:type="dxa"/>
            <w:vAlign w:val="center"/>
          </w:tcPr>
          <w:p w:rsidR="00D14F27" w:rsidRPr="00D14F27" w:rsidRDefault="00D14F27" w:rsidP="00191BF5">
            <w:pPr>
              <w:pStyle w:val="Normal-pool"/>
              <w:spacing w:before="20" w:after="20"/>
              <w:rPr>
                <w:rFonts w:eastAsia="MS Mincho"/>
              </w:rPr>
            </w:pPr>
            <w:r w:rsidRPr="00D14F27">
              <w:t>Governments send written comments on the summary for policymakers to the secretariat by 31 January 2015</w:t>
            </w:r>
          </w:p>
        </w:tc>
      </w:tr>
      <w:tr w:rsidR="00D14F27" w:rsidRPr="00D14F27" w:rsidTr="00D14F27">
        <w:trPr>
          <w:trHeight w:val="252"/>
        </w:trPr>
        <w:tc>
          <w:tcPr>
            <w:tcW w:w="695" w:type="dxa"/>
            <w:vMerge/>
            <w:vAlign w:val="center"/>
          </w:tcPr>
          <w:p w:rsidR="00D14F27" w:rsidRPr="00D14F27" w:rsidRDefault="00D14F27" w:rsidP="00191BF5">
            <w:pPr>
              <w:pStyle w:val="Normal-pool"/>
              <w:spacing w:before="20" w:after="20"/>
              <w:rPr>
                <w:rFonts w:eastAsia="SimSun"/>
                <w:lang w:eastAsia="zh-CN"/>
              </w:rPr>
            </w:pPr>
          </w:p>
        </w:tc>
        <w:tc>
          <w:tcPr>
            <w:tcW w:w="1494" w:type="dxa"/>
            <w:vAlign w:val="center"/>
          </w:tcPr>
          <w:p w:rsidR="00D14F27" w:rsidRPr="00D81A4C" w:rsidDel="00914503" w:rsidRDefault="00D14F27" w:rsidP="00191BF5">
            <w:pPr>
              <w:pStyle w:val="Normal-pool"/>
              <w:spacing w:before="20" w:after="20"/>
              <w:rPr>
                <w:rFonts w:eastAsia="SimSun"/>
                <w:lang w:eastAsia="zh-CN"/>
              </w:rPr>
            </w:pPr>
            <w:r w:rsidRPr="00D81A4C">
              <w:rPr>
                <w:rFonts w:eastAsia="SimSun"/>
                <w:lang w:eastAsia="zh-CN"/>
              </w:rPr>
              <w:t>First quarter</w:t>
            </w:r>
          </w:p>
        </w:tc>
        <w:tc>
          <w:tcPr>
            <w:tcW w:w="6033" w:type="dxa"/>
            <w:vAlign w:val="center"/>
          </w:tcPr>
          <w:p w:rsidR="00D14F27" w:rsidRPr="00D14F27" w:rsidRDefault="00D14F27" w:rsidP="00191BF5">
            <w:pPr>
              <w:pStyle w:val="Normal-pool"/>
              <w:spacing w:before="20" w:after="20"/>
            </w:pPr>
            <w:r w:rsidRPr="00D14F27">
              <w:t>The Plenary reviews and accepts the report and approves the summary for policymakers (starting after 8 February 2015)</w:t>
            </w:r>
          </w:p>
        </w:tc>
      </w:tr>
    </w:tbl>
    <w:p w:rsidR="00BC24B1" w:rsidRPr="00D14F27" w:rsidRDefault="00BC24B1">
      <w:pPr>
        <w:pStyle w:val="CH1"/>
        <w:rPr>
          <w:b w:val="0"/>
          <w:lang w:val="en-GB"/>
        </w:rPr>
      </w:pPr>
      <w:r w:rsidRPr="00D14F27">
        <w:rPr>
          <w:lang w:val="en-GB"/>
        </w:rPr>
        <w:tab/>
      </w:r>
      <w:r w:rsidR="0039478F" w:rsidRPr="00D14F27">
        <w:rPr>
          <w:lang w:val="en-GB"/>
        </w:rPr>
        <w:t>V.</w:t>
      </w:r>
      <w:r w:rsidRPr="00D14F27">
        <w:rPr>
          <w:lang w:val="en-GB"/>
        </w:rPr>
        <w:tab/>
        <w:t>Cost estimate</w:t>
      </w:r>
    </w:p>
    <w:p w:rsidR="006F51BF" w:rsidRPr="00D14F27" w:rsidRDefault="006F51BF" w:rsidP="00191BF5">
      <w:pPr>
        <w:pStyle w:val="Normalnumber"/>
        <w:keepNext/>
        <w:rPr>
          <w:lang w:val="en-GB"/>
        </w:rPr>
      </w:pPr>
      <w:r w:rsidRPr="00D14F27">
        <w:rPr>
          <w:lang w:val="en-GB"/>
        </w:rPr>
        <w:t xml:space="preserve">The </w:t>
      </w:r>
      <w:r w:rsidR="00BD1962" w:rsidRPr="00D14F27">
        <w:rPr>
          <w:lang w:val="en-GB"/>
        </w:rPr>
        <w:t>table below shows the estimated cost of conducting the fast-track assessment a</w:t>
      </w:r>
      <w:r w:rsidR="00B06B78" w:rsidRPr="00D14F27">
        <w:rPr>
          <w:lang w:val="en-GB"/>
        </w:rPr>
        <w:t>nd preparing the fast-track</w:t>
      </w:r>
      <w:r w:rsidR="00BD1962" w:rsidRPr="00D14F27">
        <w:rPr>
          <w:lang w:val="en-GB"/>
        </w:rPr>
        <w:t xml:space="preserve"> assessment report</w:t>
      </w:r>
      <w:r w:rsidR="0077793A" w:rsidRPr="00D14F27">
        <w:rPr>
          <w:lang w:val="en-GB"/>
        </w:rPr>
        <w:t>.</w:t>
      </w:r>
    </w:p>
    <w:p w:rsidR="004A6891" w:rsidRPr="00D81A4C" w:rsidRDefault="004A6891" w:rsidP="00D81A4C">
      <w:pPr>
        <w:pStyle w:val="Normalnumber"/>
        <w:keepNext/>
        <w:numPr>
          <w:ilvl w:val="0"/>
          <w:numId w:val="0"/>
        </w:numPr>
        <w:ind w:left="1247"/>
        <w:rPr>
          <w:sz w:val="18"/>
          <w:szCs w:val="18"/>
          <w:lang w:val="en-GB"/>
        </w:rPr>
      </w:pPr>
      <w:r w:rsidRPr="00D81A4C">
        <w:rPr>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929"/>
        <w:gridCol w:w="3653"/>
        <w:gridCol w:w="1025"/>
      </w:tblGrid>
      <w:tr w:rsidR="007A4855" w:rsidRPr="00D14F27" w:rsidTr="00191BF5">
        <w:tc>
          <w:tcPr>
            <w:tcW w:w="642" w:type="dxa"/>
          </w:tcPr>
          <w:p w:rsidR="007A4855" w:rsidRPr="00D81A4C" w:rsidRDefault="007A4855" w:rsidP="00191BF5">
            <w:pPr>
              <w:pStyle w:val="Normal-pool"/>
              <w:spacing w:before="40" w:after="40"/>
              <w:jc w:val="center"/>
              <w:rPr>
                <w:rFonts w:eastAsia="SimSun"/>
                <w:i/>
                <w:lang w:eastAsia="zh-CN"/>
              </w:rPr>
            </w:pPr>
            <w:r w:rsidRPr="00D81A4C">
              <w:rPr>
                <w:rFonts w:eastAsia="SimSun"/>
                <w:i/>
                <w:lang w:eastAsia="zh-CN"/>
              </w:rPr>
              <w:t>Year</w:t>
            </w:r>
          </w:p>
        </w:tc>
        <w:tc>
          <w:tcPr>
            <w:tcW w:w="2929" w:type="dxa"/>
          </w:tcPr>
          <w:p w:rsidR="007A4855" w:rsidRPr="00D81A4C" w:rsidRDefault="007A4855" w:rsidP="00191BF5">
            <w:pPr>
              <w:pStyle w:val="Normal-pool"/>
              <w:spacing w:before="40" w:after="40"/>
              <w:jc w:val="center"/>
              <w:rPr>
                <w:rFonts w:eastAsia="SimSun"/>
                <w:i/>
                <w:lang w:eastAsia="zh-CN"/>
              </w:rPr>
            </w:pPr>
            <w:r w:rsidRPr="00D81A4C">
              <w:rPr>
                <w:rFonts w:eastAsia="SimSun"/>
                <w:i/>
                <w:spacing w:val="4"/>
                <w:w w:val="103"/>
                <w:kern w:val="14"/>
                <w:lang w:eastAsia="zh-CN"/>
              </w:rPr>
              <w:t xml:space="preserve">Cost </w:t>
            </w:r>
            <w:r w:rsidR="00F606BF" w:rsidRPr="00D81A4C">
              <w:rPr>
                <w:rFonts w:eastAsia="SimSun"/>
                <w:i/>
                <w:lang w:eastAsia="zh-CN"/>
              </w:rPr>
              <w:t>i</w:t>
            </w:r>
            <w:r w:rsidRPr="00D81A4C">
              <w:rPr>
                <w:rFonts w:eastAsia="SimSun"/>
                <w:i/>
                <w:spacing w:val="4"/>
                <w:w w:val="103"/>
                <w:kern w:val="14"/>
                <w:lang w:eastAsia="zh-CN"/>
              </w:rPr>
              <w:t>tem</w:t>
            </w:r>
          </w:p>
        </w:tc>
        <w:tc>
          <w:tcPr>
            <w:tcW w:w="3653" w:type="dxa"/>
          </w:tcPr>
          <w:p w:rsidR="007A4855" w:rsidRPr="00D81A4C" w:rsidRDefault="007A4855" w:rsidP="00191BF5">
            <w:pPr>
              <w:pStyle w:val="Normal-pool"/>
              <w:spacing w:before="40" w:after="40"/>
              <w:jc w:val="center"/>
              <w:rPr>
                <w:rFonts w:eastAsia="SimSun"/>
                <w:i/>
                <w:lang w:eastAsia="zh-CN"/>
              </w:rPr>
            </w:pPr>
            <w:r w:rsidRPr="00D81A4C">
              <w:rPr>
                <w:rFonts w:eastAsia="SimSun"/>
                <w:i/>
                <w:spacing w:val="4"/>
                <w:w w:val="103"/>
                <w:kern w:val="14"/>
                <w:lang w:eastAsia="zh-CN"/>
              </w:rPr>
              <w:t>Assumptions</w:t>
            </w:r>
          </w:p>
        </w:tc>
        <w:tc>
          <w:tcPr>
            <w:tcW w:w="1025" w:type="dxa"/>
          </w:tcPr>
          <w:p w:rsidR="007A4855" w:rsidRPr="00D81A4C" w:rsidRDefault="007A4855" w:rsidP="00191BF5">
            <w:pPr>
              <w:pStyle w:val="Normal-pool"/>
              <w:spacing w:before="40" w:after="40"/>
              <w:jc w:val="center"/>
              <w:rPr>
                <w:rFonts w:eastAsia="SimSun"/>
                <w:i/>
                <w:lang w:eastAsia="zh-CN"/>
              </w:rPr>
            </w:pPr>
            <w:r w:rsidRPr="00D81A4C">
              <w:rPr>
                <w:rFonts w:eastAsia="SimSun"/>
                <w:i/>
                <w:spacing w:val="4"/>
                <w:w w:val="103"/>
                <w:kern w:val="14"/>
                <w:lang w:eastAsia="zh-CN"/>
              </w:rPr>
              <w:t>Cost</w:t>
            </w:r>
          </w:p>
        </w:tc>
      </w:tr>
      <w:tr w:rsidR="007A4855" w:rsidRPr="00D14F27" w:rsidTr="00191BF5">
        <w:tc>
          <w:tcPr>
            <w:tcW w:w="642" w:type="dxa"/>
            <w:vMerge w:val="restart"/>
            <w:vAlign w:val="center"/>
          </w:tcPr>
          <w:p w:rsidR="007A4855" w:rsidRPr="00D14F27" w:rsidRDefault="007A4855" w:rsidP="00191BF5">
            <w:pPr>
              <w:pStyle w:val="Normal-pool"/>
              <w:spacing w:before="20" w:after="20"/>
              <w:rPr>
                <w:rFonts w:eastAsia="SimSun"/>
                <w:lang w:eastAsia="zh-CN"/>
              </w:rPr>
            </w:pPr>
            <w:r w:rsidRPr="00D14F27">
              <w:rPr>
                <w:rFonts w:eastAsia="SimSun"/>
                <w:lang w:eastAsia="zh-CN"/>
              </w:rPr>
              <w:t>2014</w:t>
            </w:r>
          </w:p>
        </w:tc>
        <w:tc>
          <w:tcPr>
            <w:tcW w:w="2929" w:type="dxa"/>
            <w:vMerge w:val="restart"/>
            <w:vAlign w:val="center"/>
          </w:tcPr>
          <w:p w:rsidR="007A4855" w:rsidRPr="00D81A4C" w:rsidRDefault="007A4855" w:rsidP="00D81A4C">
            <w:pPr>
              <w:pStyle w:val="Normal-pool"/>
              <w:spacing w:before="20" w:after="20"/>
              <w:rPr>
                <w:rFonts w:eastAsia="SimSun"/>
                <w:lang w:eastAsia="zh-CN"/>
              </w:rPr>
            </w:pPr>
            <w:r w:rsidRPr="00D81A4C">
              <w:rPr>
                <w:rFonts w:eastAsia="SimSun"/>
                <w:spacing w:val="4"/>
                <w:w w:val="103"/>
                <w:kern w:val="14"/>
                <w:lang w:eastAsia="zh-CN"/>
              </w:rPr>
              <w:t>First author meeting (</w:t>
            </w:r>
            <w:r w:rsidR="00B11018" w:rsidRPr="00D81A4C">
              <w:rPr>
                <w:rFonts w:eastAsia="SimSun"/>
                <w:spacing w:val="4"/>
                <w:w w:val="103"/>
                <w:kern w:val="14"/>
                <w:lang w:eastAsia="zh-CN"/>
              </w:rPr>
              <w:t>8</w:t>
            </w:r>
            <w:r w:rsidRPr="00D81A4C">
              <w:rPr>
                <w:rFonts w:eastAsia="SimSun"/>
                <w:spacing w:val="4"/>
                <w:w w:val="103"/>
                <w:kern w:val="14"/>
                <w:lang w:eastAsia="zh-CN"/>
              </w:rPr>
              <w:t>0</w:t>
            </w:r>
            <w:r w:rsidR="00191BF5" w:rsidRPr="00D81A4C">
              <w:rPr>
                <w:rFonts w:eastAsia="SimSun"/>
                <w:spacing w:val="4"/>
                <w:w w:val="103"/>
                <w:kern w:val="14"/>
                <w:lang w:eastAsia="zh-CN"/>
              </w:rPr>
              <w:t> </w:t>
            </w:r>
            <w:r w:rsidRPr="00D81A4C">
              <w:rPr>
                <w:rFonts w:eastAsia="SimSun"/>
                <w:spacing w:val="4"/>
                <w:w w:val="103"/>
                <w:kern w:val="14"/>
                <w:lang w:eastAsia="zh-CN"/>
              </w:rPr>
              <w:t>co</w:t>
            </w:r>
            <w:r w:rsidR="00191BF5" w:rsidRPr="00D81A4C">
              <w:rPr>
                <w:rFonts w:eastAsia="SimSun"/>
                <w:spacing w:val="4"/>
                <w:w w:val="103"/>
                <w:kern w:val="14"/>
                <w:lang w:eastAsia="zh-CN"/>
              </w:rPr>
              <w:noBreakHyphen/>
            </w:r>
            <w:r w:rsidRPr="00D81A4C">
              <w:rPr>
                <w:rFonts w:eastAsia="SimSun"/>
                <w:spacing w:val="4"/>
                <w:w w:val="103"/>
                <w:kern w:val="14"/>
                <w:lang w:eastAsia="zh-CN"/>
              </w:rPr>
              <w:t xml:space="preserve">chairs, </w:t>
            </w:r>
            <w:r w:rsidR="00F51A5F" w:rsidRPr="00D81A4C">
              <w:rPr>
                <w:rFonts w:eastAsia="SimSun"/>
                <w:lang w:eastAsia="zh-CN"/>
              </w:rPr>
              <w:t>coordinating lead authors</w:t>
            </w:r>
            <w:r w:rsidRPr="00D81A4C">
              <w:rPr>
                <w:rFonts w:eastAsia="SimSun"/>
                <w:spacing w:val="4"/>
                <w:w w:val="103"/>
                <w:kern w:val="14"/>
                <w:lang w:eastAsia="zh-CN"/>
              </w:rPr>
              <w:t xml:space="preserve"> and </w:t>
            </w:r>
            <w:r w:rsidR="00F51A5F" w:rsidRPr="00D81A4C">
              <w:rPr>
                <w:rFonts w:eastAsia="SimSun"/>
                <w:lang w:eastAsia="zh-CN"/>
              </w:rPr>
              <w:t>lead authors, plus</w:t>
            </w:r>
            <w:r w:rsidRPr="00D81A4C">
              <w:rPr>
                <w:rFonts w:eastAsia="SimSun"/>
                <w:spacing w:val="4"/>
                <w:w w:val="103"/>
                <w:kern w:val="14"/>
                <w:lang w:eastAsia="zh-CN"/>
              </w:rPr>
              <w:t xml:space="preserve"> 4</w:t>
            </w:r>
            <w:r w:rsidR="00191BF5" w:rsidRPr="00D81A4C">
              <w:rPr>
                <w:rFonts w:eastAsia="SimSun"/>
                <w:spacing w:val="4"/>
                <w:w w:val="103"/>
                <w:kern w:val="14"/>
                <w:lang w:eastAsia="zh-CN"/>
              </w:rPr>
              <w:t> </w:t>
            </w:r>
            <w:r w:rsidR="00F51A5F" w:rsidRPr="00D81A4C">
              <w:rPr>
                <w:rFonts w:eastAsia="SimSun"/>
                <w:lang w:eastAsia="zh-CN"/>
              </w:rPr>
              <w:t>Multidisciplinary Expert Panel</w:t>
            </w:r>
            <w:r w:rsidR="00B11018" w:rsidRPr="00D81A4C">
              <w:rPr>
                <w:rFonts w:eastAsia="SimSun"/>
                <w:lang w:eastAsia="zh-CN"/>
              </w:rPr>
              <w:t>/</w:t>
            </w:r>
            <w:r w:rsidR="00F51A5F" w:rsidRPr="00D81A4C">
              <w:rPr>
                <w:rFonts w:eastAsia="SimSun"/>
                <w:lang w:eastAsia="zh-CN"/>
              </w:rPr>
              <w:t xml:space="preserve"> </w:t>
            </w:r>
            <w:r w:rsidRPr="00D81A4C">
              <w:rPr>
                <w:rFonts w:eastAsia="SimSun"/>
                <w:spacing w:val="4"/>
                <w:w w:val="103"/>
                <w:kern w:val="14"/>
                <w:lang w:eastAsia="zh-CN"/>
              </w:rPr>
              <w:t>Bureau</w:t>
            </w:r>
            <w:r w:rsidR="00F51A5F" w:rsidRPr="00D81A4C">
              <w:rPr>
                <w:rFonts w:eastAsia="SimSun"/>
                <w:spacing w:val="4"/>
                <w:w w:val="103"/>
                <w:kern w:val="14"/>
                <w:lang w:eastAsia="zh-CN"/>
              </w:rPr>
              <w:t xml:space="preserve"> members, plus</w:t>
            </w:r>
            <w:r w:rsidRPr="00D81A4C">
              <w:rPr>
                <w:rFonts w:eastAsia="SimSun"/>
                <w:spacing w:val="4"/>
                <w:w w:val="103"/>
                <w:kern w:val="14"/>
                <w:lang w:eastAsia="zh-CN"/>
              </w:rPr>
              <w:t xml:space="preserve"> 1 technical support staff</w:t>
            </w:r>
            <w:r w:rsidR="00F51A5F" w:rsidRPr="00D81A4C">
              <w:rPr>
                <w:rFonts w:eastAsia="SimSun"/>
                <w:spacing w:val="4"/>
                <w:w w:val="103"/>
                <w:kern w:val="14"/>
                <w:lang w:eastAsia="zh-CN"/>
              </w:rPr>
              <w:t xml:space="preserve"> member</w:t>
            </w:r>
            <w:r w:rsidRPr="00D81A4C">
              <w:rPr>
                <w:rFonts w:eastAsia="SimSun"/>
                <w:spacing w:val="4"/>
                <w:w w:val="103"/>
                <w:kern w:val="14"/>
                <w:lang w:eastAsia="zh-CN"/>
              </w:rPr>
              <w:t>)</w:t>
            </w:r>
          </w:p>
        </w:tc>
        <w:tc>
          <w:tcPr>
            <w:tcW w:w="3653" w:type="dxa"/>
          </w:tcPr>
          <w:p w:rsidR="007A4855" w:rsidRPr="00D14F27" w:rsidRDefault="007A4855" w:rsidP="00191BF5">
            <w:pPr>
              <w:pStyle w:val="Normal-pool"/>
              <w:spacing w:before="20" w:after="20"/>
              <w:rPr>
                <w:rFonts w:eastAsia="SimSun"/>
                <w:lang w:eastAsia="zh-CN"/>
              </w:rPr>
            </w:pPr>
            <w:r w:rsidRPr="00D14F27">
              <w:rPr>
                <w:rFonts w:eastAsia="SimSun"/>
                <w:lang w:eastAsia="zh-CN"/>
              </w:rPr>
              <w:t xml:space="preserve">Meeting costs (1 week, </w:t>
            </w:r>
            <w:r w:rsidR="00B11018" w:rsidRPr="00D14F27">
              <w:rPr>
                <w:rFonts w:eastAsia="SimSun"/>
                <w:lang w:eastAsia="zh-CN"/>
              </w:rPr>
              <w:t>8</w:t>
            </w:r>
            <w:r w:rsidRPr="00D14F27">
              <w:rPr>
                <w:rFonts w:eastAsia="SimSun"/>
                <w:lang w:eastAsia="zh-CN"/>
              </w:rPr>
              <w:t>5 participants) (25 per</w:t>
            </w:r>
            <w:r w:rsidR="00BA3E2D" w:rsidRPr="00D14F27">
              <w:rPr>
                <w:rFonts w:eastAsia="SimSun"/>
                <w:lang w:eastAsia="zh-CN"/>
              </w:rPr>
              <w:t xml:space="preserve"> </w:t>
            </w:r>
            <w:r w:rsidRPr="00D14F27">
              <w:rPr>
                <w:rFonts w:eastAsia="SimSun"/>
                <w:lang w:eastAsia="zh-CN"/>
              </w:rPr>
              <w:t>cent in</w:t>
            </w:r>
            <w:r w:rsidR="00035920" w:rsidRPr="00D14F27">
              <w:rPr>
                <w:rFonts w:eastAsia="SimSun"/>
                <w:lang w:eastAsia="zh-CN"/>
              </w:rPr>
              <w:t xml:space="preserve"> </w:t>
            </w:r>
            <w:r w:rsidRPr="00D14F27">
              <w:rPr>
                <w:rFonts w:eastAsia="SimSun"/>
                <w:lang w:eastAsia="zh-CN"/>
              </w:rPr>
              <w:t>kind)</w:t>
            </w:r>
          </w:p>
        </w:tc>
        <w:tc>
          <w:tcPr>
            <w:tcW w:w="1025" w:type="dxa"/>
          </w:tcPr>
          <w:p w:rsidR="007A4855" w:rsidRPr="00D14F27" w:rsidRDefault="007A4855" w:rsidP="00191BF5">
            <w:pPr>
              <w:pStyle w:val="Normal-pool"/>
              <w:spacing w:before="20" w:after="20"/>
              <w:jc w:val="right"/>
              <w:rPr>
                <w:rFonts w:eastAsia="SimSun"/>
                <w:lang w:eastAsia="zh-CN"/>
              </w:rPr>
            </w:pPr>
            <w:r w:rsidRPr="00D14F27">
              <w:rPr>
                <w:rFonts w:eastAsia="SimSun"/>
                <w:lang w:eastAsia="zh-CN"/>
              </w:rPr>
              <w:t>15 000</w:t>
            </w:r>
          </w:p>
        </w:tc>
      </w:tr>
      <w:tr w:rsidR="007A4855" w:rsidRPr="00D14F27" w:rsidTr="00191BF5">
        <w:trPr>
          <w:trHeight w:val="337"/>
        </w:trPr>
        <w:tc>
          <w:tcPr>
            <w:tcW w:w="642" w:type="dxa"/>
            <w:vMerge/>
            <w:vAlign w:val="center"/>
          </w:tcPr>
          <w:p w:rsidR="007A4855" w:rsidRPr="00D14F27" w:rsidRDefault="007A4855" w:rsidP="00191BF5">
            <w:pPr>
              <w:pStyle w:val="Normal-pool"/>
              <w:spacing w:before="20" w:after="20"/>
              <w:rPr>
                <w:rFonts w:eastAsia="SimSun"/>
                <w:lang w:eastAsia="zh-CN"/>
              </w:rPr>
            </w:pPr>
          </w:p>
        </w:tc>
        <w:tc>
          <w:tcPr>
            <w:tcW w:w="2929" w:type="dxa"/>
            <w:vMerge/>
            <w:vAlign w:val="center"/>
          </w:tcPr>
          <w:p w:rsidR="007A4855" w:rsidRPr="00D81A4C" w:rsidRDefault="007A4855" w:rsidP="00191BF5">
            <w:pPr>
              <w:pStyle w:val="Normal-pool"/>
              <w:spacing w:before="20" w:after="20"/>
              <w:rPr>
                <w:rFonts w:eastAsia="SimSun"/>
                <w:lang w:eastAsia="zh-CN"/>
              </w:rPr>
            </w:pPr>
          </w:p>
        </w:tc>
        <w:tc>
          <w:tcPr>
            <w:tcW w:w="3653" w:type="dxa"/>
          </w:tcPr>
          <w:p w:rsidR="007A4855" w:rsidRPr="00D14F27" w:rsidRDefault="007A4855" w:rsidP="00191BF5">
            <w:pPr>
              <w:pStyle w:val="Normal-pool"/>
              <w:spacing w:before="20" w:after="20"/>
              <w:rPr>
                <w:rFonts w:eastAsia="SimSun"/>
                <w:lang w:eastAsia="zh-CN"/>
              </w:rPr>
            </w:pPr>
            <w:r w:rsidRPr="00D14F27">
              <w:rPr>
                <w:rFonts w:eastAsia="SimSun"/>
                <w:lang w:eastAsia="zh-CN"/>
              </w:rPr>
              <w:t>Travel and DSA (</w:t>
            </w:r>
            <w:r w:rsidR="00B11018" w:rsidRPr="00D14F27">
              <w:rPr>
                <w:rFonts w:eastAsia="SimSun"/>
                <w:lang w:eastAsia="zh-CN"/>
              </w:rPr>
              <w:t>64</w:t>
            </w:r>
            <w:r w:rsidRPr="00D14F27">
              <w:rPr>
                <w:rFonts w:eastAsia="SimSun"/>
                <w:lang w:eastAsia="zh-CN"/>
              </w:rPr>
              <w:t xml:space="preserve"> x $3</w:t>
            </w:r>
            <w:r w:rsidR="00690470" w:rsidRPr="00D14F27">
              <w:rPr>
                <w:rFonts w:eastAsia="SimSun"/>
                <w:lang w:eastAsia="zh-CN"/>
              </w:rPr>
              <w:t>,</w:t>
            </w:r>
            <w:r w:rsidRPr="00D14F27">
              <w:rPr>
                <w:rFonts w:eastAsia="SimSun"/>
                <w:lang w:eastAsia="zh-CN"/>
              </w:rPr>
              <w:t>000)</w:t>
            </w:r>
          </w:p>
        </w:tc>
        <w:tc>
          <w:tcPr>
            <w:tcW w:w="1025" w:type="dxa"/>
          </w:tcPr>
          <w:p w:rsidR="007A4855" w:rsidRPr="00D14F27" w:rsidRDefault="007A4855" w:rsidP="00D81A4C">
            <w:pPr>
              <w:pStyle w:val="Normal-pool"/>
              <w:spacing w:before="20" w:after="20"/>
              <w:jc w:val="right"/>
              <w:rPr>
                <w:rFonts w:eastAsia="SimSun"/>
                <w:lang w:eastAsia="zh-CN"/>
              </w:rPr>
            </w:pPr>
            <w:r w:rsidRPr="00D14F27">
              <w:rPr>
                <w:rFonts w:eastAsia="SimSun"/>
                <w:lang w:eastAsia="zh-CN"/>
              </w:rPr>
              <w:t>1</w:t>
            </w:r>
            <w:r w:rsidR="00B11018" w:rsidRPr="00D14F27">
              <w:rPr>
                <w:rFonts w:eastAsia="SimSun"/>
                <w:lang w:eastAsia="zh-CN"/>
              </w:rPr>
              <w:t>92</w:t>
            </w:r>
            <w:r w:rsidRPr="00D14F27">
              <w:rPr>
                <w:rFonts w:eastAsia="SimSun"/>
                <w:lang w:eastAsia="zh-CN"/>
              </w:rPr>
              <w:t xml:space="preserve"> 000</w:t>
            </w:r>
          </w:p>
        </w:tc>
      </w:tr>
      <w:tr w:rsidR="007A4855" w:rsidRPr="00D14F27" w:rsidTr="00191BF5">
        <w:tc>
          <w:tcPr>
            <w:tcW w:w="642" w:type="dxa"/>
            <w:vMerge/>
            <w:vAlign w:val="center"/>
          </w:tcPr>
          <w:p w:rsidR="007A4855" w:rsidRPr="00D14F27" w:rsidRDefault="007A4855" w:rsidP="00191BF5">
            <w:pPr>
              <w:pStyle w:val="Normal-pool"/>
              <w:spacing w:before="20" w:after="20"/>
              <w:rPr>
                <w:rFonts w:eastAsia="SimSun"/>
                <w:lang w:eastAsia="zh-CN"/>
              </w:rPr>
            </w:pPr>
          </w:p>
        </w:tc>
        <w:tc>
          <w:tcPr>
            <w:tcW w:w="2929" w:type="dxa"/>
            <w:vMerge w:val="restart"/>
            <w:vAlign w:val="center"/>
          </w:tcPr>
          <w:p w:rsidR="007A4855" w:rsidRPr="00D81A4C" w:rsidRDefault="007A4855" w:rsidP="00661163">
            <w:pPr>
              <w:pStyle w:val="Normal-pool"/>
              <w:spacing w:before="20" w:after="20"/>
              <w:rPr>
                <w:rFonts w:eastAsia="SimSun"/>
                <w:lang w:eastAsia="zh-CN"/>
              </w:rPr>
            </w:pPr>
            <w:r w:rsidRPr="00D81A4C">
              <w:rPr>
                <w:rFonts w:eastAsia="SimSun"/>
                <w:spacing w:val="4"/>
                <w:w w:val="103"/>
                <w:kern w:val="14"/>
                <w:lang w:eastAsia="zh-CN"/>
              </w:rPr>
              <w:t>Second author meeting (</w:t>
            </w:r>
            <w:r w:rsidR="00B11018" w:rsidRPr="00D81A4C">
              <w:rPr>
                <w:rFonts w:eastAsia="SimSun"/>
                <w:spacing w:val="4"/>
                <w:w w:val="103"/>
                <w:kern w:val="14"/>
                <w:lang w:eastAsia="zh-CN"/>
              </w:rPr>
              <w:t>8</w:t>
            </w:r>
            <w:r w:rsidRPr="00D81A4C">
              <w:rPr>
                <w:rFonts w:eastAsia="SimSun"/>
                <w:spacing w:val="4"/>
                <w:w w:val="103"/>
                <w:kern w:val="14"/>
                <w:lang w:eastAsia="zh-CN"/>
              </w:rPr>
              <w:t>0 co</w:t>
            </w:r>
            <w:r w:rsidR="00191BF5" w:rsidRPr="00D81A4C">
              <w:rPr>
                <w:rFonts w:eastAsia="SimSun"/>
                <w:spacing w:val="4"/>
                <w:w w:val="103"/>
                <w:kern w:val="14"/>
                <w:lang w:eastAsia="zh-CN"/>
              </w:rPr>
              <w:noBreakHyphen/>
            </w:r>
            <w:r w:rsidRPr="00D81A4C">
              <w:rPr>
                <w:rFonts w:eastAsia="SimSun"/>
                <w:spacing w:val="4"/>
                <w:w w:val="103"/>
                <w:kern w:val="14"/>
                <w:lang w:eastAsia="zh-CN"/>
              </w:rPr>
              <w:t xml:space="preserve">chairs, </w:t>
            </w:r>
            <w:r w:rsidR="000428E9" w:rsidRPr="00D81A4C">
              <w:rPr>
                <w:rFonts w:eastAsia="SimSun"/>
                <w:lang w:eastAsia="zh-CN"/>
              </w:rPr>
              <w:t>coordinating lead authors</w:t>
            </w:r>
            <w:r w:rsidR="000428E9" w:rsidRPr="00D81A4C">
              <w:rPr>
                <w:rFonts w:eastAsia="SimSun"/>
                <w:spacing w:val="4"/>
                <w:w w:val="103"/>
                <w:kern w:val="14"/>
                <w:lang w:eastAsia="zh-CN"/>
              </w:rPr>
              <w:t xml:space="preserve"> and </w:t>
            </w:r>
            <w:r w:rsidR="000428E9" w:rsidRPr="00D81A4C">
              <w:rPr>
                <w:rFonts w:eastAsia="SimSun"/>
                <w:lang w:eastAsia="zh-CN"/>
              </w:rPr>
              <w:t>lead authors,</w:t>
            </w:r>
            <w:r w:rsidR="000428E9" w:rsidRPr="00D81A4C">
              <w:rPr>
                <w:rFonts w:eastAsia="SimSun"/>
                <w:spacing w:val="4"/>
                <w:w w:val="103"/>
                <w:kern w:val="14"/>
                <w:lang w:eastAsia="zh-CN"/>
              </w:rPr>
              <w:t xml:space="preserve"> plus</w:t>
            </w:r>
            <w:r w:rsidRPr="00D81A4C">
              <w:rPr>
                <w:rFonts w:eastAsia="SimSun"/>
                <w:spacing w:val="4"/>
                <w:w w:val="103"/>
                <w:kern w:val="14"/>
                <w:lang w:eastAsia="zh-CN"/>
              </w:rPr>
              <w:t xml:space="preserve"> 4</w:t>
            </w:r>
            <w:r w:rsidR="00191BF5" w:rsidRPr="00D81A4C">
              <w:rPr>
                <w:rFonts w:eastAsia="SimSun"/>
                <w:spacing w:val="4"/>
                <w:w w:val="103"/>
                <w:kern w:val="14"/>
                <w:lang w:eastAsia="zh-CN"/>
              </w:rPr>
              <w:t> </w:t>
            </w:r>
            <w:r w:rsidR="000428E9" w:rsidRPr="00D81A4C">
              <w:rPr>
                <w:rFonts w:eastAsia="SimSun"/>
                <w:spacing w:val="4"/>
                <w:w w:val="103"/>
                <w:kern w:val="14"/>
                <w:lang w:eastAsia="zh-CN"/>
              </w:rPr>
              <w:t>Panel</w:t>
            </w:r>
            <w:r w:rsidRPr="00D81A4C">
              <w:rPr>
                <w:rFonts w:eastAsia="SimSun"/>
                <w:spacing w:val="4"/>
                <w:w w:val="103"/>
                <w:kern w:val="14"/>
                <w:lang w:eastAsia="zh-CN"/>
              </w:rPr>
              <w:t>/Bureau</w:t>
            </w:r>
            <w:r w:rsidR="000428E9" w:rsidRPr="00D81A4C">
              <w:rPr>
                <w:rFonts w:eastAsia="SimSun"/>
                <w:spacing w:val="4"/>
                <w:w w:val="103"/>
                <w:kern w:val="14"/>
                <w:lang w:eastAsia="zh-CN"/>
              </w:rPr>
              <w:t xml:space="preserve"> members, plus </w:t>
            </w:r>
            <w:r w:rsidRPr="00D81A4C">
              <w:rPr>
                <w:rFonts w:eastAsia="SimSun"/>
                <w:spacing w:val="4"/>
                <w:w w:val="103"/>
                <w:kern w:val="14"/>
                <w:lang w:eastAsia="zh-CN"/>
              </w:rPr>
              <w:t>1 technical support staff</w:t>
            </w:r>
            <w:r w:rsidR="000428E9" w:rsidRPr="00D81A4C">
              <w:rPr>
                <w:rFonts w:eastAsia="SimSun"/>
                <w:spacing w:val="4"/>
                <w:w w:val="103"/>
                <w:kern w:val="14"/>
                <w:lang w:eastAsia="zh-CN"/>
              </w:rPr>
              <w:t xml:space="preserve"> member</w:t>
            </w:r>
            <w:r w:rsidRPr="00D81A4C">
              <w:rPr>
                <w:rFonts w:eastAsia="SimSun"/>
                <w:spacing w:val="4"/>
                <w:w w:val="103"/>
                <w:kern w:val="14"/>
                <w:lang w:eastAsia="zh-CN"/>
              </w:rPr>
              <w:t>)</w:t>
            </w:r>
          </w:p>
        </w:tc>
        <w:tc>
          <w:tcPr>
            <w:tcW w:w="3653" w:type="dxa"/>
          </w:tcPr>
          <w:p w:rsidR="007A4855" w:rsidRPr="00D14F27" w:rsidRDefault="007A4855" w:rsidP="00191BF5">
            <w:pPr>
              <w:pStyle w:val="Normal-pool"/>
              <w:spacing w:before="20" w:after="20"/>
              <w:rPr>
                <w:rFonts w:eastAsia="SimSun"/>
                <w:lang w:eastAsia="zh-CN"/>
              </w:rPr>
            </w:pPr>
            <w:r w:rsidRPr="00D14F27">
              <w:rPr>
                <w:rFonts w:eastAsia="SimSun"/>
                <w:lang w:eastAsia="zh-CN"/>
              </w:rPr>
              <w:t xml:space="preserve">Meeting costs (1 week, </w:t>
            </w:r>
            <w:r w:rsidR="00B11018" w:rsidRPr="00D14F27">
              <w:rPr>
                <w:rFonts w:eastAsia="SimSun"/>
                <w:lang w:eastAsia="zh-CN"/>
              </w:rPr>
              <w:t>8</w:t>
            </w:r>
            <w:r w:rsidRPr="00D14F27">
              <w:rPr>
                <w:rFonts w:eastAsia="SimSun"/>
                <w:lang w:eastAsia="zh-CN"/>
              </w:rPr>
              <w:t>5 participants) (25 per</w:t>
            </w:r>
            <w:r w:rsidR="00BA3E2D" w:rsidRPr="00D14F27">
              <w:rPr>
                <w:rFonts w:eastAsia="SimSun"/>
                <w:lang w:eastAsia="zh-CN"/>
              </w:rPr>
              <w:t xml:space="preserve"> </w:t>
            </w:r>
            <w:r w:rsidRPr="00D14F27">
              <w:rPr>
                <w:rFonts w:eastAsia="SimSun"/>
                <w:lang w:eastAsia="zh-CN"/>
              </w:rPr>
              <w:t>cent in</w:t>
            </w:r>
            <w:r w:rsidR="00035920" w:rsidRPr="00D14F27">
              <w:rPr>
                <w:rFonts w:eastAsia="SimSun"/>
                <w:lang w:eastAsia="zh-CN"/>
              </w:rPr>
              <w:t xml:space="preserve"> </w:t>
            </w:r>
            <w:r w:rsidRPr="00D14F27">
              <w:rPr>
                <w:rFonts w:eastAsia="SimSun"/>
                <w:lang w:eastAsia="zh-CN"/>
              </w:rPr>
              <w:t>kind)</w:t>
            </w:r>
          </w:p>
        </w:tc>
        <w:tc>
          <w:tcPr>
            <w:tcW w:w="1025" w:type="dxa"/>
          </w:tcPr>
          <w:p w:rsidR="007A4855" w:rsidRPr="00D14F27" w:rsidRDefault="007A4855" w:rsidP="00191BF5">
            <w:pPr>
              <w:pStyle w:val="Normal-pool"/>
              <w:spacing w:before="20" w:after="20"/>
              <w:jc w:val="right"/>
              <w:rPr>
                <w:rFonts w:eastAsia="SimSun"/>
                <w:lang w:eastAsia="zh-CN"/>
              </w:rPr>
            </w:pPr>
            <w:r w:rsidRPr="00D14F27">
              <w:rPr>
                <w:rFonts w:eastAsia="SimSun"/>
                <w:lang w:eastAsia="zh-CN"/>
              </w:rPr>
              <w:t>15 000</w:t>
            </w:r>
          </w:p>
        </w:tc>
      </w:tr>
      <w:tr w:rsidR="007A4855" w:rsidRPr="00D14F27" w:rsidTr="00191BF5">
        <w:trPr>
          <w:trHeight w:val="337"/>
        </w:trPr>
        <w:tc>
          <w:tcPr>
            <w:tcW w:w="642" w:type="dxa"/>
            <w:vMerge/>
            <w:vAlign w:val="center"/>
          </w:tcPr>
          <w:p w:rsidR="007A4855" w:rsidRPr="00D14F27" w:rsidRDefault="007A4855" w:rsidP="00191BF5">
            <w:pPr>
              <w:pStyle w:val="Normal-pool"/>
              <w:spacing w:before="20" w:after="20"/>
              <w:rPr>
                <w:rFonts w:eastAsia="SimSun"/>
                <w:lang w:eastAsia="zh-CN"/>
              </w:rPr>
            </w:pPr>
          </w:p>
        </w:tc>
        <w:tc>
          <w:tcPr>
            <w:tcW w:w="2929" w:type="dxa"/>
            <w:vMerge/>
            <w:vAlign w:val="center"/>
          </w:tcPr>
          <w:p w:rsidR="007A4855" w:rsidRPr="00D81A4C" w:rsidRDefault="007A4855" w:rsidP="00191BF5">
            <w:pPr>
              <w:pStyle w:val="Normal-pool"/>
              <w:spacing w:before="20" w:after="20"/>
              <w:rPr>
                <w:rFonts w:eastAsia="SimSun"/>
                <w:lang w:eastAsia="zh-CN"/>
              </w:rPr>
            </w:pPr>
          </w:p>
        </w:tc>
        <w:tc>
          <w:tcPr>
            <w:tcW w:w="3653" w:type="dxa"/>
          </w:tcPr>
          <w:p w:rsidR="007A4855" w:rsidRPr="00D14F27" w:rsidRDefault="007A4855" w:rsidP="00191BF5">
            <w:pPr>
              <w:pStyle w:val="Normal-pool"/>
              <w:spacing w:before="20" w:after="20"/>
              <w:rPr>
                <w:rFonts w:eastAsia="SimSun"/>
                <w:lang w:eastAsia="zh-CN"/>
              </w:rPr>
            </w:pPr>
            <w:r w:rsidRPr="00D14F27">
              <w:rPr>
                <w:rFonts w:eastAsia="SimSun"/>
                <w:lang w:eastAsia="zh-CN"/>
              </w:rPr>
              <w:t>Travel and DSA (</w:t>
            </w:r>
            <w:r w:rsidR="00B11018" w:rsidRPr="00D14F27">
              <w:rPr>
                <w:rFonts w:eastAsia="SimSun"/>
                <w:lang w:eastAsia="zh-CN"/>
              </w:rPr>
              <w:t>64</w:t>
            </w:r>
            <w:r w:rsidRPr="00D14F27">
              <w:rPr>
                <w:rFonts w:eastAsia="SimSun"/>
                <w:lang w:eastAsia="zh-CN"/>
              </w:rPr>
              <w:t xml:space="preserve"> x $3</w:t>
            </w:r>
            <w:r w:rsidR="00690470" w:rsidRPr="00D14F27">
              <w:rPr>
                <w:rFonts w:eastAsia="SimSun"/>
                <w:lang w:eastAsia="zh-CN"/>
              </w:rPr>
              <w:t>,</w:t>
            </w:r>
            <w:r w:rsidRPr="00D14F27">
              <w:rPr>
                <w:rFonts w:eastAsia="SimSun"/>
                <w:lang w:eastAsia="zh-CN"/>
              </w:rPr>
              <w:t>000)</w:t>
            </w:r>
          </w:p>
        </w:tc>
        <w:tc>
          <w:tcPr>
            <w:tcW w:w="1025" w:type="dxa"/>
          </w:tcPr>
          <w:p w:rsidR="007A4855" w:rsidRPr="00D14F27" w:rsidRDefault="007A4855" w:rsidP="00D81A4C">
            <w:pPr>
              <w:pStyle w:val="Normal-pool"/>
              <w:spacing w:before="20" w:after="20"/>
              <w:jc w:val="right"/>
              <w:rPr>
                <w:rFonts w:eastAsia="SimSun"/>
                <w:lang w:eastAsia="zh-CN"/>
              </w:rPr>
            </w:pPr>
            <w:r w:rsidRPr="00D14F27">
              <w:rPr>
                <w:rFonts w:eastAsia="SimSun"/>
                <w:lang w:eastAsia="zh-CN"/>
              </w:rPr>
              <w:t>1</w:t>
            </w:r>
            <w:r w:rsidR="00B11018" w:rsidRPr="00D14F27">
              <w:rPr>
                <w:rFonts w:eastAsia="SimSun"/>
                <w:lang w:eastAsia="zh-CN"/>
              </w:rPr>
              <w:t>92</w:t>
            </w:r>
            <w:r w:rsidRPr="00D14F27">
              <w:rPr>
                <w:rFonts w:eastAsia="SimSun"/>
                <w:lang w:eastAsia="zh-CN"/>
              </w:rPr>
              <w:t xml:space="preserve"> 000</w:t>
            </w:r>
          </w:p>
        </w:tc>
      </w:tr>
      <w:tr w:rsidR="007A4855" w:rsidRPr="00D14F27" w:rsidTr="00191BF5">
        <w:tc>
          <w:tcPr>
            <w:tcW w:w="642" w:type="dxa"/>
            <w:vMerge/>
            <w:vAlign w:val="center"/>
          </w:tcPr>
          <w:p w:rsidR="007A4855" w:rsidRPr="00D14F27" w:rsidRDefault="007A4855" w:rsidP="00191BF5">
            <w:pPr>
              <w:pStyle w:val="Normal-pool"/>
              <w:spacing w:before="20" w:after="20"/>
              <w:rPr>
                <w:rFonts w:eastAsia="SimSun"/>
                <w:lang w:eastAsia="zh-CN"/>
              </w:rPr>
            </w:pPr>
          </w:p>
        </w:tc>
        <w:tc>
          <w:tcPr>
            <w:tcW w:w="2929" w:type="dxa"/>
            <w:vMerge w:val="restart"/>
            <w:vAlign w:val="center"/>
          </w:tcPr>
          <w:p w:rsidR="007A4855" w:rsidRPr="00D81A4C" w:rsidRDefault="007A4855" w:rsidP="00D81A4C">
            <w:pPr>
              <w:pStyle w:val="Normal-pool"/>
              <w:spacing w:before="20" w:after="20"/>
              <w:rPr>
                <w:rFonts w:eastAsia="SimSun"/>
                <w:lang w:eastAsia="zh-CN"/>
              </w:rPr>
            </w:pPr>
            <w:r w:rsidRPr="00D81A4C">
              <w:rPr>
                <w:rFonts w:eastAsia="SimSun"/>
                <w:spacing w:val="4"/>
                <w:w w:val="103"/>
                <w:kern w:val="14"/>
                <w:lang w:eastAsia="zh-CN"/>
              </w:rPr>
              <w:t>Third author meeting (</w:t>
            </w:r>
            <w:r w:rsidR="00B11018" w:rsidRPr="00D81A4C">
              <w:rPr>
                <w:rFonts w:eastAsia="SimSun"/>
                <w:spacing w:val="4"/>
                <w:w w:val="103"/>
                <w:kern w:val="14"/>
                <w:lang w:eastAsia="zh-CN"/>
              </w:rPr>
              <w:t>8</w:t>
            </w:r>
            <w:r w:rsidRPr="00D81A4C">
              <w:rPr>
                <w:rFonts w:eastAsia="SimSun"/>
                <w:spacing w:val="4"/>
                <w:w w:val="103"/>
                <w:kern w:val="14"/>
                <w:lang w:eastAsia="zh-CN"/>
              </w:rPr>
              <w:t>0</w:t>
            </w:r>
            <w:r w:rsidR="00191BF5" w:rsidRPr="00D81A4C">
              <w:rPr>
                <w:rFonts w:eastAsia="SimSun"/>
                <w:spacing w:val="4"/>
                <w:w w:val="103"/>
                <w:kern w:val="14"/>
                <w:lang w:eastAsia="zh-CN"/>
              </w:rPr>
              <w:t> </w:t>
            </w:r>
            <w:r w:rsidRPr="00D81A4C">
              <w:rPr>
                <w:rFonts w:eastAsia="SimSun"/>
                <w:spacing w:val="4"/>
                <w:w w:val="103"/>
                <w:kern w:val="14"/>
                <w:lang w:eastAsia="zh-CN"/>
              </w:rPr>
              <w:t>co</w:t>
            </w:r>
            <w:r w:rsidR="00191BF5" w:rsidRPr="00D81A4C">
              <w:rPr>
                <w:rFonts w:eastAsia="SimSun"/>
                <w:spacing w:val="4"/>
                <w:w w:val="103"/>
                <w:kern w:val="14"/>
                <w:lang w:eastAsia="zh-CN"/>
              </w:rPr>
              <w:noBreakHyphen/>
            </w:r>
            <w:r w:rsidRPr="00D81A4C">
              <w:rPr>
                <w:rFonts w:eastAsia="SimSun"/>
                <w:spacing w:val="4"/>
                <w:w w:val="103"/>
                <w:kern w:val="14"/>
                <w:lang w:eastAsia="zh-CN"/>
              </w:rPr>
              <w:t xml:space="preserve">chairs, </w:t>
            </w:r>
            <w:r w:rsidR="000428E9" w:rsidRPr="00D81A4C">
              <w:rPr>
                <w:rFonts w:eastAsia="SimSun"/>
                <w:lang w:eastAsia="zh-CN"/>
              </w:rPr>
              <w:t>coordinating lead authors</w:t>
            </w:r>
            <w:r w:rsidR="000428E9" w:rsidRPr="00D81A4C">
              <w:rPr>
                <w:rFonts w:eastAsia="SimSun"/>
                <w:spacing w:val="4"/>
                <w:w w:val="103"/>
                <w:kern w:val="14"/>
                <w:lang w:eastAsia="zh-CN"/>
              </w:rPr>
              <w:t xml:space="preserve"> and </w:t>
            </w:r>
            <w:r w:rsidR="000428E9" w:rsidRPr="00D81A4C">
              <w:rPr>
                <w:rFonts w:eastAsia="SimSun"/>
                <w:lang w:eastAsia="zh-CN"/>
              </w:rPr>
              <w:t>lead authors,</w:t>
            </w:r>
            <w:r w:rsidR="000428E9" w:rsidRPr="00D81A4C" w:rsidDel="000428E9">
              <w:rPr>
                <w:rFonts w:eastAsia="SimSun"/>
                <w:spacing w:val="4"/>
                <w:w w:val="103"/>
                <w:kern w:val="14"/>
                <w:lang w:eastAsia="zh-CN"/>
              </w:rPr>
              <w:t xml:space="preserve"> </w:t>
            </w:r>
            <w:r w:rsidR="000428E9" w:rsidRPr="00D81A4C">
              <w:rPr>
                <w:rFonts w:eastAsia="SimSun"/>
                <w:spacing w:val="4"/>
                <w:w w:val="103"/>
                <w:kern w:val="14"/>
                <w:lang w:eastAsia="zh-CN"/>
              </w:rPr>
              <w:t xml:space="preserve"> plus </w:t>
            </w:r>
            <w:r w:rsidRPr="00D81A4C">
              <w:rPr>
                <w:rFonts w:eastAsia="SimSun"/>
                <w:spacing w:val="4"/>
                <w:w w:val="103"/>
                <w:kern w:val="14"/>
                <w:lang w:eastAsia="zh-CN"/>
              </w:rPr>
              <w:t>1</w:t>
            </w:r>
            <w:r w:rsidR="00B11018" w:rsidRPr="00D81A4C">
              <w:rPr>
                <w:rFonts w:eastAsia="SimSun"/>
                <w:spacing w:val="4"/>
                <w:w w:val="103"/>
                <w:kern w:val="14"/>
                <w:lang w:eastAsia="zh-CN"/>
              </w:rPr>
              <w:t>8</w:t>
            </w:r>
            <w:r w:rsidRPr="00D81A4C">
              <w:rPr>
                <w:rFonts w:eastAsia="SimSun"/>
                <w:spacing w:val="4"/>
                <w:w w:val="103"/>
                <w:kern w:val="14"/>
                <w:lang w:eastAsia="zh-CN"/>
              </w:rPr>
              <w:t xml:space="preserve"> </w:t>
            </w:r>
            <w:r w:rsidR="000428E9" w:rsidRPr="00D81A4C">
              <w:rPr>
                <w:rFonts w:eastAsia="SimSun"/>
                <w:spacing w:val="4"/>
                <w:w w:val="103"/>
                <w:kern w:val="14"/>
                <w:lang w:eastAsia="zh-CN"/>
              </w:rPr>
              <w:t>review editors, plus</w:t>
            </w:r>
            <w:r w:rsidRPr="00D81A4C">
              <w:rPr>
                <w:rFonts w:eastAsia="SimSun"/>
                <w:spacing w:val="4"/>
                <w:w w:val="103"/>
                <w:kern w:val="14"/>
                <w:lang w:eastAsia="zh-CN"/>
              </w:rPr>
              <w:t xml:space="preserve"> 4</w:t>
            </w:r>
            <w:r w:rsidR="000428E9" w:rsidRPr="00D81A4C">
              <w:rPr>
                <w:rFonts w:eastAsia="SimSun"/>
                <w:spacing w:val="4"/>
                <w:w w:val="103"/>
                <w:kern w:val="14"/>
                <w:lang w:eastAsia="zh-CN"/>
              </w:rPr>
              <w:t> Panel</w:t>
            </w:r>
            <w:r w:rsidRPr="00D81A4C">
              <w:rPr>
                <w:rFonts w:eastAsia="SimSun"/>
                <w:spacing w:val="4"/>
                <w:w w:val="103"/>
                <w:kern w:val="14"/>
                <w:lang w:eastAsia="zh-CN"/>
              </w:rPr>
              <w:t>/Bureau</w:t>
            </w:r>
            <w:r w:rsidR="000428E9" w:rsidRPr="00D81A4C">
              <w:rPr>
                <w:rFonts w:eastAsia="SimSun"/>
                <w:spacing w:val="4"/>
                <w:w w:val="103"/>
                <w:kern w:val="14"/>
                <w:lang w:eastAsia="zh-CN"/>
              </w:rPr>
              <w:t xml:space="preserve"> members, plus</w:t>
            </w:r>
            <w:r w:rsidRPr="00D81A4C">
              <w:rPr>
                <w:rFonts w:eastAsia="SimSun"/>
                <w:spacing w:val="4"/>
                <w:w w:val="103"/>
                <w:kern w:val="14"/>
                <w:lang w:eastAsia="zh-CN"/>
              </w:rPr>
              <w:t xml:space="preserve"> 1</w:t>
            </w:r>
            <w:r w:rsidR="00191BF5" w:rsidRPr="00D81A4C">
              <w:rPr>
                <w:rFonts w:eastAsia="SimSun"/>
                <w:spacing w:val="4"/>
                <w:w w:val="103"/>
                <w:kern w:val="14"/>
                <w:lang w:eastAsia="zh-CN"/>
              </w:rPr>
              <w:t> </w:t>
            </w:r>
            <w:r w:rsidRPr="00D81A4C">
              <w:rPr>
                <w:rFonts w:eastAsia="SimSun"/>
                <w:spacing w:val="4"/>
                <w:w w:val="103"/>
                <w:kern w:val="14"/>
                <w:lang w:eastAsia="zh-CN"/>
              </w:rPr>
              <w:t>technical support staff</w:t>
            </w:r>
            <w:r w:rsidR="000428E9" w:rsidRPr="00D81A4C">
              <w:rPr>
                <w:rFonts w:eastAsia="SimSun"/>
                <w:spacing w:val="4"/>
                <w:w w:val="103"/>
                <w:kern w:val="14"/>
                <w:lang w:eastAsia="zh-CN"/>
              </w:rPr>
              <w:t xml:space="preserve"> member</w:t>
            </w:r>
            <w:r w:rsidRPr="00D81A4C">
              <w:rPr>
                <w:rFonts w:eastAsia="SimSun"/>
                <w:spacing w:val="4"/>
                <w:w w:val="103"/>
                <w:kern w:val="14"/>
                <w:lang w:eastAsia="zh-CN"/>
              </w:rPr>
              <w:t>)</w:t>
            </w:r>
          </w:p>
        </w:tc>
        <w:tc>
          <w:tcPr>
            <w:tcW w:w="3653" w:type="dxa"/>
          </w:tcPr>
          <w:p w:rsidR="007A4855" w:rsidRPr="00D14F27" w:rsidRDefault="007A4855" w:rsidP="00D81A4C">
            <w:pPr>
              <w:pStyle w:val="Normal-pool"/>
              <w:spacing w:before="20" w:after="20"/>
              <w:rPr>
                <w:rFonts w:eastAsia="SimSun"/>
                <w:lang w:eastAsia="zh-CN"/>
              </w:rPr>
            </w:pPr>
            <w:r w:rsidRPr="00D14F27">
              <w:rPr>
                <w:rFonts w:eastAsia="SimSun"/>
                <w:lang w:eastAsia="zh-CN"/>
              </w:rPr>
              <w:t xml:space="preserve">Meeting costs (1 week, </w:t>
            </w:r>
            <w:r w:rsidR="00B11018" w:rsidRPr="00D14F27">
              <w:rPr>
                <w:rFonts w:eastAsia="SimSun"/>
                <w:lang w:eastAsia="zh-CN"/>
              </w:rPr>
              <w:t>104</w:t>
            </w:r>
            <w:r w:rsidRPr="00D14F27">
              <w:rPr>
                <w:rFonts w:eastAsia="SimSun"/>
                <w:lang w:eastAsia="zh-CN"/>
              </w:rPr>
              <w:t xml:space="preserve"> participants) (25 per</w:t>
            </w:r>
            <w:r w:rsidR="00BA3E2D" w:rsidRPr="00D14F27">
              <w:rPr>
                <w:rFonts w:eastAsia="SimSun"/>
                <w:lang w:eastAsia="zh-CN"/>
              </w:rPr>
              <w:t xml:space="preserve"> </w:t>
            </w:r>
            <w:r w:rsidRPr="00D14F27">
              <w:rPr>
                <w:rFonts w:eastAsia="SimSun"/>
                <w:lang w:eastAsia="zh-CN"/>
              </w:rPr>
              <w:t>cent in</w:t>
            </w:r>
            <w:r w:rsidR="00035920" w:rsidRPr="00D14F27">
              <w:rPr>
                <w:rFonts w:eastAsia="SimSun"/>
                <w:lang w:eastAsia="zh-CN"/>
              </w:rPr>
              <w:t xml:space="preserve"> </w:t>
            </w:r>
            <w:r w:rsidRPr="00D14F27">
              <w:rPr>
                <w:rFonts w:eastAsia="SimSun"/>
                <w:lang w:eastAsia="zh-CN"/>
              </w:rPr>
              <w:t>kind)</w:t>
            </w:r>
          </w:p>
        </w:tc>
        <w:tc>
          <w:tcPr>
            <w:tcW w:w="1025" w:type="dxa"/>
          </w:tcPr>
          <w:p w:rsidR="007A4855" w:rsidRPr="00D14F27" w:rsidRDefault="007A4855" w:rsidP="00D81A4C">
            <w:pPr>
              <w:pStyle w:val="Normal-pool"/>
              <w:spacing w:before="20" w:after="20"/>
              <w:jc w:val="right"/>
              <w:rPr>
                <w:rFonts w:eastAsia="SimSun"/>
                <w:lang w:eastAsia="zh-CN"/>
              </w:rPr>
            </w:pPr>
            <w:r w:rsidRPr="00D14F27">
              <w:rPr>
                <w:rFonts w:eastAsia="SimSun"/>
                <w:lang w:eastAsia="zh-CN"/>
              </w:rPr>
              <w:t>1</w:t>
            </w:r>
            <w:r w:rsidR="005103D8" w:rsidRPr="00D14F27">
              <w:rPr>
                <w:rFonts w:eastAsia="SimSun"/>
                <w:lang w:eastAsia="zh-CN"/>
              </w:rPr>
              <w:t>8</w:t>
            </w:r>
            <w:r w:rsidRPr="00D14F27">
              <w:rPr>
                <w:rFonts w:eastAsia="SimSun"/>
                <w:lang w:eastAsia="zh-CN"/>
              </w:rPr>
              <w:t xml:space="preserve"> </w:t>
            </w:r>
            <w:r w:rsidR="005103D8" w:rsidRPr="00D14F27">
              <w:rPr>
                <w:rFonts w:eastAsia="SimSun"/>
                <w:lang w:eastAsia="zh-CN"/>
              </w:rPr>
              <w:t>750</w:t>
            </w:r>
          </w:p>
        </w:tc>
      </w:tr>
      <w:tr w:rsidR="007A4855" w:rsidRPr="00D14F27" w:rsidTr="00191BF5">
        <w:trPr>
          <w:trHeight w:val="339"/>
        </w:trPr>
        <w:tc>
          <w:tcPr>
            <w:tcW w:w="642" w:type="dxa"/>
            <w:vMerge/>
            <w:vAlign w:val="center"/>
          </w:tcPr>
          <w:p w:rsidR="007A4855" w:rsidRPr="00D14F27" w:rsidRDefault="007A4855" w:rsidP="00191BF5">
            <w:pPr>
              <w:pStyle w:val="Normal-pool"/>
              <w:spacing w:before="20" w:after="20"/>
              <w:rPr>
                <w:rFonts w:eastAsia="SimSun"/>
                <w:lang w:eastAsia="zh-CN"/>
              </w:rPr>
            </w:pPr>
          </w:p>
        </w:tc>
        <w:tc>
          <w:tcPr>
            <w:tcW w:w="2929" w:type="dxa"/>
            <w:vMerge/>
            <w:tcBorders>
              <w:bottom w:val="single" w:sz="4" w:space="0" w:color="auto"/>
            </w:tcBorders>
            <w:vAlign w:val="center"/>
          </w:tcPr>
          <w:p w:rsidR="007A4855" w:rsidRPr="00D14F27" w:rsidRDefault="007A4855" w:rsidP="00191BF5">
            <w:pPr>
              <w:pStyle w:val="Normal-pool"/>
              <w:spacing w:before="20" w:after="20"/>
              <w:rPr>
                <w:rFonts w:eastAsia="SimSun"/>
                <w:lang w:eastAsia="zh-CN"/>
              </w:rPr>
            </w:pPr>
          </w:p>
        </w:tc>
        <w:tc>
          <w:tcPr>
            <w:tcW w:w="3653" w:type="dxa"/>
            <w:tcBorders>
              <w:bottom w:val="single" w:sz="4" w:space="0" w:color="auto"/>
            </w:tcBorders>
          </w:tcPr>
          <w:p w:rsidR="007A4855" w:rsidRPr="00D14F27" w:rsidRDefault="007A4855" w:rsidP="00D81A4C">
            <w:pPr>
              <w:pStyle w:val="Normal-pool"/>
              <w:spacing w:before="20" w:after="20"/>
              <w:rPr>
                <w:rFonts w:eastAsia="SimSun"/>
                <w:lang w:eastAsia="zh-CN"/>
              </w:rPr>
            </w:pPr>
            <w:r w:rsidRPr="00D14F27">
              <w:rPr>
                <w:rFonts w:eastAsia="SimSun"/>
                <w:lang w:eastAsia="zh-CN"/>
              </w:rPr>
              <w:t>Travel and DSA (</w:t>
            </w:r>
            <w:r w:rsidR="00B11018" w:rsidRPr="00D14F27">
              <w:rPr>
                <w:rFonts w:eastAsia="SimSun"/>
                <w:lang w:eastAsia="zh-CN"/>
              </w:rPr>
              <w:t>7</w:t>
            </w:r>
            <w:r w:rsidRPr="00D14F27">
              <w:rPr>
                <w:rFonts w:eastAsia="SimSun"/>
                <w:lang w:eastAsia="zh-CN"/>
              </w:rPr>
              <w:t xml:space="preserve">8 x </w:t>
            </w:r>
            <w:r w:rsidR="00DE3DAE" w:rsidRPr="00D14F27">
              <w:rPr>
                <w:rFonts w:eastAsia="SimSun"/>
                <w:lang w:eastAsia="zh-CN"/>
              </w:rPr>
              <w:t>$</w:t>
            </w:r>
            <w:r w:rsidRPr="00D14F27">
              <w:rPr>
                <w:rFonts w:eastAsia="SimSun"/>
                <w:lang w:eastAsia="zh-CN"/>
              </w:rPr>
              <w:t>3</w:t>
            </w:r>
            <w:r w:rsidR="00DE3DAE" w:rsidRPr="00D14F27">
              <w:rPr>
                <w:rFonts w:eastAsia="SimSun"/>
                <w:lang w:eastAsia="zh-CN"/>
              </w:rPr>
              <w:t>,</w:t>
            </w:r>
            <w:r w:rsidRPr="00D14F27">
              <w:rPr>
                <w:rFonts w:eastAsia="SimSun"/>
                <w:lang w:eastAsia="zh-CN"/>
              </w:rPr>
              <w:t>000)</w:t>
            </w:r>
          </w:p>
        </w:tc>
        <w:tc>
          <w:tcPr>
            <w:tcW w:w="1025" w:type="dxa"/>
            <w:tcBorders>
              <w:bottom w:val="single" w:sz="4" w:space="0" w:color="auto"/>
            </w:tcBorders>
          </w:tcPr>
          <w:p w:rsidR="007A4855" w:rsidRPr="00D14F27" w:rsidRDefault="00B11018" w:rsidP="00D81A4C">
            <w:pPr>
              <w:pStyle w:val="Normal-pool"/>
              <w:spacing w:before="20" w:after="20"/>
              <w:jc w:val="right"/>
              <w:rPr>
                <w:rFonts w:eastAsia="SimSun"/>
                <w:lang w:eastAsia="zh-CN"/>
              </w:rPr>
            </w:pPr>
            <w:r w:rsidRPr="00D14F27">
              <w:rPr>
                <w:rFonts w:eastAsia="SimSun"/>
                <w:lang w:eastAsia="zh-CN"/>
              </w:rPr>
              <w:t>234</w:t>
            </w:r>
            <w:r w:rsidR="007A4855" w:rsidRPr="00D14F27">
              <w:rPr>
                <w:rFonts w:eastAsia="SimSun"/>
                <w:lang w:eastAsia="zh-CN"/>
              </w:rPr>
              <w:t xml:space="preserve"> 000</w:t>
            </w:r>
          </w:p>
        </w:tc>
      </w:tr>
      <w:tr w:rsidR="007A4855" w:rsidRPr="00D14F27" w:rsidTr="00191BF5">
        <w:trPr>
          <w:trHeight w:val="361"/>
        </w:trPr>
        <w:tc>
          <w:tcPr>
            <w:tcW w:w="642" w:type="dxa"/>
            <w:vMerge/>
            <w:tcBorders>
              <w:bottom w:val="single" w:sz="4" w:space="0" w:color="auto"/>
            </w:tcBorders>
            <w:vAlign w:val="center"/>
          </w:tcPr>
          <w:p w:rsidR="007A4855" w:rsidRPr="00D14F27" w:rsidRDefault="007A4855" w:rsidP="00191BF5">
            <w:pPr>
              <w:pStyle w:val="Normal-pool"/>
              <w:spacing w:before="20" w:after="20"/>
              <w:rPr>
                <w:rFonts w:eastAsia="SimSun"/>
                <w:lang w:eastAsia="zh-CN"/>
              </w:rPr>
            </w:pPr>
          </w:p>
        </w:tc>
        <w:tc>
          <w:tcPr>
            <w:tcW w:w="2929" w:type="dxa"/>
            <w:vAlign w:val="center"/>
          </w:tcPr>
          <w:p w:rsidR="007A4855" w:rsidRPr="00D14F27" w:rsidRDefault="007A4855" w:rsidP="00191BF5">
            <w:pPr>
              <w:pStyle w:val="Normal-pool"/>
              <w:spacing w:before="20" w:after="20"/>
              <w:rPr>
                <w:rFonts w:eastAsia="SimSun"/>
                <w:lang w:eastAsia="zh-CN"/>
              </w:rPr>
            </w:pPr>
            <w:r w:rsidRPr="00D14F27">
              <w:rPr>
                <w:rFonts w:eastAsia="SimSun"/>
                <w:lang w:eastAsia="zh-CN"/>
              </w:rPr>
              <w:t>Technical support</w:t>
            </w:r>
          </w:p>
        </w:tc>
        <w:tc>
          <w:tcPr>
            <w:tcW w:w="3653" w:type="dxa"/>
          </w:tcPr>
          <w:p w:rsidR="007A4855" w:rsidRPr="00D14F27" w:rsidRDefault="007A4855" w:rsidP="00661163">
            <w:pPr>
              <w:pStyle w:val="Normal-pool"/>
              <w:spacing w:before="20" w:after="20"/>
              <w:rPr>
                <w:rFonts w:eastAsia="SimSun"/>
                <w:lang w:eastAsia="zh-CN"/>
              </w:rPr>
            </w:pPr>
            <w:r w:rsidRPr="00D14F27">
              <w:rPr>
                <w:rFonts w:eastAsia="SimSun"/>
                <w:lang w:eastAsia="zh-CN"/>
              </w:rPr>
              <w:t>1 full-time equivalent professional position (50 per</w:t>
            </w:r>
            <w:r w:rsidR="00BA3E2D" w:rsidRPr="00D14F27">
              <w:rPr>
                <w:rFonts w:eastAsia="SimSun"/>
                <w:lang w:eastAsia="zh-CN"/>
              </w:rPr>
              <w:t xml:space="preserve"> </w:t>
            </w:r>
            <w:r w:rsidRPr="00D14F27">
              <w:rPr>
                <w:rFonts w:eastAsia="SimSun"/>
                <w:lang w:eastAsia="zh-CN"/>
              </w:rPr>
              <w:t>cent in</w:t>
            </w:r>
            <w:r w:rsidR="00BA3E2D" w:rsidRPr="00D14F27">
              <w:rPr>
                <w:rFonts w:eastAsia="SimSun"/>
                <w:lang w:eastAsia="zh-CN"/>
              </w:rPr>
              <w:t xml:space="preserve"> </w:t>
            </w:r>
            <w:r w:rsidRPr="00D14F27">
              <w:rPr>
                <w:rFonts w:eastAsia="SimSun"/>
                <w:lang w:eastAsia="zh-CN"/>
              </w:rPr>
              <w:t>kind)</w:t>
            </w:r>
          </w:p>
        </w:tc>
        <w:tc>
          <w:tcPr>
            <w:tcW w:w="1025" w:type="dxa"/>
            <w:tcBorders>
              <w:bottom w:val="single" w:sz="4" w:space="0" w:color="auto"/>
            </w:tcBorders>
          </w:tcPr>
          <w:p w:rsidR="007A4855" w:rsidRPr="00D14F27" w:rsidRDefault="007A4855" w:rsidP="00191BF5">
            <w:pPr>
              <w:pStyle w:val="Normal-pool"/>
              <w:spacing w:before="20" w:after="20"/>
              <w:jc w:val="right"/>
              <w:rPr>
                <w:rFonts w:eastAsia="SimSun"/>
                <w:lang w:eastAsia="zh-CN"/>
              </w:rPr>
            </w:pPr>
            <w:r w:rsidRPr="00D14F27">
              <w:rPr>
                <w:rFonts w:eastAsia="SimSun"/>
                <w:lang w:eastAsia="zh-CN"/>
              </w:rPr>
              <w:t>75 000</w:t>
            </w:r>
          </w:p>
        </w:tc>
      </w:tr>
      <w:tr w:rsidR="007A4855" w:rsidRPr="00D14F27" w:rsidTr="00191BF5">
        <w:trPr>
          <w:trHeight w:val="317"/>
        </w:trPr>
        <w:tc>
          <w:tcPr>
            <w:tcW w:w="642" w:type="dxa"/>
            <w:vMerge w:val="restart"/>
            <w:vAlign w:val="center"/>
          </w:tcPr>
          <w:p w:rsidR="007A4855" w:rsidRPr="00D14F27" w:rsidRDefault="007A4855" w:rsidP="00191BF5">
            <w:pPr>
              <w:pStyle w:val="Normal-pool"/>
              <w:spacing w:before="20" w:after="20"/>
              <w:rPr>
                <w:rFonts w:eastAsia="SimSun"/>
                <w:lang w:eastAsia="zh-CN"/>
              </w:rPr>
            </w:pPr>
            <w:r w:rsidRPr="00D14F27">
              <w:rPr>
                <w:rFonts w:eastAsia="SimSun"/>
                <w:lang w:eastAsia="zh-CN"/>
              </w:rPr>
              <w:t>2015</w:t>
            </w:r>
          </w:p>
        </w:tc>
        <w:tc>
          <w:tcPr>
            <w:tcW w:w="2929" w:type="dxa"/>
            <w:vAlign w:val="center"/>
          </w:tcPr>
          <w:p w:rsidR="007A4855" w:rsidRPr="00D14F27" w:rsidRDefault="007A4855" w:rsidP="00191BF5">
            <w:pPr>
              <w:pStyle w:val="Normal-pool"/>
              <w:spacing w:before="20" w:after="20"/>
              <w:rPr>
                <w:rFonts w:eastAsia="SimSun"/>
                <w:lang w:eastAsia="zh-CN"/>
              </w:rPr>
            </w:pPr>
            <w:r w:rsidRPr="00D14F27">
              <w:rPr>
                <w:rFonts w:eastAsia="SimSun"/>
                <w:lang w:eastAsia="zh-CN"/>
              </w:rPr>
              <w:t xml:space="preserve">Participation </w:t>
            </w:r>
            <w:r w:rsidR="00690470" w:rsidRPr="00D14F27">
              <w:rPr>
                <w:rFonts w:eastAsia="SimSun"/>
                <w:lang w:eastAsia="zh-CN"/>
              </w:rPr>
              <w:t xml:space="preserve">by 2 co-chairs and 2 coordinating lead authors </w:t>
            </w:r>
            <w:r w:rsidRPr="00D14F27">
              <w:rPr>
                <w:rFonts w:eastAsia="SimSun"/>
                <w:lang w:eastAsia="zh-CN"/>
              </w:rPr>
              <w:t>in the third session of the Plenary</w:t>
            </w:r>
          </w:p>
        </w:tc>
        <w:tc>
          <w:tcPr>
            <w:tcW w:w="3653" w:type="dxa"/>
          </w:tcPr>
          <w:p w:rsidR="007A4855" w:rsidRPr="00D14F27" w:rsidRDefault="007A4855" w:rsidP="00191BF5">
            <w:pPr>
              <w:pStyle w:val="Normal-pool"/>
              <w:spacing w:before="20" w:after="20"/>
              <w:rPr>
                <w:rFonts w:eastAsia="SimSun"/>
                <w:lang w:eastAsia="zh-CN"/>
              </w:rPr>
            </w:pPr>
            <w:r w:rsidRPr="00D14F27">
              <w:rPr>
                <w:rFonts w:eastAsia="SimSun"/>
                <w:lang w:eastAsia="zh-CN"/>
              </w:rPr>
              <w:t>Travel and DSA (3 x $3</w:t>
            </w:r>
            <w:r w:rsidR="00690470" w:rsidRPr="00D14F27">
              <w:rPr>
                <w:rFonts w:eastAsia="SimSun"/>
                <w:lang w:eastAsia="zh-CN"/>
              </w:rPr>
              <w:t>,</w:t>
            </w:r>
            <w:r w:rsidRPr="00D14F27">
              <w:rPr>
                <w:rFonts w:eastAsia="SimSun"/>
                <w:lang w:eastAsia="zh-CN"/>
              </w:rPr>
              <w:t>000)</w:t>
            </w:r>
          </w:p>
        </w:tc>
        <w:tc>
          <w:tcPr>
            <w:tcW w:w="1025" w:type="dxa"/>
          </w:tcPr>
          <w:p w:rsidR="007A4855" w:rsidRPr="00D14F27" w:rsidRDefault="007A4855" w:rsidP="00191BF5">
            <w:pPr>
              <w:pStyle w:val="Normal-pool"/>
              <w:spacing w:before="20" w:after="20"/>
              <w:jc w:val="right"/>
              <w:rPr>
                <w:rFonts w:eastAsia="SimSun"/>
                <w:lang w:eastAsia="zh-CN"/>
              </w:rPr>
            </w:pPr>
            <w:r w:rsidRPr="00D14F27">
              <w:rPr>
                <w:rFonts w:eastAsia="SimSun"/>
                <w:lang w:eastAsia="zh-CN"/>
              </w:rPr>
              <w:t>9 000</w:t>
            </w:r>
          </w:p>
        </w:tc>
      </w:tr>
      <w:tr w:rsidR="007A4855" w:rsidRPr="00D14F27" w:rsidDel="001E184E" w:rsidTr="00191BF5">
        <w:trPr>
          <w:trHeight w:val="560"/>
        </w:trPr>
        <w:tc>
          <w:tcPr>
            <w:tcW w:w="642" w:type="dxa"/>
            <w:vMerge/>
          </w:tcPr>
          <w:p w:rsidR="007A4855" w:rsidRPr="00D14F27" w:rsidRDefault="007A4855" w:rsidP="00191BF5">
            <w:pPr>
              <w:pStyle w:val="Normal-pool"/>
              <w:spacing w:before="20" w:after="20"/>
              <w:rPr>
                <w:rFonts w:eastAsia="SimSun"/>
                <w:lang w:eastAsia="zh-CN"/>
              </w:rPr>
            </w:pPr>
          </w:p>
        </w:tc>
        <w:tc>
          <w:tcPr>
            <w:tcW w:w="2929" w:type="dxa"/>
          </w:tcPr>
          <w:p w:rsidR="007A4855" w:rsidRPr="00D14F27" w:rsidRDefault="007A4855" w:rsidP="00D81A4C">
            <w:pPr>
              <w:pStyle w:val="Normal-pool"/>
              <w:spacing w:before="20" w:after="20"/>
              <w:rPr>
                <w:rFonts w:eastAsia="SimSun"/>
                <w:lang w:eastAsia="zh-CN"/>
              </w:rPr>
            </w:pPr>
            <w:r w:rsidRPr="00D14F27">
              <w:rPr>
                <w:rFonts w:eastAsia="SimSun"/>
                <w:lang w:eastAsia="zh-CN"/>
              </w:rPr>
              <w:t>Dissemination</w:t>
            </w:r>
            <w:r w:rsidR="00BA3E2D" w:rsidRPr="00D14F27">
              <w:rPr>
                <w:rFonts w:eastAsia="SimSun"/>
                <w:lang w:eastAsia="zh-CN"/>
              </w:rPr>
              <w:t xml:space="preserve"> and outreach</w:t>
            </w:r>
            <w:r w:rsidRPr="00D14F27">
              <w:rPr>
                <w:rFonts w:eastAsia="SimSun"/>
                <w:lang w:eastAsia="zh-CN"/>
              </w:rPr>
              <w:t xml:space="preserve"> (summary for policymakers</w:t>
            </w:r>
            <w:r w:rsidR="00BA3E2D" w:rsidRPr="00D14F27">
              <w:rPr>
                <w:rFonts w:eastAsia="SimSun"/>
                <w:lang w:eastAsia="zh-CN"/>
              </w:rPr>
              <w:t xml:space="preserve"> (10</w:t>
            </w:r>
            <w:r w:rsidR="00690470" w:rsidRPr="00D14F27">
              <w:rPr>
                <w:rFonts w:eastAsia="SimSun"/>
                <w:lang w:eastAsia="zh-CN"/>
              </w:rPr>
              <w:t xml:space="preserve"> </w:t>
            </w:r>
            <w:r w:rsidR="00BA3E2D" w:rsidRPr="00D14F27">
              <w:rPr>
                <w:rFonts w:eastAsia="SimSun"/>
                <w:lang w:eastAsia="zh-CN"/>
              </w:rPr>
              <w:t>pages) and</w:t>
            </w:r>
            <w:r w:rsidRPr="00D14F27">
              <w:rPr>
                <w:rFonts w:eastAsia="SimSun"/>
                <w:lang w:eastAsia="zh-CN"/>
              </w:rPr>
              <w:t xml:space="preserve"> report </w:t>
            </w:r>
            <w:r w:rsidR="00BA3E2D" w:rsidRPr="00D14F27">
              <w:rPr>
                <w:rFonts w:eastAsia="SimSun"/>
                <w:lang w:eastAsia="zh-CN"/>
              </w:rPr>
              <w:t>(200 pages)</w:t>
            </w:r>
            <w:r w:rsidRPr="00D14F27">
              <w:rPr>
                <w:rFonts w:eastAsia="SimSun"/>
                <w:lang w:eastAsia="zh-CN"/>
              </w:rPr>
              <w:t>)</w:t>
            </w:r>
          </w:p>
        </w:tc>
        <w:tc>
          <w:tcPr>
            <w:tcW w:w="3653" w:type="dxa"/>
          </w:tcPr>
          <w:p w:rsidR="007A4855" w:rsidRPr="00D14F27" w:rsidRDefault="00690470" w:rsidP="00D81A4C">
            <w:pPr>
              <w:pStyle w:val="Normal-pool"/>
              <w:spacing w:before="20" w:after="20"/>
              <w:rPr>
                <w:rFonts w:eastAsia="SimSun"/>
                <w:lang w:eastAsia="zh-CN"/>
              </w:rPr>
            </w:pPr>
            <w:r w:rsidRPr="00D14F27">
              <w:rPr>
                <w:rFonts w:eastAsia="SimSun"/>
                <w:lang w:eastAsia="zh-CN"/>
              </w:rPr>
              <w:t xml:space="preserve">Translation </w:t>
            </w:r>
            <w:r w:rsidR="007A4855" w:rsidRPr="00D14F27">
              <w:rPr>
                <w:rFonts w:eastAsia="SimSun"/>
                <w:lang w:eastAsia="zh-CN"/>
              </w:rPr>
              <w:t xml:space="preserve">of </w:t>
            </w:r>
            <w:r w:rsidRPr="00D14F27">
              <w:rPr>
                <w:rFonts w:eastAsia="SimSun"/>
                <w:lang w:eastAsia="zh-CN"/>
              </w:rPr>
              <w:t xml:space="preserve">the </w:t>
            </w:r>
            <w:r w:rsidR="007A4855" w:rsidRPr="00D14F27">
              <w:rPr>
                <w:rFonts w:eastAsia="SimSun"/>
                <w:lang w:eastAsia="zh-CN"/>
              </w:rPr>
              <w:t>summary for policymakers in</w:t>
            </w:r>
            <w:r w:rsidRPr="00D14F27">
              <w:rPr>
                <w:rFonts w:eastAsia="SimSun"/>
                <w:lang w:eastAsia="zh-CN"/>
              </w:rPr>
              <w:t>to</w:t>
            </w:r>
            <w:r w:rsidR="007A4855" w:rsidRPr="00D14F27">
              <w:rPr>
                <w:rFonts w:eastAsia="SimSun"/>
                <w:lang w:eastAsia="zh-CN"/>
              </w:rPr>
              <w:t xml:space="preserve"> </w:t>
            </w:r>
            <w:r w:rsidRPr="00D14F27">
              <w:rPr>
                <w:rFonts w:eastAsia="SimSun"/>
                <w:lang w:eastAsia="zh-CN"/>
              </w:rPr>
              <w:t xml:space="preserve">all </w:t>
            </w:r>
            <w:r w:rsidR="00FB5223" w:rsidRPr="00D14F27">
              <w:rPr>
                <w:rFonts w:eastAsia="SimSun"/>
                <w:lang w:eastAsia="zh-CN"/>
              </w:rPr>
              <w:t>the</w:t>
            </w:r>
            <w:r w:rsidRPr="00D14F27">
              <w:rPr>
                <w:rFonts w:eastAsia="SimSun"/>
                <w:lang w:eastAsia="zh-CN"/>
              </w:rPr>
              <w:t xml:space="preserve"> </w:t>
            </w:r>
            <w:r w:rsidR="007A4855" w:rsidRPr="00D14F27">
              <w:rPr>
                <w:rFonts w:eastAsia="SimSun"/>
                <w:lang w:eastAsia="zh-CN"/>
              </w:rPr>
              <w:t>official</w:t>
            </w:r>
            <w:r w:rsidRPr="00D14F27">
              <w:rPr>
                <w:rFonts w:eastAsia="SimSun"/>
                <w:lang w:eastAsia="zh-CN"/>
              </w:rPr>
              <w:t xml:space="preserve"> languages of the</w:t>
            </w:r>
            <w:r w:rsidR="007A4855" w:rsidRPr="00D14F27">
              <w:rPr>
                <w:rFonts w:eastAsia="SimSun"/>
                <w:lang w:eastAsia="zh-CN"/>
              </w:rPr>
              <w:t xml:space="preserve"> United Nations</w:t>
            </w:r>
            <w:r w:rsidRPr="00D14F27">
              <w:rPr>
                <w:rFonts w:eastAsia="SimSun"/>
                <w:lang w:eastAsia="zh-CN"/>
              </w:rPr>
              <w:t>, publication and</w:t>
            </w:r>
            <w:r w:rsidR="007A4855" w:rsidRPr="00D14F27">
              <w:rPr>
                <w:rFonts w:eastAsia="SimSun"/>
                <w:lang w:eastAsia="zh-CN"/>
              </w:rPr>
              <w:t xml:space="preserve"> outreach</w:t>
            </w:r>
          </w:p>
        </w:tc>
        <w:tc>
          <w:tcPr>
            <w:tcW w:w="1025" w:type="dxa"/>
          </w:tcPr>
          <w:p w:rsidR="007A4855" w:rsidRPr="00D14F27" w:rsidDel="001E184E" w:rsidRDefault="007A4855" w:rsidP="00191BF5">
            <w:pPr>
              <w:pStyle w:val="Normal-pool"/>
              <w:spacing w:before="20" w:after="20"/>
              <w:jc w:val="right"/>
              <w:rPr>
                <w:rFonts w:eastAsia="SimSun"/>
                <w:lang w:eastAsia="zh-CN"/>
              </w:rPr>
            </w:pPr>
            <w:r w:rsidRPr="00D14F27">
              <w:rPr>
                <w:rFonts w:eastAsia="SimSun"/>
                <w:lang w:eastAsia="zh-CN"/>
              </w:rPr>
              <w:t>117 000</w:t>
            </w:r>
          </w:p>
        </w:tc>
      </w:tr>
      <w:tr w:rsidR="007A4855" w:rsidRPr="00D81A4C" w:rsidTr="00D81A4C">
        <w:trPr>
          <w:trHeight w:val="260"/>
        </w:trPr>
        <w:tc>
          <w:tcPr>
            <w:tcW w:w="642" w:type="dxa"/>
          </w:tcPr>
          <w:p w:rsidR="007A4855" w:rsidRPr="00D81A4C" w:rsidRDefault="007A4855" w:rsidP="00191BF5">
            <w:pPr>
              <w:pStyle w:val="Normal-pool"/>
              <w:spacing w:before="40" w:after="40"/>
              <w:rPr>
                <w:rFonts w:eastAsia="SimSun"/>
                <w:b/>
                <w:lang w:eastAsia="zh-CN"/>
              </w:rPr>
            </w:pPr>
            <w:r w:rsidRPr="00D81A4C">
              <w:rPr>
                <w:rFonts w:eastAsia="SimSun"/>
                <w:b/>
                <w:lang w:eastAsia="zh-CN"/>
              </w:rPr>
              <w:t>Total</w:t>
            </w:r>
          </w:p>
        </w:tc>
        <w:tc>
          <w:tcPr>
            <w:tcW w:w="2929" w:type="dxa"/>
          </w:tcPr>
          <w:p w:rsidR="007A4855" w:rsidRPr="00D81A4C" w:rsidRDefault="007A4855" w:rsidP="00191BF5">
            <w:pPr>
              <w:pStyle w:val="Normal-pool"/>
              <w:spacing w:before="40" w:after="40"/>
              <w:rPr>
                <w:rFonts w:eastAsia="SimSun"/>
                <w:b/>
                <w:lang w:eastAsia="zh-CN"/>
              </w:rPr>
            </w:pPr>
          </w:p>
        </w:tc>
        <w:tc>
          <w:tcPr>
            <w:tcW w:w="3653" w:type="dxa"/>
          </w:tcPr>
          <w:p w:rsidR="007A4855" w:rsidRPr="00D81A4C" w:rsidRDefault="007A4855" w:rsidP="00191BF5">
            <w:pPr>
              <w:pStyle w:val="Normal-pool"/>
              <w:spacing w:before="40" w:after="40"/>
              <w:rPr>
                <w:rFonts w:eastAsia="SimSun"/>
                <w:b/>
                <w:lang w:eastAsia="zh-CN"/>
              </w:rPr>
            </w:pPr>
          </w:p>
        </w:tc>
        <w:tc>
          <w:tcPr>
            <w:tcW w:w="1025" w:type="dxa"/>
          </w:tcPr>
          <w:p w:rsidR="007A4855" w:rsidRPr="00D81A4C" w:rsidRDefault="005103D8" w:rsidP="00D81A4C">
            <w:pPr>
              <w:pStyle w:val="Normal-pool"/>
              <w:spacing w:before="40" w:after="40"/>
              <w:jc w:val="right"/>
              <w:rPr>
                <w:rFonts w:eastAsia="SimSun"/>
                <w:b/>
                <w:lang w:eastAsia="zh-CN"/>
              </w:rPr>
            </w:pPr>
            <w:r w:rsidRPr="00D81A4C">
              <w:rPr>
                <w:rFonts w:eastAsia="SimSun"/>
                <w:b/>
                <w:lang w:eastAsia="zh-CN"/>
              </w:rPr>
              <w:t>867 7</w:t>
            </w:r>
            <w:r w:rsidR="00B11018" w:rsidRPr="00D81A4C">
              <w:rPr>
                <w:rFonts w:eastAsia="SimSun"/>
                <w:b/>
                <w:lang w:eastAsia="zh-CN"/>
              </w:rPr>
              <w:t>50</w:t>
            </w:r>
          </w:p>
        </w:tc>
      </w:tr>
    </w:tbl>
    <w:p w:rsidR="00BC24B1" w:rsidRPr="00D81A4C" w:rsidRDefault="00BC24B1" w:rsidP="00191BF5">
      <w:pPr>
        <w:pStyle w:val="Normal-pool"/>
        <w:rPr>
          <w:b/>
        </w:rPr>
      </w:pPr>
    </w:p>
    <w:p w:rsidR="00191BF5" w:rsidRPr="00D14F27" w:rsidRDefault="00191BF5" w:rsidP="00191BF5">
      <w:pPr>
        <w:pStyle w:val="Normal-pool"/>
      </w:pPr>
    </w:p>
    <w:tbl>
      <w:tblPr>
        <w:tblW w:w="0" w:type="auto"/>
        <w:tblLook w:val="01E0"/>
      </w:tblPr>
      <w:tblGrid>
        <w:gridCol w:w="3237"/>
        <w:gridCol w:w="3237"/>
        <w:gridCol w:w="3238"/>
      </w:tblGrid>
      <w:tr w:rsidR="00BC24B1" w:rsidRPr="00D14F27" w:rsidTr="00C16D01">
        <w:tc>
          <w:tcPr>
            <w:tcW w:w="3237" w:type="dxa"/>
          </w:tcPr>
          <w:p w:rsidR="00BC24B1" w:rsidRPr="00D14F27" w:rsidRDefault="00BC24B1" w:rsidP="00191BF5">
            <w:pPr>
              <w:pStyle w:val="Normal-pool"/>
              <w:rPr>
                <w:sz w:val="18"/>
                <w:szCs w:val="18"/>
              </w:rPr>
            </w:pPr>
          </w:p>
        </w:tc>
        <w:tc>
          <w:tcPr>
            <w:tcW w:w="3237" w:type="dxa"/>
            <w:tcBorders>
              <w:bottom w:val="single" w:sz="4" w:space="0" w:color="auto"/>
            </w:tcBorders>
          </w:tcPr>
          <w:p w:rsidR="00BC24B1" w:rsidRPr="00D14F27" w:rsidRDefault="00BC24B1" w:rsidP="00191BF5">
            <w:pPr>
              <w:pStyle w:val="Normal-pool"/>
              <w:rPr>
                <w:sz w:val="18"/>
                <w:szCs w:val="18"/>
              </w:rPr>
            </w:pPr>
          </w:p>
        </w:tc>
        <w:tc>
          <w:tcPr>
            <w:tcW w:w="3238" w:type="dxa"/>
          </w:tcPr>
          <w:p w:rsidR="00BC24B1" w:rsidRPr="00D14F27" w:rsidRDefault="00BC24B1" w:rsidP="00191BF5">
            <w:pPr>
              <w:pStyle w:val="Normal-pool"/>
              <w:rPr>
                <w:sz w:val="18"/>
                <w:szCs w:val="18"/>
              </w:rPr>
            </w:pPr>
          </w:p>
        </w:tc>
      </w:tr>
    </w:tbl>
    <w:p w:rsidR="003A086E" w:rsidRPr="00D14F27" w:rsidRDefault="003A086E" w:rsidP="00191BF5">
      <w:pPr>
        <w:pStyle w:val="Normal-pool"/>
      </w:pPr>
    </w:p>
    <w:sectPr w:rsidR="003A086E" w:rsidRPr="00D14F27" w:rsidSect="00713D8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B1" w:rsidRDefault="00EF44B1">
      <w:r>
        <w:separator/>
      </w:r>
    </w:p>
  </w:endnote>
  <w:endnote w:type="continuationSeparator" w:id="0">
    <w:p w:rsidR="00EF44B1" w:rsidRDefault="00EF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6" w:rsidRDefault="00860046">
    <w:pPr>
      <w:pStyle w:val="Footer"/>
    </w:pPr>
    <w:r>
      <w:rPr>
        <w:rStyle w:val="PageNumber"/>
      </w:rPr>
      <w:fldChar w:fldCharType="begin"/>
    </w:r>
    <w:r>
      <w:rPr>
        <w:rStyle w:val="PageNumber"/>
      </w:rPr>
      <w:instrText xml:space="preserve"> PAGE </w:instrText>
    </w:r>
    <w:r>
      <w:rPr>
        <w:rStyle w:val="PageNumber"/>
      </w:rPr>
      <w:fldChar w:fldCharType="separate"/>
    </w:r>
    <w:r w:rsidR="002106A9">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6" w:rsidRDefault="0086004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106A9">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6" w:rsidRPr="00191BF5" w:rsidRDefault="00860046" w:rsidP="008177B6">
    <w:pPr>
      <w:pStyle w:val="Footer"/>
      <w:tabs>
        <w:tab w:val="left" w:pos="1276"/>
      </w:tabs>
      <w:rPr>
        <w:sz w:val="20"/>
      </w:rPr>
    </w:pPr>
    <w:r w:rsidRPr="00191BF5">
      <w:rPr>
        <w:sz w:val="20"/>
      </w:rPr>
      <w:t>K1353298</w:t>
    </w:r>
    <w:r w:rsidRPr="00191BF5">
      <w:rPr>
        <w:sz w:val="20"/>
      </w:rPr>
      <w:tab/>
    </w:r>
    <w:r w:rsidR="00D14F27">
      <w:rPr>
        <w:sz w:val="20"/>
      </w:rPr>
      <w:t>2810</w:t>
    </w:r>
    <w:r w:rsidR="00D14F27" w:rsidRPr="00191BF5">
      <w:rPr>
        <w:sz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B1" w:rsidRDefault="00EF44B1" w:rsidP="00D92DE0">
      <w:pPr>
        <w:ind w:left="624"/>
      </w:pPr>
      <w:r>
        <w:separator/>
      </w:r>
    </w:p>
  </w:footnote>
  <w:footnote w:type="continuationSeparator" w:id="0">
    <w:p w:rsidR="00EF44B1" w:rsidRDefault="00EF44B1">
      <w:r>
        <w:continuationSeparator/>
      </w:r>
    </w:p>
  </w:footnote>
  <w:footnote w:id="1">
    <w:p w:rsidR="00860046" w:rsidRPr="00EB2672" w:rsidRDefault="00860046" w:rsidP="008177B6">
      <w:pPr>
        <w:pStyle w:val="FootnoteText"/>
        <w:ind w:left="1723" w:hanging="476"/>
        <w:rPr>
          <w:szCs w:val="18"/>
          <w:lang w:val="en-US"/>
        </w:rPr>
      </w:pPr>
      <w:r w:rsidRPr="00EB2672">
        <w:rPr>
          <w:rStyle w:val="FootnoteReference"/>
          <w:sz w:val="18"/>
        </w:rPr>
        <w:sym w:font="Symbol" w:char="F02A"/>
      </w:r>
      <w:r w:rsidRPr="00EB2672">
        <w:rPr>
          <w:szCs w:val="18"/>
        </w:rPr>
        <w:t xml:space="preserve"> IPBES/</w:t>
      </w:r>
      <w:r w:rsidRPr="00EB2672">
        <w:rPr>
          <w:szCs w:val="18"/>
          <w:lang w:eastAsia="ja-JP"/>
        </w:rPr>
        <w:t>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6" w:rsidRPr="00BC24B1" w:rsidRDefault="00860046" w:rsidP="00BC24B1">
    <w:pPr>
      <w:pStyle w:val="Header"/>
    </w:pPr>
    <w:r>
      <w:t>IPBES/2/16/Add.5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6" w:rsidRPr="00BC24B1" w:rsidRDefault="00860046" w:rsidP="00BC24B1">
    <w:pPr>
      <w:pStyle w:val="Header"/>
      <w:jc w:val="right"/>
    </w:pPr>
    <w:r>
      <w:t>IPBES/2/16/Add.5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6" w:rsidRDefault="00860046" w:rsidP="0029278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4DA0007"/>
    <w:multiLevelType w:val="hybridMultilevel"/>
    <w:tmpl w:val="D95EA640"/>
    <w:lvl w:ilvl="0" w:tplc="788026DA">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35C754E0"/>
    <w:multiLevelType w:val="hybridMultilevel"/>
    <w:tmpl w:val="F04C5D8C"/>
    <w:lvl w:ilvl="0" w:tplc="B31A7F52">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numStyleLink w:val="Normallist"/>
  </w:abstractNum>
  <w:num w:numId="1">
    <w:abstractNumId w:val="4"/>
  </w:num>
  <w:num w:numId="2">
    <w:abstractNumId w:val="0"/>
  </w:num>
  <w:num w:numId="3">
    <w:abstractNumId w:val="2"/>
  </w:num>
  <w:num w:numId="4">
    <w:abstractNumId w:val="5"/>
  </w:num>
  <w:num w:numId="5">
    <w:abstractNumId w:val="5"/>
  </w:num>
  <w:num w:numId="6">
    <w:abstractNumId w:val="5"/>
  </w:num>
  <w:num w:numId="7">
    <w:abstractNumId w:val="5"/>
  </w:num>
  <w:num w:numId="8">
    <w:abstractNumId w:val="5"/>
  </w:num>
  <w:num w:numId="9">
    <w:abstractNumId w:val="1"/>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BC24B1"/>
    <w:rsid w:val="00012EFF"/>
    <w:rsid w:val="000149E6"/>
    <w:rsid w:val="0001674E"/>
    <w:rsid w:val="000247B0"/>
    <w:rsid w:val="00026997"/>
    <w:rsid w:val="000328BD"/>
    <w:rsid w:val="00033E0B"/>
    <w:rsid w:val="00035920"/>
    <w:rsid w:val="00035EDE"/>
    <w:rsid w:val="00040480"/>
    <w:rsid w:val="000428E9"/>
    <w:rsid w:val="00045D8A"/>
    <w:rsid w:val="000509B4"/>
    <w:rsid w:val="0006035B"/>
    <w:rsid w:val="0007166E"/>
    <w:rsid w:val="00071886"/>
    <w:rsid w:val="00072161"/>
    <w:rsid w:val="000742BC"/>
    <w:rsid w:val="00082A0C"/>
    <w:rsid w:val="00083504"/>
    <w:rsid w:val="0009640C"/>
    <w:rsid w:val="000A22C0"/>
    <w:rsid w:val="000B21D5"/>
    <w:rsid w:val="000B22A2"/>
    <w:rsid w:val="000C2A52"/>
    <w:rsid w:val="000D2294"/>
    <w:rsid w:val="000D33C0"/>
    <w:rsid w:val="000D6941"/>
    <w:rsid w:val="000E248D"/>
    <w:rsid w:val="000F4E1F"/>
    <w:rsid w:val="00104574"/>
    <w:rsid w:val="001202E3"/>
    <w:rsid w:val="00123405"/>
    <w:rsid w:val="00123699"/>
    <w:rsid w:val="001274DE"/>
    <w:rsid w:val="0013059D"/>
    <w:rsid w:val="00133D6F"/>
    <w:rsid w:val="00141A55"/>
    <w:rsid w:val="001446A3"/>
    <w:rsid w:val="00154F15"/>
    <w:rsid w:val="00155395"/>
    <w:rsid w:val="0017060A"/>
    <w:rsid w:val="00174759"/>
    <w:rsid w:val="00174954"/>
    <w:rsid w:val="00181EC8"/>
    <w:rsid w:val="00184349"/>
    <w:rsid w:val="00191BF5"/>
    <w:rsid w:val="00195F33"/>
    <w:rsid w:val="001A6499"/>
    <w:rsid w:val="001B0205"/>
    <w:rsid w:val="001B1617"/>
    <w:rsid w:val="001B504B"/>
    <w:rsid w:val="001C2EEF"/>
    <w:rsid w:val="001D3874"/>
    <w:rsid w:val="001D7E75"/>
    <w:rsid w:val="001E56D2"/>
    <w:rsid w:val="001E7D56"/>
    <w:rsid w:val="001F4EE6"/>
    <w:rsid w:val="001F56E9"/>
    <w:rsid w:val="001F6AB7"/>
    <w:rsid w:val="001F75DE"/>
    <w:rsid w:val="00200D58"/>
    <w:rsid w:val="002013BE"/>
    <w:rsid w:val="002063A4"/>
    <w:rsid w:val="002106A9"/>
    <w:rsid w:val="0021145B"/>
    <w:rsid w:val="00243D36"/>
    <w:rsid w:val="00247707"/>
    <w:rsid w:val="00286740"/>
    <w:rsid w:val="00290332"/>
    <w:rsid w:val="0029278A"/>
    <w:rsid w:val="002929D8"/>
    <w:rsid w:val="00294565"/>
    <w:rsid w:val="002A237D"/>
    <w:rsid w:val="002A4C53"/>
    <w:rsid w:val="002A6257"/>
    <w:rsid w:val="002B0672"/>
    <w:rsid w:val="002B1B4C"/>
    <w:rsid w:val="002B247F"/>
    <w:rsid w:val="002B55A7"/>
    <w:rsid w:val="002C02AC"/>
    <w:rsid w:val="002C09A2"/>
    <w:rsid w:val="002C145D"/>
    <w:rsid w:val="002C2965"/>
    <w:rsid w:val="002C2C3E"/>
    <w:rsid w:val="002C533E"/>
    <w:rsid w:val="002D027F"/>
    <w:rsid w:val="002D52E5"/>
    <w:rsid w:val="002D7A85"/>
    <w:rsid w:val="002D7B60"/>
    <w:rsid w:val="002F4761"/>
    <w:rsid w:val="002F5C79"/>
    <w:rsid w:val="003019E2"/>
    <w:rsid w:val="0031413F"/>
    <w:rsid w:val="003148BB"/>
    <w:rsid w:val="00317976"/>
    <w:rsid w:val="00355EA9"/>
    <w:rsid w:val="003578DE"/>
    <w:rsid w:val="00360CBC"/>
    <w:rsid w:val="0039478F"/>
    <w:rsid w:val="00396257"/>
    <w:rsid w:val="0039634F"/>
    <w:rsid w:val="003971A5"/>
    <w:rsid w:val="00397EB8"/>
    <w:rsid w:val="003A086E"/>
    <w:rsid w:val="003A35EF"/>
    <w:rsid w:val="003A4FD0"/>
    <w:rsid w:val="003A69D1"/>
    <w:rsid w:val="003A6A4D"/>
    <w:rsid w:val="003A7705"/>
    <w:rsid w:val="003B1545"/>
    <w:rsid w:val="003C409D"/>
    <w:rsid w:val="003C52BA"/>
    <w:rsid w:val="003C5BA6"/>
    <w:rsid w:val="003F0E85"/>
    <w:rsid w:val="00405251"/>
    <w:rsid w:val="00410C55"/>
    <w:rsid w:val="00416854"/>
    <w:rsid w:val="00417725"/>
    <w:rsid w:val="00431485"/>
    <w:rsid w:val="00437F26"/>
    <w:rsid w:val="00444097"/>
    <w:rsid w:val="00445487"/>
    <w:rsid w:val="00454769"/>
    <w:rsid w:val="00466991"/>
    <w:rsid w:val="00467CAE"/>
    <w:rsid w:val="0047064C"/>
    <w:rsid w:val="0047329F"/>
    <w:rsid w:val="00487EF7"/>
    <w:rsid w:val="004A42E1"/>
    <w:rsid w:val="004A6891"/>
    <w:rsid w:val="004B162C"/>
    <w:rsid w:val="004B708D"/>
    <w:rsid w:val="004C3DBE"/>
    <w:rsid w:val="004C5C96"/>
    <w:rsid w:val="004D06A4"/>
    <w:rsid w:val="004F1A81"/>
    <w:rsid w:val="005033FB"/>
    <w:rsid w:val="005103D8"/>
    <w:rsid w:val="005218D9"/>
    <w:rsid w:val="0053561E"/>
    <w:rsid w:val="00535AB5"/>
    <w:rsid w:val="00536186"/>
    <w:rsid w:val="00544CBB"/>
    <w:rsid w:val="00564AD1"/>
    <w:rsid w:val="005702C9"/>
    <w:rsid w:val="0057315F"/>
    <w:rsid w:val="00576104"/>
    <w:rsid w:val="005C47D1"/>
    <w:rsid w:val="005C67C8"/>
    <w:rsid w:val="005C6A53"/>
    <w:rsid w:val="005D0249"/>
    <w:rsid w:val="005D6E8C"/>
    <w:rsid w:val="005F100C"/>
    <w:rsid w:val="005F2274"/>
    <w:rsid w:val="005F68DA"/>
    <w:rsid w:val="0060773B"/>
    <w:rsid w:val="006139DA"/>
    <w:rsid w:val="006157B5"/>
    <w:rsid w:val="006224F0"/>
    <w:rsid w:val="00626FC6"/>
    <w:rsid w:val="006303B4"/>
    <w:rsid w:val="00633D3D"/>
    <w:rsid w:val="006414D2"/>
    <w:rsid w:val="00641703"/>
    <w:rsid w:val="006431A6"/>
    <w:rsid w:val="006459F6"/>
    <w:rsid w:val="00646B47"/>
    <w:rsid w:val="006501AD"/>
    <w:rsid w:val="00651BFA"/>
    <w:rsid w:val="00661163"/>
    <w:rsid w:val="00665A4B"/>
    <w:rsid w:val="00690470"/>
    <w:rsid w:val="00692E2A"/>
    <w:rsid w:val="006A76F2"/>
    <w:rsid w:val="006B0D35"/>
    <w:rsid w:val="006B3DD0"/>
    <w:rsid w:val="006B67CA"/>
    <w:rsid w:val="006C14B6"/>
    <w:rsid w:val="006C42A4"/>
    <w:rsid w:val="006D7EFB"/>
    <w:rsid w:val="006E4BE8"/>
    <w:rsid w:val="006E5CE9"/>
    <w:rsid w:val="006E6672"/>
    <w:rsid w:val="006E6722"/>
    <w:rsid w:val="006F51BF"/>
    <w:rsid w:val="007027B9"/>
    <w:rsid w:val="00713D8F"/>
    <w:rsid w:val="00715E88"/>
    <w:rsid w:val="00734262"/>
    <w:rsid w:val="00734CAA"/>
    <w:rsid w:val="0075533C"/>
    <w:rsid w:val="00757581"/>
    <w:rsid w:val="007611A0"/>
    <w:rsid w:val="00775A09"/>
    <w:rsid w:val="0077793A"/>
    <w:rsid w:val="00786E0B"/>
    <w:rsid w:val="00796D3F"/>
    <w:rsid w:val="007A1683"/>
    <w:rsid w:val="007A36F8"/>
    <w:rsid w:val="007A4855"/>
    <w:rsid w:val="007A5C12"/>
    <w:rsid w:val="007A7CB0"/>
    <w:rsid w:val="007B2B9F"/>
    <w:rsid w:val="007B68A3"/>
    <w:rsid w:val="007C2541"/>
    <w:rsid w:val="007D66A8"/>
    <w:rsid w:val="007E003F"/>
    <w:rsid w:val="007E7115"/>
    <w:rsid w:val="00802E72"/>
    <w:rsid w:val="008164F2"/>
    <w:rsid w:val="008177B6"/>
    <w:rsid w:val="00821395"/>
    <w:rsid w:val="00830E26"/>
    <w:rsid w:val="00842017"/>
    <w:rsid w:val="008433CD"/>
    <w:rsid w:val="00843576"/>
    <w:rsid w:val="00843B64"/>
    <w:rsid w:val="008478FC"/>
    <w:rsid w:val="00860046"/>
    <w:rsid w:val="00867BFF"/>
    <w:rsid w:val="0088065B"/>
    <w:rsid w:val="0088480A"/>
    <w:rsid w:val="0088757A"/>
    <w:rsid w:val="008953B8"/>
    <w:rsid w:val="008957DD"/>
    <w:rsid w:val="00897D98"/>
    <w:rsid w:val="008A26B4"/>
    <w:rsid w:val="008A3853"/>
    <w:rsid w:val="008A6DF2"/>
    <w:rsid w:val="008A7807"/>
    <w:rsid w:val="008B3C75"/>
    <w:rsid w:val="008B4CC9"/>
    <w:rsid w:val="008C670E"/>
    <w:rsid w:val="008D05F0"/>
    <w:rsid w:val="008D7C99"/>
    <w:rsid w:val="008E0FCB"/>
    <w:rsid w:val="008F3378"/>
    <w:rsid w:val="00904207"/>
    <w:rsid w:val="00911840"/>
    <w:rsid w:val="00914503"/>
    <w:rsid w:val="0092178C"/>
    <w:rsid w:val="00930B88"/>
    <w:rsid w:val="00940DCC"/>
    <w:rsid w:val="0094179A"/>
    <w:rsid w:val="0094459E"/>
    <w:rsid w:val="00944DBC"/>
    <w:rsid w:val="00950977"/>
    <w:rsid w:val="00951A7B"/>
    <w:rsid w:val="009564A6"/>
    <w:rsid w:val="00967621"/>
    <w:rsid w:val="00967E6A"/>
    <w:rsid w:val="00973B7B"/>
    <w:rsid w:val="009935AC"/>
    <w:rsid w:val="009B4A0F"/>
    <w:rsid w:val="009C11D2"/>
    <w:rsid w:val="009C3CB2"/>
    <w:rsid w:val="009C6C70"/>
    <w:rsid w:val="009C7D35"/>
    <w:rsid w:val="009D0B63"/>
    <w:rsid w:val="009E307E"/>
    <w:rsid w:val="009E7A50"/>
    <w:rsid w:val="00A06B9A"/>
    <w:rsid w:val="00A07870"/>
    <w:rsid w:val="00A07F19"/>
    <w:rsid w:val="00A1348D"/>
    <w:rsid w:val="00A142C8"/>
    <w:rsid w:val="00A232EE"/>
    <w:rsid w:val="00A31F8F"/>
    <w:rsid w:val="00A3448E"/>
    <w:rsid w:val="00A4175F"/>
    <w:rsid w:val="00A44411"/>
    <w:rsid w:val="00A45623"/>
    <w:rsid w:val="00A469FA"/>
    <w:rsid w:val="00A51FAB"/>
    <w:rsid w:val="00A55B01"/>
    <w:rsid w:val="00A56B5B"/>
    <w:rsid w:val="00A603FF"/>
    <w:rsid w:val="00A62259"/>
    <w:rsid w:val="00A657DD"/>
    <w:rsid w:val="00A666A6"/>
    <w:rsid w:val="00A675FD"/>
    <w:rsid w:val="00A72437"/>
    <w:rsid w:val="00A80611"/>
    <w:rsid w:val="00AA1E20"/>
    <w:rsid w:val="00AB15FD"/>
    <w:rsid w:val="00AB5340"/>
    <w:rsid w:val="00AC06CE"/>
    <w:rsid w:val="00AC7C96"/>
    <w:rsid w:val="00AE237D"/>
    <w:rsid w:val="00AE502A"/>
    <w:rsid w:val="00AF064A"/>
    <w:rsid w:val="00AF7C07"/>
    <w:rsid w:val="00B06B78"/>
    <w:rsid w:val="00B11018"/>
    <w:rsid w:val="00B22C93"/>
    <w:rsid w:val="00B27589"/>
    <w:rsid w:val="00B34820"/>
    <w:rsid w:val="00B379B3"/>
    <w:rsid w:val="00B37E60"/>
    <w:rsid w:val="00B405B7"/>
    <w:rsid w:val="00B43573"/>
    <w:rsid w:val="00B52222"/>
    <w:rsid w:val="00B54FE7"/>
    <w:rsid w:val="00B61C81"/>
    <w:rsid w:val="00B66901"/>
    <w:rsid w:val="00B71E6D"/>
    <w:rsid w:val="00B72070"/>
    <w:rsid w:val="00B74454"/>
    <w:rsid w:val="00B7703C"/>
    <w:rsid w:val="00B779E1"/>
    <w:rsid w:val="00B91EE1"/>
    <w:rsid w:val="00BA0090"/>
    <w:rsid w:val="00BA1A67"/>
    <w:rsid w:val="00BA3E2D"/>
    <w:rsid w:val="00BA4C82"/>
    <w:rsid w:val="00BB5A85"/>
    <w:rsid w:val="00BC24B1"/>
    <w:rsid w:val="00BD1962"/>
    <w:rsid w:val="00BE5B5F"/>
    <w:rsid w:val="00C16D01"/>
    <w:rsid w:val="00C17AC4"/>
    <w:rsid w:val="00C26F55"/>
    <w:rsid w:val="00C30C63"/>
    <w:rsid w:val="00C340DE"/>
    <w:rsid w:val="00C36B8B"/>
    <w:rsid w:val="00C47DBF"/>
    <w:rsid w:val="00C552FF"/>
    <w:rsid w:val="00C558DA"/>
    <w:rsid w:val="00C55AF3"/>
    <w:rsid w:val="00C73759"/>
    <w:rsid w:val="00C84759"/>
    <w:rsid w:val="00C86C78"/>
    <w:rsid w:val="00C9105D"/>
    <w:rsid w:val="00CA0D8E"/>
    <w:rsid w:val="00CA6C7F"/>
    <w:rsid w:val="00CB09F4"/>
    <w:rsid w:val="00CC0FEE"/>
    <w:rsid w:val="00CC10A6"/>
    <w:rsid w:val="00CD3338"/>
    <w:rsid w:val="00CD5EB8"/>
    <w:rsid w:val="00CD7044"/>
    <w:rsid w:val="00CE08B9"/>
    <w:rsid w:val="00CE4022"/>
    <w:rsid w:val="00CE524C"/>
    <w:rsid w:val="00CF141F"/>
    <w:rsid w:val="00CF4405"/>
    <w:rsid w:val="00CF4777"/>
    <w:rsid w:val="00D067BB"/>
    <w:rsid w:val="00D1352A"/>
    <w:rsid w:val="00D14F27"/>
    <w:rsid w:val="00D169AF"/>
    <w:rsid w:val="00D24B52"/>
    <w:rsid w:val="00D25249"/>
    <w:rsid w:val="00D44172"/>
    <w:rsid w:val="00D57208"/>
    <w:rsid w:val="00D63B8C"/>
    <w:rsid w:val="00D739CC"/>
    <w:rsid w:val="00D742C8"/>
    <w:rsid w:val="00D8093D"/>
    <w:rsid w:val="00D8108C"/>
    <w:rsid w:val="00D81A4C"/>
    <w:rsid w:val="00D81F5F"/>
    <w:rsid w:val="00D82045"/>
    <w:rsid w:val="00D842AE"/>
    <w:rsid w:val="00D9211C"/>
    <w:rsid w:val="00D92DE0"/>
    <w:rsid w:val="00D92FEF"/>
    <w:rsid w:val="00D93A0F"/>
    <w:rsid w:val="00DA1BCA"/>
    <w:rsid w:val="00DB5B2A"/>
    <w:rsid w:val="00DC46FF"/>
    <w:rsid w:val="00DC4DC9"/>
    <w:rsid w:val="00DC5254"/>
    <w:rsid w:val="00DD1A4F"/>
    <w:rsid w:val="00DD3107"/>
    <w:rsid w:val="00DD7C2C"/>
    <w:rsid w:val="00DE3DAE"/>
    <w:rsid w:val="00DE47A8"/>
    <w:rsid w:val="00E009A1"/>
    <w:rsid w:val="00E00ACB"/>
    <w:rsid w:val="00E06797"/>
    <w:rsid w:val="00E1106F"/>
    <w:rsid w:val="00E1265B"/>
    <w:rsid w:val="00E13B48"/>
    <w:rsid w:val="00E1404F"/>
    <w:rsid w:val="00E21C83"/>
    <w:rsid w:val="00E24ADA"/>
    <w:rsid w:val="00E251DF"/>
    <w:rsid w:val="00E32F59"/>
    <w:rsid w:val="00E416BB"/>
    <w:rsid w:val="00E46D9A"/>
    <w:rsid w:val="00E565FF"/>
    <w:rsid w:val="00E65388"/>
    <w:rsid w:val="00E72B37"/>
    <w:rsid w:val="00E72C9F"/>
    <w:rsid w:val="00E82CEE"/>
    <w:rsid w:val="00E85B7D"/>
    <w:rsid w:val="00E861C0"/>
    <w:rsid w:val="00E9112D"/>
    <w:rsid w:val="00E9121B"/>
    <w:rsid w:val="00EA0AE2"/>
    <w:rsid w:val="00EA39E5"/>
    <w:rsid w:val="00EC5A46"/>
    <w:rsid w:val="00EC63E2"/>
    <w:rsid w:val="00ED12BB"/>
    <w:rsid w:val="00EE1216"/>
    <w:rsid w:val="00EF22B3"/>
    <w:rsid w:val="00EF26C0"/>
    <w:rsid w:val="00EF44B1"/>
    <w:rsid w:val="00EF7915"/>
    <w:rsid w:val="00F03B69"/>
    <w:rsid w:val="00F07A50"/>
    <w:rsid w:val="00F113DA"/>
    <w:rsid w:val="00F37DC8"/>
    <w:rsid w:val="00F406A0"/>
    <w:rsid w:val="00F439B3"/>
    <w:rsid w:val="00F51A5F"/>
    <w:rsid w:val="00F570DE"/>
    <w:rsid w:val="00F606BF"/>
    <w:rsid w:val="00F650C3"/>
    <w:rsid w:val="00F65D85"/>
    <w:rsid w:val="00F8091E"/>
    <w:rsid w:val="00F8615C"/>
    <w:rsid w:val="00F94381"/>
    <w:rsid w:val="00F969E5"/>
    <w:rsid w:val="00FA6BB0"/>
    <w:rsid w:val="00FB1F09"/>
    <w:rsid w:val="00FB5223"/>
    <w:rsid w:val="00FD0AC4"/>
    <w:rsid w:val="00FD57EE"/>
    <w:rsid w:val="00FD5860"/>
    <w:rsid w:val="00FE352D"/>
    <w:rsid w:val="00FE40EB"/>
    <w:rsid w:val="00FE4D02"/>
    <w:rsid w:val="00FE7D62"/>
    <w:rsid w:val="00FF2494"/>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4B1"/>
    <w:rPr>
      <w:rFonts w:eastAsia="MS Mincho"/>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rsid w:val="00D14F27"/>
    <w:pPr>
      <w:numPr>
        <w:numId w:val="4"/>
      </w:numPr>
      <w:tabs>
        <w:tab w:val="clear" w:pos="567"/>
        <w:tab w:val="clear" w:pos="1247"/>
        <w:tab w:val="clear" w:pos="1814"/>
        <w:tab w:val="clear" w:pos="2381"/>
        <w:tab w:val="clear" w:pos="2948"/>
        <w:tab w:val="clear" w:pos="3515"/>
        <w:tab w:val="clear" w:pos="4082"/>
        <w:tab w:val="num"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ColorfulList-Accent11">
    <w:name w:val="Colorful List - Accent 11"/>
    <w:basedOn w:val="Normal"/>
    <w:uiPriority w:val="34"/>
    <w:qFormat/>
    <w:rsid w:val="00BC24B1"/>
    <w:pPr>
      <w:tabs>
        <w:tab w:val="left" w:pos="1247"/>
        <w:tab w:val="left" w:pos="1814"/>
        <w:tab w:val="left" w:pos="2381"/>
        <w:tab w:val="left" w:pos="2948"/>
        <w:tab w:val="left" w:pos="3515"/>
      </w:tabs>
      <w:ind w:left="720"/>
    </w:pPr>
    <w:rPr>
      <w:rFonts w:eastAsia="Times New Roman"/>
    </w:rPr>
  </w:style>
  <w:style w:type="character" w:customStyle="1" w:styleId="Normal-poolChar">
    <w:name w:val="Normal-pool Char"/>
    <w:link w:val="Normal-pool"/>
    <w:rsid w:val="00BC24B1"/>
    <w:rPr>
      <w:lang w:val="en-GB" w:eastAsia="en-US"/>
    </w:rPr>
  </w:style>
  <w:style w:type="character" w:customStyle="1" w:styleId="CH2Char">
    <w:name w:val="CH2 Char"/>
    <w:link w:val="CH2"/>
    <w:rsid w:val="00BC24B1"/>
    <w:rPr>
      <w:b/>
      <w:sz w:val="24"/>
      <w:szCs w:val="24"/>
      <w:lang w:val="fr-CA" w:eastAsia="en-US"/>
    </w:rPr>
  </w:style>
  <w:style w:type="paragraph" w:styleId="ListParagraph">
    <w:name w:val="List Paragraph"/>
    <w:basedOn w:val="Normal"/>
    <w:uiPriority w:val="34"/>
    <w:qFormat/>
    <w:rsid w:val="00BC24B1"/>
    <w:pPr>
      <w:suppressAutoHyphens/>
      <w:spacing w:line="240" w:lineRule="exact"/>
      <w:ind w:left="720"/>
      <w:contextualSpacing/>
    </w:pPr>
    <w:rPr>
      <w:rFonts w:eastAsia="Times New Roman"/>
      <w:spacing w:val="4"/>
      <w:w w:val="103"/>
      <w:kern w:val="14"/>
    </w:rPr>
  </w:style>
  <w:style w:type="character" w:customStyle="1" w:styleId="FootnoteTextChar">
    <w:name w:val="Footnote Text Char"/>
    <w:link w:val="FootnoteText"/>
    <w:semiHidden/>
    <w:rsid w:val="00BC24B1"/>
    <w:rPr>
      <w:sz w:val="18"/>
      <w:lang w:val="fr-CA" w:eastAsia="en-US"/>
    </w:rPr>
  </w:style>
  <w:style w:type="paragraph" w:styleId="BalloonText">
    <w:name w:val="Balloon Text"/>
    <w:basedOn w:val="Normal"/>
    <w:link w:val="BalloonTextChar"/>
    <w:rsid w:val="00BC24B1"/>
    <w:rPr>
      <w:rFonts w:ascii="Tahoma" w:hAnsi="Tahoma" w:cs="Tahoma"/>
      <w:sz w:val="16"/>
      <w:szCs w:val="16"/>
    </w:rPr>
  </w:style>
  <w:style w:type="character" w:customStyle="1" w:styleId="BalloonTextChar">
    <w:name w:val="Balloon Text Char"/>
    <w:link w:val="BalloonText"/>
    <w:rsid w:val="00BC24B1"/>
    <w:rPr>
      <w:rFonts w:ascii="Tahoma" w:eastAsia="MS Mincho"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ption_val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4786-5830-4D66-BFDE-DD4486A8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12015</CharactersWithSpaces>
  <SharedDoc>false</SharedDoc>
  <HLinks>
    <vt:vector size="6" baseType="variant">
      <vt:variant>
        <vt:i4>2097240</vt:i4>
      </vt:variant>
      <vt:variant>
        <vt:i4>3</vt:i4>
      </vt:variant>
      <vt:variant>
        <vt:i4>0</vt:i4>
      </vt:variant>
      <vt:variant>
        <vt:i4>5</vt:i4>
      </vt:variant>
      <vt:variant>
        <vt:lpwstr>http://en.wikipedia.org/wiki/Option_value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cp:lastModifiedBy>
  <cp:revision>2</cp:revision>
  <cp:lastPrinted>2013-10-26T13:09:00Z</cp:lastPrinted>
  <dcterms:created xsi:type="dcterms:W3CDTF">2013-11-15T15:55:00Z</dcterms:created>
  <dcterms:modified xsi:type="dcterms:W3CDTF">2013-11-15T15:55:00Z</dcterms:modified>
</cp:coreProperties>
</file>