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950"/>
        <w:gridCol w:w="1649"/>
        <w:gridCol w:w="1321"/>
      </w:tblGrid>
      <w:tr w:rsidR="003C748F" w:rsidTr="002B71C3">
        <w:trPr>
          <w:trHeight w:val="910"/>
        </w:trPr>
        <w:tc>
          <w:tcPr>
            <w:tcW w:w="8249" w:type="dxa"/>
            <w:gridSpan w:val="3"/>
          </w:tcPr>
          <w:p w:rsidR="003C748F" w:rsidRPr="00A102AA" w:rsidRDefault="003C748F" w:rsidP="00302384">
            <w:pPr>
              <w:pStyle w:val="Caption"/>
              <w:rPr>
                <w:lang w:val="ru-RU"/>
              </w:rPr>
            </w:pPr>
            <w:bookmarkStart w:id="0" w:name="_GoBack"/>
            <w:bookmarkEnd w:id="0"/>
            <w:r w:rsidRPr="003508D2">
              <w:rPr>
                <w:lang w:val="ru-RU"/>
              </w:rPr>
              <w:t>ОРГАНИЗАЦИЯ</w:t>
            </w:r>
            <w:r w:rsidRPr="003508D2">
              <w:rPr>
                <w:lang w:val="en-US"/>
              </w:rPr>
              <w:br/>
            </w:r>
            <w:r w:rsidRPr="003508D2">
              <w:rPr>
                <w:lang w:val="ru-RU"/>
              </w:rPr>
              <w:t>ОБЪЕДИНЕННЫХ</w:t>
            </w:r>
            <w:r w:rsidRPr="003508D2">
              <w:rPr>
                <w:lang w:val="en-US"/>
              </w:rPr>
              <w:t xml:space="preserve"> </w:t>
            </w:r>
            <w:r w:rsidRPr="003508D2">
              <w:rPr>
                <w:lang w:val="ru-RU"/>
              </w:rPr>
              <w:br/>
              <w:t>НАЦИЙ</w:t>
            </w:r>
          </w:p>
        </w:tc>
        <w:tc>
          <w:tcPr>
            <w:tcW w:w="1321" w:type="dxa"/>
          </w:tcPr>
          <w:p w:rsidR="003C748F" w:rsidRPr="003508D2" w:rsidRDefault="00554DE5" w:rsidP="003508D2">
            <w:pPr>
              <w:pStyle w:val="Heading2"/>
            </w:pPr>
            <w:r>
              <w:t>EP</w:t>
            </w:r>
          </w:p>
        </w:tc>
      </w:tr>
      <w:tr w:rsidR="003C748F" w:rsidTr="002B71C3">
        <w:trPr>
          <w:trHeight w:val="303"/>
        </w:trPr>
        <w:tc>
          <w:tcPr>
            <w:tcW w:w="16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noProof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3C748F" w:rsidRPr="003636B5" w:rsidRDefault="0002592C" w:rsidP="00F550EE">
            <w:pPr>
              <w:rPr>
                <w:sz w:val="22"/>
                <w:lang w:val="ru-RU"/>
              </w:rPr>
            </w:pPr>
            <w:r w:rsidRPr="0011549E">
              <w:rPr>
                <w:b/>
                <w:szCs w:val="24"/>
                <w:lang w:val="en-US"/>
              </w:rPr>
              <w:t>IPBES</w:t>
            </w:r>
            <w:r w:rsidR="003C748F">
              <w:rPr>
                <w:sz w:val="20"/>
              </w:rPr>
              <w:t>/</w:t>
            </w:r>
            <w:r w:rsidR="00F550EE">
              <w:rPr>
                <w:sz w:val="20"/>
                <w:lang w:val="en-US"/>
              </w:rPr>
              <w:t>2/</w:t>
            </w:r>
            <w:r w:rsidR="003636B5">
              <w:rPr>
                <w:sz w:val="20"/>
                <w:lang w:val="en-US"/>
              </w:rPr>
              <w:t>1</w:t>
            </w:r>
            <w:r w:rsidR="0079249D">
              <w:rPr>
                <w:sz w:val="20"/>
                <w:lang w:val="en-US"/>
              </w:rPr>
              <w:t>0</w:t>
            </w:r>
          </w:p>
        </w:tc>
      </w:tr>
      <w:bookmarkStart w:id="1" w:name="_MON_1021710482"/>
      <w:bookmarkStart w:id="2" w:name="_MON_1021710510"/>
      <w:bookmarkStart w:id="3" w:name="_MON_1026544529"/>
      <w:bookmarkEnd w:id="1"/>
      <w:bookmarkEnd w:id="2"/>
      <w:bookmarkEnd w:id="3"/>
      <w:tr w:rsidR="003C748F" w:rsidTr="002B71C3">
        <w:trPr>
          <w:trHeight w:val="2268"/>
        </w:trPr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C44B44">
            <w:pPr>
              <w:rPr>
                <w:sz w:val="22"/>
              </w:rPr>
            </w:pPr>
            <w:r w:rsidRPr="003508D2">
              <w:rPr>
                <w:sz w:val="22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1.85pt" o:ole="" fillcolor="window">
                  <v:imagedata r:id="rId9" o:title=""/>
                </v:shape>
                <o:OLEObject Type="Embed" ProgID="Word.Picture.8" ShapeID="_x0000_i1025" DrawAspect="Content" ObjectID="_1446965722" r:id="rId10"/>
              </w:object>
            </w:r>
            <w:r w:rsidR="00302384">
              <w:rPr>
                <w:noProof/>
                <w:sz w:val="22"/>
                <w:lang w:val="en-US"/>
              </w:rPr>
              <w:drawing>
                <wp:inline distT="0" distB="0" distL="0" distR="0">
                  <wp:extent cx="716915" cy="746125"/>
                  <wp:effectExtent l="0" t="0" r="698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>
            <w:pPr>
              <w:rPr>
                <w:sz w:val="22"/>
                <w:szCs w:val="22"/>
              </w:rPr>
            </w:pPr>
          </w:p>
          <w:p w:rsidR="003C748F" w:rsidRDefault="003C748F">
            <w:pPr>
              <w:rPr>
                <w:sz w:val="22"/>
                <w:szCs w:val="22"/>
                <w:lang w:val="ru-RU"/>
              </w:rPr>
            </w:pPr>
          </w:p>
          <w:p w:rsidR="00A60904" w:rsidRDefault="00A60904">
            <w:pPr>
              <w:rPr>
                <w:sz w:val="22"/>
                <w:szCs w:val="22"/>
                <w:lang w:val="ru-RU"/>
              </w:rPr>
            </w:pPr>
          </w:p>
          <w:p w:rsid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319F8" w:rsidRP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C748F" w:rsidRPr="00B76EFD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76EFD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</w:rPr>
            </w:pPr>
            <w:r w:rsidRPr="00BF0698">
              <w:rPr>
                <w:sz w:val="20"/>
              </w:rPr>
              <w:t xml:space="preserve">Distr.: </w:t>
            </w:r>
            <w:r w:rsidR="000F799F" w:rsidRPr="00945363">
              <w:rPr>
                <w:sz w:val="20"/>
                <w:lang w:val="en-US"/>
              </w:rPr>
              <w:t xml:space="preserve"> </w:t>
            </w:r>
            <w:r w:rsidRPr="00BF0698">
              <w:rPr>
                <w:sz w:val="20"/>
              </w:rPr>
              <w:t>General</w:t>
            </w:r>
          </w:p>
          <w:p w:rsidR="003C748F" w:rsidRPr="00BF0698" w:rsidRDefault="0079249D" w:rsidP="003508D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="00F550EE" w:rsidRPr="00BF0698">
              <w:rPr>
                <w:sz w:val="20"/>
                <w:lang w:val="en-US"/>
              </w:rPr>
              <w:t xml:space="preserve"> September</w:t>
            </w:r>
            <w:r w:rsidR="003C748F" w:rsidRPr="00BF0698">
              <w:rPr>
                <w:sz w:val="20"/>
              </w:rPr>
              <w:t xml:space="preserve"> 20</w:t>
            </w:r>
            <w:r w:rsidR="003636B5" w:rsidRPr="00BF0698">
              <w:rPr>
                <w:sz w:val="20"/>
              </w:rPr>
              <w:t>1</w:t>
            </w:r>
            <w:r w:rsidR="00F550EE" w:rsidRPr="00BF0698">
              <w:rPr>
                <w:sz w:val="20"/>
              </w:rPr>
              <w:t>3</w:t>
            </w:r>
          </w:p>
          <w:p w:rsidR="003C748F" w:rsidRPr="00BF0698" w:rsidRDefault="003C748F" w:rsidP="003508D2">
            <w:pPr>
              <w:rPr>
                <w:sz w:val="20"/>
              </w:rPr>
            </w:pPr>
          </w:p>
          <w:p w:rsidR="003C748F" w:rsidRPr="00BF0698" w:rsidRDefault="003C748F" w:rsidP="003508D2">
            <w:pPr>
              <w:rPr>
                <w:sz w:val="20"/>
                <w:lang w:val="en-US"/>
              </w:rPr>
            </w:pPr>
            <w:r w:rsidRPr="00BF0698">
              <w:rPr>
                <w:sz w:val="20"/>
                <w:lang w:val="en-US"/>
              </w:rPr>
              <w:t>Russian</w:t>
            </w:r>
          </w:p>
          <w:p w:rsidR="003C748F" w:rsidRDefault="003C748F" w:rsidP="003508D2">
            <w:pPr>
              <w:rPr>
                <w:sz w:val="22"/>
              </w:rPr>
            </w:pPr>
            <w:r w:rsidRPr="00BF0698">
              <w:rPr>
                <w:sz w:val="20"/>
              </w:rPr>
              <w:t xml:space="preserve">Original: </w:t>
            </w:r>
            <w:r w:rsidR="001957CE" w:rsidRPr="00945363">
              <w:rPr>
                <w:sz w:val="20"/>
                <w:lang w:val="en-US"/>
              </w:rPr>
              <w:t xml:space="preserve"> </w:t>
            </w:r>
            <w:r w:rsidRPr="00BF0698">
              <w:rPr>
                <w:sz w:val="20"/>
              </w:rPr>
              <w:t>English</w:t>
            </w:r>
          </w:p>
        </w:tc>
      </w:tr>
    </w:tbl>
    <w:p w:rsidR="00F550EE" w:rsidRPr="00F550EE" w:rsidRDefault="00F550EE" w:rsidP="005454AE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 xml:space="preserve">Пленум </w:t>
      </w:r>
      <w:r w:rsidR="00875095">
        <w:rPr>
          <w:b/>
          <w:sz w:val="20"/>
          <w:lang w:val="ru-RU"/>
        </w:rPr>
        <w:t>М</w:t>
      </w:r>
      <w:r w:rsidRPr="00F550EE">
        <w:rPr>
          <w:b/>
          <w:sz w:val="20"/>
          <w:lang w:val="ru-RU"/>
        </w:rPr>
        <w:t>ежправительственной научно-политической</w:t>
      </w:r>
      <w:r w:rsidRPr="00F550EE">
        <w:rPr>
          <w:b/>
          <w:sz w:val="20"/>
          <w:lang w:val="ru-RU"/>
        </w:rPr>
        <w:br/>
        <w:t>платформы по биоразнообразию и экосистемным услугам</w:t>
      </w:r>
    </w:p>
    <w:p w:rsidR="00F550EE" w:rsidRPr="00F550EE" w:rsidRDefault="00F550EE" w:rsidP="005454AE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>Вторая сессия</w:t>
      </w:r>
    </w:p>
    <w:p w:rsidR="00F550EE" w:rsidRPr="00945363" w:rsidRDefault="00F550EE" w:rsidP="005454AE">
      <w:pPr>
        <w:rPr>
          <w:sz w:val="20"/>
          <w:lang w:val="ru-RU"/>
        </w:rPr>
      </w:pPr>
      <w:r w:rsidRPr="005454AE">
        <w:rPr>
          <w:sz w:val="20"/>
          <w:lang w:val="ru-RU"/>
        </w:rPr>
        <w:t>Анталия, Турция, 9–14</w:t>
      </w:r>
      <w:r w:rsidRPr="005454AE">
        <w:rPr>
          <w:sz w:val="20"/>
        </w:rPr>
        <w:t> </w:t>
      </w:r>
      <w:r w:rsidRPr="005454AE">
        <w:rPr>
          <w:sz w:val="20"/>
          <w:lang w:val="ru-RU"/>
        </w:rPr>
        <w:t>декабря 2013</w:t>
      </w:r>
      <w:r w:rsidRPr="005454AE">
        <w:rPr>
          <w:sz w:val="20"/>
        </w:rPr>
        <w:t> </w:t>
      </w:r>
      <w:r w:rsidRPr="005454AE">
        <w:rPr>
          <w:sz w:val="20"/>
          <w:lang w:val="ru-RU"/>
        </w:rPr>
        <w:t>года</w:t>
      </w:r>
    </w:p>
    <w:p w:rsidR="005454AE" w:rsidRPr="005454AE" w:rsidRDefault="005454AE" w:rsidP="00A102AA">
      <w:pPr>
        <w:spacing w:after="120"/>
        <w:rPr>
          <w:rFonts w:eastAsia="MS Mincho"/>
          <w:sz w:val="20"/>
          <w:lang w:val="ru-RU"/>
        </w:rPr>
      </w:pPr>
      <w:r w:rsidRPr="005454AE">
        <w:rPr>
          <w:rFonts w:eastAsia="MS Mincho"/>
          <w:sz w:val="20"/>
          <w:lang w:val="ru-RU"/>
        </w:rPr>
        <w:t xml:space="preserve">Пункт 6 </w:t>
      </w:r>
      <w:r w:rsidRPr="005454AE">
        <w:rPr>
          <w:rFonts w:eastAsia="MS Mincho"/>
          <w:sz w:val="20"/>
          <w:lang w:val="en-US"/>
        </w:rPr>
        <w:t>d</w:t>
      </w:r>
      <w:r w:rsidRPr="005454AE">
        <w:rPr>
          <w:rFonts w:eastAsia="MS Mincho"/>
          <w:sz w:val="20"/>
          <w:lang w:val="ru-RU"/>
        </w:rPr>
        <w:t>) предварительной повестки дня*</w:t>
      </w:r>
    </w:p>
    <w:p w:rsidR="005454AE" w:rsidRPr="005454AE" w:rsidRDefault="005454AE" w:rsidP="005454AE">
      <w:pPr>
        <w:spacing w:after="120"/>
        <w:ind w:right="1701"/>
        <w:rPr>
          <w:b/>
          <w:sz w:val="20"/>
          <w:lang w:val="ru-RU"/>
        </w:rPr>
      </w:pPr>
      <w:r w:rsidRPr="005454AE">
        <w:rPr>
          <w:b/>
          <w:sz w:val="20"/>
          <w:lang w:val="ru-RU"/>
        </w:rPr>
        <w:t>Правила и процедуры деятельности Платформы: политика и процедуры в отношении допуска наблюдателей</w:t>
      </w:r>
    </w:p>
    <w:p w:rsidR="003C748F" w:rsidRPr="005454AE" w:rsidRDefault="005454AE" w:rsidP="007519BF">
      <w:pPr>
        <w:spacing w:before="360" w:after="240"/>
        <w:ind w:left="1247" w:right="567"/>
        <w:rPr>
          <w:b/>
          <w:sz w:val="28"/>
          <w:szCs w:val="28"/>
          <w:lang w:val="ru-RU"/>
        </w:rPr>
      </w:pPr>
      <w:r w:rsidRPr="005454AE">
        <w:rPr>
          <w:b/>
          <w:sz w:val="28"/>
          <w:szCs w:val="28"/>
          <w:lang w:val="ru-RU"/>
        </w:rPr>
        <w:t>Проект политики и процедур в отношении допуска наблюдателей</w:t>
      </w:r>
    </w:p>
    <w:p w:rsidR="003C748F" w:rsidRPr="003636B5" w:rsidRDefault="00993BDA" w:rsidP="00D63F9D">
      <w:pPr>
        <w:spacing w:after="120"/>
        <w:ind w:left="1247" w:right="567"/>
        <w:rPr>
          <w:b/>
          <w:szCs w:val="24"/>
          <w:lang w:val="ru-RU"/>
        </w:rPr>
      </w:pPr>
      <w:r>
        <w:rPr>
          <w:b/>
          <w:szCs w:val="24"/>
          <w:lang w:val="ru-RU"/>
        </w:rPr>
        <w:t>Записка секретариата</w:t>
      </w:r>
    </w:p>
    <w:p w:rsidR="00EE71A1" w:rsidRPr="00993BDA" w:rsidRDefault="00993BDA" w:rsidP="00993BDA">
      <w:pPr>
        <w:spacing w:after="120"/>
        <w:ind w:left="1247" w:firstLine="624"/>
        <w:rPr>
          <w:sz w:val="20"/>
          <w:lang w:val="ru-RU"/>
        </w:rPr>
      </w:pPr>
      <w:r w:rsidRPr="00993BDA">
        <w:rPr>
          <w:sz w:val="20"/>
          <w:lang w:val="ru-RU"/>
        </w:rPr>
        <w:t>В приложении к настоящей записке содержится проект политики и процедур в отношении допуска наблюдателей, рассмотренный Пленумом на его первой сессии и изложенный в докладе о работе сессии (</w:t>
      </w:r>
      <w:r w:rsidRPr="00993BDA">
        <w:rPr>
          <w:sz w:val="20"/>
        </w:rPr>
        <w:t>IPBES</w:t>
      </w:r>
      <w:r w:rsidRPr="00993BDA">
        <w:rPr>
          <w:sz w:val="20"/>
          <w:lang w:val="ru-RU"/>
        </w:rPr>
        <w:t>/1/12). На сессии весь текст проекта политики и процедур был заключен в квадратные скобки, чтобы указать на отсутствие консенсуса по нему. Он представляется для дальнейшего рассмотрения Пленумом на его второй сессии и официально не редактировался.</w:t>
      </w:r>
    </w:p>
    <w:p w:rsidR="00447224" w:rsidRPr="00AC43B2" w:rsidRDefault="00447224" w:rsidP="00D63F9D">
      <w:pPr>
        <w:spacing w:after="240"/>
        <w:rPr>
          <w:b/>
          <w:sz w:val="28"/>
          <w:szCs w:val="28"/>
          <w:lang w:val="ru-RU"/>
        </w:rPr>
      </w:pPr>
      <w:r w:rsidRPr="003636B5">
        <w:rPr>
          <w:sz w:val="20"/>
          <w:lang w:val="ru-RU"/>
        </w:rPr>
        <w:br w:type="page"/>
      </w:r>
      <w:r w:rsidR="00D63F9D" w:rsidRPr="00AC43B2">
        <w:rPr>
          <w:b/>
          <w:sz w:val="28"/>
          <w:szCs w:val="28"/>
          <w:lang w:val="ru-RU"/>
        </w:rPr>
        <w:lastRenderedPageBreak/>
        <w:t>Приложение</w:t>
      </w:r>
    </w:p>
    <w:p w:rsidR="00447224" w:rsidRPr="00AC43B2" w:rsidRDefault="00AC43B2" w:rsidP="00D63F9D">
      <w:pPr>
        <w:spacing w:after="120"/>
        <w:ind w:left="1247"/>
        <w:rPr>
          <w:b/>
          <w:sz w:val="28"/>
          <w:szCs w:val="28"/>
          <w:lang w:val="ru-RU"/>
        </w:rPr>
      </w:pPr>
      <w:r w:rsidRPr="00AC43B2">
        <w:rPr>
          <w:b/>
          <w:sz w:val="28"/>
          <w:szCs w:val="28"/>
          <w:lang w:val="ru-RU"/>
        </w:rPr>
        <w:t>[Проект политики и процедур в отношении допуска наблюдателей</w:t>
      </w:r>
    </w:p>
    <w:p w:rsidR="00BF5EDC" w:rsidRPr="00DA5D89" w:rsidRDefault="00AC43B2" w:rsidP="00DA5D8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DA5D89">
        <w:rPr>
          <w:b/>
          <w:sz w:val="28"/>
          <w:szCs w:val="28"/>
          <w:lang w:val="ru-RU"/>
        </w:rPr>
        <w:tab/>
      </w:r>
      <w:r w:rsidRPr="00DA5D89">
        <w:rPr>
          <w:b/>
          <w:sz w:val="28"/>
          <w:szCs w:val="28"/>
          <w:lang w:val="en-US"/>
        </w:rPr>
        <w:t>I</w:t>
      </w:r>
      <w:r w:rsidRPr="00DA5D89">
        <w:rPr>
          <w:b/>
          <w:sz w:val="28"/>
          <w:szCs w:val="28"/>
          <w:lang w:val="ru-RU"/>
        </w:rPr>
        <w:t>.</w:t>
      </w:r>
      <w:r w:rsidRPr="00DA5D89">
        <w:rPr>
          <w:b/>
          <w:sz w:val="28"/>
          <w:szCs w:val="28"/>
          <w:lang w:val="ru-RU"/>
        </w:rPr>
        <w:tab/>
        <w:t>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Применяется следующая 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 (МПБЭУ):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1.</w:t>
      </w:r>
      <w:r w:rsidRPr="00DA5D89">
        <w:rPr>
          <w:sz w:val="20"/>
          <w:lang w:val="ru-RU"/>
        </w:rPr>
        <w:tab/>
        <w:t>«Наблюдатель» означает любое государство, не являющееся членом Платформы, и любые органы, организации или учреждения, национальные или международные, правительственные, межправительственные или неправительственные, включая организации и аккредитованных представителей коренных народов и местных общин, которые обладают компетенцией в вопросах, составляющих круг ведения Платформы, и которые уведомили секретариат Платформы о своем желании быть представленными на сессиях Пленума с учетом положений правил процедуры</w:t>
      </w:r>
      <w:r w:rsidRPr="00DA5D89">
        <w:rPr>
          <w:rStyle w:val="FootnoteReference"/>
          <w:sz w:val="20"/>
          <w:szCs w:val="20"/>
        </w:rPr>
        <w:footnoteReference w:id="2"/>
      </w:r>
      <w:r w:rsidRPr="00DA5D89">
        <w:rPr>
          <w:sz w:val="20"/>
          <w:lang w:val="ru-RU"/>
        </w:rPr>
        <w:t>.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2.</w:t>
      </w:r>
      <w:r w:rsidRPr="00DA5D89">
        <w:rPr>
          <w:sz w:val="20"/>
          <w:lang w:val="ru-RU"/>
        </w:rPr>
        <w:tab/>
        <w:t>Любое государство, являющееся членом Организации Объединенных Наций или имеющее статус наблюдателя при Организации Объединенных Наций, которое не является членом Платформы, будет считаться допущенным Пленумом в качестве наблюдателя без подачи заявления или других документов.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3.</w:t>
      </w:r>
      <w:r w:rsidRPr="00DA5D89">
        <w:rPr>
          <w:sz w:val="20"/>
          <w:lang w:val="ru-RU"/>
        </w:rPr>
        <w:tab/>
        <w:t xml:space="preserve">Органы Организации Объединенных Наций и секретариаты многосторонних </w:t>
      </w:r>
      <w:r w:rsidR="00A102AA">
        <w:rPr>
          <w:sz w:val="20"/>
          <w:lang w:val="ru-RU"/>
        </w:rPr>
        <w:t xml:space="preserve">природоохранных </w:t>
      </w:r>
      <w:r w:rsidRPr="00DA5D89">
        <w:rPr>
          <w:sz w:val="20"/>
          <w:lang w:val="ru-RU"/>
        </w:rPr>
        <w:t>соглашений считаются наблюдателями Платформы без подачи заявления или других документов.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4.</w:t>
      </w:r>
      <w:r w:rsidRPr="00DA5D89">
        <w:rPr>
          <w:sz w:val="20"/>
          <w:lang w:val="ru-RU"/>
        </w:rPr>
        <w:tab/>
        <w:t>Решение о том, обладает ли претендент на получение статуса наблюдателя компетенцией в вопросах, составляющих круг ведения Платформы, принимается с учетом представленных соответствующей организацией документов, перечисленных в пункте 10 настоящего документа, а также функций и принципов деятельности МПБЭУ.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5.</w:t>
      </w:r>
      <w:r w:rsidRPr="00DA5D89">
        <w:rPr>
          <w:sz w:val="20"/>
          <w:lang w:val="ru-RU"/>
        </w:rPr>
        <w:tab/>
        <w:t>Органы, организации и учреждения, которые уже имеют статус наблюдателя или аккредитованы при Программе Организации Объединенных Наций по окружающей среде (ЮНЕП), Организации Объединенных Наций по вопросам образования, науки и культуры (ЮНЕСКО), Продовольственной и сельскохозяйственной организации Объединенных Наций (ФАО) и Программе развития Организации Объединенных Наций (ПРООН), считаются наблюдателями Платформы, если они об этом попросят, за исключением случаев, когда Пленум принимает решение об ином.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6.</w:t>
      </w:r>
      <w:r w:rsidRPr="00DA5D89">
        <w:rPr>
          <w:sz w:val="20"/>
          <w:lang w:val="ru-RU"/>
        </w:rPr>
        <w:tab/>
        <w:t>Наблюдатели, допущенные к участию в работе первой сессии МПБЭУ, считаются допущенными Пленумом на последующие совещания Пленума в качестве наблюдателей без подачи заявления или других документов за исключением случаев, когда Пленум принимает решение об ином.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7.</w:t>
      </w:r>
      <w:r w:rsidRPr="00DA5D89">
        <w:rPr>
          <w:sz w:val="20"/>
          <w:lang w:val="ru-RU"/>
        </w:rPr>
        <w:tab/>
        <w:t>Только наблюдатели, которые были допущены Пленумом и зарегистрировались для конкретной сессии, могут назначать представителей для участия в сессиях Пленума. Наблюдатели обязаны зарегистрировать своих представителей до начала каждой сессии.</w:t>
      </w:r>
    </w:p>
    <w:p w:rsidR="00AC43B2" w:rsidRPr="00DA5D89" w:rsidRDefault="00AC43B2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8.</w:t>
      </w:r>
      <w:r w:rsidRPr="00DA5D89">
        <w:rPr>
          <w:sz w:val="20"/>
          <w:lang w:val="ru-RU"/>
        </w:rPr>
        <w:tab/>
        <w:t>Секретариат уведомляет наблюдател</w:t>
      </w:r>
      <w:r w:rsidR="00AB25CD">
        <w:rPr>
          <w:sz w:val="20"/>
          <w:lang w:val="ru-RU"/>
        </w:rPr>
        <w:t>ей о проведении сессий Пленума.</w:t>
      </w:r>
    </w:p>
    <w:p w:rsidR="00AC43B2" w:rsidRPr="00DA5D89" w:rsidRDefault="00AC43B2" w:rsidP="00DA5D89">
      <w:pPr>
        <w:spacing w:after="24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9.</w:t>
      </w:r>
      <w:r w:rsidRPr="00DA5D89">
        <w:rPr>
          <w:sz w:val="20"/>
          <w:lang w:val="ru-RU"/>
        </w:rPr>
        <w:tab/>
        <w:t xml:space="preserve">Организациям системы Организации Объединенных Наций и другим международным и межправительственным организациям, а также другим наблюдателям </w:t>
      </w:r>
      <w:r w:rsidRPr="00DA5D89">
        <w:rPr>
          <w:sz w:val="20"/>
          <w:lang w:val="ru-RU"/>
        </w:rPr>
        <w:lastRenderedPageBreak/>
        <w:t>отводятся места, обозначенные соответствующими табличками, где в месте проведения заседания имеются возможности для этого.</w:t>
      </w:r>
    </w:p>
    <w:p w:rsidR="00AC43B2" w:rsidRPr="00DA5D89" w:rsidRDefault="00AC43B2" w:rsidP="00DA5D8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DA5D89">
        <w:rPr>
          <w:b/>
          <w:sz w:val="28"/>
          <w:szCs w:val="28"/>
          <w:lang w:val="ru-RU"/>
        </w:rPr>
        <w:tab/>
      </w:r>
      <w:r w:rsidR="00432B69" w:rsidRPr="00DA5D89">
        <w:rPr>
          <w:b/>
          <w:sz w:val="28"/>
          <w:szCs w:val="28"/>
          <w:lang w:val="en-US"/>
        </w:rPr>
        <w:t>I</w:t>
      </w:r>
      <w:r w:rsidRPr="00DA5D89">
        <w:rPr>
          <w:b/>
          <w:sz w:val="28"/>
          <w:szCs w:val="28"/>
          <w:lang w:val="en-US"/>
        </w:rPr>
        <w:t>I</w:t>
      </w:r>
      <w:r w:rsidRPr="00DA5D89">
        <w:rPr>
          <w:b/>
          <w:sz w:val="28"/>
          <w:szCs w:val="28"/>
          <w:lang w:val="ru-RU"/>
        </w:rPr>
        <w:t>.</w:t>
      </w:r>
      <w:r w:rsidRPr="00DA5D89">
        <w:rPr>
          <w:b/>
          <w:sz w:val="28"/>
          <w:szCs w:val="28"/>
          <w:lang w:val="ru-RU"/>
        </w:rPr>
        <w:tab/>
      </w:r>
      <w:r w:rsidR="00432B69" w:rsidRPr="00DA5D89">
        <w:rPr>
          <w:b/>
          <w:sz w:val="28"/>
          <w:szCs w:val="28"/>
          <w:lang w:val="ru-RU"/>
        </w:rPr>
        <w:t>Процедуры в отношении допуска наблюдателей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Применяется следующий процесс в отношении допуска наблюдателей: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10.</w:t>
      </w:r>
      <w:r w:rsidRPr="00DA5D89">
        <w:rPr>
          <w:sz w:val="20"/>
          <w:lang w:val="ru-RU"/>
        </w:rPr>
        <w:tab/>
        <w:t>Претендентам на получение статуса наблюдателя для участия в работе сессий Пленума будет предложено в надлежащем порядке направить в секретариат, помимо прочего, копии следующих документов: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а)</w:t>
      </w:r>
      <w:r w:rsidRPr="00DA5D89">
        <w:rPr>
          <w:sz w:val="20"/>
          <w:lang w:val="ru-RU"/>
        </w:rPr>
        <w:tab/>
        <w:t>документов, в которых изложен мандат, сфера охвата и структура управления организации, например устав/статуты/конституция/регламенты или учредительные документы;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</w:rPr>
        <w:t>b</w:t>
      </w:r>
      <w:r w:rsidRPr="00DA5D89">
        <w:rPr>
          <w:sz w:val="20"/>
          <w:lang w:val="ru-RU"/>
        </w:rPr>
        <w:t>)</w:t>
      </w:r>
      <w:r w:rsidRPr="00DA5D89">
        <w:rPr>
          <w:sz w:val="20"/>
          <w:lang w:val="ru-RU"/>
        </w:rPr>
        <w:tab/>
        <w:t>любых других информационных документов, которые подтверждают компетенцию и заинтересованность организации в вопросах, относящихся к деятельности МПБЭУ;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</w:rPr>
        <w:t>c</w:t>
      </w:r>
      <w:r w:rsidRPr="00DA5D89">
        <w:rPr>
          <w:sz w:val="20"/>
          <w:lang w:val="ru-RU"/>
        </w:rPr>
        <w:t>)</w:t>
      </w:r>
      <w:r w:rsidRPr="00DA5D89">
        <w:rPr>
          <w:sz w:val="20"/>
          <w:lang w:val="ru-RU"/>
        </w:rPr>
        <w:tab/>
        <w:t>заполненной формы с контактной информацией и адресом веб-сайта (если таковой имеется) организации и назначенного контактного лица (обновляется по мере необходимости).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11.</w:t>
      </w:r>
      <w:r w:rsidRPr="00DA5D89">
        <w:rPr>
          <w:sz w:val="20"/>
          <w:lang w:val="ru-RU"/>
        </w:rPr>
        <w:tab/>
        <w:t>Новые заявки о предоставлении допуска для участия в работе сессии Пленума в качестве наблюдателя должны представляться в секретариат не менее чем за три месяца до начала сессии Пленума. Информация, представленная такими наблюдателями, хранится в секретариате МПБЭУ.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12.</w:t>
      </w:r>
      <w:r w:rsidRPr="00DA5D89">
        <w:rPr>
          <w:sz w:val="20"/>
          <w:lang w:val="ru-RU"/>
        </w:rPr>
        <w:tab/>
        <w:t>Секретариат анализирует заявки с учетом представленных документов, о которых говорится в пункте 10, и функций и принципов деятельности Платформы и направляет свои выводы Бюро для рассмотрения.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13.</w:t>
      </w:r>
      <w:r w:rsidRPr="00DA5D89">
        <w:rPr>
          <w:sz w:val="20"/>
          <w:lang w:val="ru-RU"/>
        </w:rPr>
        <w:tab/>
        <w:t>Рассмотренный Бюро список претендентов на получение статуса наблюдателя, включая не одобренные заявки, представляется на следующей сессии Пленума в соответствии с правилами процедуры.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[14.</w:t>
      </w:r>
      <w:r w:rsidRPr="00DA5D89">
        <w:rPr>
          <w:sz w:val="20"/>
          <w:lang w:val="ru-RU"/>
        </w:rPr>
        <w:tab/>
        <w:t>Пленум Платформы принимает решение [о допуске всех рекомендованных в списке наблюдателей] о допуске и участии всех наблюдателей в соответствии со своими правилами процедуры, и наблюдатели, одобренные Бюро в соответствии с пунктом 13, могут быть допущены на заседание Пленума и участвовать в нем, [если против этого не возражает ни один из членов Платформы] [за исключением случаев, когда против этого возражает не менее одной трети присутствующих на заседании членов.]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15.</w:t>
      </w:r>
      <w:r w:rsidRPr="00DA5D89">
        <w:rPr>
          <w:sz w:val="20"/>
          <w:lang w:val="ru-RU"/>
        </w:rPr>
        <w:tab/>
        <w:t>Вопрос о допуске новых претендентов в качестве наблюдателей должен регулярно включаться отдельным пунктом в повестку дня Бюро и Пленума с учетом применимых правил процедуры.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[16.</w:t>
      </w:r>
      <w:r w:rsidRPr="00DA5D89">
        <w:rPr>
          <w:sz w:val="20"/>
          <w:lang w:val="ru-RU"/>
        </w:rPr>
        <w:tab/>
        <w:t>Если возникает необходимость в отзыве статуса наблюдателя по любой причине, Председатель может приостановить действие статуса наблюдателя такого наблюдателя при условии утверждения [Бюро] [Пленумом].]</w:t>
      </w:r>
    </w:p>
    <w:p w:rsidR="00DA5D89" w:rsidRPr="00DA5D89" w:rsidRDefault="00DA5D89" w:rsidP="00DA5D89">
      <w:pPr>
        <w:spacing w:after="120"/>
        <w:ind w:left="1247" w:firstLine="624"/>
        <w:rPr>
          <w:sz w:val="20"/>
          <w:lang w:val="ru-RU"/>
        </w:rPr>
      </w:pPr>
      <w:r w:rsidRPr="00DA5D89">
        <w:rPr>
          <w:sz w:val="20"/>
          <w:lang w:val="ru-RU"/>
        </w:rPr>
        <w:t>17.</w:t>
      </w:r>
      <w:r w:rsidRPr="00DA5D89">
        <w:rPr>
          <w:sz w:val="20"/>
          <w:lang w:val="ru-RU"/>
        </w:rPr>
        <w:tab/>
        <w:t>Любой наблюдатель может сохранять свой статус только до тех пор, пока он удовлетворяет условиям, установленным для наблюдателей в настоящем документе и любых других соответствующих правилах процедуры МПБЭУ.]</w:t>
      </w:r>
    </w:p>
    <w:p w:rsidR="00447224" w:rsidRPr="00DA5D89" w:rsidRDefault="00DA5D89" w:rsidP="00A102AA">
      <w:pPr>
        <w:spacing w:before="240" w:after="120"/>
        <w:jc w:val="center"/>
        <w:rPr>
          <w:sz w:val="20"/>
          <w:lang w:val="ru-RU"/>
        </w:rPr>
      </w:pPr>
      <w:r w:rsidRPr="00DA5D89">
        <w:rPr>
          <w:sz w:val="20"/>
          <w:lang w:val="en-US"/>
        </w:rPr>
        <w:t>________________________</w:t>
      </w:r>
    </w:p>
    <w:sectPr w:rsidR="00447224" w:rsidRPr="00DA5D89" w:rsidSect="000F6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5F" w:rsidRDefault="00E7065F">
      <w:r>
        <w:separator/>
      </w:r>
    </w:p>
  </w:endnote>
  <w:endnote w:type="continuationSeparator" w:id="0">
    <w:p w:rsidR="00E7065F" w:rsidRDefault="00E7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29BD22" w:usb1="000F0000" w:usb2="07F40000" w:usb3="BD2E1E7E" w:csb0="04B7883E" w:csb1="18F20418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A102AA">
    <w:pPr>
      <w:pStyle w:val="Footer"/>
      <w:tabs>
        <w:tab w:val="clear" w:pos="4320"/>
        <w:tab w:val="clear" w:pos="8640"/>
      </w:tabs>
      <w:spacing w:before="60" w:after="120"/>
      <w:rPr>
        <w:rStyle w:val="PageNumber"/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302384">
      <w:rPr>
        <w:rStyle w:val="PageNumber"/>
        <w:noProof/>
        <w:sz w:val="18"/>
        <w:szCs w:val="18"/>
      </w:rPr>
      <w:t>2</w:t>
    </w:r>
    <w:r w:rsidRPr="0062380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62380B">
    <w:pPr>
      <w:pStyle w:val="Footer"/>
      <w:tabs>
        <w:tab w:val="clear" w:pos="4320"/>
        <w:tab w:val="clear" w:pos="8640"/>
      </w:tabs>
      <w:spacing w:before="60" w:after="120"/>
      <w:jc w:val="right"/>
      <w:rPr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302384">
      <w:rPr>
        <w:rStyle w:val="PageNumber"/>
        <w:noProof/>
        <w:sz w:val="18"/>
        <w:szCs w:val="18"/>
      </w:rPr>
      <w:t>3</w:t>
    </w:r>
    <w:r w:rsidRPr="006238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AE" w:rsidRDefault="005454AE" w:rsidP="005454AE">
    <w:pPr>
      <w:pStyle w:val="Footer"/>
      <w:tabs>
        <w:tab w:val="clear" w:pos="4320"/>
        <w:tab w:val="clear" w:pos="8640"/>
      </w:tabs>
      <w:spacing w:before="0" w:after="60"/>
      <w:ind w:left="624"/>
      <w:rPr>
        <w:sz w:val="20"/>
        <w:szCs w:val="20"/>
        <w:lang w:val="en-US"/>
      </w:rPr>
    </w:pPr>
    <w:r>
      <w:rPr>
        <w:sz w:val="20"/>
        <w:szCs w:val="20"/>
        <w:lang w:val="en-US"/>
      </w:rPr>
      <w:t>__________________________</w:t>
    </w:r>
  </w:p>
  <w:p w:rsidR="005454AE" w:rsidRPr="005454AE" w:rsidRDefault="005454AE" w:rsidP="005454AE">
    <w:pPr>
      <w:pStyle w:val="Footer"/>
      <w:tabs>
        <w:tab w:val="clear" w:pos="4320"/>
        <w:tab w:val="clear" w:pos="8640"/>
      </w:tabs>
      <w:spacing w:before="0" w:after="120"/>
      <w:ind w:left="1248"/>
      <w:rPr>
        <w:sz w:val="18"/>
        <w:szCs w:val="18"/>
        <w:lang w:val="en-US"/>
      </w:rPr>
    </w:pPr>
    <w:r w:rsidRPr="008E57F8">
      <w:rPr>
        <w:sz w:val="18"/>
        <w:szCs w:val="18"/>
        <w:vertAlign w:val="superscript"/>
        <w:lang w:val="en-US"/>
      </w:rPr>
      <w:t>*</w:t>
    </w:r>
    <w:r w:rsidRPr="005454AE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IPBES</w:t>
    </w:r>
    <w:r w:rsidR="00A102AA">
      <w:rPr>
        <w:sz w:val="18"/>
        <w:szCs w:val="18"/>
        <w:lang w:val="ru-RU"/>
      </w:rPr>
      <w:t>/</w:t>
    </w:r>
    <w:r>
      <w:rPr>
        <w:sz w:val="18"/>
        <w:szCs w:val="18"/>
        <w:lang w:val="en-US"/>
      </w:rPr>
      <w:t>2/1.</w:t>
    </w:r>
  </w:p>
  <w:p w:rsidR="004E180E" w:rsidRPr="0062380B" w:rsidRDefault="004E180E" w:rsidP="005454AE">
    <w:pPr>
      <w:pStyle w:val="Footer"/>
      <w:tabs>
        <w:tab w:val="clear" w:pos="4320"/>
        <w:tab w:val="clear" w:pos="8640"/>
      </w:tabs>
      <w:spacing w:before="0"/>
      <w:rPr>
        <w:sz w:val="20"/>
        <w:szCs w:val="20"/>
        <w:lang w:val="ru-RU"/>
      </w:rPr>
    </w:pPr>
    <w:r w:rsidRPr="0062380B">
      <w:rPr>
        <w:sz w:val="20"/>
        <w:szCs w:val="20"/>
      </w:rPr>
      <w:t>K1</w:t>
    </w:r>
    <w:r w:rsidR="00F550EE">
      <w:rPr>
        <w:sz w:val="20"/>
        <w:szCs w:val="20"/>
      </w:rPr>
      <w:t>3530</w:t>
    </w:r>
    <w:r w:rsidR="0079249D">
      <w:rPr>
        <w:sz w:val="20"/>
        <w:szCs w:val="20"/>
      </w:rPr>
      <w:t>48</w:t>
    </w:r>
    <w:r w:rsidRPr="0062380B">
      <w:rPr>
        <w:sz w:val="20"/>
        <w:szCs w:val="20"/>
        <w:lang w:val="en-US"/>
      </w:rPr>
      <w:t xml:space="preserve">      </w:t>
    </w:r>
    <w:r w:rsidR="0010795B">
      <w:rPr>
        <w:sz w:val="20"/>
        <w:szCs w:val="20"/>
        <w:lang w:val="en-US"/>
      </w:rPr>
      <w:t>071013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5F" w:rsidRPr="00DA5D89" w:rsidRDefault="00E7065F" w:rsidP="00DA5D89">
      <w:pPr>
        <w:spacing w:after="120"/>
        <w:ind w:left="624"/>
        <w:rPr>
          <w:sz w:val="20"/>
        </w:rPr>
      </w:pPr>
      <w:r w:rsidRPr="00DA5D89">
        <w:rPr>
          <w:sz w:val="20"/>
        </w:rPr>
        <w:separator/>
      </w:r>
    </w:p>
  </w:footnote>
  <w:footnote w:type="continuationSeparator" w:id="0">
    <w:p w:rsidR="00E7065F" w:rsidRDefault="00E7065F">
      <w:pPr>
        <w:spacing w:before="120" w:after="60"/>
        <w:ind w:left="624"/>
      </w:pPr>
      <w:r>
        <w:continuationSeparator/>
      </w:r>
    </w:p>
  </w:footnote>
  <w:footnote w:type="continuationNotice" w:id="1">
    <w:p w:rsidR="00E7065F" w:rsidRDefault="00E7065F">
      <w:pPr>
        <w:spacing w:before="120" w:after="60"/>
        <w:ind w:left="624"/>
      </w:pPr>
    </w:p>
  </w:footnote>
  <w:footnote w:id="2">
    <w:p w:rsidR="00AC43B2" w:rsidRPr="00AC43B2" w:rsidRDefault="00AC43B2" w:rsidP="00A102AA">
      <w:pPr>
        <w:pStyle w:val="FootnoteText"/>
        <w:spacing w:before="20" w:after="40"/>
        <w:rPr>
          <w:lang w:val="ru-RU"/>
        </w:rPr>
      </w:pPr>
      <w:r>
        <w:rPr>
          <w:rStyle w:val="FootnoteReference"/>
        </w:rPr>
        <w:footnoteRef/>
      </w:r>
      <w:r w:rsidRPr="00AC43B2">
        <w:rPr>
          <w:lang w:val="ru-RU"/>
        </w:rPr>
        <w:tab/>
        <w:t>В правилах процедуры Пленума Платформы (см.</w:t>
      </w:r>
      <w:r>
        <w:t> </w:t>
      </w:r>
      <w:r>
        <w:rPr>
          <w:lang w:val="en-US"/>
        </w:rPr>
        <w:t>UNEP</w:t>
      </w:r>
      <w:r w:rsidRPr="00AC43B2">
        <w:rPr>
          <w:lang w:val="ru-RU"/>
        </w:rPr>
        <w:t>/</w:t>
      </w:r>
      <w:r>
        <w:rPr>
          <w:lang w:val="en-US"/>
        </w:rPr>
        <w:t>IPBES</w:t>
      </w:r>
      <w:r w:rsidRPr="00AC43B2">
        <w:rPr>
          <w:lang w:val="ru-RU"/>
        </w:rPr>
        <w:t>.</w:t>
      </w:r>
      <w:r>
        <w:rPr>
          <w:lang w:val="en-US"/>
        </w:rPr>
        <w:t>MI</w:t>
      </w:r>
      <w:r w:rsidRPr="00AC43B2">
        <w:rPr>
          <w:lang w:val="ru-RU"/>
        </w:rPr>
        <w:t>/2/9, приложение</w:t>
      </w:r>
      <w:r>
        <w:t> I</w:t>
      </w:r>
      <w:r w:rsidRPr="00AC43B2">
        <w:rPr>
          <w:lang w:val="ru-RU"/>
        </w:rPr>
        <w:t>, дополнение</w:t>
      </w:r>
      <w:r>
        <w:t> II</w:t>
      </w:r>
      <w:r w:rsidRPr="00AC43B2">
        <w:rPr>
          <w:lang w:val="ru-RU"/>
        </w:rPr>
        <w:t>) указывается, что вопросы членства и/или участия региональных организаций экономической интеграции остаются предметом обсуждения в целях их скорейшего урегулирования. В них указывается далее, что временно региональные организации экономической интеграции могут участвовать в качестве наблюдателей.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62380B">
    <w:pPr>
      <w:pStyle w:val="Header"/>
      <w:spacing w:after="120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2/1</w:t>
    </w:r>
    <w:r w:rsidR="0079249D">
      <w:rPr>
        <w:sz w:val="18"/>
        <w:szCs w:val="18"/>
        <w:lang w:val="en-US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A102AA">
    <w:pPr>
      <w:pStyle w:val="Header"/>
      <w:spacing w:after="120"/>
      <w:jc w:val="right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</w:t>
    </w:r>
    <w:r w:rsidRPr="0062380B">
      <w:rPr>
        <w:sz w:val="18"/>
        <w:szCs w:val="18"/>
        <w:lang w:val="en-US"/>
      </w:rPr>
      <w:t>1</w:t>
    </w:r>
    <w:r w:rsidR="0079249D">
      <w:rPr>
        <w:sz w:val="18"/>
        <w:szCs w:val="18"/>
        <w:lang w:val="en-US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BF5EDC" w:rsidRDefault="004E180E" w:rsidP="0062380B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C12"/>
    <w:multiLevelType w:val="hybridMultilevel"/>
    <w:tmpl w:val="F34EA48C"/>
    <w:lvl w:ilvl="0" w:tplc="C51C79C0">
      <w:start w:val="1"/>
      <w:numFmt w:val="upperRoman"/>
      <w:pStyle w:val="Heading1"/>
      <w:lvlText w:val="%1."/>
      <w:lvlJc w:val="left"/>
      <w:pPr>
        <w:tabs>
          <w:tab w:val="num" w:pos="1871"/>
        </w:tabs>
        <w:ind w:left="1247" w:firstLine="0"/>
      </w:pPr>
      <w:rPr>
        <w:rFonts w:hAnsi="Times New Roman Bold" w:hint="default"/>
        <w:b/>
        <w:i w:val="0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838"/>
    <w:multiLevelType w:val="multilevel"/>
    <w:tmpl w:val="73DEA2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pStyle w:val="Heading8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F"/>
    <w:rsid w:val="000050A4"/>
    <w:rsid w:val="00014DD8"/>
    <w:rsid w:val="0002592C"/>
    <w:rsid w:val="00071F60"/>
    <w:rsid w:val="000A73E9"/>
    <w:rsid w:val="000F67C1"/>
    <w:rsid w:val="000F799F"/>
    <w:rsid w:val="0010795B"/>
    <w:rsid w:val="0011549E"/>
    <w:rsid w:val="00175B68"/>
    <w:rsid w:val="00180CE2"/>
    <w:rsid w:val="00181A1C"/>
    <w:rsid w:val="00186FAA"/>
    <w:rsid w:val="001957CE"/>
    <w:rsid w:val="001F1892"/>
    <w:rsid w:val="0020102D"/>
    <w:rsid w:val="002012E7"/>
    <w:rsid w:val="002058FE"/>
    <w:rsid w:val="002B71C3"/>
    <w:rsid w:val="00302384"/>
    <w:rsid w:val="003307C8"/>
    <w:rsid w:val="003319F8"/>
    <w:rsid w:val="003508D2"/>
    <w:rsid w:val="003636B5"/>
    <w:rsid w:val="00364904"/>
    <w:rsid w:val="003C748F"/>
    <w:rsid w:val="00432B69"/>
    <w:rsid w:val="00447224"/>
    <w:rsid w:val="004C23D5"/>
    <w:rsid w:val="004E180E"/>
    <w:rsid w:val="004F44B7"/>
    <w:rsid w:val="005454AE"/>
    <w:rsid w:val="00553F69"/>
    <w:rsid w:val="00554DE5"/>
    <w:rsid w:val="005B52D5"/>
    <w:rsid w:val="005C0908"/>
    <w:rsid w:val="005C56A7"/>
    <w:rsid w:val="005F065F"/>
    <w:rsid w:val="005F63F1"/>
    <w:rsid w:val="0062201A"/>
    <w:rsid w:val="0062380B"/>
    <w:rsid w:val="00727303"/>
    <w:rsid w:val="007519BF"/>
    <w:rsid w:val="0079249D"/>
    <w:rsid w:val="007B0840"/>
    <w:rsid w:val="007B16F5"/>
    <w:rsid w:val="007D0EAE"/>
    <w:rsid w:val="007F7DB1"/>
    <w:rsid w:val="00875095"/>
    <w:rsid w:val="0088680D"/>
    <w:rsid w:val="008A352A"/>
    <w:rsid w:val="008B4255"/>
    <w:rsid w:val="008B5641"/>
    <w:rsid w:val="008B5797"/>
    <w:rsid w:val="008E35C8"/>
    <w:rsid w:val="008E57F8"/>
    <w:rsid w:val="009107EC"/>
    <w:rsid w:val="00940AD5"/>
    <w:rsid w:val="00945363"/>
    <w:rsid w:val="00993BDA"/>
    <w:rsid w:val="00A102AA"/>
    <w:rsid w:val="00A23F42"/>
    <w:rsid w:val="00A4755A"/>
    <w:rsid w:val="00A60904"/>
    <w:rsid w:val="00A6391A"/>
    <w:rsid w:val="00AB25CD"/>
    <w:rsid w:val="00AC43B2"/>
    <w:rsid w:val="00AD2430"/>
    <w:rsid w:val="00B513F1"/>
    <w:rsid w:val="00B54E4C"/>
    <w:rsid w:val="00B73E6C"/>
    <w:rsid w:val="00B76EFD"/>
    <w:rsid w:val="00B84389"/>
    <w:rsid w:val="00BF0698"/>
    <w:rsid w:val="00BF5EDC"/>
    <w:rsid w:val="00C333E2"/>
    <w:rsid w:val="00C44B44"/>
    <w:rsid w:val="00C5192F"/>
    <w:rsid w:val="00C60ACA"/>
    <w:rsid w:val="00C93C9A"/>
    <w:rsid w:val="00D63F9D"/>
    <w:rsid w:val="00DA5D89"/>
    <w:rsid w:val="00DE1A7C"/>
    <w:rsid w:val="00E524A3"/>
    <w:rsid w:val="00E7065F"/>
    <w:rsid w:val="00E717CD"/>
    <w:rsid w:val="00E9094C"/>
    <w:rsid w:val="00EC746F"/>
    <w:rsid w:val="00ED65C1"/>
    <w:rsid w:val="00EE71A1"/>
    <w:rsid w:val="00EF5623"/>
    <w:rsid w:val="00F550EE"/>
    <w:rsid w:val="00F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alloonText">
    <w:name w:val="Balloon Text"/>
    <w:basedOn w:val="Normal"/>
    <w:link w:val="BalloonTextChar"/>
    <w:rsid w:val="00945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36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alloonText">
    <w:name w:val="Balloon Text"/>
    <w:basedOn w:val="Normal"/>
    <w:link w:val="BalloonTextChar"/>
    <w:rsid w:val="00945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36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F310-EFDE-4483-BA6D-EFA44E9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UNEP/IPBES/2/10</vt:lpstr>
    </vt:vector>
  </TitlesOfParts>
  <Manager>RLU</Manager>
  <Company>UNON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UNEP/IPBES/2/10</dc:title>
  <dc:subject>Draft policy and procedures for the admission of observers</dc:subject>
  <dc:creator>DEPI</dc:creator>
  <cp:lastModifiedBy>Rohan Shanbhag</cp:lastModifiedBy>
  <cp:revision>2</cp:revision>
  <cp:lastPrinted>2008-10-07T10:43:00Z</cp:lastPrinted>
  <dcterms:created xsi:type="dcterms:W3CDTF">2013-11-26T07:09:00Z</dcterms:created>
  <dcterms:modified xsi:type="dcterms:W3CDTF">2013-11-26T07:09:00Z</dcterms:modified>
</cp:coreProperties>
</file>