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C76F58" w:rsidRPr="00104B2F" w:rsidTr="00530CD5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C76F58" w:rsidRPr="00104B2F" w:rsidRDefault="00C76F58" w:rsidP="00530CD5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6F58" w:rsidRDefault="00C76F58" w:rsidP="00530CD5">
            <w:pPr>
              <w:jc w:val="center"/>
              <w:rPr>
                <w:b/>
                <w:lang w:val="en-US"/>
              </w:rPr>
            </w:pPr>
          </w:p>
          <w:p w:rsidR="00C76F58" w:rsidRDefault="00C76F58" w:rsidP="00530CD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50B31C" wp14:editId="38F40EBE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F58" w:rsidRPr="00DB54BB" w:rsidRDefault="00C76F58" w:rsidP="00530CD5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E65323" wp14:editId="70101D75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3547171A" wp14:editId="034E1531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76F58" w:rsidRPr="00716334" w:rsidRDefault="00C76F58" w:rsidP="00530CD5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658FBCFC" wp14:editId="5651F4A0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C76F58" w:rsidRPr="00470A92" w:rsidRDefault="00C76F58" w:rsidP="00530CD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C76F58" w:rsidRPr="00A13843" w:rsidTr="00530CD5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C76F58" w:rsidRPr="00A13843" w:rsidRDefault="00C76F58" w:rsidP="00530CD5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C76F58" w:rsidRPr="00A13843" w:rsidRDefault="00C76F58" w:rsidP="00530CD5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C76F58" w:rsidRPr="00A13843" w:rsidRDefault="00C76F58" w:rsidP="00C76F58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>
              <w:t>5</w:t>
            </w:r>
            <w:r w:rsidRPr="00A13843">
              <w:t>/</w:t>
            </w:r>
            <w:r>
              <w:t>6</w:t>
            </w:r>
          </w:p>
        </w:tc>
      </w:tr>
      <w:tr w:rsidR="00C76F58" w:rsidRPr="00F4606C" w:rsidTr="00530CD5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C76F58" w:rsidRPr="00A13843" w:rsidRDefault="00C76F58" w:rsidP="00530CD5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122903E" wp14:editId="4604668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C76F58" w:rsidRPr="006A6DD6" w:rsidRDefault="00C76F58" w:rsidP="00530CD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C76F58" w:rsidRPr="001D17D5" w:rsidRDefault="00C76F58" w:rsidP="00530CD5">
            <w:pPr>
              <w:spacing w:before="120"/>
              <w:ind w:left="214"/>
              <w:rPr>
                <w:lang w:val="en-US"/>
              </w:rPr>
            </w:pPr>
            <w:proofErr w:type="spellStart"/>
            <w:r w:rsidRPr="00A13843">
              <w:t>Distr</w:t>
            </w:r>
            <w:proofErr w:type="spellEnd"/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 December 2016</w:t>
            </w:r>
          </w:p>
          <w:p w:rsidR="00C76F58" w:rsidRPr="001D17D5" w:rsidRDefault="00C76F58" w:rsidP="00530CD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C76F58" w:rsidRPr="001D17D5" w:rsidRDefault="00C76F58" w:rsidP="00530CD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C76F58" w:rsidRPr="000F7E19" w:rsidRDefault="00C76F58" w:rsidP="00C76F58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C76F58" w:rsidRDefault="00C76F58" w:rsidP="00C76F58">
      <w:pPr>
        <w:rPr>
          <w:b/>
          <w:lang w:val="ru-RU"/>
        </w:rPr>
      </w:pPr>
      <w:r>
        <w:rPr>
          <w:b/>
          <w:lang w:val="ru-RU"/>
        </w:rPr>
        <w:t>Пятая</w:t>
      </w:r>
      <w:r w:rsidRPr="000F7E19">
        <w:rPr>
          <w:b/>
          <w:lang w:val="ru-RU"/>
        </w:rPr>
        <w:t xml:space="preserve"> сессия</w:t>
      </w:r>
    </w:p>
    <w:p w:rsidR="00C76F58" w:rsidRPr="00F45609" w:rsidRDefault="00C76F58" w:rsidP="00C76F58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Pr="00F12111">
        <w:rPr>
          <w:szCs w:val="22"/>
          <w:lang w:val="ru-RU"/>
        </w:rPr>
        <w:t>7</w:t>
      </w:r>
      <w:r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B95A31" w:rsidRPr="00B95A31" w:rsidRDefault="00B95A31" w:rsidP="00C76F58">
      <w:pPr>
        <w:spacing w:after="60"/>
        <w:rPr>
          <w:lang w:val="ru-RU"/>
        </w:rPr>
      </w:pPr>
      <w:r w:rsidRPr="00B95A31">
        <w:rPr>
          <w:lang w:val="ru-RU"/>
        </w:rPr>
        <w:t>Пункты 6 d), e) и f</w:t>
      </w:r>
      <w:r w:rsidRPr="003165EC">
        <w:rPr>
          <w:lang w:val="ru-RU"/>
        </w:rPr>
        <w:t>) предварительной повестки дня</w:t>
      </w:r>
      <w:r w:rsidR="008C0D0E" w:rsidRPr="003165EC">
        <w:rPr>
          <w:lang w:val="ru-RU"/>
        </w:rPr>
        <w:footnoteReference w:id="1"/>
      </w:r>
    </w:p>
    <w:p w:rsidR="00B95A31" w:rsidRPr="00B95A31" w:rsidRDefault="00B95A31" w:rsidP="00B95A31">
      <w:pPr>
        <w:spacing w:after="120"/>
        <w:ind w:right="1701"/>
        <w:rPr>
          <w:b/>
          <w:lang w:val="ru-RU"/>
        </w:rPr>
      </w:pPr>
      <w:r w:rsidRPr="00B95A31">
        <w:rPr>
          <w:b/>
          <w:lang w:val="ru-RU"/>
        </w:rPr>
        <w:t>Программа работы Платформы: методологическая оценка различной концептуализации разнообразных ценностей природы и ее благ; тематическая оценка инвазивных чужеродных видов; тематическая оценка устойчивого использования биоразнообразия</w:t>
      </w:r>
    </w:p>
    <w:p w:rsidR="00B95A31" w:rsidRPr="00B95A31" w:rsidRDefault="00B95A31" w:rsidP="00B95A31">
      <w:pPr>
        <w:spacing w:before="360" w:after="240"/>
        <w:ind w:left="1247"/>
        <w:rPr>
          <w:b/>
          <w:sz w:val="28"/>
          <w:lang w:val="ru-RU"/>
        </w:rPr>
      </w:pPr>
      <w:r w:rsidRPr="00B95A31">
        <w:rPr>
          <w:b/>
          <w:sz w:val="28"/>
          <w:lang w:val="ru-RU"/>
        </w:rPr>
        <w:t>Соображения, касающиеся проведения двух тематических оценок и одной методологической</w:t>
      </w:r>
      <w:r w:rsidR="00502D5C">
        <w:rPr>
          <w:b/>
          <w:sz w:val="28"/>
          <w:lang w:val="ru-RU"/>
        </w:rPr>
        <w:t xml:space="preserve"> оценки (результаты 3 b) </w:t>
      </w:r>
      <w:proofErr w:type="spellStart"/>
      <w:r w:rsidR="00502D5C">
        <w:rPr>
          <w:b/>
          <w:sz w:val="28"/>
          <w:lang w:val="ru-RU"/>
        </w:rPr>
        <w:t>ii</w:t>
      </w:r>
      <w:proofErr w:type="spellEnd"/>
      <w:r w:rsidR="00502D5C">
        <w:rPr>
          <w:b/>
          <w:sz w:val="28"/>
          <w:lang w:val="ru-RU"/>
        </w:rPr>
        <w:t xml:space="preserve">), </w:t>
      </w:r>
      <w:bookmarkStart w:id="0" w:name="_GoBack"/>
      <w:bookmarkEnd w:id="0"/>
      <w:proofErr w:type="gramStart"/>
      <w:r w:rsidR="00502D5C">
        <w:rPr>
          <w:b/>
          <w:sz w:val="28"/>
          <w:lang w:val="ru-RU"/>
        </w:rPr>
        <w:t>3 </w:t>
      </w:r>
      <w:r w:rsidRPr="00B95A31">
        <w:rPr>
          <w:b/>
          <w:sz w:val="28"/>
          <w:lang w:val="ru-RU"/>
        </w:rPr>
        <w:t xml:space="preserve">b) </w:t>
      </w:r>
      <w:proofErr w:type="spellStart"/>
      <w:r w:rsidRPr="00B95A31">
        <w:rPr>
          <w:b/>
          <w:sz w:val="28"/>
          <w:lang w:val="ru-RU"/>
        </w:rPr>
        <w:t>iii</w:t>
      </w:r>
      <w:proofErr w:type="spellEnd"/>
      <w:r w:rsidRPr="00B95A31">
        <w:rPr>
          <w:b/>
          <w:sz w:val="28"/>
          <w:lang w:val="ru-RU"/>
        </w:rPr>
        <w:t>) и 3 d))</w:t>
      </w:r>
      <w:proofErr w:type="gramEnd"/>
    </w:p>
    <w:p w:rsidR="00B95A31" w:rsidRPr="00B95A31" w:rsidRDefault="00B95A31" w:rsidP="00B95A31">
      <w:pPr>
        <w:spacing w:after="120"/>
        <w:ind w:left="1248"/>
        <w:rPr>
          <w:b/>
          <w:sz w:val="24"/>
          <w:lang w:val="ru-RU"/>
        </w:rPr>
      </w:pPr>
      <w:r w:rsidRPr="00B95A31">
        <w:rPr>
          <w:b/>
          <w:sz w:val="24"/>
          <w:lang w:val="ru-RU"/>
        </w:rPr>
        <w:t xml:space="preserve">Записка секретариата </w:t>
      </w:r>
    </w:p>
    <w:p w:rsidR="00B95A31" w:rsidRPr="00B95A31" w:rsidRDefault="00B95A31" w:rsidP="00B95A31">
      <w:pPr>
        <w:spacing w:after="120"/>
        <w:ind w:left="1248"/>
        <w:rPr>
          <w:b/>
          <w:sz w:val="28"/>
          <w:lang w:val="ru-RU"/>
        </w:rPr>
      </w:pPr>
      <w:r w:rsidRPr="00B95A31">
        <w:rPr>
          <w:b/>
          <w:sz w:val="28"/>
          <w:lang w:val="ru-RU"/>
        </w:rPr>
        <w:t>Введение</w:t>
      </w:r>
    </w:p>
    <w:p w:rsidR="00B95A31" w:rsidRPr="00B95A31" w:rsidRDefault="007D6571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1.</w:t>
      </w:r>
      <w:r w:rsidRPr="003165EC">
        <w:rPr>
          <w:lang w:val="ru-RU"/>
        </w:rPr>
        <w:tab/>
      </w:r>
      <w:proofErr w:type="gramStart"/>
      <w:r w:rsidR="00B95A31" w:rsidRPr="00B95A31">
        <w:rPr>
          <w:lang w:val="ru-RU"/>
        </w:rPr>
        <w:t>В решении МПБЭУ-4/1 Пленум Межправительственной научно-политической платформы по биоразнообразию и экосистемным услугам (МПБЭУ) одобрил доклад об аналитическом исследовании для тематической оценки инвазивных чужеродных видов и борьбы с ними, изложенный в приложении III к указанному решению, и доклад об аналитическом исследовании для методологической оценки различной концептуализации разнообразных ценностей природы и ее благ, изложенный в приложении VI к решению, и постановил</w:t>
      </w:r>
      <w:proofErr w:type="gramEnd"/>
      <w:r w:rsidR="00B95A31" w:rsidRPr="00B95A31">
        <w:rPr>
          <w:lang w:val="ru-RU"/>
        </w:rPr>
        <w:t xml:space="preserve"> рассмотреть вопрос о проведении этих оценок на его пятой сессии. </w:t>
      </w:r>
    </w:p>
    <w:p w:rsidR="00B95A31" w:rsidRPr="00B95A31" w:rsidRDefault="007D6571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2.</w:t>
      </w:r>
      <w:r w:rsidRPr="003165EC">
        <w:rPr>
          <w:lang w:val="ru-RU"/>
        </w:rPr>
        <w:tab/>
        <w:t xml:space="preserve">В </w:t>
      </w:r>
      <w:r w:rsidR="00B95A31" w:rsidRPr="00B95A31">
        <w:rPr>
          <w:lang w:val="ru-RU"/>
        </w:rPr>
        <w:t xml:space="preserve">том же решении Пленум поручил Многодисциплинарной группе экспертов в консультации с Бюро провести дальнейшее аналитическое исследование для тематической оценки устойчивого использования биоразнообразия в соответствии с процедурами подготовки итоговых материалов Платформы. Пересмотренный доклад об аналитическом исследовании для тематической оценки устойчивого использования биоразнообразия (IPBES/5/7) имеется у Пленума для его одобрения и для содействия рассмотрению вопроса о проведении оценки. </w:t>
      </w:r>
    </w:p>
    <w:p w:rsidR="00B95A31" w:rsidRPr="00B95A31" w:rsidRDefault="007D6571" w:rsidP="007D6571">
      <w:pPr>
        <w:spacing w:after="240"/>
        <w:ind w:left="1247"/>
        <w:rPr>
          <w:lang w:val="ru-RU"/>
        </w:rPr>
      </w:pPr>
      <w:r w:rsidRPr="003165EC">
        <w:rPr>
          <w:lang w:val="ru-RU"/>
        </w:rPr>
        <w:t>3.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На его пятой сессии Пленуму будет предложено рассмотреть вопрос о проведении трех вышеупомянутых оценок. В настоящей записке приводится справочная информация о продолжительности, сроках и очередности проведения трех оценок, а также о финансовых вопросах.</w:t>
      </w:r>
    </w:p>
    <w:p w:rsidR="00B95A31" w:rsidRPr="00B95A31" w:rsidRDefault="00B95A31" w:rsidP="007D6571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B95A31">
        <w:rPr>
          <w:lang w:val="ru-RU"/>
        </w:rPr>
        <w:tab/>
      </w:r>
      <w:r w:rsidRPr="00B95A31">
        <w:rPr>
          <w:b/>
          <w:sz w:val="28"/>
          <w:lang w:val="ru-RU"/>
        </w:rPr>
        <w:t>I</w:t>
      </w:r>
      <w:r w:rsidR="007D6571" w:rsidRPr="003165EC">
        <w:rPr>
          <w:b/>
          <w:sz w:val="28"/>
          <w:lang w:val="ru-RU"/>
        </w:rPr>
        <w:t>.</w:t>
      </w:r>
      <w:r w:rsidR="007D6571" w:rsidRPr="003165EC">
        <w:rPr>
          <w:b/>
          <w:sz w:val="28"/>
          <w:lang w:val="ru-RU"/>
        </w:rPr>
        <w:tab/>
        <w:t>Соображения,</w:t>
      </w:r>
      <w:r w:rsidRPr="00B95A31">
        <w:rPr>
          <w:b/>
          <w:sz w:val="28"/>
          <w:lang w:val="ru-RU"/>
        </w:rPr>
        <w:t xml:space="preserve"> касающиеся продолжительности, сроков и очередности проведения оценок</w:t>
      </w:r>
    </w:p>
    <w:p w:rsidR="00B95A31" w:rsidRPr="00B95A31" w:rsidRDefault="007D6571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4.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 xml:space="preserve">Бюро предлагает провести методологическую оценку различной концептуализации разнообразных ценностей природы и ее благ за трехлетний период, а не за двухлетний, как предлагалось изначально. Это предложение учитывает опыт проведения двух завершенных оценок и направлено на то, чтобы предусмотреть достаточно времени для требуемой работы. С </w:t>
      </w:r>
      <w:r w:rsidR="00B95A31" w:rsidRPr="00B95A31">
        <w:rPr>
          <w:lang w:val="ru-RU"/>
        </w:rPr>
        <w:lastRenderedPageBreak/>
        <w:t>учетом этого изменения каждая из трех рассматриваемых оценок будет проводиться в течение трехлетнего периода.</w:t>
      </w:r>
    </w:p>
    <w:p w:rsidR="00B95A31" w:rsidRPr="00B95A31" w:rsidRDefault="003E3BB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5.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 xml:space="preserve">При принятии решения о проведении иных новых оценок Пленум, возможно, пожелает принять к сведению потенциальную потребность в одном дополнительном штатном сотруднике секретариата, если на 2017 или 2018 годы будет запланировано начало более чем одной новой оценки (см. IPBES/5/10). </w:t>
      </w:r>
    </w:p>
    <w:p w:rsidR="00B95A31" w:rsidRPr="00B95A31" w:rsidRDefault="003E3BB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6.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 xml:space="preserve">Применительно к срокам проведения этих трех оценок, Пленум, возможно, пожелает рассмотреть вариант их осуществления по очереди и/или переноса части или их всех в следующую программу работы. </w:t>
      </w:r>
      <w:proofErr w:type="gramStart"/>
      <w:r w:rsidR="00B95A31" w:rsidRPr="00B95A31">
        <w:rPr>
          <w:lang w:val="ru-RU"/>
        </w:rPr>
        <w:t xml:space="preserve">Даже при условии наличия финансовых средств, начало выполнения трех новых оценок в схожие сроки, несомненно, приведет в предстоящие годы к неприемлемой перегрузке для всех заинтересованных сторон, включая </w:t>
      </w:r>
      <w:r w:rsidR="00F14DB5">
        <w:rPr>
          <w:lang w:val="ru-RU"/>
        </w:rPr>
        <w:t>исчерпание</w:t>
      </w:r>
      <w:r w:rsidR="00B95A31" w:rsidRPr="00B95A31">
        <w:rPr>
          <w:lang w:val="ru-RU"/>
        </w:rPr>
        <w:t xml:space="preserve"> потенциала правительств по назначению экспертов, представлению замечаний и рассмотрению этих оценок на будущих сессиях Пленума с учетом продолжения работы по шести проводимым оценкам;</w:t>
      </w:r>
      <w:proofErr w:type="gramEnd"/>
      <w:r w:rsidR="00B95A31" w:rsidRPr="00B95A31">
        <w:rPr>
          <w:lang w:val="ru-RU"/>
        </w:rPr>
        <w:t xml:space="preserve"> </w:t>
      </w:r>
      <w:r w:rsidR="00F14DB5">
        <w:rPr>
          <w:lang w:val="ru-RU"/>
        </w:rPr>
        <w:t>исчерпание</w:t>
      </w:r>
      <w:r w:rsidR="00B95A31" w:rsidRPr="00B95A31">
        <w:rPr>
          <w:lang w:val="ru-RU"/>
        </w:rPr>
        <w:t xml:space="preserve"> потенциала сообщества экспертов по реагированию на потребности Пленума и выполнения необходимой работы; серьезную трудность для членов Многодисциплинарной группы экспертов и Бюро в сфере осуществления руководства работой МПБЭУ и надзора за ней.</w:t>
      </w:r>
    </w:p>
    <w:p w:rsidR="00B95A31" w:rsidRPr="00B95A31" w:rsidRDefault="003E3BB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7.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 xml:space="preserve">Начало проведения методологических оценок в рамках первой программы работы МПБЭУ было запланировано на ранние этапы осуществления программы в целях </w:t>
      </w:r>
      <w:r w:rsidR="00F14DB5">
        <w:rPr>
          <w:lang w:val="ru-RU"/>
        </w:rPr>
        <w:t xml:space="preserve">обеспечения </w:t>
      </w:r>
      <w:r w:rsidR="00B95A31" w:rsidRPr="00B95A31">
        <w:rPr>
          <w:lang w:val="ru-RU"/>
        </w:rPr>
        <w:t>информ</w:t>
      </w:r>
      <w:r w:rsidR="00F14DB5">
        <w:rPr>
          <w:lang w:val="ru-RU"/>
        </w:rPr>
        <w:t>ации</w:t>
      </w:r>
      <w:r w:rsidR="00B95A31" w:rsidRPr="00B95A31">
        <w:rPr>
          <w:lang w:val="ru-RU"/>
        </w:rPr>
        <w:t xml:space="preserve"> и поддержки </w:t>
      </w:r>
      <w:r w:rsidR="00F14DB5">
        <w:rPr>
          <w:lang w:val="ru-RU"/>
        </w:rPr>
        <w:t xml:space="preserve">для </w:t>
      </w:r>
      <w:r w:rsidR="00B95A31" w:rsidRPr="00B95A31">
        <w:rPr>
          <w:lang w:val="ru-RU"/>
        </w:rPr>
        <w:t xml:space="preserve">других оценок и иной работы МПБЭУ. В связи с этим Пленум, возможно, пожелает рассмотреть вопрос о начале </w:t>
      </w:r>
      <w:proofErr w:type="gramStart"/>
      <w:r w:rsidR="00B95A31" w:rsidRPr="00B95A31">
        <w:rPr>
          <w:lang w:val="ru-RU"/>
        </w:rPr>
        <w:t>проведения методологической оценки различной концептуализации разнообразных ценностей при</w:t>
      </w:r>
      <w:r w:rsidR="009446A0">
        <w:rPr>
          <w:lang w:val="ru-RU"/>
        </w:rPr>
        <w:t>роды</w:t>
      </w:r>
      <w:proofErr w:type="gramEnd"/>
      <w:r w:rsidR="009446A0">
        <w:rPr>
          <w:lang w:val="ru-RU"/>
        </w:rPr>
        <w:t xml:space="preserve"> и ее благ в первую очередь.</w:t>
      </w:r>
      <w:r w:rsidR="00B95A31" w:rsidRPr="00B95A31">
        <w:rPr>
          <w:lang w:val="ru-RU"/>
        </w:rPr>
        <w:t xml:space="preserve"> Эта оценка будет опираться на работу группы экспертов по вопросам ценностей, созданной в соответствии с решением МПБЭУ-4/1. Группа технической поддержки, которая уже существует в Институте исследований по вопросам экосистем и устойчивости Национального автономного университета Мексики в целях оказания поддержки группе экспертов, может также оказывать поддержку для методологической оценки, обеспечив тем самым оперативное и эффективное начало ее проведения.</w:t>
      </w:r>
    </w:p>
    <w:p w:rsidR="00B95A31" w:rsidRPr="00B95A31" w:rsidRDefault="003E3BBA" w:rsidP="003E3BBA">
      <w:pPr>
        <w:spacing w:after="240"/>
        <w:ind w:left="1247"/>
        <w:rPr>
          <w:lang w:val="ru-RU"/>
        </w:rPr>
      </w:pPr>
      <w:r w:rsidRPr="003165EC">
        <w:rPr>
          <w:lang w:val="ru-RU"/>
        </w:rPr>
        <w:t>8.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Если Пленум принимает решение не начинать проведение каких-либо новых оценок в 2017 или 2018 году, он, возможно, пожелает обсудить три вышеупомянутых оценки в контексте подготовки своей второй программы работы.</w:t>
      </w:r>
    </w:p>
    <w:p w:rsidR="00B95A31" w:rsidRPr="00B95A31" w:rsidRDefault="00B95A31" w:rsidP="003E3BBA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B95A31">
        <w:rPr>
          <w:b/>
          <w:sz w:val="28"/>
          <w:lang w:val="ru-RU"/>
        </w:rPr>
        <w:tab/>
        <w:t>II.</w:t>
      </w:r>
      <w:r w:rsidRPr="00B95A31">
        <w:rPr>
          <w:b/>
          <w:sz w:val="28"/>
          <w:lang w:val="ru-RU"/>
        </w:rPr>
        <w:tab/>
        <w:t>Соображения финансового характера</w:t>
      </w:r>
    </w:p>
    <w:p w:rsidR="00B95A31" w:rsidRPr="00B95A31" w:rsidRDefault="003E3BB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9.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Расходы по каждой из трех оценок будут схожими.</w:t>
      </w:r>
    </w:p>
    <w:p w:rsidR="00B95A31" w:rsidRPr="00B95A31" w:rsidRDefault="003E3BB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10.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 xml:space="preserve">На своей четвертой сессии Пленум принял к сведению предлагаемый бюджет на 2018 и 2019 годы, который включает ориентировочную сумму 800 000 долл. США на каждую из оценок ценностей и инвазивных чужеродных видов, и отсутствие финансирования для оценки устойчивого использования биоразнообразия. Этой суммой обеспечивается участие всего лишь 50 экспертов, или примерно по шесть экспертов на каждую главу, что считается недостаточным и что не позволит провести в полной мере представительное второе совещание авторов, как указано в подпункте 11 b) ниже. </w:t>
      </w:r>
    </w:p>
    <w:p w:rsidR="00B95A31" w:rsidRPr="00B95A31" w:rsidRDefault="003E3BB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11.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Исходя из имеющегося опыта, Бюро предлагает увеличить бюджет для каждой из трех оценок до 997 000 долл. США по следующим причинам:</w:t>
      </w:r>
    </w:p>
    <w:p w:rsidR="00B95A31" w:rsidRPr="00B95A31" w:rsidRDefault="003E3BBA" w:rsidP="003E3BBA">
      <w:pPr>
        <w:spacing w:after="120"/>
        <w:ind w:left="1247" w:firstLine="624"/>
        <w:rPr>
          <w:lang w:val="ru-RU"/>
        </w:rPr>
      </w:pPr>
      <w:r w:rsidRPr="003165EC">
        <w:rPr>
          <w:lang w:val="ru-RU"/>
        </w:rPr>
        <w:t>a)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восемь экспертов на каждую главу считается минимальным числом, необходимым для обеспечения достаточного разнообразия экспертных знаний и мнений в каждой главе и разделения большого объема работы между экспертами;</w:t>
      </w:r>
    </w:p>
    <w:p w:rsidR="00B95A31" w:rsidRPr="00B95A31" w:rsidRDefault="003E3BBA" w:rsidP="003E3BBA">
      <w:pPr>
        <w:spacing w:after="120"/>
        <w:ind w:left="1247" w:firstLine="624"/>
        <w:rPr>
          <w:lang w:val="ru-RU"/>
        </w:rPr>
      </w:pPr>
      <w:r w:rsidRPr="003165EC">
        <w:rPr>
          <w:lang w:val="ru-RU"/>
        </w:rPr>
        <w:t>b)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 xml:space="preserve">проведение трех в полной мере представительных совещаний авторов с участием ведущих авторов вместо двух таких совещаний считается одним из ключевых критериев успеха, с </w:t>
      </w:r>
      <w:proofErr w:type="gramStart"/>
      <w:r w:rsidR="00B95A31" w:rsidRPr="00B95A31">
        <w:rPr>
          <w:lang w:val="ru-RU"/>
        </w:rPr>
        <w:t>тем</w:t>
      </w:r>
      <w:proofErr w:type="gramEnd"/>
      <w:r w:rsidR="00B95A31" w:rsidRPr="00B95A31">
        <w:rPr>
          <w:lang w:val="ru-RU"/>
        </w:rPr>
        <w:t xml:space="preserve"> чтобы обеспечить полную интеграцию и вовлеченность ведущих авторов в течение трехлетнего процесса; </w:t>
      </w:r>
    </w:p>
    <w:p w:rsidR="00B95A31" w:rsidRPr="00B95A31" w:rsidRDefault="003E3BBA" w:rsidP="003E3BBA">
      <w:pPr>
        <w:spacing w:after="120"/>
        <w:ind w:left="1247" w:firstLine="624"/>
        <w:rPr>
          <w:lang w:val="ru-RU"/>
        </w:rPr>
      </w:pPr>
      <w:proofErr w:type="gramStart"/>
      <w:r w:rsidRPr="003165EC">
        <w:rPr>
          <w:lang w:val="ru-RU"/>
        </w:rPr>
        <w:t>c)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сохранение открытыми групп технической поддержки в течение как минимум трех месяцев после закрытия пятой сессии Пленума, а не до закрытия пятой сессии, как это предусмотрено в бюджете в настоящее время, также считается определяющим фактором для обеспечения подготовки окончательного варианта доклада об оценке и размещения замечаний к нему на веб-сайте МПБЭУ;</w:t>
      </w:r>
      <w:proofErr w:type="gramEnd"/>
      <w:r w:rsidR="00B95A31" w:rsidRPr="00B95A31">
        <w:rPr>
          <w:lang w:val="ru-RU"/>
        </w:rPr>
        <w:t xml:space="preserve"> для координации процесса подготовки и представления соответствующих публикаций; и для осуществления других мероприятий по распространению информации и информационно-пропагандистской деятельности. </w:t>
      </w:r>
    </w:p>
    <w:p w:rsidR="00B95A31" w:rsidRPr="00B95A31" w:rsidRDefault="00C8664A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lastRenderedPageBreak/>
        <w:t>12.</w:t>
      </w:r>
      <w:r w:rsidRPr="003165EC">
        <w:rPr>
          <w:lang w:val="ru-RU"/>
        </w:rPr>
        <w:tab/>
      </w:r>
      <w:r w:rsidR="001F22F5" w:rsidRPr="003165EC">
        <w:rPr>
          <w:lang w:val="ru-RU"/>
        </w:rPr>
        <w:t>Т</w:t>
      </w:r>
      <w:r w:rsidR="00B95A31" w:rsidRPr="00B95A31">
        <w:rPr>
          <w:lang w:val="ru-RU"/>
        </w:rPr>
        <w:t>иповой бюджет, применимый для любой из этих трех оценок, приводится в нижеследующей таблице. В типовом бюджете учитываются вышеупомянутые факторы и следующие предположения:</w:t>
      </w:r>
    </w:p>
    <w:p w:rsidR="00B95A31" w:rsidRPr="00B95A31" w:rsidRDefault="00C8664A" w:rsidP="00C8664A">
      <w:pPr>
        <w:spacing w:after="120"/>
        <w:ind w:left="1247" w:firstLine="624"/>
        <w:rPr>
          <w:lang w:val="ru-RU"/>
        </w:rPr>
      </w:pPr>
      <w:r w:rsidRPr="003165EC">
        <w:rPr>
          <w:lang w:val="ru-RU"/>
        </w:rPr>
        <w:t>a)</w:t>
      </w:r>
      <w:r w:rsidRPr="003165EC">
        <w:rPr>
          <w:lang w:val="ru-RU"/>
        </w:rPr>
        <w:tab/>
        <w:t xml:space="preserve">каждая </w:t>
      </w:r>
      <w:r w:rsidR="00B95A31" w:rsidRPr="00B95A31">
        <w:rPr>
          <w:lang w:val="ru-RU"/>
        </w:rPr>
        <w:t>оценка проводится в течение трехлетнего периода;</w:t>
      </w:r>
    </w:p>
    <w:p w:rsidR="00B95A31" w:rsidRPr="00B95A31" w:rsidRDefault="00C8664A" w:rsidP="00C8664A">
      <w:pPr>
        <w:spacing w:after="120"/>
        <w:ind w:left="1247" w:firstLine="624"/>
        <w:rPr>
          <w:lang w:val="ru-RU"/>
        </w:rPr>
      </w:pPr>
      <w:r w:rsidRPr="003165EC">
        <w:rPr>
          <w:lang w:val="ru-RU"/>
        </w:rPr>
        <w:t>b)</w:t>
      </w:r>
      <w:r w:rsidRPr="003165EC">
        <w:rPr>
          <w:lang w:val="ru-RU"/>
        </w:rPr>
        <w:tab/>
        <w:t xml:space="preserve">каждая </w:t>
      </w:r>
      <w:r w:rsidR="00B95A31" w:rsidRPr="00B95A31">
        <w:rPr>
          <w:lang w:val="ru-RU"/>
        </w:rPr>
        <w:t>оценка включает три в полной мере представительных совещания авторов с участием ведущих авторов в каждом из этих совещаний;</w:t>
      </w:r>
    </w:p>
    <w:p w:rsidR="00B95A31" w:rsidRPr="00B95A31" w:rsidRDefault="00C8664A" w:rsidP="00C8664A">
      <w:pPr>
        <w:spacing w:after="240"/>
        <w:ind w:left="1247" w:firstLine="624"/>
        <w:rPr>
          <w:lang w:val="ru-RU"/>
        </w:rPr>
      </w:pPr>
      <w:r w:rsidRPr="003165EC">
        <w:rPr>
          <w:lang w:val="ru-RU"/>
        </w:rPr>
        <w:t>c)</w:t>
      </w:r>
      <w:r w:rsidRPr="003165EC">
        <w:rPr>
          <w:lang w:val="ru-RU"/>
        </w:rPr>
        <w:tab/>
        <w:t xml:space="preserve">каждая </w:t>
      </w:r>
      <w:r w:rsidR="00B95A31" w:rsidRPr="00B95A31">
        <w:rPr>
          <w:lang w:val="ru-RU"/>
        </w:rPr>
        <w:t>оценка включает в общей сложности 62</w:t>
      </w:r>
      <w:r w:rsidR="00E219C1" w:rsidRPr="003165EC">
        <w:rPr>
          <w:lang w:val="ru-RU"/>
        </w:rPr>
        <w:t xml:space="preserve"> эксперта (2 сопредседателя, 12 </w:t>
      </w:r>
      <w:r w:rsidR="00B95A31" w:rsidRPr="00B95A31">
        <w:rPr>
          <w:lang w:val="ru-RU"/>
        </w:rPr>
        <w:t>ведущих авторов-координаторов, 36 ведущих авторов и 12 редакторов-рецензентов), или примерно по 8 экспертов на каждую главу, из которых 75 процентов поддерживаются за счет средств целевого фонда.</w:t>
      </w:r>
    </w:p>
    <w:p w:rsidR="00B95A31" w:rsidRPr="00B95A31" w:rsidRDefault="00B95A31" w:rsidP="00C8664A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B95A31">
        <w:rPr>
          <w:b/>
          <w:sz w:val="28"/>
          <w:lang w:val="ru-RU"/>
        </w:rPr>
        <w:tab/>
        <w:t>III.</w:t>
      </w:r>
      <w:r w:rsidRPr="00B95A31">
        <w:rPr>
          <w:b/>
          <w:sz w:val="28"/>
          <w:lang w:val="ru-RU"/>
        </w:rPr>
        <w:tab/>
        <w:t>Меры, предлагаемые для принятия Пленумом</w:t>
      </w:r>
    </w:p>
    <w:p w:rsidR="00B95A31" w:rsidRPr="00B95A31" w:rsidRDefault="00E219C1" w:rsidP="00B95A31">
      <w:pPr>
        <w:spacing w:after="120"/>
        <w:ind w:left="1248"/>
        <w:rPr>
          <w:lang w:val="ru-RU"/>
        </w:rPr>
      </w:pPr>
      <w:r w:rsidRPr="003165EC">
        <w:rPr>
          <w:lang w:val="ru-RU"/>
        </w:rPr>
        <w:t>13.</w:t>
      </w:r>
      <w:r w:rsidRPr="003165EC">
        <w:rPr>
          <w:lang w:val="ru-RU"/>
        </w:rPr>
        <w:tab/>
      </w:r>
      <w:r w:rsidR="00B95A31" w:rsidRPr="00B95A31">
        <w:rPr>
          <w:lang w:val="ru-RU"/>
        </w:rPr>
        <w:t>Пленум, возможно, пожелает рассмотреть:</w:t>
      </w:r>
    </w:p>
    <w:p w:rsidR="00B95A31" w:rsidRPr="00B95A31" w:rsidRDefault="00E219C1" w:rsidP="00E219C1">
      <w:pPr>
        <w:spacing w:after="120"/>
        <w:ind w:left="1247" w:firstLine="624"/>
        <w:rPr>
          <w:lang w:val="ru-RU"/>
        </w:rPr>
      </w:pPr>
      <w:proofErr w:type="gramStart"/>
      <w:r w:rsidRPr="003165EC">
        <w:rPr>
          <w:lang w:val="ru-RU"/>
        </w:rPr>
        <w:t>a)</w:t>
      </w:r>
      <w:r w:rsidRPr="003165EC">
        <w:rPr>
          <w:lang w:val="ru-RU"/>
        </w:rPr>
        <w:tab/>
      </w:r>
      <w:r w:rsidR="00BF5801" w:rsidRPr="00B95A31">
        <w:rPr>
          <w:lang w:val="ru-RU"/>
        </w:rPr>
        <w:t xml:space="preserve">вопрос </w:t>
      </w:r>
      <w:r w:rsidR="00B95A31" w:rsidRPr="00B95A31">
        <w:rPr>
          <w:lang w:val="ru-RU"/>
        </w:rPr>
        <w:t xml:space="preserve">о продолжительности и бюджете двух тематических оценок и одной методологической оценки (результаты 3 b) </w:t>
      </w:r>
      <w:proofErr w:type="spellStart"/>
      <w:r w:rsidR="00B95A31" w:rsidRPr="00B95A31">
        <w:rPr>
          <w:lang w:val="ru-RU"/>
        </w:rPr>
        <w:t>ii</w:t>
      </w:r>
      <w:proofErr w:type="spellEnd"/>
      <w:r w:rsidR="00B95A31" w:rsidRPr="00B95A31">
        <w:rPr>
          <w:lang w:val="ru-RU"/>
        </w:rPr>
        <w:t xml:space="preserve">), 3 b) </w:t>
      </w:r>
      <w:proofErr w:type="spellStart"/>
      <w:r w:rsidR="00B95A31" w:rsidRPr="00B95A31">
        <w:rPr>
          <w:lang w:val="ru-RU"/>
        </w:rPr>
        <w:t>iii</w:t>
      </w:r>
      <w:proofErr w:type="spellEnd"/>
      <w:r w:rsidR="00B95A31" w:rsidRPr="00B95A31">
        <w:rPr>
          <w:lang w:val="ru-RU"/>
        </w:rPr>
        <w:t>) и 3 d))</w:t>
      </w:r>
      <w:r w:rsidR="004C0FEA">
        <w:rPr>
          <w:lang w:val="ru-RU"/>
        </w:rPr>
        <w:t>;</w:t>
      </w:r>
      <w:proofErr w:type="gramEnd"/>
    </w:p>
    <w:p w:rsidR="00B95A31" w:rsidRPr="00B95A31" w:rsidRDefault="00E219C1" w:rsidP="00E219C1">
      <w:pPr>
        <w:spacing w:after="120"/>
        <w:ind w:left="1247" w:firstLine="624"/>
        <w:rPr>
          <w:lang w:val="ru-RU"/>
        </w:rPr>
      </w:pPr>
      <w:r w:rsidRPr="003165EC">
        <w:rPr>
          <w:lang w:val="ru-RU"/>
        </w:rPr>
        <w:t>b)</w:t>
      </w:r>
      <w:r w:rsidRPr="003165EC">
        <w:rPr>
          <w:lang w:val="ru-RU"/>
        </w:rPr>
        <w:tab/>
      </w:r>
      <w:r w:rsidR="00BF5801" w:rsidRPr="00B95A31">
        <w:rPr>
          <w:lang w:val="ru-RU"/>
        </w:rPr>
        <w:t xml:space="preserve">сроки </w:t>
      </w:r>
      <w:r w:rsidR="00B95A31" w:rsidRPr="00B95A31">
        <w:rPr>
          <w:lang w:val="ru-RU"/>
        </w:rPr>
        <w:t>начал</w:t>
      </w:r>
      <w:r w:rsidR="004C0FEA">
        <w:rPr>
          <w:lang w:val="ru-RU"/>
        </w:rPr>
        <w:t>а</w:t>
      </w:r>
      <w:r w:rsidR="00B95A31" w:rsidRPr="00B95A31">
        <w:rPr>
          <w:lang w:val="ru-RU"/>
        </w:rPr>
        <w:t xml:space="preserve"> проведения каждой из трех оценок, включая возможность рассмотрения их в контексте подготовки  второй программы работы МПБЭУ. </w:t>
      </w:r>
    </w:p>
    <w:p w:rsidR="00B95A31" w:rsidRPr="00B95A31" w:rsidRDefault="00B95A31" w:rsidP="00E219C1">
      <w:pPr>
        <w:spacing w:after="120"/>
        <w:rPr>
          <w:b/>
          <w:lang w:val="ru-RU"/>
        </w:rPr>
      </w:pPr>
      <w:r w:rsidRPr="00B95A31">
        <w:rPr>
          <w:b/>
          <w:lang w:val="ru-RU"/>
        </w:rPr>
        <w:t xml:space="preserve">Смета расходов на проведение оценки </w:t>
      </w:r>
    </w:p>
    <w:tbl>
      <w:tblPr>
        <w:tblW w:w="9582" w:type="dxa"/>
        <w:jc w:val="right"/>
        <w:tblLayout w:type="fixed"/>
        <w:tblLook w:val="04A0" w:firstRow="1" w:lastRow="0" w:firstColumn="1" w:lastColumn="0" w:noHBand="0" w:noVBand="1"/>
      </w:tblPr>
      <w:tblGrid>
        <w:gridCol w:w="1304"/>
        <w:gridCol w:w="3213"/>
        <w:gridCol w:w="3449"/>
        <w:gridCol w:w="1616"/>
      </w:tblGrid>
      <w:tr w:rsidR="00B95A31" w:rsidRPr="00C76F58" w:rsidTr="004C0FEA">
        <w:trPr>
          <w:trHeight w:val="227"/>
          <w:tblHeader/>
          <w:jc w:val="right"/>
        </w:trPr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B95A31">
              <w:rPr>
                <w:i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B95A31">
              <w:rPr>
                <w:i/>
                <w:sz w:val="18"/>
                <w:szCs w:val="18"/>
                <w:lang w:val="ru-RU"/>
              </w:rPr>
              <w:t>Статья расходов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B95A31">
              <w:rPr>
                <w:i/>
                <w:sz w:val="18"/>
                <w:szCs w:val="18"/>
                <w:lang w:val="ru-RU"/>
              </w:rPr>
              <w:t>Предположения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B95A31">
              <w:rPr>
                <w:i/>
                <w:sz w:val="18"/>
                <w:szCs w:val="18"/>
                <w:lang w:val="ru-RU"/>
              </w:rPr>
              <w:t xml:space="preserve">Сметные расходы (в долл. США) 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B95A31">
              <w:rPr>
                <w:b/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3213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Совещание руководителей для оценки (сопредседатели, секретариат, группа технической поддержки, члены Многодисциплинарной группы экспертов и Бюро)</w:t>
            </w:r>
          </w:p>
        </w:tc>
        <w:tc>
          <w:tcPr>
            <w:tcW w:w="3449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Расходы, связанные с местом проведения совещания (1/2 недели, 6 участников, в Бонне)</w:t>
            </w:r>
          </w:p>
        </w:tc>
        <w:tc>
          <w:tcPr>
            <w:tcW w:w="1616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Путев</w:t>
            </w:r>
            <w:r w:rsidR="00F4348C" w:rsidRPr="003165EC">
              <w:rPr>
                <w:sz w:val="18"/>
                <w:szCs w:val="18"/>
                <w:lang w:val="ru-RU"/>
              </w:rPr>
              <w:t>ые расходы и суточные (4 х </w:t>
            </w:r>
            <w:r w:rsidR="00DC38E5" w:rsidRPr="003165EC">
              <w:rPr>
                <w:sz w:val="18"/>
                <w:szCs w:val="18"/>
                <w:lang w:val="ru-RU"/>
              </w:rPr>
              <w:t>3750 </w:t>
            </w:r>
            <w:r w:rsidRPr="00B95A31">
              <w:rPr>
                <w:sz w:val="18"/>
                <w:szCs w:val="18"/>
                <w:lang w:val="ru-RU"/>
              </w:rPr>
              <w:t>долл. США)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15 000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Первое совещание авторов (участники: 2 сопредседателя, 12 ведущих авторов-коорд</w:t>
            </w:r>
            <w:r w:rsidR="004C0FEA">
              <w:rPr>
                <w:sz w:val="18"/>
                <w:szCs w:val="18"/>
                <w:lang w:val="ru-RU"/>
              </w:rPr>
              <w:t>инаторов, 36 ведущих авторов, 6 </w:t>
            </w:r>
            <w:r w:rsidRPr="00B95A31">
              <w:rPr>
                <w:sz w:val="18"/>
                <w:szCs w:val="18"/>
                <w:lang w:val="ru-RU"/>
              </w:rPr>
              <w:t>ответственных членов Междисциплинарной группы экспертов и Бюро)</w:t>
            </w: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Расходы, связанные с местом проведения совещания (в размере 75 процентов, оставшиеся 25 процентов предоставляются в натуральной форме); 56 </w:t>
            </w:r>
            <w:r w:rsidR="00DC38E5" w:rsidRPr="003165EC">
              <w:rPr>
                <w:sz w:val="18"/>
                <w:szCs w:val="18"/>
                <w:lang w:val="ru-RU"/>
              </w:rPr>
              <w:t>участников (42 </w:t>
            </w:r>
            <w:r w:rsidRPr="00B95A31">
              <w:rPr>
                <w:sz w:val="18"/>
                <w:szCs w:val="18"/>
                <w:lang w:val="ru-RU"/>
              </w:rPr>
              <w:t>обеспечиваются поддержкой)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18 750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Путевы</w:t>
            </w:r>
            <w:r w:rsidR="00F4348C" w:rsidRPr="003165EC">
              <w:rPr>
                <w:sz w:val="18"/>
                <w:szCs w:val="18"/>
                <w:lang w:val="ru-RU"/>
              </w:rPr>
              <w:t>е расходы и суточные (42 х </w:t>
            </w:r>
            <w:r w:rsidR="00DC38E5" w:rsidRPr="003165EC">
              <w:rPr>
                <w:sz w:val="18"/>
                <w:szCs w:val="18"/>
                <w:lang w:val="ru-RU"/>
              </w:rPr>
              <w:t>3750 </w:t>
            </w:r>
            <w:r w:rsidRPr="00B95A31">
              <w:rPr>
                <w:sz w:val="18"/>
                <w:szCs w:val="18"/>
                <w:lang w:val="ru-RU"/>
              </w:rPr>
              <w:t>долл. США)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157 500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Техническая поддержка</w:t>
            </w: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DC38E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Эквивалент одной полной штатной единицы категории </w:t>
            </w:r>
            <w:r w:rsidR="004C0FEA">
              <w:rPr>
                <w:sz w:val="18"/>
                <w:szCs w:val="18"/>
                <w:lang w:val="ru-RU"/>
              </w:rPr>
              <w:t>специалистов</w:t>
            </w:r>
            <w:r w:rsidRPr="00B95A31">
              <w:rPr>
                <w:sz w:val="18"/>
                <w:szCs w:val="18"/>
                <w:lang w:val="ru-RU"/>
              </w:rPr>
              <w:t>, путевые расходы и накладные расходы (покрываются в натуральной форме в эквиваленте стоимости)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75 000</w:t>
            </w: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Всего: 1-й год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266 250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B95A31">
              <w:rPr>
                <w:b/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Второе совещание авторов (участники: 2 сопредседателя, 12 ведущих авторов-коорди</w:t>
            </w:r>
            <w:r w:rsidR="004C0FEA">
              <w:rPr>
                <w:sz w:val="18"/>
                <w:szCs w:val="18"/>
                <w:lang w:val="ru-RU"/>
              </w:rPr>
              <w:t>наторов, 36 ведущих авторов, 12 редакторов-рецензентов, 6 </w:t>
            </w:r>
            <w:r w:rsidRPr="00B95A31">
              <w:rPr>
                <w:sz w:val="18"/>
                <w:szCs w:val="18"/>
                <w:lang w:val="ru-RU"/>
              </w:rPr>
              <w:t>ответственных членов Междисциплинарной группы экспертов и Бюро)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Расходы, связанные с местом проведения совещания (в размере 75 процентов, оставшиеся 25 процентов предоставляются в натура</w:t>
            </w:r>
            <w:r w:rsidR="00F4348C" w:rsidRPr="003165EC">
              <w:rPr>
                <w:sz w:val="18"/>
                <w:szCs w:val="18"/>
                <w:lang w:val="ru-RU"/>
              </w:rPr>
              <w:t>льной форме); 68 участников (51 </w:t>
            </w:r>
            <w:r w:rsidRPr="00B95A31">
              <w:rPr>
                <w:sz w:val="18"/>
                <w:szCs w:val="18"/>
                <w:lang w:val="ru-RU"/>
              </w:rPr>
              <w:t>обеспечивается поддержкой)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Путевые расходы и </w:t>
            </w:r>
            <w:r w:rsidR="00F4348C" w:rsidRPr="003165EC">
              <w:rPr>
                <w:sz w:val="18"/>
                <w:szCs w:val="18"/>
                <w:lang w:val="ru-RU"/>
              </w:rPr>
              <w:t>суточные (51 х 3750 </w:t>
            </w:r>
            <w:r w:rsidRPr="00B95A31">
              <w:rPr>
                <w:sz w:val="18"/>
                <w:szCs w:val="18"/>
                <w:lang w:val="ru-RU"/>
              </w:rPr>
              <w:t>долл. США)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191 250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Техническая поддержка</w:t>
            </w: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DC38E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Эквивалент одной полной штатной единицы категории </w:t>
            </w:r>
            <w:r w:rsidR="004C0FEA">
              <w:rPr>
                <w:sz w:val="18"/>
                <w:szCs w:val="18"/>
                <w:lang w:val="ru-RU"/>
              </w:rPr>
              <w:t>специалистов</w:t>
            </w:r>
            <w:r w:rsidRPr="00B95A31">
              <w:rPr>
                <w:sz w:val="18"/>
                <w:szCs w:val="18"/>
                <w:lang w:val="ru-RU"/>
              </w:rPr>
              <w:t>, путевые расходы и накладные расходы (покрываются в натуральной форме в эквиваленте стоимости)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75 000</w:t>
            </w: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Всего: 2-й год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286 250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B95A31">
              <w:rPr>
                <w:b/>
                <w:sz w:val="18"/>
                <w:szCs w:val="18"/>
                <w:lang w:val="ru-RU"/>
              </w:rPr>
              <w:t>Третий год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Третье совещание авторов (участники: 2 сопредседателя, 12 ведущих авторов-коорди</w:t>
            </w:r>
            <w:r w:rsidR="004C0FEA">
              <w:rPr>
                <w:sz w:val="18"/>
                <w:szCs w:val="18"/>
                <w:lang w:val="ru-RU"/>
              </w:rPr>
              <w:t>наторов, 36 ведущих авторов, 12 редакторов-рецензентов, 6 </w:t>
            </w:r>
            <w:r w:rsidRPr="00B95A31">
              <w:rPr>
                <w:sz w:val="18"/>
                <w:szCs w:val="18"/>
                <w:lang w:val="ru-RU"/>
              </w:rPr>
              <w:t>ответственных членов Междисциплинарной группы экспертов и Бюро)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Расходы, связанные с местом проведения совещания (в размере 75 процентов, оставшиеся 25 процентов предоставляются в натура</w:t>
            </w:r>
            <w:r w:rsidR="00F4348C" w:rsidRPr="003165EC">
              <w:rPr>
                <w:sz w:val="18"/>
                <w:szCs w:val="18"/>
                <w:lang w:val="ru-RU"/>
              </w:rPr>
              <w:t>льной форме); 68 участников (51 </w:t>
            </w:r>
            <w:r w:rsidRPr="00B95A31">
              <w:rPr>
                <w:sz w:val="18"/>
                <w:szCs w:val="18"/>
                <w:lang w:val="ru-RU"/>
              </w:rPr>
              <w:t>обеспечивается поддержкой)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Путевы</w:t>
            </w:r>
            <w:r w:rsidR="00F4348C" w:rsidRPr="003165EC">
              <w:rPr>
                <w:sz w:val="18"/>
                <w:szCs w:val="18"/>
                <w:lang w:val="ru-RU"/>
              </w:rPr>
              <w:t>е расходы и суточные (51 х 3750 </w:t>
            </w:r>
            <w:r w:rsidRPr="00B95A31">
              <w:rPr>
                <w:sz w:val="18"/>
                <w:szCs w:val="18"/>
                <w:lang w:val="ru-RU"/>
              </w:rPr>
              <w:t>долл. США)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191 250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Техническая поддержка</w:t>
            </w: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DC38E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Эквивалент одной полной штатной единицы категории </w:t>
            </w:r>
            <w:r w:rsidR="004C0FEA">
              <w:rPr>
                <w:sz w:val="18"/>
                <w:szCs w:val="18"/>
                <w:lang w:val="ru-RU"/>
              </w:rPr>
              <w:t>специалистов</w:t>
            </w:r>
            <w:r w:rsidRPr="00B95A31">
              <w:rPr>
                <w:sz w:val="18"/>
                <w:szCs w:val="18"/>
                <w:lang w:val="ru-RU"/>
              </w:rPr>
              <w:t>, путевые расходы и накладные расходы (покрываются в натуральной форме в эквиваленте стоимости)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75 000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Распространение информации и пропагандистская деятельность</w:t>
            </w: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50 000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Всего: 3-й год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336 250</w:t>
            </w:r>
          </w:p>
        </w:tc>
      </w:tr>
      <w:tr w:rsidR="00B95A31" w:rsidRPr="00DC582E" w:rsidTr="004C0FEA">
        <w:trPr>
          <w:trHeight w:val="227"/>
          <w:jc w:val="right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b/>
                <w:sz w:val="18"/>
                <w:szCs w:val="18"/>
                <w:lang w:val="ru-RU"/>
              </w:rPr>
              <w:t>Четвертый год</w:t>
            </w:r>
            <w:r w:rsidRPr="00B95A31">
              <w:rPr>
                <w:sz w:val="18"/>
                <w:szCs w:val="18"/>
                <w:lang w:val="ru-RU"/>
              </w:rPr>
              <w:t xml:space="preserve"> (начало проведения оценки и мероприятия после начала проведения)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DC582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Участие 8 экспертов, включая </w:t>
            </w:r>
            <w:r w:rsidR="00DC582E">
              <w:rPr>
                <w:sz w:val="18"/>
                <w:szCs w:val="18"/>
                <w:lang w:val="ru-RU"/>
              </w:rPr>
              <w:t>2 </w:t>
            </w:r>
            <w:r w:rsidRPr="00B95A31">
              <w:rPr>
                <w:sz w:val="18"/>
                <w:szCs w:val="18"/>
                <w:lang w:val="ru-RU"/>
              </w:rPr>
              <w:t xml:space="preserve">сопредседателей и 6 ведущих авторов-координаторов или ведущих авторов, в восьмой сессии Пленума 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8 участников (6 обеспечиваются поддержкой)</w:t>
            </w:r>
          </w:p>
          <w:p w:rsidR="00B95A31" w:rsidRPr="00B95A31" w:rsidRDefault="00B95A31" w:rsidP="00DC582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Путевые расходы и суточные </w:t>
            </w:r>
            <w:r w:rsidR="00DC582E">
              <w:rPr>
                <w:sz w:val="18"/>
                <w:szCs w:val="18"/>
                <w:lang w:val="ru-RU"/>
              </w:rPr>
              <w:br/>
            </w:r>
            <w:r w:rsidRPr="00B95A31">
              <w:rPr>
                <w:sz w:val="18"/>
                <w:szCs w:val="18"/>
                <w:lang w:val="ru-RU"/>
              </w:rPr>
              <w:t>(6 х 3750 долл. США)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22 500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Тех</w:t>
            </w:r>
            <w:r w:rsidR="00DC582E">
              <w:rPr>
                <w:sz w:val="18"/>
                <w:szCs w:val="18"/>
                <w:lang w:val="ru-RU"/>
              </w:rPr>
              <w:t>ническая поддержка (в течение 3 </w:t>
            </w:r>
            <w:r w:rsidRPr="00B95A31">
              <w:rPr>
                <w:sz w:val="18"/>
                <w:szCs w:val="18"/>
                <w:lang w:val="ru-RU"/>
              </w:rPr>
              <w:t>месяцев после начала проведения оценки на Пленуме)</w:t>
            </w:r>
          </w:p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Распространение информации и пропагандистская деятельность</w:t>
            </w:r>
          </w:p>
        </w:tc>
        <w:tc>
          <w:tcPr>
            <w:tcW w:w="3449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DC38E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 xml:space="preserve">Эквивалент одной полной штатной единицы категории </w:t>
            </w:r>
            <w:r w:rsidR="00DC582E">
              <w:rPr>
                <w:sz w:val="18"/>
                <w:szCs w:val="18"/>
                <w:lang w:val="ru-RU"/>
              </w:rPr>
              <w:t>специалистов</w:t>
            </w:r>
            <w:r w:rsidRPr="00B95A31">
              <w:rPr>
                <w:sz w:val="18"/>
                <w:szCs w:val="18"/>
                <w:lang w:val="ru-RU"/>
              </w:rPr>
              <w:t>, путевые расходы и накладные расходы (покрываются в натуральной форме в эквиваленте стоимости)</w:t>
            </w:r>
          </w:p>
        </w:tc>
        <w:tc>
          <w:tcPr>
            <w:tcW w:w="1616" w:type="dxa"/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18 750</w:t>
            </w: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  <w:p w:rsidR="00B95A31" w:rsidRPr="00B95A31" w:rsidRDefault="00B95A31" w:rsidP="00BF5801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B95A31">
              <w:rPr>
                <w:sz w:val="18"/>
                <w:szCs w:val="18"/>
                <w:lang w:val="ru-RU"/>
              </w:rPr>
              <w:t>67 000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Всего: 4-й год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B95A31">
              <w:rPr>
                <w:b/>
                <w:i/>
                <w:sz w:val="18"/>
                <w:szCs w:val="18"/>
                <w:lang w:val="ru-RU"/>
              </w:rPr>
              <w:t>108 250</w:t>
            </w:r>
          </w:p>
        </w:tc>
      </w:tr>
      <w:tr w:rsidR="00B95A31" w:rsidRPr="00B95A31" w:rsidTr="004C0FEA">
        <w:trPr>
          <w:trHeight w:val="227"/>
          <w:jc w:val="right"/>
        </w:trPr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B95A31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1F22F5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95A31" w:rsidRPr="00B95A31" w:rsidRDefault="00B95A31" w:rsidP="00BF5801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B95A31">
              <w:rPr>
                <w:b/>
                <w:sz w:val="18"/>
                <w:szCs w:val="18"/>
                <w:lang w:val="ru-RU"/>
              </w:rPr>
              <w:t>997 000</w:t>
            </w:r>
          </w:p>
        </w:tc>
      </w:tr>
    </w:tbl>
    <w:p w:rsidR="00B95A31" w:rsidRPr="00B95A31" w:rsidRDefault="00B95A31" w:rsidP="00B95A31">
      <w:pPr>
        <w:spacing w:after="120"/>
        <w:ind w:left="1248"/>
        <w:rPr>
          <w:lang w:val="ru-RU"/>
        </w:rPr>
      </w:pP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B95A31" w:rsidRPr="00B95A31" w:rsidTr="003165EC">
        <w:tc>
          <w:tcPr>
            <w:tcW w:w="2009" w:type="dxa"/>
          </w:tcPr>
          <w:p w:rsidR="00B95A31" w:rsidRPr="00B95A31" w:rsidRDefault="00B95A31" w:rsidP="00B95A31">
            <w:pPr>
              <w:spacing w:after="120"/>
              <w:rPr>
                <w:lang w:val="ru-RU"/>
              </w:rPr>
            </w:pPr>
          </w:p>
        </w:tc>
        <w:tc>
          <w:tcPr>
            <w:tcW w:w="2009" w:type="dxa"/>
          </w:tcPr>
          <w:p w:rsidR="00B95A31" w:rsidRPr="00B95A31" w:rsidRDefault="00B95A31" w:rsidP="00B95A31">
            <w:pPr>
              <w:spacing w:after="120"/>
              <w:rPr>
                <w:lang w:val="ru-RU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B95A31" w:rsidRPr="00B95A31" w:rsidRDefault="00B95A31" w:rsidP="00B95A31">
            <w:pPr>
              <w:spacing w:after="120"/>
              <w:rPr>
                <w:lang w:val="ru-RU"/>
              </w:rPr>
            </w:pPr>
          </w:p>
        </w:tc>
        <w:tc>
          <w:tcPr>
            <w:tcW w:w="2009" w:type="dxa"/>
          </w:tcPr>
          <w:p w:rsidR="00B95A31" w:rsidRPr="00B95A31" w:rsidRDefault="00B95A31" w:rsidP="00B95A31">
            <w:pPr>
              <w:spacing w:after="120"/>
              <w:rPr>
                <w:lang w:val="ru-RU"/>
              </w:rPr>
            </w:pPr>
          </w:p>
        </w:tc>
        <w:tc>
          <w:tcPr>
            <w:tcW w:w="2010" w:type="dxa"/>
          </w:tcPr>
          <w:p w:rsidR="00B95A31" w:rsidRPr="00B95A31" w:rsidRDefault="00B95A31" w:rsidP="00B95A31">
            <w:pPr>
              <w:spacing w:after="120"/>
              <w:rPr>
                <w:lang w:val="ru-RU"/>
              </w:rPr>
            </w:pPr>
          </w:p>
        </w:tc>
      </w:tr>
    </w:tbl>
    <w:p w:rsidR="00B95A31" w:rsidRPr="00B95A31" w:rsidRDefault="00B95A31" w:rsidP="00B95A31">
      <w:pPr>
        <w:spacing w:after="120"/>
        <w:ind w:left="1248"/>
        <w:rPr>
          <w:lang w:val="ru-RU"/>
        </w:rPr>
      </w:pPr>
    </w:p>
    <w:p w:rsidR="00B95A31" w:rsidRPr="003165EC" w:rsidRDefault="00B95A31" w:rsidP="00980A81">
      <w:pPr>
        <w:spacing w:after="120"/>
        <w:rPr>
          <w:szCs w:val="22"/>
          <w:lang w:val="ru-RU"/>
        </w:rPr>
      </w:pPr>
    </w:p>
    <w:sectPr w:rsidR="00B95A31" w:rsidRPr="003165EC" w:rsidSect="00C76F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0E" w:rsidRDefault="008C0D0E">
      <w:r>
        <w:separator/>
      </w:r>
    </w:p>
  </w:endnote>
  <w:endnote w:type="continuationSeparator" w:id="0">
    <w:p w:rsidR="008C0D0E" w:rsidRDefault="008C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C76F58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C76F58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E133D4">
      <w:rPr>
        <w:sz w:val="20"/>
        <w:lang w:val="en-US"/>
      </w:rPr>
      <w:t>612158</w:t>
    </w:r>
    <w:r>
      <w:rPr>
        <w:sz w:val="20"/>
        <w:lang w:val="en-US"/>
      </w:rPr>
      <w:tab/>
    </w:r>
    <w:r w:rsidR="00E133D4">
      <w:rPr>
        <w:sz w:val="20"/>
        <w:lang w:val="en-US"/>
      </w:rPr>
      <w:t>2001</w:t>
    </w:r>
    <w:r w:rsidR="000D0B72">
      <w:rPr>
        <w:sz w:val="20"/>
        <w:lang w:val="en-U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0E" w:rsidRDefault="008C0D0E" w:rsidP="00D92DE0">
      <w:pPr>
        <w:ind w:left="624"/>
      </w:pPr>
      <w:r>
        <w:separator/>
      </w:r>
    </w:p>
  </w:footnote>
  <w:footnote w:type="continuationSeparator" w:id="0">
    <w:p w:rsidR="008C0D0E" w:rsidRDefault="008C0D0E">
      <w:r>
        <w:continuationSeparator/>
      </w:r>
    </w:p>
  </w:footnote>
  <w:footnote w:id="1">
    <w:p w:rsidR="00B95A31" w:rsidRPr="004830DC" w:rsidRDefault="00B95A31" w:rsidP="00B95A3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</w:rPr>
      </w:pPr>
      <w:r w:rsidRPr="003726C5">
        <w:rPr>
          <w:rStyle w:val="FootnoteReference"/>
          <w:sz w:val="18"/>
          <w:vertAlign w:val="baselin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en-US"/>
        </w:rPr>
        <w:tab/>
      </w:r>
      <w:r>
        <w:rPr>
          <w:lang w:val="ru-RU"/>
        </w:rPr>
        <w:t>IPBES/5/1/Rev.1.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E133D4">
      <w:rPr>
        <w:szCs w:val="18"/>
        <w:lang w:val="en-US" w:eastAsia="ja-JP"/>
      </w:rPr>
      <w:t>5/6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E133D4">
      <w:rPr>
        <w:szCs w:val="18"/>
        <w:lang w:val="en-US" w:eastAsia="ja-JP"/>
      </w:rPr>
      <w:t>5/6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8C4"/>
    <w:rsid w:val="00071886"/>
    <w:rsid w:val="00072509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640C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E7E97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5CED"/>
    <w:rsid w:val="00146BAC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60AF0"/>
    <w:rsid w:val="00161D1D"/>
    <w:rsid w:val="001630B7"/>
    <w:rsid w:val="00163ACB"/>
    <w:rsid w:val="00166FEC"/>
    <w:rsid w:val="001673CF"/>
    <w:rsid w:val="00167BAB"/>
    <w:rsid w:val="001729A1"/>
    <w:rsid w:val="00173F1B"/>
    <w:rsid w:val="0017409D"/>
    <w:rsid w:val="001760C4"/>
    <w:rsid w:val="00181BC9"/>
    <w:rsid w:val="00181EC8"/>
    <w:rsid w:val="00183C13"/>
    <w:rsid w:val="0018426B"/>
    <w:rsid w:val="00184349"/>
    <w:rsid w:val="00187A5D"/>
    <w:rsid w:val="00190348"/>
    <w:rsid w:val="00190B14"/>
    <w:rsid w:val="00191FB4"/>
    <w:rsid w:val="0019268D"/>
    <w:rsid w:val="001965C2"/>
    <w:rsid w:val="00196CCB"/>
    <w:rsid w:val="00197F84"/>
    <w:rsid w:val="001A546C"/>
    <w:rsid w:val="001A6110"/>
    <w:rsid w:val="001A7ACA"/>
    <w:rsid w:val="001A7EF5"/>
    <w:rsid w:val="001B02DC"/>
    <w:rsid w:val="001B08F0"/>
    <w:rsid w:val="001B0A29"/>
    <w:rsid w:val="001B103E"/>
    <w:rsid w:val="001B1617"/>
    <w:rsid w:val="001B1E61"/>
    <w:rsid w:val="001B236B"/>
    <w:rsid w:val="001B496A"/>
    <w:rsid w:val="001B6662"/>
    <w:rsid w:val="001B6D77"/>
    <w:rsid w:val="001B78A5"/>
    <w:rsid w:val="001C162B"/>
    <w:rsid w:val="001C2C69"/>
    <w:rsid w:val="001C4353"/>
    <w:rsid w:val="001C4855"/>
    <w:rsid w:val="001C58F7"/>
    <w:rsid w:val="001D17D5"/>
    <w:rsid w:val="001D3874"/>
    <w:rsid w:val="001D3E50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2F5"/>
    <w:rsid w:val="001F2CFA"/>
    <w:rsid w:val="001F2F90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014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36C4"/>
    <w:rsid w:val="002D4BC3"/>
    <w:rsid w:val="002D7B60"/>
    <w:rsid w:val="002E23F7"/>
    <w:rsid w:val="002E6E8A"/>
    <w:rsid w:val="002E7A97"/>
    <w:rsid w:val="002F2065"/>
    <w:rsid w:val="002F4761"/>
    <w:rsid w:val="00300307"/>
    <w:rsid w:val="0030140E"/>
    <w:rsid w:val="00303CDA"/>
    <w:rsid w:val="00305533"/>
    <w:rsid w:val="003056C1"/>
    <w:rsid w:val="00307C44"/>
    <w:rsid w:val="00312D05"/>
    <w:rsid w:val="003139DA"/>
    <w:rsid w:val="0031413F"/>
    <w:rsid w:val="003165EC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3BBA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0093"/>
    <w:rsid w:val="0044177A"/>
    <w:rsid w:val="004434EE"/>
    <w:rsid w:val="0044489B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64C"/>
    <w:rsid w:val="00471DFA"/>
    <w:rsid w:val="00476689"/>
    <w:rsid w:val="00482034"/>
    <w:rsid w:val="00482636"/>
    <w:rsid w:val="004827F3"/>
    <w:rsid w:val="00486C83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B3C5D"/>
    <w:rsid w:val="004B5214"/>
    <w:rsid w:val="004B5666"/>
    <w:rsid w:val="004B6745"/>
    <w:rsid w:val="004B708D"/>
    <w:rsid w:val="004C0FEA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2D5C"/>
    <w:rsid w:val="0050302B"/>
    <w:rsid w:val="0050619E"/>
    <w:rsid w:val="00507909"/>
    <w:rsid w:val="00512F34"/>
    <w:rsid w:val="0051335F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0849"/>
    <w:rsid w:val="005C24E4"/>
    <w:rsid w:val="005C3BF5"/>
    <w:rsid w:val="005C477C"/>
    <w:rsid w:val="005C4A3D"/>
    <w:rsid w:val="005C4EB6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FA7"/>
    <w:rsid w:val="005E2A1C"/>
    <w:rsid w:val="005E5CB5"/>
    <w:rsid w:val="005F05FD"/>
    <w:rsid w:val="005F100C"/>
    <w:rsid w:val="005F142E"/>
    <w:rsid w:val="005F1648"/>
    <w:rsid w:val="005F472E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7652"/>
    <w:rsid w:val="006F122A"/>
    <w:rsid w:val="006F1422"/>
    <w:rsid w:val="006F2AE4"/>
    <w:rsid w:val="006F3B5E"/>
    <w:rsid w:val="007027B9"/>
    <w:rsid w:val="007038FE"/>
    <w:rsid w:val="00703EBE"/>
    <w:rsid w:val="00705F05"/>
    <w:rsid w:val="007071C6"/>
    <w:rsid w:val="00715E88"/>
    <w:rsid w:val="00716F5D"/>
    <w:rsid w:val="00717561"/>
    <w:rsid w:val="007207CA"/>
    <w:rsid w:val="00720FD2"/>
    <w:rsid w:val="00722B31"/>
    <w:rsid w:val="00723A72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6571"/>
    <w:rsid w:val="007D7245"/>
    <w:rsid w:val="007E003F"/>
    <w:rsid w:val="007E0592"/>
    <w:rsid w:val="007E453D"/>
    <w:rsid w:val="007E48FE"/>
    <w:rsid w:val="007F154E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0D0E"/>
    <w:rsid w:val="008C103D"/>
    <w:rsid w:val="008C2447"/>
    <w:rsid w:val="008C4FD6"/>
    <w:rsid w:val="008D0841"/>
    <w:rsid w:val="008D0E23"/>
    <w:rsid w:val="008D16E3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7B76"/>
    <w:rsid w:val="00932B97"/>
    <w:rsid w:val="00933337"/>
    <w:rsid w:val="00933A4E"/>
    <w:rsid w:val="00936ECA"/>
    <w:rsid w:val="00940213"/>
    <w:rsid w:val="00940DCC"/>
    <w:rsid w:val="0094179A"/>
    <w:rsid w:val="00943BDB"/>
    <w:rsid w:val="0094459E"/>
    <w:rsid w:val="009446A0"/>
    <w:rsid w:val="00944DBC"/>
    <w:rsid w:val="009462AB"/>
    <w:rsid w:val="00950977"/>
    <w:rsid w:val="00950B29"/>
    <w:rsid w:val="00951A7B"/>
    <w:rsid w:val="00951F90"/>
    <w:rsid w:val="00952604"/>
    <w:rsid w:val="0095574F"/>
    <w:rsid w:val="009564A6"/>
    <w:rsid w:val="00962055"/>
    <w:rsid w:val="00962B5E"/>
    <w:rsid w:val="00963208"/>
    <w:rsid w:val="00963D62"/>
    <w:rsid w:val="0096556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F26"/>
    <w:rsid w:val="0098795B"/>
    <w:rsid w:val="009908A7"/>
    <w:rsid w:val="00991F4E"/>
    <w:rsid w:val="0099397F"/>
    <w:rsid w:val="009961CE"/>
    <w:rsid w:val="009975FD"/>
    <w:rsid w:val="009A0CB9"/>
    <w:rsid w:val="009A1362"/>
    <w:rsid w:val="009A4ACC"/>
    <w:rsid w:val="009A62B4"/>
    <w:rsid w:val="009A6528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A92"/>
    <w:rsid w:val="00A92A5A"/>
    <w:rsid w:val="00AA019F"/>
    <w:rsid w:val="00AA28EC"/>
    <w:rsid w:val="00AA31A3"/>
    <w:rsid w:val="00AA3A0E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11E5"/>
    <w:rsid w:val="00B66739"/>
    <w:rsid w:val="00B66901"/>
    <w:rsid w:val="00B678BD"/>
    <w:rsid w:val="00B70369"/>
    <w:rsid w:val="00B71E6D"/>
    <w:rsid w:val="00B72070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5A31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5801"/>
    <w:rsid w:val="00BF642B"/>
    <w:rsid w:val="00BF67E8"/>
    <w:rsid w:val="00BF7A7C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6F58"/>
    <w:rsid w:val="00C80DCF"/>
    <w:rsid w:val="00C80FBF"/>
    <w:rsid w:val="00C84759"/>
    <w:rsid w:val="00C86094"/>
    <w:rsid w:val="00C865C7"/>
    <w:rsid w:val="00C8664A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5118"/>
    <w:rsid w:val="00D15DEA"/>
    <w:rsid w:val="00D169AF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0F65"/>
    <w:rsid w:val="00D8108C"/>
    <w:rsid w:val="00D81A2B"/>
    <w:rsid w:val="00D82D20"/>
    <w:rsid w:val="00D834E9"/>
    <w:rsid w:val="00D842AE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776F"/>
    <w:rsid w:val="00DC38E5"/>
    <w:rsid w:val="00DC3E9C"/>
    <w:rsid w:val="00DC40DE"/>
    <w:rsid w:val="00DC46EF"/>
    <w:rsid w:val="00DC46FF"/>
    <w:rsid w:val="00DC57DF"/>
    <w:rsid w:val="00DC582E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588A"/>
    <w:rsid w:val="00DE6B9C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3D4"/>
    <w:rsid w:val="00E139A3"/>
    <w:rsid w:val="00E1425B"/>
    <w:rsid w:val="00E16F3D"/>
    <w:rsid w:val="00E1746E"/>
    <w:rsid w:val="00E215B0"/>
    <w:rsid w:val="00E219C1"/>
    <w:rsid w:val="00E21C83"/>
    <w:rsid w:val="00E21E77"/>
    <w:rsid w:val="00E24004"/>
    <w:rsid w:val="00E302D9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3219"/>
    <w:rsid w:val="00EC3B8A"/>
    <w:rsid w:val="00EC5A46"/>
    <w:rsid w:val="00EC5BD6"/>
    <w:rsid w:val="00EC63E2"/>
    <w:rsid w:val="00ED56D5"/>
    <w:rsid w:val="00ED7F64"/>
    <w:rsid w:val="00EE0DD2"/>
    <w:rsid w:val="00EE1F7D"/>
    <w:rsid w:val="00EE3F87"/>
    <w:rsid w:val="00EF22B3"/>
    <w:rsid w:val="00EF2844"/>
    <w:rsid w:val="00EF40A0"/>
    <w:rsid w:val="00EF697D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4DB5"/>
    <w:rsid w:val="00F15B2C"/>
    <w:rsid w:val="00F16A23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48C"/>
    <w:rsid w:val="00F43DC6"/>
    <w:rsid w:val="00F4477B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FDA"/>
    <w:rsid w:val="00F70860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Accent5">
    <w:name w:val="Grid Table 1 Light Accent 5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Accent5">
    <w:name w:val="Grid Table 1 Light Accent 5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3DB0-561F-4956-9954-DB5C52A0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1423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10955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Natalia Cherutich</cp:lastModifiedBy>
  <cp:revision>4</cp:revision>
  <cp:lastPrinted>2017-01-11T13:31:00Z</cp:lastPrinted>
  <dcterms:created xsi:type="dcterms:W3CDTF">2017-01-17T13:25:00Z</dcterms:created>
  <dcterms:modified xsi:type="dcterms:W3CDTF">2017-01-20T05:43:00Z</dcterms:modified>
</cp:coreProperties>
</file>