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D7505A" w:rsidRPr="00F55F00" w:rsidTr="001003BC">
        <w:tblPrEx>
          <w:tblCellMar>
            <w:top w:w="0" w:type="dxa"/>
            <w:bottom w:w="0" w:type="dxa"/>
          </w:tblCellMar>
        </w:tblPrEx>
        <w:trPr>
          <w:cantSplit/>
          <w:trHeight w:val="850"/>
        </w:trPr>
        <w:tc>
          <w:tcPr>
            <w:tcW w:w="1560" w:type="dxa"/>
          </w:tcPr>
          <w:p w:rsidR="00D7505A" w:rsidRPr="00F55F00" w:rsidRDefault="001003BC" w:rsidP="001003BC">
            <w:pPr>
              <w:spacing w:after="0" w:line="240" w:lineRule="auto"/>
              <w:ind w:right="-186"/>
              <w:rPr>
                <w:rFonts w:ascii="Univers" w:eastAsia="MS Mincho" w:hAnsi="Univers"/>
                <w:b/>
                <w:noProof/>
                <w:sz w:val="27"/>
                <w:szCs w:val="27"/>
                <w:lang w:val="es-ES_tradnl"/>
              </w:rPr>
            </w:pPr>
            <w:bookmarkStart w:id="0" w:name="_GoBack"/>
            <w:bookmarkEnd w:id="0"/>
            <w:r w:rsidRPr="00F55F00">
              <w:rPr>
                <w:rFonts w:ascii="Univers" w:eastAsia="MS Mincho" w:hAnsi="Univers"/>
                <w:b/>
                <w:noProof/>
                <w:sz w:val="27"/>
                <w:szCs w:val="27"/>
                <w:lang w:val="es-ES_tradnl"/>
              </w:rPr>
              <w:t>NACIONES</w:t>
            </w:r>
            <w:r w:rsidR="00D7505A" w:rsidRPr="00F55F00">
              <w:rPr>
                <w:rFonts w:ascii="Univers" w:eastAsia="MS Mincho" w:hAnsi="Univers"/>
                <w:b/>
                <w:noProof/>
                <w:sz w:val="27"/>
                <w:szCs w:val="27"/>
                <w:lang w:val="es-ES_tradnl"/>
              </w:rPr>
              <w:br/>
            </w:r>
            <w:r w:rsidRPr="00F55F00">
              <w:rPr>
                <w:rFonts w:ascii="Univers" w:eastAsia="MS Mincho" w:hAnsi="Univers"/>
                <w:b/>
                <w:noProof/>
                <w:sz w:val="27"/>
                <w:szCs w:val="27"/>
                <w:lang w:val="es-ES_tradnl"/>
              </w:rPr>
              <w:t>UNIDAS</w:t>
            </w:r>
          </w:p>
        </w:tc>
        <w:tc>
          <w:tcPr>
            <w:tcW w:w="5387" w:type="dxa"/>
          </w:tcPr>
          <w:p w:rsidR="00D7505A" w:rsidRPr="00F55F00" w:rsidRDefault="00D7505A" w:rsidP="00D7505A">
            <w:pPr>
              <w:spacing w:after="0" w:line="240" w:lineRule="auto"/>
              <w:rPr>
                <w:rFonts w:ascii="Univers" w:eastAsia="MS Mincho" w:hAnsi="Univers"/>
                <w:b/>
                <w:sz w:val="27"/>
                <w:szCs w:val="27"/>
                <w:lang w:val="es-ES_tradnl"/>
              </w:rPr>
            </w:pPr>
          </w:p>
        </w:tc>
        <w:tc>
          <w:tcPr>
            <w:tcW w:w="2833" w:type="dxa"/>
          </w:tcPr>
          <w:p w:rsidR="00D7505A" w:rsidRPr="00F55F00" w:rsidRDefault="00D7505A" w:rsidP="00D7505A">
            <w:pPr>
              <w:spacing w:after="0" w:line="240" w:lineRule="auto"/>
              <w:jc w:val="right"/>
              <w:rPr>
                <w:rFonts w:ascii="Univers" w:eastAsia="MS Mincho" w:hAnsi="Univers"/>
                <w:b/>
                <w:sz w:val="72"/>
                <w:szCs w:val="72"/>
                <w:lang w:val="es-ES_tradnl"/>
              </w:rPr>
            </w:pPr>
            <w:r w:rsidRPr="00F55F00">
              <w:rPr>
                <w:rFonts w:ascii="Univers" w:eastAsia="MS Mincho" w:hAnsi="Univers"/>
                <w:b/>
                <w:sz w:val="72"/>
                <w:szCs w:val="72"/>
                <w:lang w:val="es-ES_tradnl"/>
              </w:rPr>
              <w:t>EP</w:t>
            </w:r>
          </w:p>
        </w:tc>
      </w:tr>
      <w:tr w:rsidR="00D7505A" w:rsidRPr="00F55F00" w:rsidTr="001003BC">
        <w:tblPrEx>
          <w:tblCellMar>
            <w:top w:w="0" w:type="dxa"/>
            <w:bottom w:w="0" w:type="dxa"/>
          </w:tblCellMar>
        </w:tblPrEx>
        <w:trPr>
          <w:cantSplit/>
          <w:trHeight w:val="281"/>
        </w:trPr>
        <w:tc>
          <w:tcPr>
            <w:tcW w:w="1560" w:type="dxa"/>
            <w:tcBorders>
              <w:bottom w:val="single" w:sz="4" w:space="0" w:color="auto"/>
            </w:tcBorders>
          </w:tcPr>
          <w:p w:rsidR="00D7505A" w:rsidRPr="00F55F00" w:rsidRDefault="00D7505A" w:rsidP="00D7505A">
            <w:pPr>
              <w:spacing w:after="0" w:line="240" w:lineRule="auto"/>
              <w:rPr>
                <w:rFonts w:ascii="Times New Roman" w:eastAsia="MS Mincho" w:hAnsi="Times New Roman"/>
                <w:noProof/>
                <w:sz w:val="18"/>
                <w:szCs w:val="18"/>
                <w:lang w:val="es-ES_tradnl"/>
              </w:rPr>
            </w:pPr>
          </w:p>
        </w:tc>
        <w:tc>
          <w:tcPr>
            <w:tcW w:w="5387" w:type="dxa"/>
            <w:tcBorders>
              <w:bottom w:val="single" w:sz="4" w:space="0" w:color="auto"/>
            </w:tcBorders>
          </w:tcPr>
          <w:p w:rsidR="00D7505A" w:rsidRPr="00F55F00" w:rsidRDefault="00D7505A" w:rsidP="00D7505A">
            <w:pPr>
              <w:spacing w:after="0" w:line="240" w:lineRule="auto"/>
              <w:rPr>
                <w:rFonts w:ascii="Univers" w:eastAsia="MS Mincho" w:hAnsi="Univers"/>
                <w:b/>
                <w:sz w:val="18"/>
                <w:szCs w:val="18"/>
                <w:lang w:val="es-ES_tradnl"/>
              </w:rPr>
            </w:pPr>
          </w:p>
        </w:tc>
        <w:tc>
          <w:tcPr>
            <w:tcW w:w="2833" w:type="dxa"/>
            <w:tcBorders>
              <w:bottom w:val="single" w:sz="4" w:space="0" w:color="auto"/>
            </w:tcBorders>
          </w:tcPr>
          <w:p w:rsidR="00D7505A" w:rsidRPr="00F55F00" w:rsidRDefault="00D7505A" w:rsidP="00D7505A">
            <w:pPr>
              <w:spacing w:after="0" w:line="240" w:lineRule="auto"/>
              <w:rPr>
                <w:rFonts w:ascii="Times New Roman" w:eastAsia="MS Mincho" w:hAnsi="Times New Roman"/>
                <w:noProof/>
                <w:sz w:val="18"/>
                <w:szCs w:val="18"/>
                <w:lang w:val="es-ES_tradnl" w:eastAsia="ja-JP"/>
              </w:rPr>
            </w:pPr>
            <w:r w:rsidRPr="00F55F00">
              <w:rPr>
                <w:rFonts w:ascii="Times New Roman" w:eastAsia="MS Mincho" w:hAnsi="Times New Roman"/>
                <w:b/>
                <w:sz w:val="24"/>
                <w:szCs w:val="24"/>
                <w:lang w:val="es-ES_tradnl"/>
              </w:rPr>
              <w:t>IPBES</w:t>
            </w:r>
            <w:r w:rsidRPr="00F55F00">
              <w:rPr>
                <w:rFonts w:ascii="Times New Roman" w:eastAsia="MS Mincho" w:hAnsi="Times New Roman"/>
                <w:sz w:val="20"/>
                <w:szCs w:val="20"/>
                <w:lang w:val="es-ES_tradnl" w:eastAsia="ja-JP"/>
              </w:rPr>
              <w:t>/2/16/Add.1</w:t>
            </w:r>
          </w:p>
        </w:tc>
      </w:tr>
      <w:bookmarkStart w:id="1" w:name="_MON_1021710482"/>
      <w:bookmarkStart w:id="2" w:name="_MON_1021710510"/>
      <w:bookmarkEnd w:id="1"/>
      <w:bookmarkEnd w:id="2"/>
      <w:tr w:rsidR="00D7505A" w:rsidRPr="00F55F00" w:rsidTr="001003BC">
        <w:tblPrEx>
          <w:tblCellMar>
            <w:top w:w="0" w:type="dxa"/>
            <w:bottom w:w="0" w:type="dxa"/>
          </w:tblCellMar>
        </w:tblPrEx>
        <w:trPr>
          <w:cantSplit/>
          <w:trHeight w:val="2549"/>
        </w:trPr>
        <w:tc>
          <w:tcPr>
            <w:tcW w:w="1560" w:type="dxa"/>
            <w:tcBorders>
              <w:top w:val="single" w:sz="4" w:space="0" w:color="auto"/>
              <w:bottom w:val="single" w:sz="24" w:space="0" w:color="auto"/>
            </w:tcBorders>
          </w:tcPr>
          <w:p w:rsidR="00D7505A" w:rsidRPr="00F55F00" w:rsidRDefault="00D7505A" w:rsidP="00D7505A">
            <w:pPr>
              <w:spacing w:after="0" w:line="240" w:lineRule="auto"/>
              <w:rPr>
                <w:rFonts w:ascii="Times New Roman" w:eastAsia="MS Mincho" w:hAnsi="Times New Roman"/>
                <w:noProof/>
                <w:sz w:val="20"/>
                <w:szCs w:val="20"/>
                <w:lang w:val="es-ES_tradnl"/>
              </w:rPr>
            </w:pPr>
            <w:r w:rsidRPr="00F55F00">
              <w:rPr>
                <w:rFonts w:ascii="Times New Roman" w:eastAsia="MS Mincho" w:hAnsi="Times New Roman"/>
                <w:noProof/>
                <w:sz w:val="20"/>
                <w:szCs w:val="20"/>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1C0EBF">
              <w:rPr>
                <w:rFonts w:ascii="Times New Roman" w:eastAsia="MS Mincho" w:hAnsi="Times New Roman"/>
                <w:noProof/>
                <w:sz w:val="20"/>
                <w:szCs w:val="20"/>
                <w:lang w:val="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7505A" w:rsidRPr="00F55F00" w:rsidRDefault="00D7505A" w:rsidP="001003BC">
            <w:pPr>
              <w:spacing w:before="1400" w:after="0" w:line="240" w:lineRule="auto"/>
              <w:rPr>
                <w:rFonts w:ascii="Univers" w:eastAsia="MS Mincho" w:hAnsi="Univers"/>
                <w:b/>
                <w:sz w:val="28"/>
                <w:szCs w:val="20"/>
                <w:lang w:val="es-ES_tradnl"/>
              </w:rPr>
            </w:pPr>
            <w:r w:rsidRPr="00F55F00">
              <w:rPr>
                <w:rFonts w:ascii="Univers" w:eastAsia="MS Mincho" w:hAnsi="Univers"/>
                <w:b/>
                <w:sz w:val="32"/>
                <w:szCs w:val="32"/>
                <w:lang w:val="es-ES_tradnl"/>
              </w:rPr>
              <w:t>Program</w:t>
            </w:r>
            <w:r w:rsidR="001003BC" w:rsidRPr="00F55F00">
              <w:rPr>
                <w:rFonts w:ascii="Univers" w:eastAsia="MS Mincho" w:hAnsi="Univers"/>
                <w:b/>
                <w:sz w:val="32"/>
                <w:szCs w:val="32"/>
                <w:lang w:val="es-ES_tradnl"/>
              </w:rPr>
              <w:t>a de las</w:t>
            </w:r>
            <w:r w:rsidR="001003BC" w:rsidRPr="00F55F00">
              <w:rPr>
                <w:rFonts w:ascii="Univers" w:eastAsia="MS Mincho" w:hAnsi="Univers"/>
                <w:b/>
                <w:sz w:val="32"/>
                <w:szCs w:val="32"/>
                <w:lang w:val="es-ES_tradnl"/>
              </w:rPr>
              <w:br/>
            </w:r>
            <w:r w:rsidR="007D77AA">
              <w:rPr>
                <w:rFonts w:ascii="Univers" w:eastAsia="MS Mincho" w:hAnsi="Univers"/>
                <w:b/>
                <w:sz w:val="32"/>
                <w:szCs w:val="32"/>
                <w:lang w:val="es-ES_tradnl"/>
              </w:rPr>
              <w:t>Naciones Unidas</w:t>
            </w:r>
            <w:r w:rsidR="001003BC" w:rsidRPr="00F55F00">
              <w:rPr>
                <w:rFonts w:ascii="Univers" w:eastAsia="MS Mincho" w:hAnsi="Univers"/>
                <w:b/>
                <w:sz w:val="32"/>
                <w:szCs w:val="32"/>
                <w:lang w:val="es-ES_tradnl"/>
              </w:rPr>
              <w:br/>
              <w:t>para el M</w:t>
            </w:r>
            <w:r w:rsidRPr="00F55F00">
              <w:rPr>
                <w:rFonts w:ascii="Univers" w:eastAsia="MS Mincho" w:hAnsi="Univers"/>
                <w:b/>
                <w:sz w:val="32"/>
                <w:szCs w:val="32"/>
                <w:lang w:val="es-ES_tradnl"/>
              </w:rPr>
              <w:t>e</w:t>
            </w:r>
            <w:r w:rsidR="001003BC" w:rsidRPr="00F55F00">
              <w:rPr>
                <w:rFonts w:ascii="Univers" w:eastAsia="MS Mincho" w:hAnsi="Univers"/>
                <w:b/>
                <w:sz w:val="32"/>
                <w:szCs w:val="32"/>
                <w:lang w:val="es-ES_tradnl"/>
              </w:rPr>
              <w:t>dio Ambiente</w:t>
            </w:r>
            <w:r w:rsidRPr="00F55F00">
              <w:rPr>
                <w:rFonts w:ascii="Univers" w:eastAsia="MS Mincho" w:hAnsi="Univers"/>
                <w:b/>
                <w:sz w:val="32"/>
                <w:szCs w:val="32"/>
                <w:lang w:val="es-ES_tradnl"/>
              </w:rPr>
              <w:t xml:space="preserve"> </w:t>
            </w:r>
          </w:p>
        </w:tc>
        <w:tc>
          <w:tcPr>
            <w:tcW w:w="2833" w:type="dxa"/>
            <w:tcBorders>
              <w:top w:val="single" w:sz="4" w:space="0" w:color="auto"/>
              <w:bottom w:val="single" w:sz="24" w:space="0" w:color="auto"/>
            </w:tcBorders>
          </w:tcPr>
          <w:p w:rsidR="00D7505A" w:rsidRPr="00F55F00" w:rsidRDefault="003F78D2" w:rsidP="00F55F00">
            <w:pPr>
              <w:spacing w:before="120" w:after="0" w:line="240" w:lineRule="auto"/>
              <w:rPr>
                <w:rFonts w:ascii="Times New Roman" w:eastAsia="MS Mincho" w:hAnsi="Times New Roman"/>
                <w:sz w:val="20"/>
                <w:szCs w:val="20"/>
                <w:lang w:val="es-ES_tradnl"/>
              </w:rPr>
            </w:pPr>
            <w:r w:rsidRPr="00F55F00">
              <w:rPr>
                <w:rFonts w:ascii="Times New Roman" w:eastAsia="MS Mincho" w:hAnsi="Times New Roman"/>
                <w:sz w:val="20"/>
                <w:szCs w:val="20"/>
                <w:lang w:val="es-ES_tradnl"/>
              </w:rPr>
              <w:t>Distr.</w:t>
            </w:r>
            <w:r w:rsidR="00E31C5E" w:rsidRPr="00F55F00">
              <w:rPr>
                <w:rFonts w:ascii="Times New Roman" w:eastAsia="MS Mincho" w:hAnsi="Times New Roman"/>
                <w:sz w:val="20"/>
                <w:szCs w:val="20"/>
                <w:lang w:val="es-ES_tradnl"/>
              </w:rPr>
              <w:t xml:space="preserve"> g</w:t>
            </w:r>
            <w:r w:rsidRPr="00F55F00">
              <w:rPr>
                <w:rFonts w:ascii="Times New Roman" w:eastAsia="MS Mincho" w:hAnsi="Times New Roman"/>
                <w:sz w:val="20"/>
                <w:szCs w:val="20"/>
                <w:lang w:val="es-ES_tradnl"/>
              </w:rPr>
              <w:t>eneral</w:t>
            </w:r>
            <w:r w:rsidRPr="00F55F00">
              <w:rPr>
                <w:rFonts w:ascii="Times New Roman" w:eastAsia="MS Mincho" w:hAnsi="Times New Roman"/>
                <w:sz w:val="20"/>
                <w:szCs w:val="20"/>
                <w:lang w:val="es-ES_tradnl"/>
              </w:rPr>
              <w:br/>
            </w:r>
            <w:r w:rsidR="00D7505A" w:rsidRPr="00F55F00">
              <w:rPr>
                <w:rFonts w:ascii="Times New Roman" w:eastAsia="MS Mincho" w:hAnsi="Times New Roman"/>
                <w:sz w:val="20"/>
                <w:szCs w:val="20"/>
                <w:lang w:val="es-ES_tradnl"/>
              </w:rPr>
              <w:t xml:space="preserve">1 </w:t>
            </w:r>
            <w:r w:rsidR="001003BC" w:rsidRPr="00F55F00">
              <w:rPr>
                <w:rFonts w:ascii="Times New Roman" w:eastAsia="MS Mincho" w:hAnsi="Times New Roman"/>
                <w:sz w:val="20"/>
                <w:szCs w:val="20"/>
                <w:lang w:val="es-ES_tradnl"/>
              </w:rPr>
              <w:t>de octubre de</w:t>
            </w:r>
            <w:r w:rsidR="00D7505A" w:rsidRPr="00F55F00">
              <w:rPr>
                <w:rFonts w:ascii="Times New Roman" w:eastAsia="MS Mincho" w:hAnsi="Times New Roman"/>
                <w:sz w:val="20"/>
                <w:szCs w:val="20"/>
                <w:lang w:val="es-ES_tradnl"/>
              </w:rPr>
              <w:t xml:space="preserve"> 2013</w:t>
            </w:r>
          </w:p>
          <w:p w:rsidR="00D7505A" w:rsidRPr="00F55F00" w:rsidRDefault="001003BC" w:rsidP="00E14A56">
            <w:pPr>
              <w:spacing w:before="120" w:after="0" w:line="240" w:lineRule="auto"/>
              <w:rPr>
                <w:rFonts w:ascii="Times New Roman" w:eastAsia="MS Mincho" w:hAnsi="Times New Roman"/>
                <w:sz w:val="20"/>
                <w:szCs w:val="20"/>
                <w:lang w:val="es-ES_tradnl"/>
              </w:rPr>
            </w:pPr>
            <w:r w:rsidRPr="00F55F00">
              <w:rPr>
                <w:rFonts w:ascii="Times New Roman" w:eastAsia="MS Mincho" w:hAnsi="Times New Roman"/>
                <w:sz w:val="20"/>
                <w:szCs w:val="20"/>
                <w:lang w:val="es-ES_tradnl"/>
              </w:rPr>
              <w:t>Esp</w:t>
            </w:r>
            <w:r w:rsidR="00E14A56" w:rsidRPr="00F55F00">
              <w:rPr>
                <w:rFonts w:ascii="Times New Roman" w:eastAsia="MS Mincho" w:hAnsi="Times New Roman"/>
                <w:sz w:val="20"/>
                <w:szCs w:val="20"/>
                <w:lang w:val="es-ES_tradnl"/>
              </w:rPr>
              <w:t>a</w:t>
            </w:r>
            <w:r w:rsidRPr="00F55F00">
              <w:rPr>
                <w:rFonts w:ascii="Times New Roman" w:eastAsia="MS Mincho" w:hAnsi="Times New Roman"/>
                <w:sz w:val="20"/>
                <w:szCs w:val="20"/>
                <w:lang w:val="es-ES_tradnl"/>
              </w:rPr>
              <w:t>ñol</w:t>
            </w:r>
            <w:r w:rsidRPr="00F55F00">
              <w:rPr>
                <w:rFonts w:ascii="Times New Roman" w:eastAsia="MS Mincho" w:hAnsi="Times New Roman"/>
                <w:sz w:val="20"/>
                <w:szCs w:val="20"/>
                <w:lang w:val="es-ES_tradnl"/>
              </w:rPr>
              <w:br/>
            </w:r>
            <w:r w:rsidR="00D7505A" w:rsidRPr="00F55F00">
              <w:rPr>
                <w:rFonts w:ascii="Times New Roman" w:eastAsia="MS Mincho" w:hAnsi="Times New Roman"/>
                <w:sz w:val="20"/>
                <w:szCs w:val="20"/>
                <w:lang w:val="es-ES_tradnl"/>
              </w:rPr>
              <w:t xml:space="preserve">Original: </w:t>
            </w:r>
            <w:r w:rsidRPr="00F55F00">
              <w:rPr>
                <w:rFonts w:ascii="Times New Roman" w:eastAsia="MS Mincho" w:hAnsi="Times New Roman"/>
                <w:sz w:val="20"/>
                <w:szCs w:val="20"/>
                <w:lang w:val="es-ES_tradnl"/>
              </w:rPr>
              <w:t>inglés</w:t>
            </w:r>
            <w:r w:rsidR="00D7505A" w:rsidRPr="00F55F00">
              <w:rPr>
                <w:rFonts w:ascii="Times New Roman" w:eastAsia="MS Mincho" w:hAnsi="Times New Roman"/>
                <w:sz w:val="20"/>
                <w:szCs w:val="20"/>
                <w:lang w:val="es-ES_tradnl"/>
              </w:rPr>
              <w:t xml:space="preserve"> </w:t>
            </w:r>
          </w:p>
        </w:tc>
      </w:tr>
    </w:tbl>
    <w:p w:rsidR="001003BC" w:rsidRPr="00F55F00" w:rsidRDefault="001003BC" w:rsidP="00F55F00">
      <w:pPr>
        <w:pStyle w:val="AATitle"/>
        <w:ind w:right="3402"/>
        <w:rPr>
          <w:lang w:val="es-ES_tradnl"/>
        </w:rPr>
      </w:pPr>
      <w:r w:rsidRPr="00F55F00">
        <w:rPr>
          <w:color w:val="000000"/>
          <w:lang w:val="es-ES_tradnl"/>
        </w:rPr>
        <w:t>Plenario de la Plataforma Intergubernamental Científico</w:t>
      </w:r>
      <w:r w:rsidR="007D77AA">
        <w:rPr>
          <w:color w:val="000000"/>
          <w:lang w:val="es-ES_tradnl"/>
        </w:rPr>
        <w:noBreakHyphen/>
      </w:r>
      <w:r w:rsidRPr="00F55F00">
        <w:rPr>
          <w:color w:val="000000"/>
          <w:lang w:val="es-ES_tradnl"/>
        </w:rPr>
        <w:t>normativa sobre Diversidad Biológica</w:t>
      </w:r>
      <w:r w:rsidR="00F55F00" w:rsidRPr="00F55F00">
        <w:rPr>
          <w:color w:val="000000"/>
          <w:lang w:val="es-ES_tradnl"/>
        </w:rPr>
        <w:t xml:space="preserve"> </w:t>
      </w:r>
      <w:r w:rsidRPr="00F55F00">
        <w:rPr>
          <w:color w:val="000000"/>
          <w:lang w:val="es-ES_tradnl"/>
        </w:rPr>
        <w:t>y Servicios de los Ecosistemas</w:t>
      </w:r>
    </w:p>
    <w:p w:rsidR="001003BC" w:rsidRPr="00F55F00" w:rsidRDefault="001003BC" w:rsidP="001003BC">
      <w:pPr>
        <w:pStyle w:val="AATitle"/>
        <w:rPr>
          <w:lang w:val="es-ES_tradnl"/>
        </w:rPr>
      </w:pPr>
      <w:r w:rsidRPr="00F55F00">
        <w:rPr>
          <w:lang w:val="es-ES_tradnl"/>
        </w:rPr>
        <w:t>Segundo período de sesiones</w:t>
      </w:r>
    </w:p>
    <w:p w:rsidR="001003BC" w:rsidRPr="00F55F00" w:rsidRDefault="001003BC" w:rsidP="001003BC">
      <w:pPr>
        <w:pStyle w:val="AATitle"/>
        <w:keepNext w:val="0"/>
        <w:keepLines w:val="0"/>
        <w:rPr>
          <w:b w:val="0"/>
          <w:lang w:val="es-ES_tradnl" w:eastAsia="ja-JP"/>
        </w:rPr>
      </w:pPr>
      <w:r w:rsidRPr="00F55F00">
        <w:rPr>
          <w:b w:val="0"/>
          <w:lang w:val="es-ES_tradnl" w:eastAsia="ja-JP"/>
        </w:rPr>
        <w:t>Antalya (Turquía), 9–14 de diciembre de 2013</w:t>
      </w:r>
    </w:p>
    <w:p w:rsidR="00D7505A" w:rsidRPr="00F55F00" w:rsidRDefault="001003BC" w:rsidP="001003BC">
      <w:pPr>
        <w:pStyle w:val="AATitle"/>
        <w:rPr>
          <w:b w:val="0"/>
          <w:lang w:val="es-ES_tradnl"/>
        </w:rPr>
      </w:pPr>
      <w:r w:rsidRPr="00F55F00">
        <w:rPr>
          <w:b w:val="0"/>
          <w:lang w:val="es-ES_tradnl" w:eastAsia="ja-JP"/>
        </w:rPr>
        <w:t>Tema 4 a) del programa provisional</w:t>
      </w:r>
      <w:r w:rsidR="00D7505A" w:rsidRPr="00F55F00">
        <w:rPr>
          <w:rStyle w:val="FootnoteReference"/>
          <w:b w:val="0"/>
          <w:lang w:val="es-ES_tradnl" w:eastAsia="ja-JP"/>
        </w:rPr>
        <w:footnoteReference w:customMarkFollows="1" w:id="1"/>
        <w:sym w:font="Symbol" w:char="F02A"/>
      </w:r>
      <w:r w:rsidR="00D7505A" w:rsidRPr="00F55F00">
        <w:rPr>
          <w:b w:val="0"/>
          <w:lang w:val="es-ES_tradnl" w:eastAsia="ja-JP"/>
        </w:rPr>
        <w:t> </w:t>
      </w:r>
    </w:p>
    <w:p w:rsidR="00D7505A" w:rsidRPr="00F55F00" w:rsidRDefault="001003BC" w:rsidP="00D7505A">
      <w:pPr>
        <w:pStyle w:val="AATitle2"/>
        <w:spacing w:before="60"/>
        <w:rPr>
          <w:lang w:val="es-ES_tradnl"/>
        </w:rPr>
      </w:pPr>
      <w:r w:rsidRPr="00F55F00">
        <w:rPr>
          <w:lang w:val="es-ES_tradnl"/>
        </w:rPr>
        <w:t>Programa de trabajo inicial de la Plataforma</w:t>
      </w:r>
      <w:r w:rsidR="00D7505A" w:rsidRPr="00F55F00">
        <w:rPr>
          <w:lang w:val="es-ES_tradnl"/>
        </w:rPr>
        <w:t>:</w:t>
      </w:r>
      <w:r w:rsidR="00D7505A" w:rsidRPr="00F55F00">
        <w:rPr>
          <w:lang w:val="es-ES_tradnl"/>
        </w:rPr>
        <w:br/>
      </w:r>
      <w:r w:rsidRPr="00F55F00">
        <w:rPr>
          <w:lang w:val="es-ES_tradnl"/>
        </w:rPr>
        <w:t>programa de trabajo para</w:t>
      </w:r>
      <w:r w:rsidR="00D7505A" w:rsidRPr="00F55F00">
        <w:rPr>
          <w:lang w:val="es-ES_tradnl"/>
        </w:rPr>
        <w:t xml:space="preserve"> 2014</w:t>
      </w:r>
      <w:r w:rsidR="00367FC7" w:rsidRPr="00F55F00">
        <w:rPr>
          <w:lang w:val="es-ES_tradnl"/>
        </w:rPr>
        <w:t>–</w:t>
      </w:r>
      <w:r w:rsidR="00D7505A" w:rsidRPr="00F55F00">
        <w:rPr>
          <w:lang w:val="es-ES_tradnl"/>
        </w:rPr>
        <w:t>2018</w:t>
      </w:r>
    </w:p>
    <w:p w:rsidR="00D7505A" w:rsidRPr="00F55F00" w:rsidRDefault="001003BC" w:rsidP="00D7505A">
      <w:pPr>
        <w:pStyle w:val="BBTitle"/>
        <w:rPr>
          <w:lang w:val="es-ES_tradnl"/>
        </w:rPr>
      </w:pPr>
      <w:r w:rsidRPr="00F55F00">
        <w:rPr>
          <w:lang w:val="es-ES_tradnl"/>
        </w:rPr>
        <w:t xml:space="preserve">Análisis inicial de la evaluación </w:t>
      </w:r>
      <w:r w:rsidR="00F3070D" w:rsidRPr="00F55F00">
        <w:rPr>
          <w:lang w:val="es-ES_tradnl"/>
        </w:rPr>
        <w:t xml:space="preserve">temática </w:t>
      </w:r>
      <w:r w:rsidRPr="00F55F00">
        <w:rPr>
          <w:lang w:val="es-ES_tradnl"/>
        </w:rPr>
        <w:t>por vía rápida de la polinización y la producción de alimentos</w:t>
      </w:r>
    </w:p>
    <w:p w:rsidR="006A45CB" w:rsidRPr="00F55F00" w:rsidRDefault="003E61BB" w:rsidP="002657A9">
      <w:pPr>
        <w:pStyle w:val="CH2"/>
        <w:rPr>
          <w:lang w:val="es-ES_tradnl"/>
        </w:rPr>
      </w:pPr>
      <w:r w:rsidRPr="00F55F00">
        <w:rPr>
          <w:lang w:val="es-ES_tradnl"/>
        </w:rPr>
        <w:tab/>
      </w:r>
      <w:r w:rsidRPr="00F55F00">
        <w:rPr>
          <w:lang w:val="es-ES_tradnl"/>
        </w:rPr>
        <w:tab/>
      </w:r>
      <w:r w:rsidR="006A45CB" w:rsidRPr="00F55F00">
        <w:rPr>
          <w:lang w:val="es-ES_tradnl"/>
        </w:rPr>
        <w:t>Not</w:t>
      </w:r>
      <w:r w:rsidR="001003BC" w:rsidRPr="00F55F00">
        <w:rPr>
          <w:lang w:val="es-ES_tradnl"/>
        </w:rPr>
        <w:t>a</w:t>
      </w:r>
      <w:r w:rsidR="006A45CB" w:rsidRPr="00F55F00">
        <w:rPr>
          <w:lang w:val="es-ES_tradnl"/>
        </w:rPr>
        <w:t xml:space="preserve"> </w:t>
      </w:r>
      <w:r w:rsidR="001003BC" w:rsidRPr="00F55F00">
        <w:rPr>
          <w:lang w:val="es-ES_tradnl"/>
        </w:rPr>
        <w:t>de la se</w:t>
      </w:r>
      <w:r w:rsidR="00223261" w:rsidRPr="00F55F00">
        <w:rPr>
          <w:lang w:val="es-ES_tradnl"/>
        </w:rPr>
        <w:t>c</w:t>
      </w:r>
      <w:r w:rsidR="001003BC" w:rsidRPr="00F55F00">
        <w:rPr>
          <w:lang w:val="es-ES_tradnl"/>
        </w:rPr>
        <w:t>retaría</w:t>
      </w:r>
    </w:p>
    <w:p w:rsidR="00F3070D" w:rsidRPr="00F55F00" w:rsidRDefault="00F3070D" w:rsidP="00433940">
      <w:pPr>
        <w:numPr>
          <w:ilvl w:val="0"/>
          <w:numId w:val="16"/>
        </w:numPr>
        <w:spacing w:after="0" w:line="240" w:lineRule="auto"/>
        <w:rPr>
          <w:rFonts w:ascii="Times New Roman" w:hAnsi="Times New Roman"/>
          <w:lang w:val="es-ES_tradnl"/>
        </w:rPr>
      </w:pPr>
      <w:r w:rsidRPr="00F55F00">
        <w:rPr>
          <w:rFonts w:ascii="Times New Roman" w:eastAsia="MS Mincho" w:hAnsi="Times New Roman"/>
          <w:b/>
          <w:noProof/>
          <w:sz w:val="27"/>
          <w:szCs w:val="27"/>
          <w:lang w:val="es-ES_tradnl"/>
        </w:rPr>
        <w:t>Introducción</w:t>
      </w:r>
    </w:p>
    <w:p w:rsidR="00AF2776" w:rsidRPr="00F55F00" w:rsidRDefault="000E1251" w:rsidP="000E1251">
      <w:pPr>
        <w:pStyle w:val="Normalnumber"/>
        <w:rPr>
          <w:lang w:val="es-ES_tradnl"/>
        </w:rPr>
      </w:pPr>
      <w:r w:rsidRPr="00F55F00">
        <w:rPr>
          <w:lang w:val="es-ES_tradnl"/>
        </w:rPr>
        <w:t>Reconociendo la necesidad de avanzar con el programa de trabajo para el período 2014–2018, tras su aprobación por el Plenario de la Plataforma Intergubernamental Científico</w:t>
      </w:r>
      <w:r w:rsidR="007D77AA">
        <w:rPr>
          <w:lang w:val="es-ES_tradnl"/>
        </w:rPr>
        <w:noBreakHyphen/>
      </w:r>
      <w:r w:rsidRPr="00F55F00">
        <w:rPr>
          <w:lang w:val="es-ES_tradnl"/>
        </w:rPr>
        <w:t>normativa sobre Diversidad Biológica y Servicios de los Ecosistemas en su segundo período de sesiones, la Mesa y el Grupo multidisciplinario de expertos acordaron preparar, para su examen por el Plenario en ese período de sesiones, una serie de documentos de análisis inicial basándose en las prioridades asignadas a las solicitudes, sugerencias y aportaciones presentadas a la Plataforma y en los productos previstos que se incluían en el proyecto de programa de trabajo (IPBES/2/2).</w:t>
      </w:r>
      <w:r w:rsidR="00433940" w:rsidRPr="00F55F00">
        <w:rPr>
          <w:lang w:val="es-ES_tradnl"/>
        </w:rPr>
        <w:t xml:space="preserve"> </w:t>
      </w:r>
      <w:r w:rsidRPr="00F55F00">
        <w:rPr>
          <w:lang w:val="es-ES_tradnl"/>
        </w:rPr>
        <w:t xml:space="preserve">En la presente nota figura el análisis inicial de una propuesta de evaluación temática por vía rápida de </w:t>
      </w:r>
      <w:r w:rsidR="00223261" w:rsidRPr="00F55F00">
        <w:rPr>
          <w:lang w:val="es-ES_tradnl"/>
        </w:rPr>
        <w:t>la polinización y la producción de alimentos</w:t>
      </w:r>
      <w:r w:rsidR="000F1A70" w:rsidRPr="00F55F00">
        <w:rPr>
          <w:lang w:val="es-ES_tradnl"/>
        </w:rPr>
        <w:t>.</w:t>
      </w:r>
      <w:r w:rsidR="007D77AA">
        <w:rPr>
          <w:lang w:val="es-ES_tradnl"/>
        </w:rPr>
        <w:t xml:space="preserve"> </w:t>
      </w:r>
      <w:r w:rsidRPr="00F55F00">
        <w:rPr>
          <w:lang w:val="es-ES_tradnl"/>
        </w:rPr>
        <w:t>El análisis se elaboró de conformidad con el proyecto de procedimientos para preparar los resultados previstos de la Plataforma (IPBES/2/9)</w:t>
      </w:r>
      <w:r w:rsidR="00AF2776" w:rsidRPr="00F55F00">
        <w:rPr>
          <w:lang w:val="es-ES_tradnl"/>
        </w:rPr>
        <w:t xml:space="preserve">. </w:t>
      </w:r>
    </w:p>
    <w:p w:rsidR="00D7505A" w:rsidRPr="00F55F00" w:rsidRDefault="00B172F7" w:rsidP="00775FC8">
      <w:pPr>
        <w:pStyle w:val="CH1"/>
        <w:rPr>
          <w:lang w:val="es-ES_tradnl"/>
        </w:rPr>
      </w:pPr>
      <w:r w:rsidRPr="00F55F00">
        <w:rPr>
          <w:lang w:val="es-ES_tradnl"/>
        </w:rPr>
        <w:tab/>
      </w:r>
      <w:r w:rsidR="00D858B9" w:rsidRPr="00F55F00">
        <w:rPr>
          <w:lang w:val="es-ES_tradnl"/>
        </w:rPr>
        <w:t>I</w:t>
      </w:r>
      <w:r w:rsidR="00BD19BD" w:rsidRPr="00F55F00">
        <w:rPr>
          <w:lang w:val="es-ES_tradnl"/>
        </w:rPr>
        <w:t>I</w:t>
      </w:r>
      <w:r w:rsidR="00D858B9" w:rsidRPr="00F55F00">
        <w:rPr>
          <w:lang w:val="es-ES_tradnl"/>
        </w:rPr>
        <w:t>.</w:t>
      </w:r>
      <w:r w:rsidRPr="00F55F00">
        <w:rPr>
          <w:lang w:val="es-ES_tradnl"/>
        </w:rPr>
        <w:tab/>
      </w:r>
      <w:r w:rsidR="00DB669C" w:rsidRPr="00F55F00">
        <w:rPr>
          <w:lang w:val="es-ES_tradnl"/>
        </w:rPr>
        <w:t>Ámbito</w:t>
      </w:r>
      <w:r w:rsidR="00D7505A" w:rsidRPr="00F55F00">
        <w:rPr>
          <w:lang w:val="es-ES_tradnl"/>
        </w:rPr>
        <w:t xml:space="preserve">, </w:t>
      </w:r>
      <w:r w:rsidR="00DB669C" w:rsidRPr="00F55F00">
        <w:rPr>
          <w:lang w:val="es-ES_tradnl"/>
        </w:rPr>
        <w:t>fundamento</w:t>
      </w:r>
      <w:r w:rsidR="00D7505A" w:rsidRPr="00F55F00">
        <w:rPr>
          <w:lang w:val="es-ES_tradnl"/>
        </w:rPr>
        <w:t>, utili</w:t>
      </w:r>
      <w:r w:rsidR="00D24AFD" w:rsidRPr="00F55F00">
        <w:rPr>
          <w:lang w:val="es-ES_tradnl"/>
        </w:rPr>
        <w:t>dad y supuestos</w:t>
      </w:r>
    </w:p>
    <w:p w:rsidR="00D858B9" w:rsidRPr="00F55F00" w:rsidRDefault="00D858B9" w:rsidP="00775FC8">
      <w:pPr>
        <w:pStyle w:val="CH2"/>
        <w:rPr>
          <w:lang w:val="es-ES_tradnl"/>
        </w:rPr>
      </w:pPr>
      <w:r w:rsidRPr="00F55F00">
        <w:rPr>
          <w:lang w:val="es-ES_tradnl"/>
        </w:rPr>
        <w:tab/>
        <w:t>A.</w:t>
      </w:r>
      <w:r w:rsidRPr="00F55F00">
        <w:rPr>
          <w:lang w:val="es-ES_tradnl"/>
        </w:rPr>
        <w:tab/>
      </w:r>
      <w:r w:rsidR="00DB669C" w:rsidRPr="00F55F00">
        <w:rPr>
          <w:lang w:val="es-ES_tradnl"/>
        </w:rPr>
        <w:t>Ámbito</w:t>
      </w:r>
      <w:r w:rsidR="00D7505A" w:rsidRPr="00F55F00">
        <w:rPr>
          <w:lang w:val="es-ES_tradnl"/>
        </w:rPr>
        <w:t xml:space="preserve"> </w:t>
      </w:r>
    </w:p>
    <w:p w:rsidR="00D7505A" w:rsidRPr="00F55F00" w:rsidRDefault="00E14A56" w:rsidP="00B172F7">
      <w:pPr>
        <w:pStyle w:val="Normalnumber"/>
        <w:rPr>
          <w:lang w:val="es-ES_tradnl"/>
        </w:rPr>
      </w:pPr>
      <w:r w:rsidRPr="00F55F00">
        <w:rPr>
          <w:lang w:val="es-ES_tradnl"/>
        </w:rPr>
        <w:t xml:space="preserve">El objetivo de la </w:t>
      </w:r>
      <w:r w:rsidR="00A7255E" w:rsidRPr="00F55F00">
        <w:rPr>
          <w:lang w:val="es-ES_tradnl"/>
        </w:rPr>
        <w:t xml:space="preserve">propuesta de </w:t>
      </w:r>
      <w:r w:rsidRPr="00F55F00">
        <w:rPr>
          <w:lang w:val="es-ES_tradnl"/>
        </w:rPr>
        <w:t xml:space="preserve">evaluación </w:t>
      </w:r>
      <w:r w:rsidR="007E2490" w:rsidRPr="00F55F00">
        <w:rPr>
          <w:lang w:val="es-ES_tradnl"/>
        </w:rPr>
        <w:t xml:space="preserve">temática </w:t>
      </w:r>
      <w:r w:rsidRPr="00F55F00">
        <w:rPr>
          <w:lang w:val="es-ES_tradnl"/>
        </w:rPr>
        <w:t>por vía rápida de la polinización y la producción de alimentos es determinar los cambios en la polinización como servicio regulador que prestan los ecosistemas para la producción de alimentos en el contexto de su función de apoyo al bienestar humano y al mantenimiento de la diversidad biológica en sentido más general</w:t>
      </w:r>
      <w:r w:rsidR="00D7505A" w:rsidRPr="00F55F00">
        <w:rPr>
          <w:lang w:val="es-ES_tradnl"/>
        </w:rPr>
        <w:t xml:space="preserve">, </w:t>
      </w:r>
      <w:r w:rsidRPr="00F55F00">
        <w:rPr>
          <w:lang w:val="es-ES_tradnl"/>
        </w:rPr>
        <w:t>con hincapié en el estado y las tendencias de los polinizadores y la dinámi</w:t>
      </w:r>
      <w:r w:rsidR="00C07CA9" w:rsidRPr="00F55F00">
        <w:rPr>
          <w:lang w:val="es-ES_tradnl"/>
        </w:rPr>
        <w:t>c</w:t>
      </w:r>
      <w:r w:rsidRPr="00F55F00">
        <w:rPr>
          <w:lang w:val="es-ES_tradnl"/>
        </w:rPr>
        <w:t>a y diversidad de la polinización</w:t>
      </w:r>
      <w:r w:rsidR="00D7505A" w:rsidRPr="00F55F00">
        <w:rPr>
          <w:lang w:val="es-ES_tradnl"/>
        </w:rPr>
        <w:t xml:space="preserve">, </w:t>
      </w:r>
      <w:r w:rsidR="00C07CA9" w:rsidRPr="00F55F00">
        <w:rPr>
          <w:lang w:val="es-ES_tradnl"/>
        </w:rPr>
        <w:t>l</w:t>
      </w:r>
      <w:r w:rsidR="00241AAA" w:rsidRPr="00F55F00">
        <w:rPr>
          <w:lang w:val="es-ES_tradnl"/>
        </w:rPr>
        <w:t>o</w:t>
      </w:r>
      <w:r w:rsidR="00C07CA9" w:rsidRPr="00F55F00">
        <w:rPr>
          <w:lang w:val="es-ES_tradnl"/>
        </w:rPr>
        <w:t>s f</w:t>
      </w:r>
      <w:r w:rsidR="00241AAA" w:rsidRPr="00F55F00">
        <w:rPr>
          <w:lang w:val="es-ES_tradnl"/>
        </w:rPr>
        <w:t xml:space="preserve">actores </w:t>
      </w:r>
      <w:r w:rsidR="00C07CA9" w:rsidRPr="00F55F00">
        <w:rPr>
          <w:lang w:val="es-ES_tradnl"/>
        </w:rPr>
        <w:t>que provocan el cambio</w:t>
      </w:r>
      <w:r w:rsidR="00D7505A" w:rsidRPr="00F55F00">
        <w:rPr>
          <w:lang w:val="es-ES_tradnl"/>
        </w:rPr>
        <w:t xml:space="preserve">, </w:t>
      </w:r>
      <w:r w:rsidR="00C07CA9" w:rsidRPr="00F55F00">
        <w:rPr>
          <w:lang w:val="es-ES_tradnl"/>
        </w:rPr>
        <w:t xml:space="preserve">los efectos en el bienestar humano de la disminución </w:t>
      </w:r>
      <w:r w:rsidR="00A7255E" w:rsidRPr="00F55F00">
        <w:rPr>
          <w:lang w:val="es-ES_tradnl"/>
        </w:rPr>
        <w:t xml:space="preserve">de la polinización </w:t>
      </w:r>
      <w:r w:rsidR="00C07CA9" w:rsidRPr="00F55F00">
        <w:rPr>
          <w:lang w:val="es-ES_tradnl"/>
        </w:rPr>
        <w:t>y los déficits de polinización y la eficacia de las respuestas a esa disminución y a esos déficits</w:t>
      </w:r>
      <w:r w:rsidR="00D7505A" w:rsidRPr="00F55F00">
        <w:rPr>
          <w:lang w:val="es-ES_tradnl"/>
        </w:rPr>
        <w:t>.</w:t>
      </w:r>
      <w:r w:rsidR="00697289" w:rsidRPr="00F55F00">
        <w:rPr>
          <w:lang w:val="es-ES_tradnl"/>
        </w:rPr>
        <w:t xml:space="preserve"> </w:t>
      </w:r>
    </w:p>
    <w:p w:rsidR="00D858B9" w:rsidRPr="00F55F00" w:rsidRDefault="00D858B9" w:rsidP="00775FC8">
      <w:pPr>
        <w:pStyle w:val="CH2"/>
        <w:rPr>
          <w:lang w:val="es-ES_tradnl"/>
        </w:rPr>
      </w:pPr>
      <w:r w:rsidRPr="00F55F00">
        <w:rPr>
          <w:lang w:val="es-ES_tradnl"/>
        </w:rPr>
        <w:tab/>
        <w:t>B.</w:t>
      </w:r>
      <w:r w:rsidRPr="00F55F00">
        <w:rPr>
          <w:lang w:val="es-ES_tradnl"/>
        </w:rPr>
        <w:tab/>
      </w:r>
      <w:r w:rsidR="00DB669C" w:rsidRPr="00F55F00">
        <w:rPr>
          <w:lang w:val="es-ES_tradnl"/>
        </w:rPr>
        <w:t xml:space="preserve">Fundamento </w:t>
      </w:r>
    </w:p>
    <w:p w:rsidR="00D7505A" w:rsidRPr="00F55F00" w:rsidRDefault="0068255E" w:rsidP="00B172F7">
      <w:pPr>
        <w:pStyle w:val="Normalnumber"/>
        <w:rPr>
          <w:lang w:val="es-ES_tradnl"/>
        </w:rPr>
      </w:pPr>
      <w:r w:rsidRPr="00F55F00">
        <w:rPr>
          <w:lang w:val="es-ES_tradnl"/>
        </w:rPr>
        <w:t xml:space="preserve">Es necesario que se haga una evaluación del tipo que se propone como medio para facilitar </w:t>
      </w:r>
      <w:r w:rsidR="00285CC8" w:rsidRPr="00F55F00">
        <w:rPr>
          <w:lang w:val="es-ES_tradnl"/>
        </w:rPr>
        <w:t xml:space="preserve">mejores respuestas normativas a la disminución de </w:t>
      </w:r>
      <w:r w:rsidR="00800614" w:rsidRPr="00F55F00">
        <w:rPr>
          <w:lang w:val="es-ES_tradnl"/>
        </w:rPr>
        <w:t xml:space="preserve">la </w:t>
      </w:r>
      <w:r w:rsidR="00285CC8" w:rsidRPr="00F55F00">
        <w:rPr>
          <w:lang w:val="es-ES_tradnl"/>
        </w:rPr>
        <w:t>polinización</w:t>
      </w:r>
      <w:r w:rsidR="00800614" w:rsidRPr="00F55F00">
        <w:rPr>
          <w:lang w:val="es-ES_tradnl"/>
        </w:rPr>
        <w:t xml:space="preserve"> y a los déficits de polinización</w:t>
      </w:r>
      <w:r w:rsidR="00285CC8" w:rsidRPr="00F55F00">
        <w:rPr>
          <w:lang w:val="es-ES_tradnl"/>
        </w:rPr>
        <w:t xml:space="preserve">, un servicio esencial de regulación de los ecosistemas, que sustenta la producción de alimentos y el </w:t>
      </w:r>
      <w:r w:rsidR="00285CC8" w:rsidRPr="00F55F00">
        <w:rPr>
          <w:lang w:val="es-ES_tradnl"/>
        </w:rPr>
        <w:lastRenderedPageBreak/>
        <w:t>bienestar humano</w:t>
      </w:r>
      <w:r w:rsidR="00D7505A" w:rsidRPr="00F55F00">
        <w:rPr>
          <w:lang w:val="es-ES_tradnl"/>
        </w:rPr>
        <w:t>.</w:t>
      </w:r>
      <w:r w:rsidR="00D7505A" w:rsidRPr="00F55F00">
        <w:rPr>
          <w:rFonts w:eastAsia="SimSun"/>
          <w:color w:val="000000"/>
          <w:lang w:val="es-ES_tradnl" w:eastAsia="zh-CN"/>
        </w:rPr>
        <w:t xml:space="preserve"> </w:t>
      </w:r>
      <w:r w:rsidR="00A7255E" w:rsidRPr="00F55F00">
        <w:rPr>
          <w:rFonts w:eastAsia="SimSun"/>
          <w:color w:val="000000"/>
          <w:lang w:val="es-ES_tradnl" w:eastAsia="zh-CN"/>
        </w:rPr>
        <w:t>En 2005 e</w:t>
      </w:r>
      <w:r w:rsidR="00285CC8" w:rsidRPr="00F55F00">
        <w:rPr>
          <w:rFonts w:eastAsia="SimSun"/>
          <w:color w:val="000000"/>
          <w:lang w:val="es-ES_tradnl" w:eastAsia="zh-CN"/>
        </w:rPr>
        <w:t>l valor económico a nivel mundial de los servicios de polinización</w:t>
      </w:r>
      <w:r w:rsidR="00285CC8" w:rsidRPr="00F55F00">
        <w:rPr>
          <w:lang w:val="es-ES_tradnl"/>
        </w:rPr>
        <w:t xml:space="preserve"> que prestan los </w:t>
      </w:r>
      <w:r w:rsidR="00D7505A" w:rsidRPr="00F55F00">
        <w:rPr>
          <w:lang w:val="es-ES_tradnl"/>
        </w:rPr>
        <w:t>insect</w:t>
      </w:r>
      <w:r w:rsidR="00B2338A" w:rsidRPr="00F55F00">
        <w:rPr>
          <w:lang w:val="es-ES_tradnl"/>
        </w:rPr>
        <w:t>os</w:t>
      </w:r>
      <w:r w:rsidR="00D7505A" w:rsidRPr="00F55F00">
        <w:rPr>
          <w:lang w:val="es-ES_tradnl"/>
        </w:rPr>
        <w:t xml:space="preserve"> </w:t>
      </w:r>
      <w:r w:rsidR="00B2338A" w:rsidRPr="00F55F00">
        <w:rPr>
          <w:lang w:val="es-ES_tradnl"/>
        </w:rPr>
        <w:t>polinizadores,</w:t>
      </w:r>
      <w:r w:rsidR="004A2DF0" w:rsidRPr="00F55F00">
        <w:rPr>
          <w:lang w:val="es-ES_tradnl"/>
        </w:rPr>
        <w:t xml:space="preserve"> </w:t>
      </w:r>
      <w:r w:rsidR="00B2338A" w:rsidRPr="00F55F00">
        <w:rPr>
          <w:lang w:val="es-ES_tradnl"/>
        </w:rPr>
        <w:t xml:space="preserve">fundamentalmente las abejas, </w:t>
      </w:r>
      <w:r w:rsidR="00285CC8" w:rsidRPr="00F55F00">
        <w:rPr>
          <w:lang w:val="es-ES_tradnl"/>
        </w:rPr>
        <w:t>se estim</w:t>
      </w:r>
      <w:r w:rsidR="00A7255E" w:rsidRPr="00F55F00">
        <w:rPr>
          <w:lang w:val="es-ES_tradnl"/>
        </w:rPr>
        <w:t>ó</w:t>
      </w:r>
      <w:r w:rsidR="00285CC8" w:rsidRPr="00F55F00">
        <w:rPr>
          <w:lang w:val="es-ES_tradnl"/>
        </w:rPr>
        <w:t xml:space="preserve"> en </w:t>
      </w:r>
      <w:r w:rsidR="00D7505A" w:rsidRPr="00F55F00">
        <w:rPr>
          <w:lang w:val="es-ES_tradnl"/>
        </w:rPr>
        <w:t xml:space="preserve">153 </w:t>
      </w:r>
      <w:r w:rsidR="00B2338A" w:rsidRPr="00F55F00">
        <w:rPr>
          <w:lang w:val="es-ES_tradnl"/>
        </w:rPr>
        <w:t>mil millones de euros</w:t>
      </w:r>
      <w:r w:rsidR="00D7505A" w:rsidRPr="00F55F00">
        <w:rPr>
          <w:lang w:val="es-ES_tradnl"/>
        </w:rPr>
        <w:t xml:space="preserve"> (217 </w:t>
      </w:r>
      <w:r w:rsidR="00B2338A" w:rsidRPr="00F55F00">
        <w:rPr>
          <w:lang w:val="es-ES_tradnl"/>
        </w:rPr>
        <w:t>mil millones de dólares</w:t>
      </w:r>
      <w:r w:rsidR="00D7505A" w:rsidRPr="00F55F00">
        <w:rPr>
          <w:lang w:val="es-ES_tradnl"/>
        </w:rPr>
        <w:t xml:space="preserve">) </w:t>
      </w:r>
      <w:r w:rsidR="00285CC8" w:rsidRPr="00F55F00">
        <w:rPr>
          <w:lang w:val="es-ES_tradnl"/>
        </w:rPr>
        <w:t>anuales para los principales cultivos que alimentan al mundo</w:t>
      </w:r>
      <w:r w:rsidR="00D7505A" w:rsidRPr="00F55F00">
        <w:rPr>
          <w:lang w:val="es-ES_tradnl"/>
        </w:rPr>
        <w:t xml:space="preserve">. </w:t>
      </w:r>
      <w:r w:rsidR="00285CC8" w:rsidRPr="00F55F00">
        <w:rPr>
          <w:lang w:val="es-ES_tradnl"/>
        </w:rPr>
        <w:t>Esta cifra representa el</w:t>
      </w:r>
      <w:r w:rsidR="00D7505A" w:rsidRPr="00F55F00">
        <w:rPr>
          <w:lang w:val="es-ES_tradnl"/>
        </w:rPr>
        <w:t xml:space="preserve"> 9</w:t>
      </w:r>
      <w:r w:rsidR="00285CC8" w:rsidRPr="00F55F00">
        <w:rPr>
          <w:lang w:val="es-ES_tradnl"/>
        </w:rPr>
        <w:t>,</w:t>
      </w:r>
      <w:r w:rsidR="00D7505A" w:rsidRPr="00F55F00">
        <w:rPr>
          <w:lang w:val="es-ES_tradnl"/>
        </w:rPr>
        <w:t>5</w:t>
      </w:r>
      <w:r w:rsidR="003E61BB" w:rsidRPr="00F55F00">
        <w:rPr>
          <w:lang w:val="es-ES_tradnl"/>
        </w:rPr>
        <w:t> </w:t>
      </w:r>
      <w:r w:rsidR="00285CC8" w:rsidRPr="00F55F00">
        <w:rPr>
          <w:lang w:val="es-ES_tradnl"/>
        </w:rPr>
        <w:t>% del valor total de la producción mundial de alimentos agrícolas</w:t>
      </w:r>
      <w:r w:rsidR="00D7505A" w:rsidRPr="00F55F00">
        <w:rPr>
          <w:vertAlign w:val="superscript"/>
          <w:lang w:val="es-ES_tradnl"/>
        </w:rPr>
        <w:footnoteReference w:id="2"/>
      </w:r>
      <w:r w:rsidR="00285CC8" w:rsidRPr="00F55F00">
        <w:rPr>
          <w:lang w:val="es-ES_tradnl"/>
        </w:rPr>
        <w:t>.</w:t>
      </w:r>
      <w:r w:rsidR="00D7505A" w:rsidRPr="00F55F00">
        <w:rPr>
          <w:lang w:val="es-ES_tradnl"/>
        </w:rPr>
        <w:t xml:space="preserve"> </w:t>
      </w:r>
    </w:p>
    <w:p w:rsidR="00D858B9" w:rsidRPr="00F55F00" w:rsidRDefault="00D858B9" w:rsidP="00775FC8">
      <w:pPr>
        <w:pStyle w:val="CH2"/>
        <w:rPr>
          <w:lang w:val="es-ES_tradnl"/>
        </w:rPr>
      </w:pPr>
      <w:r w:rsidRPr="00F55F00">
        <w:rPr>
          <w:lang w:val="es-ES_tradnl"/>
        </w:rPr>
        <w:tab/>
        <w:t>C.</w:t>
      </w:r>
      <w:r w:rsidRPr="00F55F00">
        <w:rPr>
          <w:lang w:val="es-ES_tradnl"/>
        </w:rPr>
        <w:tab/>
      </w:r>
      <w:r w:rsidR="00DB669C" w:rsidRPr="00F55F00">
        <w:rPr>
          <w:lang w:val="es-ES_tradnl"/>
        </w:rPr>
        <w:t>Utilidad</w:t>
      </w:r>
    </w:p>
    <w:p w:rsidR="00160890" w:rsidRPr="00F55F00" w:rsidRDefault="007E2490" w:rsidP="00C07CA9">
      <w:pPr>
        <w:pStyle w:val="Normalnumber"/>
        <w:rPr>
          <w:lang w:val="es-ES_tradnl"/>
        </w:rPr>
      </w:pPr>
      <w:r w:rsidRPr="00F55F00">
        <w:rPr>
          <w:lang w:val="es-ES_tradnl"/>
        </w:rPr>
        <w:t>L</w:t>
      </w:r>
      <w:r w:rsidR="00C07CA9" w:rsidRPr="00F55F00">
        <w:rPr>
          <w:lang w:val="es-ES_tradnl"/>
        </w:rPr>
        <w:t xml:space="preserve">a evaluación propuesta </w:t>
      </w:r>
      <w:r w:rsidR="008C058E" w:rsidRPr="00F55F00">
        <w:rPr>
          <w:lang w:val="es-ES_tradnl"/>
        </w:rPr>
        <w:t>determinar</w:t>
      </w:r>
      <w:r w:rsidRPr="00F55F00">
        <w:rPr>
          <w:lang w:val="es-ES_tradnl"/>
        </w:rPr>
        <w:t>á</w:t>
      </w:r>
      <w:r w:rsidR="008C058E" w:rsidRPr="00F55F00">
        <w:rPr>
          <w:lang w:val="es-ES_tradnl"/>
        </w:rPr>
        <w:t xml:space="preserve"> los resultados</w:t>
      </w:r>
      <w:r w:rsidR="00C07CA9" w:rsidRPr="00F55F00">
        <w:rPr>
          <w:lang w:val="es-ES_tradnl"/>
        </w:rPr>
        <w:t xml:space="preserve"> de interés normativo para la adopción de decisiones de los gobiernos, </w:t>
      </w:r>
      <w:r w:rsidR="00B2338A" w:rsidRPr="00F55F00">
        <w:rPr>
          <w:lang w:val="es-ES_tradnl"/>
        </w:rPr>
        <w:t>el sector privado</w:t>
      </w:r>
      <w:r w:rsidR="00D7505A" w:rsidRPr="00F55F00">
        <w:rPr>
          <w:lang w:val="es-ES_tradnl"/>
        </w:rPr>
        <w:t xml:space="preserve"> </w:t>
      </w:r>
      <w:r w:rsidR="00285CC8" w:rsidRPr="00F55F00">
        <w:rPr>
          <w:lang w:val="es-ES_tradnl"/>
        </w:rPr>
        <w:t>y la sociedad</w:t>
      </w:r>
      <w:r w:rsidR="00D7505A" w:rsidRPr="00F55F00">
        <w:rPr>
          <w:lang w:val="es-ES_tradnl"/>
        </w:rPr>
        <w:t xml:space="preserve"> civil </w:t>
      </w:r>
      <w:r w:rsidR="00C07CA9" w:rsidRPr="00F55F00">
        <w:rPr>
          <w:lang w:val="es-ES_tradnl"/>
        </w:rPr>
        <w:t>en un ámbito que está experimentando cambios rápidos</w:t>
      </w:r>
      <w:r w:rsidR="00D7505A" w:rsidRPr="00F55F00">
        <w:rPr>
          <w:lang w:val="es-ES_tradnl"/>
        </w:rPr>
        <w:t xml:space="preserve"> </w:t>
      </w:r>
      <w:r w:rsidR="00C07CA9" w:rsidRPr="00F55F00">
        <w:rPr>
          <w:lang w:val="es-ES_tradnl"/>
        </w:rPr>
        <w:t>y</w:t>
      </w:r>
      <w:r w:rsidR="00D7505A" w:rsidRPr="00F55F00">
        <w:rPr>
          <w:lang w:val="es-ES_tradnl"/>
        </w:rPr>
        <w:t xml:space="preserve"> </w:t>
      </w:r>
      <w:r w:rsidR="00A7255E" w:rsidRPr="00F55F00">
        <w:rPr>
          <w:lang w:val="es-ES_tradnl"/>
        </w:rPr>
        <w:t xml:space="preserve">se </w:t>
      </w:r>
      <w:r w:rsidR="00D7505A" w:rsidRPr="00F55F00">
        <w:rPr>
          <w:lang w:val="es-ES_tradnl"/>
        </w:rPr>
        <w:t>contribu</w:t>
      </w:r>
      <w:r w:rsidR="00C07CA9" w:rsidRPr="00F55F00">
        <w:rPr>
          <w:lang w:val="es-ES_tradnl"/>
        </w:rPr>
        <w:t>ir</w:t>
      </w:r>
      <w:r w:rsidR="00A7255E" w:rsidRPr="00F55F00">
        <w:rPr>
          <w:lang w:val="es-ES_tradnl"/>
        </w:rPr>
        <w:t>á</w:t>
      </w:r>
      <w:r w:rsidR="00D7505A" w:rsidRPr="00F55F00">
        <w:rPr>
          <w:lang w:val="es-ES_tradnl"/>
        </w:rPr>
        <w:t xml:space="preserve"> </w:t>
      </w:r>
      <w:r w:rsidR="00285CC8" w:rsidRPr="00F55F00">
        <w:rPr>
          <w:lang w:val="es-ES_tradnl"/>
        </w:rPr>
        <w:t xml:space="preserve">a la consecución de la Meta 14 de Aichi para la </w:t>
      </w:r>
      <w:r w:rsidR="00C94B38" w:rsidRPr="00F55F00">
        <w:rPr>
          <w:lang w:val="es-ES_tradnl"/>
        </w:rPr>
        <w:t>D</w:t>
      </w:r>
      <w:r w:rsidR="00285CC8" w:rsidRPr="00F55F00">
        <w:rPr>
          <w:lang w:val="es-ES_tradnl"/>
        </w:rPr>
        <w:t xml:space="preserve">iversidad </w:t>
      </w:r>
      <w:r w:rsidR="00C94B38" w:rsidRPr="00F55F00">
        <w:rPr>
          <w:lang w:val="es-ES_tradnl"/>
        </w:rPr>
        <w:t>B</w:t>
      </w:r>
      <w:r w:rsidR="00285CC8" w:rsidRPr="00F55F00">
        <w:rPr>
          <w:lang w:val="es-ES_tradnl"/>
        </w:rPr>
        <w:t>iológica de</w:t>
      </w:r>
      <w:r w:rsidR="00C94B38" w:rsidRPr="00F55F00">
        <w:rPr>
          <w:lang w:val="es-ES_tradnl"/>
        </w:rPr>
        <w:t>l Convenio sobre la Diversidad Biológica</w:t>
      </w:r>
      <w:r w:rsidR="00D7505A" w:rsidRPr="00F55F00">
        <w:rPr>
          <w:lang w:val="es-ES_tradnl"/>
        </w:rPr>
        <w:t xml:space="preserve">; </w:t>
      </w:r>
      <w:r w:rsidR="00800614" w:rsidRPr="00F55F00">
        <w:rPr>
          <w:lang w:val="es-ES_tradnl"/>
        </w:rPr>
        <w:t xml:space="preserve">se </w:t>
      </w:r>
      <w:r w:rsidR="00D7505A" w:rsidRPr="00F55F00">
        <w:rPr>
          <w:lang w:val="es-ES_tradnl"/>
        </w:rPr>
        <w:t>demostra</w:t>
      </w:r>
      <w:r w:rsidR="00C07CA9" w:rsidRPr="00F55F00">
        <w:rPr>
          <w:lang w:val="es-ES_tradnl"/>
        </w:rPr>
        <w:t>r</w:t>
      </w:r>
      <w:r w:rsidR="00800614" w:rsidRPr="00F55F00">
        <w:rPr>
          <w:lang w:val="es-ES_tradnl"/>
        </w:rPr>
        <w:t xml:space="preserve">á de qué </w:t>
      </w:r>
      <w:r w:rsidR="00C07CA9" w:rsidRPr="00F55F00">
        <w:rPr>
          <w:lang w:val="es-ES_tradnl"/>
        </w:rPr>
        <w:t xml:space="preserve">manera un servicio esencial y </w:t>
      </w:r>
      <w:r w:rsidR="00D804F1" w:rsidRPr="00F55F00">
        <w:rPr>
          <w:lang w:val="es-ES_tradnl"/>
        </w:rPr>
        <w:t>vulnerable</w:t>
      </w:r>
      <w:r w:rsidR="00D7505A" w:rsidRPr="00F55F00">
        <w:rPr>
          <w:lang w:val="es-ES_tradnl"/>
        </w:rPr>
        <w:t xml:space="preserve"> </w:t>
      </w:r>
      <w:r w:rsidR="00C07CA9" w:rsidRPr="00F55F00">
        <w:rPr>
          <w:lang w:val="es-ES_tradnl"/>
        </w:rPr>
        <w:t>de los ecosistemas contribuye a la agenda para el desarrollo después de</w:t>
      </w:r>
      <w:r w:rsidR="00F55F00">
        <w:rPr>
          <w:lang w:val="es-ES_tradnl"/>
        </w:rPr>
        <w:t> </w:t>
      </w:r>
      <w:r w:rsidR="00C07CA9" w:rsidRPr="00F55F00">
        <w:rPr>
          <w:lang w:val="es-ES_tradnl"/>
        </w:rPr>
        <w:t>2015</w:t>
      </w:r>
      <w:r w:rsidR="008C058E" w:rsidRPr="00F55F00">
        <w:rPr>
          <w:lang w:val="es-ES_tradnl"/>
        </w:rPr>
        <w:t xml:space="preserve"> y </w:t>
      </w:r>
      <w:r w:rsidR="00800614" w:rsidRPr="00F55F00">
        <w:rPr>
          <w:lang w:val="es-ES_tradnl"/>
        </w:rPr>
        <w:t xml:space="preserve">se </w:t>
      </w:r>
      <w:r w:rsidR="008C058E" w:rsidRPr="00F55F00">
        <w:rPr>
          <w:lang w:val="es-ES_tradnl"/>
        </w:rPr>
        <w:t>dar</w:t>
      </w:r>
      <w:r w:rsidR="00800614" w:rsidRPr="00F55F00">
        <w:rPr>
          <w:lang w:val="es-ES_tradnl"/>
        </w:rPr>
        <w:t>á</w:t>
      </w:r>
      <w:r w:rsidR="008C058E" w:rsidRPr="00F55F00">
        <w:rPr>
          <w:lang w:val="es-ES_tradnl"/>
        </w:rPr>
        <w:t xml:space="preserve"> </w:t>
      </w:r>
      <w:r w:rsidR="00800614" w:rsidRPr="00F55F00">
        <w:rPr>
          <w:lang w:val="es-ES_tradnl"/>
        </w:rPr>
        <w:t xml:space="preserve">cabida a su examen </w:t>
      </w:r>
      <w:r w:rsidR="008C058E" w:rsidRPr="00F55F00">
        <w:rPr>
          <w:lang w:val="es-ES_tradnl"/>
        </w:rPr>
        <w:t>constante</w:t>
      </w:r>
      <w:r w:rsidR="00D7505A" w:rsidRPr="00F55F00">
        <w:rPr>
          <w:lang w:val="es-ES_tradnl"/>
        </w:rPr>
        <w:t xml:space="preserve">; </w:t>
      </w:r>
      <w:r w:rsidR="00800614" w:rsidRPr="00F55F00">
        <w:rPr>
          <w:lang w:val="es-ES_tradnl"/>
        </w:rPr>
        <w:t xml:space="preserve">además será uno de los primeros productos de la Plataforma que </w:t>
      </w:r>
      <w:r w:rsidR="00A7255E" w:rsidRPr="00F55F00">
        <w:rPr>
          <w:lang w:val="es-ES_tradnl"/>
        </w:rPr>
        <w:t>pondrá de manifiesto</w:t>
      </w:r>
      <w:r w:rsidR="00800614" w:rsidRPr="00F55F00">
        <w:rPr>
          <w:lang w:val="es-ES_tradnl"/>
        </w:rPr>
        <w:t xml:space="preserve"> la manera en que esta puede </w:t>
      </w:r>
      <w:r w:rsidR="00444A7B" w:rsidRPr="00F55F00">
        <w:rPr>
          <w:lang w:val="es-ES_tradnl"/>
        </w:rPr>
        <w:t>contribu</w:t>
      </w:r>
      <w:r w:rsidR="00800614" w:rsidRPr="00F55F00">
        <w:rPr>
          <w:lang w:val="es-ES_tradnl"/>
        </w:rPr>
        <w:t>ir a los esfuerzos para proteger la diversidad biológica y promover el desarrollo sostenible</w:t>
      </w:r>
      <w:r w:rsidR="00444A7B" w:rsidRPr="00F55F00">
        <w:rPr>
          <w:lang w:val="es-ES_tradnl"/>
        </w:rPr>
        <w:t>.</w:t>
      </w:r>
    </w:p>
    <w:p w:rsidR="00D858B9" w:rsidRPr="00F55F00" w:rsidRDefault="00D858B9" w:rsidP="00775FC8">
      <w:pPr>
        <w:pStyle w:val="CH2"/>
        <w:rPr>
          <w:lang w:val="es-ES_tradnl"/>
        </w:rPr>
      </w:pPr>
      <w:r w:rsidRPr="00F55F00">
        <w:rPr>
          <w:lang w:val="es-ES_tradnl"/>
        </w:rPr>
        <w:tab/>
        <w:t>D.</w:t>
      </w:r>
      <w:r w:rsidRPr="00F55F00">
        <w:rPr>
          <w:lang w:val="es-ES_tradnl"/>
        </w:rPr>
        <w:tab/>
      </w:r>
      <w:r w:rsidR="00D24AFD" w:rsidRPr="00F55F00">
        <w:rPr>
          <w:lang w:val="es-ES_tradnl"/>
        </w:rPr>
        <w:t>Supuestos</w:t>
      </w:r>
    </w:p>
    <w:p w:rsidR="00D7505A" w:rsidRPr="00F55F00" w:rsidRDefault="0068255E" w:rsidP="00B172F7">
      <w:pPr>
        <w:pStyle w:val="Normalnumber"/>
        <w:rPr>
          <w:lang w:val="es-ES_tradnl"/>
        </w:rPr>
      </w:pPr>
      <w:r w:rsidRPr="00F55F00">
        <w:rPr>
          <w:lang w:val="es-ES_tradnl"/>
        </w:rPr>
        <w:t>La evaluación propuesta se basará en la bibliografía científica existente y se apoyará en la labor de instituciones actuales como la</w:t>
      </w:r>
      <w:r w:rsidR="00D7505A" w:rsidRPr="00F55F00">
        <w:rPr>
          <w:lang w:val="es-ES_tradnl"/>
        </w:rPr>
        <w:t xml:space="preserve"> </w:t>
      </w:r>
      <w:r w:rsidR="00DB669C" w:rsidRPr="00F55F00">
        <w:rPr>
          <w:lang w:val="es-ES_tradnl"/>
        </w:rPr>
        <w:t xml:space="preserve">Organización de las </w:t>
      </w:r>
      <w:r w:rsidR="007D77AA">
        <w:rPr>
          <w:lang w:val="es-ES_tradnl"/>
        </w:rPr>
        <w:t>Naciones Unidas</w:t>
      </w:r>
      <w:r w:rsidR="00DB669C" w:rsidRPr="00F55F00">
        <w:rPr>
          <w:lang w:val="es-ES_tradnl"/>
        </w:rPr>
        <w:t xml:space="preserve"> para la Alimentación y la Agricultura</w:t>
      </w:r>
      <w:r w:rsidR="00B2338A" w:rsidRPr="00F55F00">
        <w:rPr>
          <w:lang w:val="es-ES_tradnl"/>
        </w:rPr>
        <w:t xml:space="preserve"> </w:t>
      </w:r>
      <w:r w:rsidR="00E04D04" w:rsidRPr="00F55F00">
        <w:rPr>
          <w:lang w:val="es-ES_tradnl"/>
        </w:rPr>
        <w:t>(FAO)</w:t>
      </w:r>
      <w:r w:rsidR="00A667F8" w:rsidRPr="00F55F00">
        <w:rPr>
          <w:lang w:val="es-ES_tradnl"/>
        </w:rPr>
        <w:t>,</w:t>
      </w:r>
      <w:r w:rsidR="00D7505A" w:rsidRPr="00F55F00">
        <w:rPr>
          <w:lang w:val="es-ES_tradnl"/>
        </w:rPr>
        <w:t xml:space="preserve"> </w:t>
      </w:r>
      <w:r w:rsidRPr="00F55F00">
        <w:rPr>
          <w:lang w:val="es-ES_tradnl"/>
        </w:rPr>
        <w:t>debido a sus esfuerzos encaminados a la acción mundial en relación con los servicios de polinización para una agricultura sostenible</w:t>
      </w:r>
      <w:r w:rsidR="00D7505A" w:rsidRPr="00F55F00">
        <w:rPr>
          <w:vertAlign w:val="superscript"/>
          <w:lang w:val="es-ES_tradnl"/>
        </w:rPr>
        <w:footnoteReference w:id="3"/>
      </w:r>
      <w:r w:rsidR="00B2338A" w:rsidRPr="00F55F00">
        <w:rPr>
          <w:lang w:val="es-ES_tradnl"/>
        </w:rPr>
        <w:t>,</w:t>
      </w:r>
      <w:r w:rsidR="00D7505A" w:rsidRPr="00F55F00">
        <w:rPr>
          <w:rFonts w:eastAsia="SimSun"/>
          <w:lang w:val="es-ES_tradnl" w:eastAsia="zh-CN"/>
        </w:rPr>
        <w:t xml:space="preserve"> </w:t>
      </w:r>
      <w:r w:rsidRPr="00F55F00">
        <w:rPr>
          <w:rFonts w:eastAsia="SimSun"/>
          <w:lang w:val="es-ES_tradnl" w:eastAsia="zh-CN"/>
        </w:rPr>
        <w:t>el</w:t>
      </w:r>
      <w:r w:rsidR="00A667F8" w:rsidRPr="00F55F00">
        <w:rPr>
          <w:rFonts w:eastAsia="SimSun"/>
          <w:lang w:val="es-ES_tradnl" w:eastAsia="zh-CN"/>
        </w:rPr>
        <w:t xml:space="preserve"> </w:t>
      </w:r>
      <w:r w:rsidRPr="00F55F00">
        <w:rPr>
          <w:lang w:val="es-ES_tradnl"/>
        </w:rPr>
        <w:t>Servicio Mundial de Información sobre la Diversidad Biológica</w:t>
      </w:r>
      <w:r w:rsidR="00D7505A" w:rsidRPr="00F55F00">
        <w:rPr>
          <w:vertAlign w:val="superscript"/>
          <w:lang w:val="es-ES_tradnl"/>
        </w:rPr>
        <w:footnoteReference w:id="4"/>
      </w:r>
      <w:r w:rsidR="00B2338A" w:rsidRPr="00F55F00">
        <w:rPr>
          <w:rFonts w:eastAsia="SimSun"/>
          <w:lang w:val="es-ES_tradnl" w:eastAsia="zh-CN"/>
        </w:rPr>
        <w:t>,</w:t>
      </w:r>
      <w:r w:rsidR="00D7505A" w:rsidRPr="00F55F00">
        <w:rPr>
          <w:lang w:val="es-ES_tradnl"/>
        </w:rPr>
        <w:t xml:space="preserve"> </w:t>
      </w:r>
      <w:r w:rsidRPr="00F55F00">
        <w:rPr>
          <w:lang w:val="es-ES_tradnl"/>
        </w:rPr>
        <w:t>el proyecto</w:t>
      </w:r>
      <w:r w:rsidR="00D542C2" w:rsidRPr="00F55F00">
        <w:rPr>
          <w:lang w:val="es-ES_tradnl"/>
        </w:rPr>
        <w:t xml:space="preserve"> </w:t>
      </w:r>
      <w:r w:rsidR="00D7505A" w:rsidRPr="00F55F00">
        <w:rPr>
          <w:lang w:val="es-ES_tradnl"/>
        </w:rPr>
        <w:t>ALARM</w:t>
      </w:r>
      <w:r w:rsidR="00D542C2" w:rsidRPr="00F55F00">
        <w:rPr>
          <w:lang w:val="es-ES_tradnl"/>
        </w:rPr>
        <w:t xml:space="preserve"> (</w:t>
      </w:r>
      <w:r w:rsidR="007D77AA">
        <w:rPr>
          <w:lang w:val="es-ES_tradnl"/>
        </w:rPr>
        <w:t>“</w:t>
      </w:r>
      <w:r w:rsidR="0041595C" w:rsidRPr="00F55F00">
        <w:rPr>
          <w:lang w:val="es-ES_tradnl"/>
        </w:rPr>
        <w:t>determinación de los riesgos en gran escala para diversidad biológica con métodos comprobados</w:t>
      </w:r>
      <w:r w:rsidR="007D77AA">
        <w:rPr>
          <w:lang w:val="es-ES_tradnl"/>
        </w:rPr>
        <w:t>”</w:t>
      </w:r>
      <w:r w:rsidR="00D542C2" w:rsidRPr="00F55F00">
        <w:rPr>
          <w:lang w:val="es-ES_tradnl"/>
        </w:rPr>
        <w:t xml:space="preserve">) </w:t>
      </w:r>
      <w:r w:rsidRPr="00F55F00">
        <w:rPr>
          <w:lang w:val="es-ES_tradnl"/>
        </w:rPr>
        <w:t>del Centro de Investigación Agroambiental</w:t>
      </w:r>
      <w:r w:rsidR="00D7505A" w:rsidRPr="00F55F00">
        <w:rPr>
          <w:rStyle w:val="FootnoteReference"/>
          <w:szCs w:val="20"/>
          <w:lang w:val="es-ES_tradnl"/>
        </w:rPr>
        <w:footnoteReference w:id="5"/>
      </w:r>
      <w:r w:rsidRPr="00F55F00">
        <w:rPr>
          <w:lang w:val="es-ES_tradnl"/>
        </w:rPr>
        <w:t>,</w:t>
      </w:r>
      <w:r w:rsidR="00D7505A" w:rsidRPr="00F55F00">
        <w:rPr>
          <w:lang w:val="es-ES_tradnl"/>
        </w:rPr>
        <w:t xml:space="preserve"> </w:t>
      </w:r>
      <w:r w:rsidRPr="00F55F00">
        <w:rPr>
          <w:lang w:val="es-ES_tradnl"/>
        </w:rPr>
        <w:t>el proyecto</w:t>
      </w:r>
      <w:r w:rsidR="00D542C2" w:rsidRPr="00F55F00">
        <w:rPr>
          <w:lang w:val="es-ES_tradnl"/>
        </w:rPr>
        <w:t xml:space="preserve"> </w:t>
      </w:r>
      <w:r w:rsidR="007D77AA">
        <w:rPr>
          <w:lang w:val="es-ES_tradnl"/>
        </w:rPr>
        <w:t>“</w:t>
      </w:r>
      <w:r w:rsidR="0041595C" w:rsidRPr="00F55F00">
        <w:rPr>
          <w:lang w:val="es-ES_tradnl"/>
        </w:rPr>
        <w:t xml:space="preserve">Estado y Tendencias de los </w:t>
      </w:r>
      <w:r w:rsidR="00B2338A" w:rsidRPr="00F55F00">
        <w:rPr>
          <w:lang w:val="es-ES_tradnl"/>
        </w:rPr>
        <w:t>Polinizadores</w:t>
      </w:r>
      <w:r w:rsidR="0041595C" w:rsidRPr="00F55F00">
        <w:rPr>
          <w:lang w:val="es-ES_tradnl"/>
        </w:rPr>
        <w:t xml:space="preserve"> Europeos</w:t>
      </w:r>
      <w:r w:rsidR="007D77AA">
        <w:rPr>
          <w:lang w:val="es-ES_tradnl"/>
        </w:rPr>
        <w:t>”</w:t>
      </w:r>
      <w:r w:rsidR="00D7505A" w:rsidRPr="00F55F00">
        <w:rPr>
          <w:rStyle w:val="FootnoteReference"/>
          <w:szCs w:val="20"/>
          <w:lang w:val="es-ES_tradnl"/>
        </w:rPr>
        <w:footnoteReference w:id="6"/>
      </w:r>
      <w:r w:rsidR="00D7505A" w:rsidRPr="00F55F00">
        <w:rPr>
          <w:lang w:val="es-ES_tradnl"/>
        </w:rPr>
        <w:t xml:space="preserve"> </w:t>
      </w:r>
      <w:r w:rsidRPr="00F55F00">
        <w:rPr>
          <w:lang w:val="es-ES_tradnl"/>
        </w:rPr>
        <w:t xml:space="preserve">y la labor del Proyecto Capital </w:t>
      </w:r>
      <w:r w:rsidR="00D542C2" w:rsidRPr="00F55F00">
        <w:rPr>
          <w:lang w:val="es-ES_tradnl"/>
        </w:rPr>
        <w:t>Natural</w:t>
      </w:r>
      <w:r w:rsidR="00D542C2" w:rsidRPr="00F55F00">
        <w:rPr>
          <w:rStyle w:val="FootnoteReference"/>
          <w:szCs w:val="20"/>
          <w:lang w:val="es-ES_tradnl"/>
        </w:rPr>
        <w:footnoteReference w:id="7"/>
      </w:r>
      <w:r w:rsidRPr="00F55F00">
        <w:rPr>
          <w:lang w:val="es-ES_tradnl"/>
        </w:rPr>
        <w:t>,</w:t>
      </w:r>
      <w:r w:rsidR="00D542C2" w:rsidRPr="00F55F00">
        <w:rPr>
          <w:lang w:val="es-ES_tradnl"/>
        </w:rPr>
        <w:t xml:space="preserve"> </w:t>
      </w:r>
      <w:r w:rsidRPr="00F55F00">
        <w:rPr>
          <w:lang w:val="es-ES_tradnl"/>
        </w:rPr>
        <w:t xml:space="preserve">con inclusión de su programa informático de elaboración de modelos </w:t>
      </w:r>
      <w:r w:rsidR="00D7505A" w:rsidRPr="00F55F00">
        <w:rPr>
          <w:lang w:val="es-ES_tradnl"/>
        </w:rPr>
        <w:t>InVEST</w:t>
      </w:r>
      <w:r w:rsidR="00D7505A" w:rsidRPr="00F55F00">
        <w:rPr>
          <w:b/>
          <w:bCs/>
          <w:lang w:val="es-ES_tradnl"/>
        </w:rPr>
        <w:t xml:space="preserve"> </w:t>
      </w:r>
      <w:r w:rsidR="00D7505A" w:rsidRPr="00F55F00">
        <w:rPr>
          <w:lang w:val="es-ES_tradnl"/>
        </w:rPr>
        <w:t>(</w:t>
      </w:r>
      <w:r w:rsidR="007D77AA">
        <w:rPr>
          <w:lang w:val="es-ES_tradnl"/>
        </w:rPr>
        <w:t>“</w:t>
      </w:r>
      <w:r w:rsidR="0041595C" w:rsidRPr="00F55F00">
        <w:rPr>
          <w:lang w:val="es-ES_tradnl"/>
        </w:rPr>
        <w:t xml:space="preserve">Valoración </w:t>
      </w:r>
      <w:r w:rsidR="00D7505A" w:rsidRPr="00F55F00">
        <w:rPr>
          <w:lang w:val="es-ES_tradnl"/>
        </w:rPr>
        <w:t>Integra</w:t>
      </w:r>
      <w:r w:rsidR="0041595C" w:rsidRPr="00F55F00">
        <w:rPr>
          <w:lang w:val="es-ES_tradnl"/>
        </w:rPr>
        <w:t>da de los Servicios de los Ecosistemas y las Soluciones de Compromiso</w:t>
      </w:r>
      <w:r w:rsidR="007D77AA">
        <w:rPr>
          <w:lang w:val="es-ES_tradnl"/>
        </w:rPr>
        <w:t>”</w:t>
      </w:r>
      <w:r w:rsidR="00D7505A" w:rsidRPr="00F55F00">
        <w:rPr>
          <w:lang w:val="es-ES_tradnl"/>
        </w:rPr>
        <w:t>)</w:t>
      </w:r>
      <w:r w:rsidR="00D542C2" w:rsidRPr="00F55F00">
        <w:rPr>
          <w:lang w:val="es-ES_tradnl"/>
        </w:rPr>
        <w:t xml:space="preserve"> </w:t>
      </w:r>
      <w:r w:rsidRPr="00F55F00">
        <w:rPr>
          <w:lang w:val="es-ES_tradnl"/>
        </w:rPr>
        <w:t xml:space="preserve">para el </w:t>
      </w:r>
      <w:r w:rsidR="00D542C2" w:rsidRPr="00F55F00">
        <w:rPr>
          <w:lang w:val="es-ES_tradnl"/>
        </w:rPr>
        <w:t>map</w:t>
      </w:r>
      <w:r w:rsidRPr="00F55F00">
        <w:rPr>
          <w:lang w:val="es-ES_tradnl"/>
        </w:rPr>
        <w:t>eo y la valoración de los servicios de los ecosistemas</w:t>
      </w:r>
      <w:r w:rsidR="00D542C2" w:rsidRPr="00F55F00">
        <w:rPr>
          <w:lang w:val="es-ES_tradnl"/>
        </w:rPr>
        <w:t>.</w:t>
      </w:r>
    </w:p>
    <w:p w:rsidR="00D7505A" w:rsidRPr="00F55F00" w:rsidRDefault="00B172F7" w:rsidP="00775FC8">
      <w:pPr>
        <w:pStyle w:val="CH1"/>
        <w:rPr>
          <w:lang w:val="es-ES_tradnl"/>
        </w:rPr>
      </w:pPr>
      <w:r w:rsidRPr="00F55F00">
        <w:rPr>
          <w:lang w:val="es-ES_tradnl"/>
        </w:rPr>
        <w:tab/>
      </w:r>
      <w:r w:rsidR="002213CF" w:rsidRPr="00F55F00">
        <w:rPr>
          <w:lang w:val="es-ES_tradnl"/>
        </w:rPr>
        <w:t>II</w:t>
      </w:r>
      <w:r w:rsidR="00BD19BD" w:rsidRPr="00F55F00">
        <w:rPr>
          <w:lang w:val="es-ES_tradnl"/>
        </w:rPr>
        <w:t>I</w:t>
      </w:r>
      <w:r w:rsidR="002213CF" w:rsidRPr="00F55F00">
        <w:rPr>
          <w:lang w:val="es-ES_tradnl"/>
        </w:rPr>
        <w:t>.</w:t>
      </w:r>
      <w:r w:rsidRPr="00F55F00">
        <w:rPr>
          <w:lang w:val="es-ES_tradnl"/>
        </w:rPr>
        <w:tab/>
      </w:r>
      <w:r w:rsidR="00DB669C" w:rsidRPr="00F55F00">
        <w:rPr>
          <w:lang w:val="es-ES_tradnl"/>
        </w:rPr>
        <w:t>Es</w:t>
      </w:r>
      <w:r w:rsidR="00B203B3" w:rsidRPr="00F55F00">
        <w:rPr>
          <w:lang w:val="es-ES_tradnl"/>
        </w:rPr>
        <w:t xml:space="preserve">tructura </w:t>
      </w:r>
      <w:r w:rsidR="00DB669C" w:rsidRPr="00F55F00">
        <w:rPr>
          <w:lang w:val="es-ES_tradnl"/>
        </w:rPr>
        <w:t>por capítulos</w:t>
      </w:r>
    </w:p>
    <w:p w:rsidR="00FC2738" w:rsidRPr="00F55F00" w:rsidRDefault="00DB669C" w:rsidP="007E2490">
      <w:pPr>
        <w:pStyle w:val="Normalnumber"/>
        <w:rPr>
          <w:lang w:val="es-ES_tradnl"/>
        </w:rPr>
      </w:pPr>
      <w:r w:rsidRPr="00F55F00">
        <w:rPr>
          <w:lang w:val="es-ES_tradnl"/>
        </w:rPr>
        <w:t xml:space="preserve">Se prevé que los resultados de la evaluación </w:t>
      </w:r>
      <w:r w:rsidR="007E2490" w:rsidRPr="00F55F00">
        <w:rPr>
          <w:lang w:val="es-ES_tradnl"/>
        </w:rPr>
        <w:t xml:space="preserve">temática </w:t>
      </w:r>
      <w:r w:rsidRPr="00F55F00">
        <w:rPr>
          <w:lang w:val="es-ES_tradnl"/>
        </w:rPr>
        <w:t>por vía rápida se presenten en un informe que contendrá cinco capítulos</w:t>
      </w:r>
      <w:r w:rsidR="00A7255E" w:rsidRPr="00F55F00">
        <w:rPr>
          <w:lang w:val="es-ES_tradnl"/>
        </w:rPr>
        <w:t xml:space="preserve">, </w:t>
      </w:r>
      <w:r w:rsidR="007E2490" w:rsidRPr="00F55F00">
        <w:rPr>
          <w:lang w:val="es-ES_tradnl"/>
        </w:rPr>
        <w:t>estructurados de la manera siguiente:</w:t>
      </w:r>
    </w:p>
    <w:p w:rsidR="00D7505A" w:rsidRPr="00F55F00" w:rsidRDefault="00DB669C" w:rsidP="00B172F7">
      <w:pPr>
        <w:pStyle w:val="Normalnumber"/>
        <w:rPr>
          <w:lang w:val="es-ES_tradnl"/>
        </w:rPr>
      </w:pPr>
      <w:r w:rsidRPr="00F55F00">
        <w:rPr>
          <w:lang w:val="es-ES_tradnl"/>
        </w:rPr>
        <w:t xml:space="preserve">El capítulo </w:t>
      </w:r>
      <w:r w:rsidR="00D7505A" w:rsidRPr="00F55F00">
        <w:rPr>
          <w:lang w:val="es-ES_tradnl"/>
        </w:rPr>
        <w:t>1</w:t>
      </w:r>
      <w:r w:rsidR="00FC2738" w:rsidRPr="00F55F00">
        <w:rPr>
          <w:lang w:val="es-ES_tradnl"/>
        </w:rPr>
        <w:t xml:space="preserve"> </w:t>
      </w:r>
      <w:r w:rsidRPr="00F55F00">
        <w:rPr>
          <w:lang w:val="es-ES_tradnl"/>
        </w:rPr>
        <w:t xml:space="preserve">incluirá una breve reseña de la diversidad de </w:t>
      </w:r>
      <w:r w:rsidR="00D7505A" w:rsidRPr="00F55F00">
        <w:rPr>
          <w:lang w:val="es-ES_tradnl"/>
        </w:rPr>
        <w:t>pol</w:t>
      </w:r>
      <w:r w:rsidRPr="00F55F00">
        <w:rPr>
          <w:lang w:val="es-ES_tradnl"/>
        </w:rPr>
        <w:t>inizadores y de sistemas de polinización y su función de apoyo a la producción de alimentos específicamente y al bienestar humano y el mantenimiento de la diversidad biológica en sentido más general</w:t>
      </w:r>
      <w:r w:rsidR="00D7505A" w:rsidRPr="00F55F00">
        <w:rPr>
          <w:lang w:val="es-ES_tradnl"/>
        </w:rPr>
        <w:t>.</w:t>
      </w:r>
      <w:r w:rsidR="007D77AA">
        <w:rPr>
          <w:lang w:val="es-ES_tradnl"/>
        </w:rPr>
        <w:t xml:space="preserve"> </w:t>
      </w:r>
      <w:r w:rsidRPr="00F55F00">
        <w:rPr>
          <w:lang w:val="es-ES_tradnl"/>
        </w:rPr>
        <w:t>Se evaluará el estado y las tendencias de los elementos y las funciones biológicos que interactúan para la prestación de servicios de polinización</w:t>
      </w:r>
      <w:r w:rsidR="00D7505A" w:rsidRPr="00F55F00">
        <w:rPr>
          <w:lang w:val="es-ES_tradnl"/>
        </w:rPr>
        <w:t xml:space="preserve">. </w:t>
      </w:r>
      <w:r w:rsidRPr="00F55F00">
        <w:rPr>
          <w:lang w:val="es-ES_tradnl"/>
        </w:rPr>
        <w:t>La evaluación abordará la función de los polinizadores autóctonos y exóticos, como son los insectos, los murciélagos</w:t>
      </w:r>
      <w:r w:rsidR="007E2490" w:rsidRPr="00F55F00">
        <w:rPr>
          <w:lang w:val="es-ES_tradnl"/>
        </w:rPr>
        <w:t xml:space="preserve"> y otros mamíferos</w:t>
      </w:r>
      <w:r w:rsidRPr="00F55F00">
        <w:rPr>
          <w:lang w:val="es-ES_tradnl"/>
        </w:rPr>
        <w:t>, las aves</w:t>
      </w:r>
      <w:r w:rsidR="007E2490" w:rsidRPr="00F55F00">
        <w:rPr>
          <w:lang w:val="es-ES_tradnl"/>
        </w:rPr>
        <w:t xml:space="preserve"> y</w:t>
      </w:r>
      <w:r w:rsidRPr="00F55F00">
        <w:rPr>
          <w:lang w:val="es-ES_tradnl"/>
        </w:rPr>
        <w:t xml:space="preserve"> los reptiles</w:t>
      </w:r>
      <w:r w:rsidR="00D7505A" w:rsidRPr="00F55F00">
        <w:rPr>
          <w:lang w:val="es-ES_tradnl"/>
        </w:rPr>
        <w:t xml:space="preserve">. </w:t>
      </w:r>
      <w:r w:rsidRPr="00F55F00">
        <w:rPr>
          <w:lang w:val="es-ES_tradnl"/>
        </w:rPr>
        <w:t>Además, se tendrá en cuenta la función de múltiples factores implícitos en las distintas escalas espaciales</w:t>
      </w:r>
      <w:r w:rsidR="00D7505A" w:rsidRPr="00F55F00">
        <w:rPr>
          <w:lang w:val="es-ES_tradnl"/>
        </w:rPr>
        <w:t xml:space="preserve">, </w:t>
      </w:r>
      <w:r w:rsidRPr="00F55F00">
        <w:rPr>
          <w:lang w:val="es-ES_tradnl"/>
        </w:rPr>
        <w:t>como la composición funcional de la comunidad de plantas, la diversidad de polinizadores y las características específicas</w:t>
      </w:r>
      <w:r w:rsidR="00D7505A" w:rsidRPr="00F55F00">
        <w:rPr>
          <w:lang w:val="es-ES_tradnl"/>
        </w:rPr>
        <w:t xml:space="preserve">, </w:t>
      </w:r>
      <w:r w:rsidRPr="00F55F00">
        <w:rPr>
          <w:lang w:val="es-ES_tradnl"/>
        </w:rPr>
        <w:t>la estacionalidad y las fluctuaciones climáticas</w:t>
      </w:r>
      <w:r w:rsidR="00D7505A" w:rsidRPr="00F55F00">
        <w:rPr>
          <w:lang w:val="es-ES_tradnl"/>
        </w:rPr>
        <w:t>,</w:t>
      </w:r>
      <w:r w:rsidRPr="00F55F00">
        <w:rPr>
          <w:lang w:val="es-ES_tradnl"/>
        </w:rPr>
        <w:t xml:space="preserve"> la estructura del paisaje vinculada a los procesos de dispersión y la movilidad</w:t>
      </w:r>
      <w:r w:rsidR="00D7505A" w:rsidRPr="00F55F00">
        <w:rPr>
          <w:lang w:val="es-ES_tradnl"/>
        </w:rPr>
        <w:t xml:space="preserve">. </w:t>
      </w:r>
    </w:p>
    <w:p w:rsidR="00D7505A" w:rsidRPr="00F55F00" w:rsidRDefault="007B3CD0" w:rsidP="00B172F7">
      <w:pPr>
        <w:pStyle w:val="Normalnumber"/>
        <w:rPr>
          <w:lang w:val="es-ES_tradnl"/>
        </w:rPr>
      </w:pPr>
      <w:r w:rsidRPr="00F55F00">
        <w:rPr>
          <w:lang w:val="es-ES_tradnl"/>
        </w:rPr>
        <w:t xml:space="preserve">En el capítulo </w:t>
      </w:r>
      <w:r w:rsidR="00D7505A" w:rsidRPr="00F55F00">
        <w:rPr>
          <w:lang w:val="es-ES_tradnl"/>
        </w:rPr>
        <w:t xml:space="preserve">2 </w:t>
      </w:r>
      <w:r w:rsidRPr="00F55F00">
        <w:rPr>
          <w:lang w:val="es-ES_tradnl"/>
        </w:rPr>
        <w:t xml:space="preserve">se evaluarán los </w:t>
      </w:r>
      <w:r w:rsidR="00241AAA" w:rsidRPr="00F55F00">
        <w:rPr>
          <w:lang w:val="es-ES_tradnl"/>
        </w:rPr>
        <w:t xml:space="preserve">factores que provocan </w:t>
      </w:r>
      <w:r w:rsidRPr="00F55F00">
        <w:rPr>
          <w:lang w:val="es-ES_tradnl"/>
        </w:rPr>
        <w:t xml:space="preserve">el cambio </w:t>
      </w:r>
      <w:r w:rsidR="00241AAA" w:rsidRPr="00F55F00">
        <w:rPr>
          <w:lang w:val="es-ES_tradnl"/>
        </w:rPr>
        <w:t>en</w:t>
      </w:r>
      <w:r w:rsidRPr="00F55F00">
        <w:rPr>
          <w:lang w:val="es-ES_tradnl"/>
        </w:rPr>
        <w:t xml:space="preserve"> los polinizadores y los servicios de polinización, en particular los que tienen importancia para la producción de alimentos</w:t>
      </w:r>
      <w:r w:rsidR="00D7505A" w:rsidRPr="00F55F00">
        <w:rPr>
          <w:lang w:val="es-ES_tradnl"/>
        </w:rPr>
        <w:t xml:space="preserve">. </w:t>
      </w:r>
      <w:r w:rsidRPr="00F55F00">
        <w:rPr>
          <w:lang w:val="es-ES_tradnl"/>
        </w:rPr>
        <w:t xml:space="preserve">Se incluirá una evaluación de los </w:t>
      </w:r>
      <w:r w:rsidR="00241AAA" w:rsidRPr="00F55F00">
        <w:rPr>
          <w:lang w:val="es-ES_tradnl"/>
        </w:rPr>
        <w:t xml:space="preserve">factores </w:t>
      </w:r>
      <w:r w:rsidRPr="00F55F00">
        <w:rPr>
          <w:lang w:val="es-ES_tradnl"/>
        </w:rPr>
        <w:t xml:space="preserve">indirectos </w:t>
      </w:r>
      <w:r w:rsidR="00241AAA" w:rsidRPr="00F55F00">
        <w:rPr>
          <w:lang w:val="es-ES_tradnl"/>
        </w:rPr>
        <w:t xml:space="preserve">que provocan </w:t>
      </w:r>
      <w:r w:rsidRPr="00F55F00">
        <w:rPr>
          <w:lang w:val="es-ES_tradnl"/>
        </w:rPr>
        <w:t>el cambio</w:t>
      </w:r>
      <w:r w:rsidR="00813617" w:rsidRPr="00F55F00">
        <w:rPr>
          <w:lang w:val="es-ES_tradnl"/>
        </w:rPr>
        <w:t>,</w:t>
      </w:r>
      <w:r w:rsidR="00D7505A" w:rsidRPr="00F55F00">
        <w:rPr>
          <w:lang w:val="es-ES_tradnl"/>
        </w:rPr>
        <w:t xml:space="preserve"> </w:t>
      </w:r>
      <w:r w:rsidRPr="00F55F00">
        <w:rPr>
          <w:lang w:val="es-ES_tradnl"/>
        </w:rPr>
        <w:t>entre ellos el comercio y las políticas en esferas como la agricultura y la planificación espacial</w:t>
      </w:r>
      <w:r w:rsidR="00D7505A" w:rsidRPr="00F55F00">
        <w:rPr>
          <w:lang w:val="es-ES_tradnl"/>
        </w:rPr>
        <w:t xml:space="preserve">. </w:t>
      </w:r>
      <w:r w:rsidRPr="00F55F00">
        <w:rPr>
          <w:lang w:val="es-ES_tradnl"/>
        </w:rPr>
        <w:t xml:space="preserve">También se evaluarán los </w:t>
      </w:r>
      <w:r w:rsidR="00241AAA" w:rsidRPr="00F55F00">
        <w:rPr>
          <w:lang w:val="es-ES_tradnl"/>
        </w:rPr>
        <w:t xml:space="preserve">factores </w:t>
      </w:r>
      <w:r w:rsidRPr="00F55F00">
        <w:rPr>
          <w:lang w:val="es-ES_tradnl"/>
        </w:rPr>
        <w:t xml:space="preserve">directos </w:t>
      </w:r>
      <w:r w:rsidR="00241AAA" w:rsidRPr="00F55F00">
        <w:rPr>
          <w:lang w:val="es-ES_tradnl"/>
        </w:rPr>
        <w:t xml:space="preserve">que provocan </w:t>
      </w:r>
      <w:r w:rsidRPr="00F55F00">
        <w:rPr>
          <w:lang w:val="es-ES_tradnl"/>
        </w:rPr>
        <w:t>el cambio en la polinización, en particular los riesgos que plantean el cambio climático</w:t>
      </w:r>
      <w:r w:rsidR="00D7505A" w:rsidRPr="00F55F00">
        <w:rPr>
          <w:lang w:val="es-ES_tradnl"/>
        </w:rPr>
        <w:t>,</w:t>
      </w:r>
      <w:r w:rsidRPr="00F55F00">
        <w:rPr>
          <w:lang w:val="es-ES_tradnl"/>
        </w:rPr>
        <w:t xml:space="preserve"> las especies invasoras y las enfermedades, los cambios en el uso de la tierra</w:t>
      </w:r>
      <w:r w:rsidR="00D7505A" w:rsidRPr="00F55F00">
        <w:rPr>
          <w:lang w:val="es-ES_tradnl"/>
        </w:rPr>
        <w:t xml:space="preserve">, </w:t>
      </w:r>
      <w:r w:rsidRPr="00F55F00">
        <w:rPr>
          <w:lang w:val="es-ES_tradnl"/>
        </w:rPr>
        <w:t xml:space="preserve">la variación en las prácticas agrícolas y el uso de productos </w:t>
      </w:r>
      <w:r w:rsidR="00800614" w:rsidRPr="00F55F00">
        <w:rPr>
          <w:lang w:val="es-ES_tradnl"/>
        </w:rPr>
        <w:t>químicos</w:t>
      </w:r>
      <w:r w:rsidRPr="00F55F00">
        <w:rPr>
          <w:lang w:val="es-ES_tradnl"/>
        </w:rPr>
        <w:t xml:space="preserve">, en particular fungicidas e insecticidas tales como los </w:t>
      </w:r>
      <w:r w:rsidR="00D7505A" w:rsidRPr="00F55F00">
        <w:rPr>
          <w:lang w:val="es-ES_tradnl"/>
        </w:rPr>
        <w:t>neonicotinoid</w:t>
      </w:r>
      <w:r w:rsidRPr="00F55F00">
        <w:rPr>
          <w:lang w:val="es-ES_tradnl"/>
        </w:rPr>
        <w:t>e</w:t>
      </w:r>
      <w:r w:rsidR="00D7505A" w:rsidRPr="00F55F00">
        <w:rPr>
          <w:lang w:val="es-ES_tradnl"/>
        </w:rPr>
        <w:t xml:space="preserve">s. </w:t>
      </w:r>
    </w:p>
    <w:p w:rsidR="00D7505A" w:rsidRPr="00F55F00" w:rsidRDefault="0041595C" w:rsidP="00B172F7">
      <w:pPr>
        <w:pStyle w:val="Normalnumber"/>
        <w:rPr>
          <w:lang w:val="es-ES_tradnl"/>
        </w:rPr>
      </w:pPr>
      <w:r w:rsidRPr="00F55F00">
        <w:rPr>
          <w:lang w:val="es-ES_tradnl"/>
        </w:rPr>
        <w:lastRenderedPageBreak/>
        <w:t xml:space="preserve">En el capítulo </w:t>
      </w:r>
      <w:r w:rsidR="00D7505A" w:rsidRPr="00F55F00">
        <w:rPr>
          <w:lang w:val="es-ES_tradnl"/>
        </w:rPr>
        <w:t xml:space="preserve">3 </w:t>
      </w:r>
      <w:r w:rsidRPr="00F55F00">
        <w:rPr>
          <w:lang w:val="es-ES_tradnl"/>
        </w:rPr>
        <w:t xml:space="preserve">se evaluarán el estado y las tendencias de la polinización como proceso clave </w:t>
      </w:r>
      <w:r w:rsidR="00800614" w:rsidRPr="00F55F00">
        <w:rPr>
          <w:lang w:val="es-ES_tradnl"/>
        </w:rPr>
        <w:t>tanto</w:t>
      </w:r>
      <w:r w:rsidRPr="00F55F00">
        <w:rPr>
          <w:lang w:val="es-ES_tradnl"/>
        </w:rPr>
        <w:t xml:space="preserve"> e</w:t>
      </w:r>
      <w:r w:rsidR="00800614" w:rsidRPr="00F55F00">
        <w:rPr>
          <w:lang w:val="es-ES_tradnl"/>
        </w:rPr>
        <w:t>n</w:t>
      </w:r>
      <w:r w:rsidRPr="00F55F00">
        <w:rPr>
          <w:lang w:val="es-ES_tradnl"/>
        </w:rPr>
        <w:t xml:space="preserve"> los ecosistemas </w:t>
      </w:r>
      <w:r w:rsidR="00F47EB5" w:rsidRPr="00F55F00">
        <w:rPr>
          <w:lang w:val="es-ES_tradnl"/>
        </w:rPr>
        <w:t xml:space="preserve">terrestres naturales como en los que </w:t>
      </w:r>
      <w:r w:rsidR="00800614" w:rsidRPr="00F55F00">
        <w:rPr>
          <w:lang w:val="es-ES_tradnl"/>
        </w:rPr>
        <w:t xml:space="preserve">están siendo administrados por </w:t>
      </w:r>
      <w:r w:rsidR="00F47EB5" w:rsidRPr="00F55F00">
        <w:rPr>
          <w:lang w:val="es-ES_tradnl"/>
        </w:rPr>
        <w:t>el ser humano</w:t>
      </w:r>
      <w:r w:rsidR="00D7505A" w:rsidRPr="00F55F00">
        <w:rPr>
          <w:lang w:val="es-ES_tradnl"/>
        </w:rPr>
        <w:t xml:space="preserve">. </w:t>
      </w:r>
      <w:r w:rsidR="00800614" w:rsidRPr="00F55F00">
        <w:rPr>
          <w:lang w:val="es-ES_tradnl"/>
        </w:rPr>
        <w:t xml:space="preserve">Su tema central será la contribución de la polinización por diversas poblaciones de polinizadores al bienestar humano, sobre la base de la función de la polinización en el mantenimiento de la diversidad agrícola y biológica natural y en la protección de las comunidades que dependen del uso de los recursos naturales, incluso para uso medicinal. </w:t>
      </w:r>
      <w:r w:rsidR="00F47EB5" w:rsidRPr="00F55F00">
        <w:rPr>
          <w:lang w:val="es-ES_tradnl"/>
        </w:rPr>
        <w:t xml:space="preserve">Se hará hincapié en la función esencial de la polinización </w:t>
      </w:r>
      <w:r w:rsidR="004A28C0" w:rsidRPr="00F55F00">
        <w:rPr>
          <w:lang w:val="es-ES_tradnl"/>
        </w:rPr>
        <w:t>como aporte</w:t>
      </w:r>
      <w:r w:rsidR="00F47EB5" w:rsidRPr="00F55F00">
        <w:rPr>
          <w:lang w:val="es-ES_tradnl"/>
        </w:rPr>
        <w:t xml:space="preserve"> a la seguridad alimentaria</w:t>
      </w:r>
      <w:r w:rsidR="00967C74" w:rsidRPr="00F55F00">
        <w:rPr>
          <w:lang w:val="es-ES_tradnl"/>
        </w:rPr>
        <w:t xml:space="preserve">, </w:t>
      </w:r>
      <w:r w:rsidR="00F47EB5" w:rsidRPr="00F55F00">
        <w:rPr>
          <w:lang w:val="es-ES_tradnl"/>
        </w:rPr>
        <w:t>en particular con respecto a la calidad, la estabilidad y la disponibilidad de alimentos,</w:t>
      </w:r>
      <w:r w:rsidR="00967C74" w:rsidRPr="00F55F00">
        <w:rPr>
          <w:lang w:val="es-ES_tradnl"/>
        </w:rPr>
        <w:t xml:space="preserve"> as</w:t>
      </w:r>
      <w:r w:rsidR="004A28C0" w:rsidRPr="00F55F00">
        <w:rPr>
          <w:lang w:val="es-ES_tradnl"/>
        </w:rPr>
        <w:t>í como su función en la generación de ingresos</w:t>
      </w:r>
      <w:r w:rsidR="00D7505A" w:rsidRPr="00F55F00">
        <w:rPr>
          <w:lang w:val="es-ES_tradnl"/>
        </w:rPr>
        <w:t xml:space="preserve">. </w:t>
      </w:r>
      <w:r w:rsidR="004A28C0" w:rsidRPr="00F55F00">
        <w:rPr>
          <w:lang w:val="es-ES_tradnl"/>
        </w:rPr>
        <w:t>En el capítulo se evaluará la manera en que se puede definir el déficit de polinización y cuáles son las zonas y los sistemas agrícolas propensos a registrar déficits y disminución de la polinización</w:t>
      </w:r>
      <w:r w:rsidR="00D7505A" w:rsidRPr="00F55F00">
        <w:rPr>
          <w:lang w:val="es-ES_tradnl"/>
        </w:rPr>
        <w:t>.</w:t>
      </w:r>
    </w:p>
    <w:p w:rsidR="00D7505A" w:rsidRPr="00F55F00" w:rsidRDefault="004A28C0" w:rsidP="00B172F7">
      <w:pPr>
        <w:pStyle w:val="Normalnumber"/>
        <w:rPr>
          <w:lang w:val="es-ES_tradnl"/>
        </w:rPr>
      </w:pPr>
      <w:r w:rsidRPr="00F55F00">
        <w:rPr>
          <w:lang w:val="es-ES_tradnl"/>
        </w:rPr>
        <w:t xml:space="preserve">En el capítulo </w:t>
      </w:r>
      <w:r w:rsidR="00D7505A" w:rsidRPr="00F55F00">
        <w:rPr>
          <w:lang w:val="es-ES_tradnl"/>
        </w:rPr>
        <w:t xml:space="preserve">4 </w:t>
      </w:r>
      <w:r w:rsidRPr="00F55F00">
        <w:rPr>
          <w:lang w:val="es-ES_tradnl"/>
        </w:rPr>
        <w:t xml:space="preserve">se evaluarán las metodologías económicas para determinar el valor de la polinización para la </w:t>
      </w:r>
      <w:r w:rsidR="00800614" w:rsidRPr="00F55F00">
        <w:rPr>
          <w:lang w:val="es-ES_tradnl"/>
        </w:rPr>
        <w:t>producción</w:t>
      </w:r>
      <w:r w:rsidRPr="00F55F00">
        <w:rPr>
          <w:lang w:val="es-ES_tradnl"/>
        </w:rPr>
        <w:t xml:space="preserve"> de alimentos y los efectos económicos de </w:t>
      </w:r>
      <w:r w:rsidR="00F3175B" w:rsidRPr="00F55F00">
        <w:rPr>
          <w:lang w:val="es-ES_tradnl"/>
        </w:rPr>
        <w:t>la disminución de las poblaciones de polinizadores de importancia para la producción de alimentos</w:t>
      </w:r>
      <w:r w:rsidR="00D7505A" w:rsidRPr="00F55F00">
        <w:rPr>
          <w:lang w:val="es-ES_tradnl"/>
        </w:rPr>
        <w:t xml:space="preserve">. </w:t>
      </w:r>
      <w:r w:rsidR="00F3175B" w:rsidRPr="00F55F00">
        <w:rPr>
          <w:lang w:val="es-ES_tradnl"/>
        </w:rPr>
        <w:t>Se evaluará hasta qué punto las estimaciones actuales del valor económico de la polinización para la producción de alimentos refleja las contribuciones de la polinización a la seguridad alimentaria y al desarrollo como se indica en el capítulo</w:t>
      </w:r>
      <w:r w:rsidR="00D7505A" w:rsidRPr="00F55F00">
        <w:rPr>
          <w:lang w:val="es-ES_tradnl"/>
        </w:rPr>
        <w:t xml:space="preserve"> 3. </w:t>
      </w:r>
      <w:r w:rsidR="00F3175B" w:rsidRPr="00F55F00">
        <w:rPr>
          <w:lang w:val="es-ES_tradnl"/>
        </w:rPr>
        <w:t>También se evaluarán las metodologías y los enfoques para la realización de esas valoraciones en los planos nacional y local</w:t>
      </w:r>
      <w:r w:rsidR="00D7505A" w:rsidRPr="00F55F00">
        <w:rPr>
          <w:lang w:val="es-ES_tradnl"/>
        </w:rPr>
        <w:t xml:space="preserve">. </w:t>
      </w:r>
    </w:p>
    <w:p w:rsidR="00D7505A" w:rsidRPr="00F55F00" w:rsidRDefault="00F3175B" w:rsidP="00EA48F6">
      <w:pPr>
        <w:pStyle w:val="Normalnumber"/>
        <w:rPr>
          <w:lang w:val="es-ES_tradnl"/>
        </w:rPr>
      </w:pPr>
      <w:r w:rsidRPr="00F55F00">
        <w:rPr>
          <w:lang w:val="es-ES_tradnl"/>
        </w:rPr>
        <w:t xml:space="preserve">En el capítulo </w:t>
      </w:r>
      <w:r w:rsidR="00D7505A" w:rsidRPr="00F55F00">
        <w:rPr>
          <w:lang w:val="es-ES_tradnl"/>
        </w:rPr>
        <w:t xml:space="preserve">5 </w:t>
      </w:r>
      <w:r w:rsidRPr="00F55F00">
        <w:rPr>
          <w:lang w:val="es-ES_tradnl"/>
        </w:rPr>
        <w:t xml:space="preserve">se </w:t>
      </w:r>
      <w:r w:rsidR="00484C48" w:rsidRPr="00F55F00">
        <w:rPr>
          <w:lang w:val="es-ES_tradnl"/>
        </w:rPr>
        <w:t>evaluarán las respuestas a los riesgos derivados de la degradación de los servicios de polinización y las posibilidades de restablecer y fortalecer esos servicios</w:t>
      </w:r>
      <w:r w:rsidR="00D7505A" w:rsidRPr="00F55F00">
        <w:rPr>
          <w:lang w:val="es-ES_tradnl"/>
        </w:rPr>
        <w:t xml:space="preserve">. </w:t>
      </w:r>
      <w:r w:rsidR="00484C48" w:rsidRPr="00F55F00">
        <w:rPr>
          <w:lang w:val="es-ES_tradnl"/>
        </w:rPr>
        <w:t>La ex</w:t>
      </w:r>
      <w:r w:rsidR="00D7505A" w:rsidRPr="00F55F00">
        <w:rPr>
          <w:lang w:val="es-ES_tradnl"/>
        </w:rPr>
        <w:t>perienc</w:t>
      </w:r>
      <w:r w:rsidR="00484C48" w:rsidRPr="00F55F00">
        <w:rPr>
          <w:lang w:val="es-ES_tradnl"/>
        </w:rPr>
        <w:t>ia en el uso de instrumentos y metodologías para el mapeo, la elaboración de modelos y el análisis de las opciones de medidas se evaluarán sobre la base de la labor que están realizando entidades como la</w:t>
      </w:r>
      <w:r w:rsidR="00F55F00">
        <w:rPr>
          <w:lang w:val="es-ES_tradnl"/>
        </w:rPr>
        <w:t> </w:t>
      </w:r>
      <w:r w:rsidR="00D7505A" w:rsidRPr="00F55F00">
        <w:rPr>
          <w:lang w:val="es-ES_tradnl"/>
        </w:rPr>
        <w:t xml:space="preserve">FAO, </w:t>
      </w:r>
      <w:r w:rsidR="00484C48" w:rsidRPr="00F55F00">
        <w:rPr>
          <w:lang w:val="es-ES_tradnl"/>
        </w:rPr>
        <w:t>incluso mediante la determinación de la manera en que</w:t>
      </w:r>
      <w:r w:rsidR="00065962" w:rsidRPr="00F55F00">
        <w:rPr>
          <w:lang w:val="es-ES_tradnl"/>
        </w:rPr>
        <w:t xml:space="preserve"> se</w:t>
      </w:r>
      <w:r w:rsidR="00484C48" w:rsidRPr="00F55F00">
        <w:rPr>
          <w:lang w:val="es-ES_tradnl"/>
        </w:rPr>
        <w:t xml:space="preserve"> pueden manejar las incertidumbres ecológicas y atender las necesidades de investigación y vigilancia</w:t>
      </w:r>
      <w:r w:rsidR="00D7505A" w:rsidRPr="00F55F00">
        <w:rPr>
          <w:lang w:val="es-ES_tradnl"/>
        </w:rPr>
        <w:t>.</w:t>
      </w:r>
      <w:r w:rsidR="007D77AA">
        <w:rPr>
          <w:lang w:val="es-ES_tradnl"/>
        </w:rPr>
        <w:t xml:space="preserve"> </w:t>
      </w:r>
      <w:r w:rsidR="00484C48" w:rsidRPr="00F55F00">
        <w:rPr>
          <w:lang w:val="es-ES_tradnl"/>
        </w:rPr>
        <w:t xml:space="preserve">Por otra parte, en el capítulo se determinará de qué manera el conocimiento de </w:t>
      </w:r>
      <w:r w:rsidR="00800614" w:rsidRPr="00F55F00">
        <w:rPr>
          <w:lang w:val="es-ES_tradnl"/>
        </w:rPr>
        <w:t>la</w:t>
      </w:r>
      <w:r w:rsidR="00484C48" w:rsidRPr="00F55F00">
        <w:rPr>
          <w:lang w:val="es-ES_tradnl"/>
        </w:rPr>
        <w:t xml:space="preserve"> disminución y los déficits de polinización puede contribuir a promover prácticas y políticas, en particular para la ordenación del uso de la tierra, la horticultura y la agricultura</w:t>
      </w:r>
      <w:r w:rsidR="00EA48F6" w:rsidRPr="00F55F00">
        <w:rPr>
          <w:lang w:val="es-ES_tradnl"/>
        </w:rPr>
        <w:t>, incluso por medio de enfoques innovadores como la agricultura ecológicamente intensificada.</w:t>
      </w:r>
      <w:r w:rsidR="007D77AA">
        <w:rPr>
          <w:lang w:val="es-ES_tradnl"/>
        </w:rPr>
        <w:t xml:space="preserve"> </w:t>
      </w:r>
      <w:r w:rsidR="00EA48F6" w:rsidRPr="00F55F00">
        <w:rPr>
          <w:lang w:val="es-ES_tradnl"/>
        </w:rPr>
        <w:t>En la evaluación de las opciones de respuesta se incluirá la consideración de concesiones normativas</w:t>
      </w:r>
      <w:r w:rsidR="00D7505A" w:rsidRPr="00F55F00">
        <w:rPr>
          <w:lang w:val="es-ES_tradnl"/>
        </w:rPr>
        <w:t xml:space="preserve">. </w:t>
      </w:r>
    </w:p>
    <w:p w:rsidR="00D7505A" w:rsidRPr="00F55F00" w:rsidRDefault="00B172F7" w:rsidP="00775FC8">
      <w:pPr>
        <w:pStyle w:val="CH1"/>
        <w:rPr>
          <w:lang w:val="es-ES_tradnl"/>
        </w:rPr>
      </w:pPr>
      <w:r w:rsidRPr="00F55F00">
        <w:rPr>
          <w:lang w:val="es-ES_tradnl"/>
        </w:rPr>
        <w:tab/>
      </w:r>
      <w:r w:rsidR="00BD19BD" w:rsidRPr="00F55F00">
        <w:rPr>
          <w:lang w:val="es-ES_tradnl"/>
        </w:rPr>
        <w:t>V</w:t>
      </w:r>
      <w:r w:rsidR="00D4614C" w:rsidRPr="00F55F00">
        <w:rPr>
          <w:lang w:val="es-ES_tradnl"/>
        </w:rPr>
        <w:t>.</w:t>
      </w:r>
      <w:r w:rsidR="00D7505A" w:rsidRPr="00F55F00">
        <w:rPr>
          <w:lang w:val="es-ES_tradnl"/>
        </w:rPr>
        <w:tab/>
        <w:t>Proces</w:t>
      </w:r>
      <w:r w:rsidR="00EA48F6" w:rsidRPr="00F55F00">
        <w:rPr>
          <w:lang w:val="es-ES_tradnl"/>
        </w:rPr>
        <w:t>o</w:t>
      </w:r>
      <w:r w:rsidR="00D7505A" w:rsidRPr="00F55F00">
        <w:rPr>
          <w:lang w:val="es-ES_tradnl"/>
        </w:rPr>
        <w:t xml:space="preserve"> </w:t>
      </w:r>
      <w:r w:rsidR="00EA48F6" w:rsidRPr="00F55F00">
        <w:rPr>
          <w:lang w:val="es-ES_tradnl"/>
        </w:rPr>
        <w:t>y calendario de trabajo</w:t>
      </w:r>
    </w:p>
    <w:p w:rsidR="008F45EB" w:rsidRPr="00F55F00" w:rsidRDefault="00B47FD0" w:rsidP="008D2FF9">
      <w:pPr>
        <w:pStyle w:val="Normalnumber"/>
        <w:rPr>
          <w:lang w:val="es-ES_tradnl"/>
        </w:rPr>
      </w:pPr>
      <w:r w:rsidRPr="00F55F00">
        <w:rPr>
          <w:lang w:val="es-ES_tradnl"/>
        </w:rPr>
        <w:t>En el cuadro que figura a continuación se proponen un proceso y un calendario de trabajo para llevar a cabo la evaluación</w:t>
      </w:r>
      <w:r w:rsidR="008D2FF9" w:rsidRPr="00F55F00">
        <w:rPr>
          <w:lang w:val="es-ES_tradnl"/>
        </w:rPr>
        <w:t xml:space="preserve"> temática por vía rápida</w:t>
      </w:r>
      <w:r w:rsidRPr="00F55F00">
        <w:rPr>
          <w:lang w:val="es-ES_tradnl"/>
        </w:rPr>
        <w:t>.</w:t>
      </w:r>
      <w:r w:rsidR="000D7AAD" w:rsidRPr="00F55F00">
        <w:rPr>
          <w:lang w:val="es-ES_tradnl"/>
        </w:rPr>
        <w:t xml:space="preserve"> </w:t>
      </w:r>
    </w:p>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826"/>
        <w:gridCol w:w="6298"/>
      </w:tblGrid>
      <w:tr w:rsidR="00F616B7" w:rsidRPr="00F55F00" w:rsidTr="00F616B7">
        <w:trPr>
          <w:trHeight w:val="584"/>
          <w:jc w:val="right"/>
        </w:trPr>
        <w:tc>
          <w:tcPr>
            <w:tcW w:w="2670" w:type="dxa"/>
            <w:gridSpan w:val="2"/>
            <w:shd w:val="clear" w:color="auto" w:fill="auto"/>
            <w:vAlign w:val="center"/>
          </w:tcPr>
          <w:p w:rsidR="00F616B7" w:rsidRPr="00F55F00" w:rsidRDefault="00F616B7" w:rsidP="00775FC8">
            <w:pPr>
              <w:pStyle w:val="Normal-pool"/>
              <w:spacing w:before="40" w:after="40"/>
              <w:rPr>
                <w:rFonts w:eastAsia="SimSun"/>
                <w:i/>
                <w:sz w:val="18"/>
                <w:szCs w:val="18"/>
                <w:lang w:val="es-ES_tradnl" w:eastAsia="zh-CN"/>
              </w:rPr>
            </w:pPr>
            <w:r w:rsidRPr="00F55F00">
              <w:rPr>
                <w:rFonts w:eastAsia="SimSun"/>
                <w:i/>
                <w:sz w:val="18"/>
                <w:szCs w:val="18"/>
                <w:lang w:val="es-ES_tradnl" w:eastAsia="zh-CN"/>
              </w:rPr>
              <w:t>Marco temporal</w:t>
            </w:r>
          </w:p>
        </w:tc>
        <w:tc>
          <w:tcPr>
            <w:tcW w:w="6298" w:type="dxa"/>
            <w:shd w:val="clear" w:color="auto" w:fill="auto"/>
            <w:vAlign w:val="center"/>
          </w:tcPr>
          <w:p w:rsidR="00F616B7" w:rsidRPr="00F55F00" w:rsidRDefault="00F616B7" w:rsidP="007C4716">
            <w:pPr>
              <w:pStyle w:val="Normal-pool"/>
              <w:spacing w:before="40" w:after="40"/>
              <w:rPr>
                <w:i/>
                <w:sz w:val="18"/>
                <w:szCs w:val="18"/>
                <w:lang w:val="es-ES_tradnl"/>
              </w:rPr>
            </w:pPr>
            <w:r w:rsidRPr="00F55F00">
              <w:rPr>
                <w:i/>
                <w:sz w:val="18"/>
                <w:szCs w:val="18"/>
                <w:lang w:val="es-ES_tradnl"/>
              </w:rPr>
              <w:t>Actividades</w:t>
            </w:r>
          </w:p>
        </w:tc>
      </w:tr>
      <w:tr w:rsidR="00F616B7" w:rsidRPr="00F55F00" w:rsidTr="00F616B7">
        <w:trPr>
          <w:trHeight w:val="584"/>
          <w:jc w:val="right"/>
        </w:trPr>
        <w:tc>
          <w:tcPr>
            <w:tcW w:w="844" w:type="dxa"/>
            <w:vMerge w:val="restart"/>
            <w:shd w:val="clear" w:color="auto" w:fill="auto"/>
            <w:vAlign w:val="center"/>
          </w:tcPr>
          <w:p w:rsidR="00F616B7" w:rsidRPr="00F55F00" w:rsidRDefault="00F616B7"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2013</w:t>
            </w:r>
          </w:p>
        </w:tc>
        <w:tc>
          <w:tcPr>
            <w:tcW w:w="1826" w:type="dxa"/>
            <w:shd w:val="clear" w:color="auto" w:fill="auto"/>
            <w:vAlign w:val="center"/>
          </w:tcPr>
          <w:p w:rsidR="00F616B7" w:rsidRPr="00F55F00" w:rsidRDefault="00F616B7"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Cuarto trimestre</w:t>
            </w:r>
          </w:p>
        </w:tc>
        <w:tc>
          <w:tcPr>
            <w:tcW w:w="6298" w:type="dxa"/>
            <w:shd w:val="clear" w:color="auto" w:fill="auto"/>
            <w:vAlign w:val="center"/>
          </w:tcPr>
          <w:p w:rsidR="00F616B7" w:rsidRPr="00F55F00" w:rsidRDefault="00F616B7" w:rsidP="007E2490">
            <w:pPr>
              <w:pStyle w:val="Normal-pool"/>
              <w:spacing w:before="40" w:after="40"/>
              <w:rPr>
                <w:sz w:val="18"/>
                <w:szCs w:val="18"/>
                <w:lang w:val="es-ES_tradnl"/>
              </w:rPr>
            </w:pPr>
            <w:r w:rsidRPr="00F55F00">
              <w:rPr>
                <w:sz w:val="18"/>
                <w:szCs w:val="18"/>
                <w:lang w:val="es-ES_tradnl"/>
              </w:rPr>
              <w:t>El Plenario examina y aprueba el análisis inicial preparado por el Grupo multidisciplinario de exp</w:t>
            </w:r>
            <w:r w:rsidR="00424698" w:rsidRPr="00F55F00">
              <w:rPr>
                <w:sz w:val="18"/>
                <w:szCs w:val="18"/>
                <w:lang w:val="es-ES_tradnl"/>
              </w:rPr>
              <w:t>ertos (14 de diciembre de 2013)</w:t>
            </w:r>
          </w:p>
        </w:tc>
      </w:tr>
      <w:tr w:rsidR="00F616B7" w:rsidRPr="00F55F00" w:rsidTr="00F616B7">
        <w:trPr>
          <w:trHeight w:val="584"/>
          <w:jc w:val="right"/>
        </w:trPr>
        <w:tc>
          <w:tcPr>
            <w:tcW w:w="844" w:type="dxa"/>
            <w:vMerge/>
            <w:shd w:val="clear" w:color="auto" w:fill="auto"/>
            <w:vAlign w:val="center"/>
          </w:tcPr>
          <w:p w:rsidR="00F616B7" w:rsidRPr="00F55F00" w:rsidRDefault="00F616B7" w:rsidP="003E61BB">
            <w:pPr>
              <w:pStyle w:val="Normal-pool"/>
              <w:spacing w:before="40" w:after="40"/>
              <w:rPr>
                <w:rFonts w:eastAsia="SimSun"/>
                <w:sz w:val="18"/>
                <w:szCs w:val="18"/>
                <w:lang w:val="es-ES_tradnl" w:eastAsia="zh-CN"/>
              </w:rPr>
            </w:pPr>
          </w:p>
        </w:tc>
        <w:tc>
          <w:tcPr>
            <w:tcW w:w="1826" w:type="dxa"/>
            <w:shd w:val="clear" w:color="auto" w:fill="auto"/>
            <w:vAlign w:val="center"/>
          </w:tcPr>
          <w:p w:rsidR="00F616B7" w:rsidRPr="00F55F00" w:rsidRDefault="00F616B7" w:rsidP="003E61BB">
            <w:pPr>
              <w:pStyle w:val="Normal-pool"/>
              <w:spacing w:before="40" w:after="40"/>
              <w:rPr>
                <w:rFonts w:eastAsia="SimSun"/>
                <w:sz w:val="18"/>
                <w:szCs w:val="18"/>
                <w:lang w:val="es-ES_tradnl" w:eastAsia="zh-CN"/>
              </w:rPr>
            </w:pPr>
            <w:r w:rsidRPr="00F55F00">
              <w:rPr>
                <w:rFonts w:eastAsia="SimSun"/>
                <w:sz w:val="18"/>
                <w:szCs w:val="18"/>
                <w:lang w:val="es-ES_tradnl" w:eastAsia="zh-CN"/>
              </w:rPr>
              <w:t>Cuarto trimestre</w:t>
            </w:r>
          </w:p>
        </w:tc>
        <w:tc>
          <w:tcPr>
            <w:tcW w:w="6298" w:type="dxa"/>
            <w:shd w:val="clear" w:color="auto" w:fill="auto"/>
            <w:vAlign w:val="center"/>
          </w:tcPr>
          <w:p w:rsidR="00F616B7" w:rsidRPr="00F55F00" w:rsidRDefault="00424698" w:rsidP="007E2490">
            <w:pPr>
              <w:pStyle w:val="Normal-pool"/>
              <w:spacing w:before="40" w:after="40"/>
              <w:rPr>
                <w:sz w:val="18"/>
                <w:szCs w:val="18"/>
                <w:lang w:val="es-ES_tradnl"/>
              </w:rPr>
            </w:pPr>
            <w:r w:rsidRPr="00F55F00">
              <w:rPr>
                <w:sz w:val="18"/>
                <w:szCs w:val="18"/>
                <w:lang w:val="es-ES_tradnl"/>
              </w:rPr>
              <w:t>El Grupo de expertos hace un llamamiento, por conducto de la secretaría, a los gobiernos y otros interesados para que propongan la candidatura de expertos (copresidentes del informe, autores principales encargados de la coordinación, autores principales y revisores) que se encarguen de la evaluación, sobre la base de los resultados del análisis aprobado por el Plenario (9 de diciembre de 2013 a 10 de enero de 2014)</w:t>
            </w:r>
          </w:p>
        </w:tc>
      </w:tr>
      <w:tr w:rsidR="002535FA" w:rsidRPr="00F55F00" w:rsidTr="00F616B7">
        <w:trPr>
          <w:trHeight w:val="584"/>
          <w:jc w:val="right"/>
        </w:trPr>
        <w:tc>
          <w:tcPr>
            <w:tcW w:w="844" w:type="dxa"/>
            <w:vMerge w:val="restart"/>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2014</w:t>
            </w:r>
          </w:p>
        </w:tc>
        <w:tc>
          <w:tcPr>
            <w:tcW w:w="1826" w:type="dxa"/>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Primer trimestre</w:t>
            </w:r>
          </w:p>
        </w:tc>
        <w:tc>
          <w:tcPr>
            <w:tcW w:w="6298" w:type="dxa"/>
            <w:shd w:val="clear" w:color="auto" w:fill="auto"/>
            <w:vAlign w:val="center"/>
          </w:tcPr>
          <w:p w:rsidR="002535FA" w:rsidRPr="00F55F00" w:rsidRDefault="002535FA" w:rsidP="007E2490">
            <w:pPr>
              <w:pStyle w:val="Normal-pool"/>
              <w:spacing w:before="40" w:after="40"/>
              <w:rPr>
                <w:sz w:val="18"/>
                <w:szCs w:val="18"/>
                <w:lang w:val="es-ES_tradnl"/>
              </w:rPr>
            </w:pPr>
            <w:r w:rsidRPr="00F55F00">
              <w:rPr>
                <w:sz w:val="18"/>
                <w:szCs w:val="18"/>
                <w:lang w:val="es-ES_tradnl"/>
              </w:rPr>
              <w:t>El Grupo, mediante correos electrónicos y teleconferencias, selecciona a los copresidentes, autores principales encargados de la coordinación, autores principales y revisores, valiéndose de los criterios de selección aprobados</w:t>
            </w:r>
            <w:r w:rsidR="007E2490" w:rsidRPr="00F55F00">
              <w:rPr>
                <w:sz w:val="18"/>
                <w:szCs w:val="18"/>
                <w:lang w:val="es-ES_tradnl"/>
              </w:rPr>
              <w:t xml:space="preserve"> (véase </w:t>
            </w:r>
            <w:r w:rsidR="00424698" w:rsidRPr="00F55F00">
              <w:rPr>
                <w:sz w:val="18"/>
                <w:szCs w:val="18"/>
                <w:lang w:val="es-ES_tradnl"/>
              </w:rPr>
              <w:t>IPBES/2/9</w:t>
            </w:r>
            <w:r w:rsidR="007E2490" w:rsidRPr="00F55F00">
              <w:rPr>
                <w:sz w:val="18"/>
                <w:szCs w:val="18"/>
                <w:lang w:val="es-ES_tradnl"/>
              </w:rPr>
              <w:t>)</w:t>
            </w:r>
            <w:r w:rsidR="00424698" w:rsidRPr="00F55F00">
              <w:rPr>
                <w:sz w:val="18"/>
                <w:szCs w:val="18"/>
                <w:lang w:val="es-ES_tradnl"/>
              </w:rPr>
              <w:t xml:space="preserve"> (11 a 24 de enero)</w:t>
            </w:r>
          </w:p>
        </w:tc>
      </w:tr>
      <w:tr w:rsidR="002535FA" w:rsidRPr="00F55F00" w:rsidTr="00F616B7">
        <w:trPr>
          <w:trHeight w:val="584"/>
          <w:jc w:val="right"/>
        </w:trPr>
        <w:tc>
          <w:tcPr>
            <w:tcW w:w="844" w:type="dxa"/>
            <w:vMerge/>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p>
        </w:tc>
        <w:tc>
          <w:tcPr>
            <w:tcW w:w="1826" w:type="dxa"/>
            <w:shd w:val="clear" w:color="auto" w:fill="auto"/>
            <w:vAlign w:val="center"/>
          </w:tcPr>
          <w:p w:rsidR="002535FA" w:rsidRPr="00F55F00" w:rsidRDefault="002535FA" w:rsidP="00424698">
            <w:pPr>
              <w:pStyle w:val="Normal-pool"/>
              <w:spacing w:before="40" w:after="40"/>
              <w:rPr>
                <w:rFonts w:eastAsia="SimSun"/>
                <w:sz w:val="18"/>
                <w:szCs w:val="18"/>
                <w:lang w:val="es-ES_tradnl" w:eastAsia="zh-CN"/>
              </w:rPr>
            </w:pPr>
            <w:r w:rsidRPr="00F55F00">
              <w:rPr>
                <w:rFonts w:eastAsia="SimSun"/>
                <w:sz w:val="18"/>
                <w:szCs w:val="18"/>
                <w:lang w:val="es-ES_tradnl" w:eastAsia="zh-CN"/>
              </w:rPr>
              <w:t>Primer</w:t>
            </w:r>
            <w:r w:rsidR="00424698" w:rsidRPr="00F55F00">
              <w:rPr>
                <w:rFonts w:eastAsia="SimSun"/>
                <w:sz w:val="18"/>
                <w:szCs w:val="18"/>
                <w:lang w:val="es-ES_tradnl" w:eastAsia="zh-CN"/>
              </w:rPr>
              <w:t xml:space="preserve">o, segundo, </w:t>
            </w:r>
            <w:r w:rsidRPr="00F55F00">
              <w:rPr>
                <w:rFonts w:eastAsia="SimSun"/>
                <w:sz w:val="18"/>
                <w:szCs w:val="18"/>
                <w:lang w:val="es-ES_tradnl" w:eastAsia="zh-CN"/>
              </w:rPr>
              <w:t xml:space="preserve">tercer trimestres </w:t>
            </w:r>
          </w:p>
        </w:tc>
        <w:tc>
          <w:tcPr>
            <w:tcW w:w="6298" w:type="dxa"/>
            <w:shd w:val="clear" w:color="auto" w:fill="auto"/>
            <w:vAlign w:val="center"/>
          </w:tcPr>
          <w:p w:rsidR="002535FA" w:rsidRPr="00F55F00" w:rsidRDefault="002535FA" w:rsidP="00F55F00">
            <w:pPr>
              <w:pStyle w:val="Normal-pool"/>
              <w:spacing w:before="40" w:after="40"/>
              <w:rPr>
                <w:sz w:val="18"/>
                <w:szCs w:val="18"/>
                <w:lang w:val="es-ES_tradnl"/>
              </w:rPr>
            </w:pPr>
            <w:r w:rsidRPr="00F55F00">
              <w:rPr>
                <w:sz w:val="18"/>
                <w:szCs w:val="18"/>
                <w:lang w:val="es-ES_tradnl"/>
              </w:rPr>
              <w:t xml:space="preserve">Los copresidentes del informe, autores principales encargados de la coordinación y autores principales preparan </w:t>
            </w:r>
            <w:r w:rsidR="007E2490" w:rsidRPr="00F55F00">
              <w:rPr>
                <w:sz w:val="18"/>
                <w:szCs w:val="18"/>
                <w:lang w:val="es-ES_tradnl"/>
              </w:rPr>
              <w:t xml:space="preserve">una </w:t>
            </w:r>
            <w:r w:rsidRPr="00F55F00">
              <w:rPr>
                <w:sz w:val="18"/>
                <w:szCs w:val="18"/>
                <w:lang w:val="es-ES_tradnl"/>
              </w:rPr>
              <w:t xml:space="preserve">versión </w:t>
            </w:r>
            <w:r w:rsidR="007E2490" w:rsidRPr="00F55F00">
              <w:rPr>
                <w:sz w:val="18"/>
                <w:szCs w:val="18"/>
                <w:lang w:val="es-ES_tradnl"/>
              </w:rPr>
              <w:t xml:space="preserve">inicial </w:t>
            </w:r>
            <w:r w:rsidRPr="00F55F00">
              <w:rPr>
                <w:sz w:val="18"/>
                <w:szCs w:val="18"/>
                <w:lang w:val="es-ES_tradnl"/>
              </w:rPr>
              <w:t>del proyecto de informe y el resumen para los responsables de formular políticas (25 de enero a 25 de julio). Los autores se reúnen en febrero para seguir elaborando el esquema anotado y las secciones y capítulos que se les han asignado y de nuevo a principios de julio para preparar la versión definitiva del informe y el resumen para los res</w:t>
            </w:r>
            <w:r w:rsidR="00424698" w:rsidRPr="00F55F00">
              <w:rPr>
                <w:sz w:val="18"/>
                <w:szCs w:val="18"/>
                <w:lang w:val="es-ES_tradnl"/>
              </w:rPr>
              <w:t>ponsables de formular políticas</w:t>
            </w:r>
          </w:p>
        </w:tc>
      </w:tr>
      <w:tr w:rsidR="002535FA" w:rsidRPr="00F55F00" w:rsidTr="00F616B7">
        <w:trPr>
          <w:trHeight w:val="584"/>
          <w:jc w:val="right"/>
        </w:trPr>
        <w:tc>
          <w:tcPr>
            <w:tcW w:w="844" w:type="dxa"/>
            <w:vMerge/>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p>
        </w:tc>
        <w:tc>
          <w:tcPr>
            <w:tcW w:w="1826" w:type="dxa"/>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Tercer trimestre</w:t>
            </w:r>
          </w:p>
        </w:tc>
        <w:tc>
          <w:tcPr>
            <w:tcW w:w="6298" w:type="dxa"/>
            <w:shd w:val="clear" w:color="auto" w:fill="auto"/>
            <w:vAlign w:val="center"/>
          </w:tcPr>
          <w:p w:rsidR="002535FA" w:rsidRPr="00F55F00" w:rsidRDefault="002535FA" w:rsidP="00063BCD">
            <w:pPr>
              <w:pStyle w:val="Normal-pool"/>
              <w:spacing w:before="40" w:after="40"/>
              <w:rPr>
                <w:sz w:val="18"/>
                <w:szCs w:val="18"/>
                <w:lang w:val="es-ES_tradnl"/>
              </w:rPr>
            </w:pPr>
            <w:r w:rsidRPr="00F55F00">
              <w:rPr>
                <w:sz w:val="18"/>
                <w:szCs w:val="18"/>
                <w:lang w:val="es-ES_tradnl"/>
              </w:rPr>
              <w:t>Los expertos y los gobiernos y otros interesados examinan el proyecto de informe y el resumen para los responsables de formular políticas (</w:t>
            </w:r>
            <w:r w:rsidR="00424698" w:rsidRPr="00F55F00">
              <w:rPr>
                <w:sz w:val="18"/>
                <w:szCs w:val="18"/>
                <w:lang w:val="es-ES_tradnl"/>
              </w:rPr>
              <w:t>26 de julio a 12 de septiembre)</w:t>
            </w:r>
          </w:p>
        </w:tc>
      </w:tr>
      <w:tr w:rsidR="002535FA" w:rsidRPr="00F55F00" w:rsidTr="00F616B7">
        <w:trPr>
          <w:trHeight w:val="120"/>
          <w:jc w:val="right"/>
        </w:trPr>
        <w:tc>
          <w:tcPr>
            <w:tcW w:w="844" w:type="dxa"/>
            <w:vMerge/>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p>
        </w:tc>
        <w:tc>
          <w:tcPr>
            <w:tcW w:w="1826" w:type="dxa"/>
            <w:shd w:val="clear" w:color="auto" w:fill="auto"/>
            <w:vAlign w:val="center"/>
          </w:tcPr>
          <w:p w:rsidR="002535FA" w:rsidRPr="00F55F00" w:rsidRDefault="00424698" w:rsidP="00F616B7">
            <w:pPr>
              <w:pStyle w:val="Normal-pool"/>
              <w:spacing w:before="40" w:after="40"/>
              <w:rPr>
                <w:rFonts w:eastAsia="SimSun"/>
                <w:sz w:val="18"/>
                <w:szCs w:val="18"/>
                <w:lang w:val="es-ES_tradnl" w:eastAsia="zh-CN"/>
              </w:rPr>
            </w:pPr>
            <w:r w:rsidRPr="00F55F00">
              <w:rPr>
                <w:rFonts w:eastAsia="SimSun"/>
                <w:sz w:val="18"/>
                <w:szCs w:val="18"/>
                <w:lang w:val="es-ES_tradnl" w:eastAsia="zh-CN"/>
              </w:rPr>
              <w:t xml:space="preserve">Tercer, </w:t>
            </w:r>
            <w:r w:rsidR="002535FA" w:rsidRPr="00F55F00">
              <w:rPr>
                <w:rFonts w:eastAsia="SimSun"/>
                <w:sz w:val="18"/>
                <w:szCs w:val="18"/>
                <w:lang w:val="es-ES_tradnl" w:eastAsia="zh-CN"/>
              </w:rPr>
              <w:t xml:space="preserve">cuarto </w:t>
            </w:r>
          </w:p>
          <w:p w:rsidR="002535FA" w:rsidRPr="00F55F00" w:rsidRDefault="002535FA"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trimestres</w:t>
            </w:r>
          </w:p>
        </w:tc>
        <w:tc>
          <w:tcPr>
            <w:tcW w:w="6298" w:type="dxa"/>
            <w:shd w:val="clear" w:color="auto" w:fill="auto"/>
            <w:vAlign w:val="center"/>
          </w:tcPr>
          <w:p w:rsidR="002535FA" w:rsidRPr="00F55F00" w:rsidRDefault="002535FA" w:rsidP="007E2490">
            <w:pPr>
              <w:pStyle w:val="Normal-pool"/>
              <w:spacing w:before="40" w:after="40"/>
              <w:rPr>
                <w:sz w:val="18"/>
                <w:szCs w:val="18"/>
                <w:lang w:val="es-ES_tradnl"/>
              </w:rPr>
            </w:pPr>
            <w:r w:rsidRPr="00F55F00">
              <w:rPr>
                <w:sz w:val="18"/>
                <w:szCs w:val="18"/>
                <w:lang w:val="es-ES_tradnl"/>
              </w:rPr>
              <w:t xml:space="preserve">Los copresidentes del informe, autores principales encargados de la coordinación y autores principales revisan la primera versión del proyecto de informe y el resumen para los responsables de formular políticas bajo la orientación de los revisores y del </w:t>
            </w:r>
            <w:r w:rsidRPr="00F55F00">
              <w:rPr>
                <w:sz w:val="18"/>
                <w:szCs w:val="18"/>
                <w:lang w:val="es-ES_tradnl"/>
              </w:rPr>
              <w:lastRenderedPageBreak/>
              <w:t>Grupo de expertos. Los autores y los revisores, con un pequeño número de miembros del Grupo de expertos, se reúnen una vez para preparar la versión final del proyecto de informe y el resumen para los responsables de formular políticas (13 d</w:t>
            </w:r>
            <w:r w:rsidR="00424698" w:rsidRPr="00F55F00">
              <w:rPr>
                <w:sz w:val="18"/>
                <w:szCs w:val="18"/>
                <w:lang w:val="es-ES_tradnl"/>
              </w:rPr>
              <w:t>e septiembre a 7 de noviembre)</w:t>
            </w:r>
          </w:p>
        </w:tc>
      </w:tr>
      <w:tr w:rsidR="002535FA" w:rsidRPr="00F55F00" w:rsidTr="00F616B7">
        <w:trPr>
          <w:trHeight w:val="584"/>
          <w:jc w:val="right"/>
        </w:trPr>
        <w:tc>
          <w:tcPr>
            <w:tcW w:w="844" w:type="dxa"/>
            <w:vMerge/>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p>
        </w:tc>
        <w:tc>
          <w:tcPr>
            <w:tcW w:w="1826" w:type="dxa"/>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Cuarto trimestre</w:t>
            </w:r>
          </w:p>
        </w:tc>
        <w:tc>
          <w:tcPr>
            <w:tcW w:w="6298" w:type="dxa"/>
            <w:shd w:val="clear" w:color="auto" w:fill="auto"/>
            <w:vAlign w:val="center"/>
          </w:tcPr>
          <w:p w:rsidR="002535FA" w:rsidRPr="00F55F00" w:rsidRDefault="002535FA" w:rsidP="00E731EE">
            <w:pPr>
              <w:pStyle w:val="Normal-pool"/>
              <w:spacing w:before="40" w:after="40"/>
              <w:rPr>
                <w:sz w:val="18"/>
                <w:szCs w:val="18"/>
                <w:lang w:val="es-ES_tradnl"/>
              </w:rPr>
            </w:pPr>
            <w:r w:rsidRPr="00F55F00">
              <w:rPr>
                <w:sz w:val="18"/>
                <w:szCs w:val="18"/>
                <w:lang w:val="es-ES_tradnl"/>
              </w:rPr>
              <w:t xml:space="preserve">El resumen para los responsables de formular políticas se traduce a </w:t>
            </w:r>
            <w:r w:rsidR="00E731EE" w:rsidRPr="00F55F00">
              <w:rPr>
                <w:sz w:val="18"/>
                <w:szCs w:val="18"/>
                <w:lang w:val="es-ES_tradnl"/>
              </w:rPr>
              <w:t xml:space="preserve">todos </w:t>
            </w:r>
            <w:r w:rsidRPr="00F55F00">
              <w:rPr>
                <w:sz w:val="18"/>
                <w:szCs w:val="18"/>
                <w:lang w:val="es-ES_tradnl"/>
              </w:rPr>
              <w:t xml:space="preserve">los idiomas oficiales de las </w:t>
            </w:r>
            <w:r w:rsidR="007D77AA">
              <w:rPr>
                <w:sz w:val="18"/>
                <w:szCs w:val="18"/>
                <w:lang w:val="es-ES_tradnl"/>
              </w:rPr>
              <w:t>Naciones Unidas</w:t>
            </w:r>
            <w:r w:rsidRPr="00F55F00">
              <w:rPr>
                <w:sz w:val="18"/>
                <w:szCs w:val="18"/>
                <w:lang w:val="es-ES_tradnl"/>
              </w:rPr>
              <w:t xml:space="preserve"> (8</w:t>
            </w:r>
            <w:r w:rsidR="00424698" w:rsidRPr="00F55F00">
              <w:rPr>
                <w:sz w:val="18"/>
                <w:szCs w:val="18"/>
                <w:lang w:val="es-ES_tradnl"/>
              </w:rPr>
              <w:t xml:space="preserve"> de noviembre a 5 de diciembre)</w:t>
            </w:r>
          </w:p>
        </w:tc>
      </w:tr>
      <w:tr w:rsidR="002535FA" w:rsidRPr="00F55F00" w:rsidTr="00F616B7">
        <w:trPr>
          <w:trHeight w:val="584"/>
          <w:jc w:val="right"/>
        </w:trPr>
        <w:tc>
          <w:tcPr>
            <w:tcW w:w="844" w:type="dxa"/>
            <w:vMerge/>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p>
        </w:tc>
        <w:tc>
          <w:tcPr>
            <w:tcW w:w="1826" w:type="dxa"/>
            <w:shd w:val="clear" w:color="auto" w:fill="auto"/>
            <w:vAlign w:val="center"/>
          </w:tcPr>
          <w:p w:rsidR="002535FA" w:rsidRPr="00F55F00" w:rsidRDefault="002535FA"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Cuarto trimestre</w:t>
            </w:r>
          </w:p>
        </w:tc>
        <w:tc>
          <w:tcPr>
            <w:tcW w:w="6298" w:type="dxa"/>
            <w:shd w:val="clear" w:color="auto" w:fill="auto"/>
            <w:vAlign w:val="center"/>
          </w:tcPr>
          <w:p w:rsidR="002535FA" w:rsidRPr="00F55F00" w:rsidRDefault="002535FA" w:rsidP="000E1251">
            <w:pPr>
              <w:pStyle w:val="Normal-pool"/>
              <w:spacing w:before="40" w:after="40"/>
              <w:rPr>
                <w:sz w:val="18"/>
                <w:szCs w:val="18"/>
                <w:lang w:val="es-ES_tradnl"/>
              </w:rPr>
            </w:pPr>
            <w:r w:rsidRPr="00F55F00">
              <w:rPr>
                <w:sz w:val="18"/>
                <w:szCs w:val="18"/>
                <w:lang w:val="es-ES_tradnl"/>
              </w:rPr>
              <w:t xml:space="preserve">Se envía a los gobiernos y otros interesados la versión final del proyecto de informe y el resumen para los responsables de formular políticas para su revisión final </w:t>
            </w:r>
            <w:r w:rsidR="00424698" w:rsidRPr="00F55F00">
              <w:rPr>
                <w:sz w:val="18"/>
                <w:szCs w:val="18"/>
                <w:lang w:val="es-ES_tradnl"/>
              </w:rPr>
              <w:t>(6 de diciembre</w:t>
            </w:r>
            <w:r w:rsidR="007A015D" w:rsidRPr="00F55F00">
              <w:rPr>
                <w:sz w:val="18"/>
                <w:szCs w:val="18"/>
                <w:lang w:val="es-ES_tradnl"/>
              </w:rPr>
              <w:t xml:space="preserve"> de 2014</w:t>
            </w:r>
            <w:r w:rsidR="00424698" w:rsidRPr="00F55F00">
              <w:rPr>
                <w:sz w:val="18"/>
                <w:szCs w:val="18"/>
                <w:lang w:val="es-ES_tradnl"/>
              </w:rPr>
              <w:t xml:space="preserve"> a 6 de febrero</w:t>
            </w:r>
            <w:r w:rsidR="007A015D" w:rsidRPr="00F55F00">
              <w:rPr>
                <w:sz w:val="18"/>
                <w:szCs w:val="18"/>
                <w:lang w:val="es-ES_tradnl"/>
              </w:rPr>
              <w:t xml:space="preserve"> de 2015</w:t>
            </w:r>
            <w:r w:rsidR="00424698" w:rsidRPr="00F55F00">
              <w:rPr>
                <w:sz w:val="18"/>
                <w:szCs w:val="18"/>
                <w:lang w:val="es-ES_tradnl"/>
              </w:rPr>
              <w:t>)</w:t>
            </w:r>
          </w:p>
        </w:tc>
      </w:tr>
      <w:tr w:rsidR="000D7AAD" w:rsidRPr="00F55F00" w:rsidTr="00F616B7">
        <w:trPr>
          <w:trHeight w:val="504"/>
          <w:jc w:val="right"/>
        </w:trPr>
        <w:tc>
          <w:tcPr>
            <w:tcW w:w="844" w:type="dxa"/>
            <w:vMerge w:val="restart"/>
            <w:shd w:val="clear" w:color="auto" w:fill="auto"/>
            <w:vAlign w:val="center"/>
          </w:tcPr>
          <w:p w:rsidR="000D7AAD" w:rsidRPr="00F55F00" w:rsidRDefault="000D7AAD"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2015</w:t>
            </w:r>
          </w:p>
        </w:tc>
        <w:tc>
          <w:tcPr>
            <w:tcW w:w="1826" w:type="dxa"/>
            <w:shd w:val="clear" w:color="auto" w:fill="auto"/>
            <w:vAlign w:val="center"/>
          </w:tcPr>
          <w:p w:rsidR="000D7AAD" w:rsidRPr="00F55F00" w:rsidRDefault="002535FA" w:rsidP="002535FA">
            <w:pPr>
              <w:pStyle w:val="Normal-pool"/>
              <w:spacing w:before="40" w:after="40"/>
              <w:rPr>
                <w:rFonts w:eastAsia="SimSun"/>
                <w:sz w:val="18"/>
                <w:szCs w:val="18"/>
                <w:lang w:val="es-ES_tradnl" w:eastAsia="zh-CN"/>
              </w:rPr>
            </w:pPr>
            <w:r w:rsidRPr="00F55F00">
              <w:rPr>
                <w:rFonts w:eastAsia="SimSun"/>
                <w:sz w:val="18"/>
                <w:szCs w:val="18"/>
                <w:lang w:val="es-ES_tradnl" w:eastAsia="zh-CN"/>
              </w:rPr>
              <w:t xml:space="preserve">Primer </w:t>
            </w:r>
            <w:r w:rsidR="00F616B7" w:rsidRPr="00F55F00">
              <w:rPr>
                <w:rFonts w:eastAsia="SimSun"/>
                <w:sz w:val="18"/>
                <w:szCs w:val="18"/>
                <w:lang w:val="es-ES_tradnl" w:eastAsia="zh-CN"/>
              </w:rPr>
              <w:t>trimestre</w:t>
            </w:r>
          </w:p>
        </w:tc>
        <w:tc>
          <w:tcPr>
            <w:tcW w:w="6298" w:type="dxa"/>
            <w:shd w:val="clear" w:color="auto" w:fill="auto"/>
            <w:vAlign w:val="center"/>
          </w:tcPr>
          <w:p w:rsidR="000D7AAD" w:rsidRPr="00F55F00" w:rsidRDefault="000D7AAD" w:rsidP="00BA7A7A">
            <w:pPr>
              <w:pStyle w:val="Normal-pool"/>
              <w:spacing w:before="40" w:after="40"/>
              <w:rPr>
                <w:b/>
                <w:sz w:val="18"/>
                <w:szCs w:val="18"/>
                <w:lang w:val="es-ES_tradnl"/>
              </w:rPr>
            </w:pPr>
            <w:r w:rsidRPr="00F55F00">
              <w:rPr>
                <w:sz w:val="18"/>
                <w:szCs w:val="18"/>
                <w:lang w:val="es-ES_tradnl"/>
              </w:rPr>
              <w:t>Los gobiernos envían a la secretaría sus observaciones por escrito en relación con el resumen para los responsables de formular políti</w:t>
            </w:r>
            <w:r w:rsidR="00424698" w:rsidRPr="00F55F00">
              <w:rPr>
                <w:sz w:val="18"/>
                <w:szCs w:val="18"/>
                <w:lang w:val="es-ES_tradnl"/>
              </w:rPr>
              <w:t>cas a más tardar el 31 de enero</w:t>
            </w:r>
          </w:p>
        </w:tc>
      </w:tr>
      <w:tr w:rsidR="000D7AAD" w:rsidRPr="00F55F00" w:rsidTr="00F616B7">
        <w:trPr>
          <w:trHeight w:val="567"/>
          <w:jc w:val="right"/>
        </w:trPr>
        <w:tc>
          <w:tcPr>
            <w:tcW w:w="844" w:type="dxa"/>
            <w:vMerge/>
            <w:shd w:val="clear" w:color="auto" w:fill="auto"/>
          </w:tcPr>
          <w:p w:rsidR="000D7AAD" w:rsidRPr="00F55F00" w:rsidRDefault="000D7AAD" w:rsidP="00775FC8">
            <w:pPr>
              <w:pStyle w:val="Normal-pool"/>
              <w:spacing w:before="40" w:after="40"/>
              <w:rPr>
                <w:rFonts w:eastAsia="SimSun"/>
                <w:sz w:val="18"/>
                <w:szCs w:val="18"/>
                <w:lang w:val="es-ES_tradnl" w:eastAsia="zh-CN"/>
              </w:rPr>
            </w:pPr>
          </w:p>
        </w:tc>
        <w:tc>
          <w:tcPr>
            <w:tcW w:w="1826" w:type="dxa"/>
            <w:shd w:val="clear" w:color="auto" w:fill="auto"/>
            <w:vAlign w:val="center"/>
          </w:tcPr>
          <w:p w:rsidR="000D7AAD" w:rsidRPr="00F55F00" w:rsidRDefault="00F616B7" w:rsidP="00775FC8">
            <w:pPr>
              <w:pStyle w:val="Normal-pool"/>
              <w:spacing w:before="40" w:after="40"/>
              <w:rPr>
                <w:rFonts w:eastAsia="SimSun"/>
                <w:sz w:val="18"/>
                <w:szCs w:val="18"/>
                <w:lang w:val="es-ES_tradnl" w:eastAsia="zh-CN"/>
              </w:rPr>
            </w:pPr>
            <w:r w:rsidRPr="00F55F00">
              <w:rPr>
                <w:rFonts w:eastAsia="SimSun"/>
                <w:sz w:val="18"/>
                <w:szCs w:val="18"/>
                <w:lang w:val="es-ES_tradnl" w:eastAsia="zh-CN"/>
              </w:rPr>
              <w:t>Primer trimestre</w:t>
            </w:r>
          </w:p>
        </w:tc>
        <w:tc>
          <w:tcPr>
            <w:tcW w:w="6298" w:type="dxa"/>
            <w:shd w:val="clear" w:color="auto" w:fill="auto"/>
            <w:vAlign w:val="center"/>
          </w:tcPr>
          <w:p w:rsidR="000D7AAD" w:rsidRPr="00F55F00" w:rsidRDefault="000D7AAD" w:rsidP="007A015D">
            <w:pPr>
              <w:pStyle w:val="Normal-pool"/>
              <w:spacing w:before="40" w:after="40"/>
              <w:rPr>
                <w:sz w:val="18"/>
                <w:szCs w:val="18"/>
                <w:lang w:val="es-ES_tradnl"/>
              </w:rPr>
            </w:pPr>
            <w:r w:rsidRPr="00F55F00">
              <w:rPr>
                <w:sz w:val="18"/>
                <w:szCs w:val="18"/>
                <w:lang w:val="es-ES_tradnl"/>
              </w:rPr>
              <w:t>El Plenario examina y acepta el informe y aprueba el resumen para los responsables de formular políticas (</w:t>
            </w:r>
            <w:r w:rsidR="007A015D" w:rsidRPr="00F55F00">
              <w:rPr>
                <w:sz w:val="18"/>
                <w:szCs w:val="18"/>
                <w:lang w:val="es-ES_tradnl"/>
              </w:rPr>
              <w:t xml:space="preserve">a partir </w:t>
            </w:r>
            <w:r w:rsidR="00424698" w:rsidRPr="00F55F00">
              <w:rPr>
                <w:sz w:val="18"/>
                <w:szCs w:val="18"/>
                <w:lang w:val="es-ES_tradnl"/>
              </w:rPr>
              <w:t>del 8 de febrero)</w:t>
            </w:r>
          </w:p>
        </w:tc>
      </w:tr>
    </w:tbl>
    <w:p w:rsidR="00D7505A" w:rsidRPr="00F55F00" w:rsidRDefault="00492DE8" w:rsidP="003E19AE">
      <w:pPr>
        <w:pStyle w:val="CH1"/>
        <w:rPr>
          <w:lang w:val="es-ES_tradnl"/>
        </w:rPr>
      </w:pPr>
      <w:r w:rsidRPr="00F55F00">
        <w:rPr>
          <w:lang w:val="es-ES_tradnl"/>
        </w:rPr>
        <w:tab/>
      </w:r>
      <w:r w:rsidR="00522D3E" w:rsidRPr="00F55F00">
        <w:rPr>
          <w:lang w:val="es-ES_tradnl"/>
        </w:rPr>
        <w:t>V</w:t>
      </w:r>
      <w:r w:rsidR="007A015D" w:rsidRPr="00F55F00">
        <w:rPr>
          <w:lang w:val="es-ES_tradnl"/>
        </w:rPr>
        <w:t>I</w:t>
      </w:r>
      <w:r w:rsidR="00522D3E" w:rsidRPr="00F55F00">
        <w:rPr>
          <w:lang w:val="es-ES_tradnl"/>
        </w:rPr>
        <w:t>.</w:t>
      </w:r>
      <w:r w:rsidR="00D7505A" w:rsidRPr="00F55F00">
        <w:rPr>
          <w:lang w:val="es-ES_tradnl"/>
        </w:rPr>
        <w:tab/>
      </w:r>
      <w:r w:rsidR="00EA48F6" w:rsidRPr="00F55F00">
        <w:rPr>
          <w:lang w:val="es-ES_tradnl"/>
        </w:rPr>
        <w:t>Estimación de</w:t>
      </w:r>
      <w:r w:rsidR="009021B7" w:rsidRPr="00F55F00">
        <w:rPr>
          <w:lang w:val="es-ES_tradnl"/>
        </w:rPr>
        <w:t xml:space="preserve"> </w:t>
      </w:r>
      <w:r w:rsidR="00EA48F6" w:rsidRPr="00F55F00">
        <w:rPr>
          <w:lang w:val="es-ES_tradnl"/>
        </w:rPr>
        <w:t>l</w:t>
      </w:r>
      <w:r w:rsidR="009021B7" w:rsidRPr="00F55F00">
        <w:rPr>
          <w:lang w:val="es-ES_tradnl"/>
        </w:rPr>
        <w:t>os</w:t>
      </w:r>
      <w:r w:rsidR="00EA48F6" w:rsidRPr="00F55F00">
        <w:rPr>
          <w:lang w:val="es-ES_tradnl"/>
        </w:rPr>
        <w:t xml:space="preserve"> costo</w:t>
      </w:r>
      <w:r w:rsidR="009021B7" w:rsidRPr="00F55F00">
        <w:rPr>
          <w:lang w:val="es-ES_tradnl"/>
        </w:rPr>
        <w:t>s</w:t>
      </w:r>
      <w:r w:rsidR="00A206D5" w:rsidRPr="00F55F00">
        <w:rPr>
          <w:lang w:val="es-ES_tradnl"/>
        </w:rPr>
        <w:t xml:space="preserve"> </w:t>
      </w:r>
    </w:p>
    <w:p w:rsidR="00A206D5" w:rsidRPr="00F55F00" w:rsidRDefault="00BA7A7A" w:rsidP="003E19AE">
      <w:pPr>
        <w:pStyle w:val="Normalnumber"/>
        <w:keepNext/>
        <w:keepLines/>
        <w:rPr>
          <w:lang w:val="es-ES_tradnl"/>
        </w:rPr>
      </w:pPr>
      <w:r w:rsidRPr="00F55F00">
        <w:rPr>
          <w:lang w:val="es-ES_tradnl"/>
        </w:rPr>
        <w:t>En el cuadro que figura a continuación se indica la estimación de</w:t>
      </w:r>
      <w:r w:rsidR="009021B7" w:rsidRPr="00F55F00">
        <w:rPr>
          <w:lang w:val="es-ES_tradnl"/>
        </w:rPr>
        <w:t xml:space="preserve"> </w:t>
      </w:r>
      <w:r w:rsidRPr="00F55F00">
        <w:rPr>
          <w:lang w:val="es-ES_tradnl"/>
        </w:rPr>
        <w:t>l</w:t>
      </w:r>
      <w:r w:rsidR="009021B7" w:rsidRPr="00F55F00">
        <w:rPr>
          <w:lang w:val="es-ES_tradnl"/>
        </w:rPr>
        <w:t>os</w:t>
      </w:r>
      <w:r w:rsidRPr="00F55F00">
        <w:rPr>
          <w:lang w:val="es-ES_tradnl"/>
        </w:rPr>
        <w:t xml:space="preserve"> costo</w:t>
      </w:r>
      <w:r w:rsidR="009021B7" w:rsidRPr="00F55F00">
        <w:rPr>
          <w:lang w:val="es-ES_tradnl"/>
        </w:rPr>
        <w:t>s</w:t>
      </w:r>
      <w:r w:rsidRPr="00F55F00">
        <w:rPr>
          <w:lang w:val="es-ES_tradnl"/>
        </w:rPr>
        <w:t xml:space="preserve"> </w:t>
      </w:r>
      <w:r w:rsidR="009021B7" w:rsidRPr="00F55F00">
        <w:rPr>
          <w:lang w:val="es-ES_tradnl"/>
        </w:rPr>
        <w:t xml:space="preserve">de </w:t>
      </w:r>
      <w:r w:rsidRPr="00F55F00">
        <w:rPr>
          <w:lang w:val="es-ES_tradnl"/>
        </w:rPr>
        <w:t xml:space="preserve">la </w:t>
      </w:r>
      <w:r w:rsidR="00800614" w:rsidRPr="00F55F00">
        <w:rPr>
          <w:lang w:val="es-ES_tradnl"/>
        </w:rPr>
        <w:t>realización</w:t>
      </w:r>
      <w:r w:rsidRPr="00F55F00">
        <w:rPr>
          <w:lang w:val="es-ES_tradnl"/>
        </w:rPr>
        <w:t xml:space="preserve"> de la evaluación y la preparación del informe de evaluación</w:t>
      </w:r>
      <w:r w:rsidR="00A206D5" w:rsidRPr="00F55F00">
        <w:rPr>
          <w:lang w:val="es-ES_tradnl"/>
        </w:rPr>
        <w:t>.</w:t>
      </w:r>
    </w:p>
    <w:p w:rsidR="003E19AE" w:rsidRPr="00F55F00" w:rsidRDefault="003E19AE" w:rsidP="003E19AE">
      <w:pPr>
        <w:pStyle w:val="Normalnumber"/>
        <w:keepNext/>
        <w:keepLines/>
        <w:numPr>
          <w:ilvl w:val="0"/>
          <w:numId w:val="0"/>
        </w:numPr>
        <w:ind w:left="1247"/>
        <w:rPr>
          <w:lang w:val="es-ES_tradnl"/>
        </w:rPr>
      </w:pPr>
      <w:r w:rsidRPr="00F55F00">
        <w:rPr>
          <w:lang w:val="es-ES_tradnl"/>
        </w:rPr>
        <w:t>(</w:t>
      </w:r>
      <w:r w:rsidR="007A015D" w:rsidRPr="00F55F00">
        <w:rPr>
          <w:lang w:val="es-ES_tradnl"/>
        </w:rPr>
        <w:t>d</w:t>
      </w:r>
      <w:r w:rsidRPr="00F55F00">
        <w:rPr>
          <w:lang w:val="es-ES_tradnl"/>
        </w:rPr>
        <w:t>ólares de los Estados Unidos)</w:t>
      </w:r>
    </w:p>
    <w:tbl>
      <w:tblPr>
        <w:tblW w:w="894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94"/>
        <w:gridCol w:w="3377"/>
        <w:gridCol w:w="866"/>
      </w:tblGrid>
      <w:tr w:rsidR="003E19AE" w:rsidRPr="00725FF3" w:rsidTr="007D77AA">
        <w:tc>
          <w:tcPr>
            <w:tcW w:w="709"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i/>
                <w:sz w:val="18"/>
                <w:szCs w:val="18"/>
                <w:lang w:val="es-ES_tradnl"/>
              </w:rPr>
            </w:pPr>
            <w:r w:rsidRPr="00725FF3">
              <w:rPr>
                <w:rFonts w:ascii="Times New Roman" w:eastAsia="MS Mincho" w:hAnsi="Times New Roman"/>
                <w:i/>
                <w:sz w:val="18"/>
                <w:szCs w:val="18"/>
                <w:lang w:val="es-ES_tradnl"/>
              </w:rPr>
              <w:t>Año</w:t>
            </w:r>
          </w:p>
        </w:tc>
        <w:tc>
          <w:tcPr>
            <w:tcW w:w="3994"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i/>
                <w:sz w:val="18"/>
                <w:szCs w:val="18"/>
                <w:lang w:val="es-ES_tradnl"/>
              </w:rPr>
            </w:pPr>
            <w:r w:rsidRPr="00725FF3">
              <w:rPr>
                <w:rFonts w:ascii="Times New Roman" w:eastAsia="MS Mincho" w:hAnsi="Times New Roman"/>
                <w:i/>
                <w:sz w:val="18"/>
                <w:szCs w:val="18"/>
                <w:lang w:val="es-ES_tradnl"/>
              </w:rPr>
              <w:t>Partida de gastos</w:t>
            </w:r>
          </w:p>
        </w:tc>
        <w:tc>
          <w:tcPr>
            <w:tcW w:w="3377"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i/>
                <w:sz w:val="18"/>
                <w:szCs w:val="18"/>
                <w:lang w:val="es-ES_tradnl"/>
              </w:rPr>
            </w:pPr>
            <w:r w:rsidRPr="00725FF3">
              <w:rPr>
                <w:rFonts w:ascii="Times New Roman" w:eastAsia="MS Mincho" w:hAnsi="Times New Roman"/>
                <w:i/>
                <w:sz w:val="18"/>
                <w:szCs w:val="18"/>
                <w:lang w:val="es-ES_tradnl"/>
              </w:rPr>
              <w:t>Supuestos</w:t>
            </w:r>
          </w:p>
        </w:tc>
        <w:tc>
          <w:tcPr>
            <w:tcW w:w="866"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i/>
                <w:sz w:val="18"/>
                <w:szCs w:val="18"/>
                <w:lang w:val="es-ES_tradnl"/>
              </w:rPr>
            </w:pPr>
            <w:r w:rsidRPr="00725FF3">
              <w:rPr>
                <w:rFonts w:ascii="Times New Roman" w:eastAsia="MS Mincho" w:hAnsi="Times New Roman"/>
                <w:i/>
                <w:sz w:val="18"/>
                <w:szCs w:val="18"/>
                <w:lang w:val="es-ES_tradnl"/>
              </w:rPr>
              <w:t>Costo</w:t>
            </w:r>
          </w:p>
        </w:tc>
      </w:tr>
      <w:tr w:rsidR="003E19AE" w:rsidRPr="00725FF3" w:rsidTr="007D77AA">
        <w:tc>
          <w:tcPr>
            <w:tcW w:w="709" w:type="dxa"/>
            <w:vMerge w:val="restart"/>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2014</w:t>
            </w:r>
          </w:p>
        </w:tc>
        <w:tc>
          <w:tcPr>
            <w:tcW w:w="3994" w:type="dxa"/>
            <w:vMerge w:val="restart"/>
            <w:vAlign w:val="center"/>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Primera reunión de los autores (7</w:t>
            </w:r>
            <w:r w:rsidR="00D76B23" w:rsidRPr="00725FF3">
              <w:rPr>
                <w:rFonts w:ascii="Times New Roman" w:eastAsia="MS Mincho" w:hAnsi="Times New Roman"/>
                <w:sz w:val="18"/>
                <w:szCs w:val="18"/>
                <w:lang w:val="es-ES_tradnl"/>
              </w:rPr>
              <w:t>5</w:t>
            </w:r>
            <w:r w:rsidRPr="00725FF3">
              <w:rPr>
                <w:rFonts w:ascii="Times New Roman" w:eastAsia="MS Mincho" w:hAnsi="Times New Roman"/>
                <w:sz w:val="18"/>
                <w:szCs w:val="18"/>
                <w:lang w:val="es-ES_tradnl"/>
              </w:rPr>
              <w:t xml:space="preserve"> copresidentes, autores principales encargados de la coordinación y autores principales más 4 miembros del Grupo multidisciplinario de expertos/Mesa más 1 funcionario de apoyo técnico)</w:t>
            </w:r>
          </w:p>
        </w:tc>
        <w:tc>
          <w:tcPr>
            <w:tcW w:w="3377" w:type="dxa"/>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 xml:space="preserve">Costos de la reunión (1 semana, </w:t>
            </w:r>
            <w:r w:rsidR="00D76B23" w:rsidRPr="00725FF3">
              <w:rPr>
                <w:rFonts w:ascii="Times New Roman" w:eastAsia="MS Mincho" w:hAnsi="Times New Roman"/>
                <w:sz w:val="18"/>
                <w:szCs w:val="18"/>
                <w:lang w:val="es-ES_tradnl"/>
              </w:rPr>
              <w:t xml:space="preserve">80 </w:t>
            </w:r>
            <w:r w:rsidRPr="00725FF3">
              <w:rPr>
                <w:rFonts w:ascii="Times New Roman" w:eastAsia="MS Mincho" w:hAnsi="Times New Roman"/>
                <w:sz w:val="18"/>
                <w:szCs w:val="18"/>
                <w:lang w:val="es-ES_tradnl"/>
              </w:rPr>
              <w:t>participantes) (25% en especie)</w:t>
            </w:r>
          </w:p>
        </w:tc>
        <w:tc>
          <w:tcPr>
            <w:tcW w:w="866" w:type="dxa"/>
          </w:tcPr>
          <w:p w:rsidR="003E19AE" w:rsidRPr="00725FF3" w:rsidRDefault="003E19AE" w:rsidP="003E19AE">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15.000</w:t>
            </w:r>
          </w:p>
        </w:tc>
      </w:tr>
      <w:tr w:rsidR="003E19AE" w:rsidRPr="00725FF3" w:rsidTr="007D77AA">
        <w:trPr>
          <w:trHeight w:val="337"/>
        </w:trPr>
        <w:tc>
          <w:tcPr>
            <w:tcW w:w="709"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377" w:type="dxa"/>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Viajes y dietas (</w:t>
            </w:r>
            <w:r w:rsidR="00D76B23" w:rsidRPr="00725FF3">
              <w:rPr>
                <w:rFonts w:ascii="Times New Roman" w:eastAsia="MS Mincho" w:hAnsi="Times New Roman"/>
                <w:sz w:val="18"/>
                <w:szCs w:val="18"/>
                <w:lang w:val="es-ES_tradnl"/>
              </w:rPr>
              <w:t xml:space="preserve">60 </w:t>
            </w:r>
            <w:r w:rsidRPr="00725FF3">
              <w:rPr>
                <w:rFonts w:ascii="Times New Roman" w:eastAsia="MS Mincho" w:hAnsi="Times New Roman"/>
                <w:sz w:val="18"/>
                <w:szCs w:val="18"/>
                <w:lang w:val="es-ES_tradnl"/>
              </w:rPr>
              <w:t>x $ 3.000)</w:t>
            </w:r>
          </w:p>
        </w:tc>
        <w:tc>
          <w:tcPr>
            <w:tcW w:w="866" w:type="dxa"/>
          </w:tcPr>
          <w:p w:rsidR="003E19AE" w:rsidRPr="00725FF3" w:rsidRDefault="00D76B23" w:rsidP="00D76B23">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180</w:t>
            </w:r>
            <w:r w:rsidR="003E19AE" w:rsidRPr="00725FF3">
              <w:rPr>
                <w:rFonts w:ascii="Times New Roman" w:eastAsia="MS Mincho" w:hAnsi="Times New Roman"/>
                <w:sz w:val="18"/>
                <w:szCs w:val="18"/>
                <w:lang w:val="es-ES_tradnl"/>
              </w:rPr>
              <w:t>.000</w:t>
            </w:r>
          </w:p>
        </w:tc>
      </w:tr>
      <w:tr w:rsidR="003E19AE" w:rsidRPr="00725FF3" w:rsidTr="007D77AA">
        <w:tc>
          <w:tcPr>
            <w:tcW w:w="709"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vMerge w:val="restart"/>
            <w:vAlign w:val="center"/>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Segunda reunión de los autores (</w:t>
            </w:r>
            <w:r w:rsidR="00D76B23" w:rsidRPr="00725FF3">
              <w:rPr>
                <w:rFonts w:ascii="Times New Roman" w:eastAsia="MS Mincho" w:hAnsi="Times New Roman"/>
                <w:sz w:val="18"/>
                <w:szCs w:val="18"/>
                <w:lang w:val="es-ES_tradnl"/>
              </w:rPr>
              <w:t xml:space="preserve">75 </w:t>
            </w:r>
            <w:r w:rsidRPr="00725FF3">
              <w:rPr>
                <w:rFonts w:ascii="Times New Roman" w:eastAsia="MS Mincho" w:hAnsi="Times New Roman"/>
                <w:sz w:val="18"/>
                <w:szCs w:val="18"/>
                <w:lang w:val="es-ES_tradnl"/>
              </w:rPr>
              <w:t>copresidentes</w:t>
            </w:r>
            <w:r w:rsidR="007D77AA" w:rsidRPr="00725FF3">
              <w:rPr>
                <w:rFonts w:ascii="Times New Roman" w:eastAsia="MS Mincho" w:hAnsi="Times New Roman"/>
                <w:sz w:val="18"/>
                <w:szCs w:val="18"/>
                <w:lang w:val="es-ES_tradnl"/>
              </w:rPr>
              <w:noBreakHyphen/>
            </w:r>
            <w:r w:rsidRPr="00725FF3">
              <w:rPr>
                <w:rFonts w:ascii="Times New Roman" w:eastAsia="MS Mincho" w:hAnsi="Times New Roman"/>
                <w:sz w:val="18"/>
                <w:szCs w:val="18"/>
                <w:lang w:val="es-ES_tradnl"/>
              </w:rPr>
              <w:t>, autores principales encargados de la coordinación y autores principales más 4 miembros del Grupo multidisciplinario de expertos/Mesa más 1 funcionario de apoyo técnico)</w:t>
            </w:r>
          </w:p>
        </w:tc>
        <w:tc>
          <w:tcPr>
            <w:tcW w:w="3377" w:type="dxa"/>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 xml:space="preserve">Costos de la reunión (1 semana, </w:t>
            </w:r>
            <w:r w:rsidR="00D76B23" w:rsidRPr="00725FF3">
              <w:rPr>
                <w:rFonts w:ascii="Times New Roman" w:eastAsia="MS Mincho" w:hAnsi="Times New Roman"/>
                <w:sz w:val="18"/>
                <w:szCs w:val="18"/>
                <w:lang w:val="es-ES_tradnl"/>
              </w:rPr>
              <w:t xml:space="preserve">80 </w:t>
            </w:r>
            <w:r w:rsidRPr="00725FF3">
              <w:rPr>
                <w:rFonts w:ascii="Times New Roman" w:eastAsia="MS Mincho" w:hAnsi="Times New Roman"/>
                <w:sz w:val="18"/>
                <w:szCs w:val="18"/>
                <w:lang w:val="es-ES_tradnl"/>
              </w:rPr>
              <w:t>participantes) (25% en especie)</w:t>
            </w:r>
          </w:p>
        </w:tc>
        <w:tc>
          <w:tcPr>
            <w:tcW w:w="866" w:type="dxa"/>
          </w:tcPr>
          <w:p w:rsidR="003E19AE" w:rsidRPr="00725FF3" w:rsidRDefault="003E19AE" w:rsidP="003E19AE">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15.000</w:t>
            </w:r>
          </w:p>
        </w:tc>
      </w:tr>
      <w:tr w:rsidR="003E19AE" w:rsidRPr="00725FF3" w:rsidTr="007D77AA">
        <w:trPr>
          <w:trHeight w:val="337"/>
        </w:trPr>
        <w:tc>
          <w:tcPr>
            <w:tcW w:w="709"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377" w:type="dxa"/>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Viajes y dietas (</w:t>
            </w:r>
            <w:r w:rsidR="00D76B23" w:rsidRPr="00725FF3">
              <w:rPr>
                <w:rFonts w:ascii="Times New Roman" w:eastAsia="MS Mincho" w:hAnsi="Times New Roman"/>
                <w:sz w:val="18"/>
                <w:szCs w:val="18"/>
                <w:lang w:val="es-ES_tradnl"/>
              </w:rPr>
              <w:t xml:space="preserve">60 </w:t>
            </w:r>
            <w:r w:rsidRPr="00725FF3">
              <w:rPr>
                <w:rFonts w:ascii="Times New Roman" w:eastAsia="MS Mincho" w:hAnsi="Times New Roman"/>
                <w:sz w:val="18"/>
                <w:szCs w:val="18"/>
                <w:lang w:val="es-ES_tradnl"/>
              </w:rPr>
              <w:t>x $ 3.000)</w:t>
            </w:r>
          </w:p>
        </w:tc>
        <w:tc>
          <w:tcPr>
            <w:tcW w:w="866" w:type="dxa"/>
          </w:tcPr>
          <w:p w:rsidR="003E19AE" w:rsidRPr="00725FF3" w:rsidRDefault="00D76B23" w:rsidP="00D76B23">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180</w:t>
            </w:r>
            <w:r w:rsidR="003E19AE" w:rsidRPr="00725FF3">
              <w:rPr>
                <w:rFonts w:ascii="Times New Roman" w:eastAsia="MS Mincho" w:hAnsi="Times New Roman"/>
                <w:sz w:val="18"/>
                <w:szCs w:val="18"/>
                <w:lang w:val="es-ES_tradnl"/>
              </w:rPr>
              <w:t>.000</w:t>
            </w:r>
          </w:p>
        </w:tc>
      </w:tr>
      <w:tr w:rsidR="003E19AE" w:rsidRPr="00725FF3" w:rsidTr="007D77AA">
        <w:tc>
          <w:tcPr>
            <w:tcW w:w="709"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vMerge w:val="restart"/>
            <w:vAlign w:val="center"/>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Tercera reunión de autores (</w:t>
            </w:r>
            <w:r w:rsidR="00D76B23" w:rsidRPr="00725FF3">
              <w:rPr>
                <w:rFonts w:ascii="Times New Roman" w:eastAsia="MS Mincho" w:hAnsi="Times New Roman"/>
                <w:sz w:val="18"/>
                <w:szCs w:val="18"/>
                <w:lang w:val="es-ES_tradnl"/>
              </w:rPr>
              <w:t xml:space="preserve">75 </w:t>
            </w:r>
            <w:r w:rsidRPr="00725FF3">
              <w:rPr>
                <w:rFonts w:ascii="Times New Roman" w:eastAsia="MS Mincho" w:hAnsi="Times New Roman"/>
                <w:sz w:val="18"/>
                <w:szCs w:val="18"/>
                <w:lang w:val="es-ES_tradnl"/>
              </w:rPr>
              <w:t xml:space="preserve">copresidentes, autores principales encargados de la coordinación y autores principales más </w:t>
            </w:r>
            <w:r w:rsidR="00D76B23" w:rsidRPr="00725FF3">
              <w:rPr>
                <w:rFonts w:ascii="Times New Roman" w:eastAsia="MS Mincho" w:hAnsi="Times New Roman"/>
                <w:sz w:val="18"/>
                <w:szCs w:val="18"/>
                <w:lang w:val="es-ES_tradnl"/>
              </w:rPr>
              <w:t xml:space="preserve">12 </w:t>
            </w:r>
            <w:r w:rsidRPr="00725FF3">
              <w:rPr>
                <w:rFonts w:ascii="Times New Roman" w:eastAsia="MS Mincho" w:hAnsi="Times New Roman"/>
                <w:sz w:val="18"/>
                <w:szCs w:val="18"/>
                <w:lang w:val="es-ES_tradnl"/>
              </w:rPr>
              <w:t>revisores más 4 miembros del Grupo multidisciplinario de expertos/Mesa más 1 funcionario de apoyo técnico)</w:t>
            </w:r>
          </w:p>
        </w:tc>
        <w:tc>
          <w:tcPr>
            <w:tcW w:w="3377" w:type="dxa"/>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 xml:space="preserve">Costos de la reunión (1 semana, </w:t>
            </w:r>
            <w:r w:rsidR="00D76B23" w:rsidRPr="00725FF3">
              <w:rPr>
                <w:rFonts w:ascii="Times New Roman" w:eastAsia="MS Mincho" w:hAnsi="Times New Roman"/>
                <w:sz w:val="18"/>
                <w:szCs w:val="18"/>
                <w:lang w:val="es-ES_tradnl"/>
              </w:rPr>
              <w:t xml:space="preserve">92 </w:t>
            </w:r>
            <w:r w:rsidRPr="00725FF3">
              <w:rPr>
                <w:rFonts w:ascii="Times New Roman" w:eastAsia="MS Mincho" w:hAnsi="Times New Roman"/>
                <w:sz w:val="18"/>
                <w:szCs w:val="18"/>
                <w:lang w:val="es-ES_tradnl"/>
              </w:rPr>
              <w:t>participantes) (25% en especie)</w:t>
            </w:r>
          </w:p>
        </w:tc>
        <w:tc>
          <w:tcPr>
            <w:tcW w:w="866" w:type="dxa"/>
          </w:tcPr>
          <w:p w:rsidR="003E19AE" w:rsidRPr="00725FF3" w:rsidRDefault="003E19AE" w:rsidP="003E19AE">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18.750</w:t>
            </w:r>
          </w:p>
        </w:tc>
      </w:tr>
      <w:tr w:rsidR="003E19AE" w:rsidRPr="00725FF3" w:rsidTr="007D77AA">
        <w:trPr>
          <w:trHeight w:val="339"/>
        </w:trPr>
        <w:tc>
          <w:tcPr>
            <w:tcW w:w="709" w:type="dxa"/>
            <w:vMerge/>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vMerge/>
            <w:tcBorders>
              <w:bottom w:val="single" w:sz="4" w:space="0" w:color="auto"/>
            </w:tcBorders>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377" w:type="dxa"/>
            <w:tcBorders>
              <w:bottom w:val="single" w:sz="4" w:space="0" w:color="auto"/>
            </w:tcBorders>
          </w:tcPr>
          <w:p w:rsidR="003E19AE" w:rsidRPr="00725FF3" w:rsidRDefault="003E19AE" w:rsidP="00D76B23">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Viajes y dietas (</w:t>
            </w:r>
            <w:r w:rsidR="00D76B23" w:rsidRPr="00725FF3">
              <w:rPr>
                <w:rFonts w:ascii="Times New Roman" w:eastAsia="MS Mincho" w:hAnsi="Times New Roman"/>
                <w:sz w:val="18"/>
                <w:szCs w:val="18"/>
                <w:lang w:val="es-ES_tradnl"/>
              </w:rPr>
              <w:t xml:space="preserve">69 </w:t>
            </w:r>
            <w:r w:rsidRPr="00725FF3">
              <w:rPr>
                <w:rFonts w:ascii="Times New Roman" w:eastAsia="MS Mincho" w:hAnsi="Times New Roman"/>
                <w:sz w:val="18"/>
                <w:szCs w:val="18"/>
                <w:lang w:val="es-ES_tradnl"/>
              </w:rPr>
              <w:t>x $ 3.000)</w:t>
            </w:r>
          </w:p>
        </w:tc>
        <w:tc>
          <w:tcPr>
            <w:tcW w:w="866" w:type="dxa"/>
            <w:tcBorders>
              <w:bottom w:val="single" w:sz="4" w:space="0" w:color="auto"/>
            </w:tcBorders>
          </w:tcPr>
          <w:p w:rsidR="003E19AE" w:rsidRPr="00725FF3" w:rsidRDefault="00D76B23" w:rsidP="00D76B23">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207</w:t>
            </w:r>
            <w:r w:rsidR="003E19AE" w:rsidRPr="00725FF3">
              <w:rPr>
                <w:rFonts w:ascii="Times New Roman" w:eastAsia="MS Mincho" w:hAnsi="Times New Roman"/>
                <w:sz w:val="18"/>
                <w:szCs w:val="18"/>
                <w:lang w:val="es-ES_tradnl"/>
              </w:rPr>
              <w:t>.000</w:t>
            </w:r>
          </w:p>
        </w:tc>
      </w:tr>
      <w:tr w:rsidR="003E19AE" w:rsidRPr="00725FF3" w:rsidTr="007D77AA">
        <w:trPr>
          <w:trHeight w:val="361"/>
        </w:trPr>
        <w:tc>
          <w:tcPr>
            <w:tcW w:w="709" w:type="dxa"/>
            <w:vMerge/>
            <w:tcBorders>
              <w:bottom w:val="single" w:sz="4" w:space="0" w:color="auto"/>
            </w:tcBorders>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Apoyo técnico</w:t>
            </w:r>
          </w:p>
        </w:tc>
        <w:tc>
          <w:tcPr>
            <w:tcW w:w="3377" w:type="dxa"/>
          </w:tcPr>
          <w:p w:rsidR="003E19AE" w:rsidRPr="00725FF3" w:rsidRDefault="003E19AE" w:rsidP="003E19AE">
            <w:pPr>
              <w:keepNext/>
              <w:keepLines/>
              <w:tabs>
                <w:tab w:val="left" w:pos="426"/>
              </w:tabs>
              <w:autoSpaceDE w:val="0"/>
              <w:autoSpaceDN w:val="0"/>
              <w:adjustRightInd w:val="0"/>
              <w:spacing w:before="20" w:after="20" w:line="240" w:lineRule="auto"/>
              <w:contextualSpacing/>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 puesto equivalente a funcionario del cuadro orgánico a tiempo completo (50% en especie)</w:t>
            </w:r>
          </w:p>
        </w:tc>
        <w:tc>
          <w:tcPr>
            <w:tcW w:w="866" w:type="dxa"/>
            <w:tcBorders>
              <w:bottom w:val="single" w:sz="4" w:space="0" w:color="auto"/>
            </w:tcBorders>
          </w:tcPr>
          <w:p w:rsidR="003E19AE" w:rsidRPr="00725FF3" w:rsidRDefault="003E19AE" w:rsidP="003E19AE">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75.000</w:t>
            </w:r>
          </w:p>
        </w:tc>
      </w:tr>
      <w:tr w:rsidR="003E19AE" w:rsidRPr="00725FF3" w:rsidTr="007D77AA">
        <w:trPr>
          <w:trHeight w:val="317"/>
        </w:trPr>
        <w:tc>
          <w:tcPr>
            <w:tcW w:w="709" w:type="dxa"/>
            <w:vMerge w:val="restart"/>
            <w:vAlign w:val="center"/>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2015</w:t>
            </w:r>
          </w:p>
        </w:tc>
        <w:tc>
          <w:tcPr>
            <w:tcW w:w="3994" w:type="dxa"/>
            <w:vAlign w:val="center"/>
          </w:tcPr>
          <w:p w:rsidR="003E19AE" w:rsidRPr="00725FF3" w:rsidRDefault="003E19AE" w:rsidP="003E19AE">
            <w:pPr>
              <w:keepNext/>
              <w:keepLines/>
              <w:tabs>
                <w:tab w:val="left" w:pos="426"/>
              </w:tabs>
              <w:autoSpaceDE w:val="0"/>
              <w:autoSpaceDN w:val="0"/>
              <w:adjustRightInd w:val="0"/>
              <w:spacing w:before="20" w:after="20" w:line="240" w:lineRule="auto"/>
              <w:contextualSpacing/>
              <w:rPr>
                <w:rFonts w:ascii="Times New Roman" w:eastAsia="SimSun" w:hAnsi="Times New Roman"/>
                <w:sz w:val="18"/>
                <w:szCs w:val="18"/>
                <w:lang w:val="es-ES_tradnl"/>
              </w:rPr>
            </w:pPr>
            <w:r w:rsidRPr="00725FF3">
              <w:rPr>
                <w:rFonts w:ascii="Times New Roman" w:eastAsia="MS Mincho" w:hAnsi="Times New Roman"/>
                <w:sz w:val="18"/>
                <w:szCs w:val="18"/>
                <w:lang w:val="es-ES_tradnl"/>
              </w:rPr>
              <w:t>Participación de 2 copresidentes y 2 autores principales encargados de la coordinación en el tercer período de sesiones del Plenario</w:t>
            </w:r>
          </w:p>
        </w:tc>
        <w:tc>
          <w:tcPr>
            <w:tcW w:w="3377" w:type="dxa"/>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Viajes y dietas (3 x $ 3.000)</w:t>
            </w:r>
          </w:p>
        </w:tc>
        <w:tc>
          <w:tcPr>
            <w:tcW w:w="866" w:type="dxa"/>
          </w:tcPr>
          <w:p w:rsidR="003E19AE" w:rsidRPr="00725FF3" w:rsidRDefault="003E19AE" w:rsidP="003E19AE">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9.000</w:t>
            </w:r>
          </w:p>
        </w:tc>
      </w:tr>
      <w:tr w:rsidR="003E19AE" w:rsidRPr="00725FF3" w:rsidDel="001E184E" w:rsidTr="007D77AA">
        <w:trPr>
          <w:trHeight w:val="560"/>
        </w:trPr>
        <w:tc>
          <w:tcPr>
            <w:tcW w:w="709" w:type="dxa"/>
            <w:vMerge/>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p>
        </w:tc>
        <w:tc>
          <w:tcPr>
            <w:tcW w:w="3994" w:type="dxa"/>
          </w:tcPr>
          <w:p w:rsidR="003E19AE" w:rsidRPr="00725FF3" w:rsidRDefault="003E19AE" w:rsidP="003E19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Difusión y divulgación (resumen para los responsables de formular políticas (10 páginas) e informe (200 páginas))</w:t>
            </w:r>
          </w:p>
        </w:tc>
        <w:tc>
          <w:tcPr>
            <w:tcW w:w="3377" w:type="dxa"/>
          </w:tcPr>
          <w:p w:rsidR="003E19AE" w:rsidRPr="00725FF3" w:rsidRDefault="003E19AE" w:rsidP="00CB0AAE">
            <w:pPr>
              <w:keepNext/>
              <w:keepLines/>
              <w:tabs>
                <w:tab w:val="left" w:pos="426"/>
              </w:tabs>
              <w:autoSpaceDE w:val="0"/>
              <w:autoSpaceDN w:val="0"/>
              <w:adjustRightInd w:val="0"/>
              <w:spacing w:before="20" w:after="20" w:line="240" w:lineRule="auto"/>
              <w:rPr>
                <w:rFonts w:ascii="Times New Roman" w:eastAsia="SimSun" w:hAnsi="Times New Roman"/>
                <w:sz w:val="18"/>
                <w:szCs w:val="18"/>
                <w:lang w:val="es-ES_tradnl"/>
              </w:rPr>
            </w:pPr>
            <w:r w:rsidRPr="00725FF3">
              <w:rPr>
                <w:rFonts w:ascii="Times New Roman" w:eastAsia="MS Mincho" w:hAnsi="Times New Roman"/>
                <w:sz w:val="18"/>
                <w:szCs w:val="18"/>
                <w:lang w:val="es-ES_tradnl"/>
              </w:rPr>
              <w:t xml:space="preserve">Traducción del resumen para los responsables de formular políticas en </w:t>
            </w:r>
            <w:r w:rsidR="00CB0AAE">
              <w:rPr>
                <w:rFonts w:ascii="Times New Roman" w:eastAsia="MS Mincho" w:hAnsi="Times New Roman"/>
                <w:sz w:val="18"/>
                <w:szCs w:val="18"/>
                <w:lang w:val="es-ES_tradnl"/>
              </w:rPr>
              <w:t xml:space="preserve">todos </w:t>
            </w:r>
            <w:r w:rsidRPr="00725FF3">
              <w:rPr>
                <w:rFonts w:ascii="Times New Roman" w:eastAsia="MS Mincho" w:hAnsi="Times New Roman"/>
                <w:sz w:val="18"/>
                <w:szCs w:val="18"/>
                <w:lang w:val="es-ES_tradnl"/>
              </w:rPr>
              <w:t xml:space="preserve">los idiomas oficiales de las </w:t>
            </w:r>
            <w:r w:rsidR="007D77AA" w:rsidRPr="00725FF3">
              <w:rPr>
                <w:rFonts w:ascii="Times New Roman" w:eastAsia="MS Mincho" w:hAnsi="Times New Roman"/>
                <w:sz w:val="18"/>
                <w:szCs w:val="18"/>
                <w:lang w:val="es-ES_tradnl"/>
              </w:rPr>
              <w:t>Naciones Unidas</w:t>
            </w:r>
            <w:r w:rsidRPr="00725FF3">
              <w:rPr>
                <w:rFonts w:ascii="Times New Roman" w:eastAsia="MS Mincho" w:hAnsi="Times New Roman"/>
                <w:sz w:val="18"/>
                <w:szCs w:val="18"/>
                <w:lang w:val="es-ES_tradnl"/>
              </w:rPr>
              <w:t>, publicación y divulgación</w:t>
            </w:r>
          </w:p>
        </w:tc>
        <w:tc>
          <w:tcPr>
            <w:tcW w:w="866" w:type="dxa"/>
          </w:tcPr>
          <w:p w:rsidR="003E19AE" w:rsidRPr="00725FF3" w:rsidDel="001E184E" w:rsidRDefault="003E19AE" w:rsidP="003E19AE">
            <w:pPr>
              <w:keepNext/>
              <w:keepLines/>
              <w:tabs>
                <w:tab w:val="left" w:pos="426"/>
              </w:tabs>
              <w:autoSpaceDE w:val="0"/>
              <w:autoSpaceDN w:val="0"/>
              <w:adjustRightInd w:val="0"/>
              <w:spacing w:before="20" w:after="20" w:line="240" w:lineRule="auto"/>
              <w:jc w:val="right"/>
              <w:rPr>
                <w:rFonts w:ascii="Times New Roman" w:eastAsia="SimSun" w:hAnsi="Times New Roman"/>
                <w:sz w:val="18"/>
                <w:szCs w:val="18"/>
                <w:lang w:val="es-ES_tradnl"/>
              </w:rPr>
            </w:pPr>
            <w:r w:rsidRPr="00725FF3">
              <w:rPr>
                <w:rFonts w:ascii="Times New Roman" w:eastAsia="MS Mincho" w:hAnsi="Times New Roman"/>
                <w:sz w:val="18"/>
                <w:szCs w:val="18"/>
                <w:lang w:val="es-ES_tradnl"/>
              </w:rPr>
              <w:t>117.000</w:t>
            </w:r>
          </w:p>
        </w:tc>
      </w:tr>
      <w:tr w:rsidR="003E19AE" w:rsidRPr="00725FF3" w:rsidTr="007D77AA">
        <w:tc>
          <w:tcPr>
            <w:tcW w:w="709"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b/>
                <w:sz w:val="18"/>
                <w:szCs w:val="18"/>
                <w:lang w:val="es-ES_tradnl"/>
              </w:rPr>
            </w:pPr>
            <w:r w:rsidRPr="00725FF3">
              <w:rPr>
                <w:rFonts w:ascii="Times New Roman" w:eastAsia="MS Mincho" w:hAnsi="Times New Roman"/>
                <w:b/>
                <w:sz w:val="18"/>
                <w:szCs w:val="18"/>
                <w:lang w:val="es-ES_tradnl"/>
              </w:rPr>
              <w:t>Total</w:t>
            </w:r>
          </w:p>
        </w:tc>
        <w:tc>
          <w:tcPr>
            <w:tcW w:w="3994"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sz w:val="18"/>
                <w:szCs w:val="18"/>
                <w:lang w:val="es-ES_tradnl"/>
              </w:rPr>
            </w:pPr>
          </w:p>
        </w:tc>
        <w:tc>
          <w:tcPr>
            <w:tcW w:w="3377" w:type="dxa"/>
          </w:tcPr>
          <w:p w:rsidR="003E19AE" w:rsidRPr="00725FF3" w:rsidRDefault="003E19AE" w:rsidP="003E19AE">
            <w:pPr>
              <w:keepNext/>
              <w:keepLines/>
              <w:tabs>
                <w:tab w:val="left" w:pos="426"/>
              </w:tabs>
              <w:autoSpaceDE w:val="0"/>
              <w:autoSpaceDN w:val="0"/>
              <w:adjustRightInd w:val="0"/>
              <w:spacing w:before="40" w:after="40" w:line="240" w:lineRule="auto"/>
              <w:rPr>
                <w:rFonts w:ascii="Times New Roman" w:eastAsia="SimSun" w:hAnsi="Times New Roman"/>
                <w:sz w:val="18"/>
                <w:szCs w:val="18"/>
                <w:lang w:val="es-ES_tradnl"/>
              </w:rPr>
            </w:pPr>
          </w:p>
        </w:tc>
        <w:tc>
          <w:tcPr>
            <w:tcW w:w="866" w:type="dxa"/>
          </w:tcPr>
          <w:p w:rsidR="003E19AE" w:rsidRPr="00725FF3" w:rsidRDefault="00D76B23" w:rsidP="003E19AE">
            <w:pPr>
              <w:keepNext/>
              <w:keepLines/>
              <w:tabs>
                <w:tab w:val="left" w:pos="426"/>
              </w:tabs>
              <w:autoSpaceDE w:val="0"/>
              <w:autoSpaceDN w:val="0"/>
              <w:adjustRightInd w:val="0"/>
              <w:spacing w:before="40" w:after="40" w:line="240" w:lineRule="auto"/>
              <w:jc w:val="right"/>
              <w:rPr>
                <w:rFonts w:ascii="Times New Roman" w:eastAsia="SimSun" w:hAnsi="Times New Roman"/>
                <w:b/>
                <w:sz w:val="18"/>
                <w:szCs w:val="18"/>
                <w:lang w:val="es-ES_tradnl"/>
              </w:rPr>
            </w:pPr>
            <w:r w:rsidRPr="00725FF3">
              <w:rPr>
                <w:rFonts w:ascii="Times New Roman" w:eastAsia="MS Mincho" w:hAnsi="Times New Roman"/>
                <w:b/>
                <w:sz w:val="18"/>
                <w:szCs w:val="18"/>
                <w:lang w:val="es-ES_tradnl"/>
              </w:rPr>
              <w:t>816</w:t>
            </w:r>
            <w:r w:rsidR="003E19AE" w:rsidRPr="00725FF3">
              <w:rPr>
                <w:rFonts w:ascii="Times New Roman" w:eastAsia="MS Mincho" w:hAnsi="Times New Roman"/>
                <w:b/>
                <w:sz w:val="18"/>
                <w:szCs w:val="18"/>
                <w:lang w:val="es-ES_tradnl"/>
              </w:rPr>
              <w:t>.750</w:t>
            </w:r>
          </w:p>
        </w:tc>
      </w:tr>
    </w:tbl>
    <w:p w:rsidR="00D7505A" w:rsidRPr="00F55F00" w:rsidRDefault="00D7505A" w:rsidP="00546FC7">
      <w:pPr>
        <w:pStyle w:val="Normal-pool"/>
        <w:rPr>
          <w:lang w:val="es-ES_tradnl"/>
        </w:rPr>
      </w:pPr>
    </w:p>
    <w:tbl>
      <w:tblPr>
        <w:tblW w:w="0" w:type="auto"/>
        <w:tblLook w:val="01E0"/>
      </w:tblPr>
      <w:tblGrid>
        <w:gridCol w:w="3237"/>
        <w:gridCol w:w="3237"/>
        <w:gridCol w:w="3238"/>
      </w:tblGrid>
      <w:tr w:rsidR="00D7505A" w:rsidRPr="00F55F00" w:rsidTr="003E4043">
        <w:tc>
          <w:tcPr>
            <w:tcW w:w="3237" w:type="dxa"/>
          </w:tcPr>
          <w:p w:rsidR="00D7505A" w:rsidRPr="00F55F00" w:rsidRDefault="00D7505A" w:rsidP="00AF2776">
            <w:pPr>
              <w:pStyle w:val="Normal-pool"/>
              <w:rPr>
                <w:sz w:val="18"/>
                <w:szCs w:val="18"/>
                <w:lang w:val="es-ES_tradnl"/>
              </w:rPr>
            </w:pPr>
          </w:p>
        </w:tc>
        <w:tc>
          <w:tcPr>
            <w:tcW w:w="3237" w:type="dxa"/>
            <w:tcBorders>
              <w:bottom w:val="single" w:sz="4" w:space="0" w:color="auto"/>
            </w:tcBorders>
          </w:tcPr>
          <w:p w:rsidR="00D7505A" w:rsidRPr="00F55F00" w:rsidRDefault="00D7505A" w:rsidP="00AF2776">
            <w:pPr>
              <w:pStyle w:val="Normal-pool"/>
              <w:rPr>
                <w:sz w:val="18"/>
                <w:szCs w:val="18"/>
                <w:lang w:val="es-ES_tradnl"/>
              </w:rPr>
            </w:pPr>
          </w:p>
        </w:tc>
        <w:tc>
          <w:tcPr>
            <w:tcW w:w="3238" w:type="dxa"/>
          </w:tcPr>
          <w:p w:rsidR="00D7505A" w:rsidRPr="00F55F00" w:rsidRDefault="00D7505A" w:rsidP="00AF2776">
            <w:pPr>
              <w:pStyle w:val="Normal-pool"/>
              <w:rPr>
                <w:sz w:val="18"/>
                <w:szCs w:val="18"/>
                <w:lang w:val="es-ES_tradnl"/>
              </w:rPr>
            </w:pPr>
          </w:p>
        </w:tc>
      </w:tr>
    </w:tbl>
    <w:p w:rsidR="003A086E" w:rsidRPr="00F55F00" w:rsidRDefault="003A086E" w:rsidP="00775FC8">
      <w:pPr>
        <w:pStyle w:val="Normal-pool"/>
        <w:rPr>
          <w:lang w:val="es-ES_tradnl"/>
        </w:rPr>
      </w:pPr>
    </w:p>
    <w:sectPr w:rsidR="003A086E" w:rsidRPr="00F55F00" w:rsidSect="00713D8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F9" w:rsidRDefault="004B46F9">
      <w:r>
        <w:separator/>
      </w:r>
    </w:p>
  </w:endnote>
  <w:endnote w:type="continuationSeparator" w:id="0">
    <w:p w:rsidR="004B46F9" w:rsidRDefault="004B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E" w:rsidRDefault="00E731EE">
    <w:pPr>
      <w:pStyle w:val="Footer"/>
    </w:pPr>
    <w:r>
      <w:rPr>
        <w:rStyle w:val="PageNumber"/>
      </w:rPr>
      <w:fldChar w:fldCharType="begin"/>
    </w:r>
    <w:r>
      <w:rPr>
        <w:rStyle w:val="PageNumber"/>
      </w:rPr>
      <w:instrText xml:space="preserve"> PAGE </w:instrText>
    </w:r>
    <w:r>
      <w:rPr>
        <w:rStyle w:val="PageNumber"/>
      </w:rPr>
      <w:fldChar w:fldCharType="separate"/>
    </w:r>
    <w:r w:rsidR="001C0EBF">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E" w:rsidRDefault="00E731E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C0EBF">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E" w:rsidRPr="00947ED6" w:rsidRDefault="00E731EE" w:rsidP="00947ED6">
    <w:pPr>
      <w:pStyle w:val="Footer"/>
      <w:tabs>
        <w:tab w:val="clear" w:pos="4320"/>
        <w:tab w:val="clear" w:pos="8640"/>
        <w:tab w:val="left" w:pos="624"/>
      </w:tabs>
      <w:rPr>
        <w:rFonts w:ascii="Times New Roman" w:hAnsi="Times New Roman"/>
        <w:sz w:val="20"/>
        <w:szCs w:val="20"/>
      </w:rPr>
    </w:pPr>
    <w:r w:rsidRPr="00947ED6">
      <w:rPr>
        <w:rFonts w:ascii="Times New Roman" w:hAnsi="Times New Roman"/>
        <w:sz w:val="20"/>
        <w:szCs w:val="20"/>
      </w:rPr>
      <w:t>K135332</w:t>
    </w:r>
    <w:r>
      <w:rPr>
        <w:rFonts w:ascii="Times New Roman" w:hAnsi="Times New Roman"/>
        <w:sz w:val="20"/>
        <w:szCs w:val="20"/>
      </w:rPr>
      <w:t>7</w:t>
    </w:r>
    <w:r w:rsidRPr="00947ED6">
      <w:rPr>
        <w:rFonts w:ascii="Times New Roman" w:hAnsi="Times New Roman"/>
        <w:sz w:val="20"/>
        <w:szCs w:val="20"/>
      </w:rPr>
      <w:tab/>
    </w:r>
    <w:r w:rsidR="00F55F00">
      <w:rPr>
        <w:rFonts w:ascii="Times New Roman" w:hAnsi="Times New Roman"/>
        <w:sz w:val="20"/>
        <w:szCs w:val="20"/>
      </w:rPr>
      <w:t>31</w:t>
    </w:r>
    <w:r w:rsidRPr="00947ED6">
      <w:rPr>
        <w:rFonts w:ascii="Times New Roman" w:hAnsi="Times New Roman"/>
        <w:sz w:val="20"/>
        <w:szCs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F9" w:rsidRDefault="004B46F9" w:rsidP="00775FC8">
      <w:pPr>
        <w:pStyle w:val="Normal-pool"/>
        <w:spacing w:after="120"/>
        <w:ind w:left="624"/>
      </w:pPr>
      <w:r>
        <w:separator/>
      </w:r>
    </w:p>
  </w:footnote>
  <w:footnote w:type="continuationSeparator" w:id="0">
    <w:p w:rsidR="004B46F9" w:rsidRPr="00444A7B" w:rsidRDefault="004B46F9" w:rsidP="00775FC8">
      <w:pPr>
        <w:pStyle w:val="Normal-pool"/>
        <w:spacing w:after="120"/>
        <w:ind w:left="624"/>
      </w:pPr>
      <w:r w:rsidRPr="003E61BB">
        <w:continuationSeparator/>
      </w:r>
    </w:p>
  </w:footnote>
  <w:footnote w:id="1">
    <w:p w:rsidR="00E731EE" w:rsidRPr="001003BC" w:rsidRDefault="00E731EE" w:rsidP="00D7505A">
      <w:pPr>
        <w:pStyle w:val="FootnoteText"/>
        <w:tabs>
          <w:tab w:val="clear" w:pos="1247"/>
          <w:tab w:val="clear" w:pos="1814"/>
          <w:tab w:val="clear" w:pos="2381"/>
          <w:tab w:val="clear" w:pos="2948"/>
          <w:tab w:val="clear" w:pos="3515"/>
          <w:tab w:val="left" w:pos="624"/>
        </w:tabs>
        <w:rPr>
          <w:szCs w:val="18"/>
          <w:lang w:val="es-ES_tradnl"/>
        </w:rPr>
      </w:pPr>
      <w:r w:rsidRPr="00775FC8">
        <w:rPr>
          <w:rStyle w:val="FootnoteReference"/>
          <w:sz w:val="18"/>
        </w:rPr>
        <w:sym w:font="Symbol" w:char="F02A"/>
      </w:r>
      <w:r w:rsidRPr="00775FC8">
        <w:rPr>
          <w:szCs w:val="18"/>
        </w:rPr>
        <w:t xml:space="preserve"> IPBES/</w:t>
      </w:r>
      <w:r w:rsidRPr="00775FC8">
        <w:rPr>
          <w:szCs w:val="18"/>
          <w:lang w:eastAsia="ja-JP"/>
        </w:rPr>
        <w:t>2/1.</w:t>
      </w:r>
    </w:p>
  </w:footnote>
  <w:footnote w:id="2">
    <w:p w:rsidR="00E731EE" w:rsidRPr="001003BC" w:rsidRDefault="00E731EE" w:rsidP="00D7505A">
      <w:pPr>
        <w:pStyle w:val="FootnoteText"/>
        <w:rPr>
          <w:szCs w:val="18"/>
          <w:lang w:val="es-ES_tradnl"/>
        </w:rPr>
      </w:pPr>
      <w:r w:rsidRPr="003C5211">
        <w:rPr>
          <w:rStyle w:val="FootnoteReference"/>
          <w:sz w:val="18"/>
          <w:lang w:val="en-GB"/>
        </w:rPr>
        <w:footnoteRef/>
      </w:r>
      <w:r w:rsidRPr="001003BC">
        <w:rPr>
          <w:szCs w:val="18"/>
          <w:lang w:val="es-ES_tradnl"/>
        </w:rPr>
        <w:t xml:space="preserve"> http://www.sciencedaily.com/releases/2008/09/080915122725.htm.</w:t>
      </w:r>
    </w:p>
  </w:footnote>
  <w:footnote w:id="3">
    <w:p w:rsidR="00E731EE" w:rsidRPr="00E14A56" w:rsidRDefault="00E731EE" w:rsidP="00D7505A">
      <w:pPr>
        <w:pStyle w:val="FootnoteText"/>
        <w:rPr>
          <w:szCs w:val="18"/>
          <w:lang w:val="es-ES_tradnl"/>
        </w:rPr>
      </w:pPr>
      <w:r w:rsidRPr="003C5211">
        <w:rPr>
          <w:rStyle w:val="FootnoteReference"/>
          <w:sz w:val="18"/>
          <w:lang w:val="en-GB"/>
        </w:rPr>
        <w:footnoteRef/>
      </w:r>
      <w:r w:rsidRPr="00E14A56">
        <w:rPr>
          <w:szCs w:val="18"/>
          <w:lang w:val="es-ES_tradnl"/>
        </w:rPr>
        <w:t xml:space="preserve"> Bernard Vaissière, Breno Freitas y Barbara Gemmill</w:t>
      </w:r>
      <w:r w:rsidR="007D77AA">
        <w:rPr>
          <w:szCs w:val="18"/>
          <w:lang w:val="es-ES_tradnl"/>
        </w:rPr>
        <w:noBreakHyphen/>
      </w:r>
      <w:r w:rsidRPr="00E14A56">
        <w:rPr>
          <w:szCs w:val="18"/>
          <w:lang w:val="es-ES_tradnl"/>
        </w:rPr>
        <w:t xml:space="preserve">Herren, </w:t>
      </w:r>
      <w:r w:rsidRPr="00E14A56">
        <w:rPr>
          <w:i/>
          <w:szCs w:val="18"/>
          <w:lang w:val="es-ES_tradnl"/>
        </w:rPr>
        <w:t>Protocol to Detect and Assess Pollination Deficits in Crops: A Handbook for its Use</w:t>
      </w:r>
      <w:r w:rsidRPr="00E14A56">
        <w:rPr>
          <w:szCs w:val="18"/>
          <w:lang w:val="es-ES_tradnl"/>
        </w:rPr>
        <w:t xml:space="preserve">, (Fondo para el Medio Ambiente Mundial, Programa de las </w:t>
      </w:r>
      <w:r w:rsidR="007D77AA">
        <w:rPr>
          <w:szCs w:val="18"/>
          <w:lang w:val="es-ES_tradnl"/>
        </w:rPr>
        <w:t>Naciones Unidas</w:t>
      </w:r>
      <w:r>
        <w:rPr>
          <w:szCs w:val="18"/>
          <w:lang w:val="es-ES_tradnl"/>
        </w:rPr>
        <w:t xml:space="preserve"> para el Medio Ambiente y Organización de las </w:t>
      </w:r>
      <w:r w:rsidR="007D77AA">
        <w:rPr>
          <w:szCs w:val="18"/>
          <w:lang w:val="es-ES_tradnl"/>
        </w:rPr>
        <w:t>Naciones Unidas</w:t>
      </w:r>
      <w:r>
        <w:rPr>
          <w:szCs w:val="18"/>
          <w:lang w:val="es-ES_tradnl"/>
        </w:rPr>
        <w:t xml:space="preserve"> para la Alimentación y la Agricultura</w:t>
      </w:r>
      <w:r w:rsidRPr="00E14A56">
        <w:rPr>
          <w:szCs w:val="18"/>
          <w:lang w:val="es-ES_tradnl"/>
        </w:rPr>
        <w:t>, 2011).</w:t>
      </w:r>
    </w:p>
  </w:footnote>
  <w:footnote w:id="4">
    <w:p w:rsidR="00E731EE" w:rsidRPr="00E14A56" w:rsidRDefault="00E731EE" w:rsidP="00D7505A">
      <w:pPr>
        <w:pStyle w:val="FootnoteText"/>
        <w:rPr>
          <w:szCs w:val="18"/>
          <w:lang w:val="es-ES_tradnl"/>
        </w:rPr>
      </w:pPr>
      <w:r w:rsidRPr="003C5211">
        <w:rPr>
          <w:rStyle w:val="FootnoteReference"/>
          <w:sz w:val="18"/>
          <w:lang w:val="en-GB"/>
        </w:rPr>
        <w:footnoteRef/>
      </w:r>
      <w:r w:rsidRPr="00E14A56">
        <w:rPr>
          <w:szCs w:val="18"/>
          <w:lang w:val="es-ES_tradnl"/>
        </w:rPr>
        <w:t xml:space="preserve"> El Servicio Mundial de Información sobre la Diversidad Biol</w:t>
      </w:r>
      <w:r>
        <w:rPr>
          <w:szCs w:val="18"/>
          <w:lang w:val="es-ES_tradnl"/>
        </w:rPr>
        <w:t xml:space="preserve">ógica proporciona acceso a más de </w:t>
      </w:r>
      <w:r w:rsidRPr="00E14A56">
        <w:rPr>
          <w:szCs w:val="18"/>
          <w:lang w:val="es-ES_tradnl"/>
        </w:rPr>
        <w:t>300 mill</w:t>
      </w:r>
      <w:r>
        <w:rPr>
          <w:szCs w:val="18"/>
          <w:lang w:val="es-ES_tradnl"/>
        </w:rPr>
        <w:t>ones de registros primarios normalizados sobre diversidad biológica a nivel mundial</w:t>
      </w:r>
      <w:r w:rsidRPr="00E14A56">
        <w:rPr>
          <w:szCs w:val="18"/>
          <w:lang w:val="es-ES_tradnl"/>
        </w:rPr>
        <w:t>.</w:t>
      </w:r>
    </w:p>
  </w:footnote>
  <w:footnote w:id="5">
    <w:p w:rsidR="00E731EE" w:rsidRPr="003C5211" w:rsidRDefault="00E731EE" w:rsidP="00D7505A">
      <w:pPr>
        <w:pStyle w:val="FootnoteText"/>
        <w:rPr>
          <w:szCs w:val="18"/>
          <w:lang w:val="en-GB"/>
        </w:rPr>
      </w:pPr>
      <w:r w:rsidRPr="003C5211">
        <w:rPr>
          <w:rStyle w:val="FootnoteReference"/>
          <w:sz w:val="18"/>
          <w:lang w:val="en-GB"/>
        </w:rPr>
        <w:footnoteRef/>
      </w:r>
      <w:r w:rsidRPr="003C5211">
        <w:rPr>
          <w:szCs w:val="18"/>
          <w:lang w:val="en-GB"/>
        </w:rPr>
        <w:t xml:space="preserve"> </w:t>
      </w:r>
      <w:hyperlink r:id="rId1" w:history="1">
        <w:r w:rsidRPr="003C5211">
          <w:rPr>
            <w:rStyle w:val="Hyperlink"/>
            <w:sz w:val="18"/>
            <w:szCs w:val="18"/>
            <w:lang w:val="en-GB"/>
          </w:rPr>
          <w:t>http://www.reading.ac.uk/caer/project_alarm.html</w:t>
        </w:r>
      </w:hyperlink>
      <w:r w:rsidRPr="003C5211">
        <w:rPr>
          <w:rStyle w:val="Hyperlink"/>
          <w:sz w:val="18"/>
          <w:szCs w:val="18"/>
          <w:lang w:val="en-GB"/>
        </w:rPr>
        <w:t>.</w:t>
      </w:r>
    </w:p>
  </w:footnote>
  <w:footnote w:id="6">
    <w:p w:rsidR="00E731EE" w:rsidRPr="00B172F7" w:rsidRDefault="00E731EE" w:rsidP="00D7505A">
      <w:pPr>
        <w:pStyle w:val="FootnoteText"/>
        <w:rPr>
          <w:szCs w:val="18"/>
        </w:rPr>
      </w:pPr>
      <w:r w:rsidRPr="00B172F7">
        <w:rPr>
          <w:rStyle w:val="FootnoteReference"/>
          <w:sz w:val="18"/>
        </w:rPr>
        <w:footnoteRef/>
      </w:r>
      <w:r w:rsidRPr="00B172F7">
        <w:rPr>
          <w:szCs w:val="18"/>
        </w:rPr>
        <w:t xml:space="preserve"> </w:t>
      </w:r>
      <w:hyperlink r:id="rId2" w:history="1">
        <w:r w:rsidRPr="00B172F7">
          <w:rPr>
            <w:rStyle w:val="Hyperlink"/>
            <w:sz w:val="18"/>
            <w:szCs w:val="18"/>
          </w:rPr>
          <w:t>http://www.step</w:t>
        </w:r>
        <w:r w:rsidR="007D77AA">
          <w:rPr>
            <w:rStyle w:val="Hyperlink"/>
            <w:sz w:val="18"/>
            <w:szCs w:val="18"/>
          </w:rPr>
          <w:noBreakHyphen/>
        </w:r>
        <w:r w:rsidRPr="00B172F7">
          <w:rPr>
            <w:rStyle w:val="Hyperlink"/>
            <w:sz w:val="18"/>
            <w:szCs w:val="18"/>
          </w:rPr>
          <w:t>project.net/</w:t>
        </w:r>
      </w:hyperlink>
      <w:r>
        <w:rPr>
          <w:rStyle w:val="Hyperlink"/>
          <w:sz w:val="18"/>
          <w:szCs w:val="18"/>
        </w:rPr>
        <w:t>.</w:t>
      </w:r>
    </w:p>
  </w:footnote>
  <w:footnote w:id="7">
    <w:p w:rsidR="00E731EE" w:rsidRPr="00B172F7" w:rsidRDefault="00E731EE" w:rsidP="00D542C2">
      <w:pPr>
        <w:pStyle w:val="FootnoteText"/>
        <w:rPr>
          <w:szCs w:val="18"/>
        </w:rPr>
      </w:pPr>
      <w:r w:rsidRPr="00B172F7">
        <w:rPr>
          <w:rStyle w:val="FootnoteReference"/>
          <w:sz w:val="18"/>
        </w:rPr>
        <w:footnoteRef/>
      </w:r>
      <w:r w:rsidRPr="00B172F7">
        <w:rPr>
          <w:szCs w:val="18"/>
        </w:rPr>
        <w:t xml:space="preserve"> www.naturalcapitalproject.org</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E" w:rsidRPr="00492DE8" w:rsidRDefault="00E731EE">
    <w:pPr>
      <w:pStyle w:val="Header"/>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492DE8">
      <w:rPr>
        <w:rFonts w:ascii="Times New Roman" w:eastAsia="MS Mincho" w:hAnsi="Times New Roman"/>
        <w:szCs w:val="18"/>
        <w:lang w:eastAsia="ja-JP"/>
      </w:rPr>
      <w:t>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E" w:rsidRPr="003C5211" w:rsidRDefault="00E731EE" w:rsidP="003C5211">
    <w:pPr>
      <w:pStyle w:val="Header"/>
      <w:jc w:val="right"/>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3C5211">
      <w:rPr>
        <w:rFonts w:ascii="Times New Roman" w:eastAsia="MS Mincho" w:hAnsi="Times New Roman"/>
        <w:szCs w:val="18"/>
        <w:lang w:eastAsia="ja-JP"/>
      </w:rPr>
      <w:t>6/Add.1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EE" w:rsidRPr="00775FC8" w:rsidRDefault="00E731EE" w:rsidP="00775FC8">
    <w:pPr>
      <w:pStyle w:val="Header"/>
      <w:pBdr>
        <w:bottom w:val="none" w:sz="0" w:space="0" w:color="auto"/>
      </w:pBdr>
      <w:tabs>
        <w:tab w:val="clear" w:pos="4536"/>
        <w:tab w:val="clear" w:pos="9072"/>
      </w:tabs>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540629DF"/>
    <w:multiLevelType w:val="hybridMultilevel"/>
    <w:tmpl w:val="80EAF0DA"/>
    <w:lvl w:ilvl="0" w:tplc="E5B27316">
      <w:start w:val="1"/>
      <w:numFmt w:val="upperRoman"/>
      <w:lvlText w:val="%1."/>
      <w:lvlJc w:val="left"/>
      <w:pPr>
        <w:ind w:left="1344" w:hanging="720"/>
      </w:pPr>
      <w:rPr>
        <w:rFonts w:eastAsia="MS Mincho" w:hint="default"/>
        <w:b/>
        <w:sz w:val="27"/>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62291BF8"/>
    <w:multiLevelType w:val="multilevel"/>
    <w:tmpl w:val="F4ACF36E"/>
    <w:numStyleLink w:val="Normallist"/>
  </w:abstractNum>
  <w:num w:numId="1">
    <w:abstractNumId w:val="2"/>
  </w:num>
  <w:num w:numId="2">
    <w:abstractNumId w:val="0"/>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es-AR" w:vendorID="64" w:dllVersion="131078"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D7505A"/>
    <w:rsid w:val="00004C9D"/>
    <w:rsid w:val="000149E6"/>
    <w:rsid w:val="000247B0"/>
    <w:rsid w:val="000256E6"/>
    <w:rsid w:val="00026997"/>
    <w:rsid w:val="00033D65"/>
    <w:rsid w:val="00033E0B"/>
    <w:rsid w:val="00035EDE"/>
    <w:rsid w:val="000509B4"/>
    <w:rsid w:val="000533DD"/>
    <w:rsid w:val="0006035B"/>
    <w:rsid w:val="00063BCD"/>
    <w:rsid w:val="00065962"/>
    <w:rsid w:val="0007166E"/>
    <w:rsid w:val="00071886"/>
    <w:rsid w:val="000742BC"/>
    <w:rsid w:val="00082A0C"/>
    <w:rsid w:val="00083504"/>
    <w:rsid w:val="0009640C"/>
    <w:rsid w:val="000B06BB"/>
    <w:rsid w:val="000B21D5"/>
    <w:rsid w:val="000B22A2"/>
    <w:rsid w:val="000C2A52"/>
    <w:rsid w:val="000D33C0"/>
    <w:rsid w:val="000D6941"/>
    <w:rsid w:val="000D7AAD"/>
    <w:rsid w:val="000E1251"/>
    <w:rsid w:val="000F1A70"/>
    <w:rsid w:val="000F27E3"/>
    <w:rsid w:val="001003BC"/>
    <w:rsid w:val="00100494"/>
    <w:rsid w:val="00115428"/>
    <w:rsid w:val="001202E3"/>
    <w:rsid w:val="00123345"/>
    <w:rsid w:val="00123699"/>
    <w:rsid w:val="0012466F"/>
    <w:rsid w:val="0013059D"/>
    <w:rsid w:val="001317BC"/>
    <w:rsid w:val="00141A55"/>
    <w:rsid w:val="001446A3"/>
    <w:rsid w:val="00155395"/>
    <w:rsid w:val="00160890"/>
    <w:rsid w:val="00181EC8"/>
    <w:rsid w:val="00184349"/>
    <w:rsid w:val="001872AE"/>
    <w:rsid w:val="00195D96"/>
    <w:rsid w:val="00195F33"/>
    <w:rsid w:val="001B1617"/>
    <w:rsid w:val="001B504B"/>
    <w:rsid w:val="001C0EBF"/>
    <w:rsid w:val="001D3874"/>
    <w:rsid w:val="001D49C3"/>
    <w:rsid w:val="001D60E1"/>
    <w:rsid w:val="001D7E75"/>
    <w:rsid w:val="001E56D2"/>
    <w:rsid w:val="001E7D56"/>
    <w:rsid w:val="001F06F7"/>
    <w:rsid w:val="001F75DE"/>
    <w:rsid w:val="00200D58"/>
    <w:rsid w:val="002013BE"/>
    <w:rsid w:val="00203483"/>
    <w:rsid w:val="002063A4"/>
    <w:rsid w:val="0021145B"/>
    <w:rsid w:val="002213CF"/>
    <w:rsid w:val="00223261"/>
    <w:rsid w:val="00241AAA"/>
    <w:rsid w:val="00243D36"/>
    <w:rsid w:val="00247707"/>
    <w:rsid w:val="002535FA"/>
    <w:rsid w:val="002657A9"/>
    <w:rsid w:val="00285CC8"/>
    <w:rsid w:val="00286740"/>
    <w:rsid w:val="002929D8"/>
    <w:rsid w:val="002A237D"/>
    <w:rsid w:val="002A4C53"/>
    <w:rsid w:val="002B0672"/>
    <w:rsid w:val="002B1B4C"/>
    <w:rsid w:val="002B247F"/>
    <w:rsid w:val="002C145D"/>
    <w:rsid w:val="002C2C3E"/>
    <w:rsid w:val="002C533E"/>
    <w:rsid w:val="002D027F"/>
    <w:rsid w:val="002D28AE"/>
    <w:rsid w:val="002D7A85"/>
    <w:rsid w:val="002D7B60"/>
    <w:rsid w:val="002D7DBC"/>
    <w:rsid w:val="002F4761"/>
    <w:rsid w:val="002F5C79"/>
    <w:rsid w:val="003019E2"/>
    <w:rsid w:val="0030696D"/>
    <w:rsid w:val="0031413F"/>
    <w:rsid w:val="003148BB"/>
    <w:rsid w:val="00314BF5"/>
    <w:rsid w:val="003156D6"/>
    <w:rsid w:val="00317976"/>
    <w:rsid w:val="00330BE5"/>
    <w:rsid w:val="00342406"/>
    <w:rsid w:val="003521D5"/>
    <w:rsid w:val="00355E92"/>
    <w:rsid w:val="00355EA9"/>
    <w:rsid w:val="003578DE"/>
    <w:rsid w:val="00367FC7"/>
    <w:rsid w:val="0037617C"/>
    <w:rsid w:val="0039200B"/>
    <w:rsid w:val="00396257"/>
    <w:rsid w:val="00397EB8"/>
    <w:rsid w:val="003A086E"/>
    <w:rsid w:val="003A4FD0"/>
    <w:rsid w:val="003A69D1"/>
    <w:rsid w:val="003A7705"/>
    <w:rsid w:val="003B1545"/>
    <w:rsid w:val="003C409D"/>
    <w:rsid w:val="003C5211"/>
    <w:rsid w:val="003C5BA6"/>
    <w:rsid w:val="003C7EC5"/>
    <w:rsid w:val="003E19AE"/>
    <w:rsid w:val="003E4043"/>
    <w:rsid w:val="003E61BB"/>
    <w:rsid w:val="003F0E85"/>
    <w:rsid w:val="003F78D2"/>
    <w:rsid w:val="00402B45"/>
    <w:rsid w:val="004046EF"/>
    <w:rsid w:val="00405251"/>
    <w:rsid w:val="00410C55"/>
    <w:rsid w:val="0041595C"/>
    <w:rsid w:val="00416854"/>
    <w:rsid w:val="00417725"/>
    <w:rsid w:val="00424698"/>
    <w:rsid w:val="0042553E"/>
    <w:rsid w:val="00433940"/>
    <w:rsid w:val="00437F26"/>
    <w:rsid w:val="00444097"/>
    <w:rsid w:val="00444A7B"/>
    <w:rsid w:val="00445487"/>
    <w:rsid w:val="00454769"/>
    <w:rsid w:val="00465F13"/>
    <w:rsid w:val="00466991"/>
    <w:rsid w:val="0047064C"/>
    <w:rsid w:val="00473F0B"/>
    <w:rsid w:val="00484C48"/>
    <w:rsid w:val="00492DE8"/>
    <w:rsid w:val="004A28C0"/>
    <w:rsid w:val="004A2DF0"/>
    <w:rsid w:val="004A42E1"/>
    <w:rsid w:val="004B162C"/>
    <w:rsid w:val="004B46F9"/>
    <w:rsid w:val="004C3DBE"/>
    <w:rsid w:val="004C5C96"/>
    <w:rsid w:val="004D06A4"/>
    <w:rsid w:val="004F1A81"/>
    <w:rsid w:val="005218D9"/>
    <w:rsid w:val="00522D3E"/>
    <w:rsid w:val="005231E1"/>
    <w:rsid w:val="00523A59"/>
    <w:rsid w:val="00530993"/>
    <w:rsid w:val="00536186"/>
    <w:rsid w:val="00544CBB"/>
    <w:rsid w:val="00545EC5"/>
    <w:rsid w:val="00546FC7"/>
    <w:rsid w:val="0055325F"/>
    <w:rsid w:val="0057315F"/>
    <w:rsid w:val="005731F5"/>
    <w:rsid w:val="00576104"/>
    <w:rsid w:val="0059134D"/>
    <w:rsid w:val="005A7A04"/>
    <w:rsid w:val="005C1805"/>
    <w:rsid w:val="005C67C8"/>
    <w:rsid w:val="005D0249"/>
    <w:rsid w:val="005D6E8C"/>
    <w:rsid w:val="005F100C"/>
    <w:rsid w:val="005F3F24"/>
    <w:rsid w:val="005F68DA"/>
    <w:rsid w:val="005F73AF"/>
    <w:rsid w:val="0060773B"/>
    <w:rsid w:val="006157B5"/>
    <w:rsid w:val="00626FC6"/>
    <w:rsid w:val="006303B4"/>
    <w:rsid w:val="00633D3D"/>
    <w:rsid w:val="00641703"/>
    <w:rsid w:val="006431A6"/>
    <w:rsid w:val="006459F6"/>
    <w:rsid w:val="006501AD"/>
    <w:rsid w:val="00651BFA"/>
    <w:rsid w:val="00651D2C"/>
    <w:rsid w:val="00665A4B"/>
    <w:rsid w:val="006718DB"/>
    <w:rsid w:val="0068255E"/>
    <w:rsid w:val="006837D1"/>
    <w:rsid w:val="00692E2A"/>
    <w:rsid w:val="00697289"/>
    <w:rsid w:val="006A45CB"/>
    <w:rsid w:val="006A76F2"/>
    <w:rsid w:val="006D7EFB"/>
    <w:rsid w:val="006E6672"/>
    <w:rsid w:val="006E6722"/>
    <w:rsid w:val="006F2954"/>
    <w:rsid w:val="006F61F9"/>
    <w:rsid w:val="006F7874"/>
    <w:rsid w:val="007027B9"/>
    <w:rsid w:val="00713D8F"/>
    <w:rsid w:val="00715E88"/>
    <w:rsid w:val="00725FF3"/>
    <w:rsid w:val="00734952"/>
    <w:rsid w:val="00734CAA"/>
    <w:rsid w:val="00752EAD"/>
    <w:rsid w:val="0075533C"/>
    <w:rsid w:val="00757581"/>
    <w:rsid w:val="007611A0"/>
    <w:rsid w:val="00775FC8"/>
    <w:rsid w:val="00785AEA"/>
    <w:rsid w:val="00796D3F"/>
    <w:rsid w:val="007A015D"/>
    <w:rsid w:val="007A1683"/>
    <w:rsid w:val="007A36F8"/>
    <w:rsid w:val="007A5C12"/>
    <w:rsid w:val="007A7CB0"/>
    <w:rsid w:val="007B2241"/>
    <w:rsid w:val="007B3CD0"/>
    <w:rsid w:val="007B68A3"/>
    <w:rsid w:val="007B7D4A"/>
    <w:rsid w:val="007C2541"/>
    <w:rsid w:val="007C3DFD"/>
    <w:rsid w:val="007C463F"/>
    <w:rsid w:val="007C4716"/>
    <w:rsid w:val="007C738F"/>
    <w:rsid w:val="007D66A8"/>
    <w:rsid w:val="007D77AA"/>
    <w:rsid w:val="007E003F"/>
    <w:rsid w:val="007E1138"/>
    <w:rsid w:val="007E2490"/>
    <w:rsid w:val="00800614"/>
    <w:rsid w:val="00801060"/>
    <w:rsid w:val="00802E72"/>
    <w:rsid w:val="00813617"/>
    <w:rsid w:val="008164F2"/>
    <w:rsid w:val="00820830"/>
    <w:rsid w:val="00821395"/>
    <w:rsid w:val="00830E26"/>
    <w:rsid w:val="00843576"/>
    <w:rsid w:val="00843B64"/>
    <w:rsid w:val="008478FC"/>
    <w:rsid w:val="008573C2"/>
    <w:rsid w:val="00867BFF"/>
    <w:rsid w:val="0088480A"/>
    <w:rsid w:val="0088757A"/>
    <w:rsid w:val="008957DD"/>
    <w:rsid w:val="00897D98"/>
    <w:rsid w:val="008A26B4"/>
    <w:rsid w:val="008A6DF2"/>
    <w:rsid w:val="008A7807"/>
    <w:rsid w:val="008B4CC9"/>
    <w:rsid w:val="008C058E"/>
    <w:rsid w:val="008C618E"/>
    <w:rsid w:val="008D2FF9"/>
    <w:rsid w:val="008D7C99"/>
    <w:rsid w:val="008E0FCB"/>
    <w:rsid w:val="008F45EB"/>
    <w:rsid w:val="009021B7"/>
    <w:rsid w:val="0091620B"/>
    <w:rsid w:val="0092178C"/>
    <w:rsid w:val="00930B88"/>
    <w:rsid w:val="009316CF"/>
    <w:rsid w:val="00940DCC"/>
    <w:rsid w:val="0094179A"/>
    <w:rsid w:val="00942AA3"/>
    <w:rsid w:val="0094459E"/>
    <w:rsid w:val="00944DBC"/>
    <w:rsid w:val="00947ED6"/>
    <w:rsid w:val="00950977"/>
    <w:rsid w:val="00951A7B"/>
    <w:rsid w:val="009564A6"/>
    <w:rsid w:val="00957BC5"/>
    <w:rsid w:val="0096331E"/>
    <w:rsid w:val="00967621"/>
    <w:rsid w:val="00967C74"/>
    <w:rsid w:val="00967E6A"/>
    <w:rsid w:val="00984757"/>
    <w:rsid w:val="009935AC"/>
    <w:rsid w:val="009B4591"/>
    <w:rsid w:val="009B4A0F"/>
    <w:rsid w:val="009C11D2"/>
    <w:rsid w:val="009C6C70"/>
    <w:rsid w:val="009D0B63"/>
    <w:rsid w:val="009D0F90"/>
    <w:rsid w:val="009D4810"/>
    <w:rsid w:val="009E2B41"/>
    <w:rsid w:val="009E307E"/>
    <w:rsid w:val="009E3D7E"/>
    <w:rsid w:val="009E7117"/>
    <w:rsid w:val="00A064DE"/>
    <w:rsid w:val="00A07870"/>
    <w:rsid w:val="00A07F19"/>
    <w:rsid w:val="00A1348D"/>
    <w:rsid w:val="00A171D3"/>
    <w:rsid w:val="00A206D5"/>
    <w:rsid w:val="00A232EE"/>
    <w:rsid w:val="00A346E4"/>
    <w:rsid w:val="00A4175F"/>
    <w:rsid w:val="00A44411"/>
    <w:rsid w:val="00A4634D"/>
    <w:rsid w:val="00A469FA"/>
    <w:rsid w:val="00A55B01"/>
    <w:rsid w:val="00A56B5B"/>
    <w:rsid w:val="00A603FF"/>
    <w:rsid w:val="00A657DD"/>
    <w:rsid w:val="00A666A6"/>
    <w:rsid w:val="00A667F8"/>
    <w:rsid w:val="00A675FD"/>
    <w:rsid w:val="00A72437"/>
    <w:rsid w:val="00A7255E"/>
    <w:rsid w:val="00A80611"/>
    <w:rsid w:val="00A84CC2"/>
    <w:rsid w:val="00AB5340"/>
    <w:rsid w:val="00AB64FD"/>
    <w:rsid w:val="00AC7C96"/>
    <w:rsid w:val="00AE237D"/>
    <w:rsid w:val="00AE502A"/>
    <w:rsid w:val="00AE77A9"/>
    <w:rsid w:val="00AF2776"/>
    <w:rsid w:val="00AF4524"/>
    <w:rsid w:val="00AF7C07"/>
    <w:rsid w:val="00B172F7"/>
    <w:rsid w:val="00B203B3"/>
    <w:rsid w:val="00B22C93"/>
    <w:rsid w:val="00B2338A"/>
    <w:rsid w:val="00B27589"/>
    <w:rsid w:val="00B36966"/>
    <w:rsid w:val="00B405B7"/>
    <w:rsid w:val="00B47FD0"/>
    <w:rsid w:val="00B52222"/>
    <w:rsid w:val="00B54FE7"/>
    <w:rsid w:val="00B66901"/>
    <w:rsid w:val="00B71E6D"/>
    <w:rsid w:val="00B72070"/>
    <w:rsid w:val="00B779E1"/>
    <w:rsid w:val="00B91EE1"/>
    <w:rsid w:val="00BA0090"/>
    <w:rsid w:val="00BA1A67"/>
    <w:rsid w:val="00BA38D7"/>
    <w:rsid w:val="00BA615A"/>
    <w:rsid w:val="00BA7A7A"/>
    <w:rsid w:val="00BD19BD"/>
    <w:rsid w:val="00BE26E7"/>
    <w:rsid w:val="00BE5B5F"/>
    <w:rsid w:val="00C07CA9"/>
    <w:rsid w:val="00C14DE3"/>
    <w:rsid w:val="00C26F55"/>
    <w:rsid w:val="00C30BC5"/>
    <w:rsid w:val="00C30C63"/>
    <w:rsid w:val="00C36B8B"/>
    <w:rsid w:val="00C47DBF"/>
    <w:rsid w:val="00C552FF"/>
    <w:rsid w:val="00C558DA"/>
    <w:rsid w:val="00C55AF3"/>
    <w:rsid w:val="00C65163"/>
    <w:rsid w:val="00C7008D"/>
    <w:rsid w:val="00C84759"/>
    <w:rsid w:val="00C91927"/>
    <w:rsid w:val="00C94B38"/>
    <w:rsid w:val="00CA1B24"/>
    <w:rsid w:val="00CA6C7F"/>
    <w:rsid w:val="00CB0AAE"/>
    <w:rsid w:val="00CC10A6"/>
    <w:rsid w:val="00CD4D1C"/>
    <w:rsid w:val="00CD5EB8"/>
    <w:rsid w:val="00CD7044"/>
    <w:rsid w:val="00CE08B9"/>
    <w:rsid w:val="00CE524C"/>
    <w:rsid w:val="00CF141F"/>
    <w:rsid w:val="00CF4777"/>
    <w:rsid w:val="00D067BB"/>
    <w:rsid w:val="00D1352A"/>
    <w:rsid w:val="00D169AF"/>
    <w:rsid w:val="00D24AFD"/>
    <w:rsid w:val="00D25249"/>
    <w:rsid w:val="00D36DF5"/>
    <w:rsid w:val="00D4073D"/>
    <w:rsid w:val="00D41151"/>
    <w:rsid w:val="00D44172"/>
    <w:rsid w:val="00D4614C"/>
    <w:rsid w:val="00D542C2"/>
    <w:rsid w:val="00D543E8"/>
    <w:rsid w:val="00D54E48"/>
    <w:rsid w:val="00D57537"/>
    <w:rsid w:val="00D6197F"/>
    <w:rsid w:val="00D63B8C"/>
    <w:rsid w:val="00D67AAD"/>
    <w:rsid w:val="00D739CC"/>
    <w:rsid w:val="00D7505A"/>
    <w:rsid w:val="00D76B23"/>
    <w:rsid w:val="00D804F1"/>
    <w:rsid w:val="00D8093D"/>
    <w:rsid w:val="00D8108C"/>
    <w:rsid w:val="00D842AE"/>
    <w:rsid w:val="00D858B9"/>
    <w:rsid w:val="00D9211C"/>
    <w:rsid w:val="00D92DE0"/>
    <w:rsid w:val="00D92FEF"/>
    <w:rsid w:val="00D93A0F"/>
    <w:rsid w:val="00DA00D3"/>
    <w:rsid w:val="00DA1BCA"/>
    <w:rsid w:val="00DA6448"/>
    <w:rsid w:val="00DB2336"/>
    <w:rsid w:val="00DB669C"/>
    <w:rsid w:val="00DC46FF"/>
    <w:rsid w:val="00DC5254"/>
    <w:rsid w:val="00DC719F"/>
    <w:rsid w:val="00DD1A4F"/>
    <w:rsid w:val="00DD3107"/>
    <w:rsid w:val="00DD7C2C"/>
    <w:rsid w:val="00DF6719"/>
    <w:rsid w:val="00E04D04"/>
    <w:rsid w:val="00E06797"/>
    <w:rsid w:val="00E1265B"/>
    <w:rsid w:val="00E13B48"/>
    <w:rsid w:val="00E1404F"/>
    <w:rsid w:val="00E14A56"/>
    <w:rsid w:val="00E21C83"/>
    <w:rsid w:val="00E2371B"/>
    <w:rsid w:val="00E24ADA"/>
    <w:rsid w:val="00E31C5E"/>
    <w:rsid w:val="00E32F59"/>
    <w:rsid w:val="00E46D9A"/>
    <w:rsid w:val="00E565FF"/>
    <w:rsid w:val="00E65388"/>
    <w:rsid w:val="00E731EE"/>
    <w:rsid w:val="00E808D0"/>
    <w:rsid w:val="00E85B7D"/>
    <w:rsid w:val="00E8635B"/>
    <w:rsid w:val="00E9121B"/>
    <w:rsid w:val="00EA0AE2"/>
    <w:rsid w:val="00EA39E5"/>
    <w:rsid w:val="00EA48F6"/>
    <w:rsid w:val="00EB2B06"/>
    <w:rsid w:val="00EC28E6"/>
    <w:rsid w:val="00EC5A46"/>
    <w:rsid w:val="00EC63E2"/>
    <w:rsid w:val="00ED455D"/>
    <w:rsid w:val="00EF22B3"/>
    <w:rsid w:val="00F03B69"/>
    <w:rsid w:val="00F05F07"/>
    <w:rsid w:val="00F07A50"/>
    <w:rsid w:val="00F113DA"/>
    <w:rsid w:val="00F15539"/>
    <w:rsid w:val="00F3070D"/>
    <w:rsid w:val="00F3175B"/>
    <w:rsid w:val="00F37DC8"/>
    <w:rsid w:val="00F439B3"/>
    <w:rsid w:val="00F46977"/>
    <w:rsid w:val="00F47EB5"/>
    <w:rsid w:val="00F55F00"/>
    <w:rsid w:val="00F5798B"/>
    <w:rsid w:val="00F616B7"/>
    <w:rsid w:val="00F650C3"/>
    <w:rsid w:val="00F65D85"/>
    <w:rsid w:val="00F8091E"/>
    <w:rsid w:val="00F8615C"/>
    <w:rsid w:val="00F95318"/>
    <w:rsid w:val="00F969E5"/>
    <w:rsid w:val="00FA42BA"/>
    <w:rsid w:val="00FA6BB0"/>
    <w:rsid w:val="00FC2738"/>
    <w:rsid w:val="00FD5860"/>
    <w:rsid w:val="00FD785D"/>
    <w:rsid w:val="00FE352D"/>
    <w:rsid w:val="00FE40EB"/>
    <w:rsid w:val="00FE4D02"/>
    <w:rsid w:val="00FE7D50"/>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05A"/>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E2371B"/>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styleId="ListParagraph">
    <w:name w:val="List Paragraph"/>
    <w:basedOn w:val="Normal"/>
    <w:uiPriority w:val="34"/>
    <w:qFormat/>
    <w:rsid w:val="00D7505A"/>
    <w:pPr>
      <w:ind w:left="720"/>
      <w:contextualSpacing/>
    </w:pPr>
  </w:style>
  <w:style w:type="paragraph" w:customStyle="1" w:styleId="ColorfulList-Accent11">
    <w:name w:val="Colorful List - Accent 11"/>
    <w:basedOn w:val="Normal"/>
    <w:uiPriority w:val="34"/>
    <w:qFormat/>
    <w:rsid w:val="00D7505A"/>
    <w:pPr>
      <w:ind w:left="720"/>
      <w:contextualSpacing/>
    </w:pPr>
  </w:style>
  <w:style w:type="character" w:customStyle="1" w:styleId="FootnoteTextChar">
    <w:name w:val="Footnote Text Char"/>
    <w:link w:val="FootnoteText"/>
    <w:uiPriority w:val="99"/>
    <w:semiHidden/>
    <w:rsid w:val="00D7505A"/>
    <w:rPr>
      <w:sz w:val="18"/>
      <w:lang w:val="fr-CA" w:eastAsia="en-US"/>
    </w:rPr>
  </w:style>
  <w:style w:type="table" w:styleId="TableGrid">
    <w:name w:val="Table Grid"/>
    <w:basedOn w:val="TableNormal"/>
    <w:uiPriority w:val="59"/>
    <w:rsid w:val="00D7505A"/>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oolChar">
    <w:name w:val="Normal-pool Char"/>
    <w:link w:val="Normal-pool"/>
    <w:rsid w:val="00D7505A"/>
    <w:rPr>
      <w:lang w:val="en-GB" w:eastAsia="en-US"/>
    </w:rPr>
  </w:style>
  <w:style w:type="paragraph" w:styleId="BalloonText">
    <w:name w:val="Balloon Text"/>
    <w:basedOn w:val="Normal"/>
    <w:link w:val="BalloonTextChar"/>
    <w:rsid w:val="00546FC7"/>
    <w:pPr>
      <w:spacing w:after="0" w:line="240" w:lineRule="auto"/>
    </w:pPr>
    <w:rPr>
      <w:rFonts w:ascii="Tahoma" w:hAnsi="Tahoma" w:cs="Tahoma"/>
      <w:sz w:val="16"/>
      <w:szCs w:val="16"/>
    </w:rPr>
  </w:style>
  <w:style w:type="character" w:customStyle="1" w:styleId="BalloonTextChar">
    <w:name w:val="Balloon Text Char"/>
    <w:link w:val="BalloonText"/>
    <w:rsid w:val="00546FC7"/>
    <w:rPr>
      <w:rFonts w:ascii="Tahoma" w:eastAsia="Calibri" w:hAnsi="Tahoma" w:cs="Tahoma"/>
      <w:sz w:val="16"/>
      <w:szCs w:val="16"/>
      <w:lang w:val="en-GB"/>
    </w:rPr>
  </w:style>
  <w:style w:type="paragraph" w:styleId="EndnoteText">
    <w:name w:val="endnote text"/>
    <w:basedOn w:val="Normal"/>
    <w:link w:val="EndnoteTextChar"/>
    <w:rsid w:val="001003B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1003BC"/>
    <w:rPr>
      <w:lang w:val="en-GB" w:eastAsia="en-US"/>
    </w:rPr>
  </w:style>
  <w:style w:type="character" w:styleId="CommentReference">
    <w:name w:val="annotation reference"/>
    <w:rsid w:val="000D7AAD"/>
    <w:rPr>
      <w:sz w:val="16"/>
      <w:szCs w:val="16"/>
    </w:rPr>
  </w:style>
  <w:style w:type="paragraph" w:styleId="CommentText">
    <w:name w:val="annotation text"/>
    <w:basedOn w:val="Normal"/>
    <w:link w:val="CommentTextChar"/>
    <w:rsid w:val="000D7AAD"/>
    <w:rPr>
      <w:sz w:val="20"/>
      <w:szCs w:val="20"/>
    </w:rPr>
  </w:style>
  <w:style w:type="character" w:customStyle="1" w:styleId="CommentTextChar">
    <w:name w:val="Comment Text Char"/>
    <w:link w:val="CommentText"/>
    <w:rsid w:val="000D7AAD"/>
    <w:rPr>
      <w:rFonts w:ascii="Calibri" w:eastAsia="Calibri" w:hAnsi="Calibri"/>
      <w:lang w:val="en-GB" w:eastAsia="en-US"/>
    </w:rPr>
  </w:style>
  <w:style w:type="paragraph" w:styleId="CommentSubject">
    <w:name w:val="annotation subject"/>
    <w:basedOn w:val="CommentText"/>
    <w:next w:val="CommentText"/>
    <w:link w:val="CommentSubjectChar"/>
    <w:rsid w:val="000D7AAD"/>
    <w:rPr>
      <w:b/>
      <w:bCs/>
    </w:rPr>
  </w:style>
  <w:style w:type="character" w:customStyle="1" w:styleId="CommentSubjectChar">
    <w:name w:val="Comment Subject Char"/>
    <w:link w:val="CommentSubject"/>
    <w:rsid w:val="000D7AAD"/>
    <w:rPr>
      <w:rFonts w:ascii="Calibri" w:eastAsia="Calibri" w:hAnsi="Calibri"/>
      <w:b/>
      <w:bCs/>
      <w:lang w:val="en-GB" w:eastAsia="en-US"/>
    </w:rPr>
  </w:style>
  <w:style w:type="paragraph" w:styleId="Revision">
    <w:name w:val="Revision"/>
    <w:hidden/>
    <w:uiPriority w:val="99"/>
    <w:semiHidden/>
    <w:rsid w:val="000D7AAD"/>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tep-project.net/" TargetMode="External"/><Relationship Id="rId1" Type="http://schemas.openxmlformats.org/officeDocument/2006/relationships/hyperlink" Target="http://www.reading.ac.uk/caer/project_al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67DE-CB00-455B-A3DB-4C1780C4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IPBES/2/16/Add.1</vt:lpstr>
    </vt:vector>
  </TitlesOfParts>
  <Company>Hewlett-Packard</Company>
  <LinksUpToDate>false</LinksUpToDate>
  <CharactersWithSpaces>14215</CharactersWithSpaces>
  <SharedDoc>false</SharedDoc>
  <HLinks>
    <vt:vector size="12" baseType="variant">
      <vt:variant>
        <vt:i4>983104</vt:i4>
      </vt:variant>
      <vt:variant>
        <vt:i4>3</vt:i4>
      </vt:variant>
      <vt:variant>
        <vt:i4>0</vt:i4>
      </vt:variant>
      <vt:variant>
        <vt:i4>5</vt:i4>
      </vt:variant>
      <vt:variant>
        <vt:lpwstr>http://www.step-project.net/</vt:lpwstr>
      </vt:variant>
      <vt:variant>
        <vt:lpwstr/>
      </vt:variant>
      <vt:variant>
        <vt:i4>3604573</vt:i4>
      </vt:variant>
      <vt:variant>
        <vt:i4>0</vt:i4>
      </vt:variant>
      <vt:variant>
        <vt:i4>0</vt:i4>
      </vt:variant>
      <vt:variant>
        <vt:i4>5</vt:i4>
      </vt:variant>
      <vt:variant>
        <vt:lpwstr>http://www.reading.ac.uk/caer/project_alarm.html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IPBES/2/16/Add.1</dc:title>
  <dc:creator>Sara Sanchez Gonzalez</dc:creator>
  <cp:lastModifiedBy>Rohan</cp:lastModifiedBy>
  <cp:revision>2</cp:revision>
  <cp:lastPrinted>2013-10-03T10:50:00Z</cp:lastPrinted>
  <dcterms:created xsi:type="dcterms:W3CDTF">2013-11-06T17:58:00Z</dcterms:created>
  <dcterms:modified xsi:type="dcterms:W3CDTF">2013-11-06T17:58:00Z</dcterms:modified>
</cp:coreProperties>
</file>