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950"/>
        <w:gridCol w:w="1649"/>
        <w:gridCol w:w="1321"/>
      </w:tblGrid>
      <w:tr w:rsidR="003C748F" w:rsidTr="002B71C3">
        <w:trPr>
          <w:trHeight w:val="910"/>
        </w:trPr>
        <w:tc>
          <w:tcPr>
            <w:tcW w:w="8249" w:type="dxa"/>
            <w:gridSpan w:val="3"/>
          </w:tcPr>
          <w:p w:rsidR="003C748F" w:rsidRPr="003508D2" w:rsidRDefault="003C748F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A26EAE" w:rsidRDefault="0002592C" w:rsidP="00F550EE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0A2070">
              <w:rPr>
                <w:sz w:val="20"/>
                <w:lang w:val="en-US"/>
              </w:rPr>
              <w:t>8</w:t>
            </w:r>
            <w:r w:rsidR="00A74882">
              <w:rPr>
                <w:sz w:val="20"/>
                <w:lang w:val="en-US"/>
              </w:rPr>
              <w:t>*</w:t>
            </w:r>
          </w:p>
        </w:tc>
      </w:tr>
      <w:bookmarkStart w:id="1" w:name="_MON_1026544529"/>
      <w:bookmarkStart w:id="2" w:name="_MON_1021710482"/>
      <w:bookmarkEnd w:id="1"/>
      <w:bookmarkEnd w:id="2"/>
      <w:bookmarkStart w:id="3" w:name="_MON_1021710510"/>
      <w:bookmarkEnd w:id="3"/>
      <w:tr w:rsidR="003C748F" w:rsidTr="002B71C3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51.6pt" o:ole="" fillcolor="window">
                  <v:imagedata r:id="rId7" o:title=""/>
                </v:shape>
                <o:OLEObject Type="Embed" ProgID="Word.Picture.8" ShapeID="_x0000_i1025" DrawAspect="Content" ObjectID="_1447920408" r:id="rId8"/>
              </w:object>
            </w:r>
            <w:r w:rsidR="002F13A4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6915" cy="746125"/>
                  <wp:effectExtent l="0" t="0" r="698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>Distr.: General</w:t>
            </w:r>
          </w:p>
          <w:p w:rsidR="003C748F" w:rsidRPr="00BF0698" w:rsidRDefault="00BA381A" w:rsidP="003508D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Pr="00BF0698">
              <w:rPr>
                <w:sz w:val="20"/>
                <w:lang w:val="en-US"/>
              </w:rPr>
              <w:t xml:space="preserve"> </w:t>
            </w:r>
            <w:r w:rsidR="00F550EE" w:rsidRPr="00BF0698">
              <w:rPr>
                <w:sz w:val="20"/>
                <w:lang w:val="en-US"/>
              </w:rPr>
              <w:t>September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>Original: English</w:t>
            </w:r>
          </w:p>
        </w:tc>
      </w:tr>
    </w:tbl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A74882" w:rsidRDefault="00F550EE" w:rsidP="00F63024">
      <w:pPr>
        <w:rPr>
          <w:sz w:val="20"/>
          <w:lang w:val="ru-RU"/>
        </w:rPr>
      </w:pPr>
      <w:r w:rsidRPr="00F550EE">
        <w:rPr>
          <w:sz w:val="20"/>
          <w:lang w:val="ru-RU"/>
        </w:rPr>
        <w:t>Антал</w:t>
      </w:r>
      <w:r w:rsidR="00C15D03">
        <w:rPr>
          <w:sz w:val="20"/>
          <w:lang w:val="ru-RU"/>
        </w:rPr>
        <w:t>ь</w:t>
      </w:r>
      <w:r w:rsidRPr="00F550EE">
        <w:rPr>
          <w:sz w:val="20"/>
          <w:lang w:val="ru-RU"/>
        </w:rPr>
        <w:t>я, Турция, 9–14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декабря 2013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года</w:t>
      </w:r>
    </w:p>
    <w:p w:rsidR="00F63024" w:rsidRPr="00A74882" w:rsidRDefault="000A2070" w:rsidP="00F63024">
      <w:pPr>
        <w:spacing w:after="60"/>
        <w:rPr>
          <w:sz w:val="20"/>
          <w:lang w:val="ru-RU"/>
        </w:rPr>
      </w:pPr>
      <w:r>
        <w:rPr>
          <w:sz w:val="20"/>
          <w:lang w:val="ru-RU"/>
        </w:rPr>
        <w:t>Пункт 6 а</w:t>
      </w:r>
      <w:r w:rsidR="00F63024">
        <w:rPr>
          <w:sz w:val="20"/>
          <w:lang w:val="ru-RU"/>
        </w:rPr>
        <w:t>)</w:t>
      </w:r>
      <w:r w:rsidR="00034E7A">
        <w:rPr>
          <w:sz w:val="20"/>
          <w:lang w:val="ru-RU"/>
        </w:rPr>
        <w:t xml:space="preserve"> и </w:t>
      </w:r>
      <w:r w:rsidR="00034E7A">
        <w:rPr>
          <w:sz w:val="20"/>
          <w:lang w:val="en-US"/>
        </w:rPr>
        <w:t>b</w:t>
      </w:r>
      <w:r w:rsidR="00034E7A" w:rsidRPr="00034E7A">
        <w:rPr>
          <w:sz w:val="20"/>
          <w:lang w:val="ru-RU"/>
        </w:rPr>
        <w:t>)</w:t>
      </w:r>
      <w:r w:rsidR="00F63024">
        <w:rPr>
          <w:sz w:val="20"/>
          <w:lang w:val="ru-RU"/>
        </w:rPr>
        <w:t xml:space="preserve"> предварительной повестки дня*</w:t>
      </w:r>
      <w:r w:rsidR="00A74882" w:rsidRPr="00A74882">
        <w:rPr>
          <w:sz w:val="20"/>
          <w:lang w:val="ru-RU"/>
        </w:rPr>
        <w:t>*</w:t>
      </w:r>
    </w:p>
    <w:p w:rsidR="00F63024" w:rsidRPr="00034E7A" w:rsidRDefault="00A43674" w:rsidP="00F63024">
      <w:pPr>
        <w:spacing w:after="240"/>
        <w:ind w:right="1701"/>
        <w:rPr>
          <w:b/>
          <w:sz w:val="20"/>
          <w:lang w:val="ru-RU"/>
        </w:rPr>
      </w:pPr>
      <w:r w:rsidRPr="00A43674">
        <w:rPr>
          <w:b/>
          <w:sz w:val="20"/>
          <w:lang w:val="ru-RU"/>
        </w:rPr>
        <w:t>Правила и процедуры деятельности Платформы: региональная структура Многодисциплинарной группы экспертов</w:t>
      </w:r>
      <w:r w:rsidR="00034E7A" w:rsidRPr="00034E7A">
        <w:rPr>
          <w:b/>
          <w:sz w:val="20"/>
          <w:lang w:val="ru-RU"/>
        </w:rPr>
        <w:t>; обзор административных процедур для отбора членов Многодисциплинарной группы экспертов</w:t>
      </w:r>
    </w:p>
    <w:p w:rsidR="003C748F" w:rsidRDefault="006E2E0E" w:rsidP="007519BF">
      <w:pPr>
        <w:spacing w:before="360" w:after="240"/>
        <w:ind w:left="1247"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Возможная будущая региональная структура и состав Многодисциплинарной группы экспертов</w:t>
      </w:r>
    </w:p>
    <w:p w:rsidR="003C748F" w:rsidRDefault="006E2E0E" w:rsidP="000610C3">
      <w:pPr>
        <w:spacing w:after="120"/>
        <w:ind w:left="1247" w:right="567"/>
        <w:rPr>
          <w:b/>
          <w:szCs w:val="24"/>
          <w:lang w:val="en-US"/>
        </w:rPr>
      </w:pPr>
      <w:r>
        <w:rPr>
          <w:b/>
          <w:szCs w:val="24"/>
          <w:lang w:val="ru-RU"/>
        </w:rPr>
        <w:t>Записка секретариата</w:t>
      </w:r>
    </w:p>
    <w:p w:rsidR="007A3A8A" w:rsidRPr="007A3A8A" w:rsidRDefault="007A3A8A" w:rsidP="007A3A8A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en-US"/>
        </w:rPr>
      </w:pPr>
      <w:r w:rsidRPr="006E2E0E">
        <w:rPr>
          <w:b/>
          <w:sz w:val="28"/>
          <w:szCs w:val="28"/>
          <w:lang w:val="ru-RU"/>
        </w:rPr>
        <w:tab/>
      </w:r>
      <w:r w:rsidRPr="007A3A8A">
        <w:rPr>
          <w:b/>
          <w:sz w:val="28"/>
          <w:szCs w:val="28"/>
          <w:lang w:val="ru-RU"/>
        </w:rPr>
        <w:t>I</w:t>
      </w:r>
      <w:r w:rsidRPr="00A436EA">
        <w:rPr>
          <w:b/>
          <w:sz w:val="28"/>
          <w:szCs w:val="28"/>
          <w:lang w:val="ru-RU"/>
        </w:rPr>
        <w:t>.</w:t>
      </w:r>
      <w:r w:rsidRPr="00A436EA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Введение</w:t>
      </w:r>
    </w:p>
    <w:p w:rsidR="00EE71A1" w:rsidRPr="000610C3" w:rsidRDefault="006E2E0E" w:rsidP="000610C3">
      <w:pPr>
        <w:spacing w:after="24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1.</w:t>
      </w:r>
      <w:r w:rsidRPr="000610C3">
        <w:rPr>
          <w:sz w:val="20"/>
          <w:lang w:val="ru-RU"/>
        </w:rPr>
        <w:tab/>
      </w:r>
      <w:r w:rsidR="00A82C50" w:rsidRPr="000610C3">
        <w:rPr>
          <w:sz w:val="20"/>
          <w:lang w:val="ru-RU"/>
        </w:rPr>
        <w:t xml:space="preserve">В решении </w:t>
      </w:r>
      <w:r w:rsidR="0042283E" w:rsidRPr="000610C3">
        <w:rPr>
          <w:sz w:val="20"/>
          <w:lang w:val="ru-RU"/>
        </w:rPr>
        <w:t>МПБЭУ</w:t>
      </w:r>
      <w:r w:rsidR="00A82C50" w:rsidRPr="000610C3">
        <w:rPr>
          <w:sz w:val="20"/>
          <w:lang w:val="ru-RU"/>
        </w:rPr>
        <w:t>/1/2</w:t>
      </w:r>
      <w:r w:rsidR="00B14419" w:rsidRPr="000610C3">
        <w:rPr>
          <w:sz w:val="20"/>
          <w:lang w:val="ru-RU"/>
        </w:rPr>
        <w:t xml:space="preserve"> Пленум Межправительственной научно-политической платформы</w:t>
      </w:r>
      <w:r w:rsidR="00445565" w:rsidRPr="000610C3">
        <w:rPr>
          <w:sz w:val="20"/>
          <w:lang w:val="ru-RU"/>
        </w:rPr>
        <w:t xml:space="preserve"> по биоразнообразию и экосистемным услугам просил Многодисциплинарную груп</w:t>
      </w:r>
      <w:r w:rsidR="00B80AC7" w:rsidRPr="000610C3">
        <w:rPr>
          <w:sz w:val="20"/>
          <w:lang w:val="ru-RU"/>
        </w:rPr>
        <w:t>п</w:t>
      </w:r>
      <w:r w:rsidR="00445565" w:rsidRPr="000610C3">
        <w:rPr>
          <w:sz w:val="20"/>
          <w:lang w:val="ru-RU"/>
        </w:rPr>
        <w:t xml:space="preserve">у экспертов провести работу с Бюро и вынести на рассмотрение Пленума на его второй сессии рекомендацию </w:t>
      </w:r>
      <w:r w:rsidR="00EF04FB" w:rsidRPr="000610C3">
        <w:rPr>
          <w:sz w:val="20"/>
          <w:lang w:val="ru-RU"/>
        </w:rPr>
        <w:t>в отношении</w:t>
      </w:r>
      <w:r w:rsidR="00445565" w:rsidRPr="000610C3">
        <w:rPr>
          <w:sz w:val="20"/>
          <w:lang w:val="ru-RU"/>
        </w:rPr>
        <w:t xml:space="preserve"> региональной структур</w:t>
      </w:r>
      <w:r w:rsidR="00EF04FB" w:rsidRPr="000610C3">
        <w:rPr>
          <w:sz w:val="20"/>
          <w:lang w:val="ru-RU"/>
        </w:rPr>
        <w:t>ы</w:t>
      </w:r>
      <w:r w:rsidR="00445565" w:rsidRPr="000610C3">
        <w:rPr>
          <w:sz w:val="20"/>
          <w:lang w:val="ru-RU"/>
        </w:rPr>
        <w:t xml:space="preserve"> и состав</w:t>
      </w:r>
      <w:r w:rsidR="00EF04FB" w:rsidRPr="000610C3">
        <w:rPr>
          <w:sz w:val="20"/>
          <w:lang w:val="ru-RU"/>
        </w:rPr>
        <w:t>а</w:t>
      </w:r>
      <w:r w:rsidR="00445565" w:rsidRPr="000610C3">
        <w:rPr>
          <w:sz w:val="20"/>
          <w:lang w:val="ru-RU"/>
        </w:rPr>
        <w:t xml:space="preserve"> будущей Многодисциплинарной группы</w:t>
      </w:r>
      <w:r w:rsidR="00B80AC7" w:rsidRPr="000610C3">
        <w:rPr>
          <w:sz w:val="20"/>
          <w:lang w:val="ru-RU"/>
        </w:rPr>
        <w:t xml:space="preserve"> экспертов, опираясь на замечания</w:t>
      </w:r>
      <w:r w:rsidR="00EF04FB" w:rsidRPr="000610C3">
        <w:rPr>
          <w:sz w:val="20"/>
          <w:lang w:val="ru-RU"/>
        </w:rPr>
        <w:t xml:space="preserve"> и предложения</w:t>
      </w:r>
      <w:r w:rsidR="00B80AC7" w:rsidRPr="000610C3">
        <w:rPr>
          <w:sz w:val="20"/>
          <w:lang w:val="ru-RU"/>
        </w:rPr>
        <w:t>, полученные от правительств и других заинтересованных сторон</w:t>
      </w:r>
      <w:r w:rsidR="00EF04FB" w:rsidRPr="000610C3">
        <w:rPr>
          <w:sz w:val="20"/>
          <w:lang w:val="ru-RU"/>
        </w:rPr>
        <w:t>,</w:t>
      </w:r>
      <w:r w:rsidR="00B80AC7" w:rsidRPr="000610C3">
        <w:rPr>
          <w:sz w:val="20"/>
          <w:lang w:val="ru-RU"/>
        </w:rPr>
        <w:t xml:space="preserve"> в </w:t>
      </w:r>
      <w:r w:rsidR="00EF04FB" w:rsidRPr="000610C3">
        <w:rPr>
          <w:sz w:val="20"/>
          <w:lang w:val="ru-RU"/>
        </w:rPr>
        <w:t>связи с</w:t>
      </w:r>
      <w:r w:rsidR="00B80AC7" w:rsidRPr="000610C3">
        <w:rPr>
          <w:sz w:val="20"/>
          <w:lang w:val="ru-RU"/>
        </w:rPr>
        <w:t xml:space="preserve"> информационн</w:t>
      </w:r>
      <w:r w:rsidR="00EF04FB" w:rsidRPr="000610C3">
        <w:rPr>
          <w:sz w:val="20"/>
          <w:lang w:val="ru-RU"/>
        </w:rPr>
        <w:t>ым</w:t>
      </w:r>
      <w:r w:rsidR="00B80AC7" w:rsidRPr="000610C3">
        <w:rPr>
          <w:sz w:val="20"/>
          <w:lang w:val="ru-RU"/>
        </w:rPr>
        <w:t xml:space="preserve"> документ</w:t>
      </w:r>
      <w:r w:rsidR="00EF04FB" w:rsidRPr="000610C3">
        <w:rPr>
          <w:sz w:val="20"/>
          <w:lang w:val="ru-RU"/>
        </w:rPr>
        <w:t>ом</w:t>
      </w:r>
      <w:r w:rsidR="00B80AC7" w:rsidRPr="000610C3">
        <w:rPr>
          <w:sz w:val="20"/>
          <w:lang w:val="ru-RU"/>
        </w:rPr>
        <w:t xml:space="preserve"> о региональной структуре и составе Группы (</w:t>
      </w:r>
      <w:r w:rsidR="0042283E" w:rsidRPr="000610C3">
        <w:rPr>
          <w:sz w:val="20"/>
          <w:lang w:val="en-US"/>
        </w:rPr>
        <w:t>IPBES</w:t>
      </w:r>
      <w:r w:rsidR="0042283E" w:rsidRPr="000610C3">
        <w:rPr>
          <w:sz w:val="20"/>
          <w:lang w:val="ru-RU"/>
        </w:rPr>
        <w:t>/1/</w:t>
      </w:r>
      <w:r w:rsidR="0042283E" w:rsidRPr="000610C3">
        <w:rPr>
          <w:sz w:val="20"/>
          <w:lang w:val="en-US"/>
        </w:rPr>
        <w:t>INF</w:t>
      </w:r>
      <w:r w:rsidR="0042283E" w:rsidRPr="000610C3">
        <w:rPr>
          <w:sz w:val="20"/>
          <w:lang w:val="ru-RU"/>
        </w:rPr>
        <w:t>/7</w:t>
      </w:r>
      <w:r w:rsidR="00B80AC7" w:rsidRPr="000610C3">
        <w:rPr>
          <w:sz w:val="20"/>
          <w:lang w:val="ru-RU"/>
        </w:rPr>
        <w:t>)</w:t>
      </w:r>
      <w:r w:rsidR="0042283E" w:rsidRPr="000610C3">
        <w:rPr>
          <w:sz w:val="20"/>
          <w:lang w:val="ru-RU"/>
        </w:rPr>
        <w:t xml:space="preserve">. Кроме того, Бюро просили провести обзор административной процедуры, используемой при комплектовании временного состава Многодисциплинарной группы экспертов, </w:t>
      </w:r>
      <w:r w:rsidR="00EF04FB" w:rsidRPr="000610C3">
        <w:rPr>
          <w:sz w:val="20"/>
          <w:lang w:val="ru-RU"/>
        </w:rPr>
        <w:t xml:space="preserve">уделив особое внимание </w:t>
      </w:r>
      <w:r w:rsidR="0042283E" w:rsidRPr="000610C3">
        <w:rPr>
          <w:sz w:val="20"/>
          <w:lang w:val="ru-RU"/>
        </w:rPr>
        <w:t>проведени</w:t>
      </w:r>
      <w:r w:rsidR="00EF04FB" w:rsidRPr="000610C3">
        <w:rPr>
          <w:sz w:val="20"/>
          <w:lang w:val="ru-RU"/>
        </w:rPr>
        <w:t>ю</w:t>
      </w:r>
      <w:r w:rsidR="0042283E" w:rsidRPr="000610C3">
        <w:rPr>
          <w:sz w:val="20"/>
          <w:lang w:val="ru-RU"/>
        </w:rPr>
        <w:t xml:space="preserve"> эффективных консультаций с целью обеспечить общую сбалансированность программы работы</w:t>
      </w:r>
      <w:r w:rsidR="00EF04FB" w:rsidRPr="000610C3">
        <w:rPr>
          <w:sz w:val="20"/>
          <w:lang w:val="ru-RU"/>
        </w:rPr>
        <w:t>,</w:t>
      </w:r>
      <w:r w:rsidR="0042283E" w:rsidRPr="000610C3">
        <w:rPr>
          <w:sz w:val="20"/>
          <w:lang w:val="ru-RU"/>
        </w:rPr>
        <w:t xml:space="preserve"> и подготовить проект рекомендаций </w:t>
      </w:r>
      <w:r w:rsidR="00EF04FB" w:rsidRPr="000610C3">
        <w:rPr>
          <w:sz w:val="20"/>
          <w:lang w:val="ru-RU"/>
        </w:rPr>
        <w:t>в отношении</w:t>
      </w:r>
      <w:r w:rsidR="0042283E" w:rsidRPr="000610C3">
        <w:rPr>
          <w:sz w:val="20"/>
          <w:lang w:val="ru-RU"/>
        </w:rPr>
        <w:t xml:space="preserve"> процедур</w:t>
      </w:r>
      <w:r w:rsidR="00E63BED" w:rsidRPr="000610C3">
        <w:rPr>
          <w:sz w:val="20"/>
          <w:lang w:val="ru-RU"/>
        </w:rPr>
        <w:t>ы для</w:t>
      </w:r>
      <w:r w:rsidR="0042283E" w:rsidRPr="000610C3">
        <w:rPr>
          <w:sz w:val="20"/>
          <w:lang w:val="ru-RU"/>
        </w:rPr>
        <w:t xml:space="preserve"> процесса </w:t>
      </w:r>
      <w:r w:rsidR="00E63BED" w:rsidRPr="000610C3">
        <w:rPr>
          <w:sz w:val="20"/>
          <w:lang w:val="ru-RU"/>
        </w:rPr>
        <w:t>комплектования</w:t>
      </w:r>
      <w:r w:rsidR="0042283E" w:rsidRPr="000610C3">
        <w:rPr>
          <w:sz w:val="20"/>
          <w:lang w:val="ru-RU"/>
        </w:rPr>
        <w:t xml:space="preserve"> будуще</w:t>
      </w:r>
      <w:r w:rsidR="00E63BED" w:rsidRPr="000610C3">
        <w:rPr>
          <w:sz w:val="20"/>
          <w:lang w:val="ru-RU"/>
        </w:rPr>
        <w:t>го состава</w:t>
      </w:r>
      <w:r w:rsidR="0042283E" w:rsidRPr="000610C3">
        <w:rPr>
          <w:sz w:val="20"/>
          <w:lang w:val="ru-RU"/>
        </w:rPr>
        <w:t xml:space="preserve"> Группы. Настоящая записка представляет собой ответ на эти просьбы, </w:t>
      </w:r>
      <w:r w:rsidR="00E63BED" w:rsidRPr="000610C3">
        <w:rPr>
          <w:sz w:val="20"/>
          <w:lang w:val="ru-RU"/>
        </w:rPr>
        <w:t>изложе</w:t>
      </w:r>
      <w:r w:rsidR="0042283E" w:rsidRPr="000610C3">
        <w:rPr>
          <w:sz w:val="20"/>
          <w:lang w:val="ru-RU"/>
        </w:rPr>
        <w:t>нные Пленумом на его первой сессии.</w:t>
      </w:r>
    </w:p>
    <w:p w:rsidR="006E2E0E" w:rsidRPr="00A436EA" w:rsidRDefault="006E2E0E" w:rsidP="000610C3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6E2E0E">
        <w:rPr>
          <w:b/>
          <w:sz w:val="28"/>
          <w:szCs w:val="28"/>
          <w:lang w:val="ru-RU"/>
        </w:rPr>
        <w:tab/>
      </w:r>
      <w:r w:rsidR="00BA381A">
        <w:rPr>
          <w:b/>
          <w:sz w:val="28"/>
          <w:szCs w:val="28"/>
          <w:lang w:val="en-US"/>
        </w:rPr>
        <w:t>I</w:t>
      </w:r>
      <w:r w:rsidRPr="006E2E0E">
        <w:rPr>
          <w:b/>
          <w:sz w:val="28"/>
          <w:szCs w:val="28"/>
          <w:lang w:val="en-US"/>
        </w:rPr>
        <w:t>I</w:t>
      </w:r>
      <w:r w:rsidRPr="00A436EA">
        <w:rPr>
          <w:b/>
          <w:sz w:val="28"/>
          <w:szCs w:val="28"/>
          <w:lang w:val="ru-RU"/>
        </w:rPr>
        <w:t>.</w:t>
      </w:r>
      <w:r w:rsidRPr="00A436EA">
        <w:rPr>
          <w:b/>
          <w:sz w:val="28"/>
          <w:szCs w:val="28"/>
          <w:lang w:val="ru-RU"/>
        </w:rPr>
        <w:tab/>
      </w:r>
      <w:r w:rsidR="00A436EA">
        <w:rPr>
          <w:b/>
          <w:sz w:val="28"/>
          <w:szCs w:val="28"/>
          <w:lang w:val="ru-RU"/>
        </w:rPr>
        <w:t>Справочная информация и обзор административной процедуры, использованной при комплектовании временного состава Многодисциплинарной группы экспертов</w:t>
      </w:r>
    </w:p>
    <w:p w:rsidR="006E2E0E" w:rsidRPr="000610C3" w:rsidRDefault="00A436EA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2.</w:t>
      </w:r>
      <w:r w:rsidRPr="000610C3">
        <w:rPr>
          <w:sz w:val="20"/>
          <w:lang w:val="ru-RU"/>
        </w:rPr>
        <w:tab/>
        <w:t xml:space="preserve">В соответствии с правилом 25 правил процедуры </w:t>
      </w:r>
      <w:r w:rsidR="00E63BED" w:rsidRPr="000610C3">
        <w:rPr>
          <w:sz w:val="20"/>
          <w:lang w:val="ru-RU"/>
        </w:rPr>
        <w:t xml:space="preserve">временный </w:t>
      </w:r>
      <w:r w:rsidRPr="000610C3">
        <w:rPr>
          <w:sz w:val="20"/>
          <w:lang w:val="ru-RU"/>
        </w:rPr>
        <w:t xml:space="preserve">состав Многодисциплинарной группы экспертов на двухлетний период </w:t>
      </w:r>
      <w:r w:rsidR="00E63BED" w:rsidRPr="000610C3">
        <w:rPr>
          <w:sz w:val="20"/>
          <w:lang w:val="ru-RU"/>
        </w:rPr>
        <w:t>включает</w:t>
      </w:r>
      <w:r w:rsidRPr="000610C3">
        <w:rPr>
          <w:sz w:val="20"/>
          <w:lang w:val="ru-RU"/>
        </w:rPr>
        <w:t xml:space="preserve"> по пять членов от каждого </w:t>
      </w:r>
      <w:r w:rsidR="00BA381A">
        <w:rPr>
          <w:sz w:val="20"/>
          <w:lang w:val="ru-RU"/>
        </w:rPr>
        <w:t xml:space="preserve">из пяти </w:t>
      </w:r>
      <w:r w:rsidRPr="000610C3">
        <w:rPr>
          <w:sz w:val="20"/>
          <w:lang w:val="ru-RU"/>
        </w:rPr>
        <w:t>регион</w:t>
      </w:r>
      <w:r w:rsidR="00BA381A">
        <w:rPr>
          <w:sz w:val="20"/>
          <w:lang w:val="ru-RU"/>
        </w:rPr>
        <w:t>ов</w:t>
      </w:r>
      <w:r w:rsidRPr="000610C3">
        <w:rPr>
          <w:sz w:val="20"/>
          <w:lang w:val="ru-RU"/>
        </w:rPr>
        <w:t xml:space="preserve"> Организации Объединенных Наций. Для комплектования нынешнего временного состава Группы на первой сессии Пленума, прошедшей в Бонне, Германия, от каждого региона был представлен перечень потенциальных кандидатов, основанный на кандидатурах</w:t>
      </w:r>
      <w:r w:rsidR="00CA270D" w:rsidRPr="000610C3">
        <w:rPr>
          <w:sz w:val="20"/>
          <w:lang w:val="ru-RU"/>
        </w:rPr>
        <w:t xml:space="preserve">, </w:t>
      </w:r>
      <w:r w:rsidR="00DA06DF" w:rsidRPr="000610C3">
        <w:rPr>
          <w:sz w:val="20"/>
          <w:lang w:val="ru-RU"/>
        </w:rPr>
        <w:t>внесенных</w:t>
      </w:r>
      <w:r w:rsidR="00CA270D" w:rsidRPr="000610C3">
        <w:rPr>
          <w:sz w:val="20"/>
          <w:lang w:val="ru-RU"/>
        </w:rPr>
        <w:t xml:space="preserve"> членами Платформы в </w:t>
      </w:r>
      <w:r w:rsidR="00DA06DF" w:rsidRPr="000610C3">
        <w:rPr>
          <w:sz w:val="20"/>
          <w:lang w:val="ru-RU"/>
        </w:rPr>
        <w:t>пределах</w:t>
      </w:r>
      <w:r w:rsidR="00CA270D" w:rsidRPr="000610C3">
        <w:rPr>
          <w:sz w:val="20"/>
          <w:lang w:val="ru-RU"/>
        </w:rPr>
        <w:t xml:space="preserve"> каждого региона. </w:t>
      </w:r>
      <w:r w:rsidR="00DA06DF" w:rsidRPr="000610C3">
        <w:rPr>
          <w:sz w:val="20"/>
          <w:lang w:val="ru-RU"/>
        </w:rPr>
        <w:t>Перед</w:t>
      </w:r>
      <w:r w:rsidR="00CA270D" w:rsidRPr="000610C3">
        <w:rPr>
          <w:sz w:val="20"/>
          <w:lang w:val="ru-RU"/>
        </w:rPr>
        <w:t xml:space="preserve"> сесси</w:t>
      </w:r>
      <w:r w:rsidR="00DA06DF" w:rsidRPr="000610C3">
        <w:rPr>
          <w:sz w:val="20"/>
          <w:lang w:val="ru-RU"/>
        </w:rPr>
        <w:t>ей</w:t>
      </w:r>
      <w:r w:rsidR="00CA270D" w:rsidRPr="000610C3">
        <w:rPr>
          <w:sz w:val="20"/>
          <w:lang w:val="ru-RU"/>
        </w:rPr>
        <w:t xml:space="preserve"> было организовано однодневное совещание, чтобы дать возможность провести региональные </w:t>
      </w:r>
      <w:r w:rsidR="00CA270D" w:rsidRPr="000610C3">
        <w:rPr>
          <w:sz w:val="20"/>
          <w:lang w:val="ru-RU"/>
        </w:rPr>
        <w:lastRenderedPageBreak/>
        <w:t>консультации по перечню кандидатов, а также обсуждения между регионами по вопросу об общем составе</w:t>
      </w:r>
      <w:r w:rsidR="004F6D1D" w:rsidRPr="000610C3">
        <w:rPr>
          <w:sz w:val="20"/>
          <w:lang w:val="ru-RU"/>
        </w:rPr>
        <w:t xml:space="preserve"> Группы.</w:t>
      </w:r>
    </w:p>
    <w:p w:rsidR="004F6D1D" w:rsidRPr="000610C3" w:rsidRDefault="004F6D1D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3.</w:t>
      </w:r>
      <w:r w:rsidRPr="000610C3">
        <w:rPr>
          <w:sz w:val="20"/>
          <w:lang w:val="ru-RU"/>
        </w:rPr>
        <w:tab/>
        <w:t>Указанный процесс п</w:t>
      </w:r>
      <w:r w:rsidR="00900879" w:rsidRPr="000610C3">
        <w:rPr>
          <w:sz w:val="20"/>
          <w:lang w:val="ru-RU"/>
        </w:rPr>
        <w:t>ослуж</w:t>
      </w:r>
      <w:r w:rsidRPr="000610C3">
        <w:rPr>
          <w:sz w:val="20"/>
          <w:lang w:val="ru-RU"/>
        </w:rPr>
        <w:t>ил стимулом для диску</w:t>
      </w:r>
      <w:r w:rsidR="00900879" w:rsidRPr="000610C3">
        <w:rPr>
          <w:sz w:val="20"/>
          <w:lang w:val="ru-RU"/>
        </w:rPr>
        <w:t>с</w:t>
      </w:r>
      <w:r w:rsidRPr="000610C3">
        <w:rPr>
          <w:sz w:val="20"/>
          <w:lang w:val="ru-RU"/>
        </w:rPr>
        <w:t>сии между регионами и содейство</w:t>
      </w:r>
      <w:r w:rsidR="00900879" w:rsidRPr="000610C3">
        <w:rPr>
          <w:sz w:val="20"/>
          <w:lang w:val="ru-RU"/>
        </w:rPr>
        <w:t>в</w:t>
      </w:r>
      <w:r w:rsidRPr="000610C3">
        <w:rPr>
          <w:sz w:val="20"/>
          <w:lang w:val="ru-RU"/>
        </w:rPr>
        <w:t xml:space="preserve">ал им, при этом процесс </w:t>
      </w:r>
      <w:r w:rsidR="004C70B8" w:rsidRPr="000610C3">
        <w:rPr>
          <w:sz w:val="20"/>
          <w:lang w:val="ru-RU"/>
        </w:rPr>
        <w:t xml:space="preserve">на региональном уровне </w:t>
      </w:r>
      <w:r w:rsidRPr="000610C3">
        <w:rPr>
          <w:sz w:val="20"/>
          <w:lang w:val="ru-RU"/>
        </w:rPr>
        <w:t xml:space="preserve">в значительной степени опирался на субрегиональные интересы и лимиты (пять членов от каждого региона). </w:t>
      </w:r>
      <w:r w:rsidR="007E6BE6" w:rsidRPr="000610C3">
        <w:rPr>
          <w:sz w:val="20"/>
          <w:lang w:val="ru-RU"/>
        </w:rPr>
        <w:t>В сочетании с</w:t>
      </w:r>
      <w:r w:rsidR="004C70B8" w:rsidRPr="000610C3">
        <w:rPr>
          <w:sz w:val="20"/>
          <w:lang w:val="ru-RU"/>
        </w:rPr>
        <w:t xml:space="preserve"> имевшимся в первоначальных списках кандидатур, полученных от членов Платформы,</w:t>
      </w:r>
      <w:r w:rsidR="007E6BE6" w:rsidRPr="000610C3">
        <w:rPr>
          <w:sz w:val="20"/>
          <w:lang w:val="ru-RU"/>
        </w:rPr>
        <w:t xml:space="preserve"> значительным дисбалансом по дисциплина</w:t>
      </w:r>
      <w:r w:rsidR="004C70B8" w:rsidRPr="000610C3">
        <w:rPr>
          <w:sz w:val="20"/>
          <w:lang w:val="ru-RU"/>
        </w:rPr>
        <w:t>рной</w:t>
      </w:r>
      <w:r w:rsidR="007E6BE6" w:rsidRPr="000610C3">
        <w:rPr>
          <w:sz w:val="20"/>
          <w:lang w:val="ru-RU"/>
        </w:rPr>
        <w:t xml:space="preserve"> и пол</w:t>
      </w:r>
      <w:r w:rsidR="004C70B8" w:rsidRPr="000610C3">
        <w:rPr>
          <w:sz w:val="20"/>
          <w:lang w:val="ru-RU"/>
        </w:rPr>
        <w:t>овой принадлежности</w:t>
      </w:r>
      <w:r w:rsidR="00966230" w:rsidRPr="000610C3">
        <w:rPr>
          <w:sz w:val="20"/>
          <w:lang w:val="ru-RU"/>
        </w:rPr>
        <w:t>,</w:t>
      </w:r>
      <w:r w:rsidR="007E6BE6" w:rsidRPr="000610C3">
        <w:rPr>
          <w:sz w:val="20"/>
          <w:lang w:val="ru-RU"/>
        </w:rPr>
        <w:t xml:space="preserve"> на первой сессии </w:t>
      </w:r>
      <w:r w:rsidR="00966230" w:rsidRPr="000610C3">
        <w:rPr>
          <w:sz w:val="20"/>
          <w:lang w:val="ru-RU"/>
        </w:rPr>
        <w:t xml:space="preserve">в отношении большинства региональных кандидатур </w:t>
      </w:r>
      <w:r w:rsidR="007E6BE6" w:rsidRPr="000610C3">
        <w:rPr>
          <w:sz w:val="20"/>
          <w:lang w:val="ru-RU"/>
        </w:rPr>
        <w:t xml:space="preserve">не удалось обеспечить </w:t>
      </w:r>
      <w:r w:rsidR="00966230" w:rsidRPr="000610C3">
        <w:rPr>
          <w:sz w:val="20"/>
          <w:lang w:val="ru-RU"/>
        </w:rPr>
        <w:t>требуемого</w:t>
      </w:r>
      <w:r w:rsidR="007E6BE6" w:rsidRPr="000610C3">
        <w:rPr>
          <w:sz w:val="20"/>
          <w:lang w:val="ru-RU"/>
        </w:rPr>
        <w:t xml:space="preserve"> баланса по полу, </w:t>
      </w:r>
      <w:r w:rsidR="00BA381A">
        <w:rPr>
          <w:sz w:val="20"/>
          <w:lang w:val="ru-RU"/>
        </w:rPr>
        <w:t xml:space="preserve">тематике, </w:t>
      </w:r>
      <w:r w:rsidR="007E6BE6" w:rsidRPr="000610C3">
        <w:rPr>
          <w:sz w:val="20"/>
          <w:lang w:val="ru-RU"/>
        </w:rPr>
        <w:t xml:space="preserve">знаниям и дисциплинам. Несмотря на то, что временный состав Группы обладает значительными экспертными навыками в соответствующих отраслях, в результате процесса комплектования возник дисбаланс в его общем составе, что отмечалось </w:t>
      </w:r>
      <w:r w:rsidR="008A219A" w:rsidRPr="000610C3">
        <w:rPr>
          <w:sz w:val="20"/>
          <w:lang w:val="ru-RU"/>
        </w:rPr>
        <w:t xml:space="preserve">несколькими членами Платформы </w:t>
      </w:r>
      <w:r w:rsidR="007E6BE6" w:rsidRPr="000610C3">
        <w:rPr>
          <w:sz w:val="20"/>
          <w:lang w:val="ru-RU"/>
        </w:rPr>
        <w:t>во время обсуждения на первой сессии Пленума.</w:t>
      </w:r>
    </w:p>
    <w:p w:rsidR="001B4630" w:rsidRPr="000610C3" w:rsidRDefault="001B4630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4.</w:t>
      </w:r>
      <w:r w:rsidRPr="000610C3">
        <w:rPr>
          <w:sz w:val="20"/>
          <w:lang w:val="ru-RU"/>
        </w:rPr>
        <w:tab/>
        <w:t>Признавая этот факт, в пункте 23 решения МПБЭУ/1/2 Пленум просил Бюро провести обзор административной процедуры, используемой</w:t>
      </w:r>
      <w:r w:rsidR="00925F1C" w:rsidRPr="000610C3">
        <w:rPr>
          <w:sz w:val="20"/>
          <w:lang w:val="ru-RU"/>
        </w:rPr>
        <w:t xml:space="preserve"> при комплектовании временного состава Группы, с особым упором на проведение эффективных консультаций с целью обеспечить общую сбалансированность программы работы и подготовить проект рекомендации </w:t>
      </w:r>
      <w:r w:rsidR="00060C58" w:rsidRPr="000610C3">
        <w:rPr>
          <w:sz w:val="20"/>
          <w:lang w:val="ru-RU"/>
        </w:rPr>
        <w:t>в отношении</w:t>
      </w:r>
      <w:r w:rsidR="00925F1C" w:rsidRPr="000610C3">
        <w:rPr>
          <w:sz w:val="20"/>
          <w:lang w:val="ru-RU"/>
        </w:rPr>
        <w:t xml:space="preserve"> процедур</w:t>
      </w:r>
      <w:r w:rsidR="00060C58" w:rsidRPr="000610C3">
        <w:rPr>
          <w:sz w:val="20"/>
          <w:lang w:val="ru-RU"/>
        </w:rPr>
        <w:t>ы для</w:t>
      </w:r>
      <w:r w:rsidR="00925F1C" w:rsidRPr="000610C3">
        <w:rPr>
          <w:sz w:val="20"/>
          <w:lang w:val="ru-RU"/>
        </w:rPr>
        <w:t xml:space="preserve"> </w:t>
      </w:r>
      <w:r w:rsidR="00060C58" w:rsidRPr="000610C3">
        <w:rPr>
          <w:sz w:val="20"/>
          <w:lang w:val="ru-RU"/>
        </w:rPr>
        <w:t>процесса комплектования</w:t>
      </w:r>
      <w:r w:rsidR="00925F1C" w:rsidRPr="000610C3">
        <w:rPr>
          <w:sz w:val="20"/>
          <w:lang w:val="ru-RU"/>
        </w:rPr>
        <w:t xml:space="preserve"> состав</w:t>
      </w:r>
      <w:r w:rsidR="00060C58" w:rsidRPr="000610C3">
        <w:rPr>
          <w:sz w:val="20"/>
          <w:lang w:val="ru-RU"/>
        </w:rPr>
        <w:t>а</w:t>
      </w:r>
      <w:r w:rsidR="00925F1C" w:rsidRPr="000610C3">
        <w:rPr>
          <w:sz w:val="20"/>
          <w:lang w:val="ru-RU"/>
        </w:rPr>
        <w:t xml:space="preserve"> будущей Группы. Соответствующий раздел правил процедуры (правила 26</w:t>
      </w:r>
      <w:r w:rsidR="00925F1C" w:rsidRPr="000610C3">
        <w:rPr>
          <w:sz w:val="20"/>
          <w:lang w:val="ru-RU"/>
        </w:rPr>
        <w:noBreakHyphen/>
        <w:t>28 о выдвижении кандидатов и комплектовании Группы) может быть окончательно доработан на основании этого обзора и рекомендации.</w:t>
      </w:r>
    </w:p>
    <w:p w:rsidR="00925F1C" w:rsidRPr="000610C3" w:rsidRDefault="00925F1C" w:rsidP="000610C3">
      <w:pPr>
        <w:spacing w:after="24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5.</w:t>
      </w:r>
      <w:r w:rsidRPr="000610C3">
        <w:rPr>
          <w:sz w:val="20"/>
          <w:lang w:val="ru-RU"/>
        </w:rPr>
        <w:tab/>
      </w:r>
      <w:r w:rsidR="00060C58" w:rsidRPr="000610C3">
        <w:rPr>
          <w:sz w:val="20"/>
          <w:lang w:val="ru-RU"/>
        </w:rPr>
        <w:t>В дополнение к проведению</w:t>
      </w:r>
      <w:r w:rsidRPr="000610C3">
        <w:rPr>
          <w:sz w:val="20"/>
          <w:lang w:val="ru-RU"/>
        </w:rPr>
        <w:t xml:space="preserve"> Бюро обзора процедуры </w:t>
      </w:r>
      <w:r w:rsidR="00060C58" w:rsidRPr="000610C3">
        <w:rPr>
          <w:sz w:val="20"/>
          <w:lang w:val="ru-RU"/>
        </w:rPr>
        <w:t xml:space="preserve">для </w:t>
      </w:r>
      <w:r w:rsidRPr="000610C3">
        <w:rPr>
          <w:sz w:val="20"/>
          <w:lang w:val="ru-RU"/>
        </w:rPr>
        <w:t>комплектования Группы Пленум в пункте 20 решения МПБЭУ/1/2 просил</w:t>
      </w:r>
      <w:r w:rsidR="008F0C7A" w:rsidRPr="000610C3">
        <w:rPr>
          <w:sz w:val="20"/>
          <w:lang w:val="ru-RU"/>
        </w:rPr>
        <w:t xml:space="preserve"> Группу во взаимодействии с Бюро рассмотреть документ о региональной структуре и составе Группы (</w:t>
      </w:r>
      <w:r w:rsidR="008F0C7A" w:rsidRPr="000610C3">
        <w:rPr>
          <w:sz w:val="20"/>
          <w:lang w:val="en-US"/>
        </w:rPr>
        <w:t>IPBES</w:t>
      </w:r>
      <w:r w:rsidR="008F0C7A" w:rsidRPr="000610C3">
        <w:rPr>
          <w:sz w:val="20"/>
          <w:lang w:val="ru-RU"/>
        </w:rPr>
        <w:t>/1/</w:t>
      </w:r>
      <w:r w:rsidR="008F0C7A" w:rsidRPr="000610C3">
        <w:rPr>
          <w:sz w:val="20"/>
          <w:lang w:val="en-US"/>
        </w:rPr>
        <w:t>INF</w:t>
      </w:r>
      <w:r w:rsidR="008F0C7A" w:rsidRPr="000610C3">
        <w:rPr>
          <w:sz w:val="20"/>
          <w:lang w:val="ru-RU"/>
        </w:rPr>
        <w:t xml:space="preserve">/7) и вынести на рассмотрение Пленума на его второй сессии рекомендацию </w:t>
      </w:r>
      <w:r w:rsidR="00CB4935" w:rsidRPr="000610C3">
        <w:rPr>
          <w:sz w:val="20"/>
          <w:lang w:val="ru-RU"/>
        </w:rPr>
        <w:t>в отношении</w:t>
      </w:r>
      <w:r w:rsidR="008F0C7A" w:rsidRPr="000610C3">
        <w:rPr>
          <w:sz w:val="20"/>
          <w:lang w:val="ru-RU"/>
        </w:rPr>
        <w:t xml:space="preserve"> региональной структур</w:t>
      </w:r>
      <w:r w:rsidR="00CB4935" w:rsidRPr="000610C3">
        <w:rPr>
          <w:sz w:val="20"/>
          <w:lang w:val="ru-RU"/>
        </w:rPr>
        <w:t>ы</w:t>
      </w:r>
      <w:r w:rsidR="008F0C7A" w:rsidRPr="000610C3">
        <w:rPr>
          <w:sz w:val="20"/>
          <w:lang w:val="ru-RU"/>
        </w:rPr>
        <w:t xml:space="preserve"> и состав</w:t>
      </w:r>
      <w:r w:rsidR="00CB4935" w:rsidRPr="000610C3">
        <w:rPr>
          <w:sz w:val="20"/>
          <w:lang w:val="ru-RU"/>
        </w:rPr>
        <w:t>а</w:t>
      </w:r>
      <w:r w:rsidR="008F0C7A" w:rsidRPr="000610C3">
        <w:rPr>
          <w:sz w:val="20"/>
          <w:lang w:val="ru-RU"/>
        </w:rPr>
        <w:t xml:space="preserve"> будущей Группы. Секретариат подготовил актуализированный документ, который был представлен первому одновременному совещанию Группы и Бюро, с изложением возможных подходов к региональному составу Группы и с учетом замечаний, полученных в рамках предшествовавшего процесса обзора в период между</w:t>
      </w:r>
      <w:r w:rsidR="00A66C37" w:rsidRPr="000610C3">
        <w:rPr>
          <w:sz w:val="20"/>
          <w:lang w:val="ru-RU"/>
        </w:rPr>
        <w:t xml:space="preserve"> состоявшейся в Панаме в апреле 2012 года второй сесси</w:t>
      </w:r>
      <w:r w:rsidR="00A26EAE">
        <w:rPr>
          <w:sz w:val="20"/>
          <w:lang w:val="ru-RU"/>
        </w:rPr>
        <w:t>ей</w:t>
      </w:r>
      <w:r w:rsidR="002E0BCF" w:rsidRPr="000610C3">
        <w:rPr>
          <w:sz w:val="20"/>
          <w:lang w:val="ru-RU"/>
        </w:rPr>
        <w:t xml:space="preserve"> пленарного совещания для определения процедур и институциональных механизмов, касающихся Межправительственной научно-политической платформы по биоразнообразию и экосистемным услугам, и первой сесси</w:t>
      </w:r>
      <w:r w:rsidR="00CB4935" w:rsidRPr="000610C3">
        <w:rPr>
          <w:sz w:val="20"/>
          <w:lang w:val="ru-RU"/>
        </w:rPr>
        <w:t>ей</w:t>
      </w:r>
      <w:r w:rsidR="002E0BCF" w:rsidRPr="000610C3">
        <w:rPr>
          <w:sz w:val="20"/>
          <w:lang w:val="ru-RU"/>
        </w:rPr>
        <w:t xml:space="preserve"> Пленума Платформы, прошедшей в Бонне, Германия, в январе 2013 года. Также был представлен справочный </w:t>
      </w:r>
      <w:r w:rsidR="00CB4935" w:rsidRPr="000610C3">
        <w:rPr>
          <w:sz w:val="20"/>
          <w:lang w:val="ru-RU"/>
        </w:rPr>
        <w:t xml:space="preserve">документ </w:t>
      </w:r>
      <w:r w:rsidR="002E0BCF" w:rsidRPr="000610C3">
        <w:rPr>
          <w:sz w:val="20"/>
          <w:lang w:val="ru-RU"/>
        </w:rPr>
        <w:t xml:space="preserve">с изложением различных подходов, применяемых для биогеографической </w:t>
      </w:r>
      <w:r w:rsidR="00CB4935" w:rsidRPr="000610C3">
        <w:rPr>
          <w:sz w:val="20"/>
          <w:lang w:val="ru-RU"/>
        </w:rPr>
        <w:t xml:space="preserve">региональной </w:t>
      </w:r>
      <w:r w:rsidR="002E0BCF" w:rsidRPr="000610C3">
        <w:rPr>
          <w:sz w:val="20"/>
          <w:lang w:val="ru-RU"/>
        </w:rPr>
        <w:t>классификации.</w:t>
      </w:r>
    </w:p>
    <w:p w:rsidR="006E2E0E" w:rsidRPr="006E2E0E" w:rsidRDefault="006E2E0E" w:rsidP="000610C3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6E2E0E">
        <w:rPr>
          <w:b/>
          <w:sz w:val="28"/>
          <w:szCs w:val="28"/>
          <w:lang w:val="ru-RU"/>
        </w:rPr>
        <w:tab/>
      </w:r>
      <w:r w:rsidR="00BA381A">
        <w:rPr>
          <w:b/>
          <w:sz w:val="28"/>
          <w:szCs w:val="28"/>
          <w:lang w:val="en-US"/>
        </w:rPr>
        <w:t>I</w:t>
      </w:r>
      <w:r w:rsidR="002E0BCF">
        <w:rPr>
          <w:b/>
          <w:sz w:val="28"/>
          <w:szCs w:val="28"/>
          <w:lang w:val="en-US"/>
        </w:rPr>
        <w:t>I</w:t>
      </w:r>
      <w:r w:rsidRPr="006E2E0E">
        <w:rPr>
          <w:b/>
          <w:sz w:val="28"/>
          <w:szCs w:val="28"/>
          <w:lang w:val="en-US"/>
        </w:rPr>
        <w:t>I</w:t>
      </w:r>
      <w:r w:rsidRPr="002E0BCF">
        <w:rPr>
          <w:b/>
          <w:sz w:val="28"/>
          <w:szCs w:val="28"/>
          <w:lang w:val="ru-RU"/>
        </w:rPr>
        <w:t>.</w:t>
      </w:r>
      <w:r w:rsidRPr="002E0BCF">
        <w:rPr>
          <w:b/>
          <w:sz w:val="28"/>
          <w:szCs w:val="28"/>
          <w:lang w:val="ru-RU"/>
        </w:rPr>
        <w:tab/>
      </w:r>
      <w:r w:rsidR="00D45049">
        <w:rPr>
          <w:b/>
          <w:sz w:val="28"/>
          <w:szCs w:val="28"/>
          <w:lang w:val="ru-RU"/>
        </w:rPr>
        <w:t>Рекомендация Многодисциплинарной группы экспертов и Бюро в отношении региональной структуры и состава будущей Группы</w:t>
      </w:r>
    </w:p>
    <w:p w:rsidR="006E2E0E" w:rsidRPr="000610C3" w:rsidRDefault="00D45049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6.</w:t>
      </w:r>
      <w:r w:rsidRPr="000610C3">
        <w:rPr>
          <w:sz w:val="20"/>
          <w:lang w:val="ru-RU"/>
        </w:rPr>
        <w:tab/>
        <w:t xml:space="preserve">В ходе обсуждения вариантов </w:t>
      </w:r>
      <w:r w:rsidR="00CB4935" w:rsidRPr="000610C3">
        <w:rPr>
          <w:sz w:val="20"/>
          <w:lang w:val="ru-RU"/>
        </w:rPr>
        <w:t xml:space="preserve">для </w:t>
      </w:r>
      <w:r w:rsidRPr="000610C3">
        <w:rPr>
          <w:sz w:val="20"/>
          <w:lang w:val="ru-RU"/>
        </w:rPr>
        <w:t xml:space="preserve">региональной структуры и состава будущей Группы Многодисциплинарная группа экспертов и Бюро признали наличие </w:t>
      </w:r>
      <w:r w:rsidR="00CB4935" w:rsidRPr="000610C3">
        <w:rPr>
          <w:sz w:val="20"/>
          <w:lang w:val="ru-RU"/>
        </w:rPr>
        <w:t>ряда</w:t>
      </w:r>
      <w:r w:rsidRPr="000610C3">
        <w:rPr>
          <w:sz w:val="20"/>
          <w:lang w:val="ru-RU"/>
        </w:rPr>
        <w:t xml:space="preserve"> сложных вопросов, в</w:t>
      </w:r>
      <w:r w:rsidR="00CB4935" w:rsidRPr="000610C3">
        <w:rPr>
          <w:sz w:val="20"/>
          <w:lang w:val="ru-RU"/>
        </w:rPr>
        <w:t xml:space="preserve"> том числе</w:t>
      </w:r>
      <w:r w:rsidRPr="000610C3">
        <w:rPr>
          <w:sz w:val="20"/>
          <w:lang w:val="ru-RU"/>
        </w:rPr>
        <w:t>:</w:t>
      </w:r>
    </w:p>
    <w:p w:rsidR="00D45049" w:rsidRPr="000610C3" w:rsidRDefault="00D45049" w:rsidP="000610C3">
      <w:pPr>
        <w:spacing w:after="120"/>
        <w:ind w:left="1247" w:firstLine="624"/>
        <w:rPr>
          <w:sz w:val="20"/>
          <w:lang w:val="ru-RU"/>
        </w:rPr>
      </w:pPr>
      <w:r w:rsidRPr="000610C3">
        <w:rPr>
          <w:sz w:val="20"/>
          <w:lang w:val="ru-RU"/>
        </w:rPr>
        <w:t>а)</w:t>
      </w:r>
      <w:r w:rsidRPr="000610C3">
        <w:rPr>
          <w:sz w:val="20"/>
          <w:lang w:val="ru-RU"/>
        </w:rPr>
        <w:tab/>
        <w:t>отсутств</w:t>
      </w:r>
      <w:r w:rsidR="00CB4935" w:rsidRPr="000610C3">
        <w:rPr>
          <w:sz w:val="20"/>
          <w:lang w:val="ru-RU"/>
        </w:rPr>
        <w:t>ие</w:t>
      </w:r>
      <w:r w:rsidRPr="000610C3">
        <w:rPr>
          <w:sz w:val="20"/>
          <w:lang w:val="ru-RU"/>
        </w:rPr>
        <w:t xml:space="preserve"> общепризнанно</w:t>
      </w:r>
      <w:r w:rsidR="000B6554" w:rsidRPr="000610C3">
        <w:rPr>
          <w:sz w:val="20"/>
          <w:lang w:val="ru-RU"/>
        </w:rPr>
        <w:t>го</w:t>
      </w:r>
      <w:r w:rsidRPr="000610C3">
        <w:rPr>
          <w:sz w:val="20"/>
          <w:lang w:val="ru-RU"/>
        </w:rPr>
        <w:t xml:space="preserve"> определени</w:t>
      </w:r>
      <w:r w:rsidR="000B6554" w:rsidRPr="000610C3">
        <w:rPr>
          <w:sz w:val="20"/>
          <w:lang w:val="ru-RU"/>
        </w:rPr>
        <w:t>я</w:t>
      </w:r>
      <w:r w:rsidR="00A766C7" w:rsidRPr="000610C3">
        <w:rPr>
          <w:sz w:val="20"/>
          <w:lang w:val="ru-RU"/>
        </w:rPr>
        <w:t xml:space="preserve"> или перечн</w:t>
      </w:r>
      <w:r w:rsidR="000B6554" w:rsidRPr="000610C3">
        <w:rPr>
          <w:sz w:val="20"/>
          <w:lang w:val="ru-RU"/>
        </w:rPr>
        <w:t>я</w:t>
      </w:r>
      <w:r w:rsidR="00A766C7" w:rsidRPr="000610C3">
        <w:rPr>
          <w:sz w:val="20"/>
          <w:lang w:val="ru-RU"/>
        </w:rPr>
        <w:t xml:space="preserve"> </w:t>
      </w:r>
      <w:r w:rsidR="000B6554" w:rsidRPr="000610C3">
        <w:rPr>
          <w:sz w:val="20"/>
          <w:lang w:val="ru-RU"/>
        </w:rPr>
        <w:t xml:space="preserve">для </w:t>
      </w:r>
      <w:r w:rsidR="00A766C7" w:rsidRPr="000610C3">
        <w:rPr>
          <w:sz w:val="20"/>
          <w:lang w:val="ru-RU"/>
        </w:rPr>
        <w:t>биогеографического распределения по регионам, при этом разными форумами используются различные подходы, основанные на разных систематических категориях и других параметрах;</w:t>
      </w:r>
    </w:p>
    <w:p w:rsidR="00D45049" w:rsidRPr="000610C3" w:rsidRDefault="00D45049" w:rsidP="000610C3">
      <w:pPr>
        <w:spacing w:after="120"/>
        <w:ind w:left="1247" w:firstLine="624"/>
        <w:rPr>
          <w:sz w:val="20"/>
          <w:lang w:val="ru-RU"/>
        </w:rPr>
      </w:pPr>
      <w:r w:rsidRPr="000610C3">
        <w:rPr>
          <w:sz w:val="20"/>
          <w:lang w:val="en-US"/>
        </w:rPr>
        <w:t>b</w:t>
      </w:r>
      <w:r w:rsidRPr="000610C3">
        <w:rPr>
          <w:sz w:val="20"/>
          <w:lang w:val="ru-RU"/>
        </w:rPr>
        <w:t>)</w:t>
      </w:r>
      <w:r w:rsidRPr="000610C3">
        <w:rPr>
          <w:sz w:val="20"/>
          <w:lang w:val="ru-RU"/>
        </w:rPr>
        <w:tab/>
      </w:r>
      <w:r w:rsidR="00C973BE" w:rsidRPr="000610C3">
        <w:rPr>
          <w:sz w:val="20"/>
          <w:lang w:val="ru-RU"/>
        </w:rPr>
        <w:t>отсутств</w:t>
      </w:r>
      <w:r w:rsidR="000B6554" w:rsidRPr="000610C3">
        <w:rPr>
          <w:sz w:val="20"/>
          <w:lang w:val="ru-RU"/>
        </w:rPr>
        <w:t>ие</w:t>
      </w:r>
      <w:r w:rsidR="00C973BE" w:rsidRPr="000610C3">
        <w:rPr>
          <w:sz w:val="20"/>
          <w:lang w:val="ru-RU"/>
        </w:rPr>
        <w:t xml:space="preserve"> едино</w:t>
      </w:r>
      <w:r w:rsidR="000B6554" w:rsidRPr="000610C3">
        <w:rPr>
          <w:sz w:val="20"/>
          <w:lang w:val="ru-RU"/>
        </w:rPr>
        <w:t>го</w:t>
      </w:r>
      <w:r w:rsidR="00A26EAE">
        <w:rPr>
          <w:sz w:val="20"/>
          <w:lang w:val="ru-RU"/>
        </w:rPr>
        <w:t xml:space="preserve"> понимания</w:t>
      </w:r>
      <w:r w:rsidR="00C973BE" w:rsidRPr="000610C3">
        <w:rPr>
          <w:sz w:val="20"/>
          <w:lang w:val="ru-RU"/>
        </w:rPr>
        <w:t xml:space="preserve"> или согласи</w:t>
      </w:r>
      <w:r w:rsidR="000B6554" w:rsidRPr="000610C3">
        <w:rPr>
          <w:sz w:val="20"/>
          <w:lang w:val="ru-RU"/>
        </w:rPr>
        <w:t>я</w:t>
      </w:r>
      <w:r w:rsidR="00C973BE" w:rsidRPr="000610C3">
        <w:rPr>
          <w:sz w:val="20"/>
          <w:lang w:val="ru-RU"/>
        </w:rPr>
        <w:t xml:space="preserve"> относительно факторов, таких как биогеография, распределение экосистемных услуг, экономика, демография, </w:t>
      </w:r>
      <w:r w:rsidR="006C02B3" w:rsidRPr="000610C3">
        <w:rPr>
          <w:sz w:val="20"/>
          <w:lang w:val="ru-RU"/>
        </w:rPr>
        <w:t>территория</w:t>
      </w:r>
      <w:r w:rsidR="00C973BE" w:rsidRPr="000610C3">
        <w:rPr>
          <w:sz w:val="20"/>
          <w:lang w:val="ru-RU"/>
        </w:rPr>
        <w:t xml:space="preserve">, число </w:t>
      </w:r>
      <w:r w:rsidR="006C02B3" w:rsidRPr="000610C3">
        <w:rPr>
          <w:sz w:val="20"/>
          <w:lang w:val="ru-RU"/>
        </w:rPr>
        <w:t xml:space="preserve">входящих в состав региона </w:t>
      </w:r>
      <w:r w:rsidR="00C973BE" w:rsidRPr="000610C3">
        <w:rPr>
          <w:sz w:val="20"/>
          <w:lang w:val="ru-RU"/>
        </w:rPr>
        <w:t>стран</w:t>
      </w:r>
      <w:r w:rsidR="00BA5A19" w:rsidRPr="000610C3">
        <w:rPr>
          <w:sz w:val="20"/>
          <w:lang w:val="ru-RU"/>
        </w:rPr>
        <w:t xml:space="preserve"> и потребности </w:t>
      </w:r>
      <w:r w:rsidR="006C02B3" w:rsidRPr="000610C3">
        <w:rPr>
          <w:sz w:val="20"/>
          <w:lang w:val="ru-RU"/>
        </w:rPr>
        <w:t xml:space="preserve">различных регионов </w:t>
      </w:r>
      <w:r w:rsidR="00BA5A19" w:rsidRPr="000610C3">
        <w:rPr>
          <w:sz w:val="20"/>
          <w:lang w:val="ru-RU"/>
        </w:rPr>
        <w:t>в создании потенциала, которые следует учитывать при решении вопроса о региональной структуре и составе Группы;</w:t>
      </w:r>
    </w:p>
    <w:p w:rsidR="00D45049" w:rsidRPr="000610C3" w:rsidRDefault="00D45049" w:rsidP="000610C3">
      <w:pPr>
        <w:spacing w:after="120"/>
        <w:ind w:left="1247" w:firstLine="624"/>
        <w:rPr>
          <w:sz w:val="20"/>
          <w:lang w:val="ru-RU"/>
        </w:rPr>
      </w:pPr>
      <w:r w:rsidRPr="000610C3">
        <w:rPr>
          <w:sz w:val="20"/>
          <w:lang w:val="ru-RU"/>
        </w:rPr>
        <w:t>с)</w:t>
      </w:r>
      <w:r w:rsidRPr="000610C3">
        <w:rPr>
          <w:sz w:val="20"/>
          <w:lang w:val="ru-RU"/>
        </w:rPr>
        <w:tab/>
      </w:r>
      <w:r w:rsidR="00BA5A19" w:rsidRPr="000610C3">
        <w:rPr>
          <w:sz w:val="20"/>
          <w:lang w:val="ru-RU"/>
        </w:rPr>
        <w:t>общие задачи обеспечения баланса с точки зрения дисциплин, пол</w:t>
      </w:r>
      <w:r w:rsidR="006C02B3" w:rsidRPr="000610C3">
        <w:rPr>
          <w:sz w:val="20"/>
          <w:lang w:val="ru-RU"/>
        </w:rPr>
        <w:t>а</w:t>
      </w:r>
      <w:r w:rsidR="00BA5A19" w:rsidRPr="000610C3">
        <w:rPr>
          <w:sz w:val="20"/>
          <w:lang w:val="ru-RU"/>
        </w:rPr>
        <w:t xml:space="preserve"> и тематических направлений в составе Группы (помимо регионального баланса) не решаются</w:t>
      </w:r>
      <w:r w:rsidR="006C02B3" w:rsidRPr="000610C3">
        <w:rPr>
          <w:sz w:val="20"/>
          <w:lang w:val="ru-RU"/>
        </w:rPr>
        <w:t xml:space="preserve">, если не применять принятое в </w:t>
      </w:r>
      <w:r w:rsidR="00BA5A19" w:rsidRPr="000610C3">
        <w:rPr>
          <w:sz w:val="20"/>
          <w:lang w:val="ru-RU"/>
        </w:rPr>
        <w:t>Организации Объединенных Наций</w:t>
      </w:r>
      <w:r w:rsidR="006C02B3" w:rsidRPr="000610C3">
        <w:rPr>
          <w:sz w:val="20"/>
          <w:lang w:val="ru-RU"/>
        </w:rPr>
        <w:t xml:space="preserve"> группирование по регионам</w:t>
      </w:r>
      <w:r w:rsidR="00BA5A19" w:rsidRPr="000610C3">
        <w:rPr>
          <w:sz w:val="20"/>
          <w:lang w:val="ru-RU"/>
        </w:rPr>
        <w:t>, а новая региональная структура может привести к дальнейшим общим осложнениям с точки зрения баланса дисциплин и пол</w:t>
      </w:r>
      <w:r w:rsidR="006C02B3" w:rsidRPr="000610C3">
        <w:rPr>
          <w:sz w:val="20"/>
          <w:lang w:val="ru-RU"/>
        </w:rPr>
        <w:t>а</w:t>
      </w:r>
      <w:r w:rsidR="00BA5A19" w:rsidRPr="000610C3">
        <w:rPr>
          <w:sz w:val="20"/>
          <w:lang w:val="ru-RU"/>
        </w:rPr>
        <w:t>. Этим вопросам посвящены рекомендации Бюро в отношении административного процесса для комплектования в целях достижения баланса в составе будущей Группы (см. раздел </w:t>
      </w:r>
      <w:r w:rsidR="00BA381A">
        <w:rPr>
          <w:sz w:val="20"/>
          <w:lang w:val="en-US"/>
        </w:rPr>
        <w:t>IV</w:t>
      </w:r>
      <w:r w:rsidR="00BA5A19" w:rsidRPr="000610C3">
        <w:rPr>
          <w:sz w:val="20"/>
          <w:lang w:val="ru-RU"/>
        </w:rPr>
        <w:t>);</w:t>
      </w:r>
    </w:p>
    <w:p w:rsidR="00D45049" w:rsidRPr="000610C3" w:rsidRDefault="00D45049" w:rsidP="000610C3">
      <w:pPr>
        <w:spacing w:after="120"/>
        <w:ind w:left="1247" w:firstLine="624"/>
        <w:rPr>
          <w:sz w:val="20"/>
          <w:lang w:val="ru-RU"/>
        </w:rPr>
      </w:pPr>
      <w:r w:rsidRPr="000610C3">
        <w:rPr>
          <w:sz w:val="20"/>
          <w:lang w:val="en-US"/>
        </w:rPr>
        <w:t>d</w:t>
      </w:r>
      <w:r w:rsidRPr="000610C3">
        <w:rPr>
          <w:sz w:val="20"/>
          <w:lang w:val="ru-RU"/>
        </w:rPr>
        <w:t>)</w:t>
      </w:r>
      <w:r w:rsidRPr="000610C3">
        <w:rPr>
          <w:sz w:val="20"/>
          <w:lang w:val="ru-RU"/>
        </w:rPr>
        <w:tab/>
      </w:r>
      <w:proofErr w:type="gramStart"/>
      <w:r w:rsidR="00BA5A19" w:rsidRPr="000610C3">
        <w:rPr>
          <w:sz w:val="20"/>
          <w:lang w:val="ru-RU"/>
        </w:rPr>
        <w:t>внедрение</w:t>
      </w:r>
      <w:proofErr w:type="gramEnd"/>
      <w:r w:rsidR="00BA5A19" w:rsidRPr="000610C3">
        <w:rPr>
          <w:sz w:val="20"/>
          <w:lang w:val="ru-RU"/>
        </w:rPr>
        <w:t xml:space="preserve"> результатов деятельности Платформы, скорее всего, потребует </w:t>
      </w:r>
      <w:r w:rsidR="00C07EE0" w:rsidRPr="000610C3">
        <w:rPr>
          <w:sz w:val="20"/>
          <w:lang w:val="ru-RU"/>
        </w:rPr>
        <w:t>проведения</w:t>
      </w:r>
      <w:r w:rsidR="00BA5A19" w:rsidRPr="000610C3">
        <w:rPr>
          <w:sz w:val="20"/>
          <w:lang w:val="ru-RU"/>
        </w:rPr>
        <w:t xml:space="preserve"> работ</w:t>
      </w:r>
      <w:r w:rsidR="00C07EE0" w:rsidRPr="000610C3">
        <w:rPr>
          <w:sz w:val="20"/>
          <w:lang w:val="ru-RU"/>
        </w:rPr>
        <w:t>ы</w:t>
      </w:r>
      <w:r w:rsidR="00BA5A19" w:rsidRPr="000610C3">
        <w:rPr>
          <w:sz w:val="20"/>
          <w:lang w:val="ru-RU"/>
        </w:rPr>
        <w:t xml:space="preserve"> на межрегиональном уровне, независимо от того, как определяются </w:t>
      </w:r>
      <w:r w:rsidR="00BA5A19" w:rsidRPr="000610C3">
        <w:rPr>
          <w:sz w:val="20"/>
          <w:lang w:val="ru-RU"/>
        </w:rPr>
        <w:lastRenderedPageBreak/>
        <w:t>границы регион</w:t>
      </w:r>
      <w:r w:rsidR="00C07EE0" w:rsidRPr="000610C3">
        <w:rPr>
          <w:sz w:val="20"/>
          <w:lang w:val="ru-RU"/>
        </w:rPr>
        <w:t>ов</w:t>
      </w:r>
      <w:r w:rsidR="00BA5A19" w:rsidRPr="000610C3">
        <w:rPr>
          <w:sz w:val="20"/>
          <w:lang w:val="ru-RU"/>
        </w:rPr>
        <w:t>. Результаты работы, относящейся</w:t>
      </w:r>
      <w:r w:rsidR="00C07EE0" w:rsidRPr="000610C3">
        <w:rPr>
          <w:sz w:val="20"/>
          <w:lang w:val="ru-RU"/>
        </w:rPr>
        <w:t>, в частности,</w:t>
      </w:r>
      <w:r w:rsidR="00BA5A19" w:rsidRPr="000610C3">
        <w:rPr>
          <w:sz w:val="20"/>
          <w:lang w:val="ru-RU"/>
        </w:rPr>
        <w:t xml:space="preserve"> к вопросам поддержки в сфере политики и создания потенциала, зачастую являются наиболее релевантными</w:t>
      </w:r>
      <w:r w:rsidR="00C07EE0" w:rsidRPr="000610C3">
        <w:rPr>
          <w:sz w:val="20"/>
          <w:lang w:val="ru-RU"/>
        </w:rPr>
        <w:t>, например,</w:t>
      </w:r>
      <w:r w:rsidR="00BA5A19" w:rsidRPr="000610C3">
        <w:rPr>
          <w:sz w:val="20"/>
          <w:lang w:val="ru-RU"/>
        </w:rPr>
        <w:t xml:space="preserve"> для небиогеографических регионов.</w:t>
      </w:r>
    </w:p>
    <w:p w:rsidR="00D45049" w:rsidRPr="000610C3" w:rsidRDefault="00BA5A19" w:rsidP="000610C3">
      <w:pPr>
        <w:spacing w:after="24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7.</w:t>
      </w:r>
      <w:r w:rsidRPr="000610C3">
        <w:rPr>
          <w:sz w:val="20"/>
          <w:lang w:val="ru-RU"/>
        </w:rPr>
        <w:tab/>
        <w:t xml:space="preserve">С учетом указанных соображений Группа и Бюро рекомендуют придерживаться </w:t>
      </w:r>
      <w:r w:rsidR="00C07EE0" w:rsidRPr="000610C3">
        <w:rPr>
          <w:sz w:val="20"/>
          <w:lang w:val="ru-RU"/>
        </w:rPr>
        <w:t>принятого в</w:t>
      </w:r>
      <w:r w:rsidRPr="000610C3">
        <w:rPr>
          <w:sz w:val="20"/>
          <w:lang w:val="ru-RU"/>
        </w:rPr>
        <w:t xml:space="preserve"> Организации Объединенных Наций </w:t>
      </w:r>
      <w:r w:rsidR="00C07EE0" w:rsidRPr="000610C3">
        <w:rPr>
          <w:sz w:val="20"/>
          <w:lang w:val="ru-RU"/>
        </w:rPr>
        <w:t xml:space="preserve">группирования по регионам </w:t>
      </w:r>
      <w:r w:rsidRPr="000610C3">
        <w:rPr>
          <w:sz w:val="20"/>
          <w:lang w:val="ru-RU"/>
        </w:rPr>
        <w:t>для комплектования</w:t>
      </w:r>
      <w:r w:rsidR="005B69EE" w:rsidRPr="000610C3">
        <w:rPr>
          <w:sz w:val="20"/>
          <w:lang w:val="ru-RU"/>
        </w:rPr>
        <w:t xml:space="preserve"> формируемого состава Группы и дополнительно рассмотреть вопрос о региональной структуре Группы в свете опыта, полученного в результате осуществления первоначальной программы работы 2014</w:t>
      </w:r>
      <w:r w:rsidR="005B69EE" w:rsidRPr="000610C3">
        <w:rPr>
          <w:sz w:val="20"/>
          <w:lang w:val="ru-RU"/>
        </w:rPr>
        <w:noBreakHyphen/>
        <w:t>2018 годов. Кроме того, Группа и Бюро считают, что работа внутри региональных</w:t>
      </w:r>
      <w:r w:rsidR="00E029B9" w:rsidRPr="000610C3">
        <w:rPr>
          <w:sz w:val="20"/>
          <w:lang w:val="ru-RU"/>
        </w:rPr>
        <w:t xml:space="preserve"> групп Организации Объединенных Наций и</w:t>
      </w:r>
      <w:r w:rsidR="00C07EE0" w:rsidRPr="000610C3">
        <w:rPr>
          <w:sz w:val="20"/>
          <w:lang w:val="ru-RU"/>
        </w:rPr>
        <w:t>,</w:t>
      </w:r>
      <w:r w:rsidR="00E029B9" w:rsidRPr="000610C3">
        <w:rPr>
          <w:sz w:val="20"/>
          <w:lang w:val="ru-RU"/>
        </w:rPr>
        <w:t xml:space="preserve"> по мере необходимости</w:t>
      </w:r>
      <w:r w:rsidR="00C07EE0" w:rsidRPr="000610C3">
        <w:rPr>
          <w:sz w:val="20"/>
          <w:lang w:val="ru-RU"/>
        </w:rPr>
        <w:t>,</w:t>
      </w:r>
      <w:r w:rsidR="00E029B9" w:rsidRPr="000610C3">
        <w:rPr>
          <w:sz w:val="20"/>
          <w:lang w:val="ru-RU"/>
        </w:rPr>
        <w:t xml:space="preserve"> во взаимодействии между ними </w:t>
      </w:r>
      <w:r w:rsidR="00C07EE0" w:rsidRPr="000610C3">
        <w:rPr>
          <w:sz w:val="20"/>
          <w:lang w:val="ru-RU"/>
        </w:rPr>
        <w:t xml:space="preserve">позволит </w:t>
      </w:r>
      <w:r w:rsidR="00E029B9" w:rsidRPr="000610C3">
        <w:rPr>
          <w:sz w:val="20"/>
          <w:lang w:val="ru-RU"/>
        </w:rPr>
        <w:t>обеспечит</w:t>
      </w:r>
      <w:r w:rsidR="00C07EE0" w:rsidRPr="000610C3">
        <w:rPr>
          <w:sz w:val="20"/>
          <w:lang w:val="ru-RU"/>
        </w:rPr>
        <w:t>ь</w:t>
      </w:r>
      <w:r w:rsidR="00417C04" w:rsidRPr="000610C3">
        <w:rPr>
          <w:sz w:val="20"/>
          <w:lang w:val="ru-RU"/>
        </w:rPr>
        <w:t xml:space="preserve"> согласованные на интеллектуальном и биогеографическом уровне </w:t>
      </w:r>
      <w:r w:rsidR="00E029B9" w:rsidRPr="000610C3">
        <w:rPr>
          <w:sz w:val="20"/>
          <w:lang w:val="ru-RU"/>
        </w:rPr>
        <w:t>региональные и субрегиональные оценки и будет содействовать другим мероприятиям при осуществлении программы работы.</w:t>
      </w:r>
      <w:r w:rsidR="0034536F" w:rsidRPr="000610C3">
        <w:rPr>
          <w:sz w:val="20"/>
          <w:lang w:val="ru-RU"/>
        </w:rPr>
        <w:t xml:space="preserve"> Например, проводимая в Африке или Латинской Америке и Карибском бассейне региональная оценка может включать 3</w:t>
      </w:r>
      <w:r w:rsidR="0034536F" w:rsidRPr="000610C3">
        <w:rPr>
          <w:sz w:val="20"/>
          <w:lang w:val="ru-RU"/>
        </w:rPr>
        <w:noBreakHyphen/>
        <w:t>6 субрегиональны</w:t>
      </w:r>
      <w:r w:rsidR="00417C04" w:rsidRPr="000610C3">
        <w:rPr>
          <w:sz w:val="20"/>
          <w:lang w:val="ru-RU"/>
        </w:rPr>
        <w:t>х</w:t>
      </w:r>
      <w:r w:rsidR="0034536F" w:rsidRPr="000610C3">
        <w:rPr>
          <w:sz w:val="20"/>
          <w:lang w:val="ru-RU"/>
        </w:rPr>
        <w:t xml:space="preserve"> и экорегиональны</w:t>
      </w:r>
      <w:r w:rsidR="00417C04" w:rsidRPr="000610C3">
        <w:rPr>
          <w:sz w:val="20"/>
          <w:lang w:val="ru-RU"/>
        </w:rPr>
        <w:t>х</w:t>
      </w:r>
      <w:r w:rsidR="0034536F" w:rsidRPr="000610C3">
        <w:rPr>
          <w:sz w:val="20"/>
          <w:lang w:val="ru-RU"/>
        </w:rPr>
        <w:t xml:space="preserve"> оцен</w:t>
      </w:r>
      <w:r w:rsidR="00417C04" w:rsidRPr="000610C3">
        <w:rPr>
          <w:sz w:val="20"/>
          <w:lang w:val="ru-RU"/>
        </w:rPr>
        <w:t>о</w:t>
      </w:r>
      <w:r w:rsidR="0034536F" w:rsidRPr="000610C3">
        <w:rPr>
          <w:sz w:val="20"/>
          <w:lang w:val="ru-RU"/>
        </w:rPr>
        <w:t xml:space="preserve">к в рамках этого региона, </w:t>
      </w:r>
      <w:r w:rsidR="00417C04" w:rsidRPr="000610C3">
        <w:rPr>
          <w:sz w:val="20"/>
          <w:lang w:val="ru-RU"/>
        </w:rPr>
        <w:t>в то время как</w:t>
      </w:r>
      <w:r w:rsidR="0034536F" w:rsidRPr="000610C3">
        <w:rPr>
          <w:sz w:val="20"/>
          <w:lang w:val="ru-RU"/>
        </w:rPr>
        <w:t xml:space="preserve"> региональн</w:t>
      </w:r>
      <w:r w:rsidR="00417C04" w:rsidRPr="000610C3">
        <w:rPr>
          <w:sz w:val="20"/>
          <w:lang w:val="ru-RU"/>
        </w:rPr>
        <w:t>ой</w:t>
      </w:r>
      <w:r w:rsidR="0034536F" w:rsidRPr="000610C3">
        <w:rPr>
          <w:sz w:val="20"/>
          <w:lang w:val="ru-RU"/>
        </w:rPr>
        <w:t xml:space="preserve"> или субрегиональн</w:t>
      </w:r>
      <w:r w:rsidR="00417C04" w:rsidRPr="000610C3">
        <w:rPr>
          <w:sz w:val="20"/>
          <w:lang w:val="ru-RU"/>
        </w:rPr>
        <w:t>ой</w:t>
      </w:r>
      <w:r w:rsidR="0034536F" w:rsidRPr="000610C3">
        <w:rPr>
          <w:sz w:val="20"/>
          <w:lang w:val="ru-RU"/>
        </w:rPr>
        <w:t xml:space="preserve"> оценк</w:t>
      </w:r>
      <w:r w:rsidR="00417C04" w:rsidRPr="000610C3">
        <w:rPr>
          <w:sz w:val="20"/>
          <w:lang w:val="ru-RU"/>
        </w:rPr>
        <w:t>ой</w:t>
      </w:r>
      <w:r w:rsidR="0034536F" w:rsidRPr="000610C3">
        <w:rPr>
          <w:sz w:val="20"/>
          <w:lang w:val="ru-RU"/>
        </w:rPr>
        <w:t xml:space="preserve"> в Юго</w:t>
      </w:r>
      <w:r w:rsidR="0034536F" w:rsidRPr="000610C3">
        <w:rPr>
          <w:sz w:val="20"/>
          <w:lang w:val="ru-RU"/>
        </w:rPr>
        <w:noBreakHyphen/>
        <w:t>Восточной Азии и Океании мо</w:t>
      </w:r>
      <w:r w:rsidR="00417C04" w:rsidRPr="000610C3">
        <w:rPr>
          <w:sz w:val="20"/>
          <w:lang w:val="ru-RU"/>
        </w:rPr>
        <w:t>гут быть охвачены</w:t>
      </w:r>
      <w:r w:rsidR="0034536F" w:rsidRPr="000610C3">
        <w:rPr>
          <w:sz w:val="20"/>
          <w:lang w:val="ru-RU"/>
        </w:rPr>
        <w:t xml:space="preserve"> </w:t>
      </w:r>
      <w:r w:rsidR="00BA381A" w:rsidRPr="000610C3">
        <w:rPr>
          <w:sz w:val="20"/>
          <w:lang w:val="ru-RU"/>
        </w:rPr>
        <w:t xml:space="preserve">Австралия и </w:t>
      </w:r>
      <w:r w:rsidR="0034536F" w:rsidRPr="000610C3">
        <w:rPr>
          <w:sz w:val="20"/>
          <w:lang w:val="ru-RU"/>
        </w:rPr>
        <w:t>Нов</w:t>
      </w:r>
      <w:r w:rsidR="00417C04" w:rsidRPr="000610C3">
        <w:rPr>
          <w:sz w:val="20"/>
          <w:lang w:val="ru-RU"/>
        </w:rPr>
        <w:t>ая</w:t>
      </w:r>
      <w:r w:rsidR="0034536F" w:rsidRPr="000610C3">
        <w:rPr>
          <w:sz w:val="20"/>
          <w:lang w:val="ru-RU"/>
        </w:rPr>
        <w:t xml:space="preserve"> Зеланди</w:t>
      </w:r>
      <w:r w:rsidR="00417C04" w:rsidRPr="000610C3">
        <w:rPr>
          <w:sz w:val="20"/>
          <w:lang w:val="ru-RU"/>
        </w:rPr>
        <w:t>я</w:t>
      </w:r>
      <w:r w:rsidR="0034536F" w:rsidRPr="000610C3">
        <w:rPr>
          <w:sz w:val="20"/>
          <w:lang w:val="ru-RU"/>
        </w:rPr>
        <w:t>, хотя они являются частью группы государств Западной Европы и других государств для целей комплектования</w:t>
      </w:r>
      <w:r w:rsidR="000C4E3D" w:rsidRPr="000610C3">
        <w:rPr>
          <w:sz w:val="20"/>
          <w:lang w:val="ru-RU"/>
        </w:rPr>
        <w:t xml:space="preserve"> состава Группы. Аналогичным образом, региональные оценки и другие мероприятия в Европе могут объединяться в рамках Восточной и Западной Европы для целей осуществления мероприятий программы работы, несмотря на то, что в Группе </w:t>
      </w:r>
      <w:r w:rsidR="00417C04" w:rsidRPr="000610C3">
        <w:rPr>
          <w:sz w:val="20"/>
          <w:lang w:val="ru-RU"/>
        </w:rPr>
        <w:t xml:space="preserve">эти регионы </w:t>
      </w:r>
      <w:r w:rsidR="000C4E3D" w:rsidRPr="000610C3">
        <w:rPr>
          <w:sz w:val="20"/>
          <w:lang w:val="ru-RU"/>
        </w:rPr>
        <w:t xml:space="preserve">представлены </w:t>
      </w:r>
      <w:r w:rsidR="00417C04" w:rsidRPr="000610C3">
        <w:rPr>
          <w:sz w:val="20"/>
          <w:lang w:val="ru-RU"/>
        </w:rPr>
        <w:t>самостоят</w:t>
      </w:r>
      <w:r w:rsidR="000C4E3D" w:rsidRPr="000610C3">
        <w:rPr>
          <w:sz w:val="20"/>
          <w:lang w:val="ru-RU"/>
        </w:rPr>
        <w:t>ельно.</w:t>
      </w:r>
    </w:p>
    <w:p w:rsidR="006E2E0E" w:rsidRPr="006E2E0E" w:rsidRDefault="006E2E0E" w:rsidP="000610C3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6E2E0E">
        <w:rPr>
          <w:b/>
          <w:sz w:val="28"/>
          <w:szCs w:val="28"/>
          <w:lang w:val="ru-RU"/>
        </w:rPr>
        <w:tab/>
      </w:r>
      <w:r w:rsidR="00BA381A">
        <w:rPr>
          <w:b/>
          <w:sz w:val="28"/>
          <w:szCs w:val="28"/>
          <w:lang w:val="en-US"/>
        </w:rPr>
        <w:t>IV</w:t>
      </w:r>
      <w:r w:rsidRPr="002E0BCF">
        <w:rPr>
          <w:b/>
          <w:sz w:val="28"/>
          <w:szCs w:val="28"/>
          <w:lang w:val="ru-RU"/>
        </w:rPr>
        <w:t>.</w:t>
      </w:r>
      <w:r w:rsidRPr="002E0BCF">
        <w:rPr>
          <w:b/>
          <w:sz w:val="28"/>
          <w:szCs w:val="28"/>
          <w:lang w:val="ru-RU"/>
        </w:rPr>
        <w:tab/>
      </w:r>
      <w:r w:rsidR="00381029">
        <w:rPr>
          <w:b/>
          <w:sz w:val="28"/>
          <w:szCs w:val="28"/>
          <w:lang w:val="ru-RU"/>
        </w:rPr>
        <w:t>Рекомендация Бюро в отношении процедуры для процесса комплектования будущего состава Многодисциплинарной группы экспертов</w:t>
      </w:r>
    </w:p>
    <w:p w:rsidR="006E2E0E" w:rsidRPr="000610C3" w:rsidRDefault="002D4528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8.</w:t>
      </w:r>
      <w:r w:rsidRPr="000610C3">
        <w:rPr>
          <w:sz w:val="20"/>
          <w:lang w:val="ru-RU"/>
        </w:rPr>
        <w:tab/>
      </w:r>
      <w:r w:rsidR="00381029" w:rsidRPr="000610C3">
        <w:rPr>
          <w:sz w:val="20"/>
          <w:lang w:val="ru-RU"/>
        </w:rPr>
        <w:t>Задача процесса комплектования состава Группы должна состоять в обеспечении общего баланса применительно к представительству по географическому, половому, интеллектуальному и дисциплинарному принципу (например, естественные и социальные науки, экономика, этноспецифические и местные знания) и принимать во внимание касающиеся многодисциплинарности</w:t>
      </w:r>
      <w:r w:rsidR="00675EEF" w:rsidRPr="000610C3">
        <w:rPr>
          <w:sz w:val="20"/>
          <w:lang w:val="ru-RU"/>
        </w:rPr>
        <w:t xml:space="preserve"> и связанные с опытом </w:t>
      </w:r>
      <w:r w:rsidR="00C837F7" w:rsidRPr="000610C3">
        <w:rPr>
          <w:sz w:val="20"/>
          <w:lang w:val="ru-RU"/>
        </w:rPr>
        <w:t xml:space="preserve">факторы </w:t>
      </w:r>
      <w:r w:rsidR="00675EEF" w:rsidRPr="000610C3">
        <w:rPr>
          <w:sz w:val="20"/>
          <w:lang w:val="ru-RU"/>
        </w:rPr>
        <w:t>(т.е. все четыре функции Платформы). Приводимые ниже рекомендации направлены на достижение этой цели и со</w:t>
      </w:r>
      <w:r w:rsidR="00381B39" w:rsidRPr="000610C3">
        <w:rPr>
          <w:sz w:val="20"/>
          <w:lang w:val="ru-RU"/>
        </w:rPr>
        <w:t>гласуются с</w:t>
      </w:r>
      <w:r w:rsidR="00675EEF" w:rsidRPr="000610C3">
        <w:rPr>
          <w:sz w:val="20"/>
          <w:lang w:val="ru-RU"/>
        </w:rPr>
        <w:t xml:space="preserve"> рекомендаци</w:t>
      </w:r>
      <w:r w:rsidR="00381B39" w:rsidRPr="000610C3">
        <w:rPr>
          <w:sz w:val="20"/>
          <w:lang w:val="ru-RU"/>
        </w:rPr>
        <w:t>ей</w:t>
      </w:r>
      <w:r w:rsidR="00675EEF" w:rsidRPr="000610C3">
        <w:rPr>
          <w:sz w:val="20"/>
          <w:lang w:val="ru-RU"/>
        </w:rPr>
        <w:t xml:space="preserve"> Бюро и Группы </w:t>
      </w:r>
      <w:r w:rsidR="00381B39" w:rsidRPr="000610C3">
        <w:rPr>
          <w:sz w:val="20"/>
          <w:lang w:val="ru-RU"/>
        </w:rPr>
        <w:t>в отношении</w:t>
      </w:r>
      <w:r w:rsidR="00675EEF" w:rsidRPr="000610C3">
        <w:rPr>
          <w:sz w:val="20"/>
          <w:lang w:val="ru-RU"/>
        </w:rPr>
        <w:t xml:space="preserve"> поддержани</w:t>
      </w:r>
      <w:r w:rsidR="00381B39" w:rsidRPr="000610C3">
        <w:rPr>
          <w:sz w:val="20"/>
          <w:lang w:val="ru-RU"/>
        </w:rPr>
        <w:t>я</w:t>
      </w:r>
      <w:r w:rsidR="00675EEF" w:rsidRPr="000610C3">
        <w:rPr>
          <w:sz w:val="20"/>
          <w:lang w:val="ru-RU"/>
        </w:rPr>
        <w:t xml:space="preserve"> существующего регионального состава Группы (5 членов от каждого региона Организации Объединенных Наций, всего 25 членов) в знак признания </w:t>
      </w:r>
      <w:r w:rsidR="00381B39" w:rsidRPr="000610C3">
        <w:rPr>
          <w:sz w:val="20"/>
          <w:lang w:val="ru-RU"/>
        </w:rPr>
        <w:t>серьезных</w:t>
      </w:r>
      <w:r w:rsidR="00675EEF" w:rsidRPr="000610C3">
        <w:rPr>
          <w:sz w:val="20"/>
          <w:lang w:val="ru-RU"/>
        </w:rPr>
        <w:t xml:space="preserve"> трудных задач в деле реструктуризации</w:t>
      </w:r>
      <w:r w:rsidR="00787508" w:rsidRPr="000610C3">
        <w:rPr>
          <w:sz w:val="20"/>
          <w:lang w:val="ru-RU"/>
        </w:rPr>
        <w:t xml:space="preserve"> состава Группы и отсутстви</w:t>
      </w:r>
      <w:r w:rsidR="00381B39" w:rsidRPr="000610C3">
        <w:rPr>
          <w:sz w:val="20"/>
          <w:lang w:val="ru-RU"/>
        </w:rPr>
        <w:t>я</w:t>
      </w:r>
      <w:r w:rsidR="00787508" w:rsidRPr="000610C3">
        <w:rPr>
          <w:sz w:val="20"/>
          <w:lang w:val="ru-RU"/>
        </w:rPr>
        <w:t xml:space="preserve"> убедительного научного или программного обоснования для этого.</w:t>
      </w:r>
    </w:p>
    <w:p w:rsidR="002D4528" w:rsidRPr="000610C3" w:rsidRDefault="002D4528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9.</w:t>
      </w:r>
      <w:r w:rsidRPr="000610C3">
        <w:rPr>
          <w:sz w:val="20"/>
          <w:lang w:val="ru-RU"/>
        </w:rPr>
        <w:tab/>
      </w:r>
      <w:r w:rsidR="00787508" w:rsidRPr="000610C3">
        <w:rPr>
          <w:sz w:val="20"/>
          <w:lang w:val="ru-RU"/>
        </w:rPr>
        <w:t>В целях обеспечения сбалансированного членского состава будущей Группы предлагается, чтобы члены Бюро представляли каждый из регионов Организации Объединенных Наций в процессе составления сбалансированного перечня потенциальных членов Группы для рассмотрения и окончательного укомплектования Пленумом. Членам и наблюдателям Платформы следует представить свои соответствующие региональные списки кандидатур потенциальных членов Группы в сроки, которые позволят обеспечить должное рассмотрение членами Бюро.</w:t>
      </w:r>
    </w:p>
    <w:p w:rsidR="002D4528" w:rsidRPr="000610C3" w:rsidRDefault="002D4528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10.</w:t>
      </w:r>
      <w:r w:rsidRPr="000610C3">
        <w:rPr>
          <w:sz w:val="20"/>
          <w:lang w:val="ru-RU"/>
        </w:rPr>
        <w:tab/>
      </w:r>
      <w:r w:rsidR="00481B65" w:rsidRPr="000610C3">
        <w:rPr>
          <w:sz w:val="20"/>
          <w:lang w:val="ru-RU"/>
        </w:rPr>
        <w:t>В качестве</w:t>
      </w:r>
      <w:r w:rsidR="00386D51" w:rsidRPr="000610C3">
        <w:rPr>
          <w:sz w:val="20"/>
          <w:lang w:val="ru-RU"/>
        </w:rPr>
        <w:t xml:space="preserve"> первого шага каждый регион выдвинет кандидатуры восьми потенциальных членов Группы с соблюдением соответствующего баланса с точки зрения интеллектуальных</w:t>
      </w:r>
      <w:r w:rsidR="004150BB" w:rsidRPr="000610C3">
        <w:rPr>
          <w:sz w:val="20"/>
          <w:lang w:val="ru-RU"/>
        </w:rPr>
        <w:t xml:space="preserve">, дисциплинарных и тематических соображений, систем знаний и пола. Выдвинутые </w:t>
      </w:r>
      <w:r w:rsidR="00A26EAE">
        <w:rPr>
          <w:sz w:val="20"/>
          <w:lang w:val="ru-RU"/>
        </w:rPr>
        <w:t>5 </w:t>
      </w:r>
      <w:r w:rsidR="004150BB" w:rsidRPr="000610C3">
        <w:rPr>
          <w:sz w:val="20"/>
          <w:lang w:val="ru-RU"/>
        </w:rPr>
        <w:t>регионами кандидатуры войдут в общий короткий список из 40 потенциа</w:t>
      </w:r>
      <w:r w:rsidR="00133949" w:rsidRPr="000610C3">
        <w:rPr>
          <w:sz w:val="20"/>
          <w:lang w:val="ru-RU"/>
        </w:rPr>
        <w:t>ль</w:t>
      </w:r>
      <w:r w:rsidR="004150BB" w:rsidRPr="000610C3">
        <w:rPr>
          <w:sz w:val="20"/>
          <w:lang w:val="ru-RU"/>
        </w:rPr>
        <w:t xml:space="preserve">ных членов. Каждый регион </w:t>
      </w:r>
      <w:r w:rsidR="00262A08" w:rsidRPr="000610C3">
        <w:rPr>
          <w:sz w:val="20"/>
          <w:lang w:val="ru-RU"/>
        </w:rPr>
        <w:t>определит</w:t>
      </w:r>
      <w:r w:rsidR="004150BB" w:rsidRPr="000610C3">
        <w:rPr>
          <w:sz w:val="20"/>
          <w:lang w:val="ru-RU"/>
        </w:rPr>
        <w:t xml:space="preserve"> три предпочтительные кандидатуры из восьми. Эти три кандидата будут автоматически включены в окончательный</w:t>
      </w:r>
      <w:r w:rsidR="009C4EEE" w:rsidRPr="000610C3">
        <w:rPr>
          <w:sz w:val="20"/>
          <w:lang w:val="ru-RU"/>
        </w:rPr>
        <w:t xml:space="preserve"> предлагаемый перечень кандидатов без возражений, при условии, что эти кандидатуры способствуют обеспечению указанного выше баланса и что каждый кандидат соответствует критериям, предусмотренным правилами процедуры для членов Группы, включая критерии, касающиеся понимания научно-политических процессов. Каждый регион может самостоятельно определять свой собственный процесс для внесения кандидатов в короткий список, при этом такой процесс может включать общение с заинтересованными сторонами на предмет выдвижения кандидатур и может быть завершен в рамках однодневной региональной консультации, проводимой непосредственно перед сессией Пленума.</w:t>
      </w:r>
    </w:p>
    <w:p w:rsidR="002D4528" w:rsidRPr="000610C3" w:rsidRDefault="002D4528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11.</w:t>
      </w:r>
      <w:r w:rsidRPr="000610C3">
        <w:rPr>
          <w:sz w:val="20"/>
          <w:lang w:val="ru-RU"/>
        </w:rPr>
        <w:tab/>
      </w:r>
      <w:r w:rsidR="003E4142" w:rsidRPr="000610C3">
        <w:rPr>
          <w:sz w:val="20"/>
          <w:lang w:val="ru-RU"/>
        </w:rPr>
        <w:t>Затем Бюро, опираясь на консультации</w:t>
      </w:r>
      <w:r w:rsidR="00DB5DCD" w:rsidRPr="000610C3">
        <w:rPr>
          <w:sz w:val="20"/>
          <w:lang w:val="ru-RU"/>
        </w:rPr>
        <w:t>,</w:t>
      </w:r>
      <w:r w:rsidR="003E4142" w:rsidRPr="000610C3">
        <w:rPr>
          <w:sz w:val="20"/>
          <w:lang w:val="ru-RU"/>
        </w:rPr>
        <w:t xml:space="preserve"> по мере необхо</w:t>
      </w:r>
      <w:r w:rsidR="007E6BE6" w:rsidRPr="000610C3">
        <w:rPr>
          <w:sz w:val="20"/>
          <w:lang w:val="ru-RU"/>
        </w:rPr>
        <w:t>димости</w:t>
      </w:r>
      <w:r w:rsidR="00DB5DCD" w:rsidRPr="000610C3">
        <w:rPr>
          <w:sz w:val="20"/>
          <w:lang w:val="ru-RU"/>
        </w:rPr>
        <w:t>,</w:t>
      </w:r>
      <w:r w:rsidR="007E6BE6" w:rsidRPr="000610C3">
        <w:rPr>
          <w:sz w:val="20"/>
          <w:lang w:val="ru-RU"/>
        </w:rPr>
        <w:t xml:space="preserve"> с членами действующей Г</w:t>
      </w:r>
      <w:r w:rsidR="003E4142" w:rsidRPr="000610C3">
        <w:rPr>
          <w:sz w:val="20"/>
          <w:lang w:val="ru-RU"/>
        </w:rPr>
        <w:t xml:space="preserve">руппы, проведет оценку общего баланса </w:t>
      </w:r>
      <w:r w:rsidR="00DB5DCD" w:rsidRPr="000610C3">
        <w:rPr>
          <w:sz w:val="20"/>
          <w:lang w:val="ru-RU"/>
        </w:rPr>
        <w:t xml:space="preserve">для </w:t>
      </w:r>
      <w:r w:rsidR="003E4142" w:rsidRPr="000610C3">
        <w:rPr>
          <w:sz w:val="20"/>
          <w:lang w:val="ru-RU"/>
        </w:rPr>
        <w:t>15 кандидат</w:t>
      </w:r>
      <w:r w:rsidR="00DB5DCD" w:rsidRPr="000610C3">
        <w:rPr>
          <w:sz w:val="20"/>
          <w:lang w:val="ru-RU"/>
        </w:rPr>
        <w:t>ур</w:t>
      </w:r>
      <w:r w:rsidR="00A26EAE">
        <w:rPr>
          <w:sz w:val="20"/>
          <w:lang w:val="ru-RU"/>
        </w:rPr>
        <w:t xml:space="preserve"> (включающих 3 </w:t>
      </w:r>
      <w:r w:rsidR="003E4142" w:rsidRPr="000610C3">
        <w:rPr>
          <w:sz w:val="20"/>
          <w:lang w:val="ru-RU"/>
        </w:rPr>
        <w:t>основных кандидат</w:t>
      </w:r>
      <w:r w:rsidR="00DB5DCD" w:rsidRPr="000610C3">
        <w:rPr>
          <w:sz w:val="20"/>
          <w:lang w:val="ru-RU"/>
        </w:rPr>
        <w:t>ов</w:t>
      </w:r>
      <w:r w:rsidR="003E4142" w:rsidRPr="000610C3">
        <w:rPr>
          <w:sz w:val="20"/>
          <w:lang w:val="ru-RU"/>
        </w:rPr>
        <w:t xml:space="preserve"> от каждой из 5 региональных групп Организации Объединенных </w:t>
      </w:r>
      <w:r w:rsidR="003E4142" w:rsidRPr="000610C3">
        <w:rPr>
          <w:sz w:val="20"/>
          <w:lang w:val="ru-RU"/>
        </w:rPr>
        <w:lastRenderedPageBreak/>
        <w:t xml:space="preserve">Наций) </w:t>
      </w:r>
      <w:r w:rsidR="00BD6F2F" w:rsidRPr="000610C3">
        <w:rPr>
          <w:sz w:val="20"/>
          <w:lang w:val="ru-RU"/>
        </w:rPr>
        <w:t>с учетом</w:t>
      </w:r>
      <w:r w:rsidR="004123E1" w:rsidRPr="000610C3">
        <w:rPr>
          <w:sz w:val="20"/>
          <w:lang w:val="ru-RU"/>
        </w:rPr>
        <w:t xml:space="preserve"> их преимуществ и недостатков, а также обще</w:t>
      </w:r>
      <w:r w:rsidR="00BD6F2F" w:rsidRPr="000610C3">
        <w:rPr>
          <w:sz w:val="20"/>
          <w:lang w:val="ru-RU"/>
        </w:rPr>
        <w:t xml:space="preserve">го </w:t>
      </w:r>
      <w:r w:rsidR="004123E1" w:rsidRPr="000610C3">
        <w:rPr>
          <w:sz w:val="20"/>
          <w:lang w:val="ru-RU"/>
        </w:rPr>
        <w:t>баланс</w:t>
      </w:r>
      <w:r w:rsidR="00BD6F2F" w:rsidRPr="000610C3">
        <w:rPr>
          <w:sz w:val="20"/>
          <w:lang w:val="ru-RU"/>
        </w:rPr>
        <w:t>а</w:t>
      </w:r>
      <w:r w:rsidR="004123E1" w:rsidRPr="000610C3">
        <w:rPr>
          <w:sz w:val="20"/>
          <w:lang w:val="ru-RU"/>
        </w:rPr>
        <w:t xml:space="preserve"> в рамках предлагаемой </w:t>
      </w:r>
      <w:r w:rsidR="00BD6F2F" w:rsidRPr="000610C3">
        <w:rPr>
          <w:sz w:val="20"/>
          <w:lang w:val="ru-RU"/>
        </w:rPr>
        <w:t>г</w:t>
      </w:r>
      <w:r w:rsidR="004123E1" w:rsidRPr="000610C3">
        <w:rPr>
          <w:sz w:val="20"/>
          <w:lang w:val="ru-RU"/>
        </w:rPr>
        <w:t xml:space="preserve">руппы. Бюро </w:t>
      </w:r>
      <w:r w:rsidR="00BD6F2F" w:rsidRPr="000610C3">
        <w:rPr>
          <w:sz w:val="20"/>
          <w:lang w:val="ru-RU"/>
        </w:rPr>
        <w:t>будет</w:t>
      </w:r>
      <w:r w:rsidR="004123E1" w:rsidRPr="000610C3">
        <w:rPr>
          <w:sz w:val="20"/>
          <w:lang w:val="ru-RU"/>
        </w:rPr>
        <w:t xml:space="preserve"> оцен</w:t>
      </w:r>
      <w:r w:rsidR="00BD6F2F" w:rsidRPr="000610C3">
        <w:rPr>
          <w:sz w:val="20"/>
          <w:lang w:val="ru-RU"/>
        </w:rPr>
        <w:t>ивать</w:t>
      </w:r>
      <w:r w:rsidR="004123E1" w:rsidRPr="000610C3">
        <w:rPr>
          <w:sz w:val="20"/>
          <w:lang w:val="ru-RU"/>
        </w:rPr>
        <w:t xml:space="preserve"> дополнительны</w:t>
      </w:r>
      <w:r w:rsidR="00BD6F2F" w:rsidRPr="000610C3">
        <w:rPr>
          <w:sz w:val="20"/>
          <w:lang w:val="ru-RU"/>
        </w:rPr>
        <w:t>е</w:t>
      </w:r>
      <w:r w:rsidR="004123E1" w:rsidRPr="000610C3">
        <w:rPr>
          <w:sz w:val="20"/>
          <w:lang w:val="ru-RU"/>
        </w:rPr>
        <w:t xml:space="preserve"> экспертны</w:t>
      </w:r>
      <w:r w:rsidR="00BD6F2F" w:rsidRPr="000610C3">
        <w:rPr>
          <w:sz w:val="20"/>
          <w:lang w:val="ru-RU"/>
        </w:rPr>
        <w:t>е</w:t>
      </w:r>
      <w:r w:rsidR="004123E1" w:rsidRPr="000610C3">
        <w:rPr>
          <w:sz w:val="20"/>
          <w:lang w:val="ru-RU"/>
        </w:rPr>
        <w:t xml:space="preserve"> навык</w:t>
      </w:r>
      <w:r w:rsidR="00BD6F2F" w:rsidRPr="000610C3">
        <w:rPr>
          <w:sz w:val="20"/>
          <w:lang w:val="ru-RU"/>
        </w:rPr>
        <w:t>и</w:t>
      </w:r>
      <w:r w:rsidR="004123E1" w:rsidRPr="000610C3">
        <w:rPr>
          <w:sz w:val="20"/>
          <w:lang w:val="ru-RU"/>
        </w:rPr>
        <w:t xml:space="preserve"> и други</w:t>
      </w:r>
      <w:r w:rsidR="00BD6F2F" w:rsidRPr="000610C3">
        <w:rPr>
          <w:sz w:val="20"/>
          <w:lang w:val="ru-RU"/>
        </w:rPr>
        <w:t>е</w:t>
      </w:r>
      <w:r w:rsidR="004123E1" w:rsidRPr="000610C3">
        <w:rPr>
          <w:sz w:val="20"/>
          <w:lang w:val="ru-RU"/>
        </w:rPr>
        <w:t xml:space="preserve"> релевантны</w:t>
      </w:r>
      <w:r w:rsidR="00BD6F2F" w:rsidRPr="000610C3">
        <w:rPr>
          <w:sz w:val="20"/>
          <w:lang w:val="ru-RU"/>
        </w:rPr>
        <w:t>е</w:t>
      </w:r>
      <w:r w:rsidR="004123E1" w:rsidRPr="000610C3">
        <w:rPr>
          <w:sz w:val="20"/>
          <w:lang w:val="ru-RU"/>
        </w:rPr>
        <w:t xml:space="preserve"> </w:t>
      </w:r>
      <w:r w:rsidR="00BD6F2F" w:rsidRPr="000610C3">
        <w:rPr>
          <w:sz w:val="20"/>
          <w:lang w:val="ru-RU"/>
        </w:rPr>
        <w:t>факторы</w:t>
      </w:r>
      <w:r w:rsidR="004123E1" w:rsidRPr="000610C3">
        <w:rPr>
          <w:sz w:val="20"/>
          <w:lang w:val="ru-RU"/>
        </w:rPr>
        <w:t>, необходимы</w:t>
      </w:r>
      <w:r w:rsidR="00BD6F2F" w:rsidRPr="000610C3">
        <w:rPr>
          <w:sz w:val="20"/>
          <w:lang w:val="ru-RU"/>
        </w:rPr>
        <w:t>е</w:t>
      </w:r>
      <w:r w:rsidR="004123E1" w:rsidRPr="000610C3">
        <w:rPr>
          <w:sz w:val="20"/>
          <w:lang w:val="ru-RU"/>
        </w:rPr>
        <w:t xml:space="preserve"> для обеспечения надлежащего баланса </w:t>
      </w:r>
      <w:r w:rsidR="00BD6F2F" w:rsidRPr="000610C3">
        <w:rPr>
          <w:sz w:val="20"/>
          <w:lang w:val="ru-RU"/>
        </w:rPr>
        <w:t xml:space="preserve">с точки зрения </w:t>
      </w:r>
      <w:r w:rsidR="00DD1667" w:rsidRPr="000610C3">
        <w:rPr>
          <w:sz w:val="20"/>
          <w:lang w:val="ru-RU"/>
        </w:rPr>
        <w:t>интеллектуальны</w:t>
      </w:r>
      <w:r w:rsidR="00BD6F2F" w:rsidRPr="000610C3">
        <w:rPr>
          <w:sz w:val="20"/>
          <w:lang w:val="ru-RU"/>
        </w:rPr>
        <w:t>х</w:t>
      </w:r>
      <w:r w:rsidR="00DD1667" w:rsidRPr="000610C3">
        <w:rPr>
          <w:sz w:val="20"/>
          <w:lang w:val="ru-RU"/>
        </w:rPr>
        <w:t xml:space="preserve"> знани</w:t>
      </w:r>
      <w:r w:rsidR="00BD6F2F" w:rsidRPr="000610C3">
        <w:rPr>
          <w:sz w:val="20"/>
          <w:lang w:val="ru-RU"/>
        </w:rPr>
        <w:t>й</w:t>
      </w:r>
      <w:r w:rsidR="00DD1667" w:rsidRPr="000610C3">
        <w:rPr>
          <w:sz w:val="20"/>
          <w:lang w:val="ru-RU"/>
        </w:rPr>
        <w:t>, дисциплин, пол</w:t>
      </w:r>
      <w:r w:rsidR="00BD6F2F" w:rsidRPr="000610C3">
        <w:rPr>
          <w:sz w:val="20"/>
          <w:lang w:val="ru-RU"/>
        </w:rPr>
        <w:t>а</w:t>
      </w:r>
      <w:r w:rsidR="00DD1667" w:rsidRPr="000610C3">
        <w:rPr>
          <w:sz w:val="20"/>
          <w:lang w:val="ru-RU"/>
        </w:rPr>
        <w:t>, тематически</w:t>
      </w:r>
      <w:r w:rsidR="00BD6F2F" w:rsidRPr="000610C3">
        <w:rPr>
          <w:sz w:val="20"/>
          <w:lang w:val="ru-RU"/>
        </w:rPr>
        <w:t>х</w:t>
      </w:r>
      <w:r w:rsidR="00DD1667" w:rsidRPr="000610C3">
        <w:rPr>
          <w:sz w:val="20"/>
          <w:lang w:val="ru-RU"/>
        </w:rPr>
        <w:t xml:space="preserve"> направлени</w:t>
      </w:r>
      <w:r w:rsidR="00BD6F2F" w:rsidRPr="000610C3">
        <w:rPr>
          <w:sz w:val="20"/>
          <w:lang w:val="ru-RU"/>
        </w:rPr>
        <w:t>й</w:t>
      </w:r>
      <w:r w:rsidR="00DD1667" w:rsidRPr="000610C3">
        <w:rPr>
          <w:sz w:val="20"/>
          <w:lang w:val="ru-RU"/>
        </w:rPr>
        <w:t xml:space="preserve"> и опыт</w:t>
      </w:r>
      <w:r w:rsidR="00BD6F2F" w:rsidRPr="000610C3">
        <w:rPr>
          <w:sz w:val="20"/>
          <w:lang w:val="ru-RU"/>
        </w:rPr>
        <w:t>а</w:t>
      </w:r>
      <w:r w:rsidR="00DD1667" w:rsidRPr="000610C3">
        <w:rPr>
          <w:sz w:val="20"/>
          <w:lang w:val="ru-RU"/>
        </w:rPr>
        <w:t>, и прин</w:t>
      </w:r>
      <w:r w:rsidR="00BD6F2F" w:rsidRPr="000610C3">
        <w:rPr>
          <w:sz w:val="20"/>
          <w:lang w:val="ru-RU"/>
        </w:rPr>
        <w:t>и</w:t>
      </w:r>
      <w:r w:rsidR="00DD1667" w:rsidRPr="000610C3">
        <w:rPr>
          <w:sz w:val="20"/>
          <w:lang w:val="ru-RU"/>
        </w:rPr>
        <w:t>мат</w:t>
      </w:r>
      <w:r w:rsidR="00BD6F2F" w:rsidRPr="000610C3">
        <w:rPr>
          <w:sz w:val="20"/>
          <w:lang w:val="ru-RU"/>
        </w:rPr>
        <w:t>ь</w:t>
      </w:r>
      <w:r w:rsidR="00DD1667" w:rsidRPr="000610C3">
        <w:rPr>
          <w:sz w:val="20"/>
          <w:lang w:val="ru-RU"/>
        </w:rPr>
        <w:t xml:space="preserve"> решение относительно оставшихся региональных кандидатов, которы</w:t>
      </w:r>
      <w:r w:rsidR="00BD6F2F" w:rsidRPr="000610C3">
        <w:rPr>
          <w:sz w:val="20"/>
          <w:lang w:val="ru-RU"/>
        </w:rPr>
        <w:t>х</w:t>
      </w:r>
      <w:r w:rsidR="00DD1667" w:rsidRPr="000610C3">
        <w:rPr>
          <w:sz w:val="20"/>
          <w:lang w:val="ru-RU"/>
        </w:rPr>
        <w:t xml:space="preserve"> следует рекомендовать Пленуму для включения в состав Группы в интересах наилучшего удовлетворения ее потребностей. Если кандидатуры </w:t>
      </w:r>
      <w:r w:rsidR="00BD6F2F" w:rsidRPr="000610C3">
        <w:rPr>
          <w:sz w:val="20"/>
          <w:lang w:val="ru-RU"/>
        </w:rPr>
        <w:t xml:space="preserve">очевидным образом </w:t>
      </w:r>
      <w:r w:rsidR="00DD1667" w:rsidRPr="000610C3">
        <w:rPr>
          <w:sz w:val="20"/>
          <w:lang w:val="ru-RU"/>
        </w:rPr>
        <w:t xml:space="preserve">не </w:t>
      </w:r>
      <w:r w:rsidR="00BD6F2F" w:rsidRPr="000610C3">
        <w:rPr>
          <w:sz w:val="20"/>
          <w:lang w:val="ru-RU"/>
        </w:rPr>
        <w:t>отвечают</w:t>
      </w:r>
      <w:r w:rsidR="00DD1667" w:rsidRPr="000610C3">
        <w:rPr>
          <w:sz w:val="20"/>
          <w:lang w:val="ru-RU"/>
        </w:rPr>
        <w:t xml:space="preserve"> требованиям обеспечения баланса в составе Группы, </w:t>
      </w:r>
      <w:r w:rsidR="00D30166" w:rsidRPr="000610C3">
        <w:rPr>
          <w:sz w:val="20"/>
          <w:lang w:val="ru-RU"/>
        </w:rPr>
        <w:t>Бюро может просить членов и наблюдателей предложить кандидатуры, обладающие</w:t>
      </w:r>
      <w:r w:rsidR="00ED0AB9" w:rsidRPr="000610C3">
        <w:rPr>
          <w:sz w:val="20"/>
          <w:lang w:val="ru-RU"/>
        </w:rPr>
        <w:t xml:space="preserve"> необходимыми экспертными навыками.</w:t>
      </w:r>
    </w:p>
    <w:p w:rsidR="002D4528" w:rsidRPr="000610C3" w:rsidRDefault="002D4528" w:rsidP="000610C3">
      <w:pPr>
        <w:spacing w:after="120"/>
        <w:ind w:left="1247"/>
        <w:rPr>
          <w:sz w:val="20"/>
          <w:lang w:val="ru-RU"/>
        </w:rPr>
      </w:pPr>
      <w:r w:rsidRPr="000610C3">
        <w:rPr>
          <w:sz w:val="20"/>
          <w:lang w:val="ru-RU"/>
        </w:rPr>
        <w:t>12.</w:t>
      </w:r>
      <w:r w:rsidRPr="000610C3">
        <w:rPr>
          <w:sz w:val="20"/>
          <w:lang w:val="ru-RU"/>
        </w:rPr>
        <w:tab/>
      </w:r>
      <w:r w:rsidR="00ED0AB9" w:rsidRPr="000610C3">
        <w:rPr>
          <w:sz w:val="20"/>
          <w:lang w:val="ru-RU"/>
        </w:rPr>
        <w:t>После того как Бюро будет согласован должным образом сбалансированный перечень кандидатов</w:t>
      </w:r>
      <w:r w:rsidR="00F86731" w:rsidRPr="000610C3">
        <w:rPr>
          <w:sz w:val="20"/>
          <w:lang w:val="ru-RU"/>
        </w:rPr>
        <w:t xml:space="preserve"> на основании предложенных регионами, окончательный перечень будет представлен Пленуму для рассмотрения им вместе с кратким докладом Бюро о процессе </w:t>
      </w:r>
      <w:r w:rsidR="008A4287" w:rsidRPr="000610C3">
        <w:rPr>
          <w:sz w:val="20"/>
          <w:lang w:val="ru-RU"/>
        </w:rPr>
        <w:t>комплектования</w:t>
      </w:r>
      <w:r w:rsidR="00F86731" w:rsidRPr="000610C3">
        <w:rPr>
          <w:sz w:val="20"/>
          <w:lang w:val="ru-RU"/>
        </w:rPr>
        <w:t>.</w:t>
      </w:r>
      <w:r w:rsidR="007E6BE6" w:rsidRPr="000610C3">
        <w:rPr>
          <w:sz w:val="20"/>
          <w:lang w:val="ru-RU"/>
        </w:rPr>
        <w:t xml:space="preserve"> Ожидается, что процесс Бюро </w:t>
      </w:r>
      <w:r w:rsidR="008A4287" w:rsidRPr="000610C3">
        <w:rPr>
          <w:sz w:val="20"/>
          <w:lang w:val="ru-RU"/>
        </w:rPr>
        <w:t xml:space="preserve">по комплектованию </w:t>
      </w:r>
      <w:r w:rsidR="007E6BE6" w:rsidRPr="000610C3">
        <w:rPr>
          <w:sz w:val="20"/>
          <w:lang w:val="ru-RU"/>
        </w:rPr>
        <w:t>окончательного перечня кандидатов состоится в течение первых трех дней сессии Пленума, что позволит сформировать новый состав Группы до окончания сессии.</w:t>
      </w:r>
    </w:p>
    <w:p w:rsidR="00447224" w:rsidRPr="000610C3" w:rsidRDefault="002D4528" w:rsidP="00C7021A">
      <w:pPr>
        <w:spacing w:before="360" w:after="120"/>
        <w:ind w:left="1247"/>
        <w:jc w:val="center"/>
        <w:rPr>
          <w:sz w:val="20"/>
          <w:lang w:val="ru-RU"/>
        </w:rPr>
      </w:pPr>
      <w:r w:rsidRPr="000610C3">
        <w:rPr>
          <w:sz w:val="20"/>
          <w:lang w:val="en-US"/>
        </w:rPr>
        <w:t>________________________</w:t>
      </w:r>
    </w:p>
    <w:sectPr w:rsidR="00447224" w:rsidRPr="000610C3" w:rsidSect="00F55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2A" w:rsidRDefault="00936D2A">
      <w:r>
        <w:separator/>
      </w:r>
    </w:p>
  </w:endnote>
  <w:endnote w:type="continuationSeparator" w:id="0">
    <w:p w:rsidR="00936D2A" w:rsidRDefault="0093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8A" w:rsidRPr="0062380B" w:rsidRDefault="007A3A8A" w:rsidP="0062380B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B81814">
      <w:rPr>
        <w:rStyle w:val="PageNumber"/>
        <w:noProof/>
        <w:sz w:val="18"/>
        <w:szCs w:val="18"/>
      </w:rPr>
      <w:t>4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8A" w:rsidRPr="0062380B" w:rsidRDefault="007A3A8A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B81814">
      <w:rPr>
        <w:rStyle w:val="PageNumber"/>
        <w:noProof/>
        <w:sz w:val="18"/>
        <w:szCs w:val="18"/>
      </w:rPr>
      <w:t>3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70" w:rsidRPr="00C15D03" w:rsidRDefault="00062B70" w:rsidP="00062B70">
    <w:pPr>
      <w:pStyle w:val="Footer"/>
      <w:tabs>
        <w:tab w:val="clear" w:pos="4320"/>
        <w:tab w:val="clear" w:pos="8640"/>
      </w:tabs>
      <w:spacing w:before="0"/>
      <w:ind w:left="624"/>
      <w:rPr>
        <w:sz w:val="18"/>
        <w:szCs w:val="18"/>
        <w:lang w:val="ru-RU"/>
      </w:rPr>
    </w:pPr>
    <w:r w:rsidRPr="00C15D03">
      <w:rPr>
        <w:sz w:val="18"/>
        <w:szCs w:val="18"/>
        <w:lang w:val="ru-RU"/>
      </w:rPr>
      <w:t>_______________________________________</w:t>
    </w:r>
  </w:p>
  <w:p w:rsidR="00A74882" w:rsidRPr="00A74882" w:rsidRDefault="00A74882" w:rsidP="00062B70">
    <w:pPr>
      <w:pStyle w:val="Footer"/>
      <w:tabs>
        <w:tab w:val="clear" w:pos="4320"/>
        <w:tab w:val="clear" w:pos="8640"/>
      </w:tabs>
      <w:spacing w:before="20" w:after="40"/>
      <w:ind w:left="1247"/>
      <w:rPr>
        <w:sz w:val="18"/>
        <w:szCs w:val="18"/>
        <w:lang w:val="ru-RU"/>
      </w:rPr>
    </w:pPr>
    <w:r w:rsidRPr="00A74882">
      <w:rPr>
        <w:sz w:val="18"/>
        <w:szCs w:val="18"/>
        <w:lang w:val="ru-RU"/>
      </w:rPr>
      <w:t>*</w:t>
    </w:r>
    <w:r>
      <w:rPr>
        <w:sz w:val="18"/>
        <w:szCs w:val="18"/>
        <w:lang w:val="ru-RU"/>
      </w:rPr>
      <w:tab/>
    </w:r>
    <w:r w:rsidRPr="00A74882">
      <w:rPr>
        <w:sz w:val="18"/>
        <w:szCs w:val="18"/>
        <w:lang w:val="ru-RU"/>
      </w:rPr>
      <w:t>Переиздан по техническим причинам 29 ноября 2013 года.</w:t>
    </w:r>
  </w:p>
  <w:p w:rsidR="007A3A8A" w:rsidRPr="00A74882" w:rsidRDefault="00A74882" w:rsidP="00062B70">
    <w:pPr>
      <w:pStyle w:val="Footer"/>
      <w:tabs>
        <w:tab w:val="clear" w:pos="4320"/>
        <w:tab w:val="clear" w:pos="8640"/>
      </w:tabs>
      <w:spacing w:before="20" w:after="40"/>
      <w:ind w:left="1247"/>
      <w:rPr>
        <w:sz w:val="18"/>
        <w:szCs w:val="18"/>
        <w:lang w:val="ru-RU"/>
      </w:rPr>
    </w:pPr>
    <w:r w:rsidRPr="00A74882">
      <w:rPr>
        <w:sz w:val="18"/>
        <w:szCs w:val="18"/>
        <w:vertAlign w:val="superscript"/>
        <w:lang w:val="ru-RU"/>
      </w:rPr>
      <w:t>*</w:t>
    </w:r>
    <w:r w:rsidR="007A3A8A" w:rsidRPr="00A74882">
      <w:rPr>
        <w:sz w:val="18"/>
        <w:szCs w:val="18"/>
        <w:vertAlign w:val="superscript"/>
        <w:lang w:val="ru-RU"/>
      </w:rPr>
      <w:t>*</w:t>
    </w:r>
    <w:r w:rsidR="007A3A8A" w:rsidRPr="00A74882">
      <w:rPr>
        <w:sz w:val="18"/>
        <w:szCs w:val="18"/>
        <w:lang w:val="ru-RU"/>
      </w:rPr>
      <w:tab/>
    </w:r>
    <w:r w:rsidR="007A3A8A">
      <w:rPr>
        <w:sz w:val="18"/>
        <w:szCs w:val="18"/>
        <w:lang w:val="en-US"/>
      </w:rPr>
      <w:t>IPBES</w:t>
    </w:r>
    <w:r w:rsidR="007A3A8A" w:rsidRPr="00A74882">
      <w:rPr>
        <w:sz w:val="18"/>
        <w:szCs w:val="18"/>
        <w:lang w:val="ru-RU"/>
      </w:rPr>
      <w:t>/2/1.</w:t>
    </w:r>
  </w:p>
  <w:p w:rsidR="007A3A8A" w:rsidRPr="0062380B" w:rsidRDefault="007A3A8A" w:rsidP="0062380B">
    <w:pPr>
      <w:pStyle w:val="Footer"/>
      <w:tabs>
        <w:tab w:val="clear" w:pos="4320"/>
        <w:tab w:val="clear" w:pos="8640"/>
      </w:tabs>
      <w:spacing w:after="240"/>
      <w:rPr>
        <w:sz w:val="20"/>
        <w:szCs w:val="20"/>
        <w:lang w:val="ru-RU"/>
      </w:rPr>
    </w:pPr>
    <w:r w:rsidRPr="0062380B">
      <w:rPr>
        <w:sz w:val="20"/>
        <w:szCs w:val="20"/>
      </w:rPr>
      <w:t>K</w:t>
    </w:r>
    <w:r w:rsidRPr="00A74882">
      <w:rPr>
        <w:sz w:val="20"/>
        <w:szCs w:val="20"/>
        <w:lang w:val="ru-RU"/>
      </w:rPr>
      <w:t>135</w:t>
    </w:r>
    <w:r w:rsidR="00062B70">
      <w:rPr>
        <w:sz w:val="20"/>
        <w:szCs w:val="20"/>
        <w:lang w:val="en-US"/>
      </w:rPr>
      <w:t>4139</w:t>
    </w:r>
    <w:r w:rsidRPr="00A74882">
      <w:rPr>
        <w:sz w:val="20"/>
        <w:szCs w:val="20"/>
        <w:lang w:val="ru-RU"/>
      </w:rPr>
      <w:t xml:space="preserve">      </w:t>
    </w:r>
    <w:r w:rsidR="00062B70">
      <w:rPr>
        <w:sz w:val="20"/>
        <w:szCs w:val="20"/>
        <w:lang w:val="en-US"/>
      </w:rPr>
      <w:t>0612</w:t>
    </w:r>
    <w:r w:rsidRPr="00A74882">
      <w:rPr>
        <w:sz w:val="20"/>
        <w:szCs w:val="20"/>
        <w:lang w:val="ru-RU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2A" w:rsidRDefault="00936D2A">
      <w:pPr>
        <w:spacing w:before="120" w:after="60"/>
        <w:ind w:left="624"/>
      </w:pPr>
      <w:r>
        <w:separator/>
      </w:r>
    </w:p>
  </w:footnote>
  <w:footnote w:type="continuationSeparator" w:id="0">
    <w:p w:rsidR="00936D2A" w:rsidRDefault="00936D2A">
      <w:pPr>
        <w:spacing w:before="120" w:after="60"/>
        <w:ind w:left="624"/>
      </w:pPr>
      <w:r>
        <w:continuationSeparator/>
      </w:r>
    </w:p>
  </w:footnote>
  <w:footnote w:type="continuationNotice" w:id="1">
    <w:p w:rsidR="00936D2A" w:rsidRDefault="00936D2A">
      <w:pPr>
        <w:spacing w:before="120" w:after="60"/>
        <w:ind w:left="62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8A" w:rsidRPr="0062380B" w:rsidRDefault="007A3A8A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>
      <w:rPr>
        <w:sz w:val="18"/>
        <w:szCs w:val="18"/>
        <w:lang w:val="en-US"/>
      </w:rPr>
      <w:t>2/8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8A" w:rsidRPr="0062380B" w:rsidRDefault="007A3A8A" w:rsidP="008B5641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>
      <w:rPr>
        <w:sz w:val="18"/>
        <w:szCs w:val="18"/>
        <w:lang w:val="en-US"/>
      </w:rPr>
      <w:t>2/8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8A" w:rsidRPr="00BF5EDC" w:rsidRDefault="007A3A8A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E3D35"/>
    <w:multiLevelType w:val="hybridMultilevel"/>
    <w:tmpl w:val="202E0122"/>
    <w:lvl w:ilvl="0" w:tplc="D2E2A32A">
      <w:start w:val="26"/>
      <w:numFmt w:val="bullet"/>
      <w:lvlText w:val=""/>
      <w:lvlJc w:val="left"/>
      <w:pPr>
        <w:ind w:left="16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768239A5"/>
    <w:multiLevelType w:val="hybridMultilevel"/>
    <w:tmpl w:val="A762D7C4"/>
    <w:lvl w:ilvl="0" w:tplc="1B3E83C6">
      <w:start w:val="26"/>
      <w:numFmt w:val="bullet"/>
      <w:lvlText w:val=""/>
      <w:lvlJc w:val="left"/>
      <w:pPr>
        <w:ind w:left="16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2F"/>
    <w:rsid w:val="000050A4"/>
    <w:rsid w:val="00014DD8"/>
    <w:rsid w:val="0002592C"/>
    <w:rsid w:val="00034E7A"/>
    <w:rsid w:val="00060C58"/>
    <w:rsid w:val="000610C3"/>
    <w:rsid w:val="00061844"/>
    <w:rsid w:val="00062B70"/>
    <w:rsid w:val="00071F60"/>
    <w:rsid w:val="000A2070"/>
    <w:rsid w:val="000A73E9"/>
    <w:rsid w:val="000B6554"/>
    <w:rsid w:val="000C4E3D"/>
    <w:rsid w:val="000F799F"/>
    <w:rsid w:val="00106968"/>
    <w:rsid w:val="001107FC"/>
    <w:rsid w:val="0011549E"/>
    <w:rsid w:val="00116FE1"/>
    <w:rsid w:val="00133949"/>
    <w:rsid w:val="00186FAA"/>
    <w:rsid w:val="001957CE"/>
    <w:rsid w:val="001B4630"/>
    <w:rsid w:val="001D20A3"/>
    <w:rsid w:val="001F1892"/>
    <w:rsid w:val="0020102D"/>
    <w:rsid w:val="002012E7"/>
    <w:rsid w:val="002058FE"/>
    <w:rsid w:val="00210D6A"/>
    <w:rsid w:val="00237724"/>
    <w:rsid w:val="00262A08"/>
    <w:rsid w:val="00266BE3"/>
    <w:rsid w:val="00282141"/>
    <w:rsid w:val="002B71C3"/>
    <w:rsid w:val="002D4528"/>
    <w:rsid w:val="002D489B"/>
    <w:rsid w:val="002D618A"/>
    <w:rsid w:val="002E0BCF"/>
    <w:rsid w:val="002F13A4"/>
    <w:rsid w:val="00317A83"/>
    <w:rsid w:val="0032391A"/>
    <w:rsid w:val="003307C8"/>
    <w:rsid w:val="003319F8"/>
    <w:rsid w:val="0034536F"/>
    <w:rsid w:val="003508D2"/>
    <w:rsid w:val="003636B5"/>
    <w:rsid w:val="00364904"/>
    <w:rsid w:val="00381029"/>
    <w:rsid w:val="00381B39"/>
    <w:rsid w:val="00386D51"/>
    <w:rsid w:val="003C748F"/>
    <w:rsid w:val="003C7921"/>
    <w:rsid w:val="003E4142"/>
    <w:rsid w:val="00401862"/>
    <w:rsid w:val="004123E1"/>
    <w:rsid w:val="004150BB"/>
    <w:rsid w:val="00417C04"/>
    <w:rsid w:val="0042283E"/>
    <w:rsid w:val="00445565"/>
    <w:rsid w:val="00447224"/>
    <w:rsid w:val="00481B65"/>
    <w:rsid w:val="004A7058"/>
    <w:rsid w:val="004C682D"/>
    <w:rsid w:val="004C70B8"/>
    <w:rsid w:val="004E180E"/>
    <w:rsid w:val="004E3DCF"/>
    <w:rsid w:val="004F44B7"/>
    <w:rsid w:val="004F6D1D"/>
    <w:rsid w:val="00501367"/>
    <w:rsid w:val="005145CB"/>
    <w:rsid w:val="00554DE5"/>
    <w:rsid w:val="00587F81"/>
    <w:rsid w:val="00592D20"/>
    <w:rsid w:val="005B4ABB"/>
    <w:rsid w:val="005B52D5"/>
    <w:rsid w:val="005B69EE"/>
    <w:rsid w:val="005C56A7"/>
    <w:rsid w:val="005F63F1"/>
    <w:rsid w:val="0062201A"/>
    <w:rsid w:val="0062380B"/>
    <w:rsid w:val="00675EEF"/>
    <w:rsid w:val="006C02B3"/>
    <w:rsid w:val="006C0EE8"/>
    <w:rsid w:val="006E2E0E"/>
    <w:rsid w:val="007028D5"/>
    <w:rsid w:val="00727303"/>
    <w:rsid w:val="007519BF"/>
    <w:rsid w:val="00787508"/>
    <w:rsid w:val="0079249D"/>
    <w:rsid w:val="007A3A8A"/>
    <w:rsid w:val="007B0840"/>
    <w:rsid w:val="007B16F5"/>
    <w:rsid w:val="007D0EAE"/>
    <w:rsid w:val="007D2D66"/>
    <w:rsid w:val="007E6BE6"/>
    <w:rsid w:val="007F7DB1"/>
    <w:rsid w:val="008101AA"/>
    <w:rsid w:val="00860F76"/>
    <w:rsid w:val="00875095"/>
    <w:rsid w:val="008A219A"/>
    <w:rsid w:val="008A352A"/>
    <w:rsid w:val="008A4287"/>
    <w:rsid w:val="008B5641"/>
    <w:rsid w:val="008B5797"/>
    <w:rsid w:val="008C2716"/>
    <w:rsid w:val="008E35C8"/>
    <w:rsid w:val="008F0C7A"/>
    <w:rsid w:val="00900879"/>
    <w:rsid w:val="009107EC"/>
    <w:rsid w:val="0091313C"/>
    <w:rsid w:val="00925F1C"/>
    <w:rsid w:val="00927D96"/>
    <w:rsid w:val="00936D2A"/>
    <w:rsid w:val="00940AD5"/>
    <w:rsid w:val="00957ABB"/>
    <w:rsid w:val="00966230"/>
    <w:rsid w:val="009C4EEE"/>
    <w:rsid w:val="00A23F42"/>
    <w:rsid w:val="00A26EAE"/>
    <w:rsid w:val="00A43674"/>
    <w:rsid w:val="00A436EA"/>
    <w:rsid w:val="00A4755A"/>
    <w:rsid w:val="00A52975"/>
    <w:rsid w:val="00A60904"/>
    <w:rsid w:val="00A6391A"/>
    <w:rsid w:val="00A66C37"/>
    <w:rsid w:val="00A74882"/>
    <w:rsid w:val="00A766C7"/>
    <w:rsid w:val="00A82C50"/>
    <w:rsid w:val="00AB253D"/>
    <w:rsid w:val="00AC6B8D"/>
    <w:rsid w:val="00B14419"/>
    <w:rsid w:val="00B513F1"/>
    <w:rsid w:val="00B54E4C"/>
    <w:rsid w:val="00B73E6C"/>
    <w:rsid w:val="00B76EFD"/>
    <w:rsid w:val="00B80AC7"/>
    <w:rsid w:val="00B81814"/>
    <w:rsid w:val="00B84389"/>
    <w:rsid w:val="00B907BC"/>
    <w:rsid w:val="00BA381A"/>
    <w:rsid w:val="00BA5A19"/>
    <w:rsid w:val="00BD6F2F"/>
    <w:rsid w:val="00BF0698"/>
    <w:rsid w:val="00BF5EDC"/>
    <w:rsid w:val="00C07EE0"/>
    <w:rsid w:val="00C15D03"/>
    <w:rsid w:val="00C333E2"/>
    <w:rsid w:val="00C37F1A"/>
    <w:rsid w:val="00C44B44"/>
    <w:rsid w:val="00C5192F"/>
    <w:rsid w:val="00C60ACA"/>
    <w:rsid w:val="00C7021A"/>
    <w:rsid w:val="00C70795"/>
    <w:rsid w:val="00C75349"/>
    <w:rsid w:val="00C837F7"/>
    <w:rsid w:val="00C93C9A"/>
    <w:rsid w:val="00C960E4"/>
    <w:rsid w:val="00C973BE"/>
    <w:rsid w:val="00CA270D"/>
    <w:rsid w:val="00CB4935"/>
    <w:rsid w:val="00D30166"/>
    <w:rsid w:val="00D45049"/>
    <w:rsid w:val="00DA06DF"/>
    <w:rsid w:val="00DA12CB"/>
    <w:rsid w:val="00DB490D"/>
    <w:rsid w:val="00DB5DCD"/>
    <w:rsid w:val="00DD1667"/>
    <w:rsid w:val="00E029B9"/>
    <w:rsid w:val="00E30BD0"/>
    <w:rsid w:val="00E524A3"/>
    <w:rsid w:val="00E63BED"/>
    <w:rsid w:val="00E9094C"/>
    <w:rsid w:val="00EC746F"/>
    <w:rsid w:val="00ED0AB9"/>
    <w:rsid w:val="00ED65C1"/>
    <w:rsid w:val="00EE71A1"/>
    <w:rsid w:val="00EF04FB"/>
    <w:rsid w:val="00EF5623"/>
    <w:rsid w:val="00F51F0A"/>
    <w:rsid w:val="00F550EE"/>
    <w:rsid w:val="00F63024"/>
    <w:rsid w:val="00F7367E"/>
    <w:rsid w:val="00F86731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B811E-B05B-4176-B537-D394345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IPBES/2/8*</vt:lpstr>
    </vt:vector>
  </TitlesOfParts>
  <Manager>RLU</Manager>
  <Company>UNON</Company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IPBES/2/8*</dc:title>
  <dc:subject>Potencial future regional structureand composition of the MEP</dc:subject>
  <dc:creator>UNEP/DEPI</dc:creator>
  <cp:lastModifiedBy>Rohan Shanbhag</cp:lastModifiedBy>
  <cp:revision>2</cp:revision>
  <cp:lastPrinted>2013-09-30T11:04:00Z</cp:lastPrinted>
  <dcterms:created xsi:type="dcterms:W3CDTF">2013-12-07T08:20:00Z</dcterms:created>
  <dcterms:modified xsi:type="dcterms:W3CDTF">2013-12-07T08:20:00Z</dcterms:modified>
</cp:coreProperties>
</file>